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napToGrid w:val="0"/>
        <w:spacing w:line="360" w:lineRule="auto"/>
        <w:ind w:right="25" w:rightChars="12"/>
        <w:jc w:val="center"/>
        <w:rPr>
          <w:rFonts w:cs="宋体"/>
          <w:b/>
          <w:color w:val="auto"/>
          <w:sz w:val="52"/>
          <w:szCs w:val="52"/>
          <w:highlight w:val="none"/>
          <w:u w:val="none"/>
        </w:rPr>
      </w:pPr>
    </w:p>
    <w:p>
      <w:pPr>
        <w:pStyle w:val="26"/>
        <w:snapToGrid w:val="0"/>
        <w:spacing w:line="360" w:lineRule="auto"/>
        <w:ind w:right="25" w:rightChars="12"/>
        <w:jc w:val="center"/>
        <w:rPr>
          <w:rFonts w:cs="宋体"/>
          <w:b/>
          <w:color w:val="auto"/>
          <w:sz w:val="44"/>
          <w:szCs w:val="44"/>
          <w:highlight w:val="none"/>
          <w:u w:val="none"/>
        </w:rPr>
      </w:pPr>
      <w:r>
        <w:rPr>
          <w:rFonts w:hint="eastAsia" w:cs="宋体"/>
          <w:b/>
          <w:color w:val="auto"/>
          <w:sz w:val="44"/>
          <w:szCs w:val="44"/>
          <w:highlight w:val="none"/>
          <w:u w:val="none"/>
          <w:lang w:eastAsia="zh-CN"/>
        </w:rPr>
        <w:t>星际云汇二期项目负一层公区装修工程</w:t>
      </w:r>
    </w:p>
    <w:p>
      <w:pPr>
        <w:snapToGrid w:val="0"/>
        <w:spacing w:line="360" w:lineRule="auto"/>
        <w:jc w:val="center"/>
        <w:rPr>
          <w:rFonts w:ascii="宋体" w:hAnsi="宋体" w:cs="宋体"/>
          <w:color w:val="auto"/>
          <w:sz w:val="36"/>
          <w:szCs w:val="36"/>
          <w:highlight w:val="none"/>
          <w:u w:val="single"/>
        </w:rPr>
      </w:pPr>
    </w:p>
    <w:p>
      <w:pPr>
        <w:pStyle w:val="17"/>
        <w:snapToGrid w:val="0"/>
        <w:spacing w:line="360" w:lineRule="auto"/>
        <w:rPr>
          <w:rFonts w:hAnsi="宋体" w:cs="宋体"/>
          <w:color w:val="auto"/>
          <w:highlight w:val="none"/>
        </w:rPr>
      </w:pPr>
    </w:p>
    <w:p>
      <w:pPr>
        <w:pStyle w:val="17"/>
        <w:snapToGrid w:val="0"/>
        <w:spacing w:line="360" w:lineRule="auto"/>
        <w:rPr>
          <w:rFonts w:hAnsi="宋体" w:cs="宋体"/>
          <w:color w:val="auto"/>
          <w:sz w:val="36"/>
          <w:szCs w:val="36"/>
          <w:highlight w:val="none"/>
          <w:u w:val="single"/>
        </w:rPr>
      </w:pPr>
    </w:p>
    <w:p>
      <w:pPr>
        <w:pStyle w:val="17"/>
        <w:snapToGrid w:val="0"/>
        <w:spacing w:line="360" w:lineRule="auto"/>
        <w:rPr>
          <w:rFonts w:hAnsi="宋体" w:cs="宋体"/>
          <w:color w:val="auto"/>
          <w:sz w:val="36"/>
          <w:szCs w:val="36"/>
          <w:highlight w:val="none"/>
          <w:u w:val="single"/>
        </w:rPr>
      </w:pPr>
    </w:p>
    <w:p>
      <w:pPr>
        <w:pStyle w:val="17"/>
        <w:snapToGrid w:val="0"/>
        <w:spacing w:line="360" w:lineRule="auto"/>
        <w:rPr>
          <w:rFonts w:hAnsi="宋体" w:cs="宋体"/>
          <w:color w:val="auto"/>
          <w:sz w:val="36"/>
          <w:szCs w:val="36"/>
          <w:highlight w:val="none"/>
          <w:u w:val="single"/>
        </w:rPr>
      </w:pPr>
    </w:p>
    <w:p>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napToGrid w:val="0"/>
        <w:spacing w:line="360" w:lineRule="auto"/>
        <w:jc w:val="center"/>
        <w:rPr>
          <w:rFonts w:ascii="宋体" w:hAnsi="宋体" w:cs="宋体"/>
          <w:color w:val="auto"/>
          <w:sz w:val="32"/>
          <w:szCs w:val="32"/>
          <w:highlight w:val="none"/>
        </w:rPr>
      </w:pPr>
    </w:p>
    <w:p>
      <w:pPr>
        <w:snapToGrid w:val="0"/>
        <w:spacing w:line="360" w:lineRule="auto"/>
        <w:ind w:firstLine="2560" w:firstLineChars="800"/>
        <w:rPr>
          <w:rFonts w:ascii="宋体" w:hAnsi="宋体" w:cs="宋体"/>
          <w:color w:val="auto"/>
          <w:sz w:val="32"/>
          <w:szCs w:val="32"/>
          <w:highlight w:val="none"/>
        </w:rPr>
      </w:pPr>
    </w:p>
    <w:p>
      <w:pPr>
        <w:rPr>
          <w:rFonts w:ascii="宋体" w:hAnsi="宋体" w:cs="宋体"/>
          <w:color w:val="auto"/>
          <w:sz w:val="32"/>
          <w:szCs w:val="32"/>
          <w:highlight w:val="none"/>
        </w:rPr>
      </w:pPr>
    </w:p>
    <w:p>
      <w:pPr>
        <w:rPr>
          <w:rStyle w:val="37"/>
          <w:rFonts w:ascii="宋体" w:hAnsi="宋体" w:cs="宋体"/>
          <w:b/>
          <w:bCs/>
          <w:color w:val="auto"/>
          <w:szCs w:val="21"/>
          <w:highlight w:val="none"/>
          <w:u w:val="none"/>
        </w:rPr>
      </w:pPr>
    </w:p>
    <w:p>
      <w:pPr>
        <w:snapToGrid w:val="0"/>
        <w:spacing w:line="360" w:lineRule="auto"/>
        <w:ind w:firstLine="1200" w:firstLineChars="400"/>
        <w:rPr>
          <w:rFonts w:ascii="宋体" w:hAnsi="宋体" w:cs="宋体"/>
          <w:color w:val="auto"/>
          <w:sz w:val="30"/>
          <w:szCs w:val="30"/>
          <w:highlight w:val="none"/>
        </w:rPr>
      </w:pPr>
    </w:p>
    <w:p>
      <w:pPr>
        <w:pStyle w:val="17"/>
        <w:snapToGrid w:val="0"/>
        <w:spacing w:line="360" w:lineRule="auto"/>
        <w:rPr>
          <w:rFonts w:hAnsi="宋体" w:cs="宋体"/>
          <w:color w:val="auto"/>
          <w:highlight w:val="none"/>
        </w:rPr>
      </w:pPr>
    </w:p>
    <w:p>
      <w:pPr>
        <w:snapToGrid w:val="0"/>
        <w:spacing w:line="360" w:lineRule="auto"/>
        <w:ind w:firstLine="639" w:firstLineChars="213"/>
        <w:rPr>
          <w:rFonts w:hint="eastAsia" w:ascii="宋体" w:hAnsi="宋体" w:eastAsia="宋体" w:cs="宋体"/>
          <w:color w:val="auto"/>
          <w:spacing w:val="-2"/>
          <w:sz w:val="30"/>
          <w:szCs w:val="30"/>
          <w:highlight w:val="none"/>
          <w:lang w:eastAsia="zh-CN"/>
        </w:rPr>
      </w:pPr>
      <w:r>
        <w:rPr>
          <w:rFonts w:hint="eastAsia" w:ascii="宋体" w:hAnsi="宋体" w:cs="宋体"/>
          <w:color w:val="auto"/>
          <w:sz w:val="30"/>
          <w:szCs w:val="30"/>
          <w:highlight w:val="none"/>
        </w:rPr>
        <w:t>招标单位：</w:t>
      </w:r>
      <w:r>
        <w:rPr>
          <w:rFonts w:hint="eastAsia" w:ascii="宋体" w:hAnsi="宋体" w:cs="宋体"/>
          <w:color w:val="auto"/>
          <w:spacing w:val="-2"/>
          <w:sz w:val="30"/>
          <w:szCs w:val="30"/>
          <w:highlight w:val="none"/>
          <w:lang w:eastAsia="zh-CN"/>
        </w:rPr>
        <w:t>广州松瓴企业管理有限公司</w:t>
      </w:r>
    </w:p>
    <w:p>
      <w:pPr>
        <w:snapToGrid w:val="0"/>
        <w:spacing w:line="360" w:lineRule="auto"/>
        <w:ind w:firstLine="639" w:firstLineChars="21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广州市广州工程建设监理有限公司</w:t>
      </w:r>
    </w:p>
    <w:p>
      <w:pPr>
        <w:snapToGrid w:val="0"/>
        <w:spacing w:line="360" w:lineRule="auto"/>
        <w:ind w:firstLine="639" w:firstLineChars="213"/>
        <w:rPr>
          <w:rFonts w:ascii="宋体" w:hAnsi="宋体" w:cs="宋体"/>
          <w:color w:val="auto"/>
          <w:sz w:val="30"/>
          <w:szCs w:val="30"/>
          <w:highlight w:val="none"/>
          <w:u w:val="single"/>
        </w:rPr>
      </w:pPr>
      <w:r>
        <w:rPr>
          <w:rFonts w:hint="eastAsia" w:ascii="宋体" w:hAnsi="宋体" w:cs="宋体"/>
          <w:color w:val="auto"/>
          <w:sz w:val="30"/>
          <w:szCs w:val="30"/>
          <w:highlight w:val="none"/>
        </w:rPr>
        <w:t>日期：2025年</w:t>
      </w:r>
      <w:r>
        <w:rPr>
          <w:rFonts w:hint="eastAsia" w:ascii="宋体" w:hAnsi="宋体" w:cs="宋体"/>
          <w:color w:val="auto"/>
          <w:sz w:val="30"/>
          <w:szCs w:val="30"/>
          <w:highlight w:val="none"/>
          <w:lang w:val="en-US" w:eastAsia="zh-CN"/>
        </w:rPr>
        <w:t>9</w:t>
      </w:r>
      <w:r>
        <w:rPr>
          <w:rFonts w:hint="eastAsia" w:ascii="宋体" w:hAnsi="宋体" w:cs="宋体"/>
          <w:color w:val="auto"/>
          <w:sz w:val="30"/>
          <w:szCs w:val="30"/>
          <w:highlight w:val="none"/>
        </w:rPr>
        <w:t>月</w:t>
      </w:r>
    </w:p>
    <w:p>
      <w:pPr>
        <w:pStyle w:val="25"/>
        <w:spacing w:line="240" w:lineRule="auto"/>
        <w:ind w:left="0" w:leftChars="0"/>
        <w:jc w:val="both"/>
        <w:rPr>
          <w:color w:val="auto"/>
          <w:sz w:val="21"/>
          <w:szCs w:val="21"/>
          <w:highlight w:val="none"/>
        </w:rPr>
      </w:pPr>
    </w:p>
    <w:p>
      <w:pPr>
        <w:snapToGrid w:val="0"/>
        <w:rPr>
          <w:rStyle w:val="37"/>
          <w:rFonts w:ascii="宋体" w:hAnsi="宋体" w:cs="宋体"/>
          <w:b/>
          <w:bCs/>
          <w:color w:val="auto"/>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cols w:space="720" w:num="1"/>
          <w:titlePg/>
          <w:docGrid w:type="lines" w:linePitch="312" w:charSpace="0"/>
        </w:sectPr>
      </w:pPr>
    </w:p>
    <w:p>
      <w:pPr>
        <w:snapToGrid w:val="0"/>
        <w:rPr>
          <w:rStyle w:val="37"/>
          <w:rFonts w:ascii="宋体" w:hAnsi="宋体" w:cs="宋体"/>
          <w:b/>
          <w:bCs/>
          <w:color w:val="auto"/>
          <w:szCs w:val="21"/>
          <w:highlight w:val="none"/>
          <w:u w:val="none"/>
        </w:rPr>
      </w:pPr>
    </w:p>
    <w:p>
      <w:pPr>
        <w:snapToGrid w:val="0"/>
        <w:spacing w:line="360" w:lineRule="auto"/>
        <w:jc w:val="center"/>
        <w:rPr>
          <w:rStyle w:val="37"/>
          <w:rFonts w:ascii="宋体" w:hAnsi="宋体" w:cs="宋体"/>
          <w:b/>
          <w:bCs/>
          <w:color w:val="auto"/>
          <w:sz w:val="36"/>
          <w:szCs w:val="36"/>
          <w:highlight w:val="none"/>
        </w:rPr>
      </w:pPr>
      <w:r>
        <w:rPr>
          <w:rStyle w:val="37"/>
          <w:rFonts w:hint="eastAsia" w:ascii="宋体" w:hAnsi="宋体" w:cs="宋体"/>
          <w:b/>
          <w:bCs/>
          <w:color w:val="auto"/>
          <w:sz w:val="36"/>
          <w:szCs w:val="36"/>
          <w:highlight w:val="none"/>
          <w:u w:val="none"/>
        </w:rPr>
        <w:t>目</w:t>
      </w:r>
      <w:r>
        <w:rPr>
          <w:rStyle w:val="37"/>
          <w:rFonts w:hint="eastAsia" w:ascii="宋体" w:hAnsi="宋体" w:cs="宋体"/>
          <w:b/>
          <w:bCs/>
          <w:color w:val="auto"/>
          <w:sz w:val="36"/>
          <w:szCs w:val="36"/>
          <w:highlight w:val="none"/>
          <w:u w:val="none"/>
          <w:lang w:val="en-US" w:eastAsia="zh-CN"/>
        </w:rPr>
        <w:t xml:space="preserve">  </w:t>
      </w:r>
      <w:r>
        <w:rPr>
          <w:rStyle w:val="37"/>
          <w:rFonts w:hint="eastAsia" w:ascii="宋体" w:hAnsi="宋体" w:cs="宋体"/>
          <w:b/>
          <w:bCs/>
          <w:color w:val="auto"/>
          <w:sz w:val="36"/>
          <w:szCs w:val="36"/>
          <w:highlight w:val="none"/>
          <w:u w:val="none"/>
        </w:rPr>
        <w:t>录</w:t>
      </w:r>
    </w:p>
    <w:p>
      <w:pPr>
        <w:snapToGrid w:val="0"/>
        <w:spacing w:line="360" w:lineRule="auto"/>
        <w:jc w:val="center"/>
        <w:rPr>
          <w:rFonts w:ascii="宋体" w:hAnsi="宋体" w:cs="宋体"/>
          <w:b/>
          <w:caps/>
          <w:color w:val="auto"/>
          <w:kern w:val="0"/>
          <w:sz w:val="36"/>
          <w:szCs w:val="36"/>
          <w:highlight w:val="none"/>
        </w:rPr>
      </w:pPr>
    </w:p>
    <w:p>
      <w:pPr>
        <w:pStyle w:val="23"/>
        <w:tabs>
          <w:tab w:val="right" w:leader="dot" w:pos="9040"/>
          <w:tab w:val="clear" w:pos="9060"/>
        </w:tabs>
        <w:rPr>
          <w:rFonts w:cs="宋体"/>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cs="宋体"/>
          <w:bCs/>
          <w:color w:val="auto"/>
          <w:highlight w:val="none"/>
        </w:rPr>
        <w:t>第一章</w:t>
      </w:r>
      <w:r>
        <w:rPr>
          <w:rFonts w:hint="eastAsia" w:cs="宋体"/>
          <w:bCs/>
          <w:color w:val="auto"/>
          <w:highlight w:val="none"/>
          <w:lang w:val="en-US" w:eastAsia="zh-CN"/>
        </w:rPr>
        <w:t xml:space="preserve">  </w:t>
      </w:r>
      <w:r>
        <w:rPr>
          <w:rFonts w:hint="eastAsia" w:cs="宋体"/>
          <w:bCs/>
          <w:color w:val="auto"/>
          <w:highlight w:val="none"/>
        </w:rPr>
        <w:t>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_Toc6280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"_Toc27735"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_Toc27735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"_Toc6608" </w:instrText>
      </w:r>
      <w:r>
        <w:rPr>
          <w:color w:val="auto"/>
          <w:highlight w:val="none"/>
        </w:rPr>
        <w:fldChar w:fldCharType="separate"/>
      </w: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_Toc6608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"_Toc12947" </w:instrText>
      </w:r>
      <w:r>
        <w:rPr>
          <w:color w:val="auto"/>
          <w:highlight w:val="none"/>
        </w:rPr>
        <w:fldChar w:fldCharType="separate"/>
      </w: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_Toc12947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"_Toc32111"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_Toc32111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_Toc32542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_Toc24057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_Toc13732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"_Toc12835" </w:instrText>
      </w:r>
      <w:r>
        <w:rPr>
          <w:color w:val="auto"/>
          <w:highlight w:val="none"/>
        </w:rPr>
        <w:fldChar w:fldCharType="separate"/>
      </w:r>
      <w:r>
        <w:rPr>
          <w:rFonts w:hint="eastAsia" w:cs="宋体"/>
          <w:bCs/>
          <w:color w:val="auto"/>
          <w:szCs w:val="24"/>
          <w:highlight w:val="none"/>
        </w:rPr>
        <w:t>第二章</w:t>
      </w:r>
      <w:r>
        <w:rPr>
          <w:rFonts w:hint="eastAsia" w:cs="宋体"/>
          <w:bCs/>
          <w:color w:val="auto"/>
          <w:szCs w:val="24"/>
          <w:highlight w:val="none"/>
          <w:lang w:val="en-US" w:eastAsia="zh-CN"/>
        </w:rPr>
        <w:t xml:space="preserve">  </w:t>
      </w:r>
      <w:r>
        <w:rPr>
          <w:rFonts w:hint="eastAsia" w:cs="宋体"/>
          <w:bCs/>
          <w:color w:val="auto"/>
          <w:szCs w:val="24"/>
          <w:highlight w:val="none"/>
        </w:rPr>
        <w:t>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_Toc12835 \h </w:instrText>
      </w:r>
      <w:r>
        <w:rPr>
          <w:rFonts w:hint="eastAsia" w:cs="宋体"/>
          <w:color w:val="auto"/>
          <w:highlight w:val="none"/>
        </w:rPr>
        <w:fldChar w:fldCharType="separate"/>
      </w:r>
      <w:r>
        <w:rPr>
          <w:rFonts w:hint="eastAsia" w:cs="宋体"/>
          <w:color w:val="auto"/>
          <w:highlight w:val="none"/>
        </w:rPr>
        <w:t>32</w:t>
      </w:r>
      <w:r>
        <w:rPr>
          <w:rFonts w:hint="eastAsia" w:cs="宋体"/>
          <w:color w:val="auto"/>
          <w:highlight w:val="none"/>
        </w:rPr>
        <w:fldChar w:fldCharType="end"/>
      </w:r>
      <w:r>
        <w:rPr>
          <w:rFonts w:hint="eastAsia" w:cs="宋体"/>
          <w:color w:val="auto"/>
          <w:highlight w:val="none"/>
        </w:rPr>
        <w:fldChar w:fldCharType="end"/>
      </w:r>
    </w:p>
    <w:p>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"_Toc20882" </w:instrText>
      </w:r>
      <w:r>
        <w:rPr>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_Toc20882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"_Toc5678"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_Toc5678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"_Toc31373" </w:instrText>
      </w:r>
      <w:r>
        <w:rPr>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_Toc31373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"_Toc9740" </w:instrText>
      </w:r>
      <w:r>
        <w:rPr>
          <w:color w:val="auto"/>
          <w:highlight w:val="none"/>
        </w:rPr>
        <w:fldChar w:fldCharType="separate"/>
      </w: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_Toc9740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"_Toc3121" </w:instrText>
      </w:r>
      <w:r>
        <w:rPr>
          <w:color w:val="auto"/>
          <w:highlight w:val="none"/>
        </w:rPr>
        <w:fldChar w:fldCharType="separate"/>
      </w:r>
      <w:r>
        <w:rPr>
          <w:rFonts w:hint="eastAsia" w:ascii="宋体" w:hAnsi="宋体" w:cs="宋体"/>
          <w:color w:val="auto"/>
          <w:szCs w:val="24"/>
          <w:highlight w:val="none"/>
        </w:rPr>
        <w:t>可选办法八（适合经评审的最低投标价法，技术标与经济标同时开启）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_Toc3121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"_Toc5789" </w:instrText>
      </w:r>
      <w:r>
        <w:rPr>
          <w:color w:val="auto"/>
          <w:highlight w:val="none"/>
        </w:rPr>
        <w:fldChar w:fldCharType="separate"/>
      </w:r>
      <w:r>
        <w:rPr>
          <w:rFonts w:hint="eastAsia" w:cs="宋体"/>
          <w:color w:val="auto"/>
          <w:szCs w:val="44"/>
          <w:highlight w:val="none"/>
        </w:rPr>
        <w:t>第三章</w:t>
      </w:r>
      <w:r>
        <w:rPr>
          <w:rFonts w:hint="eastAsia" w:cs="宋体"/>
          <w:color w:val="auto"/>
          <w:szCs w:val="44"/>
          <w:highlight w:val="none"/>
          <w:lang w:val="en-US" w:eastAsia="zh-CN"/>
        </w:rPr>
        <w:t xml:space="preserve">  </w:t>
      </w:r>
      <w:r>
        <w:rPr>
          <w:rFonts w:hint="eastAsia" w:cs="宋体"/>
          <w:color w:val="auto"/>
          <w:szCs w:val="44"/>
          <w:highlight w:val="none"/>
        </w:rPr>
        <w:t>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_Toc5789 \h </w:instrText>
      </w:r>
      <w:r>
        <w:rPr>
          <w:rFonts w:hint="eastAsia" w:cs="宋体"/>
          <w:color w:val="auto"/>
          <w:highlight w:val="none"/>
        </w:rPr>
        <w:fldChar w:fldCharType="separate"/>
      </w:r>
      <w:r>
        <w:rPr>
          <w:rFonts w:hint="eastAsia" w:cs="宋体"/>
          <w:color w:val="auto"/>
          <w:highlight w:val="none"/>
        </w:rPr>
        <w:t>65</w:t>
      </w:r>
      <w:r>
        <w:rPr>
          <w:rFonts w:hint="eastAsia" w:cs="宋体"/>
          <w:color w:val="auto"/>
          <w:highlight w:val="none"/>
        </w:rPr>
        <w:fldChar w:fldCharType="end"/>
      </w:r>
      <w:r>
        <w:rPr>
          <w:rFonts w:hint="eastAsia"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"_Toc30083" </w:instrText>
      </w:r>
      <w:r>
        <w:rPr>
          <w:color w:val="auto"/>
          <w:highlight w:val="none"/>
        </w:rPr>
        <w:fldChar w:fldCharType="separate"/>
      </w:r>
      <w:r>
        <w:rPr>
          <w:rFonts w:hint="eastAsia" w:cs="宋体"/>
          <w:color w:val="auto"/>
          <w:highlight w:val="none"/>
        </w:rPr>
        <w:t>第四章</w:t>
      </w:r>
      <w:r>
        <w:rPr>
          <w:rFonts w:hint="eastAsia" w:cs="宋体"/>
          <w:color w:val="auto"/>
          <w:highlight w:val="none"/>
          <w:lang w:val="en-US" w:eastAsia="zh-CN"/>
        </w:rPr>
        <w:t xml:space="preserve">  </w:t>
      </w:r>
      <w:r>
        <w:rPr>
          <w:rFonts w:hint="eastAsia" w:cs="宋体"/>
          <w:color w:val="auto"/>
          <w:highlight w:val="none"/>
        </w:rPr>
        <w:t>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_Toc30083 \h </w:instrText>
      </w:r>
      <w:r>
        <w:rPr>
          <w:rFonts w:hint="eastAsia" w:cs="宋体"/>
          <w:color w:val="auto"/>
          <w:highlight w:val="none"/>
        </w:rPr>
        <w:fldChar w:fldCharType="separate"/>
      </w:r>
      <w:r>
        <w:rPr>
          <w:rFonts w:hint="eastAsia" w:cs="宋体"/>
          <w:color w:val="auto"/>
          <w:highlight w:val="none"/>
        </w:rPr>
        <w:t>66</w:t>
      </w:r>
      <w:r>
        <w:rPr>
          <w:rFonts w:hint="eastAsia" w:cs="宋体"/>
          <w:color w:val="auto"/>
          <w:highlight w:val="none"/>
        </w:rPr>
        <w:fldChar w:fldCharType="end"/>
      </w:r>
      <w:r>
        <w:rPr>
          <w:rFonts w:hint="eastAsia"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"_Toc9312" </w:instrText>
      </w:r>
      <w:r>
        <w:rPr>
          <w:color w:val="auto"/>
          <w:highlight w:val="none"/>
        </w:rPr>
        <w:fldChar w:fldCharType="separate"/>
      </w:r>
      <w:r>
        <w:rPr>
          <w:rFonts w:hint="eastAsia" w:cs="宋体"/>
          <w:color w:val="auto"/>
          <w:szCs w:val="24"/>
          <w:highlight w:val="none"/>
        </w:rPr>
        <w:t>第五章</w:t>
      </w:r>
      <w:r>
        <w:rPr>
          <w:rFonts w:hint="eastAsia" w:cs="宋体"/>
          <w:color w:val="auto"/>
          <w:szCs w:val="24"/>
          <w:highlight w:val="none"/>
          <w:lang w:val="en-US" w:eastAsia="zh-CN"/>
        </w:rPr>
        <w:t xml:space="preserve">  </w:t>
      </w:r>
      <w:r>
        <w:rPr>
          <w:rFonts w:hint="eastAsia" w:cs="宋体"/>
          <w:color w:val="auto"/>
          <w:szCs w:val="24"/>
          <w:highlight w:val="none"/>
        </w:rPr>
        <w:t>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_Toc9312 \h </w:instrText>
      </w:r>
      <w:r>
        <w:rPr>
          <w:rFonts w:hint="eastAsia" w:cs="宋体"/>
          <w:color w:val="auto"/>
          <w:highlight w:val="none"/>
        </w:rPr>
        <w:fldChar w:fldCharType="separate"/>
      </w:r>
      <w:r>
        <w:rPr>
          <w:rFonts w:hint="eastAsia" w:cs="宋体"/>
          <w:color w:val="auto"/>
          <w:highlight w:val="none"/>
        </w:rPr>
        <w:t>78</w:t>
      </w:r>
      <w:r>
        <w:rPr>
          <w:rFonts w:hint="eastAsia" w:cs="宋体"/>
          <w:color w:val="auto"/>
          <w:highlight w:val="none"/>
        </w:rPr>
        <w:fldChar w:fldCharType="end"/>
      </w:r>
      <w:r>
        <w:rPr>
          <w:rFonts w:hint="eastAsia"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"_Toc9353" </w:instrText>
      </w:r>
      <w:r>
        <w:rPr>
          <w:color w:val="auto"/>
          <w:highlight w:val="none"/>
        </w:rPr>
        <w:fldChar w:fldCharType="separate"/>
      </w:r>
      <w:r>
        <w:rPr>
          <w:rFonts w:hint="eastAsia" w:cs="宋体"/>
          <w:color w:val="auto"/>
          <w:szCs w:val="24"/>
          <w:highlight w:val="none"/>
        </w:rPr>
        <w:t>第六章</w:t>
      </w:r>
      <w:r>
        <w:rPr>
          <w:rFonts w:hint="eastAsia" w:cs="宋体"/>
          <w:color w:val="auto"/>
          <w:szCs w:val="24"/>
          <w:highlight w:val="none"/>
          <w:lang w:val="en-US" w:eastAsia="zh-CN"/>
        </w:rPr>
        <w:t xml:space="preserve">  </w:t>
      </w:r>
      <w:r>
        <w:rPr>
          <w:rFonts w:hint="eastAsia" w:cs="宋体"/>
          <w:color w:val="auto"/>
          <w:szCs w:val="24"/>
          <w:highlight w:val="none"/>
        </w:rPr>
        <w:t>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_Toc9353 \h </w:instrText>
      </w:r>
      <w:r>
        <w:rPr>
          <w:rFonts w:hint="eastAsia" w:cs="宋体"/>
          <w:color w:val="auto"/>
          <w:highlight w:val="none"/>
        </w:rPr>
        <w:fldChar w:fldCharType="separate"/>
      </w:r>
      <w:r>
        <w:rPr>
          <w:rFonts w:hint="eastAsia" w:cs="宋体"/>
          <w:color w:val="auto"/>
          <w:highlight w:val="none"/>
        </w:rPr>
        <w:t>81</w:t>
      </w:r>
      <w:r>
        <w:rPr>
          <w:rFonts w:hint="eastAsia" w:cs="宋体"/>
          <w:color w:val="auto"/>
          <w:highlight w:val="none"/>
        </w:rPr>
        <w:fldChar w:fldCharType="end"/>
      </w:r>
      <w:r>
        <w:rPr>
          <w:rFonts w:hint="eastAsia"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"_Toc22481" </w:instrText>
      </w:r>
      <w:r>
        <w:rPr>
          <w:color w:val="auto"/>
          <w:highlight w:val="none"/>
        </w:rPr>
        <w:fldChar w:fldCharType="separate"/>
      </w:r>
      <w:r>
        <w:rPr>
          <w:rFonts w:hint="eastAsia" w:cs="宋体"/>
          <w:color w:val="auto"/>
          <w:szCs w:val="24"/>
          <w:highlight w:val="none"/>
        </w:rPr>
        <w:t>第七章</w:t>
      </w:r>
      <w:r>
        <w:rPr>
          <w:rFonts w:hint="eastAsia" w:cs="宋体"/>
          <w:color w:val="auto"/>
          <w:szCs w:val="24"/>
          <w:highlight w:val="none"/>
          <w:lang w:val="en-US" w:eastAsia="zh-CN"/>
        </w:rPr>
        <w:t xml:space="preserve">  </w:t>
      </w:r>
      <w:r>
        <w:rPr>
          <w:rFonts w:hint="eastAsia" w:cs="宋体"/>
          <w:color w:val="auto"/>
          <w:szCs w:val="24"/>
          <w:highlight w:val="none"/>
        </w:rPr>
        <w:t>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_Toc22481 \h </w:instrText>
      </w:r>
      <w:r>
        <w:rPr>
          <w:rFonts w:hint="eastAsia" w:cs="宋体"/>
          <w:color w:val="auto"/>
          <w:highlight w:val="none"/>
        </w:rPr>
        <w:fldChar w:fldCharType="separate"/>
      </w:r>
      <w:r>
        <w:rPr>
          <w:rFonts w:hint="eastAsia" w:cs="宋体"/>
          <w:color w:val="auto"/>
          <w:highlight w:val="none"/>
        </w:rPr>
        <w:t>82</w:t>
      </w:r>
      <w:r>
        <w:rPr>
          <w:rFonts w:hint="eastAsia" w:cs="宋体"/>
          <w:color w:val="auto"/>
          <w:highlight w:val="none"/>
        </w:rPr>
        <w:fldChar w:fldCharType="end"/>
      </w:r>
      <w:r>
        <w:rPr>
          <w:rFonts w:hint="eastAsia" w:cs="宋体"/>
          <w:color w:val="auto"/>
          <w:highlight w:val="none"/>
        </w:rPr>
        <w:fldChar w:fldCharType="end"/>
      </w:r>
    </w:p>
    <w:p>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cs="宋体"/>
          <w:color w:val="auto"/>
          <w:szCs w:val="24"/>
          <w:highlight w:val="none"/>
        </w:rPr>
        <w:t>第八章</w:t>
      </w:r>
      <w:r>
        <w:rPr>
          <w:rFonts w:hint="eastAsia" w:cs="宋体"/>
          <w:color w:val="auto"/>
          <w:szCs w:val="24"/>
          <w:highlight w:val="none"/>
          <w:lang w:val="en-US" w:eastAsia="zh-CN"/>
        </w:rPr>
        <w:t xml:space="preserve">  </w:t>
      </w:r>
      <w:r>
        <w:rPr>
          <w:rFonts w:hint="eastAsia" w:cs="宋体"/>
          <w:color w:val="auto"/>
          <w:szCs w:val="24"/>
          <w:highlight w:val="none"/>
        </w:rPr>
        <w:t>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_Toc3710 \h </w:instrText>
      </w:r>
      <w:r>
        <w:rPr>
          <w:rFonts w:hint="eastAsia" w:cs="宋体"/>
          <w:color w:val="auto"/>
          <w:highlight w:val="none"/>
        </w:rPr>
        <w:fldChar w:fldCharType="separate"/>
      </w:r>
      <w:r>
        <w:rPr>
          <w:rFonts w:hint="eastAsia" w:cs="宋体"/>
          <w:color w:val="auto"/>
          <w:highlight w:val="none"/>
        </w:rPr>
        <w:t>83</w:t>
      </w:r>
      <w:r>
        <w:rPr>
          <w:rFonts w:hint="eastAsia" w:cs="宋体"/>
          <w:color w:val="auto"/>
          <w:highlight w:val="none"/>
        </w:rPr>
        <w:fldChar w:fldCharType="end"/>
      </w:r>
      <w:r>
        <w:rPr>
          <w:rFonts w:hint="eastAsia" w:cs="宋体"/>
          <w:color w:val="auto"/>
          <w:highlight w:val="none"/>
        </w:rPr>
        <w:fldChar w:fldCharType="end"/>
      </w:r>
    </w:p>
    <w:p>
      <w:pPr>
        <w:pStyle w:val="30"/>
        <w:rPr>
          <w:rFonts w:ascii="宋体" w:hAnsi="宋体" w:cs="宋体"/>
          <w:color w:val="auto"/>
          <w:highlight w:val="none"/>
        </w:rPr>
      </w:pPr>
      <w:r>
        <w:rPr>
          <w:rFonts w:hint="eastAsia" w:ascii="宋体" w:hAnsi="宋体" w:cs="宋体"/>
          <w:color w:val="auto"/>
          <w:szCs w:val="24"/>
          <w:highlight w:val="none"/>
        </w:rPr>
        <w:fldChar w:fldCharType="end"/>
      </w:r>
    </w:p>
    <w:p>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4"/>
        <w:snapToGrid w:val="0"/>
        <w:spacing w:before="0" w:after="0"/>
        <w:jc w:val="center"/>
        <w:rPr>
          <w:rFonts w:ascii="宋体" w:hAnsi="宋体" w:cs="宋体"/>
          <w:b/>
          <w:bCs w:val="0"/>
          <w:color w:val="auto"/>
          <w:sz w:val="32"/>
          <w:szCs w:val="32"/>
          <w:highlight w:val="none"/>
        </w:rPr>
      </w:pPr>
      <w:bookmarkStart w:id="0" w:name="_Toc6280"/>
      <w:r>
        <w:rPr>
          <w:rFonts w:hint="eastAsia" w:ascii="宋体" w:hAnsi="宋体" w:cs="宋体"/>
          <w:b/>
          <w:bCs w:val="0"/>
          <w:color w:val="auto"/>
          <w:sz w:val="32"/>
          <w:szCs w:val="32"/>
          <w:highlight w:val="none"/>
        </w:rPr>
        <w:t>第一章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投标须知</w:t>
      </w:r>
      <w:bookmarkEnd w:id="0"/>
    </w:p>
    <w:p>
      <w:pPr>
        <w:pStyle w:val="5"/>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pPr>
        <w:pStyle w:val="13"/>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2"/>
        <w:tblW w:w="932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4"/>
        <w:gridCol w:w="1823"/>
        <w:gridCol w:w="5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7" w:type="dxa"/>
            <w:tcBorders>
              <w:top w:val="double" w:color="auto" w:sz="4" w:space="0"/>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4" w:type="dxa"/>
            <w:tcBorders>
              <w:top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823" w:type="dxa"/>
            <w:tcBorders>
              <w:top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5900" w:type="dxa"/>
            <w:tcBorders>
              <w:top w:val="double" w:color="auto" w:sz="4" w:space="0"/>
              <w:right w:val="double" w:color="auto" w:sz="4" w:space="0"/>
            </w:tcBorders>
            <w:noWrap/>
            <w:vAlign w:val="center"/>
          </w:tcPr>
          <w:p>
            <w:pPr>
              <w:pStyle w:val="18"/>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定义</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广州松瓴企业管理有限公司</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广州市广州工程建设监理有限公司</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深圳市中深建装饰设计工程有限公司</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广州市市政工程监理有限公司</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工程名称</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eastAsia="zh-CN"/>
              </w:rPr>
              <w:t>星际云汇二期项目负一层公区装修工程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广州市黄埔区萝岗街道开创大道以南、荔红二路以西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建设规模</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w:t>
            </w:r>
            <w:r>
              <w:rPr>
                <w:rFonts w:hint="eastAsia" w:ascii="宋体" w:hAnsi="宋体" w:cs="宋体"/>
                <w:color w:val="auto"/>
                <w:szCs w:val="21"/>
                <w:highlight w:val="none"/>
                <w:u w:val="single"/>
                <w:lang w:val="en-US" w:eastAsia="zh-CN"/>
              </w:rPr>
              <w:t>设计</w:t>
            </w:r>
            <w:r>
              <w:rPr>
                <w:rFonts w:hint="eastAsia" w:ascii="宋体" w:hAnsi="宋体" w:cs="宋体"/>
                <w:color w:val="auto"/>
                <w:szCs w:val="21"/>
                <w:highlight w:val="none"/>
                <w:u w:val="single"/>
              </w:rPr>
              <w:t>图纸</w:t>
            </w:r>
            <w:r>
              <w:rPr>
                <w:rFonts w:hint="eastAsia" w:ascii="宋体" w:hAnsi="宋体" w:cs="宋体"/>
                <w:color w:val="auto"/>
                <w:szCs w:val="21"/>
                <w:highlight w:val="none"/>
                <w:u w:val="single"/>
                <w:lang w:val="en-US" w:eastAsia="zh-CN"/>
              </w:rPr>
              <w:t>及</w:t>
            </w:r>
            <w:r>
              <w:rPr>
                <w:rFonts w:hint="eastAsia" w:ascii="宋体" w:hAnsi="宋体" w:cs="宋体"/>
                <w:color w:val="auto"/>
                <w:szCs w:val="21"/>
                <w:highlight w:val="none"/>
                <w:u w:val="single"/>
              </w:rPr>
              <w:t>工程量清单为准。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承包方式</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包工、包料、包机械、包工期、包质量、包安全、包文明施工、包深化设计、包工人工资、包劳保、包调试、包验收、包检测通过、包综合治理、包保修、包税费、包清淤及场地清洁费。工程量清单综合单价包干、项目措施费及其他项目费用总价包干，合同专用条款另有规定的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质量标准</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执行国家、省或行业现行的工程建设质量验收标准及规范，须达到合格验收质量等级标准。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w:t>
            </w:r>
            <w:r>
              <w:rPr>
                <w:rFonts w:hint="eastAsia" w:ascii="宋体" w:hAnsi="宋体" w:cs="宋体"/>
                <w:color w:val="auto"/>
                <w:szCs w:val="21"/>
                <w:highlight w:val="none"/>
                <w:u w:val="single"/>
                <w:lang w:val="en-US" w:eastAsia="zh-CN"/>
              </w:rPr>
              <w:t>设计</w:t>
            </w:r>
            <w:r>
              <w:rPr>
                <w:rFonts w:hint="eastAsia" w:ascii="宋体" w:hAnsi="宋体" w:cs="宋体"/>
                <w:color w:val="auto"/>
                <w:szCs w:val="21"/>
                <w:highlight w:val="none"/>
                <w:u w:val="single"/>
              </w:rPr>
              <w:t>图纸</w:t>
            </w:r>
            <w:r>
              <w:rPr>
                <w:rFonts w:hint="eastAsia" w:ascii="宋体" w:hAnsi="宋体" w:cs="宋体"/>
                <w:color w:val="auto"/>
                <w:szCs w:val="21"/>
                <w:highlight w:val="none"/>
                <w:u w:val="single"/>
                <w:lang w:val="en-US" w:eastAsia="zh-CN"/>
              </w:rPr>
              <w:t>及</w:t>
            </w:r>
            <w:r>
              <w:rPr>
                <w:rFonts w:hint="eastAsia" w:ascii="宋体" w:hAnsi="宋体" w:cs="宋体"/>
                <w:color w:val="auto"/>
                <w:szCs w:val="21"/>
                <w:highlight w:val="none"/>
                <w:u w:val="single"/>
              </w:rPr>
              <w:t>工程量清单为准。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工期要求</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日计划开工，施工总期：</w:t>
            </w:r>
            <w:r>
              <w:rPr>
                <w:rFonts w:hint="eastAsia" w:ascii="宋体" w:hAnsi="宋体" w:cs="宋体"/>
                <w:color w:val="auto"/>
                <w:szCs w:val="21"/>
                <w:highlight w:val="none"/>
                <w:u w:val="single"/>
                <w:lang w:val="en-US" w:eastAsia="zh-CN"/>
              </w:rPr>
              <w:t xml:space="preserve"> 75 </w:t>
            </w:r>
            <w:r>
              <w:rPr>
                <w:rFonts w:hint="eastAsia" w:ascii="宋体" w:hAnsi="宋体" w:cs="宋体"/>
                <w:color w:val="auto"/>
                <w:szCs w:val="21"/>
                <w:highlight w:val="none"/>
              </w:rPr>
              <w:t>日历天。</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注：本工程正式签署合同时，施工工期按中标投标文件承诺工期。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资金来源</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eastAsia="zh-CN"/>
              </w:rPr>
              <w:t>企业自筹资金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58"/>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none"/>
              </w:rPr>
              <w:t>，按国家、省有关计价规范执行。</w:t>
            </w:r>
            <w:bookmarkEnd w:id="2"/>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本项目不收投标保证金。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踏勘现场</w:t>
            </w:r>
          </w:p>
        </w:tc>
        <w:tc>
          <w:tcPr>
            <w:tcW w:w="5900" w:type="dxa"/>
            <w:tcBorders>
              <w:right w:val="double" w:color="auto" w:sz="4" w:space="0"/>
            </w:tcBorders>
            <w:noWrap/>
            <w:vAlign w:val="center"/>
          </w:tcPr>
          <w:p>
            <w:pPr>
              <w:pStyle w:val="18"/>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投标答疑</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3、投标人应在投标文件递交截止时间前通过广州交易集团有限公司（广州公共资源交易中心）电子招标投标交易平台递交电子投标文件。</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上述时间及地点是否有改变，请密切留意补充公告（如有）和招标澄清答疑纪要（如有）的相关信息。</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1823" w:type="dxa"/>
            <w:noWrap/>
            <w:vAlign w:val="center"/>
          </w:tcPr>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评标办法采用评定分离</w:t>
            </w:r>
          </w:p>
        </w:tc>
        <w:tc>
          <w:tcPr>
            <w:tcW w:w="5900" w:type="dxa"/>
            <w:tcBorders>
              <w:right w:val="double" w:color="auto" w:sz="4" w:space="0"/>
            </w:tcBorders>
            <w:noWrap/>
            <w:vAlign w:val="center"/>
          </w:tcPr>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采用评定分离评标定标办法：</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1、评标办法：采用“有限数量制评审法”</w:t>
            </w:r>
            <w:r>
              <w:rPr>
                <w:rFonts w:hint="eastAsia" w:ascii="宋体" w:hAnsi="宋体" w:cs="宋体"/>
                <w:color w:val="auto"/>
                <w:kern w:val="2"/>
                <w:sz w:val="21"/>
                <w:szCs w:val="21"/>
                <w:highlight w:val="none"/>
                <w:lang w:eastAsia="zh-CN"/>
              </w:rPr>
              <w:t>。</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（1）当通过有效性审查的投标人数＜3家时，招标人应重新招标。</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（2）当通过有效性审查的投标人数≥3家且≤5家时，则通过有效性审查的所有投标人全部进入定标阶段。</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（3）当通过有效性审查的投标人数＞5家时，则：</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①若经评审的投标报价介于经评审的最低投标价（含本数）与工程成本警戒价（含本数）之间的数量≥5家时，则经评审的投标报价介于经评审的最低投标价（含本数）与工程成本警戒价（含本数）之间的投标人全部进入定标阶段；</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②若经评审的投标报价介于经评审的最低投标价（含本数）与工程成本警戒价（含本数）之间的数量＜5家时，则按经评审的投标报价由低到高选取5家不排序的合格中标候选人进入定标阶段。</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进入定标阶段的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color w:val="auto"/>
                <w:kern w:val="2"/>
                <w:sz w:val="21"/>
                <w:szCs w:val="21"/>
                <w:highlight w:val="none"/>
                <w:lang w:val="en-US" w:eastAsia="zh-CN"/>
              </w:rPr>
              <w:t>。若为联合体投标，按联合体主办方的统一社会信用代码排序</w:t>
            </w:r>
            <w:r>
              <w:rPr>
                <w:rFonts w:hint="eastAsia" w:ascii="宋体" w:hAnsi="宋体" w:cs="宋体"/>
                <w:color w:val="auto"/>
                <w:kern w:val="2"/>
                <w:sz w:val="21"/>
                <w:szCs w:val="21"/>
                <w:highlight w:val="none"/>
              </w:rPr>
              <w:t>】。</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评标办法选用：选取方法八（适合经评审的最低投标价法，技术标与经济标同时开启），具体内容如下：</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1、只有满足招标文件实质性要求的投标人才能进入详细评审。通过投标人</w:t>
            </w:r>
            <w:r>
              <w:rPr>
                <w:rFonts w:hint="eastAsia" w:ascii="宋体" w:hAnsi="宋体" w:cs="宋体"/>
                <w:color w:val="auto"/>
                <w:kern w:val="2"/>
                <w:sz w:val="21"/>
                <w:szCs w:val="21"/>
                <w:highlight w:val="none"/>
                <w:lang w:eastAsia="zh-CN"/>
              </w:rPr>
              <w:t>（若为联合体</w:t>
            </w:r>
            <w:r>
              <w:rPr>
                <w:rFonts w:hint="eastAsia" w:ascii="宋体" w:hAnsi="宋体" w:cs="宋体"/>
                <w:color w:val="auto"/>
                <w:kern w:val="2"/>
                <w:sz w:val="21"/>
                <w:szCs w:val="21"/>
                <w:highlight w:val="none"/>
                <w:lang w:val="en-US" w:eastAsia="zh-CN"/>
              </w:rPr>
              <w:t>投标</w:t>
            </w:r>
            <w:r>
              <w:rPr>
                <w:rFonts w:hint="eastAsia" w:ascii="宋体" w:hAnsi="宋体" w:cs="宋体"/>
                <w:color w:val="auto"/>
                <w:kern w:val="2"/>
                <w:sz w:val="21"/>
                <w:szCs w:val="21"/>
                <w:highlight w:val="none"/>
                <w:lang w:eastAsia="zh-CN"/>
              </w:rPr>
              <w:t>，指联合体</w:t>
            </w:r>
            <w:r>
              <w:rPr>
                <w:rFonts w:hint="eastAsia" w:ascii="宋体" w:hAnsi="宋体" w:cs="宋体"/>
                <w:color w:val="auto"/>
                <w:kern w:val="2"/>
                <w:sz w:val="21"/>
                <w:szCs w:val="21"/>
                <w:highlight w:val="none"/>
                <w:lang w:val="en-US" w:eastAsia="zh-CN"/>
              </w:rPr>
              <w:t>主办方</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的信用情况[即按</w:t>
            </w:r>
            <w:r>
              <w:rPr>
                <w:rFonts w:hint="eastAsia" w:ascii="宋体" w:hAnsi="宋体" w:cs="宋体"/>
                <w:color w:val="auto"/>
                <w:kern w:val="2"/>
                <w:sz w:val="21"/>
                <w:szCs w:val="21"/>
                <w:highlight w:val="none"/>
                <w:lang w:eastAsia="zh-CN"/>
              </w:rPr>
              <w:t>投标企业在广州市住房和城乡建设局信用建设专栏诚信评价专栏投标截止当日公布的“施工企业房建诚信评价排名”表中的“60日诚信分”</w:t>
            </w:r>
            <w:r>
              <w:rPr>
                <w:rFonts w:hint="eastAsia" w:ascii="宋体" w:hAnsi="宋体" w:cs="宋体"/>
                <w:color w:val="auto"/>
                <w:kern w:val="2"/>
                <w:sz w:val="21"/>
                <w:szCs w:val="21"/>
                <w:highlight w:val="none"/>
              </w:rPr>
              <w:t>]对投标报价进行折算，以经评审的最低投标价作为推荐中标候选人的依据。</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在评标评审完成后，评标委员会编写评标报告，推荐不超过5家（经评审的投标报价介于经评审的最低投标价（含本数）与工程成本警戒价（含本数）之间的投标人数量≥5家时除外）不排序的合格中标候选人进入定标阶段。</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若投标人经评审的价格相同，以诚信分高的排前；若价格、诚信分均相同，则对具有相同情况的投标人，按入围合格的中标候选人数量规定，由评标委员会采用记名投票方式，确定投标人的排序，并确定进入定标阶段的合格的中标候选人。</w:t>
            </w:r>
          </w:p>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记名投票方式确定排序的具体操作步骤为：由评标委员会对出现该情况的投标人采取记名投票的方式确定，按得票数高低进行排序，以得票数高的排前，根据得票数高低确定中标候选人排序。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29.1</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val="en-US" w:eastAsia="zh-CN"/>
              </w:rPr>
              <w:t>8708</w:t>
            </w:r>
            <w:bookmarkStart w:id="80" w:name="_GoBack"/>
            <w:bookmarkEnd w:id="80"/>
            <w:r>
              <w:rPr>
                <w:rFonts w:hint="eastAsia" w:ascii="宋体" w:hAnsi="宋体" w:cs="宋体"/>
                <w:color w:val="auto"/>
                <w:szCs w:val="21"/>
                <w:highlight w:val="none"/>
                <w:u w:val="single"/>
                <w:lang w:val="en-US" w:eastAsia="zh-CN"/>
              </w:rPr>
              <w:t>169.51</w:t>
            </w:r>
            <w:r>
              <w:rPr>
                <w:rFonts w:hint="eastAsia" w:ascii="宋体" w:hAnsi="宋体" w:cs="宋体"/>
                <w:color w:val="auto"/>
                <w:szCs w:val="21"/>
                <w:highlight w:val="none"/>
              </w:rPr>
              <w:t>元。</w:t>
            </w:r>
            <w:r>
              <w:rPr>
                <w:rFonts w:hint="eastAsia" w:ascii="宋体" w:hAnsi="宋体" w:cs="宋体"/>
                <w:color w:val="auto"/>
                <w:szCs w:val="21"/>
                <w:highlight w:val="none"/>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lang w:val="en-US" w:eastAsia="zh-CN"/>
              </w:rPr>
              <w:t>412907.69</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元，暂估价为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23</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strike w:val="0"/>
                <w:color w:val="auto"/>
                <w:szCs w:val="21"/>
                <w:highlight w:val="none"/>
              </w:rPr>
              <w:t>计算评标参考价的等分点值</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25</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进入第二阶段评审的家数</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lang w:val="en-US" w:eastAsia="zh-CN"/>
              </w:rPr>
              <w:t>7401944.08</w:t>
            </w:r>
            <w:r>
              <w:rPr>
                <w:rFonts w:hint="eastAsia" w:ascii="宋体" w:hAnsi="宋体" w:cs="宋体"/>
                <w:color w:val="auto"/>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各分值的权重</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restart"/>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28</w:t>
            </w:r>
          </w:p>
        </w:tc>
        <w:tc>
          <w:tcPr>
            <w:tcW w:w="914" w:type="dxa"/>
            <w:vMerge w:val="restart"/>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招标代理机构应严格按照《</w:t>
            </w:r>
            <w:r>
              <w:rPr>
                <w:rFonts w:hint="eastAsia" w:ascii="宋体" w:hAnsi="宋体" w:eastAsia="宋体" w:cs="宋体"/>
                <w:i w:val="0"/>
                <w:caps w:val="0"/>
                <w:color w:val="auto"/>
                <w:spacing w:val="0"/>
                <w:sz w:val="21"/>
                <w:szCs w:val="21"/>
                <w:highlight w:val="none"/>
                <w:u w:val="single"/>
                <w:shd w:val="clear" w:color="auto" w:fill="auto"/>
              </w:rPr>
              <w:fldChar w:fldCharType="begin"/>
            </w:r>
            <w:r>
              <w:rPr>
                <w:rFonts w:hint="eastAsia" w:ascii="宋体" w:hAnsi="宋体" w:eastAsia="宋体" w:cs="宋体"/>
                <w:i w:val="0"/>
                <w:caps w:val="0"/>
                <w:color w:val="auto"/>
                <w:spacing w:val="0"/>
                <w:sz w:val="21"/>
                <w:szCs w:val="21"/>
                <w:highlight w:val="none"/>
                <w:u w:val="single"/>
                <w:shd w:val="clear" w:color="auto" w:fill="auto"/>
              </w:rPr>
              <w:instrText xml:space="preserve"> HYPERLINK "https://ywtb.gzggzy.cn/jyfw/002001/002001002/20250613/0020010021047237.html" \o "广东省政务服务和数据管理局关于印发广东省综合评标评审专家库评标专家劳务报酬管理办法的通知" \t "https://ywtb.gzggzy.cn/jyfw/002001/002001002/_blank" </w:instrText>
            </w:r>
            <w:r>
              <w:rPr>
                <w:rFonts w:hint="eastAsia" w:ascii="宋体" w:hAnsi="宋体" w:eastAsia="宋体" w:cs="宋体"/>
                <w:i w:val="0"/>
                <w:caps w:val="0"/>
                <w:color w:val="auto"/>
                <w:spacing w:val="0"/>
                <w:sz w:val="21"/>
                <w:szCs w:val="21"/>
                <w:highlight w:val="none"/>
                <w:u w:val="single"/>
                <w:shd w:val="clear" w:color="auto" w:fill="auto"/>
              </w:rPr>
              <w:fldChar w:fldCharType="separate"/>
            </w:r>
            <w:r>
              <w:rPr>
                <w:rStyle w:val="34"/>
                <w:rFonts w:hint="eastAsia" w:ascii="宋体" w:hAnsi="宋体" w:eastAsia="宋体" w:cs="宋体"/>
                <w:i w:val="0"/>
                <w:caps w:val="0"/>
                <w:color w:val="auto"/>
                <w:spacing w:val="0"/>
                <w:sz w:val="21"/>
                <w:szCs w:val="21"/>
                <w:highlight w:val="none"/>
                <w:u w:val="single"/>
                <w:shd w:val="clear" w:color="auto" w:fill="auto"/>
              </w:rPr>
              <w:t>广东省政务服务和数据管理局关于印发广东省综合评标评审专家库评标专家劳务报酬管理办法的通知</w:t>
            </w:r>
            <w:r>
              <w:rPr>
                <w:rFonts w:hint="eastAsia" w:ascii="宋体" w:hAnsi="宋体" w:eastAsia="宋体" w:cs="宋体"/>
                <w:i w:val="0"/>
                <w:caps w:val="0"/>
                <w:color w:val="auto"/>
                <w:spacing w:val="0"/>
                <w:sz w:val="21"/>
                <w:szCs w:val="21"/>
                <w:highlight w:val="none"/>
                <w:u w:val="single"/>
                <w:shd w:val="clear" w:color="auto" w:fill="auto"/>
              </w:rPr>
              <w:fldChar w:fldCharType="end"/>
            </w:r>
            <w:r>
              <w:rPr>
                <w:rFonts w:hint="eastAsia" w:ascii="宋体" w:hAnsi="宋体" w:cs="宋体"/>
                <w:color w:val="auto"/>
                <w:szCs w:val="21"/>
                <w:highlight w:val="none"/>
                <w:u w:val="single"/>
              </w:rPr>
              <w:t>》的规定向评标专家支付酬金，不得额外支付费用。评标专家对符合《</w:t>
            </w: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HYPERLINK "https://ywtb.gzggzy.cn/jyfw/002001/002001002/20250613/0020010021047237.html" \o "广东省政务服务和数据管理局关于印发广东省综合评标评审专家库评标专家劳务报酬管理办法的通知" \t "https://ywtb.gzggzy.cn/jyfw/002001/002001002/_blank" </w:instrText>
            </w:r>
            <w:r>
              <w:rPr>
                <w:rFonts w:hint="eastAsia" w:ascii="宋体" w:hAnsi="宋体" w:cs="宋体"/>
                <w:color w:val="auto"/>
                <w:szCs w:val="21"/>
                <w:highlight w:val="none"/>
                <w:u w:val="single"/>
              </w:rPr>
              <w:fldChar w:fldCharType="separate"/>
            </w:r>
            <w:r>
              <w:rPr>
                <w:rFonts w:hint="eastAsia" w:ascii="宋体" w:hAnsi="宋体" w:cs="宋体"/>
                <w:color w:val="auto"/>
                <w:szCs w:val="21"/>
                <w:highlight w:val="none"/>
                <w:u w:val="single"/>
              </w:rPr>
              <w:t>广东省政务服务和数据管理局关于印发广东省综合评标评审专家库评标专家劳务报酬管理办法的通知</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》的规定计取的专家报酬不得有异议。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continue"/>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定标委员会由招标人依法组建，成员数量为5人。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continue"/>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监督小组人数</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定标监督小组</w:t>
            </w:r>
            <w:r>
              <w:rPr>
                <w:rFonts w:hint="eastAsia" w:ascii="宋体" w:hAnsi="宋体" w:cs="宋体"/>
                <w:color w:val="auto"/>
                <w:szCs w:val="21"/>
                <w:highlight w:val="none"/>
                <w:u w:val="single"/>
                <w:lang w:eastAsia="zh-CN"/>
              </w:rPr>
              <w:t>由招标人组建，人数为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kern w:val="2"/>
                <w:sz w:val="21"/>
                <w:szCs w:val="21"/>
                <w:highlight w:val="none"/>
                <w:lang w:eastAsia="zh-CN"/>
              </w:rPr>
              <w:t>本项目</w:t>
            </w:r>
            <w:r>
              <w:rPr>
                <w:rFonts w:hint="eastAsia" w:ascii="宋体" w:hAnsi="宋体" w:cs="宋体"/>
                <w:color w:val="auto"/>
                <w:kern w:val="2"/>
                <w:sz w:val="21"/>
                <w:szCs w:val="21"/>
                <w:highlight w:val="none"/>
              </w:rPr>
              <w:t>通过投标人</w:t>
            </w:r>
            <w:r>
              <w:rPr>
                <w:rFonts w:hint="eastAsia" w:ascii="宋体" w:hAnsi="宋体" w:cs="宋体"/>
                <w:color w:val="auto"/>
                <w:kern w:val="2"/>
                <w:sz w:val="21"/>
                <w:szCs w:val="21"/>
                <w:highlight w:val="none"/>
                <w:lang w:eastAsia="zh-CN"/>
              </w:rPr>
              <w:t>（若为联合体</w:t>
            </w:r>
            <w:r>
              <w:rPr>
                <w:rFonts w:hint="eastAsia" w:ascii="宋体" w:hAnsi="宋体" w:cs="宋体"/>
                <w:color w:val="auto"/>
                <w:kern w:val="2"/>
                <w:sz w:val="21"/>
                <w:szCs w:val="21"/>
                <w:highlight w:val="none"/>
                <w:lang w:val="en-US" w:eastAsia="zh-CN"/>
              </w:rPr>
              <w:t>投标</w:t>
            </w:r>
            <w:r>
              <w:rPr>
                <w:rFonts w:hint="eastAsia" w:ascii="宋体" w:hAnsi="宋体" w:cs="宋体"/>
                <w:color w:val="auto"/>
                <w:kern w:val="2"/>
                <w:sz w:val="21"/>
                <w:szCs w:val="21"/>
                <w:highlight w:val="none"/>
                <w:lang w:eastAsia="zh-CN"/>
              </w:rPr>
              <w:t>，指联合体</w:t>
            </w:r>
            <w:r>
              <w:rPr>
                <w:rFonts w:hint="eastAsia" w:ascii="宋体" w:hAnsi="宋体" w:cs="宋体"/>
                <w:color w:val="auto"/>
                <w:kern w:val="2"/>
                <w:sz w:val="21"/>
                <w:szCs w:val="21"/>
                <w:highlight w:val="none"/>
                <w:lang w:val="en-US" w:eastAsia="zh-CN"/>
              </w:rPr>
              <w:t>主办方</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的信用情况[即按</w:t>
            </w:r>
            <w:r>
              <w:rPr>
                <w:rFonts w:hint="eastAsia" w:ascii="宋体" w:hAnsi="宋体" w:cs="宋体"/>
                <w:color w:val="auto"/>
                <w:kern w:val="2"/>
                <w:sz w:val="21"/>
                <w:szCs w:val="21"/>
                <w:highlight w:val="none"/>
                <w:lang w:eastAsia="zh-CN"/>
              </w:rPr>
              <w:t>投标企业在广州市住房和城乡建设局信用建设专栏诚信评价专栏投标截止当日公布的“施工企业房建诚信评价排名”表中的“60日诚信分”</w:t>
            </w:r>
            <w:r>
              <w:rPr>
                <w:rFonts w:hint="eastAsia" w:ascii="宋体" w:hAnsi="宋体" w:cs="宋体"/>
                <w:color w:val="auto"/>
                <w:kern w:val="2"/>
                <w:sz w:val="21"/>
                <w:szCs w:val="21"/>
                <w:highlight w:val="none"/>
              </w:rPr>
              <w:t>]对投标报价进行折算，以经评审的最低投标价作为推荐中标候选人的依据。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30</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第二阶段投标人名次的排序方法（适用于办法一、办法二）</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经济分相同情况下的排序方法（适用于办法三、办法四）</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32</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第二阶段投标人名次的排序方法（适用于办法五、办法六）</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33</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13.4、13.5.2</w:t>
            </w: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34</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建设工程质量检测单位</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35</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zh-CN"/>
              </w:rPr>
              <w:t>不允许分包；</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分包内容要求：</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rPr>
              <w:t>分包金额要求：</w:t>
            </w:r>
            <w:r>
              <w:rPr>
                <w:rFonts w:hint="eastAsia" w:ascii="宋体" w:hAnsi="宋体" w:cs="宋体"/>
                <w:color w:val="auto"/>
                <w:szCs w:val="21"/>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rPr>
              <w:t>对分包人的资质要求：</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szCs w:val="21"/>
                <w:highlight w:val="none"/>
                <w:u w:val="none"/>
              </w:rPr>
              <w:t>对分包人的其他要求：</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36</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2、提交投标文件光盘备用</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3、补救方案</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37</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安全生产责任保险</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绿色发展理念</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41</w:t>
            </w:r>
          </w:p>
        </w:tc>
        <w:tc>
          <w:tcPr>
            <w:tcW w:w="914"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val="0"/>
                <w:bCs w:val="0"/>
                <w:color w:val="auto"/>
                <w:kern w:val="0"/>
                <w:sz w:val="21"/>
                <w:szCs w:val="21"/>
                <w:highlight w:val="none"/>
              </w:rPr>
              <w:t>招标人对中标人参与“百千万工程”的具体要求</w:t>
            </w:r>
          </w:p>
        </w:tc>
        <w:tc>
          <w:tcPr>
            <w:tcW w:w="5900" w:type="dxa"/>
            <w:tcBorders>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说明与要求：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具体要求在中标后按照投标承诺和招标人的要求执行。</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color w:val="auto"/>
                <w:sz w:val="21"/>
                <w:szCs w:val="21"/>
                <w:highlight w:val="none"/>
                <w:u w:val="single"/>
              </w:rPr>
              <w:t>如政府部门有“百千万工程”相关要求，中标人须无条件配合。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bottom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42</w:t>
            </w:r>
          </w:p>
        </w:tc>
        <w:tc>
          <w:tcPr>
            <w:tcW w:w="914" w:type="dxa"/>
            <w:tcBorders>
              <w:bottom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tcBorders>
              <w:bottom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bCs/>
                <w:color w:val="auto"/>
                <w:kern w:val="0"/>
                <w:sz w:val="21"/>
                <w:szCs w:val="21"/>
                <w:highlight w:val="none"/>
              </w:rPr>
            </w:pPr>
            <w:r>
              <w:rPr>
                <w:rFonts w:hint="eastAsia" w:ascii="宋体" w:hAnsi="宋体" w:cs="宋体"/>
                <w:b w:val="0"/>
                <w:bCs w:val="0"/>
                <w:color w:val="auto"/>
                <w:kern w:val="0"/>
                <w:sz w:val="21"/>
                <w:szCs w:val="21"/>
                <w:highlight w:val="none"/>
                <w:u w:val="single"/>
              </w:rPr>
              <w:t>是否授权评标委员会确定中标人</w:t>
            </w:r>
          </w:p>
        </w:tc>
        <w:tc>
          <w:tcPr>
            <w:tcW w:w="5900" w:type="dxa"/>
            <w:tcBorders>
              <w:bottom w:val="doub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color w:val="auto"/>
                <w:sz w:val="21"/>
                <w:szCs w:val="21"/>
                <w:highlight w:val="none"/>
                <w:u w:val="single"/>
              </w:rPr>
            </w:pPr>
            <w:r>
              <w:rPr>
                <w:rFonts w:hint="eastAsia" w:ascii="宋体" w:hAnsi="宋体" w:cs="宋体"/>
                <w:b w:val="0"/>
                <w:bCs/>
                <w:color w:val="auto"/>
                <w:sz w:val="21"/>
                <w:szCs w:val="21"/>
                <w:highlight w:val="none"/>
                <w:u w:val="single"/>
              </w:rPr>
              <w:t>否</w:t>
            </w:r>
          </w:p>
        </w:tc>
      </w:tr>
    </w:tbl>
    <w:p>
      <w:pPr>
        <w:snapToGrid w:val="0"/>
        <w:spacing w:line="360" w:lineRule="auto"/>
        <w:rPr>
          <w:rFonts w:ascii="宋体" w:hAnsi="宋体" w:cs="宋体"/>
          <w:strike w:val="0"/>
          <w:color w:val="auto"/>
          <w:szCs w:val="21"/>
          <w:highlight w:val="none"/>
        </w:rPr>
      </w:pPr>
      <w:r>
        <w:rPr>
          <w:rFonts w:hint="eastAsia" w:ascii="宋体" w:hAnsi="宋体" w:cs="宋体"/>
          <w:strike w:val="0"/>
          <w:color w:val="auto"/>
          <w:sz w:val="24"/>
          <w:highlight w:val="none"/>
        </w:rPr>
        <w:t>注：企业综合诚信评价得分即企业综合诚信评价60日诚信分，以下同。</w:t>
      </w:r>
    </w:p>
    <w:p>
      <w:pPr>
        <w:pStyle w:val="5"/>
        <w:snapToGrid w:val="0"/>
        <w:spacing w:before="0" w:after="0" w:line="360" w:lineRule="auto"/>
        <w:ind w:left="0"/>
        <w:rPr>
          <w:rFonts w:ascii="宋体" w:hAnsi="宋体" w:cs="宋体"/>
          <w:color w:val="auto"/>
          <w:sz w:val="32"/>
          <w:szCs w:val="32"/>
          <w:highlight w:val="none"/>
        </w:rPr>
      </w:pPr>
      <w:r>
        <w:rPr>
          <w:rFonts w:hint="eastAsia" w:ascii="宋体" w:hAnsi="宋体" w:cs="宋体"/>
          <w:strike/>
          <w:color w:val="auto"/>
          <w:highlight w:val="none"/>
        </w:rPr>
        <w:br w:type="page"/>
      </w:r>
      <w:bookmarkStart w:id="3" w:name="_Toc6608"/>
      <w:r>
        <w:rPr>
          <w:rFonts w:hint="eastAsia" w:ascii="宋体" w:hAnsi="宋体" w:cs="宋体"/>
          <w:color w:val="auto"/>
          <w:sz w:val="32"/>
          <w:szCs w:val="32"/>
          <w:highlight w:val="none"/>
        </w:rPr>
        <w:t>二、投标须知修改表</w:t>
      </w:r>
      <w:bookmarkEnd w:id="3"/>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u w:val="none"/>
        </w:rPr>
        <w:fldChar w:fldCharType="begin"/>
      </w:r>
      <w:r>
        <w:rPr>
          <w:color w:val="auto"/>
          <w:highlight w:val="none"/>
          <w:u w:val="none"/>
        </w:rPr>
        <w:instrText xml:space="preserve"> HYPERLINK "http://zfcj.gz.gov.cn/）下载查阅。" </w:instrText>
      </w:r>
      <w:r>
        <w:rPr>
          <w:color w:val="auto"/>
          <w:highlight w:val="none"/>
          <w:u w:val="none"/>
        </w:rPr>
        <w:fldChar w:fldCharType="separate"/>
      </w:r>
      <w:r>
        <w:rPr>
          <w:rStyle w:val="37"/>
          <w:rFonts w:hint="eastAsia" w:ascii="宋体" w:hAnsi="宋体" w:cs="宋体"/>
          <w:b/>
          <w:color w:val="auto"/>
          <w:szCs w:val="21"/>
          <w:highlight w:val="none"/>
          <w:u w:val="none"/>
        </w:rPr>
        <w:t>http://zfcj.gz.gov.cn/）下载查阅。</w:t>
      </w:r>
      <w:r>
        <w:rPr>
          <w:rStyle w:val="37"/>
          <w:rFonts w:hint="eastAsia" w:ascii="宋体" w:hAnsi="宋体" w:cs="宋体"/>
          <w:b/>
          <w:color w:val="auto"/>
          <w:szCs w:val="21"/>
          <w:highlight w:val="none"/>
          <w:u w:val="none"/>
        </w:rPr>
        <w:fldChar w:fldCharType="end"/>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r>
        <w:rPr>
          <w:rFonts w:hint="eastAsia" w:ascii="宋体" w:hAnsi="宋体" w:cs="宋体"/>
          <w:color w:val="auto"/>
          <w:sz w:val="21"/>
          <w:szCs w:val="21"/>
          <w:highlight w:val="none"/>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8.2</w:t>
      </w:r>
      <w:r>
        <w:rPr>
          <w:rFonts w:hint="eastAsia" w:ascii="宋体" w:hAnsi="宋体" w:cs="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30"/>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w:t>
      </w:r>
      <w:r>
        <w:rPr>
          <w:rFonts w:hint="eastAsia" w:ascii="宋体" w:hAnsi="宋体" w:cs="宋体"/>
          <w:color w:val="auto"/>
          <w:sz w:val="21"/>
          <w:szCs w:val="21"/>
          <w:highlight w:val="none"/>
          <w:u w:val="single"/>
        </w:rPr>
        <w:t>在广州交易集团有限公司（广州公共资源交易中心）网站“项目查询</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日程安排、答疑纪要</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在广州交易集团有限公司（广州公共资源交易中心）网站</w:t>
      </w:r>
      <w:r>
        <w:rPr>
          <w:rFonts w:hint="eastAsia" w:ascii="宋体" w:hAnsi="宋体" w:cs="宋体"/>
          <w:color w:val="auto"/>
          <w:sz w:val="21"/>
          <w:szCs w:val="21"/>
          <w:highlight w:val="none"/>
        </w:rPr>
        <w:t>发布，视作已发放给所有投标人。</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条款号：8.4修改类型：修改</w:t>
      </w:r>
    </w:p>
    <w:p>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pPr>
        <w:pStyle w:val="30"/>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8.4</w:t>
      </w:r>
      <w:r>
        <w:rPr>
          <w:rFonts w:hint="eastAsia" w:ascii="宋体" w:hAnsi="宋体" w:cs="宋体"/>
          <w:color w:val="auto"/>
          <w:sz w:val="21"/>
          <w:szCs w:val="21"/>
          <w:highlight w:val="none"/>
          <w:u w:val="single"/>
        </w:rPr>
        <w:t>若招标答疑纪要与招标文件有矛盾，以广州交易集团有限公司（广州公共资源交易中心）网站最后发布的答疑纪要为准</w:t>
      </w:r>
      <w:r>
        <w:rPr>
          <w:rFonts w:hint="eastAsia" w:ascii="宋体" w:hAnsi="宋体" w:cs="宋体"/>
          <w:color w:val="auto"/>
          <w:sz w:val="21"/>
          <w:szCs w:val="21"/>
          <w:highlight w:val="none"/>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 w:val="21"/>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Cs w:val="21"/>
          <w:highlight w:val="none"/>
        </w:rPr>
        <w:t>交易平台发布，视作已发放给所有投标人，以</w:t>
      </w:r>
      <w:r>
        <w:rPr>
          <w:color w:val="auto"/>
          <w:sz w:val="21"/>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single"/>
        </w:rPr>
        <w:t>在广州交易集团有限公司（广州公共资源交易中心）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u w:val="single"/>
        </w:rPr>
        <w:t>“项目查询</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日程安排、答疑纪要</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w:t>
      </w:r>
      <w:r>
        <w:rPr>
          <w:rFonts w:hint="eastAsia" w:ascii="宋体" w:hAnsi="宋体" w:cs="宋体"/>
          <w:color w:val="auto"/>
          <w:szCs w:val="21"/>
          <w:highlight w:val="none"/>
          <w:u w:val="single"/>
          <w:lang w:eastAsia="zh-CN"/>
        </w:rPr>
        <w:t>站</w:t>
      </w:r>
      <w:r>
        <w:rPr>
          <w:rFonts w:hint="eastAsia" w:ascii="宋体" w:hAnsi="宋体" w:cs="宋体"/>
          <w:color w:val="auto"/>
          <w:szCs w:val="21"/>
          <w:highlight w:val="none"/>
        </w:rPr>
        <w:t>发布时间作为送达时间。</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9.4招标文件的澄清或修改均以书面形式明确的内容为准。当招标文件的澄清、修改、补充等在同一内容的表述不一致时，以最后发出的书面形式的文件为准。</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现文：</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投标文件</w:t>
      </w:r>
      <w:bookmarkStart w:id="4" w:name="OLE_LINK18"/>
      <w:r>
        <w:rPr>
          <w:rFonts w:hint="eastAsia" w:ascii="宋体" w:hAnsi="宋体" w:cs="宋体"/>
          <w:b/>
          <w:color w:val="auto"/>
          <w:szCs w:val="21"/>
          <w:highlight w:val="none"/>
        </w:rPr>
        <w:t>技术标部分</w:t>
      </w:r>
      <w:r>
        <w:rPr>
          <w:rFonts w:hint="eastAsia" w:ascii="宋体" w:hAnsi="宋体" w:cs="宋体"/>
          <w:b/>
          <w:color w:val="auto"/>
          <w:szCs w:val="21"/>
          <w:highlight w:val="none"/>
          <w:u w:val="single"/>
        </w:rPr>
        <w:t>（含资格审查文件）</w:t>
      </w:r>
      <w:bookmarkEnd w:id="4"/>
      <w:r>
        <w:rPr>
          <w:rFonts w:hint="eastAsia" w:ascii="宋体" w:hAnsi="宋体" w:cs="宋体"/>
          <w:color w:val="auto"/>
          <w:szCs w:val="21"/>
          <w:highlight w:val="none"/>
        </w:rPr>
        <w:t>主要包括下列内容</w:t>
      </w:r>
      <w:r>
        <w:rPr>
          <w:rFonts w:hint="eastAsia" w:ascii="宋体" w:hAnsi="宋体" w:cs="宋体"/>
          <w:color w:val="auto"/>
          <w:szCs w:val="21"/>
          <w:highlight w:val="none"/>
          <w:u w:val="single"/>
        </w:rPr>
        <w:t>（除注明原件外，均为清晰扫描件（网页截图）即可）</w:t>
      </w:r>
      <w:r>
        <w:rPr>
          <w:rFonts w:hint="eastAsia" w:ascii="宋体" w:hAnsi="宋体" w:cs="宋体"/>
          <w:color w:val="auto"/>
          <w:szCs w:val="21"/>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bCs/>
          <w:color w:val="auto"/>
          <w:szCs w:val="21"/>
          <w:highlight w:val="none"/>
        </w:rPr>
        <w:t>11.2.2 资格审查文件：</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扫描件（须按招标公告附件内容及格式要求编制）；</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扫描件；</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r>
        <w:rPr>
          <w:rFonts w:hint="eastAsia" w:ascii="宋体" w:hAnsi="宋体" w:cs="宋体"/>
          <w:bCs/>
          <w:color w:val="auto"/>
          <w:szCs w:val="21"/>
          <w:highlight w:val="none"/>
          <w:u w:val="single"/>
        </w:rPr>
        <w:t>或符合招标公告规定的相关证明材料（如有）；</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（8）拟委派技术负责人的</w:t>
      </w:r>
      <w:r>
        <w:rPr>
          <w:rFonts w:hint="eastAsia" w:ascii="宋体" w:hAnsi="宋体" w:cs="宋体"/>
          <w:bCs/>
          <w:color w:val="auto"/>
          <w:szCs w:val="21"/>
          <w:highlight w:val="none"/>
          <w:u w:val="single"/>
        </w:rPr>
        <w:t>职称证书扫描件或电子证照；</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（9）拟委派项目负责人的有效期内的建造师证书扫描件或电子证书；</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none"/>
        </w:rPr>
      </w:pPr>
      <w:r>
        <w:rPr>
          <w:rFonts w:hint="eastAsia" w:ascii="宋体" w:hAnsi="宋体" w:cs="宋体"/>
          <w:bCs/>
          <w:color w:val="auto"/>
          <w:szCs w:val="21"/>
          <w:highlight w:val="none"/>
          <w:u w:val="none"/>
        </w:rPr>
        <w:t>（10）项目负责人在有效期内的安全生产考核合格证（B类）或建筑施工企业项目负责人安全生产考核合格证书扫描件或电子证书；</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bCs/>
          <w:color w:val="auto"/>
          <w:szCs w:val="21"/>
          <w:highlight w:val="none"/>
          <w:u w:val="single"/>
        </w:rPr>
        <w:t>（C3）</w:t>
      </w:r>
      <w:r>
        <w:rPr>
          <w:rFonts w:hint="eastAsia" w:ascii="宋体" w:hAnsi="宋体" w:cs="宋体"/>
          <w:bCs/>
          <w:color w:val="auto"/>
          <w:szCs w:val="21"/>
          <w:highlight w:val="none"/>
          <w:u w:val="none"/>
        </w:rPr>
        <w:t>扫描件或电子证书；</w:t>
      </w:r>
    </w:p>
    <w:p>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u w:val="single"/>
        </w:rPr>
        <w:t>（12）资格审查前，投标人须在广州市住房和城乡建设局建立企业信用档案，拟担任本工程项目负责人、专职安全员须是</w:t>
      </w:r>
      <w:r>
        <w:rPr>
          <w:rFonts w:hint="eastAsia" w:ascii="宋体" w:hAnsi="宋体" w:cs="宋体"/>
          <w:bCs/>
          <w:color w:val="auto"/>
          <w:szCs w:val="21"/>
          <w:highlight w:val="none"/>
          <w:u w:val="single"/>
          <w:lang w:val="en-US" w:eastAsia="zh-CN"/>
        </w:rPr>
        <w:t>本</w:t>
      </w:r>
      <w:r>
        <w:rPr>
          <w:rFonts w:hint="eastAsia" w:ascii="宋体" w:hAnsi="宋体" w:cs="宋体"/>
          <w:bCs/>
          <w:color w:val="auto"/>
          <w:szCs w:val="21"/>
          <w:highlight w:val="none"/>
          <w:u w:val="single"/>
        </w:rPr>
        <w:t>企业信用档案中的在册人员。</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）投标人未出现以下情形：与其他投标人的单位负责人为同一人或者存在控股、管理关系的（按投标人提供的《投标人声明》第</w:t>
      </w:r>
      <w:r>
        <w:rPr>
          <w:rFonts w:hint="eastAsia" w:ascii="宋体" w:hAnsi="宋体" w:cs="宋体"/>
          <w:bCs/>
          <w:color w:val="auto"/>
          <w:szCs w:val="21"/>
          <w:highlight w:val="none"/>
          <w:u w:val="single"/>
          <w:lang w:eastAsia="zh-CN"/>
        </w:rPr>
        <w:t>九</w:t>
      </w:r>
      <w:r>
        <w:rPr>
          <w:rFonts w:hint="eastAsia" w:ascii="宋体" w:hAnsi="宋体" w:cs="宋体"/>
          <w:bCs/>
          <w:color w:val="auto"/>
          <w:szCs w:val="21"/>
          <w:highlight w:val="none"/>
          <w:u w:val="single"/>
        </w:rPr>
        <w:t>条内容进行评审）。如不同投标申请人出现单位负责人为同一人或者存在控股、管理关系的情形，则均按不符合投标人合格条件处理。</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）投标人未被列入拖欠农民工工资失信联合惩戒对象名单；</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）投标人认为应提供的其他资料（如有）。</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注：</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相关电子证书按规定需打印后手写本人签名的，应按照规定手写本人签名后再扫描提交。</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2.投标人在投标登记时选择了拟投入本项目的项目负责人、专职安全员，即已满足“资格审查前，投标人须在广州市住房和城乡建设局建立企业信用档案，拟担任本工程项目负责人、专职安全员须是</w:t>
      </w:r>
      <w:r>
        <w:rPr>
          <w:rFonts w:hint="eastAsia" w:ascii="宋体" w:hAnsi="宋体" w:cs="宋体"/>
          <w:color w:val="auto"/>
          <w:szCs w:val="21"/>
          <w:highlight w:val="none"/>
          <w:lang w:val="en-US" w:eastAsia="zh-CN"/>
        </w:rPr>
        <w:t>本</w:t>
      </w:r>
      <w:r>
        <w:rPr>
          <w:rFonts w:hint="eastAsia" w:ascii="宋体" w:hAnsi="宋体" w:eastAsia="宋体" w:cs="宋体"/>
          <w:color w:val="auto"/>
          <w:szCs w:val="21"/>
          <w:highlight w:val="none"/>
          <w:lang w:val="en-US" w:eastAsia="zh-CN"/>
        </w:rPr>
        <w:t>企业信用档案中的在册人员”的要求，投标人无需提供证明材料。</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11.2.2（1）—（1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）条没有要求提交的资料，不作为资格审查不合格的依据。</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）条，投标人无需提供资料，按投标截止时间广州交易集团有限公司（广州公共资源交易中心）交易系统比对的结果进行评审。</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11.2.3《投标函》（格式见招标文件第四章）。</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11.2.4《</w:t>
      </w:r>
      <w:r>
        <w:rPr>
          <w:rFonts w:hint="eastAsia" w:ascii="宋体" w:hAnsi="宋体" w:cs="宋体"/>
          <w:color w:val="auto"/>
          <w:szCs w:val="21"/>
          <w:highlight w:val="none"/>
          <w:u w:val="single"/>
          <w:lang w:eastAsia="zh-CN"/>
        </w:rPr>
        <w:t>施工项目管理团队人员信息表</w:t>
      </w:r>
      <w:r>
        <w:rPr>
          <w:rFonts w:hint="eastAsia" w:ascii="宋体" w:hAnsi="宋体" w:cs="宋体"/>
          <w:color w:val="auto"/>
          <w:szCs w:val="21"/>
          <w:highlight w:val="none"/>
          <w:u w:val="single"/>
        </w:rPr>
        <w:t>》（格式见招标文件第四章、投标人需按相应表格备注要求提供相关资料）。</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《响应招标文件所附施工组织设计要点的承诺书》（格式见招标文件第四章）。</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《危险性较大的分部分项工程安全管理措施》（格式见招标文件第四章）。</w:t>
      </w:r>
    </w:p>
    <w:p>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《参与编制技术标投标文件人员名单》（格式见招标文件第四章）。</w:t>
      </w:r>
    </w:p>
    <w:p>
      <w:pPr>
        <w:keepNext w:val="0"/>
        <w:keepLines w:val="0"/>
        <w:pageBreakBefore w:val="0"/>
        <w:widowControl w:val="0"/>
        <w:pBdr>
          <w:bottom w:val="single" w:color="auto" w:sz="4" w:space="0"/>
        </w:pBdr>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投标人认为应提供的其他</w:t>
      </w:r>
      <w:r>
        <w:rPr>
          <w:rFonts w:hint="eastAsia" w:ascii="宋体" w:hAnsi="宋体" w:cs="宋体"/>
          <w:color w:val="auto"/>
          <w:szCs w:val="21"/>
          <w:highlight w:val="none"/>
          <w:u w:val="single"/>
          <w:lang w:eastAsia="zh-CN"/>
        </w:rPr>
        <w:t>技术标</w:t>
      </w:r>
      <w:r>
        <w:rPr>
          <w:rFonts w:hint="eastAsia" w:ascii="宋体" w:hAnsi="宋体" w:cs="宋体"/>
          <w:color w:val="auto"/>
          <w:szCs w:val="21"/>
          <w:highlight w:val="none"/>
          <w:u w:val="single"/>
        </w:rPr>
        <w:t>资料（如有）。</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adjustRightInd w:val="0"/>
        <w:snapToGrid w:val="0"/>
        <w:spacing w:line="360" w:lineRule="auto"/>
        <w:ind w:firstLine="472" w:firstLineChars="224"/>
        <w:rPr>
          <w:rFonts w:hint="eastAsia" w:ascii="宋体" w:hAnsi="宋体" w:eastAsia="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Cs/>
          <w:color w:val="auto"/>
          <w:szCs w:val="21"/>
          <w:highlight w:val="none"/>
        </w:rPr>
        <w:t>11.3 经济部分投标文件主要包括下列内容：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（1）投标总价封面、扉页；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（2）总说明；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（9）综合单价分析表；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（11）暂列金额明细表；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（14）计日工表；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（15）总承包服务计价表；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11.3.3按照招标文件要求填写的《参与编制经济标投标文件人员名单》。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 xml:space="preserve">11.3 </w:t>
      </w:r>
      <w:bookmarkStart w:id="5" w:name="OLE_LINK19"/>
      <w:r>
        <w:rPr>
          <w:rFonts w:hint="eastAsia" w:ascii="宋体" w:hAnsi="宋体" w:eastAsia="宋体" w:cs="宋体"/>
          <w:color w:val="auto"/>
          <w:szCs w:val="21"/>
          <w:highlight w:val="none"/>
        </w:rPr>
        <w:t>经济部分</w:t>
      </w:r>
      <w:bookmarkEnd w:id="5"/>
      <w:r>
        <w:rPr>
          <w:rFonts w:hint="eastAsia" w:ascii="宋体" w:hAnsi="宋体" w:eastAsia="宋体" w:cs="宋体"/>
          <w:color w:val="auto"/>
          <w:szCs w:val="21"/>
          <w:highlight w:val="none"/>
        </w:rPr>
        <w:t>投标文件主要包括下列内容：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color w:val="auto"/>
          <w:szCs w:val="21"/>
          <w:highlight w:val="none"/>
        </w:rPr>
        <w:t>；</w:t>
      </w:r>
    </w:p>
    <w:p>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其它辅助说明资料（包括但不限于招标文件要求填写的《对投标文件编制的承诺》，格式见招标文件第四章）</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投标人认为应提供的其他经济标资料（如有）。</w:t>
      </w:r>
    </w:p>
    <w:p>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pPr>
        <w:pBdr>
          <w:bottom w:val="single" w:color="auto" w:sz="6" w:space="1"/>
        </w:pBdr>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扫描件或电子证照，并采用单位数字证书，对投标文件加盖电子印章。投标文件中需个人签字或盖章的，应加盖个人电子印章或在线下完成后原件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。如联合体投标，投标文件中的“投标人”、“投标单位”“承诺企业”应填写联合体各成员的单位全称“（主）***公司（成）***公司”。除投标文件中的联合体协议</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rPr>
        <w:t>需联合体各方按格式要求盖章或签字外，其他资料均由主办方盖章或签字即可。</w:t>
      </w:r>
    </w:p>
    <w:p>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adjustRightInd w:val="0"/>
        <w:snapToGrid w:val="0"/>
        <w:spacing w:line="360" w:lineRule="auto"/>
        <w:ind w:firstLine="413" w:firstLineChars="196"/>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pBdr>
          <w:top w:val="single" w:color="auto" w:sz="4" w:space="1"/>
        </w:pBd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4" w:space="0"/>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kern w:val="2"/>
          <w:sz w:val="21"/>
          <w:szCs w:val="21"/>
          <w:highlight w:val="none"/>
          <w:u w:val="single"/>
        </w:rPr>
        <w:t>投标人可以拒绝招标人这种要求。同意延长投标有效期的投标人既不能要求也不允许修改其投标文件。</w:t>
      </w:r>
    </w:p>
    <w:p>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条款号：16.投标保证金</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16.1.1 采用现金或者支票形式提交的，投标保证金须从投标人的银行基本账户转出。</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16.1.3 采用电子形式的保函、担保或保证保险提交投标保证金的，应在招标文件中明确电子递交途径。</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16.3投标保证金应依据法律法规的相关规定退还。</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16.4如有下列情况之一的，招标人可以不予退还投标保证金（是否退还投标保证金由招标人在招标文件中规定）：</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16.5投标人如存在下列情况之一的，将被拒绝在一定时期内参与招标人后续工程投标（拒绝时限需在招标文件中明确）：</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16.5.1投标人存在16.4条款所列情形且投标人提交的保函、担保或保证保险无法兑付的；</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16.5.3按招标文件要求免于提供投标保证金的投标人存在16.4条款所列情形，且未按招标人要求补交投标保证金的；</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16.5.3按招标文件要求免于提供投标保证金的投标人存在16.4条款所列情形的。</w:t>
      </w:r>
    </w:p>
    <w:p>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注：16.5.3款由招标人二选一，需在招标文件中明确。</w:t>
      </w:r>
    </w:p>
    <w:p>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16.1</w:t>
      </w:r>
      <w:r>
        <w:rPr>
          <w:rFonts w:hint="eastAsia" w:ascii="宋体" w:hAnsi="宋体" w:cs="宋体"/>
          <w:color w:val="auto"/>
          <w:kern w:val="2"/>
          <w:sz w:val="21"/>
          <w:szCs w:val="21"/>
          <w:highlight w:val="none"/>
          <w:u w:val="single"/>
        </w:rPr>
        <w:t>本项目不收投标保证金。</w:t>
      </w:r>
    </w:p>
    <w:p>
      <w:pPr>
        <w:pBdr>
          <w:bottom w:val="single" w:color="auto" w:sz="6" w:space="1"/>
        </w:pBdr>
        <w:adjustRightInd w:val="0"/>
        <w:snapToGrid w:val="0"/>
        <w:spacing w:line="360" w:lineRule="auto"/>
        <w:ind w:firstLine="420" w:firstLineChars="200"/>
        <w:rPr>
          <w:rFonts w:ascii="宋体" w:hAnsi="宋体" w:cs="宋体"/>
          <w:strike/>
          <w:color w:val="auto"/>
          <w:kern w:val="2"/>
          <w:sz w:val="21"/>
          <w:szCs w:val="21"/>
          <w:highlight w:val="none"/>
        </w:rPr>
      </w:pPr>
      <w:r>
        <w:rPr>
          <w:rFonts w:hint="eastAsia" w:ascii="宋体" w:hAnsi="宋体" w:cs="宋体"/>
          <w:strike/>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strike/>
          <w:color w:val="auto"/>
          <w:kern w:val="2"/>
          <w:sz w:val="21"/>
          <w:szCs w:val="21"/>
          <w:highlight w:val="none"/>
        </w:rPr>
        <w:t>16.3投标保证金应依据法律法规的相关规定退还。</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w:t>
      </w:r>
      <w:r>
        <w:rPr>
          <w:rFonts w:hint="eastAsia" w:ascii="宋体" w:hAnsi="宋体" w:cs="宋体"/>
          <w:color w:val="auto"/>
          <w:kern w:val="2"/>
          <w:sz w:val="21"/>
          <w:szCs w:val="21"/>
          <w:highlight w:val="none"/>
          <w:u w:val="single"/>
        </w:rPr>
        <w:t>将被拒绝在3个月内参与招标人后续工程投标；</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r>
        <w:rPr>
          <w:rFonts w:hint="eastAsia" w:ascii="宋体" w:hAnsi="宋体" w:cs="宋体"/>
          <w:color w:val="auto"/>
          <w:kern w:val="2"/>
          <w:sz w:val="21"/>
          <w:szCs w:val="21"/>
          <w:highlight w:val="none"/>
          <w:u w:val="single"/>
        </w:rPr>
        <w:t>或放弃中标资格的</w:t>
      </w:r>
      <w:r>
        <w:rPr>
          <w:rFonts w:hint="eastAsia" w:ascii="宋体" w:hAnsi="宋体" w:cs="宋体"/>
          <w:color w:val="auto"/>
          <w:kern w:val="2"/>
          <w:sz w:val="21"/>
          <w:szCs w:val="21"/>
          <w:highlight w:val="none"/>
        </w:rPr>
        <w:t>；</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r>
        <w:rPr>
          <w:rFonts w:hint="eastAsia" w:ascii="宋体" w:hAnsi="宋体" w:cs="宋体"/>
          <w:color w:val="auto"/>
          <w:kern w:val="2"/>
          <w:sz w:val="21"/>
          <w:szCs w:val="21"/>
          <w:highlight w:val="none"/>
          <w:u w:val="none"/>
        </w:rPr>
        <w:t>；</w:t>
      </w:r>
    </w:p>
    <w:p>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u w:val="single"/>
        </w:rPr>
      </w:pPr>
      <w:r>
        <w:rPr>
          <w:rFonts w:hint="eastAsia" w:ascii="宋体" w:hAnsi="宋体" w:cs="宋体"/>
          <w:color w:val="auto"/>
          <w:kern w:val="2"/>
          <w:sz w:val="21"/>
          <w:szCs w:val="21"/>
          <w:highlight w:val="none"/>
          <w:u w:val="single"/>
        </w:rPr>
        <w:t>16.4.5投标人弄虚作假骗取中标的。</w:t>
      </w:r>
    </w:p>
    <w:p>
      <w:pPr>
        <w:pStyle w:val="30"/>
        <w:adjustRightInd w:val="0"/>
        <w:snapToGrid w:val="0"/>
        <w:spacing w:after="0"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p>
    <w:p>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color w:val="auto"/>
          <w:kern w:val="2"/>
          <w:sz w:val="21"/>
          <w:szCs w:val="21"/>
          <w:highlight w:val="none"/>
        </w:rPr>
        <w:t>17.1</w:t>
      </w:r>
      <w:r>
        <w:rPr>
          <w:rFonts w:hint="eastAsia" w:ascii="宋体" w:hAnsi="宋体" w:cs="宋体"/>
          <w:bCs/>
          <w:color w:val="auto"/>
          <w:kern w:val="2"/>
          <w:sz w:val="21"/>
          <w:szCs w:val="21"/>
          <w:highlight w:val="none"/>
        </w:rPr>
        <w:t>投标人应采用单位数字证书，</w:t>
      </w:r>
      <w:r>
        <w:rPr>
          <w:rFonts w:hint="eastAsia" w:ascii="宋体" w:hAnsi="宋体" w:cs="宋体"/>
          <w:bCs/>
          <w:color w:val="auto"/>
          <w:kern w:val="2"/>
          <w:sz w:val="21"/>
          <w:szCs w:val="21"/>
          <w:highlight w:val="none"/>
          <w:lang w:eastAsia="zh-CN"/>
        </w:rPr>
        <w:t>对投标文件</w:t>
      </w:r>
      <w:r>
        <w:rPr>
          <w:rFonts w:hint="eastAsia" w:ascii="宋体" w:hAnsi="宋体" w:cs="宋体"/>
          <w:bCs/>
          <w:color w:val="auto"/>
          <w:kern w:val="2"/>
          <w:sz w:val="21"/>
          <w:szCs w:val="21"/>
          <w:highlight w:val="none"/>
        </w:rPr>
        <w:t>加盖电子印章。投标文件中需个人签字或盖章的，</w:t>
      </w:r>
      <w:r>
        <w:rPr>
          <w:rFonts w:hint="eastAsia" w:ascii="宋体" w:hAnsi="宋体" w:cs="宋体"/>
          <w:b w:val="0"/>
          <w:bCs/>
          <w:color w:val="auto"/>
          <w:kern w:val="2"/>
          <w:sz w:val="21"/>
          <w:szCs w:val="21"/>
          <w:highlight w:val="none"/>
        </w:rPr>
        <w:t>应加盖个人电子印章或在线下完成后原件扫描上传。</w:t>
      </w:r>
      <w:r>
        <w:rPr>
          <w:rFonts w:hint="eastAsia" w:ascii="宋体" w:hAnsi="宋体" w:cs="宋体"/>
          <w:bCs/>
          <w:color w:val="auto"/>
          <w:kern w:val="2"/>
          <w:sz w:val="21"/>
          <w:szCs w:val="21"/>
          <w:highlight w:val="none"/>
        </w:rPr>
        <w:t>按照交易平台关于全流程电子化项目的相关指南进行操作。详见：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bCs/>
          <w:color w:val="auto"/>
          <w:kern w:val="2"/>
          <w:sz w:val="21"/>
          <w:szCs w:val="21"/>
          <w:highlight w:val="none"/>
        </w:rPr>
        <w:t>。</w:t>
      </w:r>
    </w:p>
    <w:p>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现文：17．投标文件的签署</w:t>
      </w:r>
      <w:r>
        <w:rPr>
          <w:rFonts w:hint="eastAsia" w:ascii="宋体" w:hAnsi="宋体" w:cs="宋体"/>
          <w:b/>
          <w:color w:val="auto"/>
          <w:kern w:val="2"/>
          <w:sz w:val="21"/>
          <w:szCs w:val="21"/>
          <w:highlight w:val="none"/>
          <w:u w:val="single"/>
        </w:rPr>
        <w:t>及份数</w:t>
      </w:r>
    </w:p>
    <w:p>
      <w:pP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17.1投标人应采用单位数字证书，对投标文件加盖电子印章。投标文件中需个人签字或盖章的，应加盖个人电子印章或在线下完成后原件扫描上传。按照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交易平台关于全流程电子化项目的相关指南进行操作。详见：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rPr>
        <w:t>。</w:t>
      </w:r>
    </w:p>
    <w:p>
      <w:pPr>
        <w:pBdr>
          <w:bottom w:val="single" w:color="auto" w:sz="4" w:space="0"/>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18.</w:t>
      </w:r>
      <w:r>
        <w:rPr>
          <w:rFonts w:hint="eastAsia" w:ascii="宋体" w:hAnsi="宋体" w:cs="宋体"/>
          <w:b/>
          <w:bCs/>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pPr>
        <w:adjustRightInd w:val="0"/>
        <w:snapToGrid w:val="0"/>
        <w:spacing w:line="360" w:lineRule="auto"/>
        <w:ind w:firstLine="413" w:firstLineChars="196"/>
        <w:rPr>
          <w:rFonts w:ascii="宋体" w:hAnsi="宋体" w:cs="宋体"/>
          <w:b/>
          <w:bCs/>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val="0"/>
          <w:color w:val="auto"/>
          <w:kern w:val="2"/>
          <w:sz w:val="21"/>
          <w:szCs w:val="21"/>
          <w:highlight w:val="none"/>
        </w:rPr>
        <w:t>18．投标文件的密封和标记</w:t>
      </w:r>
    </w:p>
    <w:p>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18.1递交的电子投标文件（不含备用光盘）必须进行加密。按照交易平台关于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p>
    <w:p>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18.2 未按要求加密的投标文件，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w:t>
      </w:r>
      <w:r>
        <w:rPr>
          <w:rFonts w:hint="eastAsia" w:ascii="宋体" w:hAnsi="宋体" w:cs="宋体"/>
          <w:bCs/>
          <w:color w:val="auto"/>
          <w:kern w:val="2"/>
          <w:sz w:val="21"/>
          <w:szCs w:val="21"/>
          <w:highlight w:val="none"/>
        </w:rPr>
        <w:t>将予以拒收。</w:t>
      </w:r>
    </w:p>
    <w:p>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现文：18．投标文件的密封和标记</w:t>
      </w:r>
    </w:p>
    <w:p>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u w:val="single"/>
          <w:lang w:eastAsia="zh-CN"/>
        </w:rPr>
      </w:pPr>
      <w:r>
        <w:rPr>
          <w:rFonts w:hint="eastAsia" w:ascii="宋体" w:hAnsi="宋体" w:cs="宋体"/>
          <w:color w:val="auto"/>
          <w:kern w:val="2"/>
          <w:sz w:val="21"/>
          <w:szCs w:val="21"/>
          <w:highlight w:val="none"/>
        </w:rPr>
        <w:t>18.1</w:t>
      </w:r>
      <w:r>
        <w:rPr>
          <w:rFonts w:hint="eastAsia" w:ascii="宋体" w:hAnsi="宋体" w:cs="宋体"/>
          <w:bCs/>
          <w:color w:val="auto"/>
          <w:kern w:val="2"/>
          <w:sz w:val="21"/>
          <w:szCs w:val="21"/>
          <w:highlight w:val="none"/>
        </w:rPr>
        <w:t>递交的电子投标文件（不含备用光盘）必须进行加密。按照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u w:val="none"/>
          <w:lang w:eastAsia="zh-CN"/>
        </w:rPr>
        <w:t>。</w:t>
      </w:r>
    </w:p>
    <w:p>
      <w:pPr>
        <w:pBdr>
          <w:bottom w:val="single" w:color="auto" w:sz="6" w:space="1"/>
        </w:pBdr>
        <w:adjustRightInd w:val="0"/>
        <w:snapToGrid w:val="0"/>
        <w:spacing w:line="360" w:lineRule="auto"/>
        <w:ind w:firstLine="420" w:firstLineChars="200"/>
        <w:rPr>
          <w:rFonts w:hint="eastAsia" w:ascii="宋体" w:hAnsi="宋体" w:cs="宋体"/>
          <w:bCs/>
          <w:color w:val="auto"/>
          <w:kern w:val="2"/>
          <w:sz w:val="21"/>
          <w:szCs w:val="21"/>
          <w:highlight w:val="none"/>
        </w:rPr>
      </w:pPr>
      <w:r>
        <w:rPr>
          <w:rFonts w:hint="eastAsia" w:ascii="宋体" w:hAnsi="宋体" w:cs="宋体"/>
          <w:bCs/>
          <w:color w:val="auto"/>
          <w:kern w:val="2"/>
          <w:sz w:val="21"/>
          <w:szCs w:val="21"/>
          <w:highlight w:val="none"/>
        </w:rPr>
        <w:t>18.2未按要求加密的投标文件，</w:t>
      </w:r>
      <w:r>
        <w:rPr>
          <w:rFonts w:hint="eastAsia" w:ascii="宋体" w:hAnsi="宋体" w:cs="宋体"/>
          <w:bCs/>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交易平台将予以拒收。</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条款号：19</w:t>
      </w:r>
      <w:r>
        <w:rPr>
          <w:rFonts w:hint="eastAsia" w:ascii="宋体" w:hAnsi="宋体" w:cs="宋体"/>
          <w:b/>
          <w:bCs/>
          <w:color w:val="auto"/>
          <w:kern w:val="2"/>
          <w:sz w:val="21"/>
          <w:szCs w:val="21"/>
          <w:highlight w:val="none"/>
        </w:rPr>
        <w:t>.</w:t>
      </w:r>
      <w:r>
        <w:rPr>
          <w:rFonts w:hint="eastAsia" w:ascii="宋体" w:hAnsi="宋体" w:cs="宋体"/>
          <w:b/>
          <w:color w:val="auto"/>
          <w:kern w:val="2"/>
          <w:sz w:val="21"/>
          <w:szCs w:val="21"/>
          <w:highlight w:val="none"/>
        </w:rPr>
        <w:t xml:space="preserve">                         修改类型：修改</w:t>
      </w:r>
    </w:p>
    <w:p>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原文：19.投标文件的递交和接收</w:t>
      </w:r>
    </w:p>
    <w:p>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19.1投标人通过</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交易平台递交电子投标文件。</w:t>
      </w:r>
    </w:p>
    <w:p>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19.2投标人完成电子投标文件上传后，</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交易平台即时向投标人发出递交回执通知。递交时间以递交回执通知载明的传输完成时间为准。</w:t>
      </w:r>
    </w:p>
    <w:p>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19.3逾期送达的电子投标文件，</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交易平台将予以拒收。</w:t>
      </w:r>
    </w:p>
    <w:p>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19.4 投标截止前，招标人拒绝接收符合条件的投标文件，投标人可向招标投标监督机构投诉。</w:t>
      </w:r>
    </w:p>
    <w:p>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19.5如技术标和经济标先后分别开启，</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交易平台将按招标文件规定的时间分别开启技术标和经济标。</w:t>
      </w:r>
    </w:p>
    <w:p>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现文：19.</w:t>
      </w:r>
      <w:r>
        <w:rPr>
          <w:rFonts w:hint="eastAsia" w:ascii="宋体" w:hAnsi="宋体" w:cs="宋体"/>
          <w:b/>
          <w:color w:val="auto"/>
          <w:kern w:val="2"/>
          <w:sz w:val="21"/>
          <w:szCs w:val="21"/>
          <w:highlight w:val="none"/>
          <w:u w:val="single"/>
        </w:rPr>
        <w:t>投标登记和</w:t>
      </w:r>
      <w:r>
        <w:rPr>
          <w:rFonts w:hint="eastAsia" w:ascii="宋体" w:hAnsi="宋体" w:cs="宋体"/>
          <w:b/>
          <w:color w:val="auto"/>
          <w:kern w:val="2"/>
          <w:sz w:val="21"/>
          <w:szCs w:val="21"/>
          <w:highlight w:val="none"/>
        </w:rPr>
        <w:t>投标文件的递交和接收</w:t>
      </w:r>
    </w:p>
    <w:p>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19.1</w:t>
      </w:r>
      <w:r>
        <w:rPr>
          <w:rFonts w:hint="eastAsia" w:ascii="宋体" w:hAnsi="宋体" w:cs="宋体"/>
          <w:bCs/>
          <w:color w:val="auto"/>
          <w:kern w:val="2"/>
          <w:sz w:val="21"/>
          <w:szCs w:val="21"/>
          <w:highlight w:val="none"/>
        </w:rPr>
        <w:t>投标人通过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交易平台递交电子投标文件</w:t>
      </w:r>
      <w:r>
        <w:rPr>
          <w:rFonts w:hint="eastAsia" w:ascii="宋体" w:hAnsi="宋体" w:cs="宋体"/>
          <w:color w:val="auto"/>
          <w:kern w:val="2"/>
          <w:sz w:val="21"/>
          <w:szCs w:val="21"/>
          <w:highlight w:val="none"/>
          <w:u w:val="none"/>
          <w:lang w:eastAsia="zh-CN"/>
        </w:rPr>
        <w:t>。</w:t>
      </w:r>
    </w:p>
    <w:p>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19.2投标人完成电子投标文件上传后，</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交易平台即时向投标人发出递交回执通知。递交时间以递交回执通知载明的传输完成时间为准。</w:t>
      </w:r>
    </w:p>
    <w:p>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19.3逾期送达的电子投标文件，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19.4投标截止前，招标人拒绝接收符合条件的投标文件，投标人可向招标投标监督机构投诉。</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19.5</w:t>
      </w:r>
      <w:r>
        <w:rPr>
          <w:rFonts w:hint="eastAsia" w:ascii="宋体" w:hAnsi="宋体" w:cs="宋体"/>
          <w:color w:val="auto"/>
          <w:kern w:val="2"/>
          <w:sz w:val="21"/>
          <w:szCs w:val="21"/>
          <w:highlight w:val="none"/>
          <w:u w:val="single"/>
        </w:rPr>
        <w:t>广州交易集团有限公司（广州公共资源交易中心）交易平台将按招标文件规定的时间同时开启技术标（含资格审查文件）</w:t>
      </w:r>
      <w:r>
        <w:rPr>
          <w:rFonts w:hint="eastAsia" w:ascii="宋体" w:hAnsi="宋体" w:cs="宋体"/>
          <w:color w:val="auto"/>
          <w:kern w:val="2"/>
          <w:sz w:val="21"/>
          <w:szCs w:val="21"/>
          <w:highlight w:val="none"/>
          <w:u w:val="single"/>
          <w:lang w:val="en-US" w:eastAsia="zh-CN"/>
        </w:rPr>
        <w:t>和</w:t>
      </w:r>
      <w:r>
        <w:rPr>
          <w:rFonts w:hint="eastAsia" w:ascii="宋体" w:hAnsi="宋体" w:cs="宋体"/>
          <w:color w:val="auto"/>
          <w:kern w:val="2"/>
          <w:sz w:val="21"/>
          <w:szCs w:val="21"/>
          <w:highlight w:val="none"/>
          <w:u w:val="single"/>
        </w:rPr>
        <w:t>经济标文件。</w:t>
      </w:r>
    </w:p>
    <w:p>
      <w:pPr>
        <w:adjustRightInd w:val="0"/>
        <w:snapToGrid w:val="0"/>
        <w:spacing w:line="360" w:lineRule="auto"/>
        <w:ind w:firstLine="472" w:firstLineChars="224"/>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条款号：20.3                       修改类型：修改</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20.3</w:t>
      </w:r>
      <w:r>
        <w:rPr>
          <w:rFonts w:hint="eastAsia" w:ascii="宋体" w:hAnsi="宋体" w:cs="宋体"/>
          <w:color w:val="auto"/>
          <w:kern w:val="2"/>
          <w:sz w:val="21"/>
          <w:szCs w:val="21"/>
          <w:highlight w:val="none"/>
          <w:u w:val="single"/>
        </w:rPr>
        <w:t>到投标截止时间止，招标人收到的投标文件少于3家的，招标人将重新组织招标。</w:t>
      </w:r>
    </w:p>
    <w:p>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条款号：21.1                       修改类型：修改</w:t>
      </w:r>
    </w:p>
    <w:p>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交易平台将予以拒收。</w:t>
      </w:r>
    </w:p>
    <w:p>
      <w:pPr>
        <w:pBdr>
          <w:bottom w:val="single" w:color="auto" w:sz="6" w:space="1"/>
        </w:pBdr>
        <w:adjustRightInd w:val="0"/>
        <w:snapToGrid w:val="0"/>
        <w:spacing w:line="360" w:lineRule="auto"/>
        <w:ind w:firstLine="527" w:firstLineChars="250"/>
        <w:textAlignment w:val="baseline"/>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 xml:space="preserve">条款号：24              </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 xml:space="preserve">         修改类型：修改</w:t>
      </w:r>
    </w:p>
    <w:p>
      <w:pPr>
        <w:adjustRightInd w:val="0"/>
        <w:snapToGrid w:val="0"/>
        <w:spacing w:line="360" w:lineRule="auto"/>
        <w:ind w:firstLine="472" w:firstLineChars="224"/>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原文：24．评标过程的保密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.1开标后，直至中标公示为止，凡属于对投标文件的审查、澄清、评价和比较有关的资料以及中标候选人的推荐情况，与评标有关的其他任何情况均严格保密。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24.2在投标文件的评审和比较、中标候选人推荐以及授予合同的过程中，投标人向招标人和评标委员会施加不公正影响的任何行为，都将会导致其投标被拒绝。</w:t>
      </w:r>
    </w:p>
    <w:p>
      <w:pPr>
        <w:pBdr>
          <w:bottom w:val="single" w:color="auto" w:sz="6" w:space="1"/>
        </w:pBdr>
        <w:adjustRightInd w:val="0"/>
        <w:snapToGrid w:val="0"/>
        <w:spacing w:line="360" w:lineRule="auto"/>
        <w:ind w:firstLine="527" w:firstLineChars="250"/>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现文：24．评标过程的保密</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w:t>
      </w:r>
      <w:r>
        <w:rPr>
          <w:rFonts w:hint="eastAsia" w:ascii="宋体" w:hAnsi="宋体" w:cs="宋体"/>
          <w:color w:val="auto"/>
          <w:kern w:val="2"/>
          <w:sz w:val="21"/>
          <w:szCs w:val="21"/>
          <w:highlight w:val="none"/>
          <w:u w:val="single"/>
        </w:rPr>
        <w:t>合格的中标候选人</w:t>
      </w:r>
      <w:r>
        <w:rPr>
          <w:rFonts w:hint="eastAsia" w:ascii="宋体" w:hAnsi="宋体" w:cs="宋体"/>
          <w:color w:val="auto"/>
          <w:kern w:val="2"/>
          <w:sz w:val="21"/>
          <w:szCs w:val="21"/>
          <w:highlight w:val="none"/>
        </w:rPr>
        <w:t>公示为止，凡属于对投标文件的审查、澄清、评价和比较有关的资料以及</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中标候选人的推荐情况，与评标有关的其他任何情况均严格保密。</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24.2在投标文件的评审和比较、</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中标候选人推荐</w:t>
      </w:r>
      <w:r>
        <w:rPr>
          <w:rFonts w:hint="eastAsia" w:ascii="宋体" w:hAnsi="宋体" w:cs="宋体"/>
          <w:color w:val="auto"/>
          <w:kern w:val="2"/>
          <w:sz w:val="21"/>
          <w:szCs w:val="21"/>
          <w:highlight w:val="none"/>
          <w:u w:val="single"/>
        </w:rPr>
        <w:t>[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定标</w:t>
      </w:r>
      <w:r>
        <w:rPr>
          <w:rFonts w:hint="eastAsia" w:ascii="宋体" w:hAnsi="宋体" w:cs="宋体"/>
          <w:color w:val="auto"/>
          <w:kern w:val="2"/>
          <w:sz w:val="21"/>
          <w:szCs w:val="21"/>
          <w:highlight w:val="none"/>
        </w:rPr>
        <w:t>以及授予合同的过程中，投标人向招标人和评标委员会</w:t>
      </w:r>
      <w:r>
        <w:rPr>
          <w:rFonts w:hint="eastAsia" w:ascii="宋体" w:hAnsi="宋体" w:cs="宋体"/>
          <w:color w:val="auto"/>
          <w:kern w:val="2"/>
          <w:sz w:val="21"/>
          <w:szCs w:val="21"/>
          <w:highlight w:val="none"/>
          <w:u w:val="single"/>
        </w:rPr>
        <w:t>和定标委员会</w:t>
      </w:r>
      <w:r>
        <w:rPr>
          <w:rFonts w:hint="eastAsia" w:ascii="宋体" w:hAnsi="宋体" w:cs="宋体"/>
          <w:color w:val="auto"/>
          <w:kern w:val="2"/>
          <w:sz w:val="21"/>
          <w:szCs w:val="21"/>
          <w:highlight w:val="none"/>
        </w:rPr>
        <w:t>施加不公正影响的任何行为，都将会导致其投标被拒绝。</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条款号：27.1                        修改类型：修改</w:t>
      </w:r>
    </w:p>
    <w:p>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27.1招标人将在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交易平台答复线上提交的异议。作出答复前，应当暂停招标投标活动。</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27.1</w:t>
      </w:r>
      <w:r>
        <w:rPr>
          <w:rFonts w:hint="eastAsia" w:ascii="宋体" w:hAnsi="宋体" w:cs="宋体"/>
          <w:color w:val="auto"/>
          <w:kern w:val="2"/>
          <w:sz w:val="21"/>
          <w:szCs w:val="21"/>
          <w:highlight w:val="none"/>
          <w:u w:val="single"/>
        </w:rPr>
        <w:t>在评标委员会完成评标工作后，</w:t>
      </w:r>
      <w:r>
        <w:rPr>
          <w:rFonts w:hint="eastAsia" w:ascii="宋体" w:hAnsi="宋体" w:cs="宋体"/>
          <w:color w:val="auto"/>
          <w:kern w:val="2"/>
          <w:sz w:val="21"/>
          <w:szCs w:val="21"/>
          <w:highlight w:val="none"/>
        </w:rPr>
        <w:t>招标人将在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交易平台、广东省招标投标监管网和中国招标投标公共服务平台公示</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交易平台答复线上提交的异议。作出答复前，应当暂停招标投标活动。</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条款号：27.4                        修改类型：修改</w:t>
      </w:r>
    </w:p>
    <w:p>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交易平台和广东省招标投标监管网公开。</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27.4在产生</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中标候选人后，招标人将</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中标候选人的投标文件商务部分文件的所有内容（包括人员、业绩、奖项等资料）在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交易平台和广东省招标投标监管网公开。</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条款号：28.2                        修改类型：修改</w:t>
      </w:r>
    </w:p>
    <w:p>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w:t>
      </w:r>
      <w:r>
        <w:rPr>
          <w:rFonts w:hint="eastAsia" w:ascii="宋体" w:hAnsi="宋体" w:cs="宋体"/>
          <w:color w:val="auto"/>
          <w:kern w:val="2"/>
          <w:sz w:val="21"/>
          <w:szCs w:val="21"/>
          <w:highlight w:val="none"/>
          <w:u w:val="single"/>
        </w:rPr>
        <w:t>原中标人依法承担相应法律责任。原中标人给招标人造成的损失，应当对其予以赔偿。</w:t>
      </w:r>
      <w:r>
        <w:rPr>
          <w:rFonts w:hint="eastAsia" w:ascii="宋体" w:hAnsi="宋体" w:cs="宋体"/>
          <w:color w:val="auto"/>
          <w:kern w:val="2"/>
          <w:sz w:val="21"/>
          <w:szCs w:val="21"/>
          <w:highlight w:val="none"/>
        </w:rPr>
        <w:t>原中标人有异议的，可以向人民法院起诉。</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条款号：28.3                        修改类型：修改</w:t>
      </w:r>
    </w:p>
    <w:p>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adjustRightInd w:val="0"/>
        <w:snapToGrid w:val="0"/>
        <w:spacing w:line="360" w:lineRule="auto"/>
        <w:ind w:firstLine="472" w:firstLineChars="224"/>
        <w:rPr>
          <w:rFonts w:ascii="宋体" w:hAnsi="宋体" w:cs="宋体"/>
          <w:b/>
          <w:color w:val="auto"/>
          <w:kern w:val="2"/>
          <w:sz w:val="21"/>
          <w:szCs w:val="21"/>
          <w:highlight w:val="none"/>
          <w:u w:val="singl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28.3非经招标人同意，中标人在投标过程中使用的银行名称及</w:t>
      </w:r>
      <w:r>
        <w:rPr>
          <w:rFonts w:hint="eastAsia" w:ascii="宋体" w:hAnsi="宋体" w:cs="宋体"/>
          <w:color w:val="auto"/>
          <w:kern w:val="2"/>
          <w:sz w:val="21"/>
          <w:szCs w:val="21"/>
          <w:highlight w:val="none"/>
          <w:u w:val="single"/>
        </w:rPr>
        <w:t>账号</w:t>
      </w:r>
      <w:r>
        <w:rPr>
          <w:rFonts w:hint="eastAsia" w:ascii="宋体" w:hAnsi="宋体" w:cs="宋体"/>
          <w:color w:val="auto"/>
          <w:kern w:val="2"/>
          <w:sz w:val="21"/>
          <w:szCs w:val="21"/>
          <w:highlight w:val="none"/>
        </w:rPr>
        <w:t>至完成竣工结算不得变更，否则招标人有权停止工程款项的</w:t>
      </w:r>
      <w:r>
        <w:rPr>
          <w:rFonts w:hint="eastAsia" w:ascii="宋体" w:hAnsi="宋体" w:cs="宋体"/>
          <w:color w:val="auto"/>
          <w:kern w:val="2"/>
          <w:sz w:val="21"/>
          <w:szCs w:val="21"/>
          <w:highlight w:val="none"/>
          <w:u w:val="single"/>
        </w:rPr>
        <w:t>拨付</w:t>
      </w:r>
      <w:r>
        <w:rPr>
          <w:rFonts w:hint="eastAsia" w:ascii="宋体" w:hAnsi="宋体" w:cs="宋体"/>
          <w:color w:val="auto"/>
          <w:kern w:val="2"/>
          <w:sz w:val="21"/>
          <w:szCs w:val="21"/>
          <w:highlight w:val="none"/>
        </w:rPr>
        <w:t>及至解除合同，由此造成的一切责任由中标人承担。</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条款号：29.1                        修改类型：修改</w:t>
      </w:r>
    </w:p>
    <w:p>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29.1在收到中标通知书后的</w:t>
      </w:r>
      <w:r>
        <w:rPr>
          <w:rFonts w:hint="eastAsia" w:ascii="宋体" w:hAnsi="宋体" w:cs="宋体"/>
          <w:b w:val="0"/>
          <w:bCs/>
          <w:color w:val="auto"/>
          <w:kern w:val="2"/>
          <w:sz w:val="21"/>
          <w:szCs w:val="21"/>
          <w:highlight w:val="none"/>
        </w:rPr>
        <w:t>15日</w:t>
      </w:r>
      <w:r>
        <w:rPr>
          <w:rFonts w:hint="eastAsia" w:ascii="宋体" w:hAnsi="宋体" w:cs="宋体"/>
          <w:color w:val="auto"/>
          <w:kern w:val="2"/>
          <w:sz w:val="21"/>
          <w:szCs w:val="21"/>
          <w:highlight w:val="none"/>
        </w:rPr>
        <w:t>内，中标人应按本须知前附表第20项的规定向招标人提交履约担保。</w:t>
      </w:r>
    </w:p>
    <w:p>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29.1</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，中标人应按本须知前附表第20项的规定向招标人提交履约担保。</w:t>
      </w:r>
    </w:p>
    <w:p>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条款号：29.2                        修改类型：修改</w:t>
      </w:r>
    </w:p>
    <w:p>
      <w:pPr>
        <w:adjustRightInd w:val="0"/>
        <w:snapToGrid w:val="0"/>
        <w:spacing w:line="360" w:lineRule="auto"/>
        <w:ind w:firstLine="413" w:firstLineChars="196"/>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：29.2</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，中标人未按上款的规定递交履约担保，招标人将解除中标通知书，</w:t>
      </w:r>
      <w:r>
        <w:rPr>
          <w:rFonts w:hint="eastAsia" w:ascii="宋体" w:hAnsi="宋体" w:cs="宋体"/>
          <w:color w:val="auto"/>
          <w:kern w:val="2"/>
          <w:sz w:val="21"/>
          <w:szCs w:val="21"/>
          <w:highlight w:val="none"/>
          <w:u w:val="single"/>
        </w:rPr>
        <w:t>原中标人依法承担相应法律责任。原中标人给招标人造成的损失，还应当予以赔偿</w:t>
      </w:r>
      <w:r>
        <w:rPr>
          <w:rFonts w:hint="eastAsia" w:ascii="宋体" w:hAnsi="宋体" w:cs="宋体"/>
          <w:color w:val="auto"/>
          <w:kern w:val="2"/>
          <w:sz w:val="21"/>
          <w:szCs w:val="21"/>
          <w:highlight w:val="none"/>
        </w:rPr>
        <w:t>。原中标人有异议的，可以向人民法院起诉。</w:t>
      </w:r>
    </w:p>
    <w:p>
      <w:pPr>
        <w:adjustRightInd w:val="0"/>
        <w:snapToGrid w:val="0"/>
        <w:spacing w:line="360" w:lineRule="auto"/>
        <w:ind w:firstLine="0" w:firstLineChars="0"/>
        <w:rPr>
          <w:rFonts w:ascii="宋体" w:hAnsi="宋体" w:cs="宋体"/>
          <w:b/>
          <w:bCs/>
          <w:color w:val="auto"/>
          <w:kern w:val="2"/>
          <w:sz w:val="21"/>
          <w:szCs w:val="21"/>
          <w:highlight w:val="none"/>
        </w:rPr>
      </w:pPr>
      <w:r>
        <w:rPr>
          <w:rFonts w:hint="eastAsia" w:ascii="宋体" w:hAnsi="宋体" w:cs="宋体"/>
          <w:color w:val="auto"/>
          <w:kern w:val="2"/>
          <w:sz w:val="21"/>
          <w:szCs w:val="21"/>
          <w:highlight w:val="none"/>
          <w:u w:val="single"/>
          <w:lang w:val="en-US" w:eastAsia="zh-CN"/>
        </w:rPr>
        <w:t xml:space="preserve">    </w:t>
      </w:r>
      <w:r>
        <w:rPr>
          <w:rFonts w:hint="eastAsia" w:ascii="宋体" w:hAnsi="宋体" w:cs="宋体"/>
          <w:b/>
          <w:bCs/>
          <w:color w:val="auto"/>
          <w:kern w:val="2"/>
          <w:sz w:val="21"/>
          <w:szCs w:val="21"/>
          <w:highlight w:val="none"/>
        </w:rPr>
        <w:t>条款号：31                          修改类型：修改</w:t>
      </w:r>
    </w:p>
    <w:p>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原文：31.其它费用</w:t>
      </w:r>
    </w:p>
    <w:p>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w:t>
      </w:r>
      <w:r>
        <w:rPr>
          <w:rFonts w:hint="eastAsia" w:ascii="宋体" w:hAnsi="宋体" w:cs="宋体"/>
          <w:b/>
          <w:color w:val="auto"/>
          <w:kern w:val="2"/>
          <w:sz w:val="21"/>
          <w:szCs w:val="21"/>
          <w:highlight w:val="none"/>
        </w:rPr>
        <w:t>31.</w:t>
      </w:r>
      <w:r>
        <w:rPr>
          <w:rFonts w:hint="eastAsia" w:ascii="宋体" w:hAnsi="宋体" w:cs="宋体"/>
          <w:b/>
          <w:bCs/>
          <w:color w:val="auto"/>
          <w:kern w:val="2"/>
          <w:sz w:val="21"/>
          <w:szCs w:val="21"/>
          <w:highlight w:val="none"/>
        </w:rPr>
        <w:t>其它费用</w:t>
      </w:r>
    </w:p>
    <w:p>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中标人应交纳交易服务费，该费用包含在投标价中</w:t>
      </w:r>
      <w:r>
        <w:rPr>
          <w:rFonts w:hint="eastAsia" w:ascii="宋体" w:hAnsi="宋体" w:cs="宋体"/>
          <w:color w:val="auto"/>
          <w:kern w:val="2"/>
          <w:sz w:val="21"/>
          <w:szCs w:val="21"/>
          <w:highlight w:val="none"/>
        </w:rPr>
        <w:t>。</w:t>
      </w:r>
    </w:p>
    <w:p>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pPr>
        <w:pStyle w:val="5"/>
        <w:snapToGrid w:val="0"/>
        <w:spacing w:before="0" w:after="0" w:line="360" w:lineRule="auto"/>
        <w:ind w:left="0"/>
        <w:rPr>
          <w:rFonts w:ascii="宋体" w:hAnsi="宋体" w:cs="宋体"/>
          <w:color w:val="auto"/>
          <w:highlight w:val="none"/>
        </w:rPr>
      </w:pPr>
      <w:bookmarkStart w:id="6" w:name="_Toc21525492"/>
      <w:bookmarkStart w:id="7" w:name="_Toc31334"/>
      <w:r>
        <w:rPr>
          <w:rFonts w:hint="eastAsia" w:ascii="宋体" w:hAnsi="宋体" w:cs="宋体"/>
          <w:color w:val="auto"/>
          <w:sz w:val="32"/>
          <w:szCs w:val="32"/>
          <w:highlight w:val="none"/>
        </w:rPr>
        <w:t>三、投标须知通用条款</w:t>
      </w:r>
      <w:bookmarkEnd w:id="6"/>
      <w:bookmarkEnd w:id="7"/>
    </w:p>
    <w:p>
      <w:pPr>
        <w:pStyle w:val="6"/>
        <w:snapToGrid w:val="0"/>
        <w:spacing w:before="0" w:beforeAutospacing="0" w:after="0" w:afterAutospacing="0" w:line="360" w:lineRule="auto"/>
        <w:rPr>
          <w:rFonts w:cs="宋体"/>
          <w:color w:val="auto"/>
          <w:sz w:val="21"/>
          <w:szCs w:val="21"/>
          <w:highlight w:val="none"/>
        </w:rPr>
      </w:pPr>
      <w:bookmarkStart w:id="8" w:name="_Toc21525493"/>
      <w:bookmarkStart w:id="9" w:name="_Toc12947"/>
      <w:r>
        <w:rPr>
          <w:rFonts w:hint="eastAsia" w:cs="宋体"/>
          <w:color w:val="auto"/>
          <w:sz w:val="21"/>
          <w:szCs w:val="21"/>
          <w:highlight w:val="none"/>
        </w:rPr>
        <w:t>（一）总则</w:t>
      </w:r>
      <w:bookmarkEnd w:id="8"/>
      <w:bookmarkEnd w:id="9"/>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pPr>
        <w:pStyle w:val="30"/>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pPr>
        <w:pStyle w:val="30"/>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pPr>
        <w:pStyle w:val="30"/>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（2）“投标人”指向招标人提交投标文件的当事人。</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pPr>
        <w:pStyle w:val="30"/>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pPr>
        <w:pStyle w:val="6"/>
        <w:snapToGrid w:val="0"/>
        <w:spacing w:before="0" w:beforeAutospacing="0" w:after="0" w:afterAutospacing="0" w:line="360" w:lineRule="auto"/>
        <w:rPr>
          <w:rFonts w:cs="宋体"/>
          <w:color w:val="auto"/>
          <w:sz w:val="21"/>
          <w:szCs w:val="21"/>
          <w:highlight w:val="none"/>
        </w:rPr>
      </w:pPr>
      <w:bookmarkStart w:id="10" w:name="_Toc21525494"/>
      <w:bookmarkStart w:id="11" w:name="_Toc32111"/>
      <w:r>
        <w:rPr>
          <w:rFonts w:hint="eastAsia" w:cs="宋体"/>
          <w:color w:val="auto"/>
          <w:sz w:val="21"/>
          <w:szCs w:val="21"/>
          <w:highlight w:val="none"/>
        </w:rPr>
        <w:t>（二）招标文件</w:t>
      </w:r>
      <w:bookmarkEnd w:id="10"/>
      <w:bookmarkEnd w:id="11"/>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第一章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投标须知</w:t>
      </w:r>
    </w:p>
    <w:p>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第二章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开标、评标及定标办法</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合同条款</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第四章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投标文件格式</w:t>
      </w:r>
    </w:p>
    <w:p>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第五章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技术条件（工程建设标准）（另册）</w:t>
      </w:r>
    </w:p>
    <w:p>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第六章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图纸及勘察资料（另册）</w:t>
      </w:r>
    </w:p>
    <w:p>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招标</w:t>
      </w:r>
      <w:r>
        <w:rPr>
          <w:rFonts w:hint="eastAsia" w:ascii="宋体" w:hAnsi="宋体" w:cs="宋体"/>
          <w:color w:val="auto"/>
          <w:sz w:val="21"/>
          <w:szCs w:val="21"/>
          <w:highlight w:val="none"/>
        </w:rPr>
        <w:t>工程量清单（另册）</w:t>
      </w:r>
    </w:p>
    <w:p>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最高投标限价</w:t>
      </w:r>
    </w:p>
    <w:p>
      <w:pPr>
        <w:pStyle w:val="30"/>
        <w:snapToGrid w:val="0"/>
        <w:spacing w:after="0" w:line="360" w:lineRule="auto"/>
        <w:ind w:left="-2"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1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①</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2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②</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鼓励招标人对施工组织设计或施工方案实行隐藏投标人信息的暗标评审</w:t>
      </w:r>
      <w:r>
        <w:rPr>
          <w:rFonts w:hint="eastAsia" w:ascii="宋体" w:hAnsi="宋体" w:cs="宋体"/>
          <w:b w:val="0"/>
          <w:bCs w:val="0"/>
          <w:color w:val="auto"/>
          <w:sz w:val="21"/>
          <w:szCs w:val="21"/>
          <w:highlight w:val="none"/>
        </w:rPr>
        <w:t>。</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napToGrid w:val="0"/>
        <w:spacing w:before="0" w:beforeAutospacing="0" w:after="0" w:afterAutospacing="0" w:line="360" w:lineRule="auto"/>
        <w:rPr>
          <w:rFonts w:cs="宋体"/>
          <w:color w:val="auto"/>
          <w:sz w:val="21"/>
          <w:szCs w:val="21"/>
          <w:highlight w:val="none"/>
        </w:rPr>
      </w:pPr>
      <w:bookmarkStart w:id="12" w:name="_Toc21525495"/>
      <w:bookmarkStart w:id="13" w:name="_Toc32542"/>
      <w:r>
        <w:rPr>
          <w:rFonts w:hint="eastAsia" w:cs="宋体"/>
          <w:color w:val="auto"/>
          <w:sz w:val="21"/>
          <w:szCs w:val="21"/>
          <w:highlight w:val="none"/>
        </w:rPr>
        <w:t>（三）投标文件的编制</w:t>
      </w:r>
      <w:bookmarkEnd w:id="12"/>
      <w:bookmarkEnd w:id="13"/>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pPr>
        <w:pStyle w:val="30"/>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lang w:eastAsia="zh-CN"/>
        </w:rPr>
        <w:t>对投标文件</w:t>
      </w:r>
      <w:r>
        <w:rPr>
          <w:rFonts w:hint="eastAsia" w:ascii="宋体" w:hAnsi="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pStyle w:val="30"/>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pPr>
        <w:pStyle w:val="3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lang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pPr>
        <w:pStyle w:val="6"/>
        <w:snapToGrid w:val="0"/>
        <w:spacing w:before="0" w:beforeAutospacing="0" w:after="0" w:afterAutospacing="0" w:line="360" w:lineRule="auto"/>
        <w:rPr>
          <w:rFonts w:cs="宋体"/>
          <w:color w:val="auto"/>
          <w:sz w:val="21"/>
          <w:szCs w:val="21"/>
          <w:highlight w:val="none"/>
        </w:rPr>
      </w:pPr>
      <w:bookmarkStart w:id="14" w:name="_Toc24057"/>
      <w:bookmarkStart w:id="15" w:name="_Toc21525496"/>
      <w:r>
        <w:rPr>
          <w:rFonts w:hint="eastAsia" w:cs="宋体"/>
          <w:color w:val="auto"/>
          <w:sz w:val="21"/>
          <w:szCs w:val="21"/>
          <w:highlight w:val="none"/>
        </w:rPr>
        <w:t>（四）投标文件的提交</w:t>
      </w:r>
      <w:bookmarkEnd w:id="14"/>
      <w:bookmarkEnd w:id="15"/>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交易平台递交电子投标文件。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pPr>
        <w:pStyle w:val="6"/>
        <w:snapToGrid w:val="0"/>
        <w:spacing w:before="0" w:beforeAutospacing="0" w:after="0" w:afterAutospacing="0" w:line="360" w:lineRule="auto"/>
        <w:rPr>
          <w:rFonts w:cs="宋体"/>
          <w:color w:val="auto"/>
          <w:sz w:val="21"/>
          <w:szCs w:val="21"/>
          <w:highlight w:val="none"/>
        </w:rPr>
      </w:pPr>
      <w:bookmarkStart w:id="16" w:name="_Toc13732"/>
      <w:bookmarkStart w:id="17" w:name="_Toc21525497"/>
      <w:r>
        <w:rPr>
          <w:rFonts w:hint="eastAsia" w:cs="宋体"/>
          <w:color w:val="auto"/>
          <w:sz w:val="21"/>
          <w:szCs w:val="21"/>
          <w:highlight w:val="none"/>
        </w:rPr>
        <w:t>（五）开标、评标、定标及合同签定</w:t>
      </w:r>
      <w:bookmarkEnd w:id="16"/>
      <w:bookmarkEnd w:id="17"/>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交易平台和广东省招标投标监管网公开。</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w:t>
      </w:r>
      <w:r>
        <w:rPr>
          <w:rFonts w:hint="eastAsia" w:ascii="宋体" w:hAnsi="宋体" w:cs="宋体"/>
          <w:b/>
          <w:bCs/>
          <w:color w:val="auto"/>
          <w:szCs w:val="21"/>
          <w:highlight w:val="none"/>
        </w:rPr>
        <w:t>工程进度款支付应不低于已完成工程价款的80%，招标人支付工程款时，中标人应按规定开具发票。质量保证金不超过工程价款总额3%。当年开工、当年不能竣工的新开工项目可以采用过程结算。</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rPr>
          <w:color w:val="auto"/>
          <w:highlight w:val="none"/>
        </w:rPr>
      </w:pPr>
    </w:p>
    <w:p>
      <w:pPr>
        <w:pStyle w:val="4"/>
        <w:snapToGrid w:val="0"/>
        <w:spacing w:before="0" w:after="0"/>
        <w:jc w:val="center"/>
        <w:rPr>
          <w:rFonts w:ascii="宋体" w:hAnsi="宋体" w:cs="宋体"/>
          <w:b/>
          <w:bCs w:val="0"/>
          <w:color w:val="auto"/>
          <w:sz w:val="32"/>
          <w:szCs w:val="32"/>
          <w:highlight w:val="none"/>
        </w:rPr>
      </w:pPr>
      <w:r>
        <w:rPr>
          <w:rFonts w:hint="eastAsia" w:ascii="宋体" w:hAnsi="宋体" w:cs="宋体"/>
          <w:color w:val="auto"/>
          <w:sz w:val="24"/>
          <w:szCs w:val="24"/>
          <w:highlight w:val="none"/>
        </w:rPr>
        <w:br w:type="page"/>
      </w:r>
      <w:bookmarkStart w:id="18" w:name="_Toc12835"/>
      <w:r>
        <w:rPr>
          <w:rFonts w:hint="eastAsia" w:ascii="宋体" w:hAnsi="宋体" w:cs="宋体"/>
          <w:b/>
          <w:bCs w:val="0"/>
          <w:color w:val="auto"/>
          <w:sz w:val="32"/>
          <w:szCs w:val="32"/>
          <w:highlight w:val="none"/>
        </w:rPr>
        <w:t>第二章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开标、评标及定标办法</w:t>
      </w:r>
      <w:bookmarkEnd w:id="18"/>
    </w:p>
    <w:p>
      <w:pPr>
        <w:pStyle w:val="5"/>
        <w:snapToGrid w:val="0"/>
        <w:spacing w:before="0" w:after="0" w:line="360" w:lineRule="auto"/>
        <w:ind w:left="0"/>
        <w:rPr>
          <w:rFonts w:ascii="宋体" w:hAnsi="宋体" w:cs="宋体"/>
          <w:color w:val="auto"/>
          <w:sz w:val="32"/>
          <w:szCs w:val="32"/>
          <w:highlight w:val="none"/>
        </w:rPr>
      </w:pPr>
      <w:bookmarkStart w:id="19" w:name="_Toc20882"/>
      <w:r>
        <w:rPr>
          <w:rFonts w:hint="eastAsia" w:ascii="宋体" w:hAnsi="宋体" w:cs="宋体"/>
          <w:color w:val="auto"/>
          <w:sz w:val="32"/>
          <w:szCs w:val="32"/>
          <w:highlight w:val="none"/>
        </w:rPr>
        <w:t>一、开标、评标及定标办法修改表</w:t>
      </w:r>
      <w:bookmarkEnd w:id="19"/>
    </w:p>
    <w:p>
      <w:pPr>
        <w:pStyle w:val="30"/>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sz w:val="21"/>
          <w:szCs w:val="21"/>
          <w:highlight w:val="none"/>
        </w:rPr>
        <w:fldChar w:fldCharType="begin"/>
      </w:r>
      <w:r>
        <w:rPr>
          <w:color w:val="auto"/>
          <w:sz w:val="21"/>
          <w:szCs w:val="21"/>
          <w:highlight w:val="none"/>
        </w:rPr>
        <w:instrText xml:space="preserve"> HYPERLINK "http://www.gzcc.gov.cn/）下载GZZB2018-3" </w:instrText>
      </w:r>
      <w:r>
        <w:rPr>
          <w:color w:val="auto"/>
          <w:sz w:val="21"/>
          <w:szCs w:val="21"/>
          <w:highlight w:val="none"/>
        </w:rPr>
        <w:fldChar w:fldCharType="separate"/>
      </w:r>
      <w:r>
        <w:rPr>
          <w:rFonts w:hint="eastAsia" w:ascii="宋体" w:hAnsi="宋体" w:cs="宋体"/>
          <w:b/>
          <w:color w:val="auto"/>
          <w:sz w:val="21"/>
          <w:szCs w:val="21"/>
          <w:highlight w:val="none"/>
        </w:rPr>
        <w:t>http://zfcj.gz.gov.cn/</w:t>
      </w:r>
      <w:r>
        <w:rPr>
          <w:rStyle w:val="37"/>
          <w:rFonts w:hint="eastAsia" w:ascii="宋体" w:hAnsi="宋体" w:cs="宋体"/>
          <w:b/>
          <w:color w:val="auto"/>
          <w:sz w:val="21"/>
          <w:szCs w:val="21"/>
          <w:highlight w:val="none"/>
          <w:u w:val="none"/>
        </w:rPr>
        <w:t>）下载GZZB2018-3</w:t>
      </w:r>
      <w:r>
        <w:rPr>
          <w:rStyle w:val="37"/>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13"/>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color w:val="auto"/>
          <w:szCs w:val="21"/>
          <w:highlight w:val="none"/>
          <w:u w:val="single"/>
        </w:rPr>
        <w:t>公布招标项目名称、投标人名称、投标报价、工期及其他内容</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条款号：36.5.3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37.3.2向招标人报告评审意见，推荐合格的中标候选人。</w:t>
      </w:r>
    </w:p>
    <w:p>
      <w:pPr>
        <w:pBdr>
          <w:bottom w:val="single" w:color="auto" w:sz="6" w:space="1"/>
        </w:pBdr>
        <w:snapToGrid w:val="0"/>
        <w:spacing w:line="360" w:lineRule="auto"/>
        <w:ind w:firstLine="472" w:firstLineChars="224"/>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bCs/>
          <w:color w:val="auto"/>
          <w:szCs w:val="21"/>
          <w:highlight w:val="none"/>
        </w:rPr>
        <w:t>37.</w:t>
      </w:r>
      <w:r>
        <w:rPr>
          <w:rFonts w:hint="eastAsia" w:ascii="宋体" w:hAnsi="宋体" w:cs="宋体"/>
          <w:color w:val="auto"/>
          <w:szCs w:val="21"/>
          <w:highlight w:val="none"/>
        </w:rPr>
        <w:t>3.</w:t>
      </w:r>
      <w:r>
        <w:rPr>
          <w:rFonts w:hint="eastAsia" w:ascii="宋体" w:hAnsi="宋体" w:cs="宋体"/>
          <w:bCs/>
          <w:color w:val="auto"/>
          <w:szCs w:val="21"/>
          <w:highlight w:val="none"/>
        </w:rPr>
        <w:t>2</w:t>
      </w:r>
      <w:r>
        <w:rPr>
          <w:rFonts w:hint="eastAsia" w:ascii="宋体" w:hAnsi="宋体" w:cs="宋体"/>
          <w:bCs/>
          <w:color w:val="auto"/>
          <w:szCs w:val="21"/>
          <w:highlight w:val="none"/>
          <w:u w:val="single"/>
        </w:rPr>
        <w:t>向招标人报告评审意见，</w:t>
      </w:r>
      <w:r>
        <w:rPr>
          <w:rFonts w:hint="eastAsia" w:ascii="宋体" w:hAnsi="宋体" w:eastAsia="宋体" w:cs="宋体"/>
          <w:b/>
          <w:bCs/>
          <w:color w:val="auto"/>
          <w:sz w:val="21"/>
          <w:szCs w:val="21"/>
          <w:highlight w:val="none"/>
          <w:u w:val="single"/>
        </w:rPr>
        <w:t>按投标须知前附表第</w:t>
      </w:r>
      <w:r>
        <w:rPr>
          <w:rFonts w:hint="eastAsia" w:ascii="宋体" w:hAnsi="宋体" w:eastAsia="宋体" w:cs="宋体"/>
          <w:b/>
          <w:bCs/>
          <w:color w:val="auto"/>
          <w:sz w:val="21"/>
          <w:szCs w:val="21"/>
          <w:highlight w:val="none"/>
          <w:u w:val="single"/>
          <w:lang w:val="en-US" w:eastAsia="zh-CN"/>
        </w:rPr>
        <w:t>19</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w:t>
      </w:r>
      <w:r>
        <w:rPr>
          <w:rFonts w:hint="eastAsia" w:ascii="宋体" w:hAnsi="宋体" w:cs="宋体"/>
          <w:bCs/>
          <w:color w:val="auto"/>
          <w:szCs w:val="21"/>
          <w:highlight w:val="none"/>
          <w:u w:val="single"/>
          <w:lang w:eastAsia="zh-CN"/>
        </w:rPr>
        <w:t>。</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37.5评标结束后，评标委员会递交评标报告并依法推荐中标候选人</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评标结束后，评标委员会递交</w:t>
      </w:r>
      <w:r>
        <w:rPr>
          <w:rFonts w:hint="eastAsia" w:ascii="宋体" w:hAnsi="宋体" w:cs="宋体"/>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color w:val="auto"/>
          <w:szCs w:val="21"/>
          <w:highlight w:val="none"/>
          <w:u w:val="single"/>
        </w:rPr>
        <w:t>进入定标阶段</w:t>
      </w:r>
      <w:r>
        <w:rPr>
          <w:rFonts w:hint="eastAsia" w:ascii="宋体" w:hAnsi="宋体" w:cs="宋体"/>
          <w:color w:val="auto"/>
          <w:szCs w:val="21"/>
          <w:highlight w:val="none"/>
        </w:rPr>
        <w:t>。</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条款号：38.1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r>
        <w:rPr>
          <w:rFonts w:hint="eastAsia" w:ascii="宋体" w:hAnsi="宋体" w:cs="宋体"/>
          <w:color w:val="auto"/>
          <w:szCs w:val="21"/>
          <w:highlight w:val="none"/>
        </w:rPr>
        <w:t>。</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投标人如在本项目中存在串通投标、弄虚作假、行贿情形且在评标</w:t>
      </w:r>
      <w:r>
        <w:rPr>
          <w:rFonts w:hint="eastAsia" w:ascii="宋体" w:hAnsi="宋体" w:cs="宋体"/>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color w:val="auto"/>
          <w:szCs w:val="21"/>
          <w:highlight w:val="none"/>
          <w:u w:val="single"/>
        </w:rPr>
        <w:t>若在定标过程中被确定为中标人，其中标无效，招标人可从其他合格的中标候选人中采用原定标办法，由原定标委员会重新确定中标人，也可以重新招标。</w:t>
      </w:r>
    </w:p>
    <w:p>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w:t>
      </w:r>
      <w:r>
        <w:rPr>
          <w:rFonts w:hint="eastAsia" w:ascii="宋体" w:hAnsi="宋体" w:cs="宋体"/>
          <w:b w:val="0"/>
          <w:bCs w:val="0"/>
          <w:color w:val="auto"/>
          <w:szCs w:val="21"/>
          <w:highlight w:val="none"/>
        </w:rPr>
        <w:t>39．定标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w:t>
      </w:r>
      <w:r>
        <w:rPr>
          <w:rFonts w:hint="eastAsia" w:ascii="宋体" w:hAnsi="宋体" w:cs="宋体"/>
          <w:color w:val="auto"/>
          <w:szCs w:val="21"/>
          <w:highlight w:val="none"/>
          <w:u w:val="single"/>
        </w:rPr>
        <w:t>定标详细规定条款详见本章</w:t>
      </w: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rPr>
        <w:t>.定标</w:t>
      </w:r>
      <w:r>
        <w:rPr>
          <w:rFonts w:hint="eastAsia" w:ascii="宋体" w:hAnsi="宋体" w:cs="宋体"/>
          <w:bCs/>
          <w:color w:val="auto"/>
          <w:szCs w:val="21"/>
          <w:highlight w:val="none"/>
        </w:rPr>
        <w:t>。</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注：</w:t>
      </w:r>
      <w:r>
        <w:rPr>
          <w:rFonts w:hint="eastAsia" w:ascii="宋体" w:hAnsi="宋体" w:cs="宋体"/>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pPr>
        <w:pBdr>
          <w:bottom w:val="single" w:color="auto" w:sz="6" w:space="1"/>
        </w:pBdr>
        <w:snapToGrid w:val="0"/>
        <w:spacing w:line="360" w:lineRule="auto"/>
        <w:ind w:firstLine="470" w:firstLineChars="224"/>
        <w:rPr>
          <w:rFonts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pPr>
        <w:pBdr>
          <w:bottom w:val="single" w:color="auto" w:sz="6" w:space="1"/>
        </w:pBdr>
        <w:snapToGrid w:val="0"/>
        <w:spacing w:line="360" w:lineRule="auto"/>
        <w:ind w:firstLine="472" w:firstLineChars="224"/>
        <w:rPr>
          <w:rFonts w:ascii="宋体" w:hAnsi="宋体" w:cs="宋体"/>
          <w:b w:val="0"/>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pPr>
        <w:snapToGrid w:val="0"/>
        <w:spacing w:line="360" w:lineRule="auto"/>
        <w:ind w:firstLine="211" w:firstLineChars="1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eastAsia="宋体" w:cs="宋体"/>
          <w:color w:val="auto"/>
          <w:szCs w:val="21"/>
          <w:highlight w:val="none"/>
        </w:rPr>
        <w:t>可选办法八（适合经评审的最低投标价法，技术标与经济标同时开启）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pPr>
        <w:pBdr>
          <w:bottom w:val="single" w:color="auto" w:sz="6" w:space="1"/>
        </w:pBdr>
        <w:snapToGrid w:val="0"/>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u w:val="single"/>
        </w:rPr>
        <w:t>评定分离评标定标办法</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 xml:space="preserve">0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40.2技术标与经济标投标文件同时公开开标；</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40.3由评标委员会对所有已公开开标的投标人进行资格审查；</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40.7按排序对经济标投标文件进行有效性审查，直至评出所有中标候选人；</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40.8评标委员会编写经济标评审报告，向招标人推荐中标候选人。</w:t>
      </w:r>
    </w:p>
    <w:p>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w:t>
      </w:r>
      <w:r>
        <w:rPr>
          <w:rFonts w:hint="eastAsia" w:ascii="宋体" w:hAnsi="宋体" w:cs="宋体"/>
          <w:b w:val="0"/>
          <w:bCs/>
          <w:color w:val="auto"/>
          <w:szCs w:val="21"/>
          <w:highlight w:val="none"/>
          <w:u w:val="single"/>
        </w:rPr>
        <w:t>技术标（含资格审查文件）</w:t>
      </w:r>
      <w:r>
        <w:rPr>
          <w:rFonts w:hint="eastAsia" w:ascii="宋体" w:hAnsi="宋体" w:cs="宋体"/>
          <w:b w:val="0"/>
          <w:bCs/>
          <w:color w:val="auto"/>
          <w:szCs w:val="21"/>
          <w:highlight w:val="none"/>
          <w:u w:val="none"/>
        </w:rPr>
        <w:t>与</w:t>
      </w:r>
      <w:r>
        <w:rPr>
          <w:rFonts w:hint="eastAsia" w:ascii="宋体" w:hAnsi="宋体" w:cs="宋体"/>
          <w:b w:val="0"/>
          <w:bCs/>
          <w:color w:val="auto"/>
          <w:szCs w:val="21"/>
          <w:highlight w:val="none"/>
        </w:rPr>
        <w:t>经济标投标文件同时公开开标；</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由评标委员会对所有已公开开标的投标人进行资格审查</w:t>
      </w:r>
      <w:r>
        <w:rPr>
          <w:rFonts w:hint="eastAsia" w:ascii="宋体" w:hAnsi="宋体" w:cs="宋体"/>
          <w:b w:val="0"/>
          <w:bCs/>
          <w:color w:val="auto"/>
          <w:szCs w:val="21"/>
          <w:highlight w:val="none"/>
          <w:u w:val="single"/>
        </w:rPr>
        <w:t>，并编写资格审查报告</w:t>
      </w:r>
      <w:r>
        <w:rPr>
          <w:rFonts w:hint="eastAsia" w:ascii="宋体" w:hAnsi="宋体" w:cs="宋体"/>
          <w:b w:val="0"/>
          <w:bCs/>
          <w:color w:val="auto"/>
          <w:szCs w:val="21"/>
          <w:highlight w:val="none"/>
        </w:rPr>
        <w:t>；</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w:t>
      </w:r>
      <w:r>
        <w:rPr>
          <w:rFonts w:hint="eastAsia" w:ascii="宋体" w:hAnsi="宋体" w:eastAsia="宋体" w:cs="宋体"/>
          <w:b/>
          <w:bCs/>
          <w:color w:val="auto"/>
          <w:sz w:val="21"/>
          <w:szCs w:val="21"/>
          <w:highlight w:val="none"/>
          <w:u w:val="single"/>
        </w:rPr>
        <w:t>按投标须知前附表第</w:t>
      </w:r>
      <w:r>
        <w:rPr>
          <w:rFonts w:hint="eastAsia" w:ascii="宋体" w:hAnsi="宋体" w:eastAsia="宋体" w:cs="宋体"/>
          <w:b/>
          <w:bCs/>
          <w:color w:val="auto"/>
          <w:sz w:val="21"/>
          <w:szCs w:val="21"/>
          <w:highlight w:val="none"/>
          <w:u w:val="single"/>
          <w:lang w:val="en-US" w:eastAsia="zh-CN"/>
        </w:rPr>
        <w:t>19</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w:t>
      </w:r>
      <w:r>
        <w:rPr>
          <w:rFonts w:hint="eastAsia" w:ascii="宋体" w:hAnsi="宋体" w:cs="宋体"/>
          <w:b w:val="0"/>
          <w:bCs/>
          <w:color w:val="auto"/>
          <w:szCs w:val="21"/>
          <w:highlight w:val="none"/>
        </w:rPr>
        <w:t>；</w:t>
      </w:r>
    </w:p>
    <w:p>
      <w:pPr>
        <w:pBdr>
          <w:bottom w:val="single" w:color="auto" w:sz="6" w:space="1"/>
        </w:pBdr>
        <w:snapToGrid w:val="0"/>
        <w:spacing w:line="360" w:lineRule="auto"/>
        <w:ind w:firstLine="470" w:firstLineChars="224"/>
        <w:rPr>
          <w:rFonts w:hint="eastAsia" w:ascii="宋体" w:hAnsi="宋体" w:eastAsia="宋体" w:cs="宋体"/>
          <w:color w:val="auto"/>
          <w:szCs w:val="21"/>
          <w:highlight w:val="none"/>
          <w:lang w:eastAsia="zh-CN"/>
        </w:rPr>
      </w:pPr>
      <w:r>
        <w:rPr>
          <w:rFonts w:hint="eastAsia" w:ascii="宋体" w:hAnsi="宋体" w:cs="宋体"/>
          <w:b w:val="0"/>
          <w:bCs/>
          <w:color w:val="auto"/>
          <w:szCs w:val="21"/>
          <w:highlight w:val="none"/>
          <w:u w:val="single"/>
        </w:rPr>
        <w:t>40.8</w:t>
      </w:r>
      <w:r>
        <w:rPr>
          <w:rFonts w:hint="eastAsia" w:ascii="宋体" w:hAnsi="宋体" w:eastAsia="宋体" w:cs="宋体"/>
          <w:b w:val="0"/>
          <w:bCs w:val="0"/>
          <w:color w:val="auto"/>
          <w:kern w:val="2"/>
          <w:sz w:val="21"/>
          <w:szCs w:val="21"/>
          <w:highlight w:val="none"/>
          <w:u w:val="single"/>
          <w:lang w:val="en-US" w:eastAsia="zh-CN" w:bidi="ar-SA"/>
        </w:rPr>
        <w:t>评标委员会递交</w:t>
      </w:r>
      <w:r>
        <w:rPr>
          <w:rFonts w:hint="eastAsia" w:ascii="宋体" w:hAnsi="宋体" w:eastAsia="宋体" w:cs="宋体"/>
          <w:b w:val="0"/>
          <w:bCs w:val="0"/>
          <w:color w:val="auto"/>
          <w:sz w:val="21"/>
          <w:szCs w:val="21"/>
          <w:highlight w:val="none"/>
          <w:u w:val="single"/>
        </w:rPr>
        <w:t>资格审查报告和</w:t>
      </w:r>
      <w:r>
        <w:rPr>
          <w:rFonts w:hint="eastAsia" w:ascii="宋体" w:hAnsi="宋体" w:eastAsia="宋体" w:cs="宋体"/>
          <w:b w:val="0"/>
          <w:bCs w:val="0"/>
          <w:color w:val="auto"/>
          <w:kern w:val="2"/>
          <w:sz w:val="21"/>
          <w:szCs w:val="21"/>
          <w:highlight w:val="none"/>
          <w:u w:val="single"/>
          <w:lang w:val="en-US" w:eastAsia="zh-CN" w:bidi="ar-SA"/>
        </w:rPr>
        <w:t>评标报告并依法推荐合格的中标候选人进入定标阶段</w:t>
      </w:r>
      <w:r>
        <w:rPr>
          <w:rFonts w:hint="eastAsia" w:ascii="宋体" w:hAnsi="宋体" w:eastAsia="宋体" w:cs="宋体"/>
          <w:color w:val="auto"/>
          <w:sz w:val="21"/>
          <w:szCs w:val="21"/>
          <w:highlight w:val="none"/>
          <w:u w:val="single"/>
          <w:lang w:eastAsia="zh-CN"/>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条款号：41.2.1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4" w:space="0"/>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val="0"/>
          <w:color w:val="auto"/>
          <w:szCs w:val="21"/>
          <w:highlight w:val="none"/>
          <w:u w:val="single"/>
        </w:rPr>
        <w:t>d、</w:t>
      </w:r>
      <w:r>
        <w:rPr>
          <w:rFonts w:hint="eastAsia" w:ascii="宋体" w:hAnsi="宋体" w:cs="宋体"/>
          <w:color w:val="auto"/>
          <w:szCs w:val="21"/>
          <w:highlight w:val="none"/>
          <w:u w:val="single"/>
        </w:rPr>
        <w:t>项目经理（负责人）名称；e、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招标人对开标过程进行记录，并存档备查，投标人在开标记录上签字。</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参加现场开标会的投标人在</w:t>
      </w:r>
      <w:r>
        <w:rPr>
          <w:rFonts w:hint="eastAsia" w:ascii="宋体" w:hAnsi="宋体" w:cs="宋体"/>
          <w:color w:val="auto"/>
          <w:szCs w:val="21"/>
          <w:highlight w:val="none"/>
        </w:rPr>
        <w:t>开标记录上签字</w:t>
      </w:r>
      <w:r>
        <w:rPr>
          <w:rFonts w:hint="eastAsia" w:ascii="宋体" w:hAnsi="宋体" w:cs="宋体"/>
          <w:color w:val="auto"/>
          <w:szCs w:val="21"/>
          <w:highlight w:val="none"/>
          <w:u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6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42.2.6</w:t>
      </w:r>
      <w:r>
        <w:rPr>
          <w:rFonts w:hint="eastAsia" w:ascii="宋体" w:hAnsi="宋体" w:cs="宋体"/>
          <w:b w:val="0"/>
          <w:bCs/>
          <w:color w:val="auto"/>
          <w:szCs w:val="21"/>
          <w:highlight w:val="none"/>
        </w:rPr>
        <w:t>资格审查合格的投标人少于3名的（当N个标段同时招标且不允许兼中时，资格审查合格的投标人少于N+2名），则本项目招标失败</w:t>
      </w:r>
      <w:r>
        <w:rPr>
          <w:rFonts w:hint="eastAsia" w:ascii="宋体" w:hAnsi="宋体" w:cs="宋体"/>
          <w:color w:val="auto"/>
          <w:szCs w:val="21"/>
          <w:highlight w:val="none"/>
        </w:rPr>
        <w:t>。</w:t>
      </w:r>
    </w:p>
    <w:p>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.6</w:t>
      </w:r>
      <w:r>
        <w:rPr>
          <w:rFonts w:hint="eastAsia" w:ascii="宋体" w:hAnsi="宋体" w:cs="宋体"/>
          <w:color w:val="auto"/>
          <w:szCs w:val="21"/>
          <w:highlight w:val="none"/>
          <w:u w:val="single"/>
        </w:rPr>
        <w:t>若满足资格审查合格条件(投标人合格条件)的投标申请人不足3名，则重新招标。</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rPr>
        <w:t>。</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hint="eastAsia" w:ascii="宋体" w:hAnsi="宋体" w:cs="宋体"/>
          <w:color w:val="auto"/>
          <w:szCs w:val="21"/>
          <w:highlight w:val="none"/>
          <w:u w:val="single"/>
          <w:lang w:val="en-US" w:eastAsia="zh-CN"/>
        </w:rPr>
        <w:t>则重新招标。评委发现</w:t>
      </w:r>
      <w:r>
        <w:rPr>
          <w:rFonts w:hint="eastAsia" w:ascii="宋体" w:hAnsi="宋体" w:cs="宋体"/>
          <w:color w:val="auto"/>
          <w:szCs w:val="21"/>
          <w:highlight w:val="none"/>
          <w:lang w:val="en-US" w:eastAsia="zh-CN"/>
        </w:rPr>
        <w:t>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u w:val="none"/>
        </w:rPr>
        <w:t>。</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.8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w:t>
      </w:r>
      <w:r>
        <w:rPr>
          <w:rFonts w:hint="eastAsia" w:ascii="宋体" w:hAnsi="宋体" w:cs="宋体"/>
          <w:color w:val="auto"/>
          <w:szCs w:val="21"/>
          <w:highlight w:val="none"/>
          <w:u w:val="single"/>
        </w:rPr>
        <w:t>则取消其投标资格</w:t>
      </w:r>
      <w:r>
        <w:rPr>
          <w:rFonts w:hint="eastAsia" w:ascii="宋体" w:hAnsi="宋体" w:cs="宋体"/>
          <w:color w:val="auto"/>
          <w:szCs w:val="21"/>
          <w:highlight w:val="none"/>
        </w:rPr>
        <w:t>。</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22" w:firstLineChars="200"/>
        <w:rPr>
          <w:rFonts w:hint="eastAsia" w:ascii="宋体" w:hAnsi="宋体" w:cs="宋体"/>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pPr>
        <w:pBdr>
          <w:bottom w:val="single" w:color="auto" w:sz="6" w:space="1"/>
        </w:pBdr>
        <w:snapToGrid w:val="0"/>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只有满足招标文件实质性要求的投标人才能进入详细评审。通过投标人（若为联合体</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，指联合体</w:t>
      </w:r>
      <w:r>
        <w:rPr>
          <w:rFonts w:hint="eastAsia" w:ascii="宋体" w:hAnsi="宋体" w:cs="宋体"/>
          <w:color w:val="auto"/>
          <w:szCs w:val="21"/>
          <w:highlight w:val="none"/>
          <w:u w:val="single"/>
          <w:lang w:val="en-US" w:eastAsia="zh-CN"/>
        </w:rPr>
        <w:t>主办方</w:t>
      </w:r>
      <w:r>
        <w:rPr>
          <w:rFonts w:hint="eastAsia" w:ascii="宋体" w:hAnsi="宋体" w:cs="宋体"/>
          <w:color w:val="auto"/>
          <w:szCs w:val="21"/>
          <w:highlight w:val="none"/>
          <w:u w:val="single"/>
        </w:rPr>
        <w:t>）的信用情况（即按投标企业在广州市住房和城乡建设局信用建设专栏诚信评价专栏投标截止当日公布的“施工企业房建诚信评价排名”表中的“60日诚信分”）对投标报价进行折算，以经评审的最低投标价作为推荐中标候选人的依据。</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2.7</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7评标结束后，评标委员会应当在通过投标文件有效性审查的投标人中，按照原投标文件的评审次序，推荐前3名依次为第一中标候选人至第三中标候选人，并编写评标报告</w:t>
      </w:r>
      <w:r>
        <w:rPr>
          <w:rFonts w:hint="eastAsia" w:ascii="宋体" w:hAnsi="宋体" w:cs="宋体"/>
          <w:color w:val="auto"/>
          <w:szCs w:val="21"/>
          <w:highlight w:val="none"/>
        </w:rPr>
        <w:t>。</w:t>
      </w:r>
    </w:p>
    <w:p>
      <w:pPr>
        <w:pBdr>
          <w:bottom w:val="single" w:color="auto" w:sz="6" w:space="1"/>
        </w:pBdr>
        <w:snapToGrid w:val="0"/>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lang w:val="en-US" w:eastAsia="zh-CN"/>
        </w:rPr>
        <w:t>42.7</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在评标评审完成后，评标委员会编写评标报告，推荐不超过5家（经评审的投标报价介于经评审的最低投标价（含本数）与工程成本警戒价（含本数）之间的投标人数量≥5家时除外）不排序的合格中标候选人进入定标阶段。</w:t>
      </w:r>
    </w:p>
    <w:p>
      <w:pPr>
        <w:pBdr>
          <w:bottom w:val="single" w:color="auto" w:sz="6" w:space="1"/>
        </w:pBdr>
        <w:snapToGrid w:val="0"/>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注：若投标人经评审的价格相同，以诚信分高的排前；若价格、诚信分均相同，则对具有相同情况的投标人，按入围合格的中标候选人数量规定，由评标委员会采用记名投票方式，确定投标人的排序，并确定进入定标阶段的合格的中标候选人。</w:t>
      </w:r>
    </w:p>
    <w:p>
      <w:pPr>
        <w:pBdr>
          <w:bottom w:val="single" w:color="auto" w:sz="6" w:space="1"/>
        </w:pBdr>
        <w:snapToGrid w:val="0"/>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记名投票方式确定排序的具体操作步骤为：由评标委员会对出现该情况的投标人采取记名投票的方式确定，按得票数高低进行排序，以得票数高的排前，根据得票数高低确定中标候选人排序。</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w:t>
      </w:r>
      <w:r>
        <w:rPr>
          <w:rFonts w:hint="eastAsia" w:ascii="宋体" w:hAnsi="宋体" w:cs="宋体"/>
          <w:b/>
          <w:color w:val="auto"/>
          <w:kern w:val="0"/>
          <w:szCs w:val="21"/>
          <w:highlight w:val="none"/>
          <w:lang w:val="en-US" w:eastAsia="zh-CN"/>
        </w:rPr>
        <w:t>2.8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2.8若有效投标人不足三家，应当依法重新招标。（当N个标段同时招标且不允许兼中时，若有效投标人不足N+2家，应当依法重新招标）。</w:t>
      </w:r>
    </w:p>
    <w:p>
      <w:pPr>
        <w:pBdr>
          <w:bottom w:val="single" w:color="auto" w:sz="6" w:space="1"/>
        </w:pBdr>
        <w:snapToGrid w:val="0"/>
        <w:spacing w:line="360" w:lineRule="auto"/>
        <w:ind w:firstLine="420" w:firstLineChars="199"/>
        <w:rPr>
          <w:rFonts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若有效投标人不足三家，应当依法重新招标</w:t>
      </w:r>
      <w:r>
        <w:rPr>
          <w:rFonts w:hint="eastAsia" w:ascii="宋体" w:hAnsi="宋体" w:cs="宋体"/>
          <w:color w:val="auto"/>
          <w:szCs w:val="21"/>
          <w:highlight w:val="none"/>
          <w:u w:val="none"/>
        </w:rPr>
        <w:t>。</w:t>
      </w:r>
    </w:p>
    <w:p>
      <w:pPr>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lang w:val="en-US" w:eastAsia="zh-CN"/>
        </w:rPr>
        <w:t>43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pPr>
        <w:snapToGrid w:val="0"/>
        <w:spacing w:line="360" w:lineRule="auto"/>
        <w:ind w:firstLine="422" w:firstLineChars="200"/>
        <w:rPr>
          <w:rFonts w:hint="eastAsia" w:ascii="宋体" w:hAnsi="宋体" w:cs="宋体"/>
          <w:b w:val="0"/>
          <w:bCs/>
          <w:color w:val="auto"/>
          <w:szCs w:val="21"/>
          <w:highlight w:val="none"/>
          <w:u w:val="singl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w:t>
      </w:r>
      <w:r>
        <w:rPr>
          <w:rFonts w:hint="eastAsia" w:ascii="宋体" w:hAnsi="宋体" w:cs="宋体"/>
          <w:b/>
          <w:bCs w:val="0"/>
          <w:color w:val="auto"/>
          <w:szCs w:val="21"/>
          <w:highlight w:val="none"/>
          <w:u w:val="single"/>
          <w:lang w:val="en-US" w:eastAsia="zh-CN"/>
        </w:rPr>
        <w:t>43</w:t>
      </w:r>
      <w:r>
        <w:rPr>
          <w:rFonts w:hint="eastAsia" w:ascii="宋体" w:hAnsi="宋体" w:cs="宋体"/>
          <w:b/>
          <w:bCs w:val="0"/>
          <w:color w:val="auto"/>
          <w:szCs w:val="21"/>
          <w:highlight w:val="none"/>
          <w:u w:val="single"/>
        </w:rPr>
        <w:t>.定标</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如评标委员会推荐的合格中标候选人不足三家，招标人应当依法重新招标，不再进行定标工作。</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.1定标时间和地点：招标人在合格中标候选人公示结束后</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lang w:eastAsia="zh-CN"/>
        </w:rPr>
        <w:t>个工作日内在广州交易集团有限公司（广州公共资源交易中心）开展定标工作，招标人按规定程序在投标人须知的时间和地点完成定标工作。</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.2定标委员会：成员数量为5人，由招标人组建。</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.3定标监督小组：成员数量为</w:t>
      </w:r>
      <w:r>
        <w:rPr>
          <w:rFonts w:hint="eastAsia" w:ascii="宋体" w:hAnsi="宋体" w:cs="宋体"/>
          <w:b w:val="0"/>
          <w:bCs/>
          <w:color w:val="auto"/>
          <w:szCs w:val="21"/>
          <w:highlight w:val="none"/>
          <w:u w:val="single"/>
          <w:lang w:val="en-US" w:eastAsia="zh-CN"/>
        </w:rPr>
        <w:t>2</w:t>
      </w:r>
      <w:r>
        <w:rPr>
          <w:rFonts w:hint="eastAsia" w:ascii="宋体" w:hAnsi="宋体" w:cs="宋体"/>
          <w:b w:val="0"/>
          <w:bCs/>
          <w:color w:val="auto"/>
          <w:szCs w:val="21"/>
          <w:highlight w:val="none"/>
          <w:u w:val="single"/>
          <w:lang w:eastAsia="zh-CN"/>
        </w:rPr>
        <w:t>人，由招标人组建。</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4定标办法：本次定标采用“答辩因素评定法+价格因素评定法”，定标委员会对进入定标阶段的所有合格中标候选人进行综合评审，推荐得分最高的为中标人。如评标委员会推荐的合格中标候选人不足3家，招标人应当依法重新招标，不再进行定标工作。</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.5定标因素：答辩因素+价格因素，详见《定标因素表（定标阶段用表）》。</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.6定标程序</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招标人或其委托的招标代理机构应安排1名熟悉情况的工作人员在定标会场担任招标项目负责人，按程序组织定标工作：</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.6.1招标项目负责人宣读定标委员会组建情况及成员名单，宣读定标纪律，签订廉政责任书。</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.6.2定标工作开始后，定标委员会应推荐一人为定标委员会组长，主持当次定标会议。</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.6.3发放定标辅助资料：招标文件、评标阶段的评标报告、合格中标候选人提交的投标文件。</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.6.4定标委员会在评标委员会评审的基础上，根据评标阶段的评标报告、合格中标候选人提交的投标文件及定标因素对进入定标阶段的合格中标候选人进行综合评审。</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.6.5答辩程序</w:t>
      </w:r>
    </w:p>
    <w:p>
      <w:pPr>
        <w:snapToGrid w:val="0"/>
        <w:spacing w:line="360" w:lineRule="auto"/>
        <w:ind w:firstLine="420" w:firstLineChars="200"/>
        <w:rPr>
          <w:rFonts w:hint="eastAsia"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5.1答辩签到：各中标候选人拟派项目负责人、技术负责人组成1-2人的答辩小组；答辩小组须携带本单位法定代表人证明书原件、法定代表人授权委托证明书原件，本人身份证原件到达开标室进行签到，签到具体时间以招标代理通知为准。合格中标候选人拟派答辩小组签到时未能提供本单位法定代表人证明书原件、法定代表人授权委托证明书原件的,或未能在规定的时候内进行签到的，视为放弃答辩。</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2答辩进场顺序：采用现场答辩形式，按拟派答辩小组签到顺序各自抽取答辩顺序号，按答辩顺序号从小到大依次进场答辩。在规定的签到时间内，如所有合格中标候选人均完成签到后，招标代理即可组织抽取答辩顺序号。</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.3答辩人员的要求：答辩的人员在参加答辩时，应向招标人（招标代理）出示身份证原件，招标人（招标代理）核对确认身份无误后再进行答辩。答辩人员未能出示前述证明文件的不予参加答辩环节。</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4答辩的要点与时限：答辩的要点与时限详见《定标因素表（定标阶段用表）》</w:t>
      </w:r>
      <w:r>
        <w:rPr>
          <w:rFonts w:hint="eastAsia" w:ascii="宋体" w:hAnsi="宋体" w:cs="宋体"/>
          <w:b w:val="0"/>
          <w:bCs/>
          <w:color w:val="auto"/>
          <w:szCs w:val="21"/>
          <w:highlight w:val="none"/>
          <w:u w:val="single"/>
          <w:lang w:eastAsia="zh-CN"/>
        </w:rPr>
        <w:t>。</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5将所有定标委员会成员对同一投标人的评分汇总进行算术平均【其中，总得分（100分）=答辩因素得分（100分）×答辩因素权重（70%）+价格因素得分（100分）×价格因素权重（30%）】，总分由高至低排序，总分最高的为中标人</w:t>
      </w:r>
      <w:r>
        <w:rPr>
          <w:rFonts w:hint="eastAsia" w:ascii="宋体" w:hAnsi="宋体" w:cs="宋体"/>
          <w:b w:val="0"/>
          <w:bCs/>
          <w:color w:val="auto"/>
          <w:szCs w:val="21"/>
          <w:highlight w:val="none"/>
          <w:u w:val="single"/>
          <w:lang w:eastAsia="zh-CN"/>
        </w:rPr>
        <w:t>。</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注：①若合格中标候选人总得分相同且影响定标排序的，以答辩因素得分高的排前；若答辩因素得分仍相同的，以价格因素得分高的排前，若价格因素得分仍相同的，由定标委员会采用记名投票方式确定排序。</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②记名投票方式确定排序的具体操作步骤为：由定标委员会对出现该情况的合格中标候选人采取记名投票的方式确定，按得票数高低进行排序，以得票数高的排前，根据得票数高低确定中标人排序。</w:t>
      </w:r>
    </w:p>
    <w:p>
      <w:pPr>
        <w:snapToGrid w:val="0"/>
        <w:spacing w:line="360" w:lineRule="auto"/>
        <w:ind w:firstLine="420" w:firstLineChars="200"/>
        <w:rPr>
          <w:rFonts w:hint="default"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6定标委员会组长根据得分情况向招标人推荐中标人。</w:t>
      </w:r>
    </w:p>
    <w:p>
      <w:pPr>
        <w:snapToGrid w:val="0"/>
        <w:spacing w:line="360" w:lineRule="auto"/>
        <w:ind w:firstLine="420" w:firstLineChars="200"/>
        <w:rPr>
          <w:rFonts w:hint="default"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7编写定标报告，定标委员会全体确认后签署定标报告。定标报告由定标委员会全体成员签字，对定标结论持有异议的成员应以书面方式阐述其不同意见和理由。</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.7招标人应当在定标工作完成后3日内公示中标结果。</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8重新评标或定标的，评标信息（含业绩、奖项等）、定标信息仍以投标截止时投标人的信息为准。因特殊原因需要延长投标有效期，投标人拒绝延长投标有效期的，仍参与评标、定标，但不被推荐为合格中标候选人。</w:t>
      </w:r>
    </w:p>
    <w:p>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9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pPr>
        <w:pBdr>
          <w:bottom w:val="single" w:color="auto" w:sz="6" w:space="1"/>
        </w:pBdr>
        <w:snapToGrid w:val="0"/>
        <w:spacing w:line="360" w:lineRule="auto"/>
        <w:ind w:firstLine="417" w:firstLineChars="199"/>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lang w:eastAsia="zh-CN"/>
        </w:rPr>
        <w:t>.10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票决确定中标人，招标人也可以依法重新招标。</w:t>
      </w:r>
    </w:p>
    <w:p>
      <w:pPr>
        <w:pBdr>
          <w:bottom w:val="single" w:color="auto" w:sz="6" w:space="1"/>
        </w:pBdr>
        <w:snapToGrid w:val="0"/>
        <w:spacing w:line="360" w:lineRule="auto"/>
        <w:ind w:firstLine="417" w:firstLineChars="199"/>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lang w:eastAsia="zh-CN"/>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定标表格</w:t>
      </w:r>
    </w:p>
    <w:p>
      <w:pPr>
        <w:pBdr>
          <w:bottom w:val="single" w:color="auto" w:sz="6" w:space="1"/>
        </w:pBdr>
        <w:snapToGrid w:val="0"/>
        <w:spacing w:line="360" w:lineRule="auto"/>
        <w:ind w:firstLine="1050" w:firstLineChars="498"/>
        <w:rPr>
          <w:rFonts w:ascii="宋体" w:hAnsi="宋体" w:cs="宋体"/>
          <w:strike/>
          <w:color w:val="auto"/>
          <w:szCs w:val="21"/>
          <w:highlight w:val="none"/>
        </w:rPr>
      </w:pPr>
      <w:r>
        <w:rPr>
          <w:rFonts w:hint="eastAsia" w:ascii="宋体" w:hAnsi="宋体" w:cs="宋体"/>
          <w:b/>
          <w:bCs/>
          <w:color w:val="auto"/>
          <w:szCs w:val="21"/>
          <w:highlight w:val="none"/>
          <w:u w:val="single"/>
          <w:lang w:eastAsia="zh-CN"/>
        </w:rPr>
        <w:t>详见后附表六至附表十三</w:t>
      </w:r>
      <w:r>
        <w:rPr>
          <w:rFonts w:hint="eastAsia" w:ascii="宋体" w:hAnsi="宋体" w:cs="宋体"/>
          <w:color w:val="auto"/>
          <w:szCs w:val="21"/>
          <w:highlight w:val="none"/>
          <w:u w:val="single"/>
          <w:lang w:eastAsia="zh-CN"/>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条款号：附表四《技术标详细审查评分表》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修改类型：删除</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《算术复核表》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现文：附表</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《算术复核表》</w:t>
      </w:r>
    </w:p>
    <w:p>
      <w:pPr>
        <w:pBdr>
          <w:bottom w:val="single" w:color="auto" w:sz="6" w:space="1"/>
        </w:pBdr>
        <w:snapToGrid w:val="0"/>
        <w:spacing w:line="360" w:lineRule="auto"/>
        <w:ind w:firstLine="1098" w:firstLineChars="523"/>
        <w:rPr>
          <w:rFonts w:ascii="宋体" w:hAnsi="宋体" w:cs="宋体"/>
          <w:b/>
          <w:color w:val="auto"/>
          <w:szCs w:val="21"/>
          <w:highlight w:val="none"/>
        </w:rPr>
      </w:pPr>
      <w:r>
        <w:rPr>
          <w:rFonts w:hint="eastAsia" w:ascii="宋体" w:hAnsi="宋体" w:cs="宋体"/>
          <w:color w:val="auto"/>
          <w:szCs w:val="21"/>
          <w:highlight w:val="none"/>
        </w:rPr>
        <w:t>详见本招标文件第二章附表</w:t>
      </w:r>
      <w:r>
        <w:rPr>
          <w:rFonts w:hint="eastAsia" w:ascii="宋体" w:hAnsi="宋体" w:cs="宋体"/>
          <w:color w:val="auto"/>
          <w:szCs w:val="21"/>
          <w:highlight w:val="none"/>
          <w:lang w:eastAsia="zh-CN"/>
        </w:rPr>
        <w:t>四</w:t>
      </w:r>
      <w:r>
        <w:rPr>
          <w:rFonts w:hint="eastAsia" w:ascii="宋体" w:hAnsi="宋体" w:cs="宋体"/>
          <w:color w:val="auto"/>
          <w:szCs w:val="21"/>
          <w:highlight w:val="none"/>
        </w:rPr>
        <w:t>《算术复核表》</w:t>
      </w:r>
    </w:p>
    <w:p>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五至附表十三</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pP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《投标报价折算标准表》</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《定标因素表（定标阶段用表）》</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七</w:t>
      </w:r>
      <w:r>
        <w:rPr>
          <w:rFonts w:hint="eastAsia" w:ascii="宋体" w:hAnsi="宋体" w:cs="宋体"/>
          <w:b/>
          <w:color w:val="auto"/>
          <w:szCs w:val="21"/>
          <w:highlight w:val="none"/>
        </w:rPr>
        <w:t>《定标阶段（答辩因素）评审得分表》</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《定标阶段（答辩因素）得分汇总表》</w:t>
      </w:r>
    </w:p>
    <w:p>
      <w:pPr>
        <w:snapToGrid w:val="0"/>
        <w:spacing w:line="360" w:lineRule="auto"/>
        <w:ind w:firstLine="1103" w:firstLineChars="523"/>
        <w:rPr>
          <w:rFonts w:hint="eastAsia" w:ascii="宋体" w:hAnsi="宋体" w:cs="宋体"/>
          <w:b/>
          <w:color w:val="auto"/>
          <w:szCs w:val="21"/>
          <w:highlight w:val="none"/>
          <w:lang w:eastAsia="zh-CN"/>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九《定标阶段（价格因素）评审得分表》</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十</w:t>
      </w:r>
      <w:r>
        <w:rPr>
          <w:rFonts w:hint="eastAsia" w:ascii="宋体" w:hAnsi="宋体" w:cs="宋体"/>
          <w:b/>
          <w:color w:val="auto"/>
          <w:szCs w:val="21"/>
          <w:highlight w:val="none"/>
        </w:rPr>
        <w:t>《定标因素得分汇总及排序表》</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《（第   组第   轮）附加投票表（如有）》</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eastAsia="zh-CN"/>
        </w:rPr>
        <w:t>二</w:t>
      </w:r>
      <w:r>
        <w:rPr>
          <w:rFonts w:hint="eastAsia" w:ascii="宋体" w:hAnsi="宋体" w:cs="宋体"/>
          <w:b/>
          <w:color w:val="auto"/>
          <w:szCs w:val="21"/>
          <w:highlight w:val="none"/>
        </w:rPr>
        <w:t>《（第   组第   轮）附加投票统计表（如有）》</w:t>
      </w:r>
    </w:p>
    <w:p>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《定标情况汇总表（定标阶段）》</w:t>
      </w:r>
    </w:p>
    <w:p>
      <w:pPr>
        <w:pBdr>
          <w:bottom w:val="single" w:color="auto" w:sz="6" w:space="1"/>
        </w:pBd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bCs w:val="0"/>
          <w:color w:val="auto"/>
          <w:szCs w:val="21"/>
          <w:highlight w:val="none"/>
          <w:lang w:eastAsia="zh-CN"/>
        </w:rPr>
        <w:t>具体</w:t>
      </w:r>
      <w:r>
        <w:rPr>
          <w:rFonts w:hint="eastAsia" w:ascii="宋体" w:hAnsi="宋体" w:cs="宋体"/>
          <w:b/>
          <w:bCs w:val="0"/>
          <w:color w:val="auto"/>
          <w:szCs w:val="21"/>
          <w:highlight w:val="none"/>
        </w:rPr>
        <w:t>详见招标文件</w:t>
      </w:r>
      <w:r>
        <w:rPr>
          <w:rFonts w:hint="eastAsia" w:ascii="宋体" w:hAnsi="宋体" w:cs="宋体"/>
          <w:b/>
          <w:bCs w:val="0"/>
          <w:color w:val="auto"/>
          <w:szCs w:val="21"/>
          <w:highlight w:val="none"/>
          <w:lang w:eastAsia="zh-CN"/>
        </w:rPr>
        <w:t>正文附表。</w:t>
      </w:r>
    </w:p>
    <w:p>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snapToGrid w:val="0"/>
        <w:spacing w:line="360" w:lineRule="auto"/>
        <w:rPr>
          <w:rFonts w:ascii="宋体" w:hAnsi="宋体" w:cs="宋体"/>
          <w:color w:val="auto"/>
          <w:highlight w:val="none"/>
        </w:rPr>
      </w:pPr>
      <w:r>
        <w:rPr>
          <w:rFonts w:hint="eastAsia" w:ascii="宋体" w:hAnsi="宋体" w:cs="宋体"/>
          <w:b/>
          <w:color w:val="auto"/>
          <w:szCs w:val="21"/>
          <w:highlight w:val="none"/>
        </w:rPr>
        <w:t>（以下无正文）</w:t>
      </w:r>
      <w:bookmarkStart w:id="20" w:name="_Toc5678"/>
      <w:bookmarkStart w:id="21" w:name="_Toc2272556"/>
      <w:bookmarkStart w:id="22" w:name="_Toc21525500"/>
      <w:bookmarkStart w:id="23" w:name="_Toc2272564"/>
      <w:r>
        <w:rPr>
          <w:rFonts w:hint="eastAsia" w:ascii="宋体" w:hAnsi="宋体" w:cs="宋体"/>
          <w:color w:val="auto"/>
          <w:highlight w:val="none"/>
        </w:rPr>
        <w:br w:type="page"/>
      </w:r>
    </w:p>
    <w:p>
      <w:pPr>
        <w:pStyle w:val="5"/>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20"/>
      <w:bookmarkEnd w:id="21"/>
    </w:p>
    <w:p>
      <w:pPr>
        <w:pStyle w:val="6"/>
        <w:snapToGrid w:val="0"/>
        <w:spacing w:before="0" w:beforeAutospacing="0" w:after="0" w:afterAutospacing="0" w:line="360" w:lineRule="auto"/>
        <w:ind w:firstLine="542" w:firstLineChars="200"/>
        <w:rPr>
          <w:rFonts w:cs="宋体"/>
          <w:b/>
          <w:bCs/>
          <w:color w:val="auto"/>
          <w:highlight w:val="none"/>
        </w:rPr>
      </w:pPr>
      <w:bookmarkStart w:id="24" w:name="_Toc31373"/>
      <w:bookmarkStart w:id="25" w:name="_Toc2272557"/>
      <w:r>
        <w:rPr>
          <w:rFonts w:hint="eastAsia" w:cs="宋体"/>
          <w:b/>
          <w:bCs/>
          <w:color w:val="auto"/>
          <w:highlight w:val="none"/>
        </w:rPr>
        <w:t>（一）总则</w:t>
      </w:r>
      <w:bookmarkEnd w:id="24"/>
      <w:bookmarkEnd w:id="25"/>
    </w:p>
    <w:p>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35 开标、评标及定标所依据的规则</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35.1《中华人民共和国招标投标法》；</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35.2《中华人民共和国招标投标法实施条例》；</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35.3《评标委员会和评标方法暂行规定》（七部委第12号令）</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35.4《工程建设项目施工招标投标办法》（七部委2003年第30号令）</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35.5《广东省实施〈中华人民共和国招标投标法〉办法》；</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35.6《房屋建筑和市政基础设施工程施工招标投标管理办法》（建设部令第89号）</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35.7《财政部工业和信息化部关于印发〈政府采购促进中小企业发展管理办法〉的通知》（财库〔2020〕46号）；</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35.8《广东省加强建设工程招标投标监督管理的若干规定》（粤发[2004]4号）；</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35.9《广东省政府采购促进中小企业发展实施细则（试行）》；</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35.10《广州市工程建设项目招标投标管理办法》（穗建规字〔2023〕12号）；</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35.12本项目招标文件。</w:t>
      </w:r>
    </w:p>
    <w:p>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36．开标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36.2 招标人在招标文件要求提交投标文件的截止时间前收到的投标文件，开标时都当众予以解密、公布。</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36.4若递交投标文件的投标人不足3家，则重新组织招标。（当N个标段同时招标且不允许兼中时，若有效投标人不足N+2家，则重新组织招标）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36.5按下列程序进行开标：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36.5.1在投标截止时间后</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36.5.2备用光盘的读取按投标须知前附表第36项的规定执行；</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36.5.3投标人代表、招标人代表、监标人、记录人等有关人员在开标记录上签字确认；若有关人员不签字的，不影响开标程序；</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36.5.4开标结束。</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36.7开标时，两个（含两个）以上的投标人加密打包投标文件电脑机器特征码一致的，不参与下一程序，并由评标委员会否决其投标。</w:t>
      </w:r>
    </w:p>
    <w:p>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37．评标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37.1评标委员会由招标人依法组建。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37.2评标委员会在开始评标前，应了解评标专家的职责及守则，认真阅读附表七《评标委员会成员声明》的内容并签名，签字后方可进行评标；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37.3评标委员会的职责及守则：</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37.3.1根据评标细则，对投标文件进行认真评审，完成评审报告；</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37.3.2向招标人报告评审意见，推荐合格的中标候选人。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37.3.3</w:t>
      </w:r>
      <w:r>
        <w:rPr>
          <w:rFonts w:hint="eastAsia" w:ascii="宋体" w:hAnsi="宋体" w:cs="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37.3.4全体参与评标人员：</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37.3.4.1 必须遵守评标纪律、不得泄密；</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37.3.4.2 必须公正、不得循私；</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37.3.4.3 必须科学、不得草率；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37.3.4.4 必须客观、不得带有成见；</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37.3.4.5 必须平等、不得强加于人；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37.3.4.6 必须严谨、不得随意马虎。</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37.5评标结束后，评标委员会递交评标报告并依法推荐中标候选人。</w:t>
      </w:r>
    </w:p>
    <w:p>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38．投标文件的澄清</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38.3 评标委员会或评标委员会专业评审组成员均应当阅读投标人的澄清，但应独立参考澄清对投标文件进行评审。</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napToGrid w:val="0"/>
        <w:spacing w:line="360" w:lineRule="auto"/>
        <w:ind w:firstLine="422" w:firstLineChars="200"/>
        <w:rPr>
          <w:rFonts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39．定标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39.1 招标人根据评标委员会递交的评标报告，最终审定中标人。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39.2 依法必须进行公开招标的项目，招标人应当确定排名第一的中标候选人为中标人。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39.5重新评标的，评标信息（含业绩、奖项等）仍以投标截止时投标人的信息为准。因特殊原因需要延长投标有效期，投标人拒绝延长投标有效期的，仍参与评标，但不被推荐为中标候选人。</w:t>
      </w:r>
    </w:p>
    <w:p>
      <w:pPr>
        <w:pStyle w:val="6"/>
        <w:snapToGrid w:val="0"/>
        <w:spacing w:before="0" w:beforeAutospacing="0" w:after="0" w:afterAutospacing="0" w:line="360" w:lineRule="auto"/>
        <w:ind w:firstLine="542" w:firstLineChars="200"/>
        <w:rPr>
          <w:rFonts w:cs="宋体"/>
          <w:b/>
          <w:bCs/>
          <w:color w:val="auto"/>
          <w:highlight w:val="none"/>
        </w:rPr>
      </w:pPr>
      <w:bookmarkStart w:id="26" w:name="_Toc2272558"/>
      <w:bookmarkStart w:id="27" w:name="_Toc9740"/>
      <w:r>
        <w:rPr>
          <w:rFonts w:hint="eastAsia" w:cs="宋体"/>
          <w:b/>
          <w:bCs/>
          <w:color w:val="auto"/>
          <w:highlight w:val="none"/>
        </w:rPr>
        <w:t>（二）开标评标办法程序和细则</w:t>
      </w:r>
      <w:bookmarkEnd w:id="26"/>
      <w:bookmarkEnd w:id="27"/>
    </w:p>
    <w:p>
      <w:pPr>
        <w:pStyle w:val="6"/>
        <w:snapToGrid w:val="0"/>
        <w:spacing w:before="0" w:beforeAutospacing="0" w:after="0" w:afterAutospacing="0" w:line="360" w:lineRule="auto"/>
        <w:ind w:firstLine="420" w:firstLineChars="200"/>
        <w:rPr>
          <w:rFonts w:cs="宋体"/>
          <w:color w:val="auto"/>
          <w:sz w:val="21"/>
          <w:szCs w:val="21"/>
          <w:highlight w:val="none"/>
        </w:rPr>
      </w:pPr>
      <w:bookmarkStart w:id="28" w:name="_Toc3121"/>
      <w:r>
        <w:rPr>
          <w:rFonts w:hint="eastAsia" w:cs="宋体"/>
          <w:color w:val="auto"/>
          <w:sz w:val="21"/>
          <w:szCs w:val="21"/>
          <w:highlight w:val="none"/>
        </w:rPr>
        <w:t>可选办法八（适合经评审的最低投标价法，技术标与经济标同时开启）</w:t>
      </w:r>
      <w:bookmarkEnd w:id="28"/>
    </w:p>
    <w:p>
      <w:pPr>
        <w:snapToGrid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40．开标和评标程序</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40.1投标人递交技术标、经济标投标文件；</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40.2技术标与经济标投标文件同时公开开标；</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40.3由评标委员会对所有已公开开标的投标人进行资格审查；</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40.4技术标投标文件有效性审查；</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40.5对经济标投标报价进行算术校核；</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40.6计算投标人总得分，并按总得分从高到低，确定经济标评审排序；</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40.7按排序对经济标投标文件进行有效性审查，直至评出所有中标候选人；</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40.8评标委员会编写经济标评审报告，向招标人推荐中标候选人。</w:t>
      </w:r>
    </w:p>
    <w:p>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41．开标细则</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41.1开标由招标人主持；</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41.2细则</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41.2.1投标截止期前，各投标人递交投标文件（包括技术标投标文件、经济标投标文件）至     交易平台。有关投标文件提交的事项详见第一章投标须知。</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41.3按36.5.1的规定完成解密后，公布下列内容，并予以记录，记录提交评标委员会评审：</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41.4招标人对开标过程进行记录，并存档备查，投标人在开标记录上签字。</w:t>
      </w:r>
    </w:p>
    <w:p>
      <w:pPr>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41.5招标人将上述符合要求的投标文件，送至评标委员会进行评审。</w:t>
      </w:r>
    </w:p>
    <w:p>
      <w:pPr>
        <w:pStyle w:val="30"/>
        <w:tabs>
          <w:tab w:val="left" w:pos="7380"/>
        </w:tabs>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42.评标细则</w:t>
      </w:r>
    </w:p>
    <w:p>
      <w:pPr>
        <w:pStyle w:val="30"/>
        <w:tabs>
          <w:tab w:val="left" w:pos="7380"/>
        </w:tabs>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42.1评标委员会的组成：评标委员会为综合评标委员会，负责评标工作。</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42.2投标人资格审查</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42.2.2汇总资格审查情况，编写资格审查报告。</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42.2.3资格审查不合格的投标文件不参加下一阶段的评标，不参与评标参考价的计算。</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42.2.5资审合格后，投标人的资格发生变化而不满足投标人合格条件，在发出中标通知书前，资格问题仍未解决的，招标人将取消其中标资格。</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42.2.6资格审查合格的投标人少于3名的（当N个标段同时招标且不允许兼中时，资格审查合格的投标人少于N+2名），则本项目招标失败。 </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42.4投标文件算术校核：</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评标委员会将对通过技术标有效性审查的投标文件投标报价按照就低不就高的原则进行算术校核，具体标准如下：</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42.4.1如果数字表示的金额和用文字表示的金额不一致时，应以文字表示的金额为准；</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42.4.2经算术复核的中标候选人报价与其投标报价不一致时，按就低不就高原则确定其最终报价；</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42.4.4当合价、金额累加错误时，按就低不就高原则，如果累加修正值小于原累加值，则按累加修正值；如果累加修正值大于原累加值，则按原累加值；</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42.4.5如果投标人的有关规费、暂列金额、暂估价、绿色施工安全防护措施费等未按招标文件规定的金额填写的，由评标委员会按照招标文件规定的金额进行修正；</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42.4.7按就低不就高原则，当修正后报价小于原报价，总价按修正后报价；当修正后报价大于原报价，总价按原报价，并在签订合同时载明在结算价中扣除修正报价与原报价的差额。</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42.5确定投标文件的评审次序</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42.5.1确定评标方式</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42.6 投标文件的有效性审查</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42.7评标结束后，评标委员会应当在通过投标文件有效性审查的投标人中，按照原投标文件的评审次序，推荐前3名依次为第一中标候选人至第三中标候选人，并编写评标报告。</w:t>
      </w:r>
    </w:p>
    <w:p>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42.8若有效投标人不足三家，应当依法重新招标。（当N个标段同时招标且不允许兼中时，若有效投标人不足N+2家，应当依法重新招标）</w:t>
      </w:r>
      <w:r>
        <w:rPr>
          <w:rFonts w:hint="eastAsia" w:ascii="宋体" w:hAnsi="宋体" w:cs="宋体"/>
          <w:color w:val="auto"/>
          <w:sz w:val="21"/>
          <w:szCs w:val="21"/>
          <w:highlight w:val="none"/>
          <w:lang w:eastAsia="zh-CN"/>
        </w:rPr>
        <w:t>。</w:t>
      </w:r>
    </w:p>
    <w:bookmarkEnd w:id="22"/>
    <w:bookmarkEnd w:id="23"/>
    <w:p>
      <w:pPr>
        <w:snapToGrid/>
        <w:spacing w:line="240" w:lineRule="auto"/>
        <w:rPr>
          <w:rFonts w:ascii="Times New Roman" w:hAnsi="Times New Roman" w:cs="Times New Roman"/>
          <w:color w:val="auto"/>
          <w:szCs w:val="22"/>
          <w:highlight w:val="none"/>
        </w:rPr>
      </w:pPr>
    </w:p>
    <w:p>
      <w:pPr>
        <w:rPr>
          <w:color w:val="auto"/>
          <w:highlight w:val="none"/>
        </w:rPr>
        <w:sectPr>
          <w:footerReference r:id="rId10" w:type="first"/>
          <w:footerReference r:id="rId9" w:type="default"/>
          <w:endnotePr>
            <w:numFmt w:val="decimal"/>
          </w:endnotePr>
          <w:pgSz w:w="11906" w:h="16838"/>
          <w:pgMar w:top="1440" w:right="1383" w:bottom="1440" w:left="1383" w:header="851" w:footer="907" w:gutter="0"/>
          <w:pgNumType w:start="1"/>
          <w:cols w:space="720" w:num="1"/>
          <w:docGrid w:type="lines" w:linePitch="312" w:charSpace="0"/>
        </w:sectPr>
      </w:pPr>
    </w:p>
    <w:p>
      <w:pPr>
        <w:rPr>
          <w:rFonts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pPr>
        <w:spacing w:line="360" w:lineRule="auto"/>
        <w:rPr>
          <w:rFonts w:ascii="宋体" w:hAnsi="宋体" w:cs="宋体"/>
          <w:color w:val="auto"/>
          <w:sz w:val="21"/>
          <w:szCs w:val="21"/>
          <w:highlight w:val="none"/>
        </w:rPr>
      </w:pP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本项目招标人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本人就参与</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项目的评标工作，作出郑重声明：</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如果本人违反上述声明内容，造成的后果由本人自行承担。</w:t>
      </w:r>
    </w:p>
    <w:p>
      <w:pPr>
        <w:spacing w:line="240" w:lineRule="exact"/>
        <w:ind w:firstLine="420" w:firstLineChars="200"/>
        <w:rPr>
          <w:rFonts w:ascii="宋体" w:hAnsi="宋体" w:cs="宋体"/>
          <w:color w:val="auto"/>
          <w:sz w:val="21"/>
          <w:szCs w:val="21"/>
          <w:highlight w:val="none"/>
        </w:rPr>
      </w:pPr>
    </w:p>
    <w:p>
      <w:pPr>
        <w:pStyle w:val="2"/>
        <w:rPr>
          <w:color w:val="auto"/>
          <w:sz w:val="21"/>
          <w:szCs w:val="21"/>
          <w:highlight w:val="none"/>
        </w:rPr>
      </w:pPr>
      <w:r>
        <w:rPr>
          <w:rFonts w:ascii="宋体" w:hAnsi="宋体" w:cs="宋体"/>
          <w:color w:val="auto"/>
          <w:sz w:val="21"/>
          <w:szCs w:val="21"/>
          <w:highlight w:val="none"/>
        </w:rPr>
        <w:t xml:space="preserve">                             </w:t>
      </w:r>
      <w:r>
        <w:rPr>
          <w:rFonts w:hint="eastAsia" w:ascii="宋体" w:hAnsi="宋体" w:cs="宋体"/>
          <w:b/>
          <w:color w:val="auto"/>
          <w:sz w:val="21"/>
          <w:szCs w:val="21"/>
          <w:highlight w:val="none"/>
        </w:rPr>
        <w:t>声明人：</w:t>
      </w:r>
      <w:r>
        <w:rPr>
          <w:rFonts w:hint="eastAsia" w:ascii="宋体" w:hAnsi="宋体" w:cs="宋体"/>
          <w:b/>
          <w:color w:val="auto"/>
          <w:sz w:val="21"/>
          <w:szCs w:val="21"/>
          <w:highlight w:val="none"/>
          <w:u w:val="single"/>
        </w:rPr>
        <w:t>（签名）</w:t>
      </w:r>
      <w:r>
        <w:rPr>
          <w:rFonts w:ascii="宋体" w:hAnsi="宋体" w:cs="宋体"/>
          <w:b/>
          <w:color w:val="auto"/>
          <w:sz w:val="21"/>
          <w:szCs w:val="21"/>
          <w:highlight w:val="none"/>
          <w:u w:val="single"/>
        </w:rPr>
        <w:t xml:space="preserve">  </w:t>
      </w:r>
    </w:p>
    <w:p>
      <w:pPr>
        <w:pStyle w:val="2"/>
        <w:rPr>
          <w:color w:val="auto"/>
          <w:highlight w:val="none"/>
        </w:rPr>
      </w:pPr>
    </w:p>
    <w:p>
      <w:pPr>
        <w:widowControl/>
        <w:snapToGrid w:val="0"/>
        <w:spacing w:line="360" w:lineRule="auto"/>
        <w:ind w:right="102"/>
        <w:jc w:val="left"/>
        <w:rPr>
          <w:rFonts w:ascii="宋体" w:hAnsi="宋体" w:cs="宋体"/>
          <w:color w:val="auto"/>
          <w:szCs w:val="21"/>
          <w:highlight w:val="none"/>
        </w:rPr>
        <w:sectPr>
          <w:endnotePr>
            <w:numFmt w:val="decimal"/>
          </w:endnotePr>
          <w:pgSz w:w="11906" w:h="16838"/>
          <w:pgMar w:top="1440" w:right="1383" w:bottom="1440" w:left="1383" w:header="851" w:footer="907" w:gutter="0"/>
          <w:cols w:space="720" w:num="1"/>
          <w:docGrid w:type="lines" w:linePitch="312" w:charSpace="0"/>
        </w:sectPr>
      </w:pPr>
    </w:p>
    <w:p>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附表一</w:t>
      </w:r>
    </w:p>
    <w:p>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2"/>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576"/>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、法定代表人证明书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；委托投标的还应提供法人授权委托证明书</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营业执照扫描</w:t>
            </w:r>
            <w:r>
              <w:rPr>
                <w:rFonts w:hint="eastAsia" w:ascii="宋体" w:hAnsi="宋体" w:cs="宋体"/>
                <w:color w:val="auto"/>
                <w:highlight w:val="none"/>
              </w:rPr>
              <w:t>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bookmarkStart w:id="29" w:name="OLE_LINK3" w:colFirst="1" w:colLast="1"/>
            <w:bookmarkStart w:id="30" w:name="OLE_LINK4" w:colFirst="2" w:colLast="2"/>
            <w:r>
              <w:rPr>
                <w:rFonts w:hint="eastAsia" w:ascii="宋体" w:hAnsi="宋体" w:cs="宋体"/>
                <w:color w:val="auto"/>
                <w:szCs w:val="21"/>
                <w:highlight w:val="none"/>
              </w:rPr>
              <w:t>3</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，指联合体各方）持有建设行政主管部门颁发的</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u w:val="single"/>
              </w:rPr>
            </w:pPr>
            <w:r>
              <w:rPr>
                <w:rFonts w:hint="eastAsia" w:ascii="宋体" w:hAnsi="宋体" w:cs="宋体"/>
                <w:color w:val="auto"/>
                <w:szCs w:val="21"/>
                <w:highlight w:val="none"/>
              </w:rPr>
              <w:t>资质证书扫描件或电子证照，或符合招标公告规定的相关证明材料（如有）；安全生产许可证</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29"/>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使用有效期内的注册建造师注册证书扫描件或电子证照。</w:t>
            </w: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u w:val="none"/>
              </w:rPr>
              <w:t>递交的注册建造师注册证书须符合招标公告第九条第4款注②的规定</w:t>
            </w:r>
            <w:r>
              <w:rPr>
                <w:rFonts w:hint="eastAsia" w:ascii="宋体" w:hAnsi="宋体" w:eastAsia="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bookmarkStart w:id="31" w:name="OLE_LINK5" w:colFirst="1" w:colLast="1"/>
            <w:bookmarkStart w:id="32" w:name="OLE_LINK6" w:colFirst="2" w:colLast="2"/>
            <w:r>
              <w:rPr>
                <w:rFonts w:hint="eastAsia" w:ascii="宋体" w:hAnsi="宋体" w:cs="宋体"/>
                <w:color w:val="auto"/>
                <w:szCs w:val="21"/>
                <w:highlight w:val="none"/>
              </w:rPr>
              <w:t>5</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项目负责人安全生产考核合格证（B证）或建筑施工企业项目负责人安全生产考核合格证</w:t>
            </w:r>
            <w:r>
              <w:rPr>
                <w:rFonts w:hint="eastAsia" w:ascii="宋体" w:hAnsi="宋体" w:cs="宋体"/>
                <w:color w:val="auto"/>
                <w:szCs w:val="21"/>
                <w:highlight w:val="none"/>
                <w:u w:val="single"/>
              </w:rPr>
              <w:t>扫描件或电子证照。</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31"/>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bookmarkStart w:id="33" w:name="OLE_LINK7" w:colFirst="1" w:colLast="1"/>
            <w:bookmarkStart w:id="34" w:name="OLE_LINK8" w:colFirst="2" w:colLast="2"/>
            <w:r>
              <w:rPr>
                <w:rFonts w:hint="eastAsia" w:ascii="宋体" w:hAnsi="宋体" w:cs="宋体"/>
                <w:color w:val="auto"/>
                <w:szCs w:val="21"/>
                <w:highlight w:val="none"/>
              </w:rPr>
              <w:t>6</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33"/>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bookmarkStart w:id="35" w:name="OLE_LINK9" w:colFirst="2" w:colLast="2"/>
            <w:r>
              <w:rPr>
                <w:rFonts w:hint="eastAsia" w:ascii="宋体" w:hAnsi="宋体" w:cs="宋体"/>
                <w:color w:val="auto"/>
                <w:szCs w:val="21"/>
                <w:highlight w:val="none"/>
              </w:rPr>
              <w:t>7</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投标人（若为联合体投标，指联合体主办方）拟派</w:t>
            </w: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安全生产考核合格证（C证）或建筑施工企业专职安全生产管理人员安全生产考核合格证（C3）；</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C3）</w:t>
            </w:r>
            <w:r>
              <w:rPr>
                <w:rFonts w:hint="eastAsia" w:ascii="宋体" w:hAnsi="宋体" w:cs="宋体"/>
                <w:color w:val="auto"/>
                <w:kern w:val="0"/>
                <w:szCs w:val="21"/>
                <w:highlight w:val="none"/>
              </w:rPr>
              <w:t>证书</w:t>
            </w:r>
            <w:r>
              <w:rPr>
                <w:rFonts w:hint="eastAsia" w:ascii="宋体" w:hAnsi="宋体" w:cs="宋体"/>
                <w:color w:val="auto"/>
                <w:szCs w:val="21"/>
                <w:highlight w:val="none"/>
                <w:u w:val="single"/>
              </w:rPr>
              <w:t>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bookmarkStart w:id="36" w:name="OLE_LINK10" w:colFirst="1" w:colLast="1"/>
            <w:r>
              <w:rPr>
                <w:rFonts w:hint="eastAsia" w:ascii="宋体" w:hAnsi="宋体" w:cs="宋体"/>
                <w:color w:val="auto"/>
                <w:szCs w:val="21"/>
                <w:highlight w:val="none"/>
                <w:u w:val="single"/>
              </w:rPr>
              <w:t>8</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bookmarkStart w:id="37" w:name="OLE_LINK11" w:colFirst="1" w:colLast="1"/>
            <w:bookmarkStart w:id="38" w:name="OLE_LINK12" w:colFirst="2" w:colLast="2"/>
            <w:r>
              <w:rPr>
                <w:rFonts w:hint="eastAsia" w:ascii="宋体" w:hAnsi="宋体" w:cs="宋体"/>
                <w:color w:val="auto"/>
                <w:szCs w:val="21"/>
                <w:highlight w:val="none"/>
                <w:u w:val="single"/>
              </w:rPr>
              <w:t>9</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37"/>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Style w:val="40"/>
                <w:rFonts w:hint="default" w:cs="宋体"/>
                <w:color w:val="auto"/>
                <w:sz w:val="21"/>
                <w:szCs w:val="21"/>
                <w:highlight w:val="none"/>
              </w:rPr>
              <w:t>关于联合体投标：本项目接受联合体投标；</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strike w:val="0"/>
                <w:color w:val="auto"/>
                <w:szCs w:val="21"/>
                <w:highlight w:val="none"/>
                <w:u w:val="single"/>
                <w:lang w:eastAsia="zh-CN"/>
              </w:rPr>
            </w:pPr>
            <w:r>
              <w:rPr>
                <w:rFonts w:hint="eastAsia" w:ascii="宋体" w:hAnsi="宋体" w:eastAsia="宋体" w:cs="宋体"/>
                <w:color w:val="auto"/>
                <w:szCs w:val="21"/>
                <w:highlight w:val="none"/>
              </w:rPr>
              <w:t>联合体协议书</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资格审查前，投标人须在广州市住房和城乡建设局建立企业信用档案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拟担任本工程项目负责人、专职安全员须是</w:t>
            </w:r>
            <w:r>
              <w:rPr>
                <w:rFonts w:hint="eastAsia" w:ascii="宋体" w:hAnsi="宋体" w:cs="宋体"/>
                <w:color w:val="auto"/>
                <w:szCs w:val="21"/>
                <w:highlight w:val="none"/>
                <w:u w:val="single"/>
                <w:lang w:eastAsia="zh-CN"/>
              </w:rPr>
              <w:t>本</w:t>
            </w:r>
            <w:r>
              <w:rPr>
                <w:rFonts w:hint="eastAsia" w:ascii="宋体" w:hAnsi="宋体" w:cs="宋体"/>
                <w:color w:val="auto"/>
                <w:szCs w:val="21"/>
                <w:highlight w:val="none"/>
                <w:u w:val="single"/>
              </w:rPr>
              <w:t>企业（若为联合体</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，指联合体</w:t>
            </w:r>
            <w:r>
              <w:rPr>
                <w:rFonts w:hint="eastAsia" w:ascii="宋体" w:hAnsi="宋体" w:cs="宋体"/>
                <w:color w:val="auto"/>
                <w:szCs w:val="21"/>
                <w:highlight w:val="none"/>
                <w:u w:val="single"/>
                <w:lang w:val="en-US" w:eastAsia="zh-CN"/>
              </w:rPr>
              <w:t>主办方</w:t>
            </w:r>
            <w:r>
              <w:rPr>
                <w:rFonts w:hint="eastAsia" w:ascii="宋体" w:hAnsi="宋体" w:cs="宋体"/>
                <w:color w:val="auto"/>
                <w:szCs w:val="21"/>
                <w:highlight w:val="none"/>
                <w:u w:val="single"/>
              </w:rPr>
              <w:t>）信用档案中的在册人员；</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
                <w:bCs/>
                <w:color w:val="auto"/>
                <w:szCs w:val="21"/>
                <w:highlight w:val="none"/>
                <w:u w:val="single"/>
              </w:rPr>
              <w:t>投标人无需提供证明资料</w:t>
            </w:r>
            <w:r>
              <w:rPr>
                <w:rFonts w:hint="eastAsia" w:ascii="宋体" w:hAnsi="宋体" w:cs="宋体"/>
                <w:bCs/>
                <w:color w:val="auto"/>
                <w:szCs w:val="21"/>
                <w:highlight w:val="none"/>
                <w:u w:val="single"/>
              </w:rPr>
              <w:t>。</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bookmarkStart w:id="39" w:name="OLE_LINK13" w:colFirst="1" w:colLast="1"/>
            <w:bookmarkStart w:id="40" w:name="OLE_LINK14" w:colFirst="2" w:colLast="2"/>
            <w:r>
              <w:rPr>
                <w:rFonts w:hint="eastAsia" w:ascii="宋体" w:hAnsi="宋体" w:cs="宋体"/>
                <w:color w:val="auto"/>
                <w:szCs w:val="21"/>
                <w:highlight w:val="none"/>
                <w:u w:val="single"/>
              </w:rPr>
              <w:t>13</w:t>
            </w:r>
          </w:p>
        </w:tc>
        <w:tc>
          <w:tcPr>
            <w:tcW w:w="6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投标人（若为联合体</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，指联合体各方）未被列入拖欠农民工工资失信联合惩戒对象名单；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u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bookmarkEnd w:id="39"/>
      <w:bookmarkEnd w:id="40"/>
    </w:tbl>
    <w:p>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napToGrid w:val="0"/>
        <w:spacing w:line="360" w:lineRule="auto"/>
        <w:ind w:firstLine="537" w:firstLineChars="224"/>
        <w:rPr>
          <w:rFonts w:hint="eastAsia" w:ascii="宋体" w:hAnsi="宋体" w:eastAsia="宋体" w:cs="宋体"/>
          <w:b w:val="0"/>
          <w:bCs w:val="0"/>
          <w:color w:val="auto"/>
          <w:kern w:val="2"/>
          <w:sz w:val="24"/>
          <w:szCs w:val="24"/>
          <w:highlight w:val="none"/>
          <w:lang w:val="en-US" w:eastAsia="zh-CN" w:bidi="ar-SA"/>
        </w:rPr>
      </w:pPr>
    </w:p>
    <w:p>
      <w:pPr>
        <w:snapToGrid w:val="0"/>
        <w:spacing w:line="360" w:lineRule="auto"/>
        <w:rPr>
          <w:rFonts w:hint="eastAsia" w:ascii="宋体" w:hAnsi="宋体" w:eastAsia="宋体" w:cs="宋体"/>
          <w:b w:val="0"/>
          <w:bCs w:val="0"/>
          <w:color w:val="auto"/>
          <w:kern w:val="2"/>
          <w:sz w:val="24"/>
          <w:szCs w:val="24"/>
          <w:highlight w:val="none"/>
          <w:lang w:val="en-US" w:eastAsia="zh-CN" w:bidi="ar-SA"/>
        </w:rPr>
        <w:sectPr>
          <w:endnotePr>
            <w:numFmt w:val="decimal"/>
          </w:endnotePr>
          <w:pgSz w:w="16838" w:h="11906" w:orient="landscape"/>
          <w:pgMar w:top="1361" w:right="1247" w:bottom="1361" w:left="1247" w:header="851" w:footer="907" w:gutter="0"/>
          <w:cols w:space="720" w:num="1"/>
          <w:titlePg/>
          <w:docGrid w:type="linesAndChars" w:linePitch="312" w:charSpace="0"/>
        </w:sectPr>
      </w:pPr>
    </w:p>
    <w:p>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附表二</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tcPr>
          <w:p>
            <w:pPr>
              <w:adjustRightInd w:val="0"/>
              <w:snapToGrid w:val="0"/>
              <w:spacing w:line="360" w:lineRule="auto"/>
              <w:ind w:firstLine="8400" w:firstLineChars="4000"/>
              <w:rPr>
                <w:rFonts w:ascii="宋体" w:hAnsi="宋体" w:cs="宋体"/>
                <w:color w:val="auto"/>
                <w:szCs w:val="21"/>
                <w:highlight w:val="none"/>
              </w:rPr>
            </w:pPr>
            <w:r>
              <w:rPr>
                <w:rFonts w:hint="eastAsia" w:ascii="宋体" w:hAnsi="宋体" w:cs="宋体"/>
                <w:color w:val="auto"/>
                <w:szCs w:val="21"/>
                <w:highlight w:val="none"/>
              </w:rPr>
              <w:t>投标人</w:t>
            </w: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（指招标文件第四章提供格式的《广州建设工程施工招标投标书（技术标）》《投标函》《响应招标文件所附施工组织设计要点的承诺书》《危险性较大的分部分项工程安全管理措施》）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bookmarkStart w:id="41" w:name="OLE_LINK15" w:colFirst="1" w:colLast="1"/>
            <w:r>
              <w:rPr>
                <w:rFonts w:hint="eastAsia" w:ascii="宋体" w:hAnsi="宋体" w:cs="宋体"/>
                <w:color w:val="auto"/>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bookmarkEnd w:id="41"/>
    </w:tbl>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snapToGrid w:val="0"/>
        <w:spacing w:line="360" w:lineRule="auto"/>
        <w:ind w:firstLine="470" w:firstLineChars="224"/>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pPr>
        <w:snapToGrid w:val="0"/>
        <w:spacing w:line="360" w:lineRule="auto"/>
        <w:ind w:firstLine="470" w:firstLineChars="224"/>
        <w:rPr>
          <w:rFonts w:ascii="宋体" w:hAnsi="宋体" w:cs="宋体"/>
          <w:color w:val="auto"/>
          <w:szCs w:val="21"/>
          <w:highlight w:val="none"/>
        </w:rPr>
      </w:pPr>
    </w:p>
    <w:p>
      <w:pPr>
        <w:snapToGrid w:val="0"/>
        <w:spacing w:line="360" w:lineRule="auto"/>
        <w:ind w:firstLine="470" w:firstLineChars="224"/>
        <w:rPr>
          <w:rFonts w:ascii="宋体" w:hAnsi="宋体" w:cs="宋体"/>
          <w:color w:val="auto"/>
          <w:szCs w:val="21"/>
          <w:highlight w:val="none"/>
        </w:rPr>
      </w:pPr>
    </w:p>
    <w:p>
      <w:pPr>
        <w:pStyle w:val="13"/>
        <w:snapToGrid w:val="0"/>
        <w:spacing w:line="360" w:lineRule="auto"/>
        <w:ind w:left="0" w:leftChars="0" w:firstLine="0" w:firstLineChars="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附表三</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08"/>
        <w:gridCol w:w="857"/>
        <w:gridCol w:w="857"/>
        <w:gridCol w:w="857"/>
        <w:gridCol w:w="857"/>
        <w:gridCol w:w="85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8608" w:type="dxa"/>
            <w:tcBorders>
              <w:top w:val="single" w:color="auto" w:sz="4" w:space="0"/>
              <w:left w:val="single" w:color="auto" w:sz="4" w:space="0"/>
              <w:bottom w:val="single" w:color="auto" w:sz="4" w:space="0"/>
              <w:right w:val="single" w:color="auto" w:sz="4" w:space="0"/>
              <w:tl2br w:val="single" w:color="auto" w:sz="4" w:space="0"/>
            </w:tcBorders>
            <w:noWrap/>
          </w:tcPr>
          <w:p>
            <w:pPr>
              <w:snapToGrid w:val="0"/>
              <w:spacing w:line="360" w:lineRule="auto"/>
              <w:ind w:firstLine="7350" w:firstLineChars="3500"/>
              <w:rPr>
                <w:rFonts w:ascii="宋体" w:hAnsi="宋体" w:cs="宋体"/>
                <w:color w:val="auto"/>
                <w:szCs w:val="21"/>
                <w:highlight w:val="none"/>
              </w:rPr>
            </w:pPr>
            <w:r>
              <w:rPr>
                <w:rFonts w:hint="eastAsia" w:ascii="宋体" w:hAnsi="宋体" w:cs="宋体"/>
                <w:color w:val="auto"/>
                <w:szCs w:val="21"/>
                <w:highlight w:val="none"/>
              </w:rPr>
              <w:t>投标人</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bookmarkStart w:id="42" w:name="OLE_LINK16" w:colFirst="1" w:colLast="1"/>
            <w:r>
              <w:rPr>
                <w:rFonts w:hint="eastAsia" w:ascii="宋体" w:hAnsi="宋体" w:cs="宋体"/>
                <w:color w:val="auto"/>
                <w:szCs w:val="21"/>
                <w:highlight w:val="none"/>
              </w:rPr>
              <w:t>3</w:t>
            </w:r>
          </w:p>
        </w:tc>
        <w:tc>
          <w:tcPr>
            <w:tcW w:w="860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bookmarkStart w:id="43" w:name="OLE_LINK17" w:colFirst="1" w:colLast="1"/>
            <w:r>
              <w:rPr>
                <w:rFonts w:hint="eastAsia" w:ascii="宋体" w:hAnsi="宋体" w:cs="宋体"/>
                <w:color w:val="auto"/>
                <w:szCs w:val="21"/>
                <w:highlight w:val="none"/>
              </w:rPr>
              <w:t>4</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7</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8</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bl>
    <w:p>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snapToGrid w:val="0"/>
        <w:spacing w:line="360" w:lineRule="auto"/>
        <w:ind w:firstLine="458"/>
        <w:rPr>
          <w:rFonts w:ascii="宋体" w:hAnsi="宋体" w:cs="宋体"/>
          <w:b w:val="0"/>
          <w:bCs w:val="0"/>
          <w:color w:val="auto"/>
          <w:szCs w:val="21"/>
          <w:highlight w:val="none"/>
        </w:rPr>
      </w:pPr>
      <w:r>
        <w:rPr>
          <w:rFonts w:hint="eastAsia" w:ascii="宋体" w:hAnsi="宋体" w:cs="宋体"/>
          <w:b w:val="0"/>
          <w:bCs w:val="0"/>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napToGrid w:val="0"/>
        <w:spacing w:line="360" w:lineRule="auto"/>
        <w:ind w:firstLine="470" w:firstLineChars="224"/>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pPr>
        <w:snapToGrid w:val="0"/>
        <w:spacing w:line="360" w:lineRule="auto"/>
        <w:ind w:firstLine="470" w:firstLineChars="224"/>
        <w:rPr>
          <w:rFonts w:ascii="宋体" w:hAnsi="宋体" w:cs="宋体"/>
          <w:color w:val="auto"/>
          <w:szCs w:val="21"/>
          <w:highlight w:val="none"/>
        </w:rPr>
      </w:pPr>
    </w:p>
    <w:p>
      <w:pPr>
        <w:pStyle w:val="13"/>
        <w:snapToGrid w:val="0"/>
        <w:spacing w:line="360" w:lineRule="auto"/>
        <w:ind w:left="0" w:leftChars="0" w:firstLine="0" w:firstLineChars="0"/>
        <w:rPr>
          <w:rFonts w:ascii="宋体" w:hAnsi="宋体" w:cs="宋体"/>
          <w:color w:val="auto"/>
          <w:sz w:val="24"/>
          <w:szCs w:val="24"/>
          <w:highlight w:val="none"/>
        </w:rPr>
      </w:pPr>
    </w:p>
    <w:p>
      <w:pPr>
        <w:snapToGrid w:val="0"/>
        <w:spacing w:line="360" w:lineRule="auto"/>
        <w:jc w:val="left"/>
        <w:rPr>
          <w:rFonts w:ascii="宋体" w:hAnsi="宋体" w:cs="宋体"/>
          <w:b/>
          <w:bCs/>
          <w:color w:val="auto"/>
          <w:sz w:val="24"/>
          <w:szCs w:val="24"/>
          <w:highlight w:val="none"/>
        </w:rPr>
        <w:sectPr>
          <w:footerReference r:id="rId11" w:type="default"/>
          <w:pgSz w:w="16840" w:h="11907" w:orient="landscape"/>
          <w:pgMar w:top="1418" w:right="1247" w:bottom="1418" w:left="1247" w:header="851" w:footer="992" w:gutter="0"/>
          <w:cols w:space="720" w:num="1"/>
          <w:docGrid w:type="lines" w:linePitch="312" w:charSpace="0"/>
        </w:sectPr>
      </w:pPr>
    </w:p>
    <w:p>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附表四</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工程名称：投标人：单位：元</w:t>
      </w:r>
    </w:p>
    <w:tbl>
      <w:tblPr>
        <w:tblStyle w:val="32"/>
        <w:tblW w:w="14788" w:type="dxa"/>
        <w:tblInd w:w="0" w:type="dxa"/>
        <w:tblLayout w:type="fixed"/>
        <w:tblCellMar>
          <w:top w:w="0" w:type="dxa"/>
          <w:left w:w="108" w:type="dxa"/>
          <w:bottom w:w="0" w:type="dxa"/>
          <w:right w:w="108" w:type="dxa"/>
        </w:tblCellMar>
      </w:tblPr>
      <w:tblGrid>
        <w:gridCol w:w="776"/>
        <w:gridCol w:w="2235"/>
        <w:gridCol w:w="2280"/>
        <w:gridCol w:w="2125"/>
        <w:gridCol w:w="2100"/>
        <w:gridCol w:w="1510"/>
        <w:gridCol w:w="3762"/>
      </w:tblGrid>
      <w:tr>
        <w:tblPrEx>
          <w:tblCellMar>
            <w:top w:w="0" w:type="dxa"/>
            <w:left w:w="108" w:type="dxa"/>
            <w:bottom w:w="0" w:type="dxa"/>
            <w:right w:w="108" w:type="dxa"/>
          </w:tblCellMar>
        </w:tblPrEx>
        <w:trPr>
          <w:trHeight w:val="705"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编号</w:t>
            </w:r>
          </w:p>
        </w:tc>
        <w:tc>
          <w:tcPr>
            <w:tcW w:w="2235" w:type="dxa"/>
            <w:tcBorders>
              <w:top w:val="single" w:color="auto" w:sz="4" w:space="0"/>
              <w:left w:val="nil"/>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算术校核项目</w:t>
            </w:r>
          </w:p>
        </w:tc>
        <w:tc>
          <w:tcPr>
            <w:tcW w:w="2280" w:type="dxa"/>
            <w:tcBorders>
              <w:top w:val="single" w:color="auto" w:sz="4" w:space="0"/>
              <w:left w:val="nil"/>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修正前投标报价A</w:t>
            </w:r>
          </w:p>
        </w:tc>
        <w:tc>
          <w:tcPr>
            <w:tcW w:w="2125" w:type="dxa"/>
            <w:tcBorders>
              <w:top w:val="single" w:color="auto" w:sz="4" w:space="0"/>
              <w:left w:val="nil"/>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修正后投标报价B</w:t>
            </w:r>
          </w:p>
        </w:tc>
        <w:tc>
          <w:tcPr>
            <w:tcW w:w="2100" w:type="dxa"/>
            <w:tcBorders>
              <w:top w:val="single" w:color="auto" w:sz="4" w:space="0"/>
              <w:left w:val="nil"/>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修正率</w:t>
            </w:r>
          </w:p>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r=|A-B|/A*100%</w:t>
            </w:r>
          </w:p>
        </w:tc>
        <w:tc>
          <w:tcPr>
            <w:tcW w:w="1510" w:type="dxa"/>
            <w:tcBorders>
              <w:top w:val="single" w:color="auto" w:sz="4" w:space="0"/>
              <w:left w:val="nil"/>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经评审的最终投标报价</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[单位工程1]</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[单位工程2]</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n</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[单位工程n]</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776" w:type="dxa"/>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3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w:t>
            </w:r>
          </w:p>
        </w:tc>
        <w:tc>
          <w:tcPr>
            <w:tcW w:w="228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25"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00" w:type="dxa"/>
            <w:tcBorders>
              <w:top w:val="nil"/>
              <w:left w:val="nil"/>
              <w:bottom w:val="single" w:color="auto" w:sz="4" w:space="0"/>
              <w:right w:val="single" w:color="auto" w:sz="4" w:space="0"/>
              <w:tr2bl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0" w:type="dxa"/>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62" w:type="dxa"/>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∑A=A</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+A</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+…An；∑B=B</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+B</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+…Bn</w:t>
            </w:r>
          </w:p>
        </w:tc>
      </w:tr>
    </w:tbl>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修正原则：</w:t>
      </w:r>
      <w:r>
        <w:rPr>
          <w:rFonts w:hint="eastAsia" w:ascii="宋体" w:hAnsi="宋体" w:cs="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评委签名：日期：</w:t>
      </w:r>
    </w:p>
    <w:p>
      <w:pPr>
        <w:pStyle w:val="41"/>
        <w:ind w:firstLine="420" w:firstLineChars="200"/>
        <w:rPr>
          <w:rFonts w:ascii="仿宋" w:hAnsi="仿宋" w:eastAsia="仿宋" w:cs="仿宋"/>
          <w:color w:val="auto"/>
          <w:sz w:val="21"/>
          <w:szCs w:val="21"/>
          <w:highlight w:val="none"/>
        </w:rPr>
      </w:pPr>
    </w:p>
    <w:p>
      <w:pPr>
        <w:snapToGrid w:val="0"/>
        <w:spacing w:line="360" w:lineRule="auto"/>
        <w:jc w:val="left"/>
        <w:rPr>
          <w:rFonts w:ascii="宋体" w:hAnsi="宋体" w:cs="宋体"/>
          <w:b/>
          <w:bCs/>
          <w:color w:val="auto"/>
          <w:sz w:val="24"/>
          <w:szCs w:val="24"/>
          <w:highlight w:val="none"/>
        </w:rPr>
        <w:sectPr>
          <w:pgSz w:w="16840" w:h="11907" w:orient="landscape"/>
          <w:pgMar w:top="1418" w:right="1134" w:bottom="1418" w:left="1134" w:header="851" w:footer="992" w:gutter="0"/>
          <w:cols w:space="720" w:num="1"/>
          <w:docGrid w:type="lines" w:linePitch="312" w:charSpace="0"/>
        </w:sectPr>
      </w:pPr>
    </w:p>
    <w:p>
      <w:pPr>
        <w:snapToGrid w:val="0"/>
        <w:spacing w:line="360" w:lineRule="auto"/>
        <w:jc w:val="both"/>
        <w:rPr>
          <w:rFonts w:hint="eastAsia" w:ascii="宋体" w:hAnsi="宋体" w:cs="宋体"/>
          <w:b/>
          <w:color w:val="auto"/>
          <w:sz w:val="24"/>
          <w:szCs w:val="24"/>
          <w:highlight w:val="none"/>
        </w:rPr>
      </w:pP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2"/>
        <w:tblW w:w="14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417"/>
        <w:gridCol w:w="2392"/>
        <w:gridCol w:w="3185"/>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44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2392"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185"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351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bl>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评委签名：</w:t>
      </w:r>
    </w:p>
    <w:p>
      <w:pPr>
        <w:pStyle w:val="41"/>
        <w:ind w:firstLine="420" w:firstLineChars="200"/>
        <w:rPr>
          <w:rFonts w:ascii="仿宋" w:hAnsi="仿宋" w:eastAsia="仿宋" w:cs="仿宋"/>
          <w:color w:val="auto"/>
          <w:sz w:val="21"/>
          <w:szCs w:val="21"/>
          <w:highlight w:val="none"/>
        </w:rPr>
      </w:pPr>
    </w:p>
    <w:p>
      <w:pPr>
        <w:pStyle w:val="13"/>
        <w:snapToGrid w:val="0"/>
        <w:spacing w:line="360" w:lineRule="auto"/>
        <w:ind w:left="0" w:leftChars="0" w:firstLine="0" w:firstLineChars="0"/>
        <w:rPr>
          <w:rFonts w:ascii="宋体" w:hAnsi="宋体" w:cs="宋体"/>
          <w:color w:val="auto"/>
          <w:sz w:val="24"/>
          <w:szCs w:val="24"/>
          <w:highlight w:val="none"/>
        </w:rPr>
      </w:pPr>
    </w:p>
    <w:p>
      <w:pPr>
        <w:snapToGrid w:val="0"/>
        <w:spacing w:line="360" w:lineRule="auto"/>
        <w:jc w:val="left"/>
        <w:rPr>
          <w:rFonts w:ascii="宋体" w:hAnsi="宋体" w:cs="宋体"/>
          <w:b/>
          <w:bCs/>
          <w:color w:val="auto"/>
          <w:sz w:val="24"/>
          <w:szCs w:val="24"/>
          <w:highlight w:val="none"/>
        </w:rPr>
        <w:sectPr>
          <w:footerReference r:id="rId12" w:type="default"/>
          <w:pgSz w:w="16840" w:h="11907" w:orient="landscape"/>
          <w:pgMar w:top="1418" w:right="1247" w:bottom="1418" w:left="1247" w:header="851" w:footer="992" w:gutter="0"/>
          <w:cols w:space="720" w:num="1"/>
          <w:docGrid w:type="lines" w:linePitch="312" w:charSpace="0"/>
        </w:sectPr>
      </w:pPr>
    </w:p>
    <w:p>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eastAsia="zh-CN"/>
        </w:rPr>
        <w:t>五</w:t>
      </w:r>
    </w:p>
    <w:p>
      <w:pPr>
        <w:pStyle w:val="41"/>
        <w:spacing w:line="240" w:lineRule="exact"/>
        <w:ind w:firstLine="420" w:firstLineChars="200"/>
        <w:rPr>
          <w:rFonts w:ascii="仿宋" w:hAnsi="仿宋" w:eastAsia="仿宋" w:cs="仿宋"/>
          <w:color w:val="auto"/>
          <w:sz w:val="21"/>
          <w:szCs w:val="21"/>
          <w:highlight w:val="none"/>
        </w:rPr>
      </w:pPr>
    </w:p>
    <w:p>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投标报价折算标准表</w:t>
      </w:r>
    </w:p>
    <w:tbl>
      <w:tblPr>
        <w:tblStyle w:val="32"/>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6679"/>
        <w:gridCol w:w="6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量化因素</w:t>
            </w:r>
          </w:p>
        </w:tc>
        <w:tc>
          <w:tcPr>
            <w:tcW w:w="6679" w:type="dxa"/>
            <w:vAlign w:val="center"/>
          </w:tcPr>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量化标准</w:t>
            </w:r>
          </w:p>
        </w:tc>
        <w:tc>
          <w:tcPr>
            <w:tcW w:w="6619" w:type="dxa"/>
            <w:vAlign w:val="center"/>
          </w:tcPr>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诚信评价</w:t>
            </w:r>
          </w:p>
        </w:tc>
        <w:tc>
          <w:tcPr>
            <w:tcW w:w="6679" w:type="dxa"/>
            <w:vAlign w:val="center"/>
          </w:tcPr>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根据投标人（若为联合体投标，指联合体</w:t>
            </w:r>
            <w:r>
              <w:rPr>
                <w:rFonts w:hint="eastAsia" w:ascii="宋体" w:hAnsi="宋体" w:cs="宋体"/>
                <w:color w:val="auto"/>
                <w:kern w:val="2"/>
                <w:sz w:val="24"/>
                <w:szCs w:val="24"/>
                <w:highlight w:val="none"/>
                <w:lang w:val="en-US" w:eastAsia="zh-CN" w:bidi="ar-SA"/>
              </w:rPr>
              <w:t>主办方</w:t>
            </w:r>
            <w:r>
              <w:rPr>
                <w:rFonts w:hint="eastAsia" w:ascii="宋体" w:hAnsi="宋体" w:eastAsia="宋体" w:cs="宋体"/>
                <w:color w:val="auto"/>
                <w:kern w:val="2"/>
                <w:sz w:val="24"/>
                <w:szCs w:val="24"/>
                <w:highlight w:val="none"/>
                <w:lang w:val="en-US" w:eastAsia="zh-CN" w:bidi="ar-SA"/>
              </w:rPr>
              <w:t>）诚信评价60日诚信分，对其投标报价作如下调整：</w:t>
            </w:r>
          </w:p>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1、诚信分</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0分（含）或以上，经评审的投标价＝投标价×0.95；</w:t>
            </w:r>
          </w:p>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2、诚信分</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0分（不含）-</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5分（含），经评审的投标价＝投标价×0.98；</w:t>
            </w:r>
          </w:p>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3、诚信分</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5分（不含）-</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0分（含），经评审的投标价＝投标价；</w:t>
            </w:r>
          </w:p>
          <w:p>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4、诚信分</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0分（不含）或以下或未获得，经评审的投标价＝投标价×1.02。</w:t>
            </w:r>
          </w:p>
        </w:tc>
        <w:tc>
          <w:tcPr>
            <w:tcW w:w="6619" w:type="dxa"/>
            <w:vAlign w:val="center"/>
          </w:tcPr>
          <w:p>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1.该企业的诚信评价诚信分以投标截止当日广州市住房和城乡建设局信用建设专栏诚信评价专栏（http://121.8.226.218:8081/eval/evalGateWay/list?typeCode=SUPERVISOR）施工企业专栏上公布的施工-房建企业60日诚信分为准。</w:t>
            </w:r>
          </w:p>
          <w:p>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.若出现小数点时，保留小数点后二位，第三位小数四舍五入。</w:t>
            </w:r>
          </w:p>
          <w:p>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.投标人在投标时需提供本企业的诚信评价排名得分网页查询结果截图（须显示网站和网址），最终以开标当日对投标企业诚信评价60日诚信分查询结果为准。</w:t>
            </w:r>
          </w:p>
        </w:tc>
      </w:tr>
    </w:tbl>
    <w:p>
      <w:pPr>
        <w:wordWrap w:val="0"/>
        <w:adjustRightInd w:val="0"/>
        <w:snapToGrid w:val="0"/>
        <w:spacing w:line="240" w:lineRule="auto"/>
        <w:ind w:firstLine="480" w:firstLineChars="200"/>
        <w:jc w:val="both"/>
        <w:rPr>
          <w:rFonts w:hint="eastAsia" w:ascii="Times New Roman" w:hAnsi="Times New Roman" w:eastAsia="宋体" w:cs="Times New Roman"/>
          <w:snapToGrid w:val="0"/>
          <w:color w:val="auto"/>
          <w:sz w:val="24"/>
          <w:szCs w:val="24"/>
          <w:highlight w:val="none"/>
          <w:lang w:eastAsia="zh-CN"/>
        </w:rPr>
      </w:pPr>
    </w:p>
    <w:p>
      <w:pPr>
        <w:snapToGrid w:val="0"/>
        <w:spacing w:line="360" w:lineRule="auto"/>
        <w:ind w:firstLine="422" w:firstLineChars="200"/>
        <w:contextualSpacing/>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经评审的投标价按下列公式计算：</w:t>
      </w:r>
    </w:p>
    <w:p>
      <w:pPr>
        <w:snapToGrid w:val="0"/>
        <w:spacing w:line="360" w:lineRule="auto"/>
        <w:ind w:firstLine="3570" w:firstLineChars="17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经评审的投标价</w:t>
      </w:r>
      <w:r>
        <w:rPr>
          <w:rFonts w:hint="eastAsia" w:ascii="宋体" w:hAnsi="宋体" w:eastAsia="宋体" w:cs="宋体"/>
          <w:color w:val="auto"/>
          <w:sz w:val="21"/>
          <w:szCs w:val="21"/>
          <w:highlight w:val="none"/>
          <w:lang w:val="en-US" w:eastAsia="zh-CN"/>
        </w:rPr>
        <w:t>=投标价+（按</w:t>
      </w:r>
      <w:r>
        <w:rPr>
          <w:rFonts w:hint="eastAsia" w:ascii="宋体" w:hAnsi="宋体" w:eastAsia="宋体" w:cs="宋体"/>
          <w:color w:val="auto"/>
          <w:sz w:val="21"/>
          <w:szCs w:val="21"/>
          <w:highlight w:val="none"/>
          <w:lang w:eastAsia="zh-CN"/>
        </w:rPr>
        <w:t>量化</w:t>
      </w:r>
      <w:r>
        <w:rPr>
          <w:rFonts w:hint="eastAsia" w:ascii="宋体" w:hAnsi="宋体" w:eastAsia="宋体" w:cs="宋体"/>
          <w:color w:val="auto"/>
          <w:sz w:val="21"/>
          <w:szCs w:val="21"/>
          <w:highlight w:val="none"/>
          <w:lang w:val="en-US" w:eastAsia="zh-CN"/>
        </w:rPr>
        <w:t>因素的经评审的投标价-投标价）</w:t>
      </w:r>
    </w:p>
    <w:p>
      <w:pPr>
        <w:snapToGrid w:val="0"/>
        <w:spacing w:line="360" w:lineRule="auto"/>
        <w:ind w:firstLine="840" w:firstLineChars="4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(1)折算系数的设置区间为[0.9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Style w:val="41"/>
        <w:ind w:firstLine="0" w:firstLineChars="0"/>
        <w:rPr>
          <w:rFonts w:ascii="仿宋" w:hAnsi="仿宋" w:eastAsia="仿宋" w:cs="仿宋"/>
          <w:color w:val="auto"/>
          <w:sz w:val="21"/>
          <w:szCs w:val="21"/>
          <w:highlight w:val="none"/>
        </w:rPr>
      </w:pPr>
    </w:p>
    <w:p>
      <w:pPr>
        <w:pStyle w:val="41"/>
        <w:ind w:firstLine="420" w:firstLineChars="200"/>
        <w:rPr>
          <w:rFonts w:ascii="仿宋" w:hAnsi="仿宋" w:eastAsia="仿宋" w:cs="仿宋"/>
          <w:color w:val="auto"/>
          <w:sz w:val="21"/>
          <w:szCs w:val="21"/>
          <w:highlight w:val="none"/>
        </w:rPr>
        <w:sectPr>
          <w:pgSz w:w="16840" w:h="11907" w:orient="landscape"/>
          <w:pgMar w:top="1440" w:right="1440" w:bottom="1440" w:left="1440" w:header="851" w:footer="992" w:gutter="0"/>
          <w:cols w:space="720" w:num="1"/>
          <w:docGrid w:type="lines" w:linePitch="312" w:charSpace="0"/>
        </w:sect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六</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p>
      <w:pPr>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w:t>
      </w:r>
      <w:r>
        <w:rPr>
          <w:rFonts w:hint="eastAsia" w:ascii="宋体" w:hAnsi="宋体" w:eastAsia="宋体" w:cs="宋体"/>
          <w:color w:val="auto"/>
          <w:sz w:val="24"/>
          <w:highlight w:val="none"/>
        </w:rPr>
        <w:t>名称：</w:t>
      </w:r>
    </w:p>
    <w:tbl>
      <w:tblPr>
        <w:tblStyle w:val="3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83"/>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ascii="宋体" w:hAnsi="宋体"/>
                <w:color w:val="auto"/>
                <w:szCs w:val="21"/>
                <w:highlight w:val="none"/>
              </w:rPr>
            </w:pPr>
            <w:r>
              <w:rPr>
                <w:rFonts w:hint="eastAsia" w:ascii="宋体" w:hAnsi="宋体"/>
                <w:color w:val="auto"/>
                <w:szCs w:val="21"/>
                <w:highlight w:val="none"/>
              </w:rPr>
              <w:t>评价项目</w:t>
            </w:r>
          </w:p>
        </w:tc>
        <w:tc>
          <w:tcPr>
            <w:tcW w:w="6999"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ascii="宋体" w:hAnsi="宋体"/>
                <w:color w:val="auto"/>
                <w:szCs w:val="21"/>
                <w:highlight w:val="none"/>
              </w:rPr>
            </w:pPr>
            <w:r>
              <w:rPr>
                <w:rFonts w:hint="eastAsia" w:ascii="宋体" w:hAnsi="宋体"/>
                <w:color w:val="auto"/>
                <w:szCs w:val="21"/>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答辩因素</w:t>
            </w:r>
            <w:r>
              <w:rPr>
                <w:rFonts w:hint="eastAsia" w:ascii="宋体" w:hAnsi="宋体" w:eastAsia="宋体" w:cs="宋体"/>
                <w:color w:val="auto"/>
                <w:sz w:val="21"/>
                <w:szCs w:val="21"/>
                <w:highlight w:val="none"/>
                <w:lang w:val="zh-CN"/>
              </w:rPr>
              <w:t>评分标准</w:t>
            </w:r>
            <w:r>
              <w:rPr>
                <w:rFonts w:hint="eastAsia" w:ascii="宋体" w:hAnsi="宋体" w:eastAsia="宋体" w:cs="宋体"/>
                <w:color w:val="auto"/>
                <w:sz w:val="21"/>
                <w:szCs w:val="21"/>
                <w:highlight w:val="none"/>
              </w:rPr>
              <w:t>（100分）</w:t>
            </w:r>
          </w:p>
        </w:tc>
        <w:tc>
          <w:tcPr>
            <w:tcW w:w="6999" w:type="dxa"/>
            <w:tcBorders>
              <w:top w:val="single" w:color="auto" w:sz="4" w:space="0"/>
              <w:left w:val="single" w:color="auto" w:sz="4" w:space="0"/>
              <w:bottom w:val="single" w:color="auto" w:sz="4" w:space="0"/>
              <w:right w:val="single" w:color="auto" w:sz="4" w:space="0"/>
            </w:tcBorders>
            <w:noWrap/>
            <w:vAlign w:val="center"/>
          </w:tcPr>
          <w:p>
            <w:pPr>
              <w:spacing w:line="36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合格中标候选人派本项目拟投入项目负责人、技术负责人组成1-2人对拟派团队履约能力与履约水平的介绍，介绍时间不得超过1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介绍内容包括但不限于：项目管理人员</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、施工资源需求计划、施工总平面布置规划、安全控制措施、质量控制措施、绿色节能控制措施及进度控制措施、对工程施工重点和难点的应对措施、服务保障措施等。答辩小组就本项目接受</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标委员会提问并进行问答</w:t>
            </w:r>
            <w:r>
              <w:rPr>
                <w:rFonts w:hint="eastAsia" w:ascii="宋体" w:hAnsi="宋体" w:eastAsia="宋体" w:cs="宋体"/>
                <w:color w:val="auto"/>
                <w:sz w:val="21"/>
                <w:szCs w:val="21"/>
                <w:highlight w:val="none"/>
                <w:lang w:eastAsia="zh-CN"/>
              </w:rPr>
              <w:t>。</w:t>
            </w:r>
          </w:p>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项目管理人员有丰富的类似项目经验。阐述条理清晰，对本工程特点有针对性，各要点之间关联性强。充分考虑本工程安全风险控制、进度管理、质量管理，对本工程服务保障能力强，服务保障措施切实到位。对定标委员会提出问题回答全面，答案对本工程特点针对性强，得90-100分。</w:t>
            </w:r>
          </w:p>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项目管理人员有较多的类似项目经验。阐述条理较清晰，对本工程特点较有针对性，各要点之间关联性较强。考虑本工程部分安全风险控制、进度管理、质量管理，对本工程服务保障能力较强，服务保障措施确定性较强。对定标委员会提出问题回答较全面，答案对本工程特点针对性较强，得80-89分。</w:t>
            </w:r>
          </w:p>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项目管理人员有相关的类似项目经验。阐述条理基本清晰，对本工程特点针对性一般，各要点之间关联性一般。考虑本工程部分安全风险控制、进度管理、质量管理，对本工程服务保障能力一般，服务保障措施确定性一般。对定标委员会提出问题回答不够全面，答案对本工程特点针对性一般，得60-79分。</w:t>
            </w:r>
          </w:p>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【差】合格中标候选人未参加答辩的，得0分。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价格因素评分标准（100分）</w:t>
            </w:r>
          </w:p>
        </w:tc>
        <w:tc>
          <w:tcPr>
            <w:tcW w:w="6999" w:type="dxa"/>
            <w:tcBorders>
              <w:top w:val="single" w:color="auto" w:sz="4" w:space="0"/>
              <w:left w:val="single" w:color="auto" w:sz="4" w:space="0"/>
              <w:bottom w:val="single" w:color="auto" w:sz="4" w:space="0"/>
              <w:right w:val="single" w:color="auto" w:sz="4" w:space="0"/>
            </w:tcBorders>
            <w:noWrap/>
            <w:vAlign w:val="center"/>
          </w:tcPr>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定标委员会对合格中标候选人投标报价进行评审：</w:t>
            </w:r>
          </w:p>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成本警示价为定标参考价，当标价等于定标参考价时得100分，标价每高于定标参考价1%，扣1.5分，每低于定标参考价1%，扣1分，扣至0分为止，得出经济分，精确到小数点后两位。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定标因素得分</w:t>
            </w:r>
          </w:p>
        </w:tc>
        <w:tc>
          <w:tcPr>
            <w:tcW w:w="6999" w:type="dxa"/>
            <w:tcBorders>
              <w:top w:val="single" w:color="auto" w:sz="4" w:space="0"/>
              <w:left w:val="single" w:color="auto" w:sz="4" w:space="0"/>
              <w:bottom w:val="single" w:color="auto" w:sz="4" w:space="0"/>
              <w:right w:val="single" w:color="auto" w:sz="4" w:space="0"/>
            </w:tcBorders>
            <w:noWrap/>
            <w:vAlign w:val="center"/>
          </w:tcPr>
          <w:p>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总得分（100分）=答辩因素得分（100分）×答辩因素权重（</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0%）+价格因素得分（100分）×价格因素权重（</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r>
    </w:tbl>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定标委员会成员个人答辩因素评分满分为100分。答辩单位得分为定标委员会全部成员答辩因素部分评审得分的算术平均值（若分数出现小数点时，保留小数点后二位，第三位小数四舍五入）。</w:t>
      </w:r>
    </w:p>
    <w:p>
      <w:pPr>
        <w:numPr>
          <w:ilvl w:val="0"/>
          <w:numId w:val="2"/>
        </w:numP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价格因素部分评审得分若分数出现小数点时，保留小数点后二位，第三位小数四舍五入</w:t>
      </w:r>
      <w:r>
        <w:rPr>
          <w:rFonts w:hint="eastAsia" w:ascii="宋体" w:hAnsi="宋体" w:cs="宋体"/>
          <w:color w:val="auto"/>
          <w:sz w:val="21"/>
          <w:szCs w:val="21"/>
          <w:highlight w:val="none"/>
          <w:lang w:val="en-US" w:eastAsia="zh-CN"/>
        </w:rPr>
        <w:t>。</w:t>
      </w:r>
    </w:p>
    <w:p>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七</w:t>
      </w:r>
    </w:p>
    <w:p>
      <w:pPr>
        <w:jc w:val="both"/>
        <w:rPr>
          <w:rFonts w:hint="eastAsia" w:ascii="宋体" w:hAnsi="宋体" w:eastAsia="宋体" w:cs="Times New Roman"/>
          <w:b/>
          <w:color w:val="auto"/>
          <w:sz w:val="24"/>
          <w:szCs w:val="24"/>
          <w:highlight w:val="none"/>
        </w:rPr>
      </w:pPr>
    </w:p>
    <w:p>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定标阶段（答辩因素）评审得分表</w:t>
      </w:r>
    </w:p>
    <w:p>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pPr>
        <w:ind w:left="210"/>
        <w:jc w:val="left"/>
        <w:rPr>
          <w:rFonts w:hint="eastAsia"/>
          <w:smallCaps/>
          <w:color w:val="auto"/>
          <w:sz w:val="20"/>
          <w:szCs w:val="20"/>
          <w:highlight w:val="none"/>
        </w:rPr>
      </w:pPr>
    </w:p>
    <w:p>
      <w:pPr>
        <w:rPr>
          <w:rFonts w:hint="eastAsia" w:ascii="宋体" w:hAnsi="宋体" w:eastAsia="宋体" w:cs="宋体"/>
          <w:color w:val="auto"/>
          <w:sz w:val="24"/>
          <w:highlight w:val="none"/>
          <w:lang w:val="en-US" w:eastAsia="zh-CN"/>
        </w:rPr>
      </w:pPr>
      <w:r>
        <w:rPr>
          <w:rFonts w:hint="eastAsia" w:ascii="宋体" w:hAnsi="宋体" w:cs="宋体"/>
          <w:color w:val="auto"/>
          <w:sz w:val="24"/>
          <w:szCs w:val="22"/>
          <w:highlight w:val="none"/>
        </w:rPr>
        <w:t>工程名称</w:t>
      </w:r>
      <w:r>
        <w:rPr>
          <w:rFonts w:hint="eastAsia" w:ascii="宋体" w:hAnsi="宋体" w:eastAsia="宋体" w:cs="宋体"/>
          <w:color w:val="auto"/>
          <w:sz w:val="24"/>
          <w:highlight w:val="none"/>
          <w:lang w:val="en-US" w:eastAsia="zh-CN"/>
        </w:rPr>
        <w:t>：</w:t>
      </w:r>
    </w:p>
    <w:tbl>
      <w:tblPr>
        <w:tblStyle w:val="3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4110"/>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合格中标候选人名称</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评语</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答辩因素得分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cs="宋体"/>
                <w:color w:val="auto"/>
                <w:sz w:val="24"/>
                <w:highlight w:val="none"/>
              </w:rPr>
            </w:pPr>
          </w:p>
        </w:tc>
      </w:tr>
    </w:tbl>
    <w:p>
      <w:pPr>
        <w:spacing w:line="360" w:lineRule="atLeast"/>
        <w:ind w:right="420"/>
        <w:rPr>
          <w:rFonts w:hint="eastAsia" w:ascii="宋体" w:hAnsi="宋体" w:cs="宋体"/>
          <w:color w:val="auto"/>
          <w:szCs w:val="21"/>
          <w:highlight w:val="none"/>
        </w:rPr>
      </w:pPr>
      <w:r>
        <w:rPr>
          <w:rFonts w:hint="eastAsia" w:ascii="宋体" w:hAnsi="宋体" w:cs="宋体"/>
          <w:color w:val="auto"/>
          <w:szCs w:val="21"/>
          <w:highlight w:val="none"/>
        </w:rPr>
        <w:t>备注：</w:t>
      </w:r>
    </w:p>
    <w:p>
      <w:pPr>
        <w:spacing w:line="360" w:lineRule="atLeast"/>
        <w:ind w:right="-2"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1、本表格用于定标阶段答辩因素评审计分，每行限填一个合格中标候选人，定标委员会成员应当独立撰写评语</w:t>
      </w:r>
      <w:r>
        <w:rPr>
          <w:rFonts w:hint="eastAsia" w:ascii="宋体" w:hAnsi="宋体" w:cs="宋体"/>
          <w:color w:val="auto"/>
          <w:szCs w:val="21"/>
          <w:highlight w:val="none"/>
          <w:lang w:eastAsia="zh-CN"/>
        </w:rPr>
        <w:t>、</w:t>
      </w:r>
      <w:r>
        <w:rPr>
          <w:rFonts w:hint="eastAsia" w:ascii="宋体" w:hAnsi="宋体" w:cs="宋体"/>
          <w:color w:val="auto"/>
          <w:szCs w:val="21"/>
          <w:highlight w:val="none"/>
        </w:rPr>
        <w:t>打分；</w:t>
      </w:r>
    </w:p>
    <w:p>
      <w:pPr>
        <w:spacing w:line="360" w:lineRule="atLeas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2、定标委员会各成员对所有进入定标程序的合格中标候选人按《定标因素表（定标阶段用表）》答辩因素评分标准进行打分。</w:t>
      </w:r>
    </w:p>
    <w:p>
      <w:pPr>
        <w:spacing w:line="360" w:lineRule="atLeast"/>
        <w:ind w:left="210"/>
        <w:jc w:val="left"/>
        <w:rPr>
          <w:rFonts w:hint="eastAsia"/>
          <w:smallCaps/>
          <w:color w:val="auto"/>
          <w:sz w:val="20"/>
          <w:szCs w:val="20"/>
          <w:highlight w:val="none"/>
        </w:rPr>
      </w:pP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5460" w:firstLineChars="26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rPr>
          <w:rFonts w:hint="eastAsia" w:ascii="宋体" w:hAnsi="宋体" w:cs="宋体"/>
          <w:b/>
          <w:i w:val="0"/>
          <w:iCs w:val="0"/>
          <w:color w:val="auto"/>
          <w:kern w:val="0"/>
          <w:sz w:val="24"/>
          <w:szCs w:val="24"/>
          <w:highlight w:val="none"/>
        </w:rPr>
      </w:pPr>
      <w:r>
        <w:rPr>
          <w:rFonts w:hint="eastAsia" w:ascii="宋体" w:hAnsi="宋体" w:cs="宋体"/>
          <w:b/>
          <w:i w:val="0"/>
          <w:iCs w:val="0"/>
          <w:color w:val="auto"/>
          <w:kern w:val="0"/>
          <w:sz w:val="24"/>
          <w:szCs w:val="24"/>
          <w:highlight w:val="none"/>
        </w:rPr>
        <w:br w:type="page"/>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八</w:t>
      </w:r>
    </w:p>
    <w:p>
      <w:pPr>
        <w:rPr>
          <w:rFonts w:hint="eastAsia" w:ascii="宋体" w:hAnsi="宋体" w:cs="宋体"/>
          <w:b/>
          <w:i w:val="0"/>
          <w:iCs w:val="0"/>
          <w:color w:val="auto"/>
          <w:kern w:val="0"/>
          <w:sz w:val="24"/>
          <w:szCs w:val="24"/>
          <w:highlight w:val="none"/>
        </w:rPr>
      </w:pPr>
    </w:p>
    <w:p>
      <w:pPr>
        <w:snapToGrid w:val="0"/>
        <w:spacing w:line="360" w:lineRule="auto"/>
        <w:ind w:firstLine="0" w:firstLineChars="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定标阶段（答辩因素）得分汇总表</w:t>
      </w:r>
    </w:p>
    <w:p>
      <w:pPr>
        <w:snapToGrid w:val="0"/>
        <w:spacing w:line="360" w:lineRule="auto"/>
        <w:ind w:left="0"/>
        <w:jc w:val="center"/>
        <w:rPr>
          <w:rFonts w:hint="eastAsia" w:ascii="宋体" w:hAnsi="宋体"/>
          <w:b/>
          <w:smallCaps/>
          <w:color w:val="auto"/>
          <w:sz w:val="30"/>
          <w:szCs w:val="30"/>
          <w:highlight w:val="none"/>
        </w:rPr>
      </w:pPr>
      <w:r>
        <w:rPr>
          <w:rFonts w:hint="eastAsia" w:ascii="宋体" w:hAnsi="宋体"/>
          <w:b/>
          <w:smallCaps/>
          <w:color w:val="auto"/>
          <w:sz w:val="30"/>
          <w:szCs w:val="30"/>
          <w:highlight w:val="none"/>
        </w:rPr>
        <w:t>（定标委员会汇总用表）</w:t>
      </w:r>
    </w:p>
    <w:p>
      <w:pPr>
        <w:rPr>
          <w:rFonts w:hint="eastAsia" w:ascii="Times New Roman" w:hAnsi="Times New Roman" w:eastAsia="宋体" w:cs="Times New Roman"/>
          <w:color w:val="auto"/>
          <w:highlight w:val="none"/>
          <w:lang w:eastAsia="zh-CN"/>
        </w:rPr>
      </w:pPr>
    </w:p>
    <w:p>
      <w:pPr>
        <w:rPr>
          <w:rFonts w:hint="eastAsia" w:ascii="宋体" w:hAnsi="宋体" w:cs="宋体"/>
          <w:color w:val="auto"/>
          <w:sz w:val="24"/>
          <w:highlight w:val="none"/>
        </w:rPr>
      </w:pPr>
      <w:r>
        <w:rPr>
          <w:rFonts w:hint="eastAsia" w:ascii="宋体" w:hAnsi="宋体" w:cs="宋体"/>
          <w:color w:val="auto"/>
          <w:sz w:val="24"/>
          <w:szCs w:val="22"/>
          <w:highlight w:val="none"/>
        </w:rPr>
        <w:t>工程名称</w:t>
      </w:r>
      <w:r>
        <w:rPr>
          <w:rFonts w:hint="eastAsia" w:ascii="宋体" w:hAnsi="宋体" w:cs="宋体"/>
          <w:color w:val="auto"/>
          <w:sz w:val="24"/>
          <w:highlight w:val="none"/>
        </w:rPr>
        <w:t>：</w:t>
      </w:r>
    </w:p>
    <w:tbl>
      <w:tblPr>
        <w:tblStyle w:val="3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382"/>
        <w:gridCol w:w="939"/>
        <w:gridCol w:w="940"/>
        <w:gridCol w:w="939"/>
        <w:gridCol w:w="940"/>
        <w:gridCol w:w="94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auto"/>
                <w:szCs w:val="21"/>
                <w:highlight w:val="none"/>
              </w:rPr>
            </w:pPr>
            <w:r>
              <w:rPr>
                <w:rFonts w:hint="eastAsia" w:ascii="宋体" w:hAnsi="宋体"/>
                <w:b/>
                <w:color w:val="auto"/>
                <w:szCs w:val="21"/>
                <w:highlight w:val="none"/>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auto"/>
                <w:szCs w:val="21"/>
                <w:highlight w:val="none"/>
              </w:rPr>
            </w:pPr>
            <w:r>
              <w:rPr>
                <w:rFonts w:hint="eastAsia" w:ascii="宋体" w:hAnsi="宋体"/>
                <w:b/>
                <w:color w:val="auto"/>
                <w:szCs w:val="21"/>
                <w:highlight w:val="none"/>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auto"/>
                <w:szCs w:val="21"/>
                <w:highlight w:val="none"/>
              </w:rPr>
            </w:pPr>
            <w:r>
              <w:rPr>
                <w:rFonts w:hint="eastAsia" w:ascii="宋体" w:hAnsi="宋体"/>
                <w:b/>
                <w:color w:val="auto"/>
                <w:szCs w:val="21"/>
                <w:highlight w:val="none"/>
              </w:rPr>
              <w:t>评分人5</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算术平均得分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bl>
    <w:p>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p>
    <w:p>
      <w:pPr>
        <w:spacing w:line="360" w:lineRule="atLeast"/>
        <w:ind w:right="420" w:firstLine="105" w:firstLineChars="50"/>
        <w:rPr>
          <w:rFonts w:hint="eastAsia" w:ascii="宋体" w:hAnsi="宋体" w:cs="宋体"/>
          <w:color w:val="auto"/>
          <w:szCs w:val="21"/>
          <w:highlight w:val="none"/>
        </w:rPr>
      </w:pPr>
      <w:r>
        <w:rPr>
          <w:rFonts w:hint="eastAsia" w:ascii="宋体" w:hAnsi="宋体" w:cs="宋体"/>
          <w:color w:val="auto"/>
          <w:szCs w:val="21"/>
          <w:highlight w:val="none"/>
        </w:rPr>
        <w:t>1、定标委员会成员个人答辩因素评分满分为100分。</w:t>
      </w:r>
    </w:p>
    <w:p>
      <w:pPr>
        <w:tabs>
          <w:tab w:val="left" w:pos="9070"/>
        </w:tabs>
        <w:spacing w:line="360" w:lineRule="atLeast"/>
        <w:ind w:right="-2" w:firstLine="105" w:firstLineChars="50"/>
        <w:rPr>
          <w:rFonts w:hint="eastAsia" w:ascii="宋体" w:hAnsi="宋体" w:cs="宋体"/>
          <w:color w:val="auto"/>
          <w:szCs w:val="21"/>
          <w:highlight w:val="none"/>
        </w:rPr>
      </w:pPr>
      <w:r>
        <w:rPr>
          <w:rFonts w:hint="eastAsia" w:ascii="宋体" w:hAnsi="宋体" w:cs="宋体"/>
          <w:color w:val="auto"/>
          <w:szCs w:val="21"/>
          <w:highlight w:val="none"/>
        </w:rPr>
        <w:t>2、答辩单位得分：定标委员会全部成员评分的算术平均值（若分数出现小数点时，保留小数点后二位，第三位小数四舍五入）。</w:t>
      </w:r>
    </w:p>
    <w:p>
      <w:pPr>
        <w:spacing w:line="360" w:lineRule="auto"/>
        <w:ind w:firstLine="480"/>
        <w:rPr>
          <w:rFonts w:hint="eastAsia" w:ascii="宋体" w:hAnsi="宋体" w:eastAsia="宋体" w:cs="Times New Roman"/>
          <w:color w:val="auto"/>
          <w:szCs w:val="21"/>
          <w:highlight w:val="none"/>
        </w:rPr>
      </w:pPr>
    </w:p>
    <w:p>
      <w:pPr>
        <w:pStyle w:val="25"/>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napToGrid w:val="0"/>
        <w:spacing w:line="360" w:lineRule="atLeast"/>
        <w:jc w:val="left"/>
        <w:outlineLvl w:val="2"/>
        <w:rPr>
          <w:rFonts w:hint="eastAsia" w:ascii="宋体" w:hAnsi="宋体" w:eastAsia="宋体" w:cs="宋体"/>
          <w:color w:val="auto"/>
          <w:szCs w:val="21"/>
          <w:highlight w:val="none"/>
        </w:rPr>
      </w:pPr>
    </w:p>
    <w:p>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九</w:t>
      </w:r>
    </w:p>
    <w:p>
      <w:pPr>
        <w:spacing w:line="360" w:lineRule="exact"/>
        <w:ind w:right="-325" w:rightChars="-155"/>
        <w:jc w:val="left"/>
        <w:rPr>
          <w:rFonts w:hint="eastAsia" w:ascii="宋体" w:hAnsi="宋体" w:eastAsia="宋体" w:cs="宋体"/>
          <w:color w:val="auto"/>
          <w:szCs w:val="21"/>
          <w:highlight w:val="none"/>
        </w:rPr>
      </w:pPr>
    </w:p>
    <w:p>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定标阶段（价格因素）评审得分表</w:t>
      </w:r>
    </w:p>
    <w:p>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（定标委员会汇总用表）</w:t>
      </w:r>
    </w:p>
    <w:p>
      <w:pPr>
        <w:ind w:left="210"/>
        <w:jc w:val="left"/>
        <w:rPr>
          <w:rFonts w:hint="eastAsia"/>
          <w:smallCaps/>
          <w:color w:val="auto"/>
          <w:sz w:val="20"/>
          <w:szCs w:val="20"/>
          <w:highlight w:val="none"/>
        </w:rPr>
      </w:pPr>
    </w:p>
    <w:p>
      <w:pPr>
        <w:rPr>
          <w:rFonts w:hint="eastAsia" w:ascii="宋体" w:hAnsi="宋体" w:cs="宋体"/>
          <w:color w:val="auto"/>
          <w:sz w:val="24"/>
          <w:highlight w:val="none"/>
        </w:rPr>
      </w:pPr>
      <w:r>
        <w:rPr>
          <w:rFonts w:hint="eastAsia" w:ascii="宋体" w:hAnsi="宋体" w:cs="宋体"/>
          <w:color w:val="auto"/>
          <w:sz w:val="24"/>
          <w:szCs w:val="22"/>
          <w:highlight w:val="none"/>
        </w:rPr>
        <w:t>工程名称</w:t>
      </w:r>
      <w:r>
        <w:rPr>
          <w:rFonts w:hint="eastAsia" w:ascii="宋体" w:hAnsi="宋体" w:cs="宋体"/>
          <w:color w:val="auto"/>
          <w:sz w:val="24"/>
          <w:highlight w:val="none"/>
        </w:rPr>
        <w:t>：</w:t>
      </w:r>
    </w:p>
    <w:tbl>
      <w:tblPr>
        <w:tblStyle w:val="32"/>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535"/>
        <w:gridCol w:w="1662"/>
        <w:gridCol w:w="1834"/>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合格中标候选人名称</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投标报价（元）</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定标参考价（元）</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价格因素得分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eastAsia="宋体" w:cs="宋体"/>
                <w:color w:val="auto"/>
                <w:szCs w:val="21"/>
                <w:highlight w:val="none"/>
              </w:rPr>
              <w:t>…</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3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bl>
    <w:p>
      <w:pPr>
        <w:spacing w:line="300" w:lineRule="exact"/>
        <w:ind w:right="-325" w:rightChars="-155"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注：若分数出现小数点时，保留小数点后二位，第三位小数四舍五入。</w:t>
      </w:r>
    </w:p>
    <w:p>
      <w:pPr>
        <w:spacing w:line="300" w:lineRule="exact"/>
        <w:ind w:right="-325" w:rightChars="-155"/>
        <w:rPr>
          <w:rFonts w:hint="eastAsia" w:ascii="宋体" w:hAnsi="宋体" w:cs="宋体"/>
          <w:color w:val="auto"/>
          <w:szCs w:val="21"/>
          <w:highlight w:val="none"/>
        </w:rPr>
      </w:pPr>
    </w:p>
    <w:p>
      <w:pPr>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669" w:firstLine="5460" w:firstLineChars="2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pPr>
        <w:pStyle w:val="41"/>
        <w:rPr>
          <w:rFonts w:ascii="仿宋" w:hAnsi="仿宋" w:eastAsia="仿宋" w:cs="仿宋"/>
          <w:color w:val="auto"/>
          <w:sz w:val="21"/>
          <w:szCs w:val="21"/>
          <w:highlight w:val="none"/>
        </w:rPr>
      </w:pPr>
    </w:p>
    <w:p>
      <w:pPr>
        <w:pStyle w:val="41"/>
        <w:rPr>
          <w:rFonts w:ascii="仿宋" w:hAnsi="仿宋" w:eastAsia="仿宋" w:cs="仿宋"/>
          <w:color w:val="auto"/>
          <w:sz w:val="21"/>
          <w:szCs w:val="21"/>
          <w:highlight w:val="none"/>
        </w:rPr>
        <w:sectPr>
          <w:pgSz w:w="11907" w:h="16840"/>
          <w:pgMar w:top="1440" w:right="1440" w:bottom="1440" w:left="1440" w:header="851" w:footer="992" w:gutter="0"/>
          <w:cols w:space="0" w:num="1"/>
          <w:rtlGutter w:val="0"/>
          <w:docGrid w:type="lines" w:linePitch="312" w:charSpace="0"/>
        </w:sect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附表十</w:t>
      </w:r>
    </w:p>
    <w:p>
      <w:pPr>
        <w:jc w:val="center"/>
        <w:outlineLvl w:val="2"/>
        <w:rPr>
          <w:rFonts w:hint="eastAsia" w:ascii="宋体" w:hAnsi="宋体" w:cs="宋体"/>
          <w:b/>
          <w:color w:val="auto"/>
          <w:sz w:val="30"/>
          <w:szCs w:val="30"/>
          <w:highlight w:val="none"/>
        </w:rPr>
      </w:pPr>
      <w:bookmarkStart w:id="44" w:name="_Toc3110"/>
      <w:r>
        <w:rPr>
          <w:rFonts w:hint="eastAsia" w:ascii="宋体" w:hAnsi="宋体" w:cs="宋体"/>
          <w:b/>
          <w:color w:val="auto"/>
          <w:sz w:val="30"/>
          <w:szCs w:val="30"/>
          <w:highlight w:val="none"/>
        </w:rPr>
        <w:t>定标因素得分汇总及排序表</w:t>
      </w:r>
      <w:bookmarkEnd w:id="44"/>
    </w:p>
    <w:p>
      <w:pPr>
        <w:jc w:val="center"/>
        <w:rPr>
          <w:rFonts w:hint="eastAsia"/>
          <w:smallCaps/>
          <w:color w:val="auto"/>
          <w:sz w:val="30"/>
          <w:szCs w:val="30"/>
          <w:highlight w:val="none"/>
        </w:rPr>
      </w:pPr>
      <w:r>
        <w:rPr>
          <w:rFonts w:hint="eastAsia" w:ascii="宋体" w:hAnsi="宋体"/>
          <w:b/>
          <w:smallCaps/>
          <w:color w:val="auto"/>
          <w:sz w:val="30"/>
          <w:szCs w:val="30"/>
          <w:highlight w:val="none"/>
        </w:rPr>
        <w:t>（定标委员会汇总用表）</w:t>
      </w:r>
    </w:p>
    <w:p>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14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939"/>
        <w:gridCol w:w="1548"/>
        <w:gridCol w:w="1104"/>
        <w:gridCol w:w="1092"/>
        <w:gridCol w:w="1486"/>
        <w:gridCol w:w="1013"/>
        <w:gridCol w:w="1098"/>
        <w:gridCol w:w="118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bCs/>
                <w:color w:val="auto"/>
                <w:szCs w:val="21"/>
                <w:highlight w:val="none"/>
              </w:rPr>
              <w:t>合格中标候选人名称</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答辩因素得分</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权重得分</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价格因素得分</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权重得分</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总得分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olor w:val="auto"/>
                <w:szCs w:val="22"/>
                <w:highlight w:val="none"/>
                <w:lang w:val="en-US" w:eastAsia="zh-CN"/>
              </w:rPr>
            </w:pPr>
            <w:r>
              <w:rPr>
                <w:rFonts w:hint="eastAsia" w:ascii="宋体" w:hAnsi="宋体" w:cs="宋体"/>
                <w:color w:val="auto"/>
                <w:szCs w:val="21"/>
                <w:highlight w:val="none"/>
                <w:lang w:val="en-US" w:eastAsia="zh-CN"/>
              </w:rPr>
              <w:t>70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color w:val="auto"/>
                <w:szCs w:val="22"/>
                <w:highlight w:val="none"/>
              </w:rPr>
            </w:pPr>
            <w:r>
              <w:rPr>
                <w:rFonts w:hint="eastAsia" w:ascii="宋体" w:hAnsi="宋体" w:cs="宋体"/>
                <w:color w:val="auto"/>
                <w:szCs w:val="21"/>
                <w:highlight w:val="none"/>
                <w:lang w:val="en-US" w:eastAsia="zh-CN"/>
              </w:rPr>
              <w:t>30</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olor w:val="auto"/>
                <w:szCs w:val="22"/>
                <w:highlight w:val="none"/>
                <w:lang w:val="en-US" w:eastAsia="zh-CN"/>
              </w:rPr>
            </w:pPr>
            <w:r>
              <w:rPr>
                <w:rFonts w:hint="eastAsia" w:ascii="宋体" w:hAnsi="宋体" w:cs="宋体"/>
                <w:color w:val="auto"/>
                <w:szCs w:val="21"/>
                <w:highlight w:val="none"/>
                <w:lang w:val="en-US" w:eastAsia="zh-CN"/>
              </w:rPr>
              <w:t>70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color w:val="auto"/>
                <w:szCs w:val="22"/>
                <w:highlight w:val="none"/>
              </w:rPr>
            </w:pPr>
            <w:r>
              <w:rPr>
                <w:rFonts w:hint="eastAsia" w:ascii="宋体" w:hAnsi="宋体" w:cs="宋体"/>
                <w:color w:val="auto"/>
                <w:szCs w:val="21"/>
                <w:highlight w:val="none"/>
                <w:lang w:val="en-US" w:eastAsia="zh-CN"/>
              </w:rPr>
              <w:t>30</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olor w:val="auto"/>
                <w:szCs w:val="22"/>
                <w:highlight w:val="none"/>
                <w:lang w:val="en-US" w:eastAsia="zh-CN"/>
              </w:rPr>
            </w:pPr>
            <w:r>
              <w:rPr>
                <w:rFonts w:hint="eastAsia" w:ascii="宋体" w:hAnsi="宋体" w:cs="宋体"/>
                <w:color w:val="auto"/>
                <w:szCs w:val="21"/>
                <w:highlight w:val="none"/>
                <w:lang w:val="en-US" w:eastAsia="zh-CN"/>
              </w:rPr>
              <w:t>70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color w:val="auto"/>
                <w:szCs w:val="22"/>
                <w:highlight w:val="none"/>
              </w:rPr>
            </w:pPr>
            <w:r>
              <w:rPr>
                <w:rFonts w:hint="eastAsia" w:ascii="宋体" w:hAnsi="宋体" w:cs="宋体"/>
                <w:color w:val="auto"/>
                <w:szCs w:val="21"/>
                <w:highlight w:val="none"/>
                <w:lang w:val="en-US" w:eastAsia="zh-CN"/>
              </w:rPr>
              <w:t>30</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olor w:val="auto"/>
                <w:szCs w:val="22"/>
                <w:highlight w:val="none"/>
                <w:lang w:val="en-US" w:eastAsia="zh-CN"/>
              </w:rPr>
            </w:pPr>
            <w:r>
              <w:rPr>
                <w:rFonts w:hint="eastAsia" w:ascii="宋体" w:hAnsi="宋体" w:cs="宋体"/>
                <w:color w:val="auto"/>
                <w:szCs w:val="21"/>
                <w:highlight w:val="none"/>
                <w:lang w:val="en-US" w:eastAsia="zh-CN"/>
              </w:rPr>
              <w:t>70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color w:val="auto"/>
                <w:szCs w:val="22"/>
                <w:highlight w:val="none"/>
              </w:rPr>
            </w:pPr>
            <w:r>
              <w:rPr>
                <w:rFonts w:hint="eastAsia" w:ascii="宋体" w:hAnsi="宋体" w:cs="宋体"/>
                <w:color w:val="auto"/>
                <w:szCs w:val="21"/>
                <w:highlight w:val="none"/>
                <w:lang w:val="en-US" w:eastAsia="zh-CN"/>
              </w:rPr>
              <w:t>30</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color w:val="auto"/>
                <w:szCs w:val="21"/>
                <w:highlight w:val="none"/>
              </w:rPr>
            </w:pPr>
          </w:p>
        </w:tc>
      </w:tr>
    </w:tbl>
    <w:p>
      <w:pPr>
        <w:ind w:right="420"/>
        <w:rPr>
          <w:rFonts w:hint="eastAsia" w:ascii="宋体" w:hAnsi="宋体" w:cs="宋体"/>
          <w:color w:val="auto"/>
          <w:szCs w:val="20"/>
          <w:highlight w:val="none"/>
        </w:rPr>
      </w:pPr>
      <w:r>
        <w:rPr>
          <w:rFonts w:hint="eastAsia" w:ascii="宋体" w:hAnsi="宋体" w:cs="宋体"/>
          <w:color w:val="auto"/>
          <w:szCs w:val="20"/>
          <w:highlight w:val="none"/>
        </w:rPr>
        <w:t>备注：</w:t>
      </w:r>
    </w:p>
    <w:p>
      <w:pPr>
        <w:ind w:left="105" w:leftChars="50" w:firstLine="210" w:firstLineChars="100"/>
        <w:rPr>
          <w:rFonts w:hint="eastAsia" w:ascii="宋体" w:hAnsi="宋体" w:cs="宋体"/>
          <w:color w:val="auto"/>
          <w:szCs w:val="20"/>
          <w:highlight w:val="none"/>
        </w:rPr>
      </w:pPr>
      <w:r>
        <w:rPr>
          <w:rFonts w:hint="eastAsia" w:ascii="宋体" w:hAnsi="宋体" w:cs="宋体"/>
          <w:color w:val="auto"/>
          <w:szCs w:val="20"/>
          <w:highlight w:val="none"/>
        </w:rPr>
        <w:t>1、若合格中标候选人总得分相同且影响定标排序的，以答辩因素得分高的排前；若答辩因素得分仍相同的，以价格因素得分高的排前，若价格因素得分仍相同的，由定标委员会采用记名投票方式确定排序。</w:t>
      </w:r>
    </w:p>
    <w:p>
      <w:pPr>
        <w:ind w:firstLine="210" w:firstLineChars="100"/>
        <w:rPr>
          <w:rFonts w:hint="eastAsia" w:ascii="宋体" w:hAnsi="宋体" w:cs="宋体"/>
          <w:bCs/>
          <w:color w:val="auto"/>
          <w:szCs w:val="21"/>
          <w:highlight w:val="none"/>
        </w:rPr>
      </w:pPr>
      <w:r>
        <w:rPr>
          <w:rFonts w:hint="eastAsia" w:ascii="宋体" w:hAnsi="宋体" w:cs="宋体"/>
          <w:color w:val="auto"/>
          <w:szCs w:val="21"/>
          <w:highlight w:val="none"/>
        </w:rPr>
        <w:t>2、总得分（100分）=答辩因素得分（100分）×答辩因素权重（</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0%）+价格因素得分（100分）×价格因素权重（</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0"/>
          <w:highlight w:val="none"/>
        </w:rPr>
        <w:t>（若分数出现小数点时，保留小数点后二位，第三位小数四舍五入）。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pPr>
        <w:keepNext w:val="0"/>
        <w:keepLines w:val="0"/>
        <w:pageBreakBefore w:val="0"/>
        <w:widowControl w:val="0"/>
        <w:kinsoku/>
        <w:wordWrap/>
        <w:overflowPunct/>
        <w:topLinePunct w:val="0"/>
        <w:autoSpaceDE/>
        <w:autoSpaceDN/>
        <w:bidi w:val="0"/>
        <w:adjustRightInd/>
        <w:spacing w:line="240" w:lineRule="auto"/>
        <w:ind w:left="0" w:right="430" w:firstLine="8190" w:firstLineChars="39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pPr>
        <w:pStyle w:val="41"/>
        <w:rPr>
          <w:rFonts w:ascii="仿宋" w:hAnsi="仿宋" w:eastAsia="仿宋" w:cs="仿宋"/>
          <w:color w:val="auto"/>
          <w:sz w:val="21"/>
          <w:szCs w:val="21"/>
          <w:highlight w:val="none"/>
        </w:rPr>
      </w:pPr>
    </w:p>
    <w:p>
      <w:pPr>
        <w:pStyle w:val="41"/>
        <w:rPr>
          <w:rFonts w:ascii="仿宋" w:hAnsi="仿宋" w:eastAsia="仿宋" w:cs="仿宋"/>
          <w:color w:val="auto"/>
          <w:sz w:val="21"/>
          <w:szCs w:val="21"/>
          <w:highlight w:val="none"/>
        </w:rPr>
        <w:sectPr>
          <w:pgSz w:w="16840" w:h="11907" w:orient="landscape"/>
          <w:pgMar w:top="1440" w:right="1440" w:bottom="1440" w:left="1440" w:header="851" w:footer="992" w:gutter="0"/>
          <w:cols w:space="0" w:num="1"/>
          <w:rtlGutter w:val="0"/>
          <w:docGrid w:type="lines" w:linePitch="312" w:charSpace="0"/>
        </w:sect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十一</w:t>
      </w:r>
    </w:p>
    <w:p>
      <w:pPr>
        <w:pStyle w:val="13"/>
        <w:rPr>
          <w:rFonts w:hint="eastAsia" w:ascii="宋体" w:hAnsi="宋体" w:eastAsia="宋体" w:cs="宋体"/>
          <w:color w:val="auto"/>
          <w:highlight w:val="none"/>
          <w:lang w:val="en-US" w:eastAsia="zh-CN"/>
        </w:rPr>
      </w:pPr>
    </w:p>
    <w:p>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轮）附加投票表（如有）</w:t>
      </w:r>
    </w:p>
    <w:p>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（定标委员会个人用表）</w:t>
      </w:r>
    </w:p>
    <w:p>
      <w:pPr>
        <w:jc w:val="center"/>
        <w:rPr>
          <w:rFonts w:hint="eastAsia" w:ascii="宋体" w:hAnsi="宋体" w:cs="宋体"/>
          <w:b/>
          <w:color w:val="auto"/>
          <w:sz w:val="30"/>
          <w:szCs w:val="30"/>
          <w:highlight w:val="none"/>
        </w:rPr>
      </w:pPr>
    </w:p>
    <w:p>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cs="宋体"/>
                <w:color w:val="auto"/>
                <w:sz w:val="24"/>
                <w:szCs w:val="22"/>
                <w:highlight w:val="none"/>
              </w:rPr>
            </w:pPr>
          </w:p>
        </w:tc>
      </w:tr>
    </w:tbl>
    <w:p>
      <w:pPr>
        <w:spacing w:line="360" w:lineRule="auto"/>
        <w:ind w:right="420"/>
        <w:rPr>
          <w:rFonts w:hint="eastAsia" w:ascii="宋体" w:hAnsi="宋体" w:cs="宋体"/>
          <w:color w:val="auto"/>
          <w:sz w:val="24"/>
          <w:szCs w:val="22"/>
          <w:highlight w:val="none"/>
        </w:rPr>
      </w:pPr>
    </w:p>
    <w:p>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p>
    <w:p>
      <w:pPr>
        <w:spacing w:line="360" w:lineRule="auto"/>
        <w:ind w:left="368" w:hanging="367" w:hanging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出现总得分、答辩因素得分、价格因素得分均相同的情况，按总分、答辩因素得分、价格因素得分相同的合格中标候选人为一组，由高至低依次分组，总分高的组别为第一组，以此类推，出现总分、答辩因素得分、价格因素得分相同情况的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组，本组为第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名合格中标候选人，总分为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分，分别为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left="368" w:hanging="367" w:hangingChars="175"/>
        <w:rPr>
          <w:rFonts w:hint="eastAsia" w:ascii="宋体" w:hAnsi="宋体" w:cs="宋体"/>
          <w:color w:val="auto"/>
          <w:szCs w:val="21"/>
          <w:highlight w:val="none"/>
        </w:rPr>
      </w:pPr>
      <w:r>
        <w:rPr>
          <w:rFonts w:hint="eastAsia" w:ascii="宋体"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cs="宋体"/>
          <w:b/>
          <w:color w:val="auto"/>
          <w:szCs w:val="21"/>
          <w:highlight w:val="none"/>
        </w:rPr>
        <w:t>“○”</w:t>
      </w:r>
      <w:r>
        <w:rPr>
          <w:rFonts w:hint="eastAsia" w:ascii="宋体" w:hAnsi="宋体" w:cs="宋体"/>
          <w:color w:val="auto"/>
          <w:szCs w:val="21"/>
          <w:highlight w:val="none"/>
        </w:rPr>
        <w:t>表示；票决意见为“不投票”，用</w:t>
      </w:r>
      <w:r>
        <w:rPr>
          <w:rFonts w:hint="eastAsia" w:ascii="宋体" w:hAnsi="宋体" w:cs="宋体"/>
          <w:b/>
          <w:color w:val="auto"/>
          <w:szCs w:val="21"/>
          <w:highlight w:val="none"/>
        </w:rPr>
        <w:t>“×”</w:t>
      </w:r>
      <w:r>
        <w:rPr>
          <w:rFonts w:hint="eastAsia" w:ascii="宋体" w:hAnsi="宋体" w:cs="宋体"/>
          <w:color w:val="auto"/>
          <w:szCs w:val="21"/>
          <w:highlight w:val="none"/>
        </w:rPr>
        <w:t>表示。</w:t>
      </w:r>
    </w:p>
    <w:p>
      <w:pPr>
        <w:ind w:left="-368" w:leftChars="-175"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3、若汇总出现得票数相同的情况按此表进行第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轮票决确定排序。</w:t>
      </w:r>
    </w:p>
    <w:p>
      <w:pPr>
        <w:rPr>
          <w:rFonts w:hint="eastAsia" w:ascii="宋体" w:hAnsi="宋体" w:cs="宋体"/>
          <w:color w:val="auto"/>
          <w:sz w:val="24"/>
          <w:szCs w:val="22"/>
          <w:highlight w:val="none"/>
        </w:rPr>
      </w:pPr>
    </w:p>
    <w:p>
      <w:pPr>
        <w:spacing w:line="360" w:lineRule="auto"/>
        <w:ind w:right="420"/>
        <w:rPr>
          <w:rFonts w:hint="eastAsia" w:ascii="宋体" w:hAnsi="宋体" w:eastAsia="宋体" w:cs="宋体"/>
          <w:color w:val="auto"/>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5250" w:firstLineChars="25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pPr>
        <w:pStyle w:val="41"/>
        <w:rPr>
          <w:rFonts w:ascii="仿宋" w:hAnsi="仿宋" w:eastAsia="仿宋" w:cs="仿宋"/>
          <w:color w:val="auto"/>
          <w:sz w:val="21"/>
          <w:szCs w:val="21"/>
          <w:highlight w:val="none"/>
        </w:rPr>
      </w:pPr>
    </w:p>
    <w:p>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十二</w:t>
      </w:r>
    </w:p>
    <w:p>
      <w:pPr>
        <w:pStyle w:val="13"/>
        <w:ind w:left="0" w:leftChars="0" w:firstLine="0" w:firstLineChars="0"/>
        <w:rPr>
          <w:rFonts w:hint="eastAsia" w:ascii="宋体" w:hAnsi="宋体" w:eastAsia="宋体" w:cs="宋体"/>
          <w:color w:val="auto"/>
          <w:highlight w:val="none"/>
          <w:lang w:val="en-US" w:eastAsia="zh-CN"/>
        </w:rPr>
      </w:pPr>
    </w:p>
    <w:p>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轮）附加投票统计表（如有）</w:t>
      </w:r>
    </w:p>
    <w:p>
      <w:pPr>
        <w:ind w:left="210"/>
        <w:jc w:val="center"/>
        <w:rPr>
          <w:rFonts w:hint="eastAsia" w:ascii="宋体" w:hAnsi="宋体" w:cs="宋体"/>
          <w:b/>
          <w:smallCaps/>
          <w:color w:val="auto"/>
          <w:sz w:val="30"/>
          <w:szCs w:val="30"/>
          <w:highlight w:val="none"/>
        </w:rPr>
      </w:pPr>
      <w:r>
        <w:rPr>
          <w:rFonts w:hint="eastAsia" w:ascii="宋体" w:hAnsi="宋体" w:cs="宋体"/>
          <w:b/>
          <w:smallCaps/>
          <w:color w:val="auto"/>
          <w:sz w:val="30"/>
          <w:szCs w:val="30"/>
          <w:highlight w:val="none"/>
        </w:rPr>
        <w:t>（定标委员会汇总用表）</w:t>
      </w:r>
    </w:p>
    <w:p>
      <w:pPr>
        <w:pStyle w:val="13"/>
        <w:ind w:left="0" w:leftChars="0" w:firstLine="0" w:firstLineChars="0"/>
        <w:rPr>
          <w:rFonts w:hint="eastAsia" w:ascii="Times New Roman" w:hAnsi="Times New Roman" w:eastAsia="宋体" w:cs="Times New Roman"/>
          <w:color w:val="auto"/>
          <w:highlight w:val="none"/>
          <w:lang w:val="en-US" w:eastAsia="zh-CN"/>
        </w:rPr>
      </w:pPr>
    </w:p>
    <w:p>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9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1"/>
        <w:gridCol w:w="1189"/>
        <w:gridCol w:w="933"/>
        <w:gridCol w:w="949"/>
        <w:gridCol w:w="98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定标因素得分排序</w:t>
            </w: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轮得票数</w:t>
            </w: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轮排序</w:t>
            </w: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轮得票数</w:t>
            </w: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exact"/>
        <w:ind w:right="-11"/>
        <w:jc w:val="center"/>
        <w:textAlignment w:val="auto"/>
        <w:rPr>
          <w:rFonts w:hint="eastAsia" w:ascii="宋体" w:hAnsi="宋体" w:cs="宋体"/>
          <w:color w:val="auto"/>
          <w:sz w:val="21"/>
          <w:szCs w:val="21"/>
          <w:highlight w:val="none"/>
        </w:rPr>
      </w:pP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备注：按得票数由多至少，在延续定标因素得分排序的基础上进行排序，票数多的排序靠前，得票数相同的合格中标候选人进行再次票决确定排序。</w:t>
      </w:r>
    </w:p>
    <w:p>
      <w:pPr>
        <w:spacing w:line="400" w:lineRule="exact"/>
        <w:rPr>
          <w:rFonts w:hint="eastAsia" w:ascii="宋体" w:hAnsi="宋体" w:eastAsia="宋体" w:cs="宋体"/>
          <w:color w:val="auto"/>
          <w:szCs w:val="21"/>
          <w:highlight w:val="none"/>
        </w:rPr>
      </w:pPr>
    </w:p>
    <w:p>
      <w:pPr>
        <w:spacing w:line="360" w:lineRule="exact"/>
        <w:ind w:right="-325" w:rightChars="-1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pPr>
        <w:pStyle w:val="25"/>
        <w:ind w:left="0" w:leftChars="0" w:firstLine="0" w:firstLineChars="0"/>
        <w:rPr>
          <w:rFonts w:hint="eastAsia"/>
          <w:color w:val="auto"/>
          <w:highlight w:val="none"/>
        </w:rPr>
      </w:pPr>
    </w:p>
    <w:p>
      <w:pPr>
        <w:rPr>
          <w:rFonts w:hint="eastAsia"/>
          <w:color w:val="auto"/>
          <w:highlight w:val="none"/>
        </w:rPr>
      </w:pPr>
    </w:p>
    <w:p>
      <w:pPr>
        <w:rPr>
          <w:rFonts w:hint="eastAsia"/>
          <w:color w:val="auto"/>
          <w:highlight w:val="none"/>
        </w:rPr>
      </w:pPr>
    </w:p>
    <w:p>
      <w:pPr>
        <w:ind w:firstLine="5670" w:firstLineChars="2700"/>
        <w:rPr>
          <w:rFonts w:hint="eastAsia" w:ascii="宋体" w:hAnsi="宋体" w:eastAsia="宋体" w:cs="宋体"/>
          <w:color w:val="auto"/>
          <w:highlight w:val="none"/>
        </w:rPr>
      </w:pPr>
      <w:r>
        <w:rPr>
          <w:rFonts w:hint="eastAsia" w:ascii="宋体" w:hAnsi="宋体" w:eastAsia="宋体" w:cs="宋体"/>
          <w:color w:val="auto"/>
          <w:szCs w:val="21"/>
          <w:highlight w:val="none"/>
        </w:rPr>
        <w:t>日期：     年   月   日</w:t>
      </w:r>
    </w:p>
    <w:p>
      <w:pPr>
        <w:pStyle w:val="41"/>
        <w:rPr>
          <w:rFonts w:ascii="仿宋" w:hAnsi="仿宋" w:eastAsia="仿宋" w:cs="仿宋"/>
          <w:color w:val="auto"/>
          <w:sz w:val="21"/>
          <w:szCs w:val="21"/>
          <w:highlight w:val="none"/>
        </w:rPr>
      </w:pPr>
    </w:p>
    <w:p>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十三</w:t>
      </w:r>
    </w:p>
    <w:p>
      <w:pPr>
        <w:pStyle w:val="41"/>
        <w:rPr>
          <w:rFonts w:ascii="仿宋" w:hAnsi="仿宋" w:eastAsia="仿宋" w:cs="仿宋"/>
          <w:color w:val="auto"/>
          <w:sz w:val="21"/>
          <w:szCs w:val="21"/>
          <w:highlight w:val="none"/>
        </w:rPr>
      </w:pPr>
    </w:p>
    <w:p>
      <w:pPr>
        <w:jc w:val="center"/>
        <w:rPr>
          <w:rFonts w:hint="eastAsia" w:ascii="宋体" w:hAnsi="宋体"/>
          <w:b/>
          <w:color w:val="auto"/>
          <w:sz w:val="30"/>
          <w:szCs w:val="30"/>
          <w:highlight w:val="none"/>
        </w:rPr>
      </w:pPr>
      <w:r>
        <w:rPr>
          <w:rFonts w:hint="eastAsia" w:ascii="宋体" w:hAnsi="宋体"/>
          <w:b/>
          <w:color w:val="auto"/>
          <w:sz w:val="30"/>
          <w:szCs w:val="30"/>
          <w:highlight w:val="none"/>
        </w:rPr>
        <w:t>定标情况汇总表（定标阶段）</w:t>
      </w:r>
    </w:p>
    <w:p>
      <w:pPr>
        <w:ind w:left="210"/>
        <w:jc w:val="left"/>
        <w:rPr>
          <w:rFonts w:hint="eastAsia"/>
          <w:smallCaps/>
          <w:color w:val="auto"/>
          <w:sz w:val="20"/>
          <w:szCs w:val="20"/>
          <w:highlight w:val="none"/>
        </w:rPr>
      </w:pPr>
    </w:p>
    <w:p>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759"/>
        <w:gridCol w:w="1098"/>
        <w:gridCol w:w="133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375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color w:val="auto"/>
                <w:highlight w:val="none"/>
              </w:rPr>
            </w:pPr>
            <w:r>
              <w:rPr>
                <w:rFonts w:hint="eastAsia" w:ascii="宋体" w:hAnsi="宋体" w:cs="宋体"/>
                <w:b/>
                <w:color w:val="auto"/>
                <w:highlight w:val="none"/>
              </w:rPr>
              <w:t>合格中标候选人名称</w:t>
            </w:r>
          </w:p>
        </w:tc>
        <w:tc>
          <w:tcPr>
            <w:tcW w:w="109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color w:val="auto"/>
                <w:highlight w:val="none"/>
              </w:rPr>
            </w:pPr>
            <w:r>
              <w:rPr>
                <w:rFonts w:hint="eastAsia" w:ascii="宋体" w:hAnsi="宋体" w:cs="宋体"/>
                <w:b/>
                <w:color w:val="auto"/>
                <w:highlight w:val="none"/>
              </w:rPr>
              <w:t>总得分</w:t>
            </w:r>
          </w:p>
        </w:tc>
        <w:tc>
          <w:tcPr>
            <w:tcW w:w="1332"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cs="宋体"/>
                <w:b/>
                <w:color w:val="auto"/>
                <w:highlight w:val="none"/>
              </w:rPr>
            </w:pPr>
            <w:r>
              <w:rPr>
                <w:rFonts w:hint="eastAsia" w:ascii="宋体" w:hAnsi="宋体" w:cs="宋体"/>
                <w:b/>
                <w:color w:val="auto"/>
                <w:highlight w:val="none"/>
              </w:rPr>
              <w:t>附加得票数</w:t>
            </w:r>
          </w:p>
          <w:p>
            <w:pPr>
              <w:jc w:val="center"/>
              <w:rPr>
                <w:rFonts w:hint="eastAsia" w:ascii="宋体" w:hAnsi="宋体" w:cs="宋体"/>
                <w:b/>
                <w:color w:val="auto"/>
                <w:highlight w:val="none"/>
              </w:rPr>
            </w:pPr>
            <w:r>
              <w:rPr>
                <w:rFonts w:hint="eastAsia" w:ascii="宋体" w:hAnsi="宋体" w:cs="宋体"/>
                <w:b/>
                <w:color w:val="auto"/>
                <w:highlight w:val="none"/>
              </w:rPr>
              <w:t>（如有）</w:t>
            </w:r>
          </w:p>
        </w:tc>
        <w:tc>
          <w:tcPr>
            <w:tcW w:w="225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是否被确定为中标人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75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332"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c>
          <w:tcPr>
            <w:tcW w:w="2258"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75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332"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c>
          <w:tcPr>
            <w:tcW w:w="2258"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375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332"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c>
          <w:tcPr>
            <w:tcW w:w="2258"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75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332"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c>
          <w:tcPr>
            <w:tcW w:w="2258"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75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p>
        </w:tc>
        <w:tc>
          <w:tcPr>
            <w:tcW w:w="1332"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c>
          <w:tcPr>
            <w:tcW w:w="2258"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color w:val="auto"/>
                <w:sz w:val="24"/>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注：得分最高的合格中标候选人为中标人。</w:t>
      </w: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360" w:lineRule="exact"/>
        <w:ind w:right="-325" w:rightChars="-1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pPr>
        <w:pStyle w:val="25"/>
        <w:ind w:left="0" w:leftChars="0" w:firstLine="0" w:firstLineChars="0"/>
        <w:rPr>
          <w:rFonts w:hint="eastAsia"/>
          <w:color w:val="auto"/>
          <w:highlight w:val="none"/>
        </w:rPr>
      </w:pPr>
    </w:p>
    <w:p>
      <w:pPr>
        <w:rPr>
          <w:rFonts w:hint="eastAsia"/>
          <w:color w:val="auto"/>
          <w:highlight w:val="none"/>
        </w:rPr>
      </w:pPr>
    </w:p>
    <w:p>
      <w:pPr>
        <w:rPr>
          <w:rFonts w:hint="eastAsia"/>
          <w:color w:val="auto"/>
          <w:highlight w:val="none"/>
        </w:rPr>
      </w:pPr>
    </w:p>
    <w:p>
      <w:pPr>
        <w:ind w:firstLine="5670" w:firstLineChars="2700"/>
        <w:rPr>
          <w:rFonts w:hint="eastAsia" w:ascii="宋体" w:hAnsi="宋体" w:eastAsia="宋体" w:cs="宋体"/>
          <w:color w:val="auto"/>
          <w:highlight w:val="none"/>
        </w:rPr>
      </w:pPr>
      <w:r>
        <w:rPr>
          <w:rFonts w:hint="eastAsia" w:ascii="宋体" w:hAnsi="宋体" w:eastAsia="宋体" w:cs="宋体"/>
          <w:color w:val="auto"/>
          <w:szCs w:val="21"/>
          <w:highlight w:val="none"/>
        </w:rPr>
        <w:t>日期：     年   月   日</w:t>
      </w:r>
    </w:p>
    <w:p>
      <w:pPr>
        <w:pStyle w:val="41"/>
        <w:rPr>
          <w:rFonts w:ascii="仿宋" w:hAnsi="仿宋" w:eastAsia="仿宋" w:cs="仿宋"/>
          <w:color w:val="auto"/>
          <w:sz w:val="21"/>
          <w:szCs w:val="21"/>
          <w:highlight w:val="none"/>
        </w:rPr>
      </w:pPr>
    </w:p>
    <w:p>
      <w:pPr>
        <w:pStyle w:val="41"/>
        <w:rPr>
          <w:rFonts w:ascii="仿宋" w:hAnsi="仿宋" w:eastAsia="仿宋" w:cs="仿宋"/>
          <w:color w:val="auto"/>
          <w:sz w:val="21"/>
          <w:szCs w:val="21"/>
          <w:highlight w:val="none"/>
        </w:rPr>
      </w:pPr>
    </w:p>
    <w:p>
      <w:pPr>
        <w:pStyle w:val="41"/>
        <w:ind w:firstLine="420" w:firstLineChars="200"/>
        <w:rPr>
          <w:rFonts w:ascii="仿宋" w:hAnsi="仿宋" w:eastAsia="仿宋" w:cs="仿宋"/>
          <w:color w:val="auto"/>
          <w:sz w:val="21"/>
          <w:szCs w:val="21"/>
          <w:highlight w:val="none"/>
        </w:rPr>
      </w:pPr>
    </w:p>
    <w:p>
      <w:pPr>
        <w:snapToGrid w:val="0"/>
        <w:spacing w:line="360" w:lineRule="auto"/>
        <w:jc w:val="left"/>
        <w:rPr>
          <w:rFonts w:ascii="宋体" w:hAnsi="宋体" w:cs="宋体"/>
          <w:b/>
          <w:bCs/>
          <w:color w:val="auto"/>
          <w:sz w:val="24"/>
          <w:szCs w:val="24"/>
          <w:highlight w:val="none"/>
        </w:rPr>
        <w:sectPr>
          <w:pgSz w:w="11907" w:h="16840"/>
          <w:pgMar w:top="1440" w:right="1440" w:bottom="1440" w:left="1440" w:header="851" w:footer="992" w:gutter="0"/>
          <w:cols w:space="0" w:num="1"/>
          <w:rtlGutter w:val="0"/>
          <w:docGrid w:type="lines" w:linePitch="312" w:charSpace="0"/>
        </w:sectPr>
      </w:pPr>
    </w:p>
    <w:p>
      <w:pPr>
        <w:pStyle w:val="4"/>
        <w:keepNext w:val="0"/>
        <w:keepLines w:val="0"/>
        <w:snapToGrid w:val="0"/>
        <w:spacing w:before="0" w:after="0"/>
        <w:jc w:val="center"/>
        <w:rPr>
          <w:rFonts w:hint="eastAsia" w:ascii="宋体" w:hAnsi="宋体" w:cs="宋体"/>
          <w:color w:val="auto"/>
          <w:sz w:val="44"/>
          <w:szCs w:val="44"/>
          <w:highlight w:val="none"/>
        </w:rPr>
      </w:pPr>
      <w:bookmarkStart w:id="45" w:name="_Toc500249621"/>
      <w:bookmarkStart w:id="46" w:name="_Toc5789"/>
      <w:bookmarkStart w:id="47" w:name="_Toc504659100"/>
      <w:bookmarkStart w:id="48" w:name="_Toc504053942"/>
    </w:p>
    <w:p>
      <w:pPr>
        <w:pStyle w:val="4"/>
        <w:snapToGrid w:val="0"/>
        <w:spacing w:before="0" w:after="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合同条款</w:t>
      </w:r>
      <w:bookmarkEnd w:id="45"/>
      <w:bookmarkEnd w:id="46"/>
      <w:bookmarkEnd w:id="47"/>
      <w:bookmarkEnd w:id="48"/>
    </w:p>
    <w:p>
      <w:pPr>
        <w:rPr>
          <w:color w:val="auto"/>
          <w:highlight w:val="none"/>
        </w:rPr>
      </w:pPr>
    </w:p>
    <w:p>
      <w:pPr>
        <w:rPr>
          <w:rFonts w:hint="eastAsia" w:ascii="宋体" w:hAnsi="宋体" w:cs="宋体"/>
          <w:color w:val="auto"/>
          <w:sz w:val="32"/>
          <w:szCs w:val="32"/>
          <w:highlight w:val="none"/>
        </w:rPr>
      </w:pPr>
      <w:bookmarkStart w:id="49" w:name="_Toc30083"/>
    </w:p>
    <w:p>
      <w:pPr>
        <w:snapToGrid w:val="0"/>
        <w:spacing w:before="0" w:after="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4"/>
        <w:snapToGrid w:val="0"/>
        <w:spacing w:before="0"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投标文件格式</w:t>
      </w:r>
      <w:bookmarkEnd w:id="49"/>
    </w:p>
    <w:p>
      <w:pPr>
        <w:autoSpaceDE w:val="0"/>
        <w:autoSpaceDN w:val="0"/>
        <w:adjustRightInd w:val="0"/>
        <w:snapToGrid w:val="0"/>
        <w:spacing w:line="360" w:lineRule="auto"/>
        <w:rPr>
          <w:rFonts w:ascii="宋体" w:hAnsi="宋体" w:cs="宋体"/>
          <w:color w:val="auto"/>
          <w:sz w:val="32"/>
          <w:szCs w:val="32"/>
          <w:highlight w:val="none"/>
        </w:rPr>
      </w:pPr>
    </w:p>
    <w:p>
      <w:pPr>
        <w:autoSpaceDE w:val="0"/>
        <w:autoSpaceDN w:val="0"/>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一、投标文件技术标部分（含资格审查文件）格式</w:t>
      </w:r>
    </w:p>
    <w:p>
      <w:pPr>
        <w:topLinePunct/>
        <w:adjustRightInd w:val="0"/>
        <w:snapToGrid w:val="0"/>
        <w:spacing w:line="360" w:lineRule="auto"/>
        <w:jc w:val="left"/>
        <w:rPr>
          <w:rFonts w:ascii="宋体" w:hAnsi="宋体" w:cs="宋体"/>
          <w:color w:val="auto"/>
          <w:sz w:val="24"/>
          <w:szCs w:val="24"/>
          <w:highlight w:val="none"/>
        </w:rPr>
      </w:pPr>
      <w:bookmarkStart w:id="50" w:name="_Toc6493845"/>
    </w:p>
    <w:p>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50"/>
    </w:p>
    <w:p>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51" w:name="_Toc10308"/>
      <w:bookmarkStart w:id="52" w:name="_Toc17590"/>
      <w:r>
        <w:rPr>
          <w:rFonts w:hint="eastAsia" w:ascii="宋体" w:hAnsi="宋体" w:cs="宋体"/>
          <w:b/>
          <w:bCs/>
          <w:color w:val="auto"/>
          <w:sz w:val="36"/>
          <w:szCs w:val="36"/>
          <w:highlight w:val="none"/>
          <w:lang w:val="zh-CN"/>
        </w:rPr>
        <w:t>广州建设工程施工招标投标书（技术标）</w:t>
      </w:r>
      <w:bookmarkEnd w:id="51"/>
      <w:bookmarkEnd w:id="52"/>
    </w:p>
    <w:tbl>
      <w:tblPr>
        <w:tblStyle w:val="32"/>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bl>
    <w:p>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pPr>
        <w:topLinePunct/>
        <w:adjustRightInd w:val="0"/>
        <w:snapToGrid w:val="0"/>
        <w:spacing w:line="360" w:lineRule="auto"/>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color w:val="auto"/>
          <w:sz w:val="24"/>
          <w:szCs w:val="24"/>
          <w:highlight w:val="none"/>
          <w:u w:val="single"/>
          <w:lang w:eastAsia="zh-CN"/>
        </w:rPr>
        <w:t>广州松瓴企业管理有限公司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星际云汇二期项目负一层公区装修工程</w:t>
      </w:r>
      <w:r>
        <w:rPr>
          <w:rFonts w:hint="eastAsia" w:ascii="宋体" w:hAnsi="宋体" w:cs="宋体"/>
          <w:color w:val="auto"/>
          <w:sz w:val="24"/>
          <w:szCs w:val="24"/>
          <w:highlight w:val="none"/>
        </w:rPr>
        <w:t>的招标文件，并已详细审核了全部招标文件及有关附件。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日历天</w:t>
      </w:r>
      <w:r>
        <w:rPr>
          <w:rFonts w:hint="eastAsia" w:ascii="宋体" w:hAnsi="宋体" w:cs="宋体"/>
          <w:color w:val="auto"/>
          <w:sz w:val="24"/>
          <w:szCs w:val="24"/>
          <w:highlight w:val="none"/>
        </w:rPr>
        <w:t>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要求</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napToGrid w:val="0"/>
        <w:spacing w:line="360" w:lineRule="auto"/>
        <w:ind w:firstLine="481"/>
        <w:rPr>
          <w:rFonts w:ascii="宋体" w:hAnsi="宋体" w:cs="宋体"/>
          <w:snapToGrid w:val="0"/>
          <w:color w:val="auto"/>
          <w:spacing w:val="4"/>
          <w:kern w:val="0"/>
          <w:sz w:val="24"/>
          <w:szCs w:val="24"/>
          <w:highlight w:val="none"/>
        </w:rPr>
      </w:pPr>
    </w:p>
    <w:p>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p>
    <w:p>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年</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月</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日</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snapToGrid w:val="0"/>
        <w:spacing w:line="360" w:lineRule="auto"/>
        <w:jc w:val="left"/>
        <w:rPr>
          <w:rFonts w:ascii="宋体" w:hAnsi="宋体" w:cs="宋体"/>
          <w:color w:val="auto"/>
          <w:sz w:val="24"/>
          <w:szCs w:val="24"/>
          <w:highlight w:val="none"/>
        </w:rPr>
      </w:pPr>
    </w:p>
    <w:p>
      <w:pPr>
        <w:snapToGrid w:val="0"/>
        <w:spacing w:line="360" w:lineRule="auto"/>
        <w:jc w:val="left"/>
        <w:rPr>
          <w:rFonts w:ascii="宋体" w:hAnsi="宋体" w:cs="宋体"/>
          <w:color w:val="auto"/>
          <w:szCs w:val="21"/>
          <w:highlight w:val="none"/>
        </w:rPr>
      </w:pPr>
    </w:p>
    <w:p>
      <w:pPr>
        <w:topLinePunct/>
        <w:adjustRightInd w:val="0"/>
        <w:snapToGrid w:val="0"/>
        <w:spacing w:line="360" w:lineRule="auto"/>
        <w:ind w:firstLine="585" w:firstLineChars="279"/>
        <w:rPr>
          <w:rFonts w:ascii="宋体" w:hAnsi="宋体" w:cs="宋体"/>
          <w:b/>
          <w:color w:val="auto"/>
          <w:sz w:val="24"/>
          <w:szCs w:val="24"/>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cs="宋体"/>
          <w:snapToGrid w:val="0"/>
          <w:color w:val="auto"/>
          <w:spacing w:val="4"/>
          <w:kern w:val="0"/>
          <w:sz w:val="24"/>
          <w:szCs w:val="24"/>
          <w:highlight w:val="none"/>
        </w:rPr>
        <w:t>。</w:t>
      </w:r>
    </w:p>
    <w:p>
      <w:pPr>
        <w:snapToGrid w:val="0"/>
        <w:spacing w:line="360" w:lineRule="auto"/>
        <w:jc w:val="left"/>
        <w:rPr>
          <w:rFonts w:ascii="宋体" w:hAnsi="宋体" w:cs="宋体"/>
          <w:color w:val="auto"/>
          <w:szCs w:val="21"/>
          <w:highlight w:val="none"/>
        </w:rPr>
      </w:pPr>
      <w:bookmarkStart w:id="53" w:name="_Toc478375101"/>
      <w:bookmarkStart w:id="54" w:name="_Toc474749524"/>
    </w:p>
    <w:p>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hint="eastAsia" w:ascii="宋体" w:hAnsi="宋体" w:cs="宋体"/>
          <w:b w:val="0"/>
          <w:bCs/>
          <w:color w:val="auto"/>
          <w:spacing w:val="4"/>
          <w:kern w:val="0"/>
          <w:sz w:val="24"/>
          <w:szCs w:val="24"/>
          <w:highlight w:val="none"/>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技术标格式三</w:t>
      </w:r>
      <w:bookmarkEnd w:id="53"/>
      <w:bookmarkEnd w:id="54"/>
    </w:p>
    <w:p>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施工项目管理团队人员信息表</w:t>
      </w:r>
    </w:p>
    <w:tbl>
      <w:tblPr>
        <w:tblStyle w:val="32"/>
        <w:tblW w:w="9180" w:type="dxa"/>
        <w:jc w:val="center"/>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注：</w:t>
      </w:r>
    </w:p>
    <w:p>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1.本表投标人视本工程具体情况结合招标人对本工程的具体要求自行配备。</w:t>
      </w:r>
    </w:p>
    <w:p>
      <w:pPr>
        <w:topLinePunct/>
        <w:adjustRightInd w:val="0"/>
        <w:snapToGrid w:val="0"/>
        <w:spacing w:line="360" w:lineRule="auto"/>
        <w:ind w:firstLine="3596" w:firstLineChars="1450"/>
        <w:rPr>
          <w:rFonts w:ascii="宋体" w:hAnsi="宋体" w:cs="宋体"/>
          <w:color w:val="auto"/>
          <w:spacing w:val="4"/>
          <w:kern w:val="0"/>
          <w:sz w:val="24"/>
          <w:szCs w:val="24"/>
          <w:highlight w:val="none"/>
        </w:rPr>
      </w:pPr>
    </w:p>
    <w:p>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w:t>
      </w:r>
    </w:p>
    <w:p>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pPr>
        <w:rPr>
          <w:rFonts w:hAnsi="宋体" w:cs="宋体"/>
          <w:color w:val="auto"/>
          <w:highlight w:val="none"/>
        </w:rPr>
      </w:pPr>
      <w:r>
        <w:rPr>
          <w:rFonts w:hAnsi="宋体" w:cs="宋体"/>
          <w:color w:val="auto"/>
          <w:highlight w:val="none"/>
        </w:rPr>
        <w:br w:type="page"/>
      </w:r>
    </w:p>
    <w:p>
      <w:pPr>
        <w:widowControl/>
        <w:snapToGrid w:val="0"/>
        <w:spacing w:line="360" w:lineRule="auto"/>
        <w:ind w:right="10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技术标格式</w:t>
      </w:r>
      <w:r>
        <w:rPr>
          <w:rFonts w:hint="eastAsia" w:ascii="宋体" w:hAnsi="宋体" w:cs="宋体"/>
          <w:color w:val="auto"/>
          <w:sz w:val="24"/>
          <w:szCs w:val="24"/>
          <w:highlight w:val="none"/>
          <w:lang w:val="en-US" w:eastAsia="zh-CN"/>
        </w:rPr>
        <w:t>四</w:t>
      </w:r>
    </w:p>
    <w:p>
      <w:pPr>
        <w:snapToGrid w:val="0"/>
        <w:spacing w:line="360" w:lineRule="auto"/>
        <w:jc w:val="center"/>
        <w:rPr>
          <w:rFonts w:ascii="宋体" w:hAnsi="宋体" w:cs="宋体"/>
          <w:b/>
          <w:color w:val="auto"/>
          <w:sz w:val="36"/>
          <w:szCs w:val="36"/>
          <w:highlight w:val="none"/>
        </w:rPr>
      </w:pP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响应招标文件所附施工组织设计要点承诺书</w:t>
      </w:r>
    </w:p>
    <w:p>
      <w:pPr>
        <w:snapToGrid w:val="0"/>
        <w:spacing w:line="360" w:lineRule="auto"/>
        <w:rPr>
          <w:rFonts w:ascii="宋体" w:hAnsi="宋体" w:cs="宋体"/>
          <w:color w:val="auto"/>
          <w:highlight w:val="none"/>
        </w:rPr>
      </w:pP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u w:val="single"/>
        </w:rPr>
      </w:pPr>
      <w:r>
        <w:rPr>
          <w:rFonts w:hint="eastAsia" w:ascii="宋体" w:hAnsi="宋体" w:cs="宋体"/>
          <w:color w:val="auto"/>
          <w:sz w:val="24"/>
          <w:szCs w:val="24"/>
          <w:highlight w:val="none"/>
          <w:u w:val="single"/>
          <w:lang w:eastAsia="zh-CN"/>
        </w:rPr>
        <w:t>广州松瓴企业管理有限公司</w:t>
      </w:r>
      <w:r>
        <w:rPr>
          <w:rFonts w:hint="eastAsia" w:ascii="宋体" w:hAnsi="宋体" w:cs="宋体"/>
          <w:color w:val="auto"/>
          <w:sz w:val="24"/>
          <w:highlight w:val="none"/>
        </w:rPr>
        <w:t>：</w:t>
      </w:r>
    </w:p>
    <w:p>
      <w:pPr>
        <w:snapToGrid w:val="0"/>
        <w:spacing w:line="360" w:lineRule="auto"/>
        <w:ind w:firstLine="435"/>
        <w:rPr>
          <w:rFonts w:ascii="宋体" w:hAnsi="宋体" w:cs="宋体"/>
          <w:color w:val="auto"/>
          <w:sz w:val="24"/>
          <w:highlight w:val="none"/>
        </w:rPr>
      </w:pPr>
      <w:r>
        <w:rPr>
          <w:rFonts w:hint="eastAsia" w:ascii="宋体" w:hAnsi="宋体" w:cs="宋体"/>
          <w:color w:val="auto"/>
          <w:sz w:val="24"/>
          <w:highlight w:val="none"/>
        </w:rPr>
        <w:t>我方承诺，如中标承建</w:t>
      </w:r>
      <w:r>
        <w:rPr>
          <w:rFonts w:hint="eastAsia" w:ascii="宋体" w:hAnsi="宋体" w:cs="宋体"/>
          <w:color w:val="auto"/>
          <w:sz w:val="24"/>
          <w:highlight w:val="none"/>
          <w:u w:val="single"/>
          <w:lang w:eastAsia="zh-CN"/>
        </w:rPr>
        <w:t>星际云汇二期项目负一层公区装修工程</w:t>
      </w:r>
      <w:r>
        <w:rPr>
          <w:rFonts w:hint="eastAsia" w:ascii="宋体" w:hAnsi="宋体" w:cs="宋体"/>
          <w:color w:val="auto"/>
          <w:sz w:val="24"/>
          <w:highlight w:val="none"/>
        </w:rPr>
        <w:t>，将按招标文件所附的本工程</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进行响应的基础上自行组织施工。并承诺在中标后按招标文件所附的</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pPr>
        <w:snapToGrid w:val="0"/>
        <w:spacing w:line="360" w:lineRule="auto"/>
        <w:ind w:firstLine="435"/>
        <w:rPr>
          <w:rFonts w:ascii="宋体" w:hAnsi="宋体" w:cs="宋体"/>
          <w:color w:val="auto"/>
          <w:sz w:val="24"/>
          <w:szCs w:val="20"/>
          <w:highlight w:val="none"/>
        </w:rPr>
      </w:pPr>
    </w:p>
    <w:p>
      <w:pPr>
        <w:snapToGrid w:val="0"/>
        <w:spacing w:line="360" w:lineRule="auto"/>
        <w:ind w:firstLine="435"/>
        <w:rPr>
          <w:rFonts w:ascii="宋体" w:hAnsi="宋体" w:cs="宋体"/>
          <w:color w:val="auto"/>
          <w:sz w:val="24"/>
          <w:szCs w:val="20"/>
          <w:highlight w:val="none"/>
        </w:rPr>
      </w:pPr>
    </w:p>
    <w:p>
      <w:pPr>
        <w:snapToGrid w:val="0"/>
        <w:spacing w:line="360" w:lineRule="auto"/>
        <w:ind w:firstLine="435"/>
        <w:rPr>
          <w:rFonts w:ascii="宋体" w:hAnsi="宋体" w:cs="宋体"/>
          <w:color w:val="auto"/>
          <w:sz w:val="24"/>
          <w:szCs w:val="20"/>
          <w:highlight w:val="none"/>
        </w:rPr>
      </w:pPr>
    </w:p>
    <w:p>
      <w:pPr>
        <w:snapToGrid w:val="0"/>
        <w:spacing w:line="360" w:lineRule="auto"/>
        <w:ind w:firstLine="3000" w:firstLineChars="1250"/>
        <w:rPr>
          <w:rFonts w:ascii="宋体" w:hAnsi="宋体" w:cs="宋体"/>
          <w:color w:val="auto"/>
          <w:sz w:val="24"/>
          <w:szCs w:val="20"/>
          <w:highlight w:val="none"/>
        </w:rPr>
      </w:pPr>
      <w:r>
        <w:rPr>
          <w:rFonts w:hint="eastAsia" w:ascii="宋体" w:hAnsi="宋体" w:cs="宋体"/>
          <w:color w:val="auto"/>
          <w:sz w:val="24"/>
          <w:szCs w:val="20"/>
          <w:highlight w:val="none"/>
        </w:rPr>
        <w:t>投标人名称：</w:t>
      </w:r>
    </w:p>
    <w:p>
      <w:pPr>
        <w:snapToGrid w:val="0"/>
        <w:spacing w:line="360" w:lineRule="auto"/>
        <w:ind w:firstLine="3000" w:firstLineChars="1250"/>
        <w:rPr>
          <w:rFonts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snapToGrid w:val="0"/>
        <w:spacing w:line="360" w:lineRule="auto"/>
        <w:ind w:left="420" w:leftChars="200"/>
        <w:jc w:val="left"/>
        <w:rPr>
          <w:rFonts w:ascii="宋体" w:hAnsi="宋体" w:cs="宋体"/>
          <w:color w:val="auto"/>
          <w:sz w:val="24"/>
          <w:szCs w:val="24"/>
          <w:highlight w:val="none"/>
          <w:u w:val="single"/>
        </w:rPr>
      </w:pPr>
    </w:p>
    <w:p>
      <w:pPr>
        <w:snapToGrid w:val="0"/>
        <w:spacing w:line="360" w:lineRule="auto"/>
        <w:ind w:left="420" w:leftChars="200"/>
        <w:jc w:val="left"/>
        <w:rPr>
          <w:rFonts w:ascii="宋体" w:hAnsi="宋体" w:cs="宋体"/>
          <w:color w:val="auto"/>
          <w:sz w:val="24"/>
          <w:szCs w:val="24"/>
          <w:highlight w:val="none"/>
          <w:u w:val="single"/>
        </w:rPr>
      </w:pPr>
    </w:p>
    <w:p>
      <w:pPr>
        <w:snapToGrid w:val="0"/>
        <w:spacing w:line="360" w:lineRule="auto"/>
        <w:ind w:firstLine="3514" w:firstLineChars="1250"/>
        <w:rPr>
          <w:rFonts w:ascii="宋体" w:hAnsi="宋体" w:cs="宋体"/>
          <w:color w:val="auto"/>
          <w:sz w:val="24"/>
          <w:highlight w:val="none"/>
        </w:rPr>
      </w:pPr>
      <w:r>
        <w:rPr>
          <w:rFonts w:hint="eastAsia" w:ascii="宋体" w:hAnsi="宋体" w:cs="宋体"/>
          <w:b/>
          <w:color w:val="auto"/>
          <w:sz w:val="28"/>
          <w:szCs w:val="28"/>
          <w:highlight w:val="none"/>
        </w:rPr>
        <w:br w:type="page"/>
      </w:r>
    </w:p>
    <w:p>
      <w:pPr>
        <w:pStyle w:val="46"/>
        <w:ind w:firstLine="0" w:firstLineChars="0"/>
        <w:rPr>
          <w:rFonts w:cs="宋体"/>
          <w:bCs/>
          <w:color w:val="auto"/>
          <w:kern w:val="0"/>
          <w:highlight w:val="none"/>
        </w:rPr>
      </w:pPr>
      <w:bookmarkStart w:id="55" w:name="_Toc22483"/>
      <w:r>
        <w:rPr>
          <w:rFonts w:hint="eastAsia" w:cs="宋体"/>
          <w:bCs/>
          <w:color w:val="auto"/>
          <w:kern w:val="0"/>
          <w:highlight w:val="none"/>
        </w:rPr>
        <w:t>技术标格式</w:t>
      </w:r>
      <w:r>
        <w:rPr>
          <w:rFonts w:hint="eastAsia" w:cs="宋体"/>
          <w:bCs/>
          <w:color w:val="auto"/>
          <w:kern w:val="0"/>
          <w:highlight w:val="none"/>
          <w:lang w:val="en-US" w:eastAsia="zh-CN"/>
        </w:rPr>
        <w:t>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pacing w:val="4"/>
          <w:kern w:val="0"/>
          <w:sz w:val="24"/>
          <w:szCs w:val="24"/>
          <w:highlight w:val="none"/>
          <w:lang w:val="en-US" w:eastAsia="zh-CN" w:bidi="ar-SA"/>
        </w:rPr>
      </w:pPr>
    </w:p>
    <w:p>
      <w:pPr>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危险性较大的分部分项工程安全管理措施</w:t>
      </w:r>
      <w:bookmarkEnd w:id="55"/>
    </w:p>
    <w:p>
      <w:pPr>
        <w:widowControl/>
        <w:numPr>
          <w:ilvl w:val="0"/>
          <w:numId w:val="3"/>
        </w:numPr>
        <w:autoSpaceDE w:val="0"/>
        <w:autoSpaceDN w:val="0"/>
        <w:adjustRightInd w:val="0"/>
        <w:snapToGrid w:val="0"/>
        <w:spacing w:line="360" w:lineRule="auto"/>
        <w:jc w:val="left"/>
        <w:rPr>
          <w:rFonts w:ascii="宋体" w:hAnsi="宋体" w:cs="宋体"/>
          <w:snapToGrid w:val="0"/>
          <w:color w:val="auto"/>
          <w:spacing w:val="4"/>
          <w:kern w:val="0"/>
          <w:sz w:val="22"/>
          <w:highlight w:val="none"/>
        </w:rPr>
      </w:pPr>
      <w:r>
        <w:rPr>
          <w:rFonts w:hint="eastAsia" w:ascii="宋体" w:hAnsi="宋体" w:cs="宋体"/>
          <w:color w:val="auto"/>
          <w:kern w:val="0"/>
          <w:sz w:val="22"/>
          <w:szCs w:val="24"/>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2"/>
          <w:szCs w:val="32"/>
          <w:highlight w:val="none"/>
        </w:rPr>
        <w:t>√”标识。</w:t>
      </w:r>
    </w:p>
    <w:p>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投标单位同意建设单位在清单中标识的该项请在对应项打“</w:t>
      </w:r>
      <w:r>
        <w:rPr>
          <w:rFonts w:hint="eastAsia" w:ascii="宋体" w:hAnsi="宋体" w:cs="宋体"/>
          <w:color w:val="auto"/>
          <w:kern w:val="0"/>
          <w:sz w:val="22"/>
          <w:szCs w:val="32"/>
          <w:highlight w:val="none"/>
        </w:rPr>
        <w:t>√”标识，并在投标文件中提供相应的安全管理措施。</w:t>
      </w:r>
    </w:p>
    <w:p>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投标单位对清单中认为需要补充的该项请在对应项打“</w:t>
      </w:r>
      <w:r>
        <w:rPr>
          <w:rFonts w:hint="eastAsia" w:ascii="宋体" w:hAnsi="宋体" w:cs="宋体"/>
          <w:color w:val="auto"/>
          <w:kern w:val="0"/>
          <w:sz w:val="22"/>
          <w:szCs w:val="32"/>
          <w:highlight w:val="none"/>
        </w:rPr>
        <w:t>√”标识，并在投标文件中提供相应的安全管理措施。</w:t>
      </w:r>
    </w:p>
    <w:p>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32"/>
          <w:highlight w:val="none"/>
        </w:rPr>
        <w:t>投标单位不同意建设单位</w:t>
      </w:r>
      <w:r>
        <w:rPr>
          <w:rFonts w:hint="eastAsia" w:ascii="宋体" w:hAnsi="宋体" w:cs="宋体"/>
          <w:color w:val="auto"/>
          <w:kern w:val="0"/>
          <w:sz w:val="22"/>
          <w:szCs w:val="24"/>
          <w:highlight w:val="none"/>
        </w:rPr>
        <w:t>在清单中标识的该项</w:t>
      </w:r>
      <w:r>
        <w:rPr>
          <w:rFonts w:hint="eastAsia" w:ascii="宋体" w:hAnsi="宋体" w:cs="宋体"/>
          <w:color w:val="auto"/>
          <w:kern w:val="0"/>
          <w:sz w:val="22"/>
          <w:szCs w:val="32"/>
          <w:highlight w:val="none"/>
        </w:rPr>
        <w:t>请在对应项打“×”标识，并在备注栏填上相关说明。</w:t>
      </w:r>
    </w:p>
    <w:p>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投标单位应当在投标时根据招标人提供的下述第5点清单，在投标文件中编制专项施工方案。</w:t>
      </w:r>
    </w:p>
    <w:p>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255"/>
          <w:numId w:val="0"/>
        </w:numPr>
        <w:autoSpaceDE w:val="0"/>
        <w:autoSpaceDN w:val="0"/>
        <w:adjustRightInd w:val="0"/>
        <w:snapToGrid w:val="0"/>
        <w:spacing w:line="360" w:lineRule="auto"/>
        <w:jc w:val="left"/>
        <w:rPr>
          <w:rFonts w:ascii="宋体" w:hAnsi="宋体" w:cs="宋体"/>
          <w:color w:val="auto"/>
          <w:sz w:val="24"/>
          <w:szCs w:val="28"/>
          <w:highlight w:val="none"/>
        </w:rPr>
      </w:pPr>
      <w:r>
        <w:rPr>
          <w:rFonts w:hint="eastAsia" w:ascii="宋体" w:hAnsi="宋体" w:cs="宋体"/>
          <w:color w:val="auto"/>
          <w:kern w:val="0"/>
          <w:sz w:val="22"/>
          <w:szCs w:val="24"/>
          <w:highlight w:val="none"/>
        </w:rPr>
        <w:t>5、危险性较大的分部分项工程清单及超过一定规模的危险性较大的分部分项工程清单</w:t>
      </w:r>
    </w:p>
    <w:tbl>
      <w:tblPr>
        <w:tblStyle w:val="32"/>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0"/>
        <w:gridCol w:w="1222"/>
        <w:gridCol w:w="1361"/>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（二）采用起重机械进行安装的工程。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（三）起重机械安装和拆卸工程。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（二）附着式升降脚手架工程。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（三）悬挑式脚手架工程。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（四）高处作业吊篮。</w:t>
            </w:r>
          </w:p>
        </w:tc>
        <w:tc>
          <w:tcPr>
            <w:tcW w:w="12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（五）卸料平台、操作平台工程。</w:t>
            </w:r>
          </w:p>
        </w:tc>
        <w:tc>
          <w:tcPr>
            <w:tcW w:w="12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color w:val="auto"/>
                <w:highlight w:val="none"/>
              </w:rPr>
              <w:t xml:space="preserve">( </w:t>
            </w:r>
            <w:r>
              <w:rPr>
                <w:rFonts w:hint="eastAsia" w:ascii="宋体" w:hAnsi="宋体" w:cs="宋体"/>
                <w:color w:val="auto"/>
                <w:kern w:val="0"/>
                <w:sz w:val="22"/>
                <w:szCs w:val="32"/>
                <w:highlight w:val="none"/>
              </w:rPr>
              <w:t>√</w:t>
            </w:r>
            <w:r>
              <w:rPr>
                <w:rFonts w:hint="eastAsia"/>
                <w:color w:val="auto"/>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（六）异型脚手架工程。</w:t>
            </w:r>
          </w:p>
        </w:tc>
        <w:tc>
          <w:tcPr>
            <w:tcW w:w="12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（一）建筑幕墙安装工程。</w:t>
            </w:r>
          </w:p>
        </w:tc>
        <w:tc>
          <w:tcPr>
            <w:tcW w:w="12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（二）钢结构、网架和索膜结构安装工程。</w:t>
            </w:r>
          </w:p>
        </w:tc>
        <w:tc>
          <w:tcPr>
            <w:tcW w:w="12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（三）人工挖孔桩工程。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（四）水下作业工程。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（五）装配式建筑混凝土预制构件安装工程。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（一）搭设高度50m及以上的落地式钢管脚手架工程。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（一）施工高度50m及以上的建筑幕墙安装工程。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（三）开挖深度16m及以上的人工挖孔桩工程。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（四）水下作业工程。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bl>
    <w:p>
      <w:pPr>
        <w:topLinePunct/>
        <w:adjustRightInd w:val="0"/>
        <w:snapToGrid w:val="0"/>
        <w:spacing w:line="360" w:lineRule="auto"/>
        <w:ind w:firstLine="436" w:firstLineChars="200"/>
        <w:rPr>
          <w:rFonts w:ascii="宋体" w:hAnsi="宋体" w:cs="宋体"/>
          <w:color w:val="auto"/>
          <w:spacing w:val="4"/>
          <w:kern w:val="0"/>
          <w:szCs w:val="21"/>
          <w:highlight w:val="none"/>
        </w:rPr>
      </w:pPr>
    </w:p>
    <w:p>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投标人名称：</w:t>
      </w:r>
    </w:p>
    <w:p>
      <w:pPr>
        <w:snapToGrid w:val="0"/>
        <w:spacing w:line="360" w:lineRule="auto"/>
        <w:ind w:firstLine="4320" w:firstLineChars="1800"/>
        <w:rPr>
          <w:rFonts w:hint="eastAsia" w:ascii="宋体" w:hAnsi="宋体" w:cs="宋体"/>
          <w:color w:val="auto"/>
          <w:sz w:val="24"/>
          <w:szCs w:val="20"/>
          <w:highlight w:val="none"/>
        </w:rPr>
      </w:pPr>
      <w:r>
        <w:rPr>
          <w:rFonts w:hint="eastAsia" w:ascii="宋体" w:hAnsi="宋体" w:cs="宋体"/>
          <w:color w:val="auto"/>
          <w:sz w:val="24"/>
          <w:szCs w:val="20"/>
          <w:highlight w:val="none"/>
        </w:rPr>
        <w:t>日期：</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pPr>
        <w:rPr>
          <w:rFonts w:ascii="宋体" w:hAnsi="宋体" w:cs="宋体"/>
          <w:color w:val="auto"/>
          <w:sz w:val="32"/>
          <w:szCs w:val="32"/>
          <w:highlight w:val="none"/>
        </w:rPr>
      </w:pPr>
      <w:bookmarkStart w:id="56" w:name="_Toc26315"/>
      <w:r>
        <w:rPr>
          <w:rFonts w:hint="eastAsia" w:ascii="宋体" w:hAnsi="宋体" w:cs="宋体"/>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color w:val="auto"/>
          <w:sz w:val="24"/>
          <w:szCs w:val="24"/>
          <w:highlight w:val="none"/>
        </w:rPr>
      </w:pPr>
      <w:r>
        <w:rPr>
          <w:rFonts w:hint="eastAsia" w:cs="宋体"/>
          <w:bCs/>
          <w:color w:val="auto"/>
          <w:kern w:val="0"/>
          <w:sz w:val="24"/>
          <w:szCs w:val="24"/>
          <w:highlight w:val="none"/>
        </w:rPr>
        <w:t>技术标格式</w:t>
      </w:r>
      <w:r>
        <w:rPr>
          <w:rFonts w:hint="eastAsia" w:cs="宋体"/>
          <w:bCs/>
          <w:color w:val="auto"/>
          <w:kern w:val="0"/>
          <w:sz w:val="24"/>
          <w:szCs w:val="24"/>
          <w:highlight w:val="none"/>
          <w:lang w:val="en-US" w:eastAsia="zh-CN"/>
        </w:rPr>
        <w:t>六</w:t>
      </w:r>
    </w:p>
    <w:p>
      <w:pPr>
        <w:snapToGrid w:val="0"/>
        <w:spacing w:line="360" w:lineRule="auto"/>
        <w:jc w:val="center"/>
        <w:rPr>
          <w:rFonts w:hint="eastAsia" w:ascii="宋体" w:hAnsi="宋体" w:cs="宋体"/>
          <w:b w:val="0"/>
          <w:bCs/>
          <w:color w:val="auto"/>
          <w:sz w:val="24"/>
          <w:szCs w:val="24"/>
          <w:highlight w:val="none"/>
        </w:rPr>
      </w:pP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参与编制技术标投标文件人员名单</w:t>
      </w:r>
    </w:p>
    <w:tbl>
      <w:tblPr>
        <w:tblStyle w:val="3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bl>
    <w:p>
      <w:pPr>
        <w:autoSpaceDE w:val="0"/>
        <w:autoSpaceDN w:val="0"/>
        <w:adjustRightInd w:val="0"/>
        <w:rPr>
          <w:color w:val="auto"/>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sectPr>
          <w:headerReference r:id="rId13" w:type="default"/>
          <w:footerReference r:id="rId14" w:type="default"/>
          <w:pgSz w:w="11906" w:h="16838"/>
          <w:pgMar w:top="1383" w:right="1383" w:bottom="1383" w:left="1383" w:header="851" w:footer="992" w:gutter="0"/>
          <w:cols w:space="720" w:num="1"/>
          <w:docGrid w:type="lines" w:linePitch="312" w:charSpace="0"/>
        </w:sectPr>
      </w:pPr>
    </w:p>
    <w:p>
      <w:pPr>
        <w:pStyle w:val="13"/>
        <w:ind w:left="0" w:leftChars="0" w:firstLine="0" w:firstLineChars="0"/>
        <w:rPr>
          <w:rFonts w:hint="eastAsia"/>
          <w:color w:val="auto"/>
          <w:highlight w:val="none"/>
        </w:rPr>
      </w:pPr>
    </w:p>
    <w:p>
      <w:pPr>
        <w:autoSpaceDE w:val="0"/>
        <w:autoSpaceDN w:val="0"/>
        <w:adjustRightInd w:val="0"/>
        <w:snapToGrid w:val="0"/>
        <w:spacing w:line="360" w:lineRule="auto"/>
        <w:rPr>
          <w:rFonts w:hint="eastAsia" w:ascii="宋体" w:hAnsi="宋体" w:cs="宋体"/>
          <w:color w:val="auto"/>
          <w:sz w:val="32"/>
          <w:szCs w:val="32"/>
          <w:highlight w:val="none"/>
        </w:rPr>
      </w:pPr>
    </w:p>
    <w:p>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color w:val="auto"/>
          <w:sz w:val="32"/>
          <w:szCs w:val="32"/>
          <w:highlight w:val="none"/>
        </w:rPr>
        <w:t>二、经济标投标文件格式</w:t>
      </w:r>
      <w:bookmarkEnd w:id="56"/>
    </w:p>
    <w:p>
      <w:pPr>
        <w:widowControl/>
        <w:snapToGrid w:val="0"/>
        <w:spacing w:line="360" w:lineRule="auto"/>
        <w:jc w:val="left"/>
        <w:outlineLvl w:val="2"/>
        <w:rPr>
          <w:rFonts w:ascii="宋体" w:hAnsi="宋体" w:cs="宋体"/>
          <w:bCs/>
          <w:color w:val="auto"/>
          <w:spacing w:val="4"/>
          <w:sz w:val="24"/>
          <w:szCs w:val="24"/>
          <w:highlight w:val="none"/>
        </w:rPr>
      </w:pPr>
      <w:bookmarkStart w:id="57" w:name="_Toc16171"/>
    </w:p>
    <w:p>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经济标格式一</w:t>
      </w:r>
      <w:bookmarkEnd w:id="57"/>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58" w:name="_Toc21286"/>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58"/>
    </w:p>
    <w:tbl>
      <w:tblPr>
        <w:tblStyle w:val="3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bookmarkStart w:id="59" w:name="OLE_LINK1"/>
            <w:r>
              <w:rPr>
                <w:rFonts w:hint="eastAsia" w:ascii="宋体" w:hAnsi="宋体" w:cs="宋体"/>
                <w:bCs/>
                <w:color w:val="auto"/>
                <w:sz w:val="24"/>
                <w:szCs w:val="24"/>
                <w:highlight w:val="none"/>
                <w:lang w:val="zh-CN"/>
              </w:rPr>
              <w:t>人工费</w:t>
            </w:r>
            <w:bookmarkEnd w:id="59"/>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pPr>
              <w:widowControl/>
              <w:snapToGrid w:val="0"/>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bookmarkStart w:id="60" w:name="OLE_LINK2"/>
            <w:r>
              <w:rPr>
                <w:rFonts w:hint="eastAsia" w:ascii="宋体" w:hAnsi="宋体" w:cs="宋体"/>
                <w:color w:val="auto"/>
                <w:sz w:val="24"/>
                <w:szCs w:val="24"/>
                <w:highlight w:val="none"/>
                <w:lang w:val="zh-CN"/>
              </w:rPr>
              <w:t>绿色施工安全防护措施费</w:t>
            </w:r>
            <w:bookmarkEnd w:id="60"/>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pPr>
              <w:widowControl/>
              <w:snapToGrid w:val="0"/>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pPr>
        <w:widowControl/>
        <w:snapToGrid w:val="0"/>
        <w:spacing w:line="360" w:lineRule="auto"/>
        <w:jc w:val="left"/>
        <w:outlineLvl w:val="2"/>
        <w:rPr>
          <w:rFonts w:ascii="宋体" w:hAnsi="宋体" w:cs="宋体"/>
          <w:color w:val="auto"/>
          <w:kern w:val="0"/>
          <w:sz w:val="24"/>
          <w:szCs w:val="24"/>
          <w:highlight w:val="none"/>
        </w:rPr>
      </w:pPr>
    </w:p>
    <w:p>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61" w:name="_Toc30992"/>
      <w:r>
        <w:rPr>
          <w:rFonts w:hint="eastAsia" w:ascii="宋体" w:hAnsi="宋体" w:cs="宋体"/>
          <w:bCs/>
          <w:color w:val="auto"/>
          <w:spacing w:val="4"/>
          <w:sz w:val="24"/>
          <w:szCs w:val="24"/>
          <w:highlight w:val="none"/>
        </w:rPr>
        <w:t>经济标格式二</w:t>
      </w:r>
      <w:bookmarkEnd w:id="61"/>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2" w:name="_Toc30258"/>
      <w:r>
        <w:rPr>
          <w:rFonts w:hint="eastAsia" w:ascii="宋体" w:hAnsi="宋体" w:cs="宋体"/>
          <w:b/>
          <w:bCs/>
          <w:color w:val="auto"/>
          <w:spacing w:val="4"/>
          <w:kern w:val="0"/>
          <w:sz w:val="36"/>
          <w:szCs w:val="36"/>
          <w:highlight w:val="none"/>
        </w:rPr>
        <w:t>参与编制经济标投标文件人员名单</w:t>
      </w:r>
      <w:bookmarkEnd w:id="62"/>
    </w:p>
    <w:tbl>
      <w:tblPr>
        <w:tblStyle w:val="3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jc w:val="center"/>
              <w:rPr>
                <w:rFonts w:ascii="宋体" w:hAnsi="宋体" w:cs="宋体"/>
                <w:color w:val="auto"/>
                <w:sz w:val="24"/>
                <w:szCs w:val="24"/>
                <w:highlight w:val="none"/>
              </w:rPr>
            </w:pPr>
          </w:p>
        </w:tc>
        <w:tc>
          <w:tcPr>
            <w:tcW w:w="1441" w:type="dxa"/>
            <w:noWrap/>
            <w:vAlign w:val="center"/>
          </w:tcPr>
          <w:p>
            <w:pPr>
              <w:tabs>
                <w:tab w:val="left" w:pos="720"/>
              </w:tabs>
              <w:snapToGrid w:val="0"/>
              <w:jc w:val="center"/>
              <w:rPr>
                <w:rFonts w:ascii="宋体" w:hAnsi="宋体" w:cs="宋体"/>
                <w:color w:val="auto"/>
                <w:sz w:val="24"/>
                <w:szCs w:val="24"/>
                <w:highlight w:val="none"/>
              </w:rPr>
            </w:pPr>
          </w:p>
        </w:tc>
        <w:tc>
          <w:tcPr>
            <w:tcW w:w="2461" w:type="dxa"/>
            <w:noWrap/>
            <w:vAlign w:val="center"/>
          </w:tcPr>
          <w:p>
            <w:pPr>
              <w:tabs>
                <w:tab w:val="left" w:pos="720"/>
              </w:tabs>
              <w:snapToGrid w:val="0"/>
              <w:jc w:val="center"/>
              <w:rPr>
                <w:rFonts w:ascii="宋体" w:hAnsi="宋体" w:cs="宋体"/>
                <w:color w:val="auto"/>
                <w:sz w:val="24"/>
                <w:szCs w:val="24"/>
                <w:highlight w:val="none"/>
              </w:rPr>
            </w:pPr>
          </w:p>
        </w:tc>
        <w:tc>
          <w:tcPr>
            <w:tcW w:w="2359" w:type="dxa"/>
            <w:noWrap/>
            <w:vAlign w:val="center"/>
          </w:tcPr>
          <w:p>
            <w:pPr>
              <w:tabs>
                <w:tab w:val="left" w:pos="720"/>
              </w:tabs>
              <w:snapToGrid w:val="0"/>
              <w:jc w:val="center"/>
              <w:rPr>
                <w:rFonts w:ascii="宋体" w:hAnsi="宋体" w:cs="宋体"/>
                <w:color w:val="auto"/>
                <w:sz w:val="24"/>
                <w:szCs w:val="24"/>
                <w:highlight w:val="none"/>
              </w:rPr>
            </w:pPr>
          </w:p>
        </w:tc>
        <w:tc>
          <w:tcPr>
            <w:tcW w:w="1419" w:type="dxa"/>
            <w:noWrap/>
            <w:vAlign w:val="center"/>
          </w:tcPr>
          <w:p>
            <w:pPr>
              <w:tabs>
                <w:tab w:val="left" w:pos="720"/>
              </w:tabs>
              <w:snapToGrid w:val="0"/>
              <w:jc w:val="center"/>
              <w:rPr>
                <w:rFonts w:ascii="宋体" w:hAnsi="宋体" w:cs="宋体"/>
                <w:color w:val="auto"/>
                <w:sz w:val="24"/>
                <w:szCs w:val="24"/>
                <w:highlight w:val="none"/>
              </w:rPr>
            </w:pPr>
          </w:p>
        </w:tc>
      </w:tr>
    </w:tbl>
    <w:p>
      <w:pPr>
        <w:tabs>
          <w:tab w:val="left" w:pos="720"/>
        </w:tabs>
        <w:snapToGrid w:val="0"/>
        <w:spacing w:line="360" w:lineRule="auto"/>
        <w:rPr>
          <w:rFonts w:ascii="宋体" w:hAnsi="宋体" w:cs="宋体"/>
          <w:color w:val="auto"/>
          <w:sz w:val="24"/>
          <w:szCs w:val="24"/>
          <w:highlight w:val="none"/>
        </w:rPr>
      </w:pPr>
    </w:p>
    <w:p>
      <w:pPr>
        <w:topLinePunct/>
        <w:adjustRightInd w:val="0"/>
        <w:snapToGrid w:val="0"/>
        <w:spacing w:line="360" w:lineRule="auto"/>
        <w:ind w:firstLine="496" w:firstLineChars="200"/>
        <w:rPr>
          <w:rFonts w:ascii="宋体" w:hAnsi="宋体" w:cs="宋体"/>
          <w:color w:val="auto"/>
          <w:szCs w:val="21"/>
          <w:highlight w:val="none"/>
        </w:rPr>
      </w:pPr>
      <w:r>
        <w:rPr>
          <w:rFonts w:hint="eastAsia" w:ascii="宋体" w:hAnsi="宋体" w:cs="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经济标格式三</w:t>
      </w:r>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3" w:name="_Toc13531"/>
      <w:r>
        <w:rPr>
          <w:rFonts w:hint="eastAsia" w:ascii="宋体" w:hAnsi="宋体" w:cs="宋体"/>
          <w:b/>
          <w:bCs/>
          <w:color w:val="auto"/>
          <w:spacing w:val="4"/>
          <w:kern w:val="0"/>
          <w:sz w:val="36"/>
          <w:szCs w:val="36"/>
          <w:highlight w:val="none"/>
        </w:rPr>
        <w:t>对投标文件编制的承诺</w:t>
      </w:r>
      <w:bookmarkEnd w:id="63"/>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i/>
          <w:iCs/>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（身份证号：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负责对投标文件的编制及内容进行解释、说明，并承诺以下事项：</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pPr>
        <w:snapToGrid w:val="0"/>
        <w:spacing w:line="360" w:lineRule="auto"/>
        <w:ind w:firstLine="360" w:firstLineChars="150"/>
        <w:rPr>
          <w:rFonts w:ascii="宋体" w:hAnsi="宋体" w:cs="宋体"/>
          <w:color w:val="auto"/>
          <w:kern w:val="0"/>
          <w:sz w:val="24"/>
          <w:szCs w:val="24"/>
          <w:highlight w:val="none"/>
        </w:rPr>
      </w:pP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pPr>
        <w:snapToGrid w:val="0"/>
        <w:spacing w:line="360" w:lineRule="auto"/>
        <w:ind w:right="90" w:firstLine="3240" w:firstLineChars="1350"/>
        <w:rPr>
          <w:rFonts w:hint="eastAsia" w:ascii="宋体" w:hAnsi="宋体" w:cs="宋体"/>
          <w:color w:val="auto"/>
          <w:sz w:val="24"/>
          <w:szCs w:val="24"/>
          <w:highlight w:val="none"/>
        </w:rPr>
      </w:pPr>
    </w:p>
    <w:p>
      <w:pPr>
        <w:snapToGrid w:val="0"/>
        <w:spacing w:line="360" w:lineRule="auto"/>
        <w:ind w:right="90" w:firstLine="3960" w:firstLineChars="16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w:t>
      </w:r>
    </w:p>
    <w:p>
      <w:pPr>
        <w:snapToGrid w:val="0"/>
        <w:spacing w:line="360" w:lineRule="auto"/>
        <w:ind w:firstLine="4080" w:firstLineChars="1700"/>
        <w:jc w:val="both"/>
        <w:outlineLvl w:val="1"/>
        <w:rPr>
          <w:rFonts w:hint="eastAsia" w:ascii="宋体" w:hAnsi="宋体" w:cs="宋体"/>
          <w:color w:val="auto"/>
          <w:sz w:val="24"/>
          <w:szCs w:val="24"/>
          <w:highlight w:val="none"/>
        </w:rPr>
      </w:pPr>
      <w:bookmarkStart w:id="64" w:name="_Toc3751"/>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bookmarkEnd w:id="64"/>
    </w:p>
    <w:p>
      <w:pPr>
        <w:jc w:val="both"/>
        <w:outlineLvl w:val="9"/>
        <w:rPr>
          <w:rFonts w:hint="eastAsia" w:ascii="宋体" w:hAnsi="宋体" w:cs="宋体"/>
          <w:color w:val="auto"/>
          <w:sz w:val="21"/>
          <w:szCs w:val="21"/>
          <w:highlight w:val="none"/>
        </w:rPr>
      </w:pPr>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5" w:name="_Toc22554"/>
      <w:r>
        <w:rPr>
          <w:rFonts w:hint="eastAsia" w:ascii="宋体" w:hAnsi="宋体" w:cs="宋体"/>
          <w:b/>
          <w:bCs/>
          <w:color w:val="auto"/>
          <w:spacing w:val="4"/>
          <w:kern w:val="0"/>
          <w:sz w:val="36"/>
          <w:szCs w:val="36"/>
          <w:highlight w:val="none"/>
        </w:rPr>
        <w:t>投标文件编制情况</w:t>
      </w:r>
      <w:bookmarkEnd w:id="65"/>
    </w:p>
    <w:p>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（盖造价工程师执业专用章，执业单位应与投标人一致）</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（盖造价工程师执业专用章，执业单位应与受委托单位一致）</w:t>
      </w:r>
      <w:r>
        <w:rPr>
          <w:rFonts w:hint="eastAsia" w:ascii="宋体" w:hAnsi="宋体" w:cs="宋体"/>
          <w:color w:val="auto"/>
          <w:kern w:val="0"/>
          <w:sz w:val="24"/>
          <w:szCs w:val="24"/>
          <w:highlight w:val="none"/>
        </w:rPr>
        <w:t>。</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32"/>
        <w:tblW w:w="9234" w:type="dxa"/>
        <w:tblInd w:w="0" w:type="dxa"/>
        <w:tblLayout w:type="fixed"/>
        <w:tblCellMar>
          <w:top w:w="0" w:type="dxa"/>
          <w:left w:w="108" w:type="dxa"/>
          <w:bottom w:w="0" w:type="dxa"/>
          <w:right w:w="108" w:type="dxa"/>
        </w:tblCellMar>
      </w:tblPr>
      <w:tblGrid>
        <w:gridCol w:w="9234"/>
      </w:tblGrid>
      <w:tr>
        <w:tblPrEx>
          <w:tblCellMar>
            <w:top w:w="0" w:type="dxa"/>
            <w:left w:w="108" w:type="dxa"/>
            <w:bottom w:w="0" w:type="dxa"/>
            <w:right w:w="108" w:type="dxa"/>
          </w:tblCellMar>
        </w:tblPrEx>
        <w:trPr>
          <w:trHeight w:val="2185" w:hRule="atLeast"/>
        </w:trPr>
        <w:tc>
          <w:tcPr>
            <w:tcW w:w="9234" w:type="dxa"/>
            <w:noWrap/>
          </w:tcPr>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投标文件加密打包的电脑自有□外包□其他□</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电脑所在地址（如××市××区(县) ××街（路）××号××大厦××房）</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Cs w:val="21"/>
          <w:highlight w:val="none"/>
        </w:rPr>
      </w:pPr>
    </w:p>
    <w:p>
      <w:pPr>
        <w:pStyle w:val="13"/>
        <w:ind w:left="0" w:leftChars="0" w:firstLine="0" w:firstLineChars="0"/>
        <w:rPr>
          <w:rFonts w:ascii="宋体" w:hAnsi="宋体" w:cs="宋体"/>
          <w:color w:val="auto"/>
          <w:szCs w:val="21"/>
          <w:highlight w:val="none"/>
        </w:rPr>
      </w:pPr>
    </w:p>
    <w:p>
      <w:pPr>
        <w:rPr>
          <w:color w:val="auto"/>
          <w:highlight w:val="none"/>
        </w:rPr>
        <w:sectPr>
          <w:pgSz w:w="11906" w:h="16838"/>
          <w:pgMar w:top="1383" w:right="1383" w:bottom="1383" w:left="1383" w:header="851" w:footer="992" w:gutter="0"/>
          <w:cols w:space="720" w:num="1"/>
          <w:docGrid w:type="lines" w:linePitch="312" w:charSpace="0"/>
        </w:sectPr>
      </w:pPr>
    </w:p>
    <w:p>
      <w:pPr>
        <w:pStyle w:val="13"/>
        <w:ind w:left="0" w:leftChars="0" w:firstLine="0" w:firstLineChars="0"/>
        <w:rPr>
          <w:color w:val="auto"/>
          <w:highlight w:val="none"/>
        </w:rPr>
      </w:pPr>
    </w:p>
    <w:p>
      <w:pPr>
        <w:tabs>
          <w:tab w:val="left" w:pos="720"/>
        </w:tabs>
        <w:snapToGrid w:val="0"/>
        <w:spacing w:line="360" w:lineRule="auto"/>
        <w:jc w:val="center"/>
        <w:rPr>
          <w:rStyle w:val="48"/>
          <w:rFonts w:ascii="宋体" w:hAnsi="宋体" w:cs="宋体"/>
          <w:b/>
          <w:color w:val="auto"/>
          <w:sz w:val="32"/>
          <w:szCs w:val="32"/>
          <w:highlight w:val="none"/>
        </w:rPr>
      </w:pPr>
      <w:bookmarkStart w:id="66" w:name="_Toc2272568"/>
      <w:bookmarkStart w:id="67" w:name="_Toc9312"/>
      <w:bookmarkStart w:id="68" w:name="_Toc2272569"/>
      <w:r>
        <w:rPr>
          <w:rStyle w:val="48"/>
          <w:rFonts w:hint="eastAsia" w:ascii="宋体" w:hAnsi="宋体" w:cs="宋体"/>
          <w:b/>
          <w:color w:val="auto"/>
          <w:sz w:val="32"/>
          <w:szCs w:val="32"/>
          <w:highlight w:val="none"/>
        </w:rPr>
        <w:t>第五章</w:t>
      </w:r>
      <w:r>
        <w:rPr>
          <w:rStyle w:val="48"/>
          <w:rFonts w:hint="eastAsia" w:ascii="宋体" w:hAnsi="宋体" w:cs="宋体"/>
          <w:b/>
          <w:color w:val="auto"/>
          <w:sz w:val="32"/>
          <w:szCs w:val="32"/>
          <w:highlight w:val="none"/>
          <w:lang w:val="en-US" w:eastAsia="zh-CN"/>
        </w:rPr>
        <w:t xml:space="preserve">  </w:t>
      </w:r>
      <w:r>
        <w:rPr>
          <w:rStyle w:val="48"/>
          <w:rFonts w:hint="eastAsia" w:ascii="宋体" w:hAnsi="宋体" w:cs="宋体"/>
          <w:b/>
          <w:color w:val="auto"/>
          <w:sz w:val="32"/>
          <w:szCs w:val="32"/>
          <w:highlight w:val="none"/>
        </w:rPr>
        <w:t>技术条件（工程建设标准）</w:t>
      </w:r>
      <w:bookmarkEnd w:id="66"/>
    </w:p>
    <w:bookmarkEnd w:id="67"/>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如果中标，中标人应按项目的进展需求，并在规定的时间内按要点要求，编制详细的施工组织设计，作为工程施工的指导性文件，内容包括（不限于）以下：</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w:t>
      </w:r>
      <w:r>
        <w:rPr>
          <w:rFonts w:hint="eastAsia" w:cs="宋体"/>
          <w:color w:val="auto"/>
          <w:sz w:val="24"/>
          <w:szCs w:val="24"/>
          <w:highlight w:val="none"/>
        </w:rPr>
        <w:t>工程的质量要求达到合格质量标准。</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bookmarkStart w:id="69" w:name="_Hlt531956504"/>
      <w:r>
        <w:rPr>
          <w:rFonts w:hint="eastAsia" w:ascii="宋体" w:hAnsi="宋体" w:cs="宋体"/>
          <w:color w:val="auto"/>
          <w:sz w:val="24"/>
          <w:szCs w:val="24"/>
          <w:highlight w:val="none"/>
        </w:rPr>
        <w:t>安全生产目标：杜绝本项目施工人员重大伤亡事故。</w:t>
      </w:r>
      <w:bookmarkEnd w:id="69"/>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（十）建筑垃圾减量及利用要求</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cs="宋体"/>
          <w:color w:val="auto"/>
          <w:sz w:val="24"/>
          <w:szCs w:val="24"/>
          <w:highlight w:val="none"/>
        </w:rPr>
        <w:t>建筑垃圾源头减量、分类收集、综合利用、污染防治的措施和目标。</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三、本工程采用的主要材料推荐选用《</w:t>
      </w:r>
      <w:bookmarkStart w:id="70" w:name="_Toc28633"/>
      <w:bookmarkStart w:id="71" w:name="_Toc19293"/>
      <w:bookmarkStart w:id="72" w:name="_Toc31318"/>
      <w:bookmarkStart w:id="73" w:name="_Toc23429"/>
      <w:bookmarkStart w:id="74" w:name="_Toc26781"/>
      <w:r>
        <w:rPr>
          <w:rFonts w:hint="eastAsia" w:ascii="宋体" w:hAnsi="宋体" w:eastAsia="宋体" w:cs="宋体"/>
          <w:b/>
          <w:color w:val="auto"/>
          <w:sz w:val="24"/>
          <w:szCs w:val="24"/>
          <w:highlight w:val="none"/>
        </w:rPr>
        <w:t>材料品牌</w:t>
      </w:r>
      <w:bookmarkEnd w:id="70"/>
      <w:bookmarkEnd w:id="71"/>
      <w:r>
        <w:rPr>
          <w:rFonts w:hint="eastAsia" w:ascii="宋体" w:hAnsi="宋体" w:eastAsia="宋体" w:cs="宋体"/>
          <w:b/>
          <w:color w:val="auto"/>
          <w:sz w:val="24"/>
          <w:szCs w:val="24"/>
          <w:highlight w:val="none"/>
          <w:lang w:val="en-US" w:eastAsia="zh-CN"/>
        </w:rPr>
        <w:t>参考表</w:t>
      </w:r>
      <w:bookmarkEnd w:id="72"/>
      <w:bookmarkEnd w:id="73"/>
      <w:bookmarkEnd w:id="74"/>
      <w:r>
        <w:rPr>
          <w:rFonts w:hint="eastAsia" w:ascii="宋体" w:hAnsi="宋体" w:eastAsia="宋体" w:cs="宋体"/>
          <w:b/>
          <w:color w:val="auto"/>
          <w:sz w:val="24"/>
          <w:szCs w:val="24"/>
          <w:highlight w:val="none"/>
        </w:rPr>
        <w:t>》（详见合同附件）中品牌、厂家或选用相当于该档次和质量（或以上）的产品。投标期间，投标人不需在投标文件中明确所选用主要材料、设备的品牌、厂家以及质量等级。实施期间，所有材料品牌选择均须报发包人、监理工程单位确认，所有材料及成品质量必须满足设计与规范要求，且经检验合格后方可使用。</w:t>
      </w:r>
    </w:p>
    <w:p>
      <w:pPr>
        <w:snapToGrid w:val="0"/>
        <w:spacing w:line="360" w:lineRule="auto"/>
        <w:jc w:val="center"/>
        <w:rPr>
          <w:rFonts w:ascii="宋体" w:hAnsi="宋体" w:cs="宋体"/>
          <w:color w:val="auto"/>
          <w:sz w:val="24"/>
          <w:szCs w:val="24"/>
          <w:highlight w:val="none"/>
        </w:rPr>
      </w:pPr>
      <w:bookmarkStart w:id="75" w:name="_Toc9353"/>
      <w:r>
        <w:rPr>
          <w:rFonts w:hint="eastAsia" w:ascii="宋体" w:hAnsi="宋体" w:cs="宋体"/>
          <w:color w:val="auto"/>
          <w:sz w:val="24"/>
          <w:szCs w:val="24"/>
          <w:highlight w:val="none"/>
        </w:rPr>
        <w:br w:type="page"/>
      </w:r>
    </w:p>
    <w:p>
      <w:pPr>
        <w:tabs>
          <w:tab w:val="left" w:pos="720"/>
        </w:tabs>
        <w:jc w:val="center"/>
        <w:rPr>
          <w:rStyle w:val="48"/>
          <w:rFonts w:ascii="宋体" w:hAnsi="宋体" w:cs="宋体"/>
          <w:b/>
          <w:color w:val="auto"/>
          <w:sz w:val="32"/>
          <w:szCs w:val="32"/>
          <w:highlight w:val="none"/>
        </w:rPr>
      </w:pPr>
      <w:r>
        <w:rPr>
          <w:rStyle w:val="48"/>
          <w:rFonts w:hint="eastAsia" w:ascii="宋体" w:hAnsi="宋体" w:cs="宋体"/>
          <w:b/>
          <w:color w:val="auto"/>
          <w:sz w:val="32"/>
          <w:szCs w:val="32"/>
          <w:highlight w:val="none"/>
        </w:rPr>
        <w:t>第六章</w:t>
      </w:r>
      <w:r>
        <w:rPr>
          <w:rStyle w:val="48"/>
          <w:rFonts w:hint="eastAsia" w:ascii="宋体" w:hAnsi="宋体" w:cs="宋体"/>
          <w:b/>
          <w:color w:val="auto"/>
          <w:sz w:val="32"/>
          <w:szCs w:val="32"/>
          <w:highlight w:val="none"/>
          <w:lang w:val="en-US" w:eastAsia="zh-CN"/>
        </w:rPr>
        <w:t xml:space="preserve">  </w:t>
      </w:r>
      <w:r>
        <w:rPr>
          <w:rStyle w:val="48"/>
          <w:rFonts w:hint="eastAsia" w:ascii="宋体" w:hAnsi="宋体" w:cs="宋体"/>
          <w:b/>
          <w:color w:val="auto"/>
          <w:sz w:val="32"/>
          <w:szCs w:val="32"/>
          <w:highlight w:val="none"/>
        </w:rPr>
        <w:t>图纸及勘察资料</w:t>
      </w:r>
      <w:bookmarkEnd w:id="68"/>
      <w:bookmarkEnd w:id="75"/>
    </w:p>
    <w:p>
      <w:pPr>
        <w:snapToGrid w:val="0"/>
        <w:spacing w:line="360" w:lineRule="auto"/>
        <w:rPr>
          <w:rFonts w:ascii="宋体" w:hAnsi="宋体" w:cs="宋体"/>
          <w:color w:val="auto"/>
          <w:sz w:val="24"/>
          <w:szCs w:val="24"/>
          <w:highlight w:val="none"/>
        </w:rPr>
      </w:pPr>
    </w:p>
    <w:p>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pPr>
        <w:snapToGrid w:val="0"/>
        <w:spacing w:line="360" w:lineRule="auto"/>
        <w:ind w:firstLine="360" w:firstLineChars="150"/>
        <w:rPr>
          <w:rFonts w:ascii="宋体" w:hAnsi="宋体" w:cs="宋体"/>
          <w:color w:val="auto"/>
          <w:kern w:val="0"/>
          <w:sz w:val="24"/>
          <w:szCs w:val="24"/>
          <w:highlight w:val="none"/>
        </w:rPr>
      </w:pPr>
    </w:p>
    <w:p>
      <w:pPr>
        <w:snapToGrid w:val="0"/>
        <w:spacing w:line="360" w:lineRule="auto"/>
        <w:ind w:firstLine="360" w:firstLineChars="150"/>
        <w:rPr>
          <w:rFonts w:ascii="宋体" w:hAnsi="宋体" w:cs="宋体"/>
          <w:color w:val="auto"/>
          <w:kern w:val="0"/>
          <w:sz w:val="24"/>
          <w:szCs w:val="24"/>
          <w:highlight w:val="none"/>
        </w:rPr>
      </w:pPr>
    </w:p>
    <w:p>
      <w:pPr>
        <w:pStyle w:val="4"/>
        <w:snapToGrid w:val="0"/>
        <w:spacing w:before="0" w:after="0"/>
        <w:jc w:val="center"/>
        <w:rPr>
          <w:rStyle w:val="48"/>
          <w:rFonts w:hint="eastAsia" w:ascii="宋体" w:hAnsi="宋体" w:eastAsia="宋体" w:cs="宋体"/>
          <w:b/>
          <w:color w:val="auto"/>
          <w:sz w:val="32"/>
          <w:szCs w:val="32"/>
          <w:highlight w:val="none"/>
          <w:lang w:val="en-US" w:eastAsia="zh-CN" w:bidi="ar-SA"/>
        </w:rPr>
      </w:pPr>
      <w:r>
        <w:rPr>
          <w:rFonts w:hint="eastAsia" w:ascii="宋体" w:hAnsi="宋体" w:cs="宋体"/>
          <w:color w:val="auto"/>
          <w:sz w:val="24"/>
          <w:szCs w:val="24"/>
          <w:highlight w:val="none"/>
        </w:rPr>
        <w:br w:type="page"/>
      </w:r>
      <w:bookmarkStart w:id="76" w:name="_Toc22481"/>
      <w:bookmarkStart w:id="77" w:name="_Toc2272570"/>
      <w:r>
        <w:rPr>
          <w:rStyle w:val="48"/>
          <w:rFonts w:hint="eastAsia" w:ascii="宋体" w:hAnsi="宋体" w:eastAsia="宋体" w:cs="宋体"/>
          <w:b/>
          <w:color w:val="auto"/>
          <w:sz w:val="32"/>
          <w:szCs w:val="32"/>
          <w:highlight w:val="none"/>
          <w:lang w:val="en-US" w:eastAsia="zh-CN" w:bidi="ar-SA"/>
        </w:rPr>
        <w:t>第七章  工程量清单</w:t>
      </w:r>
      <w:bookmarkEnd w:id="76"/>
      <w:bookmarkEnd w:id="77"/>
    </w:p>
    <w:p>
      <w:pPr>
        <w:snapToGrid w:val="0"/>
        <w:spacing w:line="360" w:lineRule="auto"/>
        <w:rPr>
          <w:rFonts w:ascii="宋体" w:hAnsi="宋体" w:cs="宋体"/>
          <w:color w:val="auto"/>
          <w:sz w:val="24"/>
          <w:szCs w:val="24"/>
          <w:highlight w:val="none"/>
        </w:rPr>
      </w:pPr>
    </w:p>
    <w:p>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pPr>
        <w:spacing w:line="360" w:lineRule="auto"/>
        <w:jc w:val="left"/>
        <w:rPr>
          <w:rFonts w:ascii="宋体" w:hAnsi="宋体" w:cs="宋体"/>
          <w:color w:val="auto"/>
          <w:sz w:val="24"/>
          <w:szCs w:val="28"/>
          <w:highlight w:val="none"/>
        </w:rPr>
      </w:pPr>
    </w:p>
    <w:p>
      <w:pPr>
        <w:spacing w:line="360" w:lineRule="auto"/>
        <w:jc w:val="left"/>
        <w:rPr>
          <w:rFonts w:ascii="宋体" w:hAnsi="宋体" w:cs="宋体"/>
          <w:color w:val="auto"/>
          <w:sz w:val="24"/>
          <w:szCs w:val="28"/>
          <w:highlight w:val="none"/>
        </w:rPr>
      </w:pPr>
    </w:p>
    <w:p>
      <w:pPr>
        <w:pStyle w:val="4"/>
        <w:snapToGrid w:val="0"/>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78" w:name="_Toc2272571"/>
      <w:bookmarkStart w:id="79" w:name="_Toc3710"/>
      <w:r>
        <w:rPr>
          <w:rStyle w:val="48"/>
          <w:rFonts w:hint="eastAsia" w:ascii="宋体" w:hAnsi="宋体" w:cs="宋体"/>
          <w:color w:val="auto"/>
          <w:sz w:val="32"/>
          <w:szCs w:val="32"/>
          <w:highlight w:val="none"/>
        </w:rPr>
        <w:t>第八章</w:t>
      </w:r>
      <w:r>
        <w:rPr>
          <w:rStyle w:val="48"/>
          <w:rFonts w:hint="eastAsia" w:ascii="宋体" w:hAnsi="宋体" w:cs="宋体"/>
          <w:color w:val="auto"/>
          <w:sz w:val="32"/>
          <w:szCs w:val="32"/>
          <w:highlight w:val="none"/>
          <w:lang w:val="en-US" w:eastAsia="zh-CN"/>
        </w:rPr>
        <w:t xml:space="preserve">  </w:t>
      </w:r>
      <w:r>
        <w:rPr>
          <w:rStyle w:val="48"/>
          <w:rFonts w:hint="eastAsia" w:ascii="宋体" w:hAnsi="宋体" w:cs="宋体"/>
          <w:color w:val="auto"/>
          <w:sz w:val="32"/>
          <w:szCs w:val="32"/>
          <w:highlight w:val="none"/>
        </w:rPr>
        <w:t>最高投标限价</w:t>
      </w:r>
      <w:bookmarkEnd w:id="78"/>
      <w:bookmarkEnd w:id="79"/>
    </w:p>
    <w:p>
      <w:pPr>
        <w:snapToGrid w:val="0"/>
        <w:spacing w:line="360" w:lineRule="auto"/>
        <w:ind w:firstLine="480"/>
        <w:rPr>
          <w:rFonts w:ascii="宋体" w:hAnsi="宋体" w:cs="宋体"/>
          <w:color w:val="auto"/>
          <w:sz w:val="24"/>
          <w:szCs w:val="24"/>
          <w:highlight w:val="none"/>
        </w:rPr>
      </w:pP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pPr>
        <w:snapToGrid w:val="0"/>
        <w:spacing w:line="360" w:lineRule="auto"/>
        <w:ind w:firstLine="480"/>
        <w:rPr>
          <w:rFonts w:ascii="宋体" w:hAnsi="宋体" w:cs="宋体"/>
          <w:color w:val="auto"/>
          <w:sz w:val="24"/>
          <w:szCs w:val="24"/>
          <w:highlight w:val="none"/>
          <w:u w:val="single"/>
        </w:rPr>
      </w:pPr>
    </w:p>
    <w:p>
      <w:pPr>
        <w:snapToGrid w:val="0"/>
        <w:spacing w:line="360" w:lineRule="auto"/>
        <w:rPr>
          <w:rFonts w:ascii="宋体" w:hAnsi="宋体" w:cs="宋体"/>
          <w:color w:val="auto"/>
          <w:highlight w:val="none"/>
        </w:rPr>
      </w:pPr>
    </w:p>
    <w:p>
      <w:pPr>
        <w:snapToGrid w:val="0"/>
        <w:spacing w:line="360" w:lineRule="auto"/>
        <w:rPr>
          <w:rFonts w:ascii="宋体" w:hAnsi="宋体" w:cs="宋体"/>
          <w:color w:val="auto"/>
          <w:highlight w:val="none"/>
        </w:rPr>
      </w:pPr>
    </w:p>
    <w:p>
      <w:pPr>
        <w:rPr>
          <w:rFonts w:ascii="宋体" w:hAnsi="宋体" w:cs="宋体"/>
          <w:color w:val="auto"/>
          <w:highlight w:val="none"/>
        </w:rPr>
      </w:pPr>
    </w:p>
    <w:sectPr>
      <w:pgSz w:w="11906" w:h="16838"/>
      <w:pgMar w:top="1383" w:right="1383" w:bottom="1383"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92"/>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92"/>
      <w:rPr>
        <w:rStyle w:val="36"/>
      </w:rPr>
    </w:pPr>
    <w:r>
      <w:fldChar w:fldCharType="begin"/>
    </w:r>
    <w:r>
      <w:rPr>
        <w:rStyle w:val="36"/>
      </w:rPr>
      <w:instrText xml:space="preserve">PAGE  </w:instrText>
    </w:r>
    <w:r>
      <w:fldChar w:fldCharType="separate"/>
    </w:r>
    <w:r>
      <w:rPr>
        <w:rStyle w:val="36"/>
        <w:rFonts w:hint="eastAsia"/>
      </w:rPr>
      <w:t>一</w:t>
    </w:r>
    <w:r>
      <w:rPr>
        <w:rStyle w:val="36"/>
      </w:rPr>
      <w:t>–2</w:t>
    </w:r>
    <w:r>
      <w:fldChar w:fldCharType="end"/>
    </w:r>
  </w:p>
  <w:p>
    <w:pPr>
      <w:pStyle w:val="2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Style w:val="36"/>
      </w:rPr>
    </w:pPr>
    <w:r>
      <w:fldChar w:fldCharType="begin"/>
    </w:r>
    <w:r>
      <w:instrText xml:space="preserve"> PAGE   \* MERGEFORMAT </w:instrText>
    </w:r>
    <w:r>
      <w:fldChar w:fldCharType="separate"/>
    </w:r>
    <w:r>
      <w:rPr>
        <w:lang w:val="zh-CN"/>
      </w:rPr>
      <w:t>17</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51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65</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65</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9338D"/>
    <w:multiLevelType w:val="singleLevel"/>
    <w:tmpl w:val="D469338D"/>
    <w:lvl w:ilvl="0" w:tentative="0">
      <w:start w:val="2"/>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5CADBC91"/>
    <w:multiLevelType w:val="singleLevel"/>
    <w:tmpl w:val="5CADBC91"/>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67699"/>
    <w:rsid w:val="000C3AA7"/>
    <w:rsid w:val="000F540A"/>
    <w:rsid w:val="001245DC"/>
    <w:rsid w:val="00141CEF"/>
    <w:rsid w:val="001542C4"/>
    <w:rsid w:val="00161690"/>
    <w:rsid w:val="00173B81"/>
    <w:rsid w:val="00175646"/>
    <w:rsid w:val="0018560A"/>
    <w:rsid w:val="00203BB3"/>
    <w:rsid w:val="00233F06"/>
    <w:rsid w:val="0025252E"/>
    <w:rsid w:val="002A3757"/>
    <w:rsid w:val="002B40C0"/>
    <w:rsid w:val="002B44AD"/>
    <w:rsid w:val="002E4C68"/>
    <w:rsid w:val="003336FF"/>
    <w:rsid w:val="00344D23"/>
    <w:rsid w:val="00363F19"/>
    <w:rsid w:val="00384C73"/>
    <w:rsid w:val="003A4132"/>
    <w:rsid w:val="003C799A"/>
    <w:rsid w:val="003D401C"/>
    <w:rsid w:val="003D5750"/>
    <w:rsid w:val="00450B5F"/>
    <w:rsid w:val="004F7BCF"/>
    <w:rsid w:val="0051206E"/>
    <w:rsid w:val="00526CE4"/>
    <w:rsid w:val="00562057"/>
    <w:rsid w:val="00564A11"/>
    <w:rsid w:val="00582E03"/>
    <w:rsid w:val="00592A19"/>
    <w:rsid w:val="005A3BEE"/>
    <w:rsid w:val="005B5E13"/>
    <w:rsid w:val="005C078C"/>
    <w:rsid w:val="005C46DA"/>
    <w:rsid w:val="005E5BD1"/>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946F9"/>
    <w:rsid w:val="007D07F6"/>
    <w:rsid w:val="00840E97"/>
    <w:rsid w:val="0087773F"/>
    <w:rsid w:val="00884899"/>
    <w:rsid w:val="00903CEE"/>
    <w:rsid w:val="00931C40"/>
    <w:rsid w:val="00937917"/>
    <w:rsid w:val="00945D7E"/>
    <w:rsid w:val="00974BE2"/>
    <w:rsid w:val="00984671"/>
    <w:rsid w:val="009870AB"/>
    <w:rsid w:val="009971DB"/>
    <w:rsid w:val="009B4D8E"/>
    <w:rsid w:val="009C587B"/>
    <w:rsid w:val="009C61A9"/>
    <w:rsid w:val="009C6215"/>
    <w:rsid w:val="00A11B2B"/>
    <w:rsid w:val="00A1716B"/>
    <w:rsid w:val="00A24B21"/>
    <w:rsid w:val="00A33DAE"/>
    <w:rsid w:val="00A57997"/>
    <w:rsid w:val="00A62687"/>
    <w:rsid w:val="00A80F2E"/>
    <w:rsid w:val="00AB3CE8"/>
    <w:rsid w:val="00AC4B76"/>
    <w:rsid w:val="00B46ABF"/>
    <w:rsid w:val="00BA0120"/>
    <w:rsid w:val="00BB6012"/>
    <w:rsid w:val="00BC6DE7"/>
    <w:rsid w:val="00BF0D9D"/>
    <w:rsid w:val="00C0644F"/>
    <w:rsid w:val="00C92668"/>
    <w:rsid w:val="00C96234"/>
    <w:rsid w:val="00CA197C"/>
    <w:rsid w:val="00CC4864"/>
    <w:rsid w:val="00D02356"/>
    <w:rsid w:val="00D42137"/>
    <w:rsid w:val="00D56B60"/>
    <w:rsid w:val="00D87BAB"/>
    <w:rsid w:val="00D939B5"/>
    <w:rsid w:val="00D95AE5"/>
    <w:rsid w:val="00DC4FE8"/>
    <w:rsid w:val="00DD1A7B"/>
    <w:rsid w:val="00DD2BBB"/>
    <w:rsid w:val="00DE2E4F"/>
    <w:rsid w:val="00E00B5D"/>
    <w:rsid w:val="00E46FED"/>
    <w:rsid w:val="00E856FE"/>
    <w:rsid w:val="00EC73C3"/>
    <w:rsid w:val="00EE310D"/>
    <w:rsid w:val="00EF58DA"/>
    <w:rsid w:val="00F56310"/>
    <w:rsid w:val="00F60CAF"/>
    <w:rsid w:val="00FA1E91"/>
    <w:rsid w:val="00FA41A6"/>
    <w:rsid w:val="00FC0A1E"/>
    <w:rsid w:val="012B0DF9"/>
    <w:rsid w:val="016025FC"/>
    <w:rsid w:val="019D4E55"/>
    <w:rsid w:val="01A83C46"/>
    <w:rsid w:val="01B3097E"/>
    <w:rsid w:val="01B81995"/>
    <w:rsid w:val="01E362BE"/>
    <w:rsid w:val="02182ED7"/>
    <w:rsid w:val="022C5CCC"/>
    <w:rsid w:val="02823D95"/>
    <w:rsid w:val="029562D6"/>
    <w:rsid w:val="02EF1E8A"/>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B00EA5"/>
    <w:rsid w:val="0B2A34D9"/>
    <w:rsid w:val="0B631E61"/>
    <w:rsid w:val="0B7B1FE3"/>
    <w:rsid w:val="0BC301D9"/>
    <w:rsid w:val="0BCB0E68"/>
    <w:rsid w:val="0C395792"/>
    <w:rsid w:val="0C5B233E"/>
    <w:rsid w:val="0C7B320A"/>
    <w:rsid w:val="0C8278CB"/>
    <w:rsid w:val="0CA77331"/>
    <w:rsid w:val="0CB96280"/>
    <w:rsid w:val="0CD4440C"/>
    <w:rsid w:val="0D15439D"/>
    <w:rsid w:val="0D1F07B3"/>
    <w:rsid w:val="0D47449D"/>
    <w:rsid w:val="0DEB5823"/>
    <w:rsid w:val="0EAE1EA5"/>
    <w:rsid w:val="0F0C69BC"/>
    <w:rsid w:val="0F3D2FCE"/>
    <w:rsid w:val="100D0BBD"/>
    <w:rsid w:val="10537FDE"/>
    <w:rsid w:val="105F163C"/>
    <w:rsid w:val="10A4325A"/>
    <w:rsid w:val="10E02E12"/>
    <w:rsid w:val="115A7A4D"/>
    <w:rsid w:val="11647F5F"/>
    <w:rsid w:val="11BF336F"/>
    <w:rsid w:val="12255CD4"/>
    <w:rsid w:val="123B7E78"/>
    <w:rsid w:val="1283026C"/>
    <w:rsid w:val="128A7BF7"/>
    <w:rsid w:val="12C43AFC"/>
    <w:rsid w:val="134231CE"/>
    <w:rsid w:val="13494BFB"/>
    <w:rsid w:val="13A17A12"/>
    <w:rsid w:val="14166484"/>
    <w:rsid w:val="1484618D"/>
    <w:rsid w:val="15472268"/>
    <w:rsid w:val="15830BD9"/>
    <w:rsid w:val="15B75AF7"/>
    <w:rsid w:val="15CB46A6"/>
    <w:rsid w:val="15CC6A4F"/>
    <w:rsid w:val="15D55587"/>
    <w:rsid w:val="164026E0"/>
    <w:rsid w:val="164D02A2"/>
    <w:rsid w:val="16815D1C"/>
    <w:rsid w:val="16EA1425"/>
    <w:rsid w:val="1728413E"/>
    <w:rsid w:val="1745083A"/>
    <w:rsid w:val="174F244F"/>
    <w:rsid w:val="177C0994"/>
    <w:rsid w:val="178A7F7B"/>
    <w:rsid w:val="17AA5713"/>
    <w:rsid w:val="17BD5C5B"/>
    <w:rsid w:val="17D07FBC"/>
    <w:rsid w:val="17FF34EC"/>
    <w:rsid w:val="18A24E51"/>
    <w:rsid w:val="19AC22AE"/>
    <w:rsid w:val="19BA0760"/>
    <w:rsid w:val="19C3747C"/>
    <w:rsid w:val="19D662F2"/>
    <w:rsid w:val="1B0F20CB"/>
    <w:rsid w:val="1B394F38"/>
    <w:rsid w:val="1B8973D1"/>
    <w:rsid w:val="1B99757B"/>
    <w:rsid w:val="1C2E0CC8"/>
    <w:rsid w:val="1C5B13F8"/>
    <w:rsid w:val="1C88068E"/>
    <w:rsid w:val="1D100F23"/>
    <w:rsid w:val="1D2F1B6F"/>
    <w:rsid w:val="1D34296E"/>
    <w:rsid w:val="1D430810"/>
    <w:rsid w:val="1D554B87"/>
    <w:rsid w:val="1D8D798A"/>
    <w:rsid w:val="1DAD3240"/>
    <w:rsid w:val="1DD96785"/>
    <w:rsid w:val="1DFF6B1C"/>
    <w:rsid w:val="1E263889"/>
    <w:rsid w:val="1E436F14"/>
    <w:rsid w:val="1E5B7F7C"/>
    <w:rsid w:val="1E651EA7"/>
    <w:rsid w:val="1E65704C"/>
    <w:rsid w:val="1EBD055F"/>
    <w:rsid w:val="1EE753C6"/>
    <w:rsid w:val="1EEC53C1"/>
    <w:rsid w:val="1EF614DB"/>
    <w:rsid w:val="1F037ABF"/>
    <w:rsid w:val="1F0C58DF"/>
    <w:rsid w:val="1F3E6060"/>
    <w:rsid w:val="1F7F6869"/>
    <w:rsid w:val="1F8025E1"/>
    <w:rsid w:val="1FBD6F7C"/>
    <w:rsid w:val="1FD50B49"/>
    <w:rsid w:val="1FFF1208"/>
    <w:rsid w:val="201F2242"/>
    <w:rsid w:val="203D2686"/>
    <w:rsid w:val="208C696E"/>
    <w:rsid w:val="20B274B1"/>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981523"/>
    <w:rsid w:val="229B6D53"/>
    <w:rsid w:val="22A82A60"/>
    <w:rsid w:val="22B3118F"/>
    <w:rsid w:val="230D3D84"/>
    <w:rsid w:val="23241235"/>
    <w:rsid w:val="233E1DDF"/>
    <w:rsid w:val="236569E5"/>
    <w:rsid w:val="23831BB7"/>
    <w:rsid w:val="23E3562A"/>
    <w:rsid w:val="243F6D24"/>
    <w:rsid w:val="24527C03"/>
    <w:rsid w:val="247C4C34"/>
    <w:rsid w:val="24AC2947"/>
    <w:rsid w:val="24FC3F2A"/>
    <w:rsid w:val="25040446"/>
    <w:rsid w:val="2546353E"/>
    <w:rsid w:val="254774AC"/>
    <w:rsid w:val="254F5042"/>
    <w:rsid w:val="255F65A3"/>
    <w:rsid w:val="258626E3"/>
    <w:rsid w:val="25EB1F7C"/>
    <w:rsid w:val="25F4564B"/>
    <w:rsid w:val="25F969F8"/>
    <w:rsid w:val="26123616"/>
    <w:rsid w:val="2628488E"/>
    <w:rsid w:val="26796F4A"/>
    <w:rsid w:val="26A624FC"/>
    <w:rsid w:val="26A96DEC"/>
    <w:rsid w:val="26AE0482"/>
    <w:rsid w:val="26BE3237"/>
    <w:rsid w:val="26CF1507"/>
    <w:rsid w:val="26D63BC5"/>
    <w:rsid w:val="27262C32"/>
    <w:rsid w:val="273861E8"/>
    <w:rsid w:val="273D00F1"/>
    <w:rsid w:val="276B18D7"/>
    <w:rsid w:val="27902A27"/>
    <w:rsid w:val="27A1606E"/>
    <w:rsid w:val="27A95429"/>
    <w:rsid w:val="27BA76BA"/>
    <w:rsid w:val="28D7460F"/>
    <w:rsid w:val="29465F48"/>
    <w:rsid w:val="29496766"/>
    <w:rsid w:val="2973448D"/>
    <w:rsid w:val="29E61671"/>
    <w:rsid w:val="2A3E56F6"/>
    <w:rsid w:val="2A633263"/>
    <w:rsid w:val="2A675350"/>
    <w:rsid w:val="2B2A5829"/>
    <w:rsid w:val="2B2C7808"/>
    <w:rsid w:val="2B4A417A"/>
    <w:rsid w:val="2BDF4B0D"/>
    <w:rsid w:val="2C2C5AB4"/>
    <w:rsid w:val="2C99503A"/>
    <w:rsid w:val="2CD06DD8"/>
    <w:rsid w:val="2D102879"/>
    <w:rsid w:val="2D14731D"/>
    <w:rsid w:val="2D7B31C8"/>
    <w:rsid w:val="2D9E7E85"/>
    <w:rsid w:val="2DCE2518"/>
    <w:rsid w:val="2E0B749A"/>
    <w:rsid w:val="2E112C5C"/>
    <w:rsid w:val="2E124109"/>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2476AC"/>
    <w:rsid w:val="313D7346"/>
    <w:rsid w:val="31C477D6"/>
    <w:rsid w:val="322B465C"/>
    <w:rsid w:val="32C06869"/>
    <w:rsid w:val="32ED471A"/>
    <w:rsid w:val="331B2104"/>
    <w:rsid w:val="3331759D"/>
    <w:rsid w:val="33AB0F87"/>
    <w:rsid w:val="33BA52ED"/>
    <w:rsid w:val="33CB0C74"/>
    <w:rsid w:val="34244371"/>
    <w:rsid w:val="34E15963"/>
    <w:rsid w:val="34EF1615"/>
    <w:rsid w:val="3524755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ED0850"/>
    <w:rsid w:val="37F232A7"/>
    <w:rsid w:val="38136029"/>
    <w:rsid w:val="387E2D8D"/>
    <w:rsid w:val="389425B0"/>
    <w:rsid w:val="389E45F0"/>
    <w:rsid w:val="38C015D8"/>
    <w:rsid w:val="38C62993"/>
    <w:rsid w:val="391B523E"/>
    <w:rsid w:val="39595C88"/>
    <w:rsid w:val="39926182"/>
    <w:rsid w:val="39FA4B0D"/>
    <w:rsid w:val="3A0A5499"/>
    <w:rsid w:val="3A2F1883"/>
    <w:rsid w:val="3A815E0A"/>
    <w:rsid w:val="3AB14612"/>
    <w:rsid w:val="3AC6527A"/>
    <w:rsid w:val="3ADC4083"/>
    <w:rsid w:val="3ADF03A2"/>
    <w:rsid w:val="3B2B6D8A"/>
    <w:rsid w:val="3B615D4B"/>
    <w:rsid w:val="3BF45CEC"/>
    <w:rsid w:val="3C466D4E"/>
    <w:rsid w:val="3C525E6D"/>
    <w:rsid w:val="3C9B0F57"/>
    <w:rsid w:val="3CA737EF"/>
    <w:rsid w:val="3CB03D04"/>
    <w:rsid w:val="3CB84BBF"/>
    <w:rsid w:val="3CEC0482"/>
    <w:rsid w:val="3D0C77D1"/>
    <w:rsid w:val="3D1D0C51"/>
    <w:rsid w:val="3DAB44B1"/>
    <w:rsid w:val="3DAE273F"/>
    <w:rsid w:val="3DD504CF"/>
    <w:rsid w:val="3DE84B6C"/>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E622FE"/>
    <w:rsid w:val="41E81BDE"/>
    <w:rsid w:val="42555758"/>
    <w:rsid w:val="42707B2C"/>
    <w:rsid w:val="428B04D9"/>
    <w:rsid w:val="428D6C56"/>
    <w:rsid w:val="42A5126A"/>
    <w:rsid w:val="42CE10AD"/>
    <w:rsid w:val="42D37FA3"/>
    <w:rsid w:val="42D41AA6"/>
    <w:rsid w:val="42D572D3"/>
    <w:rsid w:val="42EB101F"/>
    <w:rsid w:val="42F52F66"/>
    <w:rsid w:val="42FB288E"/>
    <w:rsid w:val="43212B30"/>
    <w:rsid w:val="434D6E78"/>
    <w:rsid w:val="43566DE0"/>
    <w:rsid w:val="435C3C0F"/>
    <w:rsid w:val="43AF5C05"/>
    <w:rsid w:val="440E6793"/>
    <w:rsid w:val="4425491B"/>
    <w:rsid w:val="448B5B41"/>
    <w:rsid w:val="44BD25D7"/>
    <w:rsid w:val="450A60D4"/>
    <w:rsid w:val="4571572A"/>
    <w:rsid w:val="45773005"/>
    <w:rsid w:val="459A44BE"/>
    <w:rsid w:val="45CC1B37"/>
    <w:rsid w:val="464B166D"/>
    <w:rsid w:val="466963C3"/>
    <w:rsid w:val="467D6E06"/>
    <w:rsid w:val="46CC47DE"/>
    <w:rsid w:val="46F956FF"/>
    <w:rsid w:val="4700361B"/>
    <w:rsid w:val="47AB7721"/>
    <w:rsid w:val="47E72C10"/>
    <w:rsid w:val="47FE7C7B"/>
    <w:rsid w:val="48030EC6"/>
    <w:rsid w:val="483C5694"/>
    <w:rsid w:val="484F3AB2"/>
    <w:rsid w:val="48F05BA9"/>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DC377E"/>
    <w:rsid w:val="4C017E1B"/>
    <w:rsid w:val="4C1363D0"/>
    <w:rsid w:val="4C3479F8"/>
    <w:rsid w:val="4C4B0ACB"/>
    <w:rsid w:val="4CDB7E70"/>
    <w:rsid w:val="4CDE38DC"/>
    <w:rsid w:val="4DB56DF9"/>
    <w:rsid w:val="4DD47E42"/>
    <w:rsid w:val="4DD66399"/>
    <w:rsid w:val="4DEA2030"/>
    <w:rsid w:val="4E3C24E9"/>
    <w:rsid w:val="4EB50C10"/>
    <w:rsid w:val="4F0612C4"/>
    <w:rsid w:val="4F2E2832"/>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820144"/>
    <w:rsid w:val="54931516"/>
    <w:rsid w:val="54F41C89"/>
    <w:rsid w:val="54F46459"/>
    <w:rsid w:val="550C072E"/>
    <w:rsid w:val="553C6CEB"/>
    <w:rsid w:val="55532F8B"/>
    <w:rsid w:val="55941547"/>
    <w:rsid w:val="559A36FF"/>
    <w:rsid w:val="55EB2205"/>
    <w:rsid w:val="567B088A"/>
    <w:rsid w:val="5689496C"/>
    <w:rsid w:val="56AE58A5"/>
    <w:rsid w:val="56BD3C31"/>
    <w:rsid w:val="56E90F5B"/>
    <w:rsid w:val="56FE536D"/>
    <w:rsid w:val="57174FB2"/>
    <w:rsid w:val="571B2AA2"/>
    <w:rsid w:val="5730129E"/>
    <w:rsid w:val="573434A1"/>
    <w:rsid w:val="573C16D0"/>
    <w:rsid w:val="576215A8"/>
    <w:rsid w:val="57B35F6D"/>
    <w:rsid w:val="57B462A2"/>
    <w:rsid w:val="57E417E0"/>
    <w:rsid w:val="582C7CB7"/>
    <w:rsid w:val="58482E44"/>
    <w:rsid w:val="585D4208"/>
    <w:rsid w:val="58634CBB"/>
    <w:rsid w:val="589B3CDA"/>
    <w:rsid w:val="58FA2E94"/>
    <w:rsid w:val="591311F4"/>
    <w:rsid w:val="59727A97"/>
    <w:rsid w:val="598B6E78"/>
    <w:rsid w:val="59E3160A"/>
    <w:rsid w:val="59F36F78"/>
    <w:rsid w:val="5A222E87"/>
    <w:rsid w:val="5A5D23AA"/>
    <w:rsid w:val="5A67064A"/>
    <w:rsid w:val="5A7125EE"/>
    <w:rsid w:val="5A9D1E29"/>
    <w:rsid w:val="5AF25EAC"/>
    <w:rsid w:val="5B622594"/>
    <w:rsid w:val="5B9938B6"/>
    <w:rsid w:val="5B9A46F8"/>
    <w:rsid w:val="5BA84668"/>
    <w:rsid w:val="5BE018CB"/>
    <w:rsid w:val="5C0E15D9"/>
    <w:rsid w:val="5C6F53A4"/>
    <w:rsid w:val="5CD94A7D"/>
    <w:rsid w:val="5D083339"/>
    <w:rsid w:val="5D465377"/>
    <w:rsid w:val="5D50269A"/>
    <w:rsid w:val="5D505083"/>
    <w:rsid w:val="5D7C7518"/>
    <w:rsid w:val="5E196F30"/>
    <w:rsid w:val="5E3552D9"/>
    <w:rsid w:val="5E793C16"/>
    <w:rsid w:val="5E814C0F"/>
    <w:rsid w:val="5EB01642"/>
    <w:rsid w:val="5EFD0600"/>
    <w:rsid w:val="5F192012"/>
    <w:rsid w:val="5F2F3AC7"/>
    <w:rsid w:val="5FDE5D3B"/>
    <w:rsid w:val="601812AE"/>
    <w:rsid w:val="604C498D"/>
    <w:rsid w:val="60C16F3B"/>
    <w:rsid w:val="60F65306"/>
    <w:rsid w:val="612A0AF8"/>
    <w:rsid w:val="61B054B5"/>
    <w:rsid w:val="61FD4BCF"/>
    <w:rsid w:val="623E513D"/>
    <w:rsid w:val="624C33EF"/>
    <w:rsid w:val="62522A10"/>
    <w:rsid w:val="631B2E02"/>
    <w:rsid w:val="636E7A2E"/>
    <w:rsid w:val="637D18D6"/>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8D2E4E"/>
    <w:rsid w:val="67224816"/>
    <w:rsid w:val="67235FBE"/>
    <w:rsid w:val="67420095"/>
    <w:rsid w:val="67697CCC"/>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942CE9"/>
    <w:rsid w:val="6A9C3978"/>
    <w:rsid w:val="6AF873C8"/>
    <w:rsid w:val="6B1000B4"/>
    <w:rsid w:val="6B50669B"/>
    <w:rsid w:val="6B8725DB"/>
    <w:rsid w:val="6BCD756D"/>
    <w:rsid w:val="6C127F06"/>
    <w:rsid w:val="6C5E125A"/>
    <w:rsid w:val="6C6256CC"/>
    <w:rsid w:val="6CB43A23"/>
    <w:rsid w:val="6CB90C75"/>
    <w:rsid w:val="6CBE48F7"/>
    <w:rsid w:val="6D48139B"/>
    <w:rsid w:val="6DA36D8A"/>
    <w:rsid w:val="6DD51EC1"/>
    <w:rsid w:val="6E021FD1"/>
    <w:rsid w:val="6E4F0506"/>
    <w:rsid w:val="6E8977BA"/>
    <w:rsid w:val="6E8F15D9"/>
    <w:rsid w:val="6E953C97"/>
    <w:rsid w:val="6ECA11E3"/>
    <w:rsid w:val="6F007327"/>
    <w:rsid w:val="6F077D6E"/>
    <w:rsid w:val="6F434296"/>
    <w:rsid w:val="6F464419"/>
    <w:rsid w:val="6F5361F2"/>
    <w:rsid w:val="6FBA7BE3"/>
    <w:rsid w:val="6FDE5199"/>
    <w:rsid w:val="702B4B0F"/>
    <w:rsid w:val="70995B4F"/>
    <w:rsid w:val="71167A14"/>
    <w:rsid w:val="711C37A7"/>
    <w:rsid w:val="711D0E2F"/>
    <w:rsid w:val="714F4A2B"/>
    <w:rsid w:val="715274D7"/>
    <w:rsid w:val="71CF4C44"/>
    <w:rsid w:val="71FE04BF"/>
    <w:rsid w:val="72120F22"/>
    <w:rsid w:val="7246140B"/>
    <w:rsid w:val="728F7281"/>
    <w:rsid w:val="72930C07"/>
    <w:rsid w:val="729E05F7"/>
    <w:rsid w:val="72C53FCB"/>
    <w:rsid w:val="72DB4A4B"/>
    <w:rsid w:val="72FB1927"/>
    <w:rsid w:val="737230F7"/>
    <w:rsid w:val="74031E70"/>
    <w:rsid w:val="74967468"/>
    <w:rsid w:val="74A36100"/>
    <w:rsid w:val="74C35F1C"/>
    <w:rsid w:val="75087A63"/>
    <w:rsid w:val="7577493F"/>
    <w:rsid w:val="75BE4EBA"/>
    <w:rsid w:val="76252C4D"/>
    <w:rsid w:val="763F1AD3"/>
    <w:rsid w:val="76683E52"/>
    <w:rsid w:val="766A24B2"/>
    <w:rsid w:val="76A07565"/>
    <w:rsid w:val="76D811AB"/>
    <w:rsid w:val="7709603C"/>
    <w:rsid w:val="771244E7"/>
    <w:rsid w:val="771479EA"/>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6413C"/>
    <w:rsid w:val="7B9F686F"/>
    <w:rsid w:val="7BD712BD"/>
    <w:rsid w:val="7C4C3032"/>
    <w:rsid w:val="7C9F72EF"/>
    <w:rsid w:val="7CE87DA1"/>
    <w:rsid w:val="7D175611"/>
    <w:rsid w:val="7D4E22FA"/>
    <w:rsid w:val="7E141BF3"/>
    <w:rsid w:val="7E391383"/>
    <w:rsid w:val="7E7D7343"/>
    <w:rsid w:val="7E9E7B50"/>
    <w:rsid w:val="7EAF6879"/>
    <w:rsid w:val="7F0E027B"/>
    <w:rsid w:val="7F6776A3"/>
    <w:rsid w:val="7F8903C9"/>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8"/>
    <w:qFormat/>
    <w:uiPriority w:val="0"/>
    <w:pPr>
      <w:keepNext/>
      <w:keepLines/>
      <w:spacing w:after="120" w:line="360" w:lineRule="auto"/>
      <w:jc w:val="left"/>
      <w:outlineLvl w:val="0"/>
    </w:pPr>
    <w:rPr>
      <w:kern w:val="44"/>
      <w:sz w:val="28"/>
      <w:szCs w:val="28"/>
    </w:rPr>
  </w:style>
  <w:style w:type="paragraph" w:styleId="5">
    <w:name w:val="heading 2"/>
    <w:basedOn w:val="1"/>
    <w:next w:val="1"/>
    <w:link w:val="76"/>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1"/>
    <w:next w:val="1"/>
    <w:link w:val="69"/>
    <w:qFormat/>
    <w:uiPriority w:val="0"/>
    <w:pPr>
      <w:keepNext/>
      <w:keepLines/>
      <w:widowControl w:val="0"/>
      <w:spacing w:beforeLines="50" w:beforeAutospacing="0" w:afterLines="50" w:afterAutospacing="0" w:line="360" w:lineRule="auto"/>
      <w:ind w:left="284" w:hanging="284"/>
      <w:jc w:val="center"/>
      <w:outlineLvl w:val="3"/>
    </w:pPr>
    <w:rPr>
      <w:rFonts w:ascii="Arial" w:hAnsi="Arial"/>
      <w:color w:val="000000"/>
      <w:kern w:val="2"/>
      <w:sz w:val="24"/>
      <w:szCs w:val="24"/>
    </w:rPr>
  </w:style>
  <w:style w:type="paragraph" w:styleId="8">
    <w:name w:val="heading 5"/>
    <w:basedOn w:val="7"/>
    <w:next w:val="9"/>
    <w:link w:val="70"/>
    <w:qFormat/>
    <w:uiPriority w:val="0"/>
    <w:pPr>
      <w:spacing w:line="240" w:lineRule="exact"/>
      <w:ind w:left="0" w:firstLine="0"/>
      <w:outlineLvl w:val="4"/>
    </w:pPr>
  </w:style>
  <w:style w:type="paragraph" w:styleId="10">
    <w:name w:val="heading 7"/>
    <w:basedOn w:val="1"/>
    <w:next w:val="9"/>
    <w:link w:val="71"/>
    <w:qFormat/>
    <w:uiPriority w:val="0"/>
    <w:pPr>
      <w:keepNext/>
      <w:keepLines/>
      <w:spacing w:line="320" w:lineRule="auto"/>
      <w:outlineLvl w:val="6"/>
    </w:pPr>
    <w:rPr>
      <w:b/>
      <w:sz w:val="24"/>
      <w:szCs w:val="20"/>
    </w:rPr>
  </w:style>
  <w:style w:type="paragraph" w:styleId="11">
    <w:name w:val="heading 8"/>
    <w:basedOn w:val="1"/>
    <w:next w:val="9"/>
    <w:link w:val="72"/>
    <w:qFormat/>
    <w:uiPriority w:val="0"/>
    <w:pPr>
      <w:keepNext/>
      <w:keepLines/>
      <w:spacing w:line="320" w:lineRule="auto"/>
      <w:outlineLvl w:val="7"/>
    </w:pPr>
    <w:rPr>
      <w:rFonts w:ascii="Arial" w:hAnsi="Arial" w:eastAsia="黑体"/>
      <w:sz w:val="24"/>
      <w:szCs w:val="20"/>
    </w:rPr>
  </w:style>
  <w:style w:type="paragraph" w:styleId="12">
    <w:name w:val="heading 9"/>
    <w:basedOn w:val="1"/>
    <w:next w:val="9"/>
    <w:link w:val="73"/>
    <w:qFormat/>
    <w:uiPriority w:val="0"/>
    <w:pPr>
      <w:keepNext/>
      <w:keepLines/>
      <w:spacing w:line="320"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7"/>
    <w:qFormat/>
    <w:uiPriority w:val="0"/>
    <w:pPr>
      <w:spacing w:after="120"/>
    </w:pPr>
    <w:rPr>
      <w:kern w:val="0"/>
      <w:sz w:val="20"/>
      <w:szCs w:val="20"/>
    </w:rPr>
  </w:style>
  <w:style w:type="paragraph" w:styleId="3">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customStyle="1" w:styleId="9">
    <w:name w:val="Normal Indent1"/>
    <w:basedOn w:val="1"/>
    <w:qFormat/>
    <w:uiPriority w:val="0"/>
    <w:pPr>
      <w:ind w:firstLine="420" w:firstLineChars="200"/>
    </w:pPr>
    <w:rPr>
      <w:sz w:val="30"/>
      <w:szCs w:val="24"/>
    </w:rPr>
  </w:style>
  <w:style w:type="paragraph" w:styleId="13">
    <w:name w:val="Normal Indent"/>
    <w:basedOn w:val="1"/>
    <w:next w:val="1"/>
    <w:qFormat/>
    <w:uiPriority w:val="0"/>
    <w:pPr>
      <w:ind w:firstLine="420"/>
    </w:pPr>
    <w:rPr>
      <w:szCs w:val="20"/>
    </w:rPr>
  </w:style>
  <w:style w:type="paragraph" w:styleId="14">
    <w:name w:val="annotation text"/>
    <w:basedOn w:val="1"/>
    <w:link w:val="66"/>
    <w:qFormat/>
    <w:uiPriority w:val="0"/>
    <w:pPr>
      <w:spacing w:line="360" w:lineRule="auto"/>
      <w:ind w:firstLine="523" w:firstLineChars="218"/>
      <w:jc w:val="left"/>
    </w:pPr>
    <w:rPr>
      <w:rFonts w:ascii="宋体" w:hAnsi="宋体"/>
      <w:kern w:val="0"/>
      <w:sz w:val="24"/>
      <w:szCs w:val="24"/>
    </w:rPr>
  </w:style>
  <w:style w:type="paragraph" w:styleId="15">
    <w:name w:val="Body Text Indent"/>
    <w:basedOn w:val="1"/>
    <w:link w:val="78"/>
    <w:qFormat/>
    <w:uiPriority w:val="0"/>
    <w:pPr>
      <w:ind w:firstLine="570"/>
    </w:pPr>
    <w:rPr>
      <w:kern w:val="0"/>
      <w:sz w:val="28"/>
      <w:szCs w:val="20"/>
    </w:rPr>
  </w:style>
  <w:style w:type="paragraph" w:styleId="16">
    <w:name w:val="toc 3"/>
    <w:basedOn w:val="1"/>
    <w:next w:val="1"/>
    <w:qFormat/>
    <w:uiPriority w:val="0"/>
    <w:pPr>
      <w:snapToGrid w:val="0"/>
      <w:spacing w:line="360" w:lineRule="auto"/>
      <w:ind w:left="400" w:leftChars="400"/>
      <w:jc w:val="left"/>
    </w:pPr>
    <w:rPr>
      <w:sz w:val="24"/>
      <w:szCs w:val="20"/>
    </w:rPr>
  </w:style>
  <w:style w:type="paragraph" w:styleId="17">
    <w:name w:val="Plain Text"/>
    <w:basedOn w:val="1"/>
    <w:link w:val="79"/>
    <w:qFormat/>
    <w:uiPriority w:val="0"/>
    <w:rPr>
      <w:rFonts w:ascii="宋体" w:hAnsi="Courier New"/>
      <w:kern w:val="0"/>
      <w:sz w:val="20"/>
      <w:szCs w:val="20"/>
    </w:rPr>
  </w:style>
  <w:style w:type="paragraph" w:styleId="18">
    <w:name w:val="Date"/>
    <w:basedOn w:val="1"/>
    <w:next w:val="1"/>
    <w:qFormat/>
    <w:uiPriority w:val="99"/>
    <w:rPr>
      <w:kern w:val="0"/>
      <w:sz w:val="20"/>
      <w:szCs w:val="20"/>
    </w:rPr>
  </w:style>
  <w:style w:type="paragraph" w:styleId="19">
    <w:name w:val="Body Text Indent 2"/>
    <w:basedOn w:val="1"/>
    <w:link w:val="74"/>
    <w:qFormat/>
    <w:uiPriority w:val="0"/>
    <w:pPr>
      <w:spacing w:line="480" w:lineRule="auto"/>
      <w:ind w:left="420" w:leftChars="200"/>
    </w:pPr>
    <w:rPr>
      <w:sz w:val="30"/>
      <w:szCs w:val="24"/>
    </w:rPr>
  </w:style>
  <w:style w:type="paragraph" w:styleId="20">
    <w:name w:val="Balloon Text"/>
    <w:basedOn w:val="1"/>
    <w:link w:val="68"/>
    <w:qFormat/>
    <w:uiPriority w:val="0"/>
    <w:rPr>
      <w:sz w:val="18"/>
      <w:szCs w:val="18"/>
    </w:rPr>
  </w:style>
  <w:style w:type="paragraph" w:styleId="21">
    <w:name w:val="footer"/>
    <w:basedOn w:val="1"/>
    <w:link w:val="80"/>
    <w:unhideWhenUsed/>
    <w:qFormat/>
    <w:uiPriority w:val="0"/>
    <w:pPr>
      <w:tabs>
        <w:tab w:val="center" w:pos="4153"/>
        <w:tab w:val="right" w:pos="8306"/>
      </w:tabs>
      <w:snapToGrid w:val="0"/>
      <w:jc w:val="left"/>
    </w:pPr>
    <w:rPr>
      <w:rFonts w:ascii="Calibri" w:hAnsi="Calibri"/>
      <w:kern w:val="0"/>
      <w:sz w:val="18"/>
      <w:szCs w:val="18"/>
    </w:rPr>
  </w:style>
  <w:style w:type="paragraph" w:styleId="22">
    <w:name w:val="header"/>
    <w:basedOn w:val="1"/>
    <w:link w:val="8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3">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4">
    <w:name w:val="Body Text Indent 3"/>
    <w:basedOn w:val="1"/>
    <w:link w:val="75"/>
    <w:qFormat/>
    <w:uiPriority w:val="0"/>
    <w:pPr>
      <w:ind w:left="420" w:leftChars="200"/>
    </w:pPr>
    <w:rPr>
      <w:sz w:val="16"/>
      <w:szCs w:val="16"/>
    </w:rPr>
  </w:style>
  <w:style w:type="paragraph" w:styleId="25">
    <w:name w:val="toc 2"/>
    <w:basedOn w:val="1"/>
    <w:next w:val="1"/>
    <w:qFormat/>
    <w:uiPriority w:val="99"/>
    <w:pPr>
      <w:tabs>
        <w:tab w:val="right" w:leader="dot" w:pos="9060"/>
      </w:tabs>
      <w:snapToGrid w:val="0"/>
      <w:spacing w:line="360" w:lineRule="auto"/>
      <w:ind w:left="420" w:leftChars="200"/>
      <w:jc w:val="left"/>
    </w:pPr>
    <w:rPr>
      <w:sz w:val="24"/>
      <w:szCs w:val="24"/>
    </w:rPr>
  </w:style>
  <w:style w:type="paragraph" w:styleId="26">
    <w:name w:val="Body Text 2"/>
    <w:basedOn w:val="1"/>
    <w:qFormat/>
    <w:uiPriority w:val="0"/>
    <w:rPr>
      <w:rFonts w:ascii="宋体" w:hAnsi="宋体"/>
      <w:kern w:val="0"/>
      <w:sz w:val="20"/>
      <w:szCs w:val="24"/>
      <w:u w:val="single"/>
    </w:r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qFormat/>
    <w:uiPriority w:val="0"/>
    <w:pPr>
      <w:spacing w:before="120" w:after="60"/>
      <w:jc w:val="center"/>
    </w:pPr>
    <w:rPr>
      <w:rFonts w:ascii="Arial" w:hAnsi="Arial"/>
      <w:b/>
      <w:kern w:val="0"/>
      <w:sz w:val="44"/>
      <w:szCs w:val="20"/>
    </w:rPr>
  </w:style>
  <w:style w:type="paragraph" w:styleId="29">
    <w:name w:val="annotation subject"/>
    <w:basedOn w:val="14"/>
    <w:next w:val="14"/>
    <w:link w:val="67"/>
    <w:qFormat/>
    <w:uiPriority w:val="0"/>
    <w:pPr>
      <w:spacing w:line="240" w:lineRule="auto"/>
      <w:ind w:firstLine="0" w:firstLineChars="0"/>
    </w:pPr>
    <w:rPr>
      <w:rFonts w:ascii="Times New Roman" w:hAnsi="Times New Roman"/>
      <w:b/>
      <w:bCs/>
      <w:kern w:val="2"/>
      <w:sz w:val="21"/>
      <w:szCs w:val="22"/>
    </w:rPr>
  </w:style>
  <w:style w:type="paragraph" w:styleId="30">
    <w:name w:val="Body Text First Indent"/>
    <w:basedOn w:val="2"/>
    <w:link w:val="82"/>
    <w:qFormat/>
    <w:uiPriority w:val="0"/>
    <w:pPr>
      <w:ind w:firstLine="420"/>
    </w:pPr>
  </w:style>
  <w:style w:type="paragraph" w:styleId="31">
    <w:name w:val="Body Text First Indent 2"/>
    <w:basedOn w:val="15"/>
    <w:unhideWhenUsed/>
    <w:qFormat/>
    <w:uiPriority w:val="0"/>
    <w:pPr>
      <w:ind w:firstLine="420" w:firstLineChars="200"/>
    </w:pPr>
    <w:rPr>
      <w:sz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rPr>
      <w:rFonts w:cs="Times New Roman"/>
    </w:rPr>
  </w:style>
  <w:style w:type="character" w:styleId="37">
    <w:name w:val="Hyperlink"/>
    <w:qFormat/>
    <w:uiPriority w:val="0"/>
    <w:rPr>
      <w:color w:val="0000FF"/>
      <w:u w:val="single"/>
    </w:rPr>
  </w:style>
  <w:style w:type="character" w:styleId="38">
    <w:name w:val="annotation reference"/>
    <w:basedOn w:val="34"/>
    <w:qFormat/>
    <w:uiPriority w:val="0"/>
    <w:rPr>
      <w:sz w:val="21"/>
      <w:szCs w:val="21"/>
    </w:rPr>
  </w:style>
  <w:style w:type="character" w:customStyle="1" w:styleId="39">
    <w:name w:val="font51"/>
    <w:qFormat/>
    <w:uiPriority w:val="0"/>
    <w:rPr>
      <w:rFonts w:hint="eastAsia" w:ascii="宋体" w:hAnsi="宋体" w:eastAsia="宋体"/>
      <w:color w:val="000000"/>
      <w:sz w:val="24"/>
      <w:szCs w:val="24"/>
      <w:u w:val="none"/>
    </w:rPr>
  </w:style>
  <w:style w:type="character" w:customStyle="1" w:styleId="40">
    <w:name w:val="font11"/>
    <w:basedOn w:val="34"/>
    <w:qFormat/>
    <w:uiPriority w:val="0"/>
    <w:rPr>
      <w:rFonts w:hint="eastAsia" w:ascii="宋体" w:hAnsi="宋体" w:eastAsia="宋体"/>
      <w:color w:val="000000"/>
      <w:sz w:val="24"/>
      <w:szCs w:val="24"/>
      <w:u w:val="single"/>
    </w:rPr>
  </w:style>
  <w:style w:type="paragraph" w:customStyle="1" w:styleId="41">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2">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正文文本缩进 New New"/>
    <w:basedOn w:val="1"/>
    <w:qFormat/>
    <w:uiPriority w:val="0"/>
    <w:pPr>
      <w:spacing w:after="120"/>
      <w:ind w:left="420" w:leftChars="200"/>
    </w:pPr>
    <w:rPr>
      <w:rFonts w:eastAsia="楷体_GB2312"/>
      <w:szCs w:val="20"/>
    </w:rPr>
  </w:style>
  <w:style w:type="paragraph" w:customStyle="1" w:styleId="44">
    <w:name w:val="表头"/>
    <w:basedOn w:val="1"/>
    <w:qFormat/>
    <w:uiPriority w:val="0"/>
    <w:pPr>
      <w:spacing w:line="360" w:lineRule="auto"/>
      <w:jc w:val="center"/>
    </w:pPr>
    <w:rPr>
      <w:rFonts w:ascii="黑体" w:eastAsia="黑体"/>
      <w:kern w:val="0"/>
      <w:sz w:val="24"/>
      <w:szCs w:val="20"/>
    </w:rPr>
  </w:style>
  <w:style w:type="paragraph" w:customStyle="1" w:styleId="4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6">
    <w:name w:val="文一"/>
    <w:basedOn w:val="1"/>
    <w:next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47">
    <w:name w:val="正题"/>
    <w:basedOn w:val="46"/>
    <w:next w:val="46"/>
    <w:qFormat/>
    <w:uiPriority w:val="0"/>
    <w:pPr>
      <w:ind w:firstLine="0" w:firstLineChars="0"/>
      <w:jc w:val="center"/>
    </w:pPr>
    <w:rPr>
      <w:rFonts w:eastAsia="黑体"/>
      <w:b/>
      <w:sz w:val="36"/>
      <w:szCs w:val="36"/>
    </w:rPr>
  </w:style>
  <w:style w:type="character" w:customStyle="1" w:styleId="48">
    <w:name w:val="标题 1 Char"/>
    <w:link w:val="4"/>
    <w:qFormat/>
    <w:uiPriority w:val="0"/>
    <w:rPr>
      <w:kern w:val="44"/>
      <w:sz w:val="28"/>
      <w:szCs w:val="28"/>
    </w:rPr>
  </w:style>
  <w:style w:type="paragraph" w:customStyle="1" w:styleId="49">
    <w:name w:val="样式 宋体 四号 首行缩进:  2 字符"/>
    <w:basedOn w:val="1"/>
    <w:qFormat/>
    <w:uiPriority w:val="0"/>
    <w:pPr>
      <w:widowControl/>
    </w:pPr>
    <w:rPr>
      <w:rFonts w:cs="宋体"/>
      <w:color w:val="000000"/>
      <w:kern w:val="0"/>
      <w:szCs w:val="20"/>
    </w:rPr>
  </w:style>
  <w:style w:type="paragraph" w:styleId="50">
    <w:name w:val="No Spacing"/>
    <w:basedOn w:val="1"/>
    <w:qFormat/>
    <w:uiPriority w:val="0"/>
    <w:rPr>
      <w:sz w:val="22"/>
      <w:szCs w:val="20"/>
    </w:rPr>
  </w:style>
  <w:style w:type="paragraph" w:customStyle="1" w:styleId="51">
    <w:name w:val="PlainText"/>
    <w:basedOn w:val="1"/>
    <w:qFormat/>
    <w:uiPriority w:val="0"/>
    <w:rPr>
      <w:rFonts w:ascii="宋体" w:hAnsi="Courier New"/>
      <w:kern w:val="0"/>
      <w:sz w:val="20"/>
      <w:szCs w:val="20"/>
    </w:rPr>
  </w:style>
  <w:style w:type="paragraph" w:customStyle="1" w:styleId="52">
    <w:name w:val="章节三"/>
    <w:basedOn w:val="46"/>
    <w:next w:val="1"/>
    <w:qFormat/>
    <w:uiPriority w:val="0"/>
    <w:pPr>
      <w:spacing w:beforeLines="50" w:line="240" w:lineRule="auto"/>
      <w:ind w:firstLine="0" w:firstLineChars="0"/>
      <w:jc w:val="left"/>
      <w:outlineLvl w:val="2"/>
    </w:pPr>
    <w:rPr>
      <w:rFonts w:ascii="黑体" w:eastAsia="黑体"/>
      <w:b/>
    </w:rPr>
  </w:style>
  <w:style w:type="paragraph" w:customStyle="1" w:styleId="53">
    <w:name w:val="封二"/>
    <w:basedOn w:val="46"/>
    <w:next w:val="46"/>
    <w:qFormat/>
    <w:uiPriority w:val="0"/>
    <w:pPr>
      <w:ind w:firstLine="0" w:firstLineChars="0"/>
      <w:jc w:val="center"/>
    </w:pPr>
    <w:rPr>
      <w:rFonts w:eastAsia="黑体"/>
      <w:b/>
      <w:sz w:val="36"/>
      <w:szCs w:val="36"/>
    </w:rPr>
  </w:style>
  <w:style w:type="paragraph" w:customStyle="1" w:styleId="54">
    <w:name w:val="封一"/>
    <w:basedOn w:val="46"/>
    <w:next w:val="46"/>
    <w:qFormat/>
    <w:uiPriority w:val="0"/>
    <w:pPr>
      <w:ind w:firstLine="0" w:firstLineChars="0"/>
      <w:jc w:val="center"/>
    </w:pPr>
    <w:rPr>
      <w:rFonts w:eastAsia="黑体"/>
      <w:b/>
      <w:sz w:val="84"/>
      <w:szCs w:val="84"/>
    </w:rPr>
  </w:style>
  <w:style w:type="paragraph" w:customStyle="1" w:styleId="55">
    <w:name w:val="封四"/>
    <w:basedOn w:val="46"/>
    <w:next w:val="46"/>
    <w:qFormat/>
    <w:uiPriority w:val="0"/>
    <w:pPr>
      <w:jc w:val="left"/>
    </w:pPr>
    <w:rPr>
      <w:sz w:val="30"/>
      <w:szCs w:val="30"/>
    </w:rPr>
  </w:style>
  <w:style w:type="paragraph" w:customStyle="1" w:styleId="56">
    <w:name w:val="正文文本缩进1"/>
    <w:basedOn w:val="1"/>
    <w:qFormat/>
    <w:uiPriority w:val="0"/>
    <w:pPr>
      <w:ind w:firstLine="480"/>
    </w:pPr>
    <w:rPr>
      <w:sz w:val="24"/>
      <w:szCs w:val="20"/>
    </w:rPr>
  </w:style>
  <w:style w:type="paragraph" w:customStyle="1" w:styleId="57">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3">
    <w:name w:val="正文缩进 New"/>
    <w:basedOn w:val="62"/>
    <w:qFormat/>
    <w:uiPriority w:val="0"/>
    <w:pPr>
      <w:ind w:firstLine="420"/>
    </w:pPr>
    <w:rPr>
      <w:rFonts w:ascii="Times New Roman" w:hAnsi="Times New Roman" w:cs="Times New Roman"/>
      <w:snapToGrid/>
      <w:kern w:val="2"/>
      <w:szCs w:val="20"/>
    </w:rPr>
  </w:style>
  <w:style w:type="paragraph" w:customStyle="1" w:styleId="64">
    <w:name w:val="正文文本缩进11"/>
    <w:basedOn w:val="1"/>
    <w:qFormat/>
    <w:uiPriority w:val="0"/>
    <w:pPr>
      <w:ind w:firstLine="480"/>
    </w:pPr>
    <w:rPr>
      <w:sz w:val="24"/>
      <w:szCs w:val="20"/>
    </w:rPr>
  </w:style>
  <w:style w:type="paragraph" w:customStyle="1" w:styleId="65">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6">
    <w:name w:val="批注文字 Char"/>
    <w:basedOn w:val="34"/>
    <w:link w:val="14"/>
    <w:qFormat/>
    <w:uiPriority w:val="0"/>
    <w:rPr>
      <w:rFonts w:ascii="宋体" w:hAnsi="宋体"/>
      <w:sz w:val="24"/>
      <w:szCs w:val="24"/>
    </w:rPr>
  </w:style>
  <w:style w:type="character" w:customStyle="1" w:styleId="67">
    <w:name w:val="批注主题 Char"/>
    <w:basedOn w:val="66"/>
    <w:link w:val="29"/>
    <w:qFormat/>
    <w:uiPriority w:val="0"/>
    <w:rPr>
      <w:rFonts w:ascii="宋体" w:hAnsi="宋体"/>
      <w:sz w:val="24"/>
      <w:szCs w:val="24"/>
    </w:rPr>
  </w:style>
  <w:style w:type="character" w:customStyle="1" w:styleId="68">
    <w:name w:val="批注框文本 Char"/>
    <w:basedOn w:val="34"/>
    <w:link w:val="20"/>
    <w:qFormat/>
    <w:uiPriority w:val="0"/>
    <w:rPr>
      <w:kern w:val="2"/>
      <w:sz w:val="18"/>
      <w:szCs w:val="18"/>
    </w:rPr>
  </w:style>
  <w:style w:type="character" w:customStyle="1" w:styleId="69">
    <w:name w:val="标题 4 Char"/>
    <w:basedOn w:val="34"/>
    <w:link w:val="7"/>
    <w:qFormat/>
    <w:uiPriority w:val="0"/>
    <w:rPr>
      <w:rFonts w:ascii="Arial" w:hAnsi="Arial"/>
      <w:color w:val="000000"/>
      <w:kern w:val="2"/>
      <w:sz w:val="24"/>
      <w:szCs w:val="24"/>
    </w:rPr>
  </w:style>
  <w:style w:type="character" w:customStyle="1" w:styleId="70">
    <w:name w:val="标题 5 Char"/>
    <w:basedOn w:val="34"/>
    <w:link w:val="8"/>
    <w:qFormat/>
    <w:uiPriority w:val="0"/>
    <w:rPr>
      <w:rFonts w:ascii="Arial" w:hAnsi="Arial"/>
      <w:color w:val="000000"/>
      <w:kern w:val="2"/>
      <w:sz w:val="24"/>
      <w:szCs w:val="24"/>
    </w:rPr>
  </w:style>
  <w:style w:type="character" w:customStyle="1" w:styleId="71">
    <w:name w:val="标题 7 Char"/>
    <w:basedOn w:val="34"/>
    <w:link w:val="10"/>
    <w:qFormat/>
    <w:uiPriority w:val="0"/>
    <w:rPr>
      <w:b/>
      <w:kern w:val="2"/>
      <w:sz w:val="24"/>
    </w:rPr>
  </w:style>
  <w:style w:type="character" w:customStyle="1" w:styleId="72">
    <w:name w:val="标题 8 Char"/>
    <w:basedOn w:val="34"/>
    <w:link w:val="11"/>
    <w:qFormat/>
    <w:uiPriority w:val="0"/>
    <w:rPr>
      <w:rFonts w:ascii="Arial" w:hAnsi="Arial" w:eastAsia="黑体"/>
      <w:kern w:val="2"/>
      <w:sz w:val="24"/>
    </w:rPr>
  </w:style>
  <w:style w:type="character" w:customStyle="1" w:styleId="73">
    <w:name w:val="标题 9 Char"/>
    <w:basedOn w:val="34"/>
    <w:link w:val="12"/>
    <w:qFormat/>
    <w:uiPriority w:val="0"/>
    <w:rPr>
      <w:rFonts w:ascii="Arial" w:hAnsi="Arial" w:eastAsia="黑体"/>
      <w:kern w:val="2"/>
      <w:sz w:val="21"/>
    </w:rPr>
  </w:style>
  <w:style w:type="character" w:customStyle="1" w:styleId="74">
    <w:name w:val="正文文本缩进 2 Char"/>
    <w:basedOn w:val="34"/>
    <w:link w:val="19"/>
    <w:qFormat/>
    <w:uiPriority w:val="0"/>
    <w:rPr>
      <w:kern w:val="2"/>
      <w:sz w:val="30"/>
      <w:szCs w:val="24"/>
    </w:rPr>
  </w:style>
  <w:style w:type="character" w:customStyle="1" w:styleId="75">
    <w:name w:val="正文文本缩进 3 Char"/>
    <w:basedOn w:val="34"/>
    <w:link w:val="24"/>
    <w:qFormat/>
    <w:uiPriority w:val="0"/>
    <w:rPr>
      <w:kern w:val="2"/>
      <w:sz w:val="16"/>
      <w:szCs w:val="16"/>
    </w:rPr>
  </w:style>
  <w:style w:type="character" w:customStyle="1" w:styleId="76">
    <w:name w:val="标题 2 Char"/>
    <w:link w:val="5"/>
    <w:qFormat/>
    <w:uiPriority w:val="0"/>
    <w:rPr>
      <w:rFonts w:ascii="Arial" w:hAnsi="Arial"/>
      <w:b/>
      <w:color w:val="000000"/>
      <w:sz w:val="24"/>
      <w:szCs w:val="24"/>
    </w:rPr>
  </w:style>
  <w:style w:type="character" w:customStyle="1" w:styleId="77">
    <w:name w:val="正文文本 Char"/>
    <w:link w:val="2"/>
    <w:qFormat/>
    <w:uiPriority w:val="0"/>
  </w:style>
  <w:style w:type="character" w:customStyle="1" w:styleId="78">
    <w:name w:val="正文文本缩进 Char"/>
    <w:link w:val="15"/>
    <w:qFormat/>
    <w:uiPriority w:val="0"/>
    <w:rPr>
      <w:sz w:val="28"/>
    </w:rPr>
  </w:style>
  <w:style w:type="character" w:customStyle="1" w:styleId="79">
    <w:name w:val="纯文本 Char"/>
    <w:link w:val="17"/>
    <w:qFormat/>
    <w:uiPriority w:val="0"/>
    <w:rPr>
      <w:rFonts w:ascii="宋体" w:hAnsi="Courier New"/>
    </w:rPr>
  </w:style>
  <w:style w:type="character" w:customStyle="1" w:styleId="80">
    <w:name w:val="页脚 Char"/>
    <w:link w:val="21"/>
    <w:qFormat/>
    <w:uiPriority w:val="0"/>
    <w:rPr>
      <w:rFonts w:ascii="Calibri" w:hAnsi="Calibri"/>
      <w:sz w:val="18"/>
      <w:szCs w:val="18"/>
    </w:rPr>
  </w:style>
  <w:style w:type="character" w:customStyle="1" w:styleId="81">
    <w:name w:val="页眉 Char"/>
    <w:link w:val="22"/>
    <w:qFormat/>
    <w:uiPriority w:val="0"/>
    <w:rPr>
      <w:rFonts w:ascii="Calibri" w:hAnsi="Calibri"/>
      <w:sz w:val="18"/>
      <w:szCs w:val="18"/>
    </w:rPr>
  </w:style>
  <w:style w:type="character" w:customStyle="1" w:styleId="82">
    <w:name w:val="正文首行缩进 Char"/>
    <w:basedOn w:val="77"/>
    <w:link w:val="30"/>
    <w:qFormat/>
    <w:uiPriority w:val="0"/>
  </w:style>
  <w:style w:type="character" w:customStyle="1" w:styleId="83">
    <w:name w:val="标题 3 Char Char"/>
    <w:qFormat/>
    <w:uiPriority w:val="0"/>
    <w:rPr>
      <w:rFonts w:ascii="宋体" w:hAnsi="宋体" w:eastAsia="宋体"/>
      <w:b/>
      <w:bCs/>
      <w:color w:val="FF0000"/>
      <w:kern w:val="2"/>
      <w:sz w:val="24"/>
      <w:szCs w:val="24"/>
      <w:lang w:val="zh-CN" w:eastAsia="zh-CN" w:bidi="ar-SA"/>
    </w:rPr>
  </w:style>
  <w:style w:type="character" w:customStyle="1" w:styleId="84">
    <w:name w:val="页码1"/>
    <w:basedOn w:val="34"/>
    <w:qFormat/>
    <w:uiPriority w:val="0"/>
  </w:style>
  <w:style w:type="paragraph" w:customStyle="1" w:styleId="85">
    <w:name w:val="Char Char Char Char"/>
    <w:basedOn w:val="86"/>
    <w:qFormat/>
    <w:uiPriority w:val="0"/>
    <w:rPr>
      <w:rFonts w:ascii="Tahoma" w:hAnsi="Tahoma"/>
      <w:sz w:val="24"/>
    </w:rPr>
  </w:style>
  <w:style w:type="paragraph" w:customStyle="1" w:styleId="86">
    <w:name w:val="文档结构图1"/>
    <w:basedOn w:val="1"/>
    <w:qFormat/>
    <w:uiPriority w:val="0"/>
    <w:pPr>
      <w:shd w:val="clear" w:color="auto" w:fill="000080"/>
    </w:pPr>
    <w:rPr>
      <w:sz w:val="30"/>
      <w:szCs w:val="24"/>
    </w:rPr>
  </w:style>
  <w:style w:type="paragraph" w:customStyle="1" w:styleId="8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_Style 46"/>
    <w:qFormat/>
    <w:uiPriority w:val="0"/>
    <w:rPr>
      <w:rFonts w:ascii="Times New Roman" w:hAnsi="Times New Roman" w:eastAsia="宋体" w:cs="Times New Roman"/>
      <w:kern w:val="2"/>
      <w:sz w:val="30"/>
      <w:szCs w:val="24"/>
      <w:lang w:val="en-US" w:eastAsia="zh-CN" w:bidi="ar-SA"/>
    </w:rPr>
  </w:style>
  <w:style w:type="paragraph" w:customStyle="1" w:styleId="89">
    <w:name w:val="页脚 New"/>
    <w:basedOn w:val="90"/>
    <w:qFormat/>
    <w:uiPriority w:val="0"/>
    <w:pPr>
      <w:tabs>
        <w:tab w:val="center" w:pos="4153"/>
        <w:tab w:val="right" w:pos="8306"/>
      </w:tabs>
      <w:snapToGrid w:val="0"/>
      <w:jc w:val="left"/>
    </w:pPr>
    <w:rPr>
      <w:sz w:val="18"/>
    </w:rPr>
  </w:style>
  <w:style w:type="paragraph" w:customStyle="1" w:styleId="9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正文首行缩进1"/>
    <w:basedOn w:val="2"/>
    <w:qFormat/>
    <w:uiPriority w:val="0"/>
    <w:pPr>
      <w:spacing w:after="0"/>
      <w:ind w:firstLine="420" w:firstLineChars="100"/>
    </w:pPr>
    <w:rPr>
      <w:kern w:val="2"/>
      <w:sz w:val="30"/>
      <w:szCs w:val="24"/>
    </w:rPr>
  </w:style>
  <w:style w:type="paragraph" w:customStyle="1" w:styleId="9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标题 2 New"/>
    <w:basedOn w:val="62"/>
    <w:next w:val="62"/>
    <w:qFormat/>
    <w:uiPriority w:val="0"/>
    <w:pPr>
      <w:keepNext/>
      <w:keepLines/>
      <w:spacing w:line="416" w:lineRule="auto"/>
      <w:outlineLvl w:val="1"/>
    </w:pPr>
    <w:rPr>
      <w:rFonts w:ascii="Arial" w:hAnsi="Arial" w:eastAsia="仿宋_GB2312"/>
      <w:b/>
      <w:bCs/>
      <w:sz w:val="32"/>
    </w:rPr>
  </w:style>
  <w:style w:type="paragraph" w:customStyle="1" w:styleId="95">
    <w:name w:val="正文文本 New"/>
    <w:basedOn w:val="41"/>
    <w:qFormat/>
    <w:uiPriority w:val="0"/>
    <w:rPr>
      <w:rFonts w:eastAsia="宋体"/>
      <w:kern w:val="2"/>
      <w:sz w:val="30"/>
      <w:szCs w:val="24"/>
    </w:rPr>
  </w:style>
  <w:style w:type="paragraph" w:customStyle="1" w:styleId="96">
    <w:name w:val="页眉 New"/>
    <w:basedOn w:val="90"/>
    <w:qFormat/>
    <w:uiPriority w:val="0"/>
    <w:pPr>
      <w:pBdr>
        <w:bottom w:val="single" w:color="auto" w:sz="6" w:space="1"/>
      </w:pBdr>
      <w:tabs>
        <w:tab w:val="center" w:pos="4153"/>
        <w:tab w:val="right" w:pos="8306"/>
      </w:tabs>
      <w:snapToGrid w:val="0"/>
      <w:jc w:val="center"/>
    </w:pPr>
    <w:rPr>
      <w:sz w:val="18"/>
    </w:rPr>
  </w:style>
  <w:style w:type="paragraph" w:customStyle="1" w:styleId="97">
    <w:name w:val="Char1 Char Char Char Char Char Char1"/>
    <w:basedOn w:val="59"/>
    <w:qFormat/>
    <w:uiPriority w:val="0"/>
  </w:style>
  <w:style w:type="paragraph" w:customStyle="1" w:styleId="98">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1 Char Char Char Char Char Char1 Char Char Char"/>
    <w:basedOn w:val="1"/>
    <w:qFormat/>
    <w:uiPriority w:val="0"/>
    <w:rPr>
      <w:sz w:val="30"/>
      <w:szCs w:val="24"/>
    </w:rPr>
  </w:style>
  <w:style w:type="paragraph" w:customStyle="1" w:styleId="103">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纯文本 New"/>
    <w:basedOn w:val="41"/>
    <w:qFormat/>
    <w:uiPriority w:val="0"/>
    <w:rPr>
      <w:rFonts w:ascii="宋体" w:hAnsi="Courier New" w:eastAsia="宋体"/>
      <w:kern w:val="2"/>
      <w:sz w:val="24"/>
    </w:rPr>
  </w:style>
  <w:style w:type="paragraph" w:customStyle="1" w:styleId="10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正文首行缩进 New"/>
    <w:basedOn w:val="95"/>
    <w:qFormat/>
    <w:uiPriority w:val="0"/>
    <w:pPr>
      <w:ind w:firstLine="420" w:firstLineChars="100"/>
    </w:pPr>
  </w:style>
  <w:style w:type="paragraph" w:customStyle="1" w:styleId="111">
    <w:name w:val="页眉 New New"/>
    <w:basedOn w:val="107"/>
    <w:qFormat/>
    <w:uiPriority w:val="0"/>
    <w:pPr>
      <w:pBdr>
        <w:bottom w:val="single" w:color="auto" w:sz="6" w:space="1"/>
      </w:pBdr>
      <w:tabs>
        <w:tab w:val="center" w:pos="4153"/>
        <w:tab w:val="right" w:pos="8306"/>
      </w:tabs>
      <w:snapToGrid w:val="0"/>
      <w:jc w:val="center"/>
    </w:pPr>
    <w:rPr>
      <w:sz w:val="18"/>
    </w:rPr>
  </w:style>
  <w:style w:type="paragraph" w:customStyle="1" w:styleId="112">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4">
    <w:name w:val="Char"/>
    <w:basedOn w:val="1"/>
    <w:qFormat/>
    <w:uiPriority w:val="0"/>
    <w:pPr>
      <w:widowControl/>
      <w:spacing w:line="240" w:lineRule="exact"/>
      <w:jc w:val="left"/>
    </w:pPr>
    <w:rPr>
      <w:sz w:val="30"/>
      <w:szCs w:val="24"/>
    </w:rPr>
  </w:style>
  <w:style w:type="paragraph" w:customStyle="1" w:styleId="115">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纯文本1"/>
    <w:basedOn w:val="1"/>
    <w:qFormat/>
    <w:uiPriority w:val="0"/>
    <w:rPr>
      <w:rFonts w:ascii="宋体" w:hAnsi="Courier New"/>
      <w:sz w:val="24"/>
      <w:szCs w:val="20"/>
    </w:rPr>
  </w:style>
  <w:style w:type="paragraph" w:customStyle="1" w:styleId="121">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页脚 New New"/>
    <w:basedOn w:val="107"/>
    <w:qFormat/>
    <w:uiPriority w:val="0"/>
    <w:pPr>
      <w:tabs>
        <w:tab w:val="center" w:pos="4153"/>
        <w:tab w:val="right" w:pos="8306"/>
      </w:tabs>
      <w:snapToGrid w:val="0"/>
      <w:jc w:val="left"/>
    </w:pPr>
    <w:rPr>
      <w:sz w:val="18"/>
    </w:rPr>
  </w:style>
  <w:style w:type="paragraph" w:customStyle="1" w:styleId="126">
    <w:name w:val="正文文本缩进 21"/>
    <w:basedOn w:val="1"/>
    <w:qFormat/>
    <w:uiPriority w:val="0"/>
    <w:pPr>
      <w:spacing w:line="420" w:lineRule="exact"/>
      <w:ind w:firstLine="480"/>
    </w:pPr>
    <w:rPr>
      <w:b/>
      <w:sz w:val="24"/>
      <w:szCs w:val="20"/>
    </w:rPr>
  </w:style>
  <w:style w:type="paragraph" w:customStyle="1" w:styleId="1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29">
    <w:name w:val="Revision"/>
    <w:hidden/>
    <w:unhideWhenUsed/>
    <w:qFormat/>
    <w:uiPriority w:val="99"/>
    <w:rPr>
      <w:rFonts w:ascii="Times New Roman" w:hAnsi="Times New Roman" w:eastAsia="宋体" w:cs="Times New Roman"/>
      <w:kern w:val="2"/>
      <w:sz w:val="21"/>
      <w:szCs w:val="22"/>
      <w:lang w:val="en-US" w:eastAsia="zh-CN" w:bidi="ar-SA"/>
    </w:rPr>
  </w:style>
  <w:style w:type="table" w:customStyle="1" w:styleId="130">
    <w:name w:val="网格型1"/>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3476</Words>
  <Characters>3572</Characters>
  <Lines>102</Lines>
  <Paragraphs>256</Paragraphs>
  <TotalTime>16</TotalTime>
  <ScaleCrop>false</ScaleCrop>
  <LinksUpToDate>false</LinksUpToDate>
  <CharactersWithSpaces>3721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2023-09-12T03:31:00Z</dcterms:created>
  <dc:creator>侠名</dc:creator>
  <cp:lastModifiedBy>张荣</cp:lastModifiedBy>
  <cp:lastPrinted>2025-01-09T09:44:00Z</cp:lastPrinted>
  <dcterms:modified xsi:type="dcterms:W3CDTF">2025-09-08T08:31:38Z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732F80FF24334FB0AE24F20EC6EB1849</vt:lpwstr>
  </property>
  <property fmtid="{D5CDD505-2E9C-101B-9397-08002B2CF9AE}" pid="4" name="KSOTemplateDocerSaveRecord">
    <vt:lpwstr>eyJoZGlkIjoiOWQ2ZWExMDIwMTAyNTlkY2I3MDQ0MGE2NzkwYzQ5NGQiLCJ1c2VySWQiOiI1ODYzMTI5NTkifQ==</vt:lpwstr>
  </property>
</Properties>
</file>