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default" w:hAnsi="宋体" w:cs="宋体"/>
          <w:b w:val="0"/>
          <w:color w:val="auto"/>
          <w:sz w:val="20"/>
          <w:szCs w:val="20"/>
          <w:highlight w:val="none"/>
          <w:u w:val="none"/>
          <w:lang w:eastAsia="zh-CN"/>
        </w:rPr>
      </w:pPr>
    </w:p>
    <w:p>
      <w:pPr>
        <w:pStyle w:val="13"/>
        <w:snapToGrid w:val="0"/>
        <w:spacing w:line="360" w:lineRule="auto"/>
        <w:ind w:right="25" w:rightChars="12"/>
        <w:jc w:val="center"/>
        <w:rPr>
          <w:rFonts w:cs="宋体"/>
          <w:b/>
          <w:color w:val="auto"/>
          <w:sz w:val="44"/>
          <w:szCs w:val="44"/>
          <w:highlight w:val="none"/>
          <w:u w:val="none"/>
        </w:rPr>
      </w:pPr>
      <w:r>
        <w:rPr>
          <w:rFonts w:hint="eastAsia" w:cs="宋体"/>
          <w:b/>
          <w:color w:val="auto"/>
          <w:sz w:val="44"/>
          <w:szCs w:val="44"/>
          <w:highlight w:val="none"/>
          <w:u w:val="none"/>
        </w:rPr>
        <w:t>星际云汇二期项目负一层公区装修工程</w:t>
      </w:r>
    </w:p>
    <w:p>
      <w:pPr>
        <w:snapToGrid w:val="0"/>
        <w:spacing w:line="360" w:lineRule="auto"/>
        <w:jc w:val="center"/>
        <w:rPr>
          <w:rFonts w:ascii="宋体" w:hAnsi="宋体" w:cs="宋体"/>
          <w:color w:val="auto"/>
          <w:sz w:val="36"/>
          <w:szCs w:val="36"/>
          <w:highlight w:val="none"/>
          <w:u w:val="single"/>
        </w:rPr>
      </w:pPr>
    </w:p>
    <w:p>
      <w:pPr>
        <w:pStyle w:val="8"/>
        <w:snapToGrid w:val="0"/>
        <w:spacing w:line="360" w:lineRule="auto"/>
        <w:rPr>
          <w:rFonts w:hAnsi="宋体" w:cs="宋体"/>
          <w:color w:val="auto"/>
          <w:highlight w:val="none"/>
        </w:rPr>
      </w:pPr>
    </w:p>
    <w:p>
      <w:pPr>
        <w:pStyle w:val="8"/>
        <w:snapToGrid w:val="0"/>
        <w:spacing w:line="360" w:lineRule="auto"/>
        <w:rPr>
          <w:rFonts w:hAnsi="宋体" w:cs="宋体"/>
          <w:color w:val="auto"/>
          <w:sz w:val="36"/>
          <w:szCs w:val="36"/>
          <w:highlight w:val="none"/>
          <w:u w:val="single"/>
        </w:rPr>
      </w:pPr>
    </w:p>
    <w:p>
      <w:pPr>
        <w:pStyle w:val="8"/>
        <w:snapToGrid w:val="0"/>
        <w:spacing w:line="360" w:lineRule="auto"/>
        <w:rPr>
          <w:rFonts w:hAnsi="宋体" w:cs="宋体"/>
          <w:color w:val="auto"/>
          <w:sz w:val="36"/>
          <w:szCs w:val="36"/>
          <w:highlight w:val="none"/>
          <w:u w:val="single"/>
        </w:rPr>
      </w:pPr>
    </w:p>
    <w:p>
      <w:pPr>
        <w:pStyle w:val="8"/>
        <w:snapToGrid w:val="0"/>
        <w:spacing w:line="360" w:lineRule="auto"/>
        <w:rPr>
          <w:rFonts w:hAnsi="宋体" w:cs="宋体"/>
          <w:color w:val="auto"/>
          <w:sz w:val="36"/>
          <w:szCs w:val="36"/>
          <w:highlight w:val="none"/>
          <w:u w:val="single"/>
        </w:rPr>
      </w:pPr>
    </w:p>
    <w:p>
      <w:pPr>
        <w:snapToGrid w:val="0"/>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w:t>
      </w:r>
      <w:bookmarkStart w:id="3" w:name="_GoBack"/>
      <w:bookmarkEnd w:id="3"/>
      <w:r>
        <w:rPr>
          <w:rFonts w:hint="eastAsia" w:ascii="宋体" w:hAnsi="宋体" w:cs="宋体"/>
          <w:b/>
          <w:bCs/>
          <w:color w:val="auto"/>
          <w:spacing w:val="26"/>
          <w:sz w:val="110"/>
          <w:szCs w:val="110"/>
          <w:highlight w:val="none"/>
        </w:rPr>
        <w:t>标公告</w:t>
      </w:r>
    </w:p>
    <w:p>
      <w:pPr>
        <w:snapToGrid w:val="0"/>
        <w:spacing w:line="360" w:lineRule="auto"/>
        <w:jc w:val="center"/>
        <w:rPr>
          <w:rFonts w:ascii="宋体" w:hAnsi="宋体" w:cs="宋体"/>
          <w:color w:val="auto"/>
          <w:sz w:val="32"/>
          <w:szCs w:val="32"/>
          <w:highlight w:val="none"/>
        </w:rPr>
      </w:pPr>
    </w:p>
    <w:p>
      <w:pPr>
        <w:snapToGrid w:val="0"/>
        <w:spacing w:line="360" w:lineRule="auto"/>
        <w:ind w:firstLine="2560" w:firstLineChars="800"/>
        <w:rPr>
          <w:rFonts w:ascii="宋体" w:hAnsi="宋体" w:cs="宋体"/>
          <w:color w:val="auto"/>
          <w:sz w:val="32"/>
          <w:szCs w:val="32"/>
          <w:highlight w:val="none"/>
        </w:rPr>
      </w:pPr>
    </w:p>
    <w:p>
      <w:pPr>
        <w:snapToGrid w:val="0"/>
        <w:spacing w:line="360" w:lineRule="auto"/>
        <w:ind w:firstLine="1200" w:firstLineChars="400"/>
        <w:rPr>
          <w:rFonts w:ascii="宋体" w:hAnsi="宋体" w:cs="宋体"/>
          <w:color w:val="auto"/>
          <w:sz w:val="30"/>
          <w:szCs w:val="30"/>
          <w:highlight w:val="none"/>
        </w:rPr>
      </w:pPr>
    </w:p>
    <w:p>
      <w:pPr>
        <w:pStyle w:val="12"/>
        <w:rPr>
          <w:rFonts w:ascii="宋体" w:hAnsi="宋体" w:cs="宋体"/>
          <w:color w:val="auto"/>
          <w:sz w:val="30"/>
          <w:szCs w:val="30"/>
          <w:highlight w:val="none"/>
        </w:rPr>
      </w:pPr>
    </w:p>
    <w:p>
      <w:pPr>
        <w:rPr>
          <w:rFonts w:ascii="宋体" w:hAnsi="宋体" w:cs="宋体"/>
          <w:color w:val="auto"/>
          <w:sz w:val="30"/>
          <w:szCs w:val="30"/>
          <w:highlight w:val="none"/>
        </w:rPr>
      </w:pPr>
    </w:p>
    <w:p>
      <w:pPr>
        <w:pStyle w:val="3"/>
        <w:rPr>
          <w:color w:val="auto"/>
          <w:highlight w:val="none"/>
        </w:rPr>
      </w:pPr>
    </w:p>
    <w:p>
      <w:pPr>
        <w:pStyle w:val="8"/>
        <w:snapToGrid w:val="0"/>
        <w:spacing w:line="360" w:lineRule="auto"/>
        <w:rPr>
          <w:rFonts w:hAnsi="宋体" w:cs="宋体"/>
          <w:color w:val="auto"/>
          <w:highlight w:val="none"/>
        </w:rPr>
      </w:pPr>
    </w:p>
    <w:p>
      <w:pPr>
        <w:snapToGrid w:val="0"/>
        <w:spacing w:line="360" w:lineRule="auto"/>
        <w:ind w:firstLine="639" w:firstLineChars="213"/>
        <w:rPr>
          <w:rFonts w:ascii="宋体" w:hAnsi="宋体" w:cs="宋体"/>
          <w:color w:val="auto"/>
          <w:spacing w:val="-2"/>
          <w:sz w:val="30"/>
          <w:szCs w:val="30"/>
          <w:highlight w:val="none"/>
        </w:rPr>
      </w:pPr>
      <w:r>
        <w:rPr>
          <w:rFonts w:hint="eastAsia" w:ascii="宋体" w:hAnsi="宋体" w:cs="宋体"/>
          <w:color w:val="auto"/>
          <w:sz w:val="30"/>
          <w:szCs w:val="30"/>
          <w:highlight w:val="none"/>
        </w:rPr>
        <w:t>招标单位：广州松瓴企业管理有限公司</w:t>
      </w:r>
    </w:p>
    <w:p>
      <w:pPr>
        <w:snapToGrid w:val="0"/>
        <w:spacing w:line="360" w:lineRule="auto"/>
        <w:ind w:firstLine="639" w:firstLineChars="213"/>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招标代理单位：</w:t>
      </w:r>
      <w:r>
        <w:rPr>
          <w:rFonts w:hint="eastAsia" w:ascii="宋体" w:hAnsi="宋体" w:eastAsia="宋体" w:cs="宋体"/>
          <w:bCs/>
          <w:color w:val="auto"/>
          <w:sz w:val="28"/>
          <w:szCs w:val="28"/>
          <w:highlight w:val="none"/>
          <w:lang w:eastAsia="zh-CN"/>
        </w:rPr>
        <w:t>广州市广州工程建设监理有限公司</w:t>
      </w:r>
    </w:p>
    <w:p>
      <w:pPr>
        <w:snapToGrid w:val="0"/>
        <w:spacing w:line="360" w:lineRule="auto"/>
        <w:ind w:firstLine="639" w:firstLineChars="213"/>
        <w:rPr>
          <w:rFonts w:ascii="宋体" w:hAnsi="宋体" w:cs="宋体"/>
          <w:color w:val="auto"/>
          <w:sz w:val="30"/>
          <w:szCs w:val="30"/>
          <w:highlight w:val="none"/>
          <w:u w:val="single"/>
        </w:rPr>
      </w:pPr>
      <w:r>
        <w:rPr>
          <w:rFonts w:hint="eastAsia" w:ascii="宋体" w:hAnsi="宋体" w:cs="宋体"/>
          <w:color w:val="auto"/>
          <w:sz w:val="30"/>
          <w:szCs w:val="30"/>
          <w:highlight w:val="none"/>
        </w:rPr>
        <w:t>日期：2025年</w:t>
      </w:r>
      <w:r>
        <w:rPr>
          <w:rFonts w:hint="eastAsia" w:ascii="宋体" w:hAnsi="宋体" w:cs="宋体"/>
          <w:color w:val="auto"/>
          <w:sz w:val="30"/>
          <w:szCs w:val="30"/>
          <w:highlight w:val="none"/>
          <w:lang w:val="en-US" w:eastAsia="zh-CN"/>
        </w:rPr>
        <w:t>9</w:t>
      </w:r>
      <w:r>
        <w:rPr>
          <w:rFonts w:hint="eastAsia" w:ascii="宋体" w:hAnsi="宋体" w:cs="宋体"/>
          <w:color w:val="auto"/>
          <w:sz w:val="30"/>
          <w:szCs w:val="30"/>
          <w:highlight w:val="none"/>
        </w:rPr>
        <w:t>月</w:t>
      </w:r>
    </w:p>
    <w:p>
      <w:pPr>
        <w:pStyle w:val="3"/>
        <w:ind w:firstLine="0"/>
        <w:rPr>
          <w:color w:val="auto"/>
          <w:sz w:val="18"/>
          <w:szCs w:val="18"/>
          <w:highlight w:val="none"/>
        </w:rPr>
      </w:pPr>
    </w:p>
    <w:p>
      <w:pPr>
        <w:pStyle w:val="13"/>
        <w:snapToGrid w:val="0"/>
        <w:rPr>
          <w:rFonts w:cs="宋体"/>
          <w:b/>
          <w:color w:val="auto"/>
          <w:sz w:val="18"/>
          <w:szCs w:val="18"/>
          <w:highlight w:val="none"/>
        </w:rPr>
        <w:sectPr>
          <w:pgSz w:w="11906" w:h="16838"/>
          <w:pgMar w:top="1440" w:right="1440" w:bottom="1440" w:left="1440" w:header="851" w:footer="992" w:gutter="0"/>
          <w:cols w:space="425" w:num="1"/>
          <w:docGrid w:type="lines" w:linePitch="312" w:charSpace="0"/>
        </w:sectPr>
      </w:pPr>
    </w:p>
    <w:p>
      <w:pPr>
        <w:pStyle w:val="13"/>
        <w:snapToGrid w:val="0"/>
        <w:rPr>
          <w:rFonts w:cs="宋体"/>
          <w:b/>
          <w:color w:val="auto"/>
          <w:sz w:val="18"/>
          <w:szCs w:val="18"/>
          <w:highlight w:val="none"/>
          <w:u w:val="none"/>
        </w:rPr>
      </w:pPr>
    </w:p>
    <w:p>
      <w:pPr>
        <w:pStyle w:val="13"/>
        <w:snapToGrid w:val="0"/>
        <w:spacing w:line="360" w:lineRule="auto"/>
        <w:jc w:val="center"/>
        <w:rPr>
          <w:rFonts w:cs="宋体"/>
          <w:b/>
          <w:color w:val="auto"/>
          <w:sz w:val="30"/>
          <w:szCs w:val="30"/>
          <w:highlight w:val="none"/>
          <w:u w:val="none"/>
        </w:rPr>
      </w:pPr>
      <w:r>
        <w:rPr>
          <w:rFonts w:hint="eastAsia" w:cs="宋体"/>
          <w:b/>
          <w:color w:val="auto"/>
          <w:sz w:val="30"/>
          <w:szCs w:val="30"/>
          <w:highlight w:val="none"/>
          <w:u w:val="none"/>
          <w:lang w:val="en-US" w:eastAsia="zh-CN"/>
        </w:rPr>
        <w:t>星际云汇二期项目负一层公区装修工程</w:t>
      </w:r>
      <w:r>
        <w:rPr>
          <w:rFonts w:hint="eastAsia" w:cs="宋体"/>
          <w:b/>
          <w:color w:val="auto"/>
          <w:sz w:val="30"/>
          <w:szCs w:val="30"/>
          <w:highlight w:val="none"/>
          <w:u w:val="none"/>
        </w:rPr>
        <w:t>招标公告</w:t>
      </w:r>
    </w:p>
    <w:p>
      <w:pPr>
        <w:pStyle w:val="13"/>
        <w:snapToGrid w:val="0"/>
        <w:ind w:right="25" w:rightChars="12"/>
        <w:jc w:val="center"/>
        <w:rPr>
          <w:rFonts w:cs="宋体"/>
          <w:b/>
          <w:color w:val="auto"/>
          <w:sz w:val="24"/>
          <w:highlight w:val="none"/>
          <w:u w:val="none"/>
        </w:rPr>
      </w:pP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lang w:val="en-US" w:eastAsia="zh-CN"/>
        </w:rPr>
        <w:t xml:space="preserve"> 广州市黄埔区发展和改革局签发的广东省企业投资项目备案证2506-440112-04-01-128975 </w:t>
      </w:r>
      <w:r>
        <w:rPr>
          <w:rFonts w:hint="eastAsia" w:ascii="宋体" w:hAnsi="宋体" w:cs="宋体"/>
          <w:color w:val="auto"/>
          <w:sz w:val="24"/>
          <w:szCs w:val="24"/>
          <w:highlight w:val="none"/>
        </w:rPr>
        <w:t>批准，并且图纸和技术资料满足施工需要，</w:t>
      </w:r>
      <w:r>
        <w:rPr>
          <w:rFonts w:hint="eastAsia" w:ascii="宋体" w:hAnsi="宋体" w:eastAsia="宋体" w:cs="宋体"/>
          <w:color w:val="auto"/>
          <w:sz w:val="24"/>
          <w:szCs w:val="24"/>
          <w:highlight w:val="none"/>
        </w:rPr>
        <w:t>广州松瓴企业管理有限公司</w:t>
      </w:r>
      <w:r>
        <w:rPr>
          <w:rFonts w:hint="eastAsia" w:ascii="宋体" w:hAnsi="宋体" w:cs="宋体"/>
          <w:color w:val="auto"/>
          <w:sz w:val="24"/>
          <w:szCs w:val="24"/>
          <w:highlight w:val="none"/>
        </w:rPr>
        <w:t>现对</w:t>
      </w:r>
      <w:r>
        <w:rPr>
          <w:rFonts w:hint="eastAsia" w:ascii="宋体" w:hAnsi="宋体" w:eastAsia="宋体" w:cs="宋体"/>
          <w:color w:val="auto"/>
          <w:sz w:val="24"/>
          <w:szCs w:val="24"/>
          <w:highlight w:val="none"/>
          <w:lang w:val="en-US" w:eastAsia="zh-CN"/>
        </w:rPr>
        <w:t>星际云汇二期项目负一层公区装修工程</w:t>
      </w:r>
      <w:r>
        <w:rPr>
          <w:rFonts w:hint="eastAsia" w:ascii="宋体" w:hAnsi="宋体" w:cs="宋体"/>
          <w:color w:val="auto"/>
          <w:sz w:val="24"/>
          <w:szCs w:val="24"/>
          <w:highlight w:val="none"/>
        </w:rPr>
        <w:t>进行公开招标，选定承包人。</w:t>
      </w:r>
    </w:p>
    <w:p>
      <w:pPr>
        <w:tabs>
          <w:tab w:val="center" w:pos="4415"/>
        </w:tabs>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一、工程名称：</w:t>
      </w:r>
      <w:bookmarkStart w:id="0" w:name="OLE_LINK2"/>
      <w:r>
        <w:rPr>
          <w:rFonts w:hint="eastAsia" w:ascii="宋体" w:hAnsi="宋体" w:eastAsia="宋体" w:cs="宋体"/>
          <w:color w:val="auto"/>
          <w:sz w:val="24"/>
          <w:szCs w:val="24"/>
          <w:highlight w:val="none"/>
          <w:lang w:val="en-US" w:eastAsia="zh-CN"/>
        </w:rPr>
        <w:t>星际云汇二期项目负一层公区装修工程</w:t>
      </w:r>
      <w:bookmarkEnd w:id="0"/>
    </w:p>
    <w:p>
      <w:pPr>
        <w:snapToGrid w:val="0"/>
        <w:spacing w:line="360" w:lineRule="auto"/>
        <w:ind w:left="420" w:leftChars="200" w:firstLine="537" w:firstLineChars="224"/>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lang w:val="en-US" w:eastAsia="zh-CN"/>
        </w:rPr>
        <w:t>2506-440112-04-01-128975</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eastAsia="宋体" w:cs="宋体"/>
          <w:color w:val="auto"/>
          <w:sz w:val="24"/>
          <w:szCs w:val="24"/>
          <w:highlight w:val="none"/>
        </w:rPr>
        <w:t>广州松瓴企业管理有限公司</w:t>
      </w:r>
    </w:p>
    <w:p>
      <w:pPr>
        <w:snapToGrid w:val="0"/>
        <w:spacing w:line="360" w:lineRule="auto"/>
        <w:ind w:left="420" w:leftChars="200" w:firstLine="537" w:firstLineChars="224"/>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eastAsia="zh-CN"/>
        </w:rPr>
        <w:t>刘</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联系电话：020-31800379</w:t>
      </w:r>
    </w:p>
    <w:p>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bCs/>
          <w:color w:val="auto"/>
          <w:sz w:val="24"/>
          <w:highlight w:val="none"/>
          <w:u w:val="single"/>
        </w:rPr>
        <w:t>广州市黄埔区开创大道1891号1202房</w:t>
      </w:r>
    </w:p>
    <w:p>
      <w:pPr>
        <w:snapToGrid w:val="0"/>
        <w:spacing w:line="360" w:lineRule="auto"/>
        <w:ind w:left="420" w:leftChars="200" w:firstLine="537" w:firstLineChars="224"/>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招标代理机构：</w:t>
      </w:r>
      <w:r>
        <w:rPr>
          <w:rFonts w:hint="eastAsia" w:ascii="宋体" w:hAnsi="宋体" w:eastAsia="宋体" w:cs="宋体"/>
          <w:color w:val="auto"/>
          <w:sz w:val="24"/>
          <w:szCs w:val="24"/>
          <w:highlight w:val="none"/>
          <w:lang w:eastAsia="zh-CN"/>
        </w:rPr>
        <w:t>广州市广州工程建设监理有限公司</w:t>
      </w:r>
    </w:p>
    <w:p>
      <w:pPr>
        <w:snapToGrid w:val="0"/>
        <w:spacing w:line="360" w:lineRule="auto"/>
        <w:ind w:left="420" w:leftChars="200" w:firstLine="537" w:firstLineChars="224"/>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林</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37608020</w:t>
      </w:r>
    </w:p>
    <w:p>
      <w:pPr>
        <w:snapToGrid w:val="0"/>
        <w:spacing w:line="360" w:lineRule="auto"/>
        <w:ind w:left="420" w:leftChars="200" w:firstLine="537" w:firstLineChars="224"/>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eastAsia="宋体" w:cs="宋体"/>
          <w:color w:val="auto"/>
          <w:sz w:val="24"/>
          <w:highlight w:val="none"/>
          <w:lang w:eastAsia="zh-CN"/>
        </w:rPr>
        <w:t>广州市白云区白云大道南685号801（自编808室）</w:t>
      </w:r>
    </w:p>
    <w:p>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广州开发区建设工程招投标管理办公室（广州市黄埔区建设工程招投标管理办公室）</w:t>
      </w:r>
    </w:p>
    <w:p>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rPr>
        <w:t>020-82112206、82116676</w:t>
      </w:r>
    </w:p>
    <w:p>
      <w:pPr>
        <w:snapToGrid w:val="0"/>
        <w:spacing w:line="360" w:lineRule="auto"/>
        <w:ind w:left="420" w:leftChars="200"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广州黄埔区科学城水西路30号汇丽写字楼4楼</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color w:val="auto"/>
          <w:sz w:val="24"/>
          <w:highlight w:val="none"/>
          <w:u w:val="single"/>
        </w:rPr>
        <w:t>广州市黄埔区萝岗街道开创大道以南、荔红二路以西</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四、项目概况：</w:t>
      </w:r>
      <w:bookmarkStart w:id="1" w:name="OLE_LINK1"/>
      <w:r>
        <w:rPr>
          <w:rFonts w:hint="eastAsia" w:ascii="宋体" w:hAnsi="宋体"/>
          <w:color w:val="auto"/>
          <w:sz w:val="24"/>
          <w:highlight w:val="none"/>
        </w:rPr>
        <w:t>工程对应墙体、地面、天花等建筑与空间改造、消防</w:t>
      </w:r>
      <w:r>
        <w:rPr>
          <w:rFonts w:hint="eastAsia" w:ascii="宋体" w:hAnsi="宋体"/>
          <w:color w:val="auto"/>
          <w:sz w:val="24"/>
          <w:highlight w:val="none"/>
          <w:lang w:val="en-US" w:eastAsia="zh-CN"/>
        </w:rPr>
        <w:t>改造、</w:t>
      </w:r>
      <w:r>
        <w:rPr>
          <w:rFonts w:hint="eastAsia" w:ascii="宋体" w:hAnsi="宋体"/>
          <w:color w:val="auto"/>
          <w:sz w:val="24"/>
          <w:highlight w:val="none"/>
        </w:rPr>
        <w:t>机电安装、电梯厅</w:t>
      </w:r>
      <w:r>
        <w:rPr>
          <w:rFonts w:hint="eastAsia" w:ascii="宋体" w:hAnsi="宋体"/>
          <w:color w:val="auto"/>
          <w:sz w:val="24"/>
          <w:highlight w:val="none"/>
          <w:lang w:val="en-US" w:eastAsia="zh-CN"/>
        </w:rPr>
        <w:t>改造</w:t>
      </w:r>
      <w:r>
        <w:rPr>
          <w:rFonts w:hint="eastAsia" w:ascii="宋体" w:hAnsi="宋体"/>
          <w:color w:val="auto"/>
          <w:sz w:val="24"/>
          <w:highlight w:val="none"/>
          <w:lang w:eastAsia="zh-CN"/>
        </w:rPr>
        <w:t>、</w:t>
      </w:r>
      <w:r>
        <w:rPr>
          <w:rFonts w:hint="eastAsia" w:ascii="宋体" w:hAnsi="宋体"/>
          <w:color w:val="auto"/>
          <w:sz w:val="24"/>
          <w:highlight w:val="none"/>
        </w:rPr>
        <w:t>公共卫生间</w:t>
      </w:r>
      <w:r>
        <w:rPr>
          <w:rFonts w:hint="eastAsia" w:ascii="宋体" w:hAnsi="宋体"/>
          <w:color w:val="auto"/>
          <w:sz w:val="24"/>
          <w:highlight w:val="none"/>
          <w:lang w:val="en-US" w:eastAsia="zh-CN"/>
        </w:rPr>
        <w:t>装修</w:t>
      </w:r>
      <w:r>
        <w:rPr>
          <w:rFonts w:hint="eastAsia" w:ascii="宋体" w:hAnsi="宋体"/>
          <w:color w:val="auto"/>
          <w:sz w:val="24"/>
          <w:highlight w:val="none"/>
        </w:rPr>
        <w:t>及下沉广场景观等，</w:t>
      </w:r>
      <w:r>
        <w:rPr>
          <w:rFonts w:hint="eastAsia" w:ascii="宋体" w:hAnsi="宋体"/>
          <w:color w:val="auto"/>
          <w:sz w:val="24"/>
          <w:highlight w:val="none"/>
          <w:lang w:eastAsia="zh-CN"/>
        </w:rPr>
        <w:t>装修建筑面积</w:t>
      </w:r>
      <w:r>
        <w:rPr>
          <w:rFonts w:hint="eastAsia" w:ascii="宋体" w:hAnsi="宋体"/>
          <w:color w:val="auto"/>
          <w:sz w:val="24"/>
          <w:highlight w:val="none"/>
          <w:lang w:val="en-US" w:eastAsia="zh-CN"/>
        </w:rPr>
        <w:t>约5600平方米。</w:t>
      </w:r>
      <w:bookmarkEnd w:id="1"/>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1、本工程划分为</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个标段。</w:t>
      </w:r>
    </w:p>
    <w:p>
      <w:pPr>
        <w:autoSpaceDN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rPr>
        <w:t>招标内容及规模：</w:t>
      </w:r>
      <w:r>
        <w:rPr>
          <w:rFonts w:hint="eastAsia" w:ascii="宋体" w:hAnsi="宋体"/>
          <w:color w:val="auto"/>
          <w:sz w:val="24"/>
          <w:highlight w:val="none"/>
        </w:rPr>
        <w:t>工程对应墙体、地面、天花等建筑与空间改造、消防</w:t>
      </w:r>
      <w:r>
        <w:rPr>
          <w:rFonts w:hint="eastAsia" w:ascii="宋体" w:hAnsi="宋体"/>
          <w:color w:val="auto"/>
          <w:sz w:val="24"/>
          <w:highlight w:val="none"/>
          <w:lang w:val="en-US" w:eastAsia="zh-CN"/>
        </w:rPr>
        <w:t>改造</w:t>
      </w:r>
      <w:r>
        <w:rPr>
          <w:rFonts w:hint="eastAsia" w:ascii="宋体" w:hAnsi="宋体"/>
          <w:color w:val="auto"/>
          <w:sz w:val="24"/>
          <w:highlight w:val="none"/>
          <w:lang w:eastAsia="zh-CN"/>
        </w:rPr>
        <w:t>、</w:t>
      </w:r>
      <w:r>
        <w:rPr>
          <w:rFonts w:hint="eastAsia" w:ascii="宋体" w:hAnsi="宋体"/>
          <w:color w:val="auto"/>
          <w:sz w:val="24"/>
          <w:highlight w:val="none"/>
        </w:rPr>
        <w:t>机电安装、电梯厅</w:t>
      </w:r>
      <w:r>
        <w:rPr>
          <w:rFonts w:hint="eastAsia" w:ascii="宋体" w:hAnsi="宋体"/>
          <w:color w:val="auto"/>
          <w:sz w:val="24"/>
          <w:highlight w:val="none"/>
          <w:lang w:val="en-US" w:eastAsia="zh-CN"/>
        </w:rPr>
        <w:t>改造</w:t>
      </w:r>
      <w:r>
        <w:rPr>
          <w:rFonts w:hint="eastAsia" w:ascii="宋体" w:hAnsi="宋体"/>
          <w:color w:val="auto"/>
          <w:sz w:val="24"/>
          <w:highlight w:val="none"/>
          <w:lang w:eastAsia="zh-CN"/>
        </w:rPr>
        <w:t>、</w:t>
      </w:r>
      <w:r>
        <w:rPr>
          <w:rFonts w:hint="eastAsia" w:ascii="宋体" w:hAnsi="宋体"/>
          <w:color w:val="auto"/>
          <w:sz w:val="24"/>
          <w:highlight w:val="none"/>
        </w:rPr>
        <w:t>公共卫生间</w:t>
      </w:r>
      <w:r>
        <w:rPr>
          <w:rFonts w:hint="eastAsia" w:ascii="宋体" w:hAnsi="宋体"/>
          <w:color w:val="auto"/>
          <w:sz w:val="24"/>
          <w:highlight w:val="none"/>
          <w:lang w:val="en-US" w:eastAsia="zh-CN"/>
        </w:rPr>
        <w:t>装修</w:t>
      </w:r>
      <w:r>
        <w:rPr>
          <w:rFonts w:hint="eastAsia" w:ascii="宋体" w:hAnsi="宋体"/>
          <w:color w:val="auto"/>
          <w:sz w:val="24"/>
          <w:highlight w:val="none"/>
        </w:rPr>
        <w:t>及下沉广场景观等，</w:t>
      </w:r>
      <w:r>
        <w:rPr>
          <w:rFonts w:hint="eastAsia" w:ascii="宋体" w:hAnsi="宋体"/>
          <w:color w:val="auto"/>
          <w:sz w:val="24"/>
          <w:highlight w:val="none"/>
          <w:lang w:eastAsia="zh-CN"/>
        </w:rPr>
        <w:t>装修建筑面积</w:t>
      </w:r>
      <w:r>
        <w:rPr>
          <w:rFonts w:hint="eastAsia" w:ascii="宋体" w:hAnsi="宋体"/>
          <w:color w:val="auto"/>
          <w:sz w:val="24"/>
          <w:highlight w:val="none"/>
          <w:lang w:val="en-US" w:eastAsia="zh-CN"/>
        </w:rPr>
        <w:t>约5600平方米。</w:t>
      </w:r>
      <w:r>
        <w:rPr>
          <w:rFonts w:hint="eastAsia" w:ascii="宋体" w:hAnsi="宋体" w:cs="宋体"/>
          <w:color w:val="auto"/>
          <w:sz w:val="24"/>
          <w:szCs w:val="24"/>
          <w:highlight w:val="none"/>
          <w:u w:val="single"/>
        </w:rPr>
        <w:t>具体以</w:t>
      </w:r>
      <w:r>
        <w:rPr>
          <w:rFonts w:hint="eastAsia" w:ascii="宋体" w:hAnsi="宋体" w:cs="宋体"/>
          <w:color w:val="auto"/>
          <w:sz w:val="24"/>
          <w:szCs w:val="24"/>
          <w:highlight w:val="none"/>
          <w:u w:val="single"/>
          <w:lang w:val="en-US" w:eastAsia="zh-CN"/>
        </w:rPr>
        <w:t>设计</w:t>
      </w:r>
      <w:r>
        <w:rPr>
          <w:rFonts w:hint="eastAsia" w:ascii="宋体" w:hAnsi="宋体" w:cs="宋体"/>
          <w:color w:val="auto"/>
          <w:sz w:val="24"/>
          <w:szCs w:val="24"/>
          <w:highlight w:val="none"/>
          <w:u w:val="single"/>
        </w:rPr>
        <w:t>图纸</w:t>
      </w:r>
      <w:r>
        <w:rPr>
          <w:rFonts w:hint="eastAsia" w:ascii="宋体" w:hAnsi="宋体" w:cs="宋体"/>
          <w:color w:val="auto"/>
          <w:sz w:val="24"/>
          <w:szCs w:val="24"/>
          <w:highlight w:val="none"/>
          <w:u w:val="single"/>
          <w:lang w:val="en-US" w:eastAsia="zh-CN"/>
        </w:rPr>
        <w:t>及</w:t>
      </w:r>
      <w:r>
        <w:rPr>
          <w:rFonts w:hint="eastAsia" w:ascii="宋体" w:hAnsi="宋体" w:cs="宋体"/>
          <w:color w:val="auto"/>
          <w:sz w:val="24"/>
          <w:szCs w:val="24"/>
          <w:highlight w:val="none"/>
          <w:u w:val="single"/>
        </w:rPr>
        <w:t>工程量清单为准。</w:t>
      </w:r>
    </w:p>
    <w:p>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rPr>
        <w:t>最高投标限价：</w:t>
      </w:r>
      <w:r>
        <w:rPr>
          <w:rFonts w:hint="eastAsia" w:ascii="宋体" w:hAnsi="宋体" w:cs="宋体"/>
          <w:color w:val="auto"/>
          <w:sz w:val="24"/>
          <w:szCs w:val="24"/>
          <w:highlight w:val="none"/>
          <w:u w:val="single"/>
          <w:lang w:val="en-US" w:eastAsia="zh-CN"/>
        </w:rPr>
        <w:t>8708169.51</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rPr>
        <w:t>详见招标人最终发出的《最高投标限价公布函》，投标价超过最高投标限价的投标文件将被拒绝。</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lang w:eastAsia="zh-CN"/>
        </w:rPr>
        <w:t>企业</w:t>
      </w:r>
      <w:r>
        <w:rPr>
          <w:rFonts w:hint="eastAsia" w:ascii="宋体" w:hAnsi="宋体" w:cs="宋体"/>
          <w:color w:val="auto"/>
          <w:sz w:val="24"/>
          <w:szCs w:val="24"/>
          <w:highlight w:val="none"/>
          <w:u w:val="single"/>
          <w:lang w:eastAsia="zh-CN"/>
        </w:rPr>
        <w:t>自筹资金</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wordWrap w:val="0"/>
        <w:snapToGrid w:val="0"/>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1、公告发布日期（含本日）：</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交易平台网站下载电子招标文件。</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widowControl w:val="0"/>
        <w:snapToGrid w:val="0"/>
        <w:spacing w:line="360" w:lineRule="auto"/>
        <w:ind w:left="0" w:leftChars="0"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widowControl w:val="0"/>
        <w:snapToGrid w:val="0"/>
        <w:spacing w:line="360" w:lineRule="auto"/>
        <w:ind w:left="0" w:leftChars="0" w:firstLine="2258" w:firstLineChars="941"/>
        <w:jc w:val="both"/>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widowControl w:val="0"/>
        <w:snapToGrid w:val="0"/>
        <w:spacing w:line="360" w:lineRule="auto"/>
        <w:ind w:firstLine="480" w:firstLineChars="200"/>
        <w:jc w:val="both"/>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分。</w:t>
      </w:r>
    </w:p>
    <w:p>
      <w:pPr>
        <w:widowControl w:val="0"/>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widowControl w:val="0"/>
        <w:snapToGrid w:val="0"/>
        <w:spacing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广州交易集团有限公司（广州公共资源交易中心）最新指引</w:t>
      </w:r>
      <w:r>
        <w:rPr>
          <w:rFonts w:hint="eastAsia" w:ascii="宋体" w:hAnsi="宋体" w:cs="宋体"/>
          <w:color w:val="auto"/>
          <w:sz w:val="24"/>
          <w:szCs w:val="24"/>
          <w:highlight w:val="none"/>
        </w:rPr>
        <w:t>。</w:t>
      </w:r>
    </w:p>
    <w:p>
      <w:pPr>
        <w:widowControl w:val="0"/>
        <w:snapToGrid w:val="0"/>
        <w:spacing w:line="360" w:lineRule="auto"/>
        <w:ind w:firstLine="480" w:firstLineChars="2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snapToGrid w:val="0"/>
        <w:spacing w:line="360" w:lineRule="auto"/>
        <w:ind w:firstLine="480" w:firstLineChars="2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w:t>
      </w:r>
      <w:r>
        <w:rPr>
          <w:rFonts w:hint="eastAsia" w:ascii="宋体" w:hAnsi="宋体" w:cs="宋体"/>
          <w:color w:val="auto"/>
          <w:kern w:val="0"/>
          <w:sz w:val="24"/>
          <w:szCs w:val="24"/>
          <w:highlight w:val="none"/>
        </w:rPr>
        <w:t>网站下载。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，指联合体各方）</w:t>
      </w:r>
      <w:r>
        <w:rPr>
          <w:rFonts w:hint="eastAsia" w:ascii="宋体" w:hAnsi="宋体" w:cs="宋体"/>
          <w:color w:val="auto"/>
          <w:sz w:val="24"/>
          <w:szCs w:val="24"/>
          <w:highlight w:val="none"/>
        </w:rPr>
        <w:t>具有独立法人资格，按国家法律经营。</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，指联合体各方）</w:t>
      </w:r>
      <w:r>
        <w:rPr>
          <w:rFonts w:hint="eastAsia" w:ascii="宋体" w:hAnsi="宋体" w:cs="宋体"/>
          <w:color w:val="auto"/>
          <w:sz w:val="24"/>
          <w:szCs w:val="24"/>
          <w:highlight w:val="none"/>
        </w:rPr>
        <w:t>持有建设行政主管部门颁发的</w:t>
      </w:r>
      <w:r>
        <w:rPr>
          <w:rFonts w:hint="eastAsia" w:ascii="宋体" w:hAnsi="宋体" w:cs="宋体"/>
          <w:color w:val="auto"/>
          <w:sz w:val="24"/>
          <w:szCs w:val="24"/>
          <w:highlight w:val="none"/>
          <w:u w:val="single"/>
        </w:rPr>
        <w:t>有效期内的</w:t>
      </w:r>
      <w:r>
        <w:rPr>
          <w:rFonts w:hint="eastAsia" w:ascii="宋体" w:hAnsi="宋体" w:cs="宋体"/>
          <w:color w:val="auto"/>
          <w:sz w:val="24"/>
          <w:szCs w:val="24"/>
          <w:highlight w:val="none"/>
        </w:rPr>
        <w:t>企业资质证书及安全生产许可证。</w:t>
      </w:r>
    </w:p>
    <w:p>
      <w:pPr>
        <w:snapToGrid w:val="0"/>
        <w:spacing w:line="360" w:lineRule="auto"/>
        <w:ind w:firstLine="480" w:firstLineChars="200"/>
        <w:rPr>
          <w:rFonts w:ascii="宋体" w:hAnsi="宋体" w:cs="宋体"/>
          <w:i/>
          <w:color w:val="auto"/>
          <w:sz w:val="24"/>
          <w:szCs w:val="24"/>
          <w:highlight w:val="none"/>
        </w:rPr>
      </w:pPr>
      <w:r>
        <w:rPr>
          <w:rFonts w:hint="eastAsia" w:ascii="宋体" w:hAnsi="宋体" w:cs="宋体"/>
          <w:color w:val="auto"/>
          <w:sz w:val="24"/>
          <w:szCs w:val="24"/>
          <w:highlight w:val="none"/>
        </w:rPr>
        <w:t>4、投标人应具备以下资质：</w:t>
      </w:r>
    </w:p>
    <w:p>
      <w:pPr>
        <w:pStyle w:val="5"/>
        <w:keepNext w:val="0"/>
        <w:keepLines w:val="0"/>
        <w:pageBreakBefore w:val="0"/>
        <w:widowControl w:val="0"/>
        <w:tabs>
          <w:tab w:val="left" w:pos="7867"/>
          <w:tab w:val="left" w:pos="9071"/>
          <w:tab w:val="left" w:pos="9313"/>
        </w:tabs>
        <w:kinsoku w:val="0"/>
        <w:wordWrap/>
        <w:overflowPunct w:val="0"/>
        <w:topLinePunct w:val="0"/>
        <w:autoSpaceDE/>
        <w:autoSpaceDN/>
        <w:bidi w:val="0"/>
        <w:adjustRightInd/>
        <w:snapToGrid w:val="0"/>
        <w:spacing w:after="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投标人具有承接本工程所需的</w:t>
      </w:r>
      <w:r>
        <w:rPr>
          <w:rFonts w:hint="eastAsia" w:ascii="宋体" w:hAnsi="宋体" w:cs="宋体"/>
          <w:color w:val="auto"/>
          <w:sz w:val="24"/>
          <w:szCs w:val="24"/>
          <w:highlight w:val="none"/>
          <w:u w:val="single"/>
          <w:lang w:val="en-US" w:eastAsia="zh-CN"/>
        </w:rPr>
        <w:t>建筑装修装饰工程专业承包二级</w:t>
      </w:r>
      <w:r>
        <w:rPr>
          <w:rFonts w:hint="eastAsia" w:ascii="宋体" w:hAnsi="宋体" w:cs="宋体"/>
          <w:color w:val="auto"/>
          <w:sz w:val="24"/>
          <w:szCs w:val="24"/>
          <w:highlight w:val="none"/>
          <w:lang w:eastAsia="zh-CN"/>
        </w:rPr>
        <w:t>或以上级别</w:t>
      </w:r>
      <w:r>
        <w:rPr>
          <w:rFonts w:hint="eastAsia" w:ascii="宋体" w:hAnsi="宋体" w:cs="宋体"/>
          <w:color w:val="auto"/>
          <w:sz w:val="24"/>
          <w:szCs w:val="24"/>
          <w:highlight w:val="none"/>
          <w:lang w:val="en-US" w:eastAsia="zh-CN"/>
        </w:rPr>
        <w:t>专业承包</w:t>
      </w:r>
      <w:r>
        <w:rPr>
          <w:rFonts w:hint="eastAsia" w:ascii="宋体" w:hAnsi="宋体" w:cs="宋体"/>
          <w:color w:val="auto"/>
          <w:sz w:val="24"/>
          <w:szCs w:val="24"/>
          <w:highlight w:val="none"/>
          <w:lang w:eastAsia="zh-CN"/>
        </w:rPr>
        <w:t>资质</w:t>
      </w:r>
      <w:r>
        <w:rPr>
          <w:rFonts w:hint="eastAsia" w:ascii="宋体" w:hAnsi="宋体" w:eastAsia="宋体" w:cs="Times New Roman"/>
          <w:strike w:val="0"/>
          <w:dstrike w:val="0"/>
          <w:color w:val="auto"/>
          <w:sz w:val="24"/>
          <w:szCs w:val="24"/>
          <w:highlight w:val="none"/>
          <w:u w:val="single"/>
        </w:rPr>
        <w:t>或具备相应的建筑装饰装修工程设计与施工资质（以资质证书许可范围为准，须在有效期内）</w:t>
      </w:r>
      <w:r>
        <w:rPr>
          <w:rFonts w:hint="eastAsia" w:ascii="宋体" w:hAnsi="宋体" w:cs="宋体"/>
          <w:color w:val="auto"/>
          <w:sz w:val="24"/>
          <w:szCs w:val="24"/>
          <w:highlight w:val="none"/>
          <w:lang w:val="en-US" w:eastAsia="zh-CN"/>
        </w:rPr>
        <w:t>及消防设施工程专业承包二级或以上级别专业承包资质</w:t>
      </w:r>
      <w:r>
        <w:rPr>
          <w:rFonts w:hint="eastAsia" w:ascii="宋体" w:hAnsi="宋体" w:eastAsia="宋体" w:cs="宋体"/>
          <w:color w:val="auto"/>
          <w:sz w:val="24"/>
          <w:szCs w:val="24"/>
          <w:highlight w:val="none"/>
        </w:rPr>
        <w:t>。</w:t>
      </w:r>
    </w:p>
    <w:p>
      <w:pPr>
        <w:pStyle w:val="5"/>
        <w:keepNext w:val="0"/>
        <w:keepLines w:val="0"/>
        <w:pageBreakBefore w:val="0"/>
        <w:widowControl w:val="0"/>
        <w:tabs>
          <w:tab w:val="left" w:pos="7867"/>
          <w:tab w:val="left" w:pos="9071"/>
          <w:tab w:val="left" w:pos="9313"/>
        </w:tabs>
        <w:kinsoku w:val="0"/>
        <w:wordWrap/>
        <w:overflowPunct w:val="0"/>
        <w:topLinePunct w:val="0"/>
        <w:autoSpaceDE/>
        <w:autoSpaceDN/>
        <w:bidi w:val="0"/>
        <w:adjustRightInd/>
        <w:snapToGrid w:val="0"/>
        <w:spacing w:after="0" w:line="360" w:lineRule="auto"/>
        <w:ind w:right="0" w:firstLine="480" w:firstLineChars="200"/>
        <w:textAlignment w:val="auto"/>
        <w:rPr>
          <w:rFonts w:ascii="宋体" w:hAnsi="宋体" w:cs="宋体"/>
          <w:color w:val="auto"/>
          <w:sz w:val="24"/>
          <w:szCs w:val="24"/>
          <w:highlight w:val="none"/>
        </w:rPr>
      </w:pPr>
      <w:r>
        <w:rPr>
          <w:rFonts w:hint="eastAsia" w:ascii="宋体" w:hAnsi="宋体" w:cs="宋体"/>
          <w:color w:val="auto"/>
          <w:spacing w:val="0"/>
          <w:sz w:val="24"/>
          <w:szCs w:val="24"/>
          <w:highlight w:val="none"/>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cs="宋体"/>
          <w:color w:val="auto"/>
          <w:spacing w:val="0"/>
          <w:sz w:val="24"/>
          <w:szCs w:val="24"/>
          <w:highlight w:val="none"/>
        </w:rPr>
        <w:t>拟担任本工程项目负责人的人员为：</w:t>
      </w:r>
      <w:r>
        <w:rPr>
          <w:rFonts w:hint="eastAsia" w:ascii="宋体" w:hAnsi="宋体" w:cs="宋体"/>
          <w:b/>
          <w:bCs/>
          <w:color w:val="auto"/>
          <w:spacing w:val="0"/>
          <w:sz w:val="24"/>
          <w:szCs w:val="24"/>
          <w:highlight w:val="none"/>
          <w:u w:val="single"/>
          <w:lang w:val="en-US" w:eastAsia="zh-CN"/>
        </w:rPr>
        <w:t>装饰装修</w:t>
      </w:r>
      <w:r>
        <w:rPr>
          <w:rFonts w:hint="eastAsia" w:ascii="宋体" w:hAnsi="宋体" w:cs="宋体"/>
          <w:b/>
          <w:bCs/>
          <w:color w:val="auto"/>
          <w:spacing w:val="0"/>
          <w:sz w:val="24"/>
          <w:szCs w:val="24"/>
          <w:highlight w:val="none"/>
          <w:u w:val="single"/>
        </w:rPr>
        <w:t>工程专业</w:t>
      </w:r>
      <w:r>
        <w:rPr>
          <w:rFonts w:hint="eastAsia" w:ascii="宋体" w:hAnsi="宋体" w:cs="宋体"/>
          <w:b/>
          <w:bCs/>
          <w:color w:val="auto"/>
          <w:spacing w:val="0"/>
          <w:sz w:val="24"/>
          <w:szCs w:val="24"/>
          <w:highlight w:val="none"/>
          <w:u w:val="single"/>
          <w:lang w:val="en-US" w:eastAsia="zh-CN"/>
        </w:rPr>
        <w:t>二</w:t>
      </w:r>
      <w:r>
        <w:rPr>
          <w:rFonts w:hint="eastAsia" w:ascii="宋体" w:hAnsi="宋体" w:cs="宋体"/>
          <w:b/>
          <w:bCs/>
          <w:color w:val="auto"/>
          <w:spacing w:val="0"/>
          <w:sz w:val="24"/>
          <w:szCs w:val="24"/>
          <w:highlight w:val="none"/>
          <w:u w:val="single"/>
        </w:rPr>
        <w:t>级</w:t>
      </w:r>
      <w:r>
        <w:rPr>
          <w:rFonts w:hint="eastAsia" w:ascii="宋体" w:hAnsi="宋体" w:cs="宋体"/>
          <w:color w:val="auto"/>
          <w:spacing w:val="-6"/>
          <w:sz w:val="24"/>
          <w:szCs w:val="24"/>
          <w:highlight w:val="none"/>
        </w:rPr>
        <w:t>或以上</w:t>
      </w:r>
      <w:r>
        <w:rPr>
          <w:rFonts w:hint="eastAsia" w:ascii="宋体" w:hAnsi="宋体" w:cs="宋体"/>
          <w:color w:val="auto"/>
          <w:spacing w:val="-6"/>
          <w:sz w:val="24"/>
          <w:szCs w:val="24"/>
          <w:highlight w:val="none"/>
          <w:lang w:eastAsia="zh-CN"/>
        </w:rPr>
        <w:t>的</w:t>
      </w:r>
      <w:r>
        <w:rPr>
          <w:rFonts w:hint="eastAsia" w:ascii="宋体" w:hAnsi="宋体" w:cs="宋体"/>
          <w:color w:val="auto"/>
          <w:spacing w:val="0"/>
          <w:sz w:val="24"/>
          <w:szCs w:val="24"/>
          <w:highlight w:val="none"/>
        </w:rPr>
        <w:t>注册建</w:t>
      </w:r>
      <w:r>
        <w:rPr>
          <w:rFonts w:hint="eastAsia" w:ascii="宋体" w:hAnsi="宋体" w:cs="宋体"/>
          <w:color w:val="auto"/>
          <w:sz w:val="24"/>
          <w:szCs w:val="24"/>
          <w:highlight w:val="none"/>
        </w:rPr>
        <w:t>造师。</w:t>
      </w:r>
    </w:p>
    <w:p>
      <w:pPr>
        <w:shd w:val="clear" w:color="auto" w:fill="auto"/>
        <w:autoSpaceDE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olor w:val="auto"/>
          <w:sz w:val="24"/>
          <w:highlight w:val="none"/>
        </w:rPr>
        <w:t>注：</w:t>
      </w:r>
      <w:r>
        <w:rPr>
          <w:rFonts w:hint="eastAsia" w:ascii="宋体" w:hAnsi="宋体" w:cs="宋体"/>
          <w:color w:val="auto"/>
          <w:sz w:val="24"/>
          <w:szCs w:val="24"/>
          <w:highlight w:val="none"/>
          <w:lang w:bidi="ar"/>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keepNext w:val="0"/>
        <w:keepLines w:val="0"/>
        <w:pageBreakBefore w:val="0"/>
        <w:widowControl w:val="0"/>
        <w:wordWrap/>
        <w:topLinePunct w:val="0"/>
        <w:autoSpaceDE/>
        <w:autoSpaceDN/>
        <w:bidi w:val="0"/>
        <w:adjustRightInd/>
        <w:snapToGrid w:val="0"/>
        <w:spacing w:line="360" w:lineRule="auto"/>
        <w:ind w:firstLine="480" w:firstLineChars="200"/>
        <w:textAlignment w:val="auto"/>
        <w:rPr>
          <w:rFonts w:ascii="宋体" w:hAnsi="宋体"/>
          <w:color w:val="auto"/>
          <w:sz w:val="24"/>
          <w:highlight w:val="none"/>
        </w:rPr>
      </w:pPr>
      <w:r>
        <w:rPr>
          <w:rFonts w:hint="eastAsia" w:ascii="宋体" w:hAnsi="宋体" w:cs="宋体"/>
          <w:color w:val="auto"/>
          <w:sz w:val="24"/>
          <w:szCs w:val="24"/>
          <w:highlight w:val="none"/>
          <w:lang w:bidi="ar"/>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w:t>
      </w:r>
      <w:r>
        <w:rPr>
          <w:rFonts w:hint="eastAsia" w:ascii="宋体" w:hAnsi="宋体" w:cs="宋体"/>
          <w:color w:val="auto"/>
          <w:sz w:val="24"/>
          <w:szCs w:val="24"/>
          <w:highlight w:val="none"/>
          <w:lang w:eastAsia="zh-CN" w:bidi="ar"/>
        </w:rPr>
        <w:t>、《广东省住房和城乡建设厅关于做好有关建设工程企业资质证书换领工作的通知》（粤建许函〔2024〕124号）</w:t>
      </w:r>
      <w:r>
        <w:rPr>
          <w:rFonts w:hint="eastAsia" w:ascii="宋体" w:hAnsi="宋体" w:cs="宋体"/>
          <w:color w:val="auto"/>
          <w:sz w:val="24"/>
          <w:szCs w:val="24"/>
          <w:highlight w:val="none"/>
          <w:lang w:bidi="ar"/>
        </w:rPr>
        <w:t>等相关规定。根据上述文件的要求，投标人需办理企业资质有效期延续的，应当按照相关规定及时办理。</w:t>
      </w:r>
    </w:p>
    <w:p>
      <w:pPr>
        <w:shd w:val="clear" w:color="auto" w:fill="auto"/>
        <w:autoSpaceDE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hd w:val="clear" w:color="auto" w:fill="auto"/>
        <w:autoSpaceDE w:val="0"/>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numPr>
          <w:ilvl w:val="-1"/>
          <w:numId w:val="0"/>
        </w:numPr>
        <w:shd w:val="clear" w:color="auto" w:fill="auto"/>
        <w:autoSpaceDE w:val="0"/>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numPr>
          <w:ilvl w:val="-1"/>
          <w:numId w:val="0"/>
        </w:numPr>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s="宋体"/>
          <w:color w:val="auto"/>
          <w:kern w:val="0"/>
          <w:sz w:val="24"/>
          <w:szCs w:val="24"/>
          <w:highlight w:val="none"/>
          <w:lang w:val="en-US" w:eastAsia="zh-CN"/>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cs="宋体"/>
          <w:color w:val="auto"/>
          <w:kern w:val="0"/>
          <w:sz w:val="24"/>
          <w:szCs w:val="24"/>
          <w:highlight w:val="none"/>
          <w:lang w:val="en-US" w:eastAsia="zh-CN"/>
        </w:rPr>
        <w:t>拟派</w:t>
      </w:r>
      <w:r>
        <w:rPr>
          <w:rFonts w:hint="eastAsia" w:ascii="宋体" w:hAnsi="宋体"/>
          <w:color w:val="auto"/>
          <w:sz w:val="24"/>
          <w:szCs w:val="24"/>
          <w:highlight w:val="none"/>
        </w:rPr>
        <w:t>项目负责人持有</w:t>
      </w:r>
      <w:r>
        <w:rPr>
          <w:rFonts w:hint="eastAsia" w:ascii="宋体" w:hAnsi="宋体"/>
          <w:color w:val="auto"/>
          <w:sz w:val="24"/>
          <w:szCs w:val="24"/>
          <w:highlight w:val="none"/>
          <w:u w:val="single"/>
        </w:rPr>
        <w:t>有效期内的</w:t>
      </w:r>
      <w:r>
        <w:rPr>
          <w:rFonts w:hint="eastAsia" w:ascii="宋体" w:hAnsi="宋体"/>
          <w:color w:val="auto"/>
          <w:sz w:val="24"/>
          <w:szCs w:val="24"/>
          <w:highlight w:val="none"/>
        </w:rPr>
        <w:t>安全生产考核合格证（B类）或建筑施工企业项目负责人安全生产考核合格证书。</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pStyle w:val="23"/>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拟担任本工程技术负责人的资格要求为：</w:t>
      </w:r>
      <w:r>
        <w:rPr>
          <w:rFonts w:hint="eastAsia" w:ascii="宋体" w:hAnsi="宋体" w:eastAsia="宋体" w:cs="宋体"/>
          <w:color w:val="auto"/>
          <w:kern w:val="2"/>
          <w:sz w:val="24"/>
          <w:szCs w:val="24"/>
          <w:highlight w:val="none"/>
          <w:u w:val="single"/>
        </w:rPr>
        <w:t>具有建筑类专业中级或以上职称</w:t>
      </w:r>
      <w:r>
        <w:rPr>
          <w:rFonts w:hint="eastAsia" w:ascii="宋体" w:hAnsi="宋体" w:eastAsia="宋体" w:cs="宋体"/>
          <w:color w:val="auto"/>
          <w:sz w:val="24"/>
          <w:szCs w:val="24"/>
          <w:highlight w:val="none"/>
          <w:u w:val="single"/>
        </w:rPr>
        <w:t>。</w:t>
      </w: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kern w:val="0"/>
          <w:sz w:val="24"/>
          <w:szCs w:val="24"/>
          <w:highlight w:val="none"/>
          <w:lang w:val="en-US" w:eastAsia="zh-CN"/>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主办方</w:t>
      </w:r>
      <w:r>
        <w:rPr>
          <w:rFonts w:hint="eastAsia" w:ascii="宋体" w:hAnsi="宋体" w:eastAsia="宋体"/>
          <w:color w:val="auto"/>
          <w:sz w:val="24"/>
          <w:szCs w:val="24"/>
          <w:highlight w:val="none"/>
        </w:rPr>
        <w:t>）</w:t>
      </w:r>
      <w:r>
        <w:rPr>
          <w:rFonts w:hint="eastAsia" w:ascii="宋体" w:hAnsi="宋体" w:cs="宋体"/>
          <w:color w:val="auto"/>
          <w:kern w:val="0"/>
          <w:sz w:val="24"/>
          <w:szCs w:val="24"/>
          <w:highlight w:val="none"/>
          <w:lang w:val="en-US" w:eastAsia="zh-CN"/>
        </w:rPr>
        <w:t>拟派</w:t>
      </w:r>
      <w:r>
        <w:rPr>
          <w:rFonts w:hint="eastAsia" w:ascii="宋体" w:hAnsi="宋体"/>
          <w:color w:val="auto"/>
          <w:sz w:val="24"/>
          <w:szCs w:val="24"/>
          <w:highlight w:val="none"/>
        </w:rPr>
        <w:t>专职安全员须具有</w:t>
      </w:r>
      <w:r>
        <w:rPr>
          <w:rFonts w:hint="eastAsia" w:ascii="宋体" w:hAnsi="宋体"/>
          <w:color w:val="auto"/>
          <w:sz w:val="24"/>
          <w:szCs w:val="24"/>
          <w:highlight w:val="none"/>
          <w:u w:val="single"/>
        </w:rPr>
        <w:t>有效期内的</w:t>
      </w:r>
      <w:r>
        <w:rPr>
          <w:rFonts w:hint="eastAsia" w:ascii="宋体" w:hAnsi="宋体"/>
          <w:color w:val="auto"/>
          <w:sz w:val="24"/>
          <w:szCs w:val="24"/>
          <w:highlight w:val="none"/>
        </w:rPr>
        <w:t>安全生产考核合格证（C类）或建筑施工企业专职安全生产管理人员安全生产考核合格证书（C3）</w:t>
      </w:r>
      <w:r>
        <w:rPr>
          <w:rFonts w:hint="eastAsia" w:ascii="宋体" w:hAnsi="宋体" w:cs="宋体"/>
          <w:color w:val="auto"/>
          <w:kern w:val="0"/>
          <w:sz w:val="24"/>
          <w:szCs w:val="24"/>
          <w:highlight w:val="none"/>
        </w:rPr>
        <w:t>。</w:t>
      </w:r>
    </w:p>
    <w:p>
      <w:pPr>
        <w:snapToGrid w:val="0"/>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kern w:val="0"/>
          <w:sz w:val="24"/>
          <w:szCs w:val="24"/>
          <w:highlight w:val="none"/>
        </w:rPr>
        <w:t>8</w:t>
      </w:r>
      <w:r>
        <w:rPr>
          <w:rFonts w:hint="eastAsia" w:ascii="宋体" w:hAnsi="宋体" w:cs="宋体"/>
          <w:color w:val="auto"/>
          <w:sz w:val="24"/>
          <w:szCs w:val="24"/>
          <w:highlight w:val="none"/>
        </w:rPr>
        <w:t>、投标人已按照附件一的内容签署盖章的投标人声明。</w:t>
      </w:r>
    </w:p>
    <w:p>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color w:val="auto"/>
          <w:sz w:val="24"/>
          <w:szCs w:val="24"/>
          <w:highlight w:val="none"/>
          <w:lang w:val="en-US" w:eastAsia="zh-CN"/>
        </w:rPr>
      </w:pPr>
      <w:r>
        <w:rPr>
          <w:rFonts w:hint="eastAsia" w:ascii="宋体" w:hAnsi="宋体" w:cs="宋体"/>
          <w:color w:val="auto"/>
          <w:sz w:val="24"/>
          <w:szCs w:val="24"/>
          <w:highlight w:val="none"/>
        </w:rPr>
        <w:t>9、关于联合体投标：</w:t>
      </w:r>
      <w:r>
        <w:rPr>
          <w:rFonts w:hint="eastAsia" w:ascii="宋体" w:hAnsi="宋体" w:eastAsia="宋体" w:cs="宋体"/>
          <w:color w:val="auto"/>
          <w:sz w:val="24"/>
          <w:szCs w:val="24"/>
          <w:highlight w:val="none"/>
          <w:lang w:eastAsia="zh-CN"/>
        </w:rPr>
        <w:t>本次招标</w:t>
      </w:r>
      <w:r>
        <w:rPr>
          <w:rFonts w:hint="eastAsia" w:ascii="宋体" w:hAnsi="宋体" w:eastAsia="宋体" w:cs="宋体"/>
          <w:b/>
          <w:bCs/>
          <w:color w:val="auto"/>
          <w:sz w:val="24"/>
          <w:szCs w:val="24"/>
          <w:highlight w:val="none"/>
          <w:u w:val="single"/>
          <w:lang w:val="en-US" w:eastAsia="zh-CN"/>
        </w:rPr>
        <w:t>接受</w:t>
      </w:r>
      <w:r>
        <w:rPr>
          <w:rFonts w:hint="eastAsia" w:ascii="宋体" w:hAnsi="宋体" w:eastAsia="宋体" w:cs="宋体"/>
          <w:color w:val="auto"/>
          <w:sz w:val="24"/>
          <w:szCs w:val="24"/>
          <w:highlight w:val="none"/>
          <w:lang w:val="en-US" w:eastAsia="zh-CN"/>
        </w:rPr>
        <w:t>联合体投标。</w:t>
      </w:r>
      <w:r>
        <w:rPr>
          <w:rFonts w:hint="eastAsia" w:ascii="宋体" w:hAnsi="宋体"/>
          <w:color w:val="auto"/>
          <w:sz w:val="24"/>
          <w:szCs w:val="24"/>
          <w:highlight w:val="none"/>
          <w:lang w:val="en-US" w:eastAsia="zh-CN"/>
        </w:rPr>
        <w:t>联合体投标的，应满足下列要求：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联合体各方应按</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公告附件二签订联合体工作协议，明确联合体</w:t>
      </w:r>
      <w:r>
        <w:rPr>
          <w:rFonts w:hint="eastAsia" w:ascii="宋体" w:hAnsi="宋体" w:cs="Times New Roman"/>
          <w:color w:val="auto"/>
          <w:sz w:val="24"/>
          <w:szCs w:val="24"/>
          <w:highlight w:val="none"/>
          <w:lang w:eastAsia="zh-CN"/>
        </w:rPr>
        <w:t>主办方</w:t>
      </w:r>
      <w:r>
        <w:rPr>
          <w:rFonts w:hint="eastAsia" w:ascii="宋体" w:hAnsi="宋体" w:eastAsia="宋体" w:cs="Times New Roman"/>
          <w:color w:val="auto"/>
          <w:sz w:val="24"/>
          <w:szCs w:val="24"/>
          <w:highlight w:val="none"/>
        </w:rPr>
        <w:t>和各方权利义务，并承诺就中标项目向招标人承担连带责任</w:t>
      </w:r>
      <w:r>
        <w:rPr>
          <w:rFonts w:hint="eastAsia" w:ascii="宋体" w:hAnsi="宋体"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联合体所有成员</w:t>
      </w:r>
      <w:r>
        <w:rPr>
          <w:rFonts w:hint="eastAsia" w:ascii="宋体" w:hAnsi="宋体" w:eastAsia="宋体" w:cs="Times New Roman"/>
          <w:b w:val="0"/>
          <w:bCs w:val="0"/>
          <w:color w:val="auto"/>
          <w:sz w:val="24"/>
          <w:szCs w:val="24"/>
          <w:highlight w:val="none"/>
          <w:u w:val="none"/>
        </w:rPr>
        <w:t>（</w:t>
      </w:r>
      <w:r>
        <w:rPr>
          <w:rFonts w:hint="eastAsia" w:ascii="宋体" w:hAnsi="宋体" w:eastAsia="宋体" w:cs="Times New Roman"/>
          <w:b w:val="0"/>
          <w:bCs w:val="0"/>
          <w:color w:val="auto"/>
          <w:sz w:val="24"/>
          <w:szCs w:val="24"/>
          <w:highlight w:val="none"/>
          <w:u w:val="none"/>
          <w:lang w:val="en-US" w:eastAsia="zh-CN"/>
        </w:rPr>
        <w:t>含</w:t>
      </w:r>
      <w:r>
        <w:rPr>
          <w:rFonts w:hint="eastAsia" w:ascii="宋体" w:hAnsi="宋体" w:cs="Times New Roman"/>
          <w:b w:val="0"/>
          <w:bCs w:val="0"/>
          <w:color w:val="auto"/>
          <w:sz w:val="24"/>
          <w:szCs w:val="24"/>
          <w:highlight w:val="none"/>
          <w:u w:val="none"/>
          <w:lang w:eastAsia="zh-CN"/>
        </w:rPr>
        <w:t>主办方</w:t>
      </w:r>
      <w:r>
        <w:rPr>
          <w:rFonts w:hint="eastAsia" w:ascii="宋体" w:hAnsi="宋体" w:eastAsia="宋体" w:cs="Times New Roman"/>
          <w:b w:val="0"/>
          <w:bCs w:val="0"/>
          <w:color w:val="auto"/>
          <w:sz w:val="24"/>
          <w:szCs w:val="24"/>
          <w:highlight w:val="none"/>
          <w:u w:val="none"/>
        </w:rPr>
        <w:t>）</w:t>
      </w:r>
      <w:r>
        <w:rPr>
          <w:rFonts w:hint="eastAsia" w:ascii="宋体" w:hAnsi="宋体" w:eastAsia="宋体" w:cs="Times New Roman"/>
          <w:color w:val="auto"/>
          <w:sz w:val="24"/>
          <w:szCs w:val="24"/>
          <w:highlight w:val="none"/>
        </w:rPr>
        <w:t>数量不得超过</w:t>
      </w:r>
      <w:r>
        <w:rPr>
          <w:rFonts w:hint="eastAsia" w:ascii="宋体" w:hAnsi="宋体" w:eastAsia="宋体" w:cs="Times New Roman"/>
          <w:b/>
          <w:bCs/>
          <w:color w:val="auto"/>
          <w:sz w:val="24"/>
          <w:szCs w:val="24"/>
          <w:highlight w:val="none"/>
          <w:u w:val="single"/>
          <w:lang w:eastAsia="zh-CN"/>
        </w:rPr>
        <w:t>2</w:t>
      </w:r>
      <w:r>
        <w:rPr>
          <w:rFonts w:hint="eastAsia" w:ascii="宋体" w:hAnsi="宋体" w:eastAsia="宋体" w:cs="Times New Roman"/>
          <w:b/>
          <w:bCs/>
          <w:color w:val="auto"/>
          <w:sz w:val="24"/>
          <w:szCs w:val="24"/>
          <w:highlight w:val="none"/>
        </w:rPr>
        <w:t>个</w:t>
      </w:r>
      <w:r>
        <w:rPr>
          <w:rFonts w:hint="eastAsia" w:ascii="宋体" w:hAnsi="宋体"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投标人组成联合体，应以</w:t>
      </w:r>
      <w:r>
        <w:rPr>
          <w:rFonts w:hint="eastAsia" w:ascii="宋体" w:hAnsi="宋体" w:eastAsia="宋体" w:cs="Times New Roman"/>
          <w:color w:val="auto"/>
          <w:sz w:val="24"/>
          <w:szCs w:val="24"/>
          <w:highlight w:val="none"/>
          <w:lang w:eastAsia="zh-CN"/>
        </w:rPr>
        <w:t>满足</w:t>
      </w:r>
      <w:r>
        <w:rPr>
          <w:rFonts w:hint="eastAsia" w:ascii="宋体" w:hAnsi="宋体" w:cs="宋体"/>
          <w:b/>
          <w:bCs/>
          <w:color w:val="auto"/>
          <w:sz w:val="24"/>
          <w:szCs w:val="24"/>
          <w:highlight w:val="none"/>
          <w:u w:val="single"/>
          <w:lang w:val="en-US" w:eastAsia="zh-CN"/>
        </w:rPr>
        <w:t>建筑装修装饰工程专业承包二级</w:t>
      </w:r>
      <w:r>
        <w:rPr>
          <w:rFonts w:hint="eastAsia" w:ascii="宋体" w:hAnsi="宋体" w:cs="宋体"/>
          <w:b/>
          <w:bCs/>
          <w:color w:val="auto"/>
          <w:sz w:val="24"/>
          <w:szCs w:val="24"/>
          <w:highlight w:val="none"/>
          <w:lang w:eastAsia="zh-CN"/>
        </w:rPr>
        <w:t>或以上级别</w:t>
      </w:r>
      <w:r>
        <w:rPr>
          <w:rFonts w:hint="eastAsia" w:ascii="宋体" w:hAnsi="宋体" w:cs="宋体"/>
          <w:b/>
          <w:bCs/>
          <w:color w:val="auto"/>
          <w:sz w:val="24"/>
          <w:szCs w:val="24"/>
          <w:highlight w:val="none"/>
          <w:lang w:val="en-US" w:eastAsia="zh-CN"/>
        </w:rPr>
        <w:t>专业承包</w:t>
      </w:r>
      <w:r>
        <w:rPr>
          <w:rFonts w:hint="eastAsia" w:ascii="宋体" w:hAnsi="宋体" w:cs="宋体"/>
          <w:b/>
          <w:bCs/>
          <w:color w:val="auto"/>
          <w:sz w:val="24"/>
          <w:szCs w:val="24"/>
          <w:highlight w:val="none"/>
          <w:lang w:eastAsia="zh-CN"/>
        </w:rPr>
        <w:t>资质</w:t>
      </w:r>
      <w:r>
        <w:rPr>
          <w:rFonts w:hint="eastAsia" w:ascii="宋体" w:hAnsi="宋体" w:eastAsia="宋体" w:cs="Times New Roman"/>
          <w:color w:val="auto"/>
          <w:sz w:val="24"/>
          <w:szCs w:val="24"/>
          <w:highlight w:val="none"/>
          <w:u w:val="none"/>
          <w:lang w:eastAsia="zh-CN"/>
        </w:rPr>
        <w:t>要求的企业</w:t>
      </w:r>
      <w:r>
        <w:rPr>
          <w:rFonts w:hint="eastAsia" w:ascii="宋体" w:hAnsi="宋体" w:eastAsia="宋体" w:cs="Times New Roman"/>
          <w:color w:val="auto"/>
          <w:sz w:val="24"/>
          <w:szCs w:val="24"/>
          <w:highlight w:val="none"/>
        </w:rPr>
        <w:t>为主办方，并签定联合体工作协议</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联合体工作协议应明确约定各方拟承担的工作和责任。投标人拟任本工程项目负责人应为主办方正式员工。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由同一专业的单位组成的联合体，按照资质等级较低的单位确定资质等级</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kern w:val="2"/>
          <w:sz w:val="24"/>
          <w:szCs w:val="24"/>
          <w:highlight w:val="none"/>
        </w:rPr>
        <w:t>组成联合体承接按资质标准划分为同一类工程的投标人，其人员、资金、机械设备等资源性指标可合并计算。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组成联合体承接按资质标准划分为多类工程的投标人，应在联合体协议中明确承接每一类工程的成员单位。在资格审查</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评标环节，均应先按本条第（</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）项规定逐类评审，再将各类评审结果汇总</w:t>
      </w:r>
      <w:r>
        <w:rPr>
          <w:rFonts w:hint="eastAsia" w:ascii="宋体" w:hAnsi="宋体" w:eastAsia="宋体" w:cs="Times New Roman"/>
          <w:color w:val="auto"/>
          <w:sz w:val="24"/>
          <w:szCs w:val="24"/>
          <w:highlight w:val="none"/>
          <w:lang w:eastAsia="zh-CN"/>
        </w:rPr>
        <w:t>。若设置了企业信用评价得分项的，</w:t>
      </w:r>
      <w:r>
        <w:rPr>
          <w:rFonts w:hint="eastAsia"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lang w:eastAsia="zh-CN"/>
        </w:rPr>
        <w:t>企业信用评价得分</w:t>
      </w:r>
      <w:r>
        <w:rPr>
          <w:rFonts w:hint="eastAsia" w:ascii="宋体" w:hAnsi="宋体" w:eastAsia="宋体" w:cs="Times New Roman"/>
          <w:color w:val="auto"/>
          <w:sz w:val="24"/>
          <w:szCs w:val="24"/>
          <w:highlight w:val="none"/>
        </w:rPr>
        <w:t>以</w:t>
      </w:r>
      <w:r>
        <w:rPr>
          <w:rFonts w:hint="eastAsia" w:ascii="宋体" w:hAnsi="宋体" w:eastAsia="宋体" w:cs="Times New Roman"/>
          <w:strike w:val="0"/>
          <w:color w:val="auto"/>
          <w:sz w:val="24"/>
          <w:szCs w:val="24"/>
          <w:highlight w:val="none"/>
          <w:u w:val="none"/>
          <w:lang w:val="en-US" w:eastAsia="zh-CN"/>
        </w:rPr>
        <w:t>联合体主办方的企业信用评价</w:t>
      </w:r>
      <w:r>
        <w:rPr>
          <w:rFonts w:hint="eastAsia" w:ascii="宋体" w:hAnsi="宋体" w:eastAsia="宋体" w:cs="Times New Roman"/>
          <w:color w:val="auto"/>
          <w:sz w:val="24"/>
          <w:szCs w:val="24"/>
          <w:highlight w:val="none"/>
          <w:u w:val="none"/>
          <w:lang w:eastAsia="zh-CN"/>
        </w:rPr>
        <w:t>得分</w:t>
      </w:r>
      <w:r>
        <w:rPr>
          <w:rFonts w:hint="eastAsia" w:ascii="宋体" w:hAnsi="宋体" w:eastAsia="宋体" w:cs="Times New Roman"/>
          <w:color w:val="auto"/>
          <w:sz w:val="24"/>
          <w:szCs w:val="24"/>
          <w:highlight w:val="none"/>
          <w:u w:val="none"/>
          <w:lang w:val="en-US" w:eastAsia="zh-CN"/>
        </w:rPr>
        <w:t>为准</w:t>
      </w:r>
      <w:r>
        <w:rPr>
          <w:rFonts w:hint="eastAsia" w:ascii="宋体" w:hAnsi="宋体"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联合体各方不得再以自己名义单独或参加其他联合体在同一项目包中投标</w:t>
      </w:r>
      <w:r>
        <w:rPr>
          <w:rFonts w:hint="eastAsia" w:ascii="宋体" w:hAnsi="宋体" w:eastAsia="宋体" w:cs="Times New Roman"/>
          <w:color w:val="auto"/>
          <w:sz w:val="24"/>
          <w:szCs w:val="24"/>
          <w:highlight w:val="none"/>
          <w:lang w:eastAsia="zh-CN"/>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尽管委任了联合体</w:t>
      </w:r>
      <w:r>
        <w:rPr>
          <w:rFonts w:hint="eastAsia" w:ascii="宋体" w:hAnsi="宋体" w:cs="Times New Roman"/>
          <w:color w:val="auto"/>
          <w:sz w:val="24"/>
          <w:szCs w:val="24"/>
          <w:highlight w:val="none"/>
          <w:lang w:eastAsia="zh-CN"/>
        </w:rPr>
        <w:t>主办方</w:t>
      </w:r>
      <w:r>
        <w:rPr>
          <w:rFonts w:hint="eastAsia" w:ascii="宋体" w:hAnsi="宋体" w:eastAsia="宋体" w:cs="Times New Roman"/>
          <w:color w:val="auto"/>
          <w:sz w:val="24"/>
          <w:szCs w:val="24"/>
          <w:highlight w:val="none"/>
        </w:rPr>
        <w:t>，但联合体各成员在投标、签订合同与履行合同过程中，仍负有连带的和各自的法律责任</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w:t>
      </w:r>
      <w:r>
        <w:rPr>
          <w:rFonts w:hint="eastAsia" w:ascii="宋体" w:hAnsi="宋体" w:cs="Times New Roman"/>
          <w:color w:val="auto"/>
          <w:sz w:val="24"/>
          <w:szCs w:val="24"/>
          <w:highlight w:val="none"/>
          <w:lang w:eastAsia="zh-CN"/>
        </w:rPr>
        <w:t>主办方</w:t>
      </w:r>
      <w:r>
        <w:rPr>
          <w:rFonts w:hint="eastAsia" w:ascii="宋体" w:hAnsi="宋体" w:eastAsia="宋体" w:cs="Times New Roman"/>
          <w:color w:val="auto"/>
          <w:sz w:val="24"/>
          <w:szCs w:val="24"/>
          <w:highlight w:val="none"/>
        </w:rPr>
        <w:t>所提交的投标文件应认为已代表了联合体各成员的真实情况</w:t>
      </w:r>
      <w:r>
        <w:rPr>
          <w:rFonts w:hint="eastAsia" w:ascii="宋体" w:hAnsi="宋体" w:eastAsia="宋体" w:cs="Times New Roman"/>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color w:val="auto"/>
          <w:sz w:val="24"/>
          <w:highlight w:val="none"/>
          <w:u w:val="single"/>
        </w:rPr>
        <w:t>资格审查前，投标人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olor w:val="auto"/>
          <w:sz w:val="24"/>
          <w:highlight w:val="none"/>
          <w:u w:val="single"/>
        </w:rPr>
        <w:t>须在广州市住房和城乡建设局建立企业信用档案</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拟担任本工程项目负责人、专职安全员须是</w:t>
      </w:r>
      <w:r>
        <w:rPr>
          <w:rFonts w:hint="eastAsia" w:ascii="宋体" w:hAnsi="宋体"/>
          <w:color w:val="auto"/>
          <w:sz w:val="24"/>
          <w:highlight w:val="none"/>
          <w:u w:val="single"/>
          <w:lang w:eastAsia="zh-CN"/>
        </w:rPr>
        <w:t>本</w:t>
      </w:r>
      <w:r>
        <w:rPr>
          <w:rFonts w:hint="eastAsia" w:ascii="宋体" w:hAnsi="宋体"/>
          <w:color w:val="auto"/>
          <w:sz w:val="24"/>
          <w:highlight w:val="none"/>
          <w:u w:val="single"/>
        </w:rPr>
        <w:t>企业（若为联合体投标，指联合体主办方）信用档案中的在册人员。企业信用档案取自投标截止时间投标人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olor w:val="auto"/>
          <w:sz w:val="24"/>
          <w:highlight w:val="none"/>
          <w:u w:val="single"/>
        </w:rPr>
        <w:t>在信用管理平台的信息，投标人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olor w:val="auto"/>
          <w:sz w:val="24"/>
          <w:highlight w:val="none"/>
          <w:u w:val="single"/>
        </w:rPr>
        <w:t>无需提交相关资料，若招标人延长递交投标文件截止时间的，信用档案信息的评审时点也相应延长。（信用档案办理详见《广州市住建行业信用管理平台施工企业信息录入指引》，网址：http://zfcj.gz.gov.cn/zwgk/zsdwxxgkzl/gzsjzyglfwzx/bszy/content/post_8484886.html）</w:t>
      </w:r>
      <w:r>
        <w:rPr>
          <w:rFonts w:hint="eastAsia" w:ascii="宋体" w:hAnsi="宋体" w:cs="宋体"/>
          <w:color w:val="auto"/>
          <w:sz w:val="24"/>
          <w:szCs w:val="24"/>
          <w:highlight w:val="none"/>
        </w:rPr>
        <w:t>。</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11、投标人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s="宋体"/>
          <w:color w:val="auto"/>
          <w:sz w:val="24"/>
          <w:szCs w:val="24"/>
          <w:highlight w:val="none"/>
        </w:rPr>
        <w:t>未出现以下情形：与其他投标人的单位负责人为同一人或者存在控股、管理关系的（按投标人提供的《投标人声明》第</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条内容进行评审）。如不同投标申请人出现单位负责人为同一人或者存在控股、管理关系的情形，则</w:t>
      </w:r>
      <w:r>
        <w:rPr>
          <w:rFonts w:hint="eastAsia" w:ascii="宋体" w:hAnsi="宋体" w:cs="宋体"/>
          <w:color w:val="auto"/>
          <w:sz w:val="24"/>
          <w:szCs w:val="24"/>
          <w:highlight w:val="none"/>
          <w:u w:val="single"/>
        </w:rPr>
        <w:t>均按不符合投标人合格条件处理</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w:t>
      </w:r>
      <w:r>
        <w:rPr>
          <w:rFonts w:hint="eastAsia" w:ascii="宋体" w:hAnsi="宋体"/>
          <w:color w:val="auto"/>
          <w:sz w:val="24"/>
          <w:highlight w:val="none"/>
        </w:rPr>
        <w:t>投标人</w:t>
      </w:r>
      <w:r>
        <w:rPr>
          <w:rFonts w:hint="eastAsia" w:ascii="宋体" w:hAnsi="宋体" w:eastAsia="宋体"/>
          <w:color w:val="auto"/>
          <w:sz w:val="24"/>
          <w:szCs w:val="24"/>
          <w:highlight w:val="none"/>
        </w:rPr>
        <w:t>（若为联合体</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，指联合体</w:t>
      </w:r>
      <w:r>
        <w:rPr>
          <w:rFonts w:hint="eastAsia" w:ascii="宋体" w:hAnsi="宋体" w:eastAsia="宋体"/>
          <w:color w:val="auto"/>
          <w:sz w:val="24"/>
          <w:szCs w:val="24"/>
          <w:highlight w:val="none"/>
          <w:lang w:val="en-US" w:eastAsia="zh-CN"/>
        </w:rPr>
        <w:t>各方</w:t>
      </w:r>
      <w:r>
        <w:rPr>
          <w:rFonts w:hint="eastAsia" w:ascii="宋体" w:hAnsi="宋体" w:eastAsia="宋体"/>
          <w:color w:val="auto"/>
          <w:sz w:val="24"/>
          <w:szCs w:val="24"/>
          <w:highlight w:val="none"/>
        </w:rPr>
        <w:t>）</w:t>
      </w:r>
      <w:r>
        <w:rPr>
          <w:rFonts w:hint="eastAsia" w:ascii="宋体" w:hAnsi="宋体" w:cs="宋体"/>
          <w:color w:val="auto"/>
          <w:sz w:val="24"/>
          <w:szCs w:val="24"/>
          <w:highlight w:val="none"/>
        </w:rPr>
        <w:t>未被列入拖欠农民工工资失信联合惩戒对象名单。</w:t>
      </w:r>
      <w:r>
        <w:rPr>
          <w:rFonts w:hint="eastAsia" w:ascii="宋体" w:hAnsi="宋体" w:cs="宋体"/>
          <w:color w:val="auto"/>
          <w:sz w:val="24"/>
          <w:szCs w:val="24"/>
          <w:highlight w:val="none"/>
          <w:u w:val="single"/>
        </w:rPr>
        <w:t>注：投标人无需提供资料，按投标截止时间广州交易集团有限公司（广州公共资源交易中心）交易系统比对的结果进行评审</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olor w:val="auto"/>
          <w:sz w:val="24"/>
          <w:highlight w:val="none"/>
        </w:rPr>
        <w:t>未在招标公告第九条单列的资审合格条件</w:t>
      </w:r>
      <w:r>
        <w:rPr>
          <w:rFonts w:hint="eastAsia" w:ascii="宋体" w:hAnsi="宋体"/>
          <w:color w:val="auto"/>
          <w:sz w:val="24"/>
          <w:highlight w:val="none"/>
          <w:u w:val="single"/>
        </w:rPr>
        <w:t>（投标人合格条件）</w:t>
      </w:r>
      <w:r>
        <w:rPr>
          <w:rFonts w:hint="eastAsia" w:ascii="宋体" w:hAnsi="宋体"/>
          <w:color w:val="auto"/>
          <w:sz w:val="24"/>
          <w:highlight w:val="none"/>
        </w:rPr>
        <w:t>，不作为资审不合格的依据</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r>
        <w:rPr>
          <w:rFonts w:hint="eastAsia" w:ascii="宋体" w:hAnsi="宋体" w:cs="宋体"/>
          <w:color w:val="auto"/>
          <w:sz w:val="24"/>
          <w:szCs w:val="24"/>
          <w:highlight w:val="none"/>
          <w:u w:val="none"/>
        </w:rPr>
        <w:t>及评标工作。本工程采用评定分离方式确定中标人</w:t>
      </w:r>
      <w:r>
        <w:rPr>
          <w:rFonts w:hint="eastAsia" w:ascii="宋体" w:hAnsi="宋体" w:eastAsia="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交易平台和广东省招标投标监管网公示，公示时间不得少于3日。</w:t>
      </w:r>
    </w:p>
    <w:p>
      <w:pPr>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十二、</w:t>
      </w:r>
      <w:r>
        <w:rPr>
          <w:rFonts w:hint="eastAsia" w:ascii="宋体" w:hAnsi="宋体"/>
          <w:color w:val="auto"/>
          <w:sz w:val="24"/>
          <w:highlight w:val="none"/>
        </w:rPr>
        <w:t>满足资格审查合格条件的投标人不足3名或通过有效性审查的投标人不足3名时为招标失败。招标人分析招标失败原因，修正招标方案，重新组织招标</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十三、</w:t>
      </w:r>
      <w:r>
        <w:rPr>
          <w:rFonts w:hint="eastAsia" w:ascii="宋体" w:hAnsi="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strike/>
          <w:color w:val="auto"/>
          <w:sz w:val="24"/>
          <w:szCs w:val="24"/>
          <w:highlight w:val="none"/>
        </w:rPr>
      </w:pPr>
      <w:r>
        <w:rPr>
          <w:rFonts w:hint="eastAsia" w:ascii="宋体" w:hAnsi="宋体" w:cs="宋体"/>
          <w:color w:val="auto"/>
          <w:sz w:val="24"/>
          <w:szCs w:val="24"/>
          <w:highlight w:val="none"/>
        </w:rPr>
        <w:t>十四、</w:t>
      </w:r>
      <w:r>
        <w:rPr>
          <w:rFonts w:hint="eastAsia" w:ascii="宋体" w:hAnsi="宋体" w:cs="宋体"/>
          <w:color w:val="auto"/>
          <w:sz w:val="24"/>
          <w:szCs w:val="24"/>
          <w:highlight w:val="none"/>
          <w:u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napToGrid w:val="0"/>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十五、</w:t>
      </w:r>
      <w:r>
        <w:rPr>
          <w:rFonts w:hint="eastAsia" w:ascii="宋体" w:hAnsi="宋体"/>
          <w:color w:val="auto"/>
          <w:sz w:val="24"/>
          <w:highlight w:val="none"/>
        </w:rPr>
        <w:t>潜在投标人或利害关系人对本招标公告及招标文件有异议的，应当在投标截止时间10日前向招标人书面提出</w:t>
      </w:r>
      <w:r>
        <w:rPr>
          <w:rFonts w:hint="eastAsia" w:ascii="宋体" w:hAnsi="宋体" w:cs="宋体"/>
          <w:color w:val="auto"/>
          <w:sz w:val="24"/>
          <w:szCs w:val="24"/>
          <w:highlight w:val="none"/>
        </w:rPr>
        <w:t>。</w:t>
      </w:r>
    </w:p>
    <w:p>
      <w:pPr>
        <w:snapToGrid w:val="0"/>
        <w:spacing w:line="360" w:lineRule="auto"/>
        <w:ind w:left="0" w:leftChars="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异议受理部门：广州松瓴企业管理有限公司</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异议受理电话</w:t>
      </w:r>
      <w:r>
        <w:rPr>
          <w:rFonts w:hint="eastAsia" w:ascii="宋体" w:hAnsi="宋体" w:cs="宋体"/>
          <w:bCs/>
          <w:color w:val="auto"/>
          <w:sz w:val="24"/>
          <w:szCs w:val="24"/>
          <w:highlight w:val="none"/>
          <w:lang w:eastAsia="zh-CN"/>
        </w:rPr>
        <w:t>：020-31800379</w:t>
      </w:r>
    </w:p>
    <w:p>
      <w:pPr>
        <w:snapToGrid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刘</w:t>
      </w:r>
      <w:r>
        <w:rPr>
          <w:rFonts w:hint="eastAsia" w:ascii="宋体" w:hAnsi="宋体" w:cs="宋体"/>
          <w:color w:val="auto"/>
          <w:sz w:val="24"/>
          <w:szCs w:val="24"/>
          <w:highlight w:val="none"/>
          <w:u w:val="single"/>
        </w:rPr>
        <w:t>工</w:t>
      </w:r>
    </w:p>
    <w:p>
      <w:pPr>
        <w:snapToGrid w:val="0"/>
        <w:spacing w:line="360" w:lineRule="auto"/>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cs="宋体"/>
          <w:bCs/>
          <w:color w:val="auto"/>
          <w:sz w:val="24"/>
          <w:szCs w:val="24"/>
          <w:highlight w:val="none"/>
        </w:rPr>
        <w:t>地址：</w:t>
      </w:r>
      <w:r>
        <w:rPr>
          <w:rFonts w:hint="eastAsia" w:ascii="宋体" w:hAnsi="宋体" w:cs="宋体"/>
          <w:bCs/>
          <w:color w:val="auto"/>
          <w:sz w:val="24"/>
          <w:highlight w:val="none"/>
          <w:u w:val="single"/>
        </w:rPr>
        <w:t>广州市黄埔区开创大道1891号1202房</w:t>
      </w:r>
    </w:p>
    <w:p>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注：潜在投标人或利害关系人可以通过线下或线上的形式提出异议。线上提出异议的，应通过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交易平台提交，招标人也应通过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交易平台答复线上提出的异议。具体按照</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交易平台相关指南进行操作。作出答复前，应当暂停招标投标活动。</w:t>
      </w:r>
    </w:p>
    <w:p>
      <w:pPr>
        <w:snapToGrid w:val="0"/>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十六、</w:t>
      </w:r>
      <w:r>
        <w:rPr>
          <w:rFonts w:hint="eastAsia" w:ascii="宋体" w:hAnsi="宋体"/>
          <w:color w:val="auto"/>
          <w:sz w:val="24"/>
          <w:highlight w:val="none"/>
        </w:rPr>
        <w:t>本公告在广州交易集团有限公司（广州公共资源交易中心）网站（网址：http://www.gzggzy.cn）、广东省招标投标监管网（网址：</w:t>
      </w:r>
      <w:r>
        <w:rPr>
          <w:rFonts w:ascii="宋体" w:hAnsi="宋体"/>
          <w:color w:val="auto"/>
          <w:sz w:val="24"/>
          <w:highlight w:val="none"/>
        </w:rPr>
        <w:t>https://zbtb.gd.gov.cn</w:t>
      </w:r>
      <w:r>
        <w:rPr>
          <w:rFonts w:hint="eastAsia" w:ascii="宋体" w:hAnsi="宋体"/>
          <w:color w:val="auto"/>
          <w:sz w:val="24"/>
          <w:highlight w:val="none"/>
        </w:rPr>
        <w:t>/）和中国招标投标公共服务平台（网址：http://www.cebpubservice.com/）发布，本公告的修改、补充，在广州交易集团有限公司（广州公共资源交易中心）网站及广东省招标投标监管网发布</w:t>
      </w:r>
      <w:r>
        <w:rPr>
          <w:rFonts w:hint="eastAsia" w:ascii="宋体" w:hAnsi="宋体" w:cs="宋体"/>
          <w:color w:val="auto"/>
          <w:sz w:val="24"/>
          <w:szCs w:val="24"/>
          <w:highlight w:val="none"/>
        </w:rPr>
        <w:t>。</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十七、</w:t>
      </w:r>
      <w:r>
        <w:rPr>
          <w:rFonts w:hint="eastAsia" w:ascii="宋体" w:hAnsi="宋体"/>
          <w:color w:val="auto"/>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olor w:val="auto"/>
          <w:sz w:val="24"/>
          <w:highlight w:val="none"/>
        </w:rPr>
      </w:pPr>
      <w:r>
        <w:rPr>
          <w:rFonts w:hint="eastAsia" w:ascii="宋体" w:hAnsi="宋体" w:cs="宋体"/>
          <w:color w:val="auto"/>
          <w:sz w:val="24"/>
          <w:szCs w:val="24"/>
          <w:highlight w:val="none"/>
        </w:rPr>
        <w:t>十八、</w:t>
      </w:r>
      <w:r>
        <w:rPr>
          <w:rFonts w:hint="eastAsia" w:ascii="宋体" w:hAnsi="宋体"/>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highlight w:val="none"/>
        </w:rPr>
        <w:t>招标人应综合考虑节假日因素，合理确定投标人编制投标文件所需要的时间，如遇春节、五一、十一等长假，建议招标人结合项目特点和实际需要适当延长备标期。</w:t>
      </w:r>
    </w:p>
    <w:p>
      <w:pPr>
        <w:shd w:val="clear" w:color="auto" w:fill="auto"/>
        <w:snapToGrid/>
        <w:spacing w:line="360" w:lineRule="auto"/>
        <w:ind w:firstLine="480" w:firstLineChars="200"/>
        <w:rPr>
          <w:rFonts w:ascii="宋体" w:hAnsi="宋体" w:cs="宋体"/>
          <w:color w:val="auto"/>
          <w:sz w:val="24"/>
          <w:szCs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napToGrid w:val="0"/>
        <w:spacing w:line="360" w:lineRule="auto"/>
        <w:ind w:firstLine="482" w:firstLineChars="200"/>
        <w:contextualSpacing/>
        <w:rPr>
          <w:rFonts w:ascii="宋体" w:hAnsi="宋体" w:cs="宋体"/>
          <w:color w:val="auto"/>
          <w:sz w:val="24"/>
          <w:szCs w:val="24"/>
          <w:highlight w:val="none"/>
        </w:rPr>
      </w:pPr>
      <w:r>
        <w:rPr>
          <w:rFonts w:hint="eastAsia" w:ascii="宋体" w:hAnsi="宋体" w:cs="宋体"/>
          <w:b/>
          <w:bCs/>
          <w:color w:val="auto"/>
          <w:sz w:val="24"/>
          <w:szCs w:val="24"/>
          <w:highlight w:val="none"/>
        </w:rPr>
        <w:t>特别提示：</w:t>
      </w:r>
      <w:r>
        <w:rPr>
          <w:rFonts w:hint="eastAsia" w:ascii="宋体"/>
          <w:color w:val="auto"/>
          <w:sz w:val="24"/>
          <w:highlight w:val="none"/>
        </w:rPr>
        <w:t>投标人在本项目招标人的工程项目中存在下列行为的，将被拒绝</w:t>
      </w:r>
      <w:r>
        <w:rPr>
          <w:rFonts w:hint="eastAsia" w:ascii="宋体" w:hAnsi="宋体" w:cs="宋体"/>
          <w:color w:val="auto"/>
          <w:sz w:val="24"/>
          <w:szCs w:val="24"/>
          <w:highlight w:val="none"/>
          <w:u w:val="single"/>
        </w:rPr>
        <w:t>三个月或以上</w:t>
      </w:r>
      <w:r>
        <w:rPr>
          <w:rFonts w:hint="eastAsia" w:ascii="宋体"/>
          <w:color w:val="auto"/>
          <w:sz w:val="24"/>
          <w:highlight w:val="none"/>
        </w:rPr>
        <w:t>参</w:t>
      </w:r>
      <w:r>
        <w:rPr>
          <w:rFonts w:hint="eastAsia" w:ascii="宋体" w:hAnsi="宋体" w:cs="宋体"/>
          <w:color w:val="auto"/>
          <w:sz w:val="24"/>
          <w:szCs w:val="24"/>
          <w:highlight w:val="none"/>
        </w:rPr>
        <w:t>与招标人后续工程投标。（注：拒绝投标时限自招标人发出通知之日起计）：</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3.出让投标资格的；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4.存在围标或串标情形的；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5.在投标文件中提供虚假材料的；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6.存在少放、不放业绩、奖项等客观评审资料，减少自身竞争力情形的；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7.存在行贿情形的；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8.拖欠农民工工资的；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9.未按照国家、省、市有关建筑施工实名制管理和工人工资支付分账管理的规定执行，被行政监管部门通报或处罚的；</w:t>
      </w:r>
    </w:p>
    <w:p>
      <w:pPr>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10.中标人在项目实施过程中选取的专业分包单位或劳务企业或劳务班组长与投标时不一致的；</w:t>
      </w:r>
    </w:p>
    <w:p>
      <w:pPr>
        <w:snapToGrid w:val="0"/>
        <w:spacing w:line="360" w:lineRule="auto"/>
        <w:ind w:firstLine="480" w:firstLineChars="200"/>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11.本项目投标时拟派的专职安全员在其他项目中有任职且在本项目开工前未完成更换确保专职安全员只在本项目上任职的</w:t>
      </w:r>
      <w:r>
        <w:rPr>
          <w:rFonts w:hint="eastAsia" w:ascii="宋体" w:hAnsi="宋体" w:cs="宋体"/>
          <w:color w:val="auto"/>
          <w:sz w:val="24"/>
          <w:szCs w:val="24"/>
          <w:highlight w:val="none"/>
          <w:u w:val="single"/>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p>
    <w:p>
      <w:pPr>
        <w:snapToGrid w:val="0"/>
        <w:spacing w:line="360" w:lineRule="auto"/>
        <w:ind w:firstLine="3120" w:firstLineChars="13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招标单位：广州松瓴企业管理有限公司</w:t>
      </w:r>
    </w:p>
    <w:p>
      <w:pPr>
        <w:snapToGrid w:val="0"/>
        <w:spacing w:line="360" w:lineRule="auto"/>
        <w:ind w:firstLine="3120" w:firstLineChars="13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lang w:eastAsia="zh-CN"/>
        </w:rPr>
        <w:t>广州市广州工程建设监理有限公司</w:t>
      </w:r>
    </w:p>
    <w:p>
      <w:pPr>
        <w:snapToGrid w:val="0"/>
        <w:spacing w:line="360" w:lineRule="auto"/>
        <w:ind w:firstLine="3120" w:firstLineChars="13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pPr>
        <w:snapToGrid w:val="0"/>
        <w:spacing w:line="360" w:lineRule="auto"/>
        <w:contextualSpacing/>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附件一：</w:t>
      </w:r>
    </w:p>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Cs/>
          <w:color w:val="auto"/>
          <w:sz w:val="28"/>
          <w:szCs w:val="28"/>
          <w:highlight w:val="none"/>
          <w:u w:val="single"/>
        </w:rPr>
      </w:pPr>
      <w:r>
        <w:rPr>
          <w:rFonts w:hint="eastAsia" w:ascii="宋体" w:hAnsi="宋体" w:cs="宋体"/>
          <w:b/>
          <w:bCs/>
          <w:color w:val="auto"/>
          <w:kern w:val="0"/>
          <w:sz w:val="32"/>
          <w:szCs w:val="32"/>
          <w:highlight w:val="none"/>
        </w:rPr>
        <w:t>投标人</w:t>
      </w:r>
      <w:r>
        <w:rPr>
          <w:rFonts w:hint="eastAsia" w:ascii="宋体" w:hAnsi="宋体" w:cs="宋体"/>
          <w:b/>
          <w:bCs/>
          <w:color w:val="auto"/>
          <w:sz w:val="32"/>
          <w:szCs w:val="32"/>
          <w:highlight w:val="none"/>
        </w:rPr>
        <w:t>声明</w:t>
      </w:r>
    </w:p>
    <w:p>
      <w:pPr>
        <w:snapToGrid w:val="0"/>
        <w:jc w:val="center"/>
        <w:rPr>
          <w:rFonts w:ascii="宋体" w:hAnsi="宋体" w:cs="宋体"/>
          <w:b/>
          <w:color w:val="auto"/>
          <w:sz w:val="24"/>
          <w:szCs w:val="24"/>
          <w:highlight w:val="none"/>
        </w:rPr>
      </w:pPr>
    </w:p>
    <w:p>
      <w:pPr>
        <w:pStyle w:val="23"/>
        <w:snapToGrid w:val="0"/>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本招标项目招标人及招标监管机构</w:t>
      </w:r>
      <w:r>
        <w:rPr>
          <w:rFonts w:hint="eastAsia" w:ascii="宋体" w:hAnsi="宋体" w:eastAsia="宋体"/>
          <w:color w:val="auto"/>
          <w:sz w:val="24"/>
          <w:szCs w:val="24"/>
          <w:highlight w:val="none"/>
        </w:rPr>
        <w:t>：</w:t>
      </w:r>
    </w:p>
    <w:p>
      <w:pPr>
        <w:pStyle w:val="23"/>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项目名称</w:t>
      </w:r>
      <w:r>
        <w:rPr>
          <w:rFonts w:hint="eastAsia" w:ascii="宋体" w:hAnsi="宋体" w:eastAsia="宋体"/>
          <w:color w:val="auto"/>
          <w:sz w:val="24"/>
          <w:szCs w:val="24"/>
          <w:highlight w:val="none"/>
          <w:u w:val="single"/>
          <w:lang w:eastAsia="zh-CN"/>
        </w:rPr>
        <w:t>）</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（十）与招标人存在利害关系且可能影响招标公正性；</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23"/>
        <w:snapToGrid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四、本公司保证：本项目拟派的项目负责人投标截止时没有在其他在建项目中任施工单位项目负责人。</w:t>
      </w:r>
    </w:p>
    <w:p>
      <w:pPr>
        <w:pStyle w:val="23"/>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23"/>
        <w:numPr>
          <w:ilvl w:val="0"/>
          <w:numId w:val="0"/>
        </w:numPr>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九</w:t>
      </w:r>
      <w:r>
        <w:rPr>
          <w:rFonts w:hint="eastAsia" w:ascii="宋体" w:hAnsi="宋体" w:eastAsia="宋体"/>
          <w:color w:val="auto"/>
          <w:sz w:val="24"/>
          <w:szCs w:val="24"/>
          <w:highlight w:val="none"/>
        </w:rPr>
        <w:t>、</w:t>
      </w:r>
      <w:r>
        <w:rPr>
          <w:rFonts w:hint="eastAsia" w:ascii="宋体" w:hAnsi="宋体" w:eastAsia="宋体"/>
          <w:b/>
          <w:bCs/>
          <w:color w:val="auto"/>
          <w:sz w:val="24"/>
          <w:szCs w:val="24"/>
          <w:highlight w:val="none"/>
        </w:rPr>
        <w:t>与本公司单位负责人为同一人或者与本公司存在控股、管理关系的其他单位包括：</w:t>
      </w:r>
      <w:r>
        <w:rPr>
          <w:rFonts w:hint="eastAsia" w:ascii="宋体" w:hAnsi="宋体" w:eastAsia="宋体"/>
          <w:b/>
          <w:bCs/>
          <w:color w:val="auto"/>
          <w:sz w:val="24"/>
          <w:szCs w:val="24"/>
          <w:highlight w:val="none"/>
          <w:u w:val="single"/>
          <w:lang w:val="en-US" w:eastAsia="zh-CN"/>
        </w:rPr>
        <w:t xml:space="preserve">            </w:t>
      </w:r>
      <w:r>
        <w:rPr>
          <w:rFonts w:hint="eastAsia" w:ascii="宋体" w:hAnsi="宋体" w:eastAsia="宋体"/>
          <w:b/>
          <w:bCs/>
          <w:color w:val="auto"/>
          <w:sz w:val="24"/>
          <w:szCs w:val="24"/>
          <w:highlight w:val="none"/>
        </w:rPr>
        <w:t>。</w:t>
      </w:r>
      <w:r>
        <w:rPr>
          <w:rFonts w:hint="eastAsia" w:ascii="宋体" w:hAnsi="宋体" w:eastAsia="宋体"/>
          <w:b w:val="0"/>
          <w:bCs w:val="0"/>
          <w:color w:val="auto"/>
          <w:sz w:val="24"/>
          <w:szCs w:val="24"/>
          <w:highlight w:val="none"/>
        </w:rPr>
        <w:t>（注：本条由投标人如实填写，如有，应列出全部满足招标公告资质要求的相关单位的名称；如无，则填写“无”。）</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23"/>
        <w:snapToGrid w:val="0"/>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、本公司承诺，中标后将按招标人要求，积极响应广州市关于投身“百千万工程”的号召，主动参与建筑业结对帮扶。</w:t>
      </w:r>
    </w:p>
    <w:p>
      <w:pPr>
        <w:pStyle w:val="23"/>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二</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3"/>
        <w:snapToGrid w:val="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snapToGrid w:val="0"/>
        <w:spacing w:line="360" w:lineRule="auto"/>
        <w:ind w:firstLine="480" w:firstLineChars="200"/>
        <w:rPr>
          <w:rFonts w:ascii="宋体" w:hAnsi="宋体" w:cs="宋体"/>
          <w:color w:val="auto"/>
          <w:kern w:val="0"/>
          <w:sz w:val="24"/>
          <w:szCs w:val="24"/>
          <w:highlight w:val="none"/>
        </w:rPr>
      </w:pPr>
    </w:p>
    <w:p>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pStyle w:val="24"/>
        <w:snapToGrid w:val="0"/>
        <w:ind w:left="629" w:right="1449"/>
        <w:jc w:val="both"/>
        <w:rPr>
          <w:rFonts w:ascii="宋体" w:hAnsi="宋体" w:eastAsia="宋体" w:cs="宋体"/>
          <w:color w:val="auto"/>
          <w:sz w:val="24"/>
          <w:szCs w:val="24"/>
          <w:highlight w:val="none"/>
        </w:rPr>
      </w:pPr>
    </w:p>
    <w:p>
      <w:pPr>
        <w:pStyle w:val="24"/>
        <w:snapToGrid w:val="0"/>
        <w:ind w:left="629" w:right="1449"/>
        <w:jc w:val="both"/>
        <w:rPr>
          <w:rFonts w:ascii="宋体" w:hAnsi="宋体" w:eastAsia="宋体" w:cs="宋体"/>
          <w:color w:val="auto"/>
          <w:sz w:val="24"/>
          <w:szCs w:val="24"/>
          <w:highlight w:val="none"/>
        </w:rPr>
      </w:pPr>
    </w:p>
    <w:p>
      <w:pPr>
        <w:pStyle w:val="23"/>
        <w:snapToGrid w:val="0"/>
        <w:ind w:right="1179" w:firstLine="4560" w:firstLineChars="19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声明企业：</w:t>
      </w:r>
    </w:p>
    <w:p>
      <w:pPr>
        <w:pStyle w:val="23"/>
        <w:snapToGrid w:val="0"/>
        <w:ind w:right="1179" w:firstLine="4560" w:firstLineChars="19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项目负责人签字</w:t>
      </w:r>
      <w:r>
        <w:rPr>
          <w:rFonts w:hint="eastAsia" w:ascii="宋体" w:hAnsi="宋体" w:eastAsia="宋体" w:cs="宋体"/>
          <w:color w:val="auto"/>
          <w:sz w:val="24"/>
          <w:szCs w:val="24"/>
          <w:highlight w:val="none"/>
          <w:lang w:eastAsia="zh-CN"/>
        </w:rPr>
        <w:t>：</w:t>
      </w:r>
    </w:p>
    <w:p>
      <w:pPr>
        <w:pStyle w:val="23"/>
        <w:snapToGrid w:val="0"/>
        <w:ind w:right="879" w:firstLine="4560" w:firstLineChars="19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技术负责人签字：</w:t>
      </w:r>
    </w:p>
    <w:p>
      <w:pPr>
        <w:pStyle w:val="23"/>
        <w:snapToGrid w:val="0"/>
        <w:ind w:right="879" w:firstLine="2160" w:firstLineChars="9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napToGrid w:val="0"/>
        <w:spacing w:line="360" w:lineRule="auto"/>
        <w:jc w:val="right"/>
        <w:rPr>
          <w:rFonts w:ascii="宋体" w:hAnsi="宋体" w:cs="宋体"/>
          <w:color w:val="auto"/>
          <w:kern w:val="0"/>
          <w:sz w:val="24"/>
          <w:szCs w:val="24"/>
          <w:highlight w:val="none"/>
        </w:rPr>
      </w:pPr>
    </w:p>
    <w:p>
      <w:pPr>
        <w:widowControl/>
        <w:topLinePunct w:val="0"/>
        <w:snapToGrid w:val="0"/>
        <w:spacing w:line="360" w:lineRule="auto"/>
        <w:ind w:right="0"/>
        <w:jc w:val="left"/>
        <w:rPr>
          <w:color w:val="auto"/>
          <w:highlight w:val="none"/>
        </w:rPr>
        <w:sectPr>
          <w:footerReference r:id="rId3" w:type="default"/>
          <w:pgSz w:w="11906" w:h="16838"/>
          <w:pgMar w:top="1213" w:right="1440" w:bottom="1270" w:left="1440" w:header="851" w:footer="935" w:gutter="0"/>
          <w:cols w:space="0" w:num="1"/>
          <w:rtlGutter w:val="0"/>
          <w:docGrid w:type="lines" w:linePitch="312" w:charSpace="0"/>
        </w:sectPr>
      </w:pPr>
      <w:r>
        <w:rPr>
          <w:rFonts w:hint="eastAsia" w:ascii="宋体" w:hAnsi="宋体" w:cs="宋体"/>
          <w:color w:val="auto"/>
          <w:sz w:val="24"/>
          <w:szCs w:val="24"/>
          <w:highlight w:val="none"/>
          <w:shd w:val="clear" w:color="auto" w:fill="FFFFFF"/>
        </w:rPr>
        <w:t>注：招标人应当要求投标人的项目负责人和技术负责人签字。</w:t>
      </w:r>
    </w:p>
    <w:p>
      <w:pPr>
        <w:rPr>
          <w:color w:val="auto"/>
          <w:highlight w:val="none"/>
        </w:rPr>
      </w:pPr>
      <w:r>
        <w:rPr>
          <w:color w:val="auto"/>
          <w:highlight w:val="none"/>
        </w:rPr>
        <w:br w:type="page"/>
      </w:r>
    </w:p>
    <w:p>
      <w:pPr>
        <w:pStyle w:val="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附件二</w:t>
      </w:r>
      <w:r>
        <w:rPr>
          <w:rFonts w:hint="eastAsia" w:ascii="宋体" w:hAnsi="宋体" w:eastAsia="宋体" w:cs="宋体"/>
          <w:color w:val="auto"/>
          <w:sz w:val="24"/>
          <w:szCs w:val="24"/>
          <w:highlight w:val="none"/>
        </w:rPr>
        <w:t>（参考格式）</w:t>
      </w:r>
      <w:r>
        <w:rPr>
          <w:rFonts w:hint="eastAsia" w:ascii="宋体" w:hAnsi="宋体" w:eastAsia="宋体" w:cs="宋体"/>
          <w:color w:val="auto"/>
          <w:sz w:val="24"/>
          <w:szCs w:val="24"/>
          <w:highlight w:val="none"/>
          <w:lang w:eastAsia="zh-CN"/>
        </w:rPr>
        <w:t>：</w:t>
      </w:r>
    </w:p>
    <w:p>
      <w:pPr>
        <w:jc w:val="center"/>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联合体协议书</w:t>
      </w:r>
    </w:p>
    <w:p>
      <w:pPr>
        <w:rPr>
          <w:rFonts w:hint="eastAsia" w:ascii="宋体" w:hAnsi="宋体" w:eastAsia="宋体" w:cs="宋体"/>
          <w:color w:val="auto"/>
          <w:sz w:val="24"/>
          <w:highlight w:val="none"/>
        </w:rPr>
      </w:pPr>
    </w:p>
    <w:p>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(所有成员单位名称)自愿组成联合体，共同参加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投标。现就联合体投标事宜订立如下协议。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(某成员单位名称)为主办方。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2.联合体主办方合法代表联合体各成员负责招标项目投标文件编制和合同谈判活动，代表联合体提交和接收相关的资料、信息及指示，处理与之有关的一切事务，并负责合同实施阶段的主办、组织和协调工作。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4.联合体主办方代表联合体签署投标文件，联合体主办方参与本项目投标的所有承诺均认为代表了联合体各成员。</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5.联合体主办方承担工作与责任：</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6.联合体成员方承担工作与责任: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7.本协议书自签署之日起生效，合同履行完毕后自动失效。 </w:t>
      </w:r>
    </w:p>
    <w:p>
      <w:pPr>
        <w:spacing w:line="360" w:lineRule="auto"/>
        <w:rPr>
          <w:rFonts w:hint="eastAsia" w:ascii="宋体" w:hAnsi="宋体" w:eastAsia="宋体" w:cs="宋体"/>
          <w:color w:val="auto"/>
          <w:sz w:val="24"/>
          <w:highlight w:val="none"/>
        </w:rPr>
      </w:pPr>
    </w:p>
    <w:p>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主办方名称：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ind w:left="420" w:leftChars="200"/>
        <w:rPr>
          <w:rFonts w:hint="eastAsia" w:ascii="宋体" w:hAnsi="宋体" w:eastAsia="宋体" w:cs="宋体"/>
          <w:color w:val="auto"/>
          <w:sz w:val="24"/>
          <w:highlight w:val="none"/>
        </w:rPr>
      </w:pPr>
    </w:p>
    <w:p>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成员名称：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ind w:left="420"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p>
    <w:p>
      <w:pPr>
        <w:spacing w:line="360" w:lineRule="auto"/>
        <w:ind w:firstLine="482" w:firstLineChars="200"/>
        <w:rPr>
          <w:rFonts w:hint="eastAsia" w:ascii="宋体" w:hAnsi="宋体" w:eastAsia="宋体" w:cs="宋体"/>
          <w:color w:val="auto"/>
          <w:kern w:val="0"/>
          <w:highlight w:val="none"/>
        </w:rPr>
      </w:pPr>
      <w:r>
        <w:rPr>
          <w:rFonts w:hint="eastAsia" w:ascii="宋体" w:hAnsi="宋体" w:eastAsia="宋体" w:cs="宋体"/>
          <w:b/>
          <w:color w:val="auto"/>
          <w:sz w:val="24"/>
          <w:szCs w:val="24"/>
          <w:highlight w:val="none"/>
          <w:u w:val="single"/>
        </w:rPr>
        <w:t xml:space="preserve">       </w:t>
      </w:r>
      <w:bookmarkStart w:id="2" w:name="_Toc462729481"/>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rPr>
        <w:t>日</w:t>
      </w:r>
      <w:bookmarkEnd w:id="2"/>
    </w:p>
    <w:p>
      <w:pPr>
        <w:rPr>
          <w:color w:val="auto"/>
          <w:highlight w:val="none"/>
        </w:rPr>
      </w:pPr>
    </w:p>
    <w:sectPr>
      <w:type w:val="continuous"/>
      <w:pgSz w:w="11906" w:h="16838"/>
      <w:pgMar w:top="1213" w:right="1440" w:bottom="1270" w:left="1440" w:header="851" w:footer="935"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00172A27"/>
    <w:rsid w:val="00014131"/>
    <w:rsid w:val="000207E8"/>
    <w:rsid w:val="00030A29"/>
    <w:rsid w:val="000A7DB5"/>
    <w:rsid w:val="00120D91"/>
    <w:rsid w:val="00172A27"/>
    <w:rsid w:val="00177821"/>
    <w:rsid w:val="001A7F0F"/>
    <w:rsid w:val="001F0922"/>
    <w:rsid w:val="00216526"/>
    <w:rsid w:val="002E4C68"/>
    <w:rsid w:val="002F7368"/>
    <w:rsid w:val="003131F3"/>
    <w:rsid w:val="00314104"/>
    <w:rsid w:val="00373A61"/>
    <w:rsid w:val="003C62ED"/>
    <w:rsid w:val="003D5956"/>
    <w:rsid w:val="00453365"/>
    <w:rsid w:val="004E52C5"/>
    <w:rsid w:val="00556D33"/>
    <w:rsid w:val="00562057"/>
    <w:rsid w:val="005A5C87"/>
    <w:rsid w:val="005E6000"/>
    <w:rsid w:val="0062060A"/>
    <w:rsid w:val="006635BA"/>
    <w:rsid w:val="00786B13"/>
    <w:rsid w:val="007D323E"/>
    <w:rsid w:val="007F0512"/>
    <w:rsid w:val="00863EBB"/>
    <w:rsid w:val="008C68FC"/>
    <w:rsid w:val="00904DF4"/>
    <w:rsid w:val="00915D89"/>
    <w:rsid w:val="00931140"/>
    <w:rsid w:val="00960B01"/>
    <w:rsid w:val="00975C15"/>
    <w:rsid w:val="009776E0"/>
    <w:rsid w:val="009A3ED8"/>
    <w:rsid w:val="009B196D"/>
    <w:rsid w:val="009E44A6"/>
    <w:rsid w:val="00A735CA"/>
    <w:rsid w:val="00AD5964"/>
    <w:rsid w:val="00B1480C"/>
    <w:rsid w:val="00B8290A"/>
    <w:rsid w:val="00BB4D08"/>
    <w:rsid w:val="00BE5873"/>
    <w:rsid w:val="00C402D2"/>
    <w:rsid w:val="00C61558"/>
    <w:rsid w:val="00C72660"/>
    <w:rsid w:val="00CA7C86"/>
    <w:rsid w:val="00CC37DF"/>
    <w:rsid w:val="00CC7120"/>
    <w:rsid w:val="00CF021A"/>
    <w:rsid w:val="00D143C8"/>
    <w:rsid w:val="00D5026B"/>
    <w:rsid w:val="00E43046"/>
    <w:rsid w:val="00EC3870"/>
    <w:rsid w:val="00F11456"/>
    <w:rsid w:val="00F24EA1"/>
    <w:rsid w:val="00F6402F"/>
    <w:rsid w:val="00FC300D"/>
    <w:rsid w:val="00FD39EB"/>
    <w:rsid w:val="00FE2474"/>
    <w:rsid w:val="00FE546A"/>
    <w:rsid w:val="014632E9"/>
    <w:rsid w:val="015669F9"/>
    <w:rsid w:val="02B5507D"/>
    <w:rsid w:val="02D273D5"/>
    <w:rsid w:val="03072618"/>
    <w:rsid w:val="030744A0"/>
    <w:rsid w:val="03504757"/>
    <w:rsid w:val="037C7140"/>
    <w:rsid w:val="039025E0"/>
    <w:rsid w:val="0404113C"/>
    <w:rsid w:val="047F34B4"/>
    <w:rsid w:val="05551D4C"/>
    <w:rsid w:val="057B6D61"/>
    <w:rsid w:val="06B56999"/>
    <w:rsid w:val="06F51BFA"/>
    <w:rsid w:val="07180E17"/>
    <w:rsid w:val="07A61789"/>
    <w:rsid w:val="087C155B"/>
    <w:rsid w:val="088F05FC"/>
    <w:rsid w:val="08926A11"/>
    <w:rsid w:val="0906356C"/>
    <w:rsid w:val="091F0ABB"/>
    <w:rsid w:val="09A531CF"/>
    <w:rsid w:val="0A236287"/>
    <w:rsid w:val="0A8C26DA"/>
    <w:rsid w:val="0BDB0BEB"/>
    <w:rsid w:val="0C5576E9"/>
    <w:rsid w:val="0C850F7F"/>
    <w:rsid w:val="0CBA2865"/>
    <w:rsid w:val="0D07521B"/>
    <w:rsid w:val="0DA46170"/>
    <w:rsid w:val="0E263246"/>
    <w:rsid w:val="0EC94C3A"/>
    <w:rsid w:val="0EDD6F33"/>
    <w:rsid w:val="0EF238CB"/>
    <w:rsid w:val="0F527FC6"/>
    <w:rsid w:val="0F595B86"/>
    <w:rsid w:val="0FC20254"/>
    <w:rsid w:val="0FF35D4F"/>
    <w:rsid w:val="10591BDA"/>
    <w:rsid w:val="10A76924"/>
    <w:rsid w:val="10DC4F71"/>
    <w:rsid w:val="110E6EE5"/>
    <w:rsid w:val="11FF1F94"/>
    <w:rsid w:val="12123119"/>
    <w:rsid w:val="12371157"/>
    <w:rsid w:val="1240015F"/>
    <w:rsid w:val="12EC3B91"/>
    <w:rsid w:val="131466C1"/>
    <w:rsid w:val="14D709D0"/>
    <w:rsid w:val="151D4008"/>
    <w:rsid w:val="15360DFF"/>
    <w:rsid w:val="15AE7982"/>
    <w:rsid w:val="15B63FD5"/>
    <w:rsid w:val="1661290A"/>
    <w:rsid w:val="16C776C0"/>
    <w:rsid w:val="16D67291"/>
    <w:rsid w:val="16ED44DA"/>
    <w:rsid w:val="1768419F"/>
    <w:rsid w:val="178570A5"/>
    <w:rsid w:val="17A27073"/>
    <w:rsid w:val="17C85590"/>
    <w:rsid w:val="183F73EA"/>
    <w:rsid w:val="18DF2ED5"/>
    <w:rsid w:val="19007908"/>
    <w:rsid w:val="19070B6D"/>
    <w:rsid w:val="19A87AF2"/>
    <w:rsid w:val="1A4C1518"/>
    <w:rsid w:val="1B2A4E1E"/>
    <w:rsid w:val="1B2D065E"/>
    <w:rsid w:val="1BF779D6"/>
    <w:rsid w:val="1C7D60A5"/>
    <w:rsid w:val="1D583586"/>
    <w:rsid w:val="1D682C15"/>
    <w:rsid w:val="1D7C488C"/>
    <w:rsid w:val="1D904318"/>
    <w:rsid w:val="1E4A62D1"/>
    <w:rsid w:val="1E9F5110"/>
    <w:rsid w:val="1F15637C"/>
    <w:rsid w:val="1F875694"/>
    <w:rsid w:val="1F912978"/>
    <w:rsid w:val="1F9D4088"/>
    <w:rsid w:val="1FE01D83"/>
    <w:rsid w:val="20251AEC"/>
    <w:rsid w:val="20DB7AF0"/>
    <w:rsid w:val="21206326"/>
    <w:rsid w:val="21304210"/>
    <w:rsid w:val="214F0EF5"/>
    <w:rsid w:val="218C4F9A"/>
    <w:rsid w:val="22287B3C"/>
    <w:rsid w:val="230A028E"/>
    <w:rsid w:val="23A928A1"/>
    <w:rsid w:val="23D5390C"/>
    <w:rsid w:val="24A509CC"/>
    <w:rsid w:val="24DE1F55"/>
    <w:rsid w:val="25110665"/>
    <w:rsid w:val="252C0894"/>
    <w:rsid w:val="2596506B"/>
    <w:rsid w:val="25B72A81"/>
    <w:rsid w:val="271779E7"/>
    <w:rsid w:val="27642191"/>
    <w:rsid w:val="277C54B2"/>
    <w:rsid w:val="28126853"/>
    <w:rsid w:val="28FB4835"/>
    <w:rsid w:val="294F4B81"/>
    <w:rsid w:val="2A10072A"/>
    <w:rsid w:val="2A6A7752"/>
    <w:rsid w:val="2AD67248"/>
    <w:rsid w:val="2AFE794D"/>
    <w:rsid w:val="2B824FB1"/>
    <w:rsid w:val="2C125C08"/>
    <w:rsid w:val="2C25463E"/>
    <w:rsid w:val="2C2A3701"/>
    <w:rsid w:val="2C757CC8"/>
    <w:rsid w:val="2C7843EE"/>
    <w:rsid w:val="2CCE2573"/>
    <w:rsid w:val="2CD1422D"/>
    <w:rsid w:val="2CFE13AF"/>
    <w:rsid w:val="2DEA32EF"/>
    <w:rsid w:val="2E4F6532"/>
    <w:rsid w:val="2ED004DD"/>
    <w:rsid w:val="2EF62000"/>
    <w:rsid w:val="2F0E179D"/>
    <w:rsid w:val="2F4B7B98"/>
    <w:rsid w:val="2F593771"/>
    <w:rsid w:val="2FC4115A"/>
    <w:rsid w:val="2FE938EA"/>
    <w:rsid w:val="30384C7D"/>
    <w:rsid w:val="303A3A36"/>
    <w:rsid w:val="309C0F61"/>
    <w:rsid w:val="30CB7FA5"/>
    <w:rsid w:val="30DB3A35"/>
    <w:rsid w:val="30E7694C"/>
    <w:rsid w:val="314E7000"/>
    <w:rsid w:val="31C0752B"/>
    <w:rsid w:val="32186458"/>
    <w:rsid w:val="325E612F"/>
    <w:rsid w:val="32927F63"/>
    <w:rsid w:val="33F14D68"/>
    <w:rsid w:val="34CC26A5"/>
    <w:rsid w:val="34F63F68"/>
    <w:rsid w:val="350F3BC0"/>
    <w:rsid w:val="35926521"/>
    <w:rsid w:val="366C6D72"/>
    <w:rsid w:val="366C746F"/>
    <w:rsid w:val="36AC0FA1"/>
    <w:rsid w:val="37A60062"/>
    <w:rsid w:val="37F70D96"/>
    <w:rsid w:val="385C275B"/>
    <w:rsid w:val="38FD240B"/>
    <w:rsid w:val="39551D3F"/>
    <w:rsid w:val="3A2A4F01"/>
    <w:rsid w:val="3AA727E5"/>
    <w:rsid w:val="3AD16E8E"/>
    <w:rsid w:val="3ADB0E49"/>
    <w:rsid w:val="3B0635EE"/>
    <w:rsid w:val="3B2B597A"/>
    <w:rsid w:val="3BF14242"/>
    <w:rsid w:val="3C041E53"/>
    <w:rsid w:val="3C196A4C"/>
    <w:rsid w:val="3C4254E7"/>
    <w:rsid w:val="3D2D6B2F"/>
    <w:rsid w:val="3D903D0A"/>
    <w:rsid w:val="3DB64D77"/>
    <w:rsid w:val="3E541FD6"/>
    <w:rsid w:val="3ECD2378"/>
    <w:rsid w:val="3F2C52F0"/>
    <w:rsid w:val="420D0511"/>
    <w:rsid w:val="42616650"/>
    <w:rsid w:val="4263727A"/>
    <w:rsid w:val="426F0B0E"/>
    <w:rsid w:val="42731488"/>
    <w:rsid w:val="42F31B82"/>
    <w:rsid w:val="43054151"/>
    <w:rsid w:val="433E1A96"/>
    <w:rsid w:val="43D45F57"/>
    <w:rsid w:val="44E62139"/>
    <w:rsid w:val="44EA2F34"/>
    <w:rsid w:val="4542717D"/>
    <w:rsid w:val="45611A6C"/>
    <w:rsid w:val="457060A1"/>
    <w:rsid w:val="45A34316"/>
    <w:rsid w:val="45E72A99"/>
    <w:rsid w:val="47236543"/>
    <w:rsid w:val="472D66A6"/>
    <w:rsid w:val="47664271"/>
    <w:rsid w:val="47C409D6"/>
    <w:rsid w:val="48207CAC"/>
    <w:rsid w:val="484F02A2"/>
    <w:rsid w:val="497E544C"/>
    <w:rsid w:val="49B1480E"/>
    <w:rsid w:val="4A3F0305"/>
    <w:rsid w:val="4B496972"/>
    <w:rsid w:val="4BD737A1"/>
    <w:rsid w:val="4CFC5002"/>
    <w:rsid w:val="4D2871CF"/>
    <w:rsid w:val="4D470CD7"/>
    <w:rsid w:val="4DBD0916"/>
    <w:rsid w:val="4DC332C4"/>
    <w:rsid w:val="4E00747B"/>
    <w:rsid w:val="4E2875CB"/>
    <w:rsid w:val="4E3A42BE"/>
    <w:rsid w:val="4E960D21"/>
    <w:rsid w:val="4E9E459F"/>
    <w:rsid w:val="4EFB2ED9"/>
    <w:rsid w:val="4F406A00"/>
    <w:rsid w:val="4FE45CB9"/>
    <w:rsid w:val="50686404"/>
    <w:rsid w:val="5136702D"/>
    <w:rsid w:val="51CC19FD"/>
    <w:rsid w:val="51D06774"/>
    <w:rsid w:val="51FE1C24"/>
    <w:rsid w:val="523C08E8"/>
    <w:rsid w:val="534F55FA"/>
    <w:rsid w:val="552D196B"/>
    <w:rsid w:val="55F65DB3"/>
    <w:rsid w:val="56192CF3"/>
    <w:rsid w:val="566A2B12"/>
    <w:rsid w:val="566F6BDB"/>
    <w:rsid w:val="57070B1A"/>
    <w:rsid w:val="573E3070"/>
    <w:rsid w:val="58086A58"/>
    <w:rsid w:val="5830622B"/>
    <w:rsid w:val="58DB7EEE"/>
    <w:rsid w:val="59253FEA"/>
    <w:rsid w:val="59257BDF"/>
    <w:rsid w:val="59AA292D"/>
    <w:rsid w:val="59E74508"/>
    <w:rsid w:val="5A9B1234"/>
    <w:rsid w:val="5AC94305"/>
    <w:rsid w:val="5B0311A3"/>
    <w:rsid w:val="5B5639C9"/>
    <w:rsid w:val="5B7C4881"/>
    <w:rsid w:val="5C147E8B"/>
    <w:rsid w:val="5C6F4632"/>
    <w:rsid w:val="5D785E49"/>
    <w:rsid w:val="5DDD2180"/>
    <w:rsid w:val="5E074193"/>
    <w:rsid w:val="5E4C500D"/>
    <w:rsid w:val="5E7E3325"/>
    <w:rsid w:val="5FA2581E"/>
    <w:rsid w:val="602F37F0"/>
    <w:rsid w:val="61155B0D"/>
    <w:rsid w:val="612C0F72"/>
    <w:rsid w:val="6166423A"/>
    <w:rsid w:val="61932B55"/>
    <w:rsid w:val="61EA27BB"/>
    <w:rsid w:val="61F45CEA"/>
    <w:rsid w:val="6210774E"/>
    <w:rsid w:val="62630D14"/>
    <w:rsid w:val="629C40D8"/>
    <w:rsid w:val="62A768B8"/>
    <w:rsid w:val="632E0677"/>
    <w:rsid w:val="633B6B34"/>
    <w:rsid w:val="6420218A"/>
    <w:rsid w:val="64232087"/>
    <w:rsid w:val="642B10E5"/>
    <w:rsid w:val="65137FE1"/>
    <w:rsid w:val="656E5DB3"/>
    <w:rsid w:val="664722A7"/>
    <w:rsid w:val="66906C82"/>
    <w:rsid w:val="66EF455E"/>
    <w:rsid w:val="675E48ED"/>
    <w:rsid w:val="67977322"/>
    <w:rsid w:val="67C04438"/>
    <w:rsid w:val="683C3F28"/>
    <w:rsid w:val="68754037"/>
    <w:rsid w:val="6884152A"/>
    <w:rsid w:val="68F82C78"/>
    <w:rsid w:val="69BC0A87"/>
    <w:rsid w:val="69D05266"/>
    <w:rsid w:val="6A322BEB"/>
    <w:rsid w:val="6A97198A"/>
    <w:rsid w:val="6ABA6A70"/>
    <w:rsid w:val="6B202584"/>
    <w:rsid w:val="6C1874CD"/>
    <w:rsid w:val="6C75608F"/>
    <w:rsid w:val="6D200282"/>
    <w:rsid w:val="6E2666A4"/>
    <w:rsid w:val="6F437969"/>
    <w:rsid w:val="6F8306AD"/>
    <w:rsid w:val="6FE96E37"/>
    <w:rsid w:val="70F13BF7"/>
    <w:rsid w:val="7122661A"/>
    <w:rsid w:val="71267CAF"/>
    <w:rsid w:val="718D0958"/>
    <w:rsid w:val="727E6F0A"/>
    <w:rsid w:val="733C794D"/>
    <w:rsid w:val="734070EE"/>
    <w:rsid w:val="738F2EB8"/>
    <w:rsid w:val="739B4217"/>
    <w:rsid w:val="73EC333A"/>
    <w:rsid w:val="73EF2989"/>
    <w:rsid w:val="743C59D7"/>
    <w:rsid w:val="744D0FC3"/>
    <w:rsid w:val="745A2C6C"/>
    <w:rsid w:val="74AA44AE"/>
    <w:rsid w:val="75894C92"/>
    <w:rsid w:val="766765CC"/>
    <w:rsid w:val="76797F74"/>
    <w:rsid w:val="76C01EBB"/>
    <w:rsid w:val="76E557A9"/>
    <w:rsid w:val="77EC7614"/>
    <w:rsid w:val="77F47BCD"/>
    <w:rsid w:val="786C0708"/>
    <w:rsid w:val="78A30A89"/>
    <w:rsid w:val="78D047C3"/>
    <w:rsid w:val="79F503F9"/>
    <w:rsid w:val="7ABC5200"/>
    <w:rsid w:val="7AC640C7"/>
    <w:rsid w:val="7C3E4EBC"/>
    <w:rsid w:val="7D362912"/>
    <w:rsid w:val="7DBB5BA6"/>
    <w:rsid w:val="7ED00CCE"/>
    <w:rsid w:val="7FCE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eastAsia="等线"/>
      <w:szCs w:val="20"/>
    </w:rPr>
  </w:style>
  <w:style w:type="paragraph" w:styleId="4">
    <w:name w:val="annotation text"/>
    <w:basedOn w:val="1"/>
    <w:link w:val="27"/>
    <w:qFormat/>
    <w:uiPriority w:val="0"/>
    <w:pPr>
      <w:jc w:val="left"/>
    </w:pPr>
  </w:style>
  <w:style w:type="paragraph" w:styleId="5">
    <w:name w:val="Body Text"/>
    <w:basedOn w:val="1"/>
    <w:next w:val="6"/>
    <w:qFormat/>
    <w:uiPriority w:val="0"/>
    <w:pPr>
      <w:spacing w:after="120"/>
    </w:pPr>
    <w:rPr>
      <w:kern w:val="0"/>
      <w:sz w:val="20"/>
      <w:szCs w:val="20"/>
    </w:rPr>
  </w:style>
  <w:style w:type="paragraph" w:styleId="6">
    <w:name w:val="toc 5"/>
    <w:basedOn w:val="1"/>
    <w:next w:val="1"/>
    <w:unhideWhenUsed/>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7">
    <w:name w:val="Body Text Indent"/>
    <w:basedOn w:val="1"/>
    <w:qFormat/>
    <w:uiPriority w:val="0"/>
    <w:pPr>
      <w:spacing w:after="120"/>
      <w:ind w:left="420" w:leftChars="200"/>
    </w:pPr>
  </w:style>
  <w:style w:type="paragraph" w:styleId="8">
    <w:name w:val="Plain Text"/>
    <w:basedOn w:val="1"/>
    <w:next w:val="1"/>
    <w:qFormat/>
    <w:uiPriority w:val="0"/>
    <w:rPr>
      <w:rFonts w:ascii="宋体" w:hAnsi="Courier New"/>
      <w:kern w:val="0"/>
      <w:sz w:val="20"/>
      <w:szCs w:val="20"/>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2"/>
    <w:basedOn w:val="1"/>
    <w:next w:val="1"/>
    <w:qFormat/>
    <w:uiPriority w:val="0"/>
    <w:pPr>
      <w:ind w:left="420" w:leftChars="200"/>
    </w:pPr>
  </w:style>
  <w:style w:type="paragraph" w:styleId="13">
    <w:name w:val="Body Text 2"/>
    <w:basedOn w:val="1"/>
    <w:qFormat/>
    <w:uiPriority w:val="0"/>
    <w:rPr>
      <w:rFonts w:ascii="宋体" w:hAnsi="宋体"/>
      <w:kern w:val="0"/>
      <w:sz w:val="20"/>
      <w:szCs w:val="24"/>
      <w:u w:val="single"/>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4"/>
    <w:next w:val="4"/>
    <w:link w:val="28"/>
    <w:qFormat/>
    <w:uiPriority w:val="0"/>
    <w:rPr>
      <w:b/>
      <w:bCs/>
    </w:rPr>
  </w:style>
  <w:style w:type="paragraph" w:styleId="16">
    <w:name w:val="Body Text First Indent 2"/>
    <w:basedOn w:val="7"/>
    <w:qFormat/>
    <w:uiPriority w:val="0"/>
    <w:pPr>
      <w:ind w:firstLine="420" w:firstLineChars="200"/>
    </w:pPr>
  </w:style>
  <w:style w:type="character" w:styleId="19">
    <w:name w:val="Strong"/>
    <w:basedOn w:val="18"/>
    <w:qFormat/>
    <w:uiPriority w:val="0"/>
    <w:rPr>
      <w:b/>
    </w:rPr>
  </w:style>
  <w:style w:type="character" w:styleId="20">
    <w:name w:val="page number"/>
    <w:qFormat/>
    <w:uiPriority w:val="0"/>
    <w:rPr>
      <w:rFonts w:ascii="等线" w:hAnsi="等线" w:eastAsia="等线" w:cs="Times New Roman"/>
    </w:rPr>
  </w:style>
  <w:style w:type="character" w:styleId="21">
    <w:name w:val="Hyperlink"/>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批注框文本 Char"/>
    <w:basedOn w:val="18"/>
    <w:link w:val="9"/>
    <w:qFormat/>
    <w:uiPriority w:val="0"/>
    <w:rPr>
      <w:kern w:val="2"/>
      <w:sz w:val="18"/>
      <w:szCs w:val="18"/>
    </w:rPr>
  </w:style>
  <w:style w:type="paragraph" w:customStyle="1" w:styleId="26">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批注文字 Char"/>
    <w:basedOn w:val="18"/>
    <w:link w:val="4"/>
    <w:qFormat/>
    <w:uiPriority w:val="0"/>
    <w:rPr>
      <w:kern w:val="2"/>
      <w:sz w:val="21"/>
      <w:szCs w:val="22"/>
    </w:rPr>
  </w:style>
  <w:style w:type="character" w:customStyle="1" w:styleId="28">
    <w:name w:val="批注主题 Char"/>
    <w:basedOn w:val="27"/>
    <w:link w:val="15"/>
    <w:qFormat/>
    <w:uiPriority w:val="0"/>
    <w:rPr>
      <w:kern w:val="2"/>
      <w:sz w:val="21"/>
      <w:szCs w:val="22"/>
    </w:rPr>
  </w:style>
  <w:style w:type="paragraph" w:customStyle="1" w:styleId="29">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30">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7515</Words>
  <Characters>7946</Characters>
  <Lines>4</Lines>
  <Paragraphs>19</Paragraphs>
  <TotalTime>0</TotalTime>
  <ScaleCrop>false</ScaleCrop>
  <LinksUpToDate>false</LinksUpToDate>
  <CharactersWithSpaces>8067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2023-05-16T08:37:00Z</dcterms:created>
  <dc:creator>侠名</dc:creator>
  <cp:lastModifiedBy>张荣</cp:lastModifiedBy>
  <cp:lastPrinted>2024-12-23T02:48:00Z</cp:lastPrinted>
  <dcterms:modified xsi:type="dcterms:W3CDTF">2025-09-08T01:08:06Z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4A9749F7F3EC469887E3EDE5A4D51675</vt:lpwstr>
  </property>
  <property fmtid="{D5CDD505-2E9C-101B-9397-08002B2CF9AE}" pid="4" name="KSOTemplateDocerSaveRecord">
    <vt:lpwstr>eyJoZGlkIjoiOWQ2ZWExMDIwMTAyNTlkY2I3MDQ0MGE2NzkwYzQ5NGQiLCJ1c2VySWQiOiI1ODYzMTI5NTkifQ==</vt:lpwstr>
  </property>
</Properties>
</file>