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B207">
      <w:pPr>
        <w:spacing w:line="480" w:lineRule="auto"/>
        <w:jc w:val="center"/>
        <w:rPr>
          <w:rFonts w:ascii="宋体" w:hAnsi="宋体" w:cs="Times New Roman"/>
          <w:b/>
          <w:color w:val="auto"/>
          <w:sz w:val="48"/>
          <w:szCs w:val="48"/>
          <w:highlight w:val="none"/>
        </w:rPr>
      </w:pPr>
      <w:bookmarkStart w:id="0" w:name="_Toc492300545"/>
    </w:p>
    <w:p w14:paraId="5F2BC2DD">
      <w:pPr>
        <w:spacing w:line="480" w:lineRule="auto"/>
        <w:jc w:val="center"/>
        <w:rPr>
          <w:rFonts w:hint="eastAsia" w:ascii="宋体" w:hAnsi="宋体" w:cs="Times New Roman"/>
          <w:b/>
          <w:color w:val="auto"/>
          <w:sz w:val="48"/>
          <w:szCs w:val="46"/>
          <w:highlight w:val="none"/>
          <w:lang w:eastAsia="zh-CN"/>
        </w:rPr>
      </w:pPr>
    </w:p>
    <w:p w14:paraId="4A18EF10">
      <w:pPr>
        <w:spacing w:line="480" w:lineRule="auto"/>
        <w:jc w:val="center"/>
        <w:rPr>
          <w:rFonts w:ascii="宋体" w:hAnsi="宋体" w:cs="Times New Roman"/>
          <w:color w:val="auto"/>
          <w:kern w:val="0"/>
          <w:sz w:val="46"/>
          <w:szCs w:val="46"/>
          <w:highlight w:val="none"/>
          <w:u w:val="single"/>
        </w:rPr>
      </w:pPr>
      <w:r>
        <w:rPr>
          <w:rFonts w:hint="eastAsia" w:ascii="宋体" w:hAnsi="宋体" w:cs="Times New Roman"/>
          <w:b/>
          <w:color w:val="auto"/>
          <w:sz w:val="44"/>
          <w:szCs w:val="44"/>
          <w:highlight w:val="none"/>
          <w:lang w:eastAsia="zh-CN"/>
        </w:rPr>
        <w:t>科韵路-广园快速路节点改造工程施工监理</w:t>
      </w:r>
    </w:p>
    <w:p w14:paraId="1561BCA5">
      <w:pPr>
        <w:spacing w:line="360" w:lineRule="auto"/>
        <w:jc w:val="center"/>
        <w:rPr>
          <w:rFonts w:cs="Times New Roman"/>
          <w:color w:val="auto"/>
          <w:sz w:val="36"/>
          <w:highlight w:val="none"/>
          <w:u w:val="single"/>
        </w:rPr>
      </w:pPr>
    </w:p>
    <w:p w14:paraId="65D169CD">
      <w:pPr>
        <w:spacing w:line="360" w:lineRule="auto"/>
        <w:jc w:val="center"/>
        <w:rPr>
          <w:rFonts w:cs="Times New Roman"/>
          <w:color w:val="auto"/>
          <w:sz w:val="36"/>
          <w:highlight w:val="none"/>
          <w:u w:val="single"/>
        </w:rPr>
      </w:pPr>
    </w:p>
    <w:p w14:paraId="2844ACC8">
      <w:pPr>
        <w:spacing w:line="360" w:lineRule="auto"/>
        <w:jc w:val="center"/>
        <w:rPr>
          <w:rFonts w:cs="Times New Roman"/>
          <w:color w:val="auto"/>
          <w:sz w:val="36"/>
          <w:highlight w:val="none"/>
          <w:u w:val="single"/>
        </w:rPr>
      </w:pPr>
    </w:p>
    <w:p w14:paraId="6A2A81F0">
      <w:pPr>
        <w:spacing w:line="360" w:lineRule="auto"/>
        <w:jc w:val="center"/>
        <w:rPr>
          <w:rFonts w:hint="default" w:eastAsia="宋体" w:cs="Times New Roman"/>
          <w:b/>
          <w:bCs/>
          <w:color w:val="auto"/>
          <w:spacing w:val="26"/>
          <w:sz w:val="110"/>
          <w:szCs w:val="110"/>
          <w:highlight w:val="none"/>
          <w:lang w:val="en-US" w:eastAsia="zh-CN"/>
        </w:rPr>
      </w:pPr>
      <w:r>
        <w:rPr>
          <w:rFonts w:hint="eastAsia" w:ascii="宋体" w:hAnsi="宋体" w:cs="Times New Roman"/>
          <w:b/>
          <w:bCs/>
          <w:color w:val="auto"/>
          <w:spacing w:val="26"/>
          <w:sz w:val="96"/>
          <w:szCs w:val="110"/>
          <w:highlight w:val="none"/>
          <w:lang w:val="en-US" w:eastAsia="zh-CN"/>
        </w:rPr>
        <w:t>招标公告</w:t>
      </w:r>
    </w:p>
    <w:p w14:paraId="3597C931">
      <w:pPr>
        <w:spacing w:line="360" w:lineRule="auto"/>
        <w:jc w:val="center"/>
        <w:rPr>
          <w:rFonts w:cs="Times New Roman"/>
          <w:color w:val="auto"/>
          <w:sz w:val="32"/>
          <w:highlight w:val="none"/>
        </w:rPr>
      </w:pPr>
    </w:p>
    <w:p w14:paraId="75CFAC7F">
      <w:pPr>
        <w:spacing w:line="360" w:lineRule="auto"/>
        <w:ind w:firstLine="2560" w:firstLineChars="800"/>
        <w:rPr>
          <w:rFonts w:cs="Times New Roman"/>
          <w:color w:val="auto"/>
          <w:sz w:val="32"/>
          <w:highlight w:val="none"/>
        </w:rPr>
      </w:pPr>
    </w:p>
    <w:p w14:paraId="690A2FC6">
      <w:pPr>
        <w:spacing w:line="360" w:lineRule="auto"/>
        <w:ind w:firstLine="2560" w:firstLineChars="800"/>
        <w:rPr>
          <w:rFonts w:cs="Times New Roman"/>
          <w:color w:val="auto"/>
          <w:sz w:val="32"/>
          <w:highlight w:val="none"/>
        </w:rPr>
      </w:pPr>
    </w:p>
    <w:p w14:paraId="221BB89A">
      <w:pPr>
        <w:pStyle w:val="2"/>
        <w:rPr>
          <w:rFonts w:cs="Times New Roman"/>
          <w:color w:val="auto"/>
          <w:sz w:val="32"/>
          <w:highlight w:val="none"/>
        </w:rPr>
      </w:pPr>
    </w:p>
    <w:p w14:paraId="77B3E44D">
      <w:pPr>
        <w:pStyle w:val="2"/>
        <w:rPr>
          <w:rFonts w:cs="Times New Roman"/>
          <w:color w:val="auto"/>
          <w:sz w:val="32"/>
          <w:highlight w:val="none"/>
        </w:rPr>
      </w:pPr>
    </w:p>
    <w:p w14:paraId="385A7707">
      <w:pPr>
        <w:spacing w:line="360" w:lineRule="auto"/>
        <w:ind w:firstLine="2560" w:firstLineChars="800"/>
        <w:rPr>
          <w:rFonts w:cs="Times New Roman"/>
          <w:color w:val="auto"/>
          <w:sz w:val="32"/>
          <w:highlight w:val="none"/>
        </w:rPr>
      </w:pPr>
    </w:p>
    <w:p w14:paraId="0D21D0D1">
      <w:pPr>
        <w:tabs>
          <w:tab w:val="left" w:pos="2513"/>
        </w:tabs>
        <w:spacing w:line="360" w:lineRule="auto"/>
        <w:rPr>
          <w:rFonts w:cs="Times New Roman"/>
          <w:color w:val="auto"/>
          <w:sz w:val="52"/>
          <w:highlight w:val="none"/>
        </w:rPr>
      </w:pPr>
      <w:r>
        <w:rPr>
          <w:rFonts w:hint="eastAsia" w:cs="Times New Roman"/>
          <w:color w:val="auto"/>
          <w:sz w:val="52"/>
          <w:highlight w:val="none"/>
        </w:rPr>
        <w:tab/>
      </w:r>
    </w:p>
    <w:p w14:paraId="7080908E">
      <w:pPr>
        <w:spacing w:line="360" w:lineRule="auto"/>
        <w:ind w:left="1050" w:leftChars="500"/>
        <w:jc w:val="left"/>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人</w:t>
      </w:r>
      <w:r>
        <w:rPr>
          <w:rFonts w:hint="eastAsia" w:ascii="宋体" w:hAnsi="宋体" w:cs="宋体"/>
          <w:color w:val="auto"/>
          <w:sz w:val="30"/>
          <w:szCs w:val="30"/>
          <w:highlight w:val="none"/>
        </w:rPr>
        <w:t>：</w:t>
      </w:r>
      <w:r>
        <w:rPr>
          <w:rFonts w:hint="eastAsia" w:ascii="宋体" w:hAnsi="宋体" w:cs="宋体"/>
          <w:color w:val="auto"/>
          <w:sz w:val="30"/>
          <w:szCs w:val="30"/>
          <w:highlight w:val="none"/>
          <w:u w:val="single"/>
          <w:lang w:eastAsia="zh-CN"/>
        </w:rPr>
        <w:t>广州市广园市政建设有限公司</w:t>
      </w:r>
    </w:p>
    <w:p w14:paraId="0A7B23F9">
      <w:pPr>
        <w:spacing w:line="360" w:lineRule="auto"/>
        <w:ind w:left="1050" w:leftChars="500"/>
        <w:jc w:val="left"/>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w:t>
      </w:r>
      <w:r>
        <w:rPr>
          <w:rFonts w:hint="eastAsia" w:ascii="宋体" w:hAnsi="宋体" w:cs="宋体"/>
          <w:color w:val="auto"/>
          <w:sz w:val="30"/>
          <w:szCs w:val="30"/>
          <w:highlight w:val="none"/>
          <w:lang w:val="en-US" w:eastAsia="zh-CN"/>
        </w:rPr>
        <w:t>机构</w:t>
      </w:r>
      <w:r>
        <w:rPr>
          <w:rFonts w:hint="eastAsia" w:ascii="宋体" w:hAnsi="宋体" w:cs="宋体"/>
          <w:color w:val="auto"/>
          <w:sz w:val="30"/>
          <w:szCs w:val="30"/>
          <w:highlight w:val="none"/>
        </w:rPr>
        <w:t>：</w:t>
      </w:r>
      <w:r>
        <w:rPr>
          <w:rFonts w:hint="eastAsia" w:ascii="宋体" w:hAnsi="宋体" w:cs="宋体"/>
          <w:color w:val="auto"/>
          <w:sz w:val="30"/>
          <w:szCs w:val="30"/>
          <w:highlight w:val="none"/>
          <w:u w:val="single"/>
          <w:lang w:eastAsia="zh-CN"/>
        </w:rPr>
        <w:t>广州市广园工程技术咨询有限公司</w:t>
      </w:r>
    </w:p>
    <w:p w14:paraId="00B8D9C5">
      <w:pPr>
        <w:spacing w:line="360" w:lineRule="auto"/>
        <w:ind w:left="1050" w:leftChars="500"/>
        <w:jc w:val="left"/>
        <w:rPr>
          <w:rFonts w:ascii="宋体" w:hAnsi="宋体" w:cs="宋体"/>
          <w:color w:val="auto"/>
          <w:sz w:val="30"/>
          <w:szCs w:val="30"/>
          <w:highlight w:val="none"/>
        </w:rPr>
      </w:pPr>
      <w:r>
        <w:rPr>
          <w:rFonts w:hint="eastAsia" w:ascii="宋体" w:hAnsi="宋体" w:cs="宋体"/>
          <w:color w:val="auto"/>
          <w:sz w:val="32"/>
          <w:highlight w:val="none"/>
        </w:rPr>
        <w:t>日</w:t>
      </w:r>
      <w:r>
        <w:rPr>
          <w:rFonts w:ascii="宋体" w:hAnsi="宋体" w:cs="宋体"/>
          <w:color w:val="auto"/>
          <w:sz w:val="32"/>
          <w:highlight w:val="none"/>
        </w:rPr>
        <w:t xml:space="preserve">       </w:t>
      </w:r>
      <w:r>
        <w:rPr>
          <w:rFonts w:hint="eastAsia" w:ascii="宋体" w:hAnsi="宋体" w:cs="宋体"/>
          <w:color w:val="auto"/>
          <w:sz w:val="32"/>
          <w:highlight w:val="none"/>
        </w:rPr>
        <w:t>期：</w:t>
      </w:r>
      <w:r>
        <w:rPr>
          <w:rFonts w:hint="eastAsia" w:ascii="宋体" w:hAnsi="宋体" w:cs="宋体"/>
          <w:color w:val="auto"/>
          <w:sz w:val="32"/>
          <w:highlight w:val="none"/>
          <w:u w:val="single"/>
          <w:lang w:eastAsia="zh-CN"/>
        </w:rPr>
        <w:t>2025</w:t>
      </w:r>
      <w:r>
        <w:rPr>
          <w:rFonts w:hint="eastAsia" w:ascii="宋体" w:hAnsi="宋体" w:cs="宋体"/>
          <w:color w:val="auto"/>
          <w:sz w:val="32"/>
          <w:highlight w:val="none"/>
        </w:rPr>
        <w:t>年</w:t>
      </w:r>
      <w:r>
        <w:rPr>
          <w:rFonts w:hint="eastAsia" w:ascii="宋体" w:hAnsi="宋体" w:cs="宋体"/>
          <w:color w:val="auto"/>
          <w:sz w:val="32"/>
          <w:highlight w:val="none"/>
          <w:u w:val="single"/>
          <w:lang w:val="en-US" w:eastAsia="zh-CN"/>
        </w:rPr>
        <w:t>9</w:t>
      </w:r>
      <w:r>
        <w:rPr>
          <w:rFonts w:hint="eastAsia" w:ascii="宋体" w:hAnsi="宋体" w:cs="宋体"/>
          <w:color w:val="auto"/>
          <w:sz w:val="30"/>
          <w:szCs w:val="30"/>
          <w:highlight w:val="none"/>
        </w:rPr>
        <w:t>月</w:t>
      </w:r>
    </w:p>
    <w:p w14:paraId="492AF7F3">
      <w:pPr>
        <w:spacing w:line="360" w:lineRule="auto"/>
        <w:ind w:firstLine="900" w:firstLineChars="300"/>
        <w:rPr>
          <w:rFonts w:cs="Times New Roman"/>
          <w:color w:val="auto"/>
          <w:sz w:val="30"/>
          <w:szCs w:val="30"/>
          <w:highlight w:val="none"/>
        </w:rPr>
      </w:pPr>
    </w:p>
    <w:p w14:paraId="73F04B61">
      <w:pPr>
        <w:spacing w:line="360" w:lineRule="auto"/>
        <w:ind w:firstLine="632" w:firstLineChars="300"/>
        <w:jc w:val="left"/>
        <w:rPr>
          <w:rFonts w:cs="Times New Roman"/>
          <w:b/>
          <w:bCs/>
          <w:color w:val="auto"/>
          <w:highlight w:val="none"/>
          <w:u w:val="single"/>
        </w:rPr>
        <w:sectPr>
          <w:pgSz w:w="11906" w:h="16838"/>
          <w:pgMar w:top="1440" w:right="1800" w:bottom="1440" w:left="1800" w:header="851" w:footer="992" w:gutter="0"/>
          <w:cols w:space="720" w:num="1"/>
          <w:docGrid w:type="lines" w:linePitch="312" w:charSpace="0"/>
        </w:sectPr>
      </w:pPr>
    </w:p>
    <w:p w14:paraId="52548502">
      <w:pPr>
        <w:bidi w:val="0"/>
        <w:spacing w:line="360" w:lineRule="auto"/>
        <w:jc w:val="center"/>
        <w:rPr>
          <w:rStyle w:val="9"/>
          <w:rFonts w:hint="eastAsia" w:ascii="宋体" w:hAnsi="宋体" w:eastAsia="宋体" w:cs="宋体"/>
          <w:color w:val="auto"/>
          <w:highlight w:val="none"/>
          <w:u w:val="single"/>
          <w:lang w:eastAsia="zh-CN"/>
        </w:rPr>
      </w:pPr>
      <w:bookmarkStart w:id="1" w:name="_Toc19439"/>
      <w:bookmarkStart w:id="2" w:name="_Toc30405"/>
      <w:bookmarkStart w:id="3" w:name="_Toc15600"/>
      <w:bookmarkStart w:id="4" w:name="_Toc27786"/>
      <w:bookmarkStart w:id="5" w:name="_Toc6275"/>
      <w:bookmarkStart w:id="6" w:name="_Toc9660"/>
      <w:bookmarkStart w:id="7" w:name="_Toc24592"/>
      <w:bookmarkStart w:id="8" w:name="_Toc26883"/>
      <w:bookmarkStart w:id="9" w:name="_Toc18135"/>
      <w:bookmarkStart w:id="10" w:name="_Toc7983"/>
      <w:bookmarkStart w:id="11" w:name="_Toc24404"/>
      <w:r>
        <w:rPr>
          <w:rStyle w:val="9"/>
          <w:rFonts w:hint="eastAsia" w:ascii="宋体" w:hAnsi="宋体" w:eastAsia="宋体" w:cs="宋体"/>
          <w:color w:val="auto"/>
          <w:highlight w:val="none"/>
          <w:u w:val="single"/>
          <w:lang w:eastAsia="zh-CN"/>
        </w:rPr>
        <w:t>科韵路-广园快速路节点改造工程施工监理</w:t>
      </w:r>
    </w:p>
    <w:p w14:paraId="0B4FD6DB">
      <w:pPr>
        <w:bidi w:val="0"/>
        <w:spacing w:line="360" w:lineRule="auto"/>
        <w:jc w:val="center"/>
        <w:rPr>
          <w:rFonts w:hint="eastAsia" w:ascii="黑体" w:hAnsi="黑体" w:eastAsia="黑体" w:cs="黑体"/>
          <w:b/>
          <w:color w:val="auto"/>
          <w:kern w:val="2"/>
          <w:sz w:val="32"/>
          <w:szCs w:val="32"/>
          <w:highlight w:val="none"/>
        </w:rPr>
      </w:pPr>
      <w:r>
        <w:rPr>
          <w:rStyle w:val="9"/>
          <w:rFonts w:hint="eastAsia" w:ascii="宋体" w:hAnsi="宋体" w:eastAsia="宋体" w:cs="宋体"/>
          <w:color w:val="auto"/>
          <w:highlight w:val="none"/>
        </w:rPr>
        <w:t>招标公告</w:t>
      </w:r>
      <w:bookmarkEnd w:id="1"/>
      <w:bookmarkEnd w:id="2"/>
      <w:bookmarkEnd w:id="3"/>
      <w:bookmarkEnd w:id="4"/>
      <w:bookmarkEnd w:id="5"/>
      <w:bookmarkEnd w:id="6"/>
      <w:bookmarkEnd w:id="7"/>
      <w:bookmarkEnd w:id="8"/>
      <w:bookmarkEnd w:id="9"/>
      <w:bookmarkEnd w:id="10"/>
      <w:bookmarkEnd w:id="11"/>
    </w:p>
    <w:bookmarkEnd w:id="0"/>
    <w:p w14:paraId="4FC45C57">
      <w:pPr>
        <w:pStyle w:val="5"/>
        <w:bidi w:val="0"/>
        <w:rPr>
          <w:rFonts w:hint="eastAsia"/>
          <w:color w:val="auto"/>
          <w:highlight w:val="none"/>
        </w:rPr>
      </w:pPr>
      <w:bookmarkStart w:id="12" w:name="_Toc8669"/>
      <w:bookmarkStart w:id="13" w:name="_Toc492300546"/>
      <w:bookmarkStart w:id="14" w:name="_Toc6984"/>
      <w:bookmarkStart w:id="15" w:name="_Toc7616"/>
      <w:bookmarkStart w:id="16" w:name="_Toc29260"/>
      <w:bookmarkStart w:id="17" w:name="_Toc13816"/>
      <w:bookmarkStart w:id="18" w:name="_Toc14321"/>
      <w:bookmarkStart w:id="19" w:name="_Toc19438"/>
      <w:bookmarkStart w:id="20" w:name="_Toc12249"/>
      <w:bookmarkStart w:id="21" w:name="_Toc4607"/>
      <w:bookmarkStart w:id="22" w:name="_Toc19309"/>
      <w:bookmarkStart w:id="23" w:name="_Toc511140161"/>
      <w:bookmarkStart w:id="24" w:name="_Toc24988"/>
      <w:bookmarkStart w:id="25" w:name="_Toc451"/>
      <w:bookmarkStart w:id="26" w:name="_Toc16445"/>
      <w:bookmarkStart w:id="27" w:name="_Toc24707"/>
      <w:bookmarkStart w:id="28" w:name="_Toc11211"/>
      <w:bookmarkStart w:id="29" w:name="_Toc6648"/>
      <w:bookmarkStart w:id="30" w:name="_Toc23802"/>
      <w:bookmarkStart w:id="31" w:name="_Toc9384"/>
      <w:bookmarkStart w:id="32" w:name="_Toc20870"/>
      <w:r>
        <w:rPr>
          <w:rFonts w:hint="eastAsia"/>
          <w:color w:val="auto"/>
          <w:highlight w:val="none"/>
        </w:rPr>
        <w:t>1.招标条件</w:t>
      </w:r>
      <w:bookmarkEnd w:id="12"/>
      <w:bookmarkEnd w:id="13"/>
      <w:bookmarkEnd w:id="14"/>
      <w:bookmarkEnd w:id="15"/>
      <w:bookmarkEnd w:id="16"/>
      <w:bookmarkEnd w:id="17"/>
      <w:bookmarkEnd w:id="18"/>
      <w:bookmarkEnd w:id="19"/>
      <w:bookmarkEnd w:id="20"/>
      <w:bookmarkEnd w:id="21"/>
      <w:bookmarkEnd w:id="22"/>
    </w:p>
    <w:p w14:paraId="07653A9A">
      <w:pPr>
        <w:spacing w:line="360" w:lineRule="auto"/>
        <w:ind w:firstLine="420" w:firstLineChars="200"/>
        <w:rPr>
          <w:rFonts w:hint="eastAsia" w:ascii="Times New Roman" w:hAnsi="Times New Roman"/>
          <w:color w:val="auto"/>
          <w:szCs w:val="21"/>
          <w:highlight w:val="none"/>
        </w:rPr>
      </w:pPr>
      <w:r>
        <w:rPr>
          <w:color w:val="auto"/>
          <w:szCs w:val="21"/>
          <w:highlight w:val="none"/>
        </w:rPr>
        <w:t>本招标项目</w:t>
      </w:r>
      <w:r>
        <w:rPr>
          <w:rFonts w:hint="eastAsia"/>
          <w:color w:val="auto"/>
          <w:szCs w:val="21"/>
          <w:highlight w:val="none"/>
          <w:u w:val="single"/>
        </w:rPr>
        <w:t>科韵路-广园快速路节点改造工</w:t>
      </w:r>
      <w:r>
        <w:rPr>
          <w:rFonts w:hint="eastAsia"/>
          <w:color w:val="auto"/>
          <w:szCs w:val="21"/>
          <w:highlight w:val="none"/>
        </w:rPr>
        <w:t>程</w:t>
      </w:r>
      <w:r>
        <w:rPr>
          <w:color w:val="auto"/>
          <w:szCs w:val="21"/>
          <w:highlight w:val="none"/>
        </w:rPr>
        <w:t>已</w:t>
      </w:r>
      <w:r>
        <w:rPr>
          <w:color w:val="auto"/>
          <w:spacing w:val="-1"/>
          <w:szCs w:val="21"/>
          <w:highlight w:val="none"/>
        </w:rPr>
        <w:t>由</w:t>
      </w:r>
      <w:r>
        <w:rPr>
          <w:rFonts w:hint="eastAsia" w:ascii="宋体" w:hAnsi="宋体"/>
          <w:color w:val="auto"/>
          <w:sz w:val="21"/>
          <w:szCs w:val="21"/>
          <w:highlight w:val="none"/>
          <w:u w:val="single"/>
        </w:rPr>
        <w:t>广州市</w:t>
      </w:r>
      <w:r>
        <w:rPr>
          <w:rFonts w:hint="eastAsia" w:ascii="宋体" w:hAnsi="宋体"/>
          <w:color w:val="auto"/>
          <w:sz w:val="21"/>
          <w:szCs w:val="21"/>
          <w:highlight w:val="none"/>
          <w:u w:val="single"/>
          <w:lang w:val="en-US" w:eastAsia="zh-CN"/>
        </w:rPr>
        <w:t>天河区</w:t>
      </w:r>
      <w:r>
        <w:rPr>
          <w:rFonts w:hint="eastAsia" w:ascii="宋体" w:hAnsi="宋体"/>
          <w:color w:val="auto"/>
          <w:sz w:val="21"/>
          <w:szCs w:val="21"/>
          <w:highlight w:val="none"/>
          <w:u w:val="single"/>
        </w:rPr>
        <w:t>发展和</w:t>
      </w:r>
      <w:r>
        <w:rPr>
          <w:rFonts w:hint="eastAsia" w:ascii="宋体" w:hAnsi="宋体"/>
          <w:color w:val="auto"/>
          <w:sz w:val="21"/>
          <w:szCs w:val="21"/>
          <w:highlight w:val="none"/>
          <w:u w:val="single"/>
          <w:lang w:val="en-US" w:eastAsia="zh-CN"/>
        </w:rPr>
        <w:t>改革局</w:t>
      </w:r>
      <w:r>
        <w:rPr>
          <w:color w:val="auto"/>
          <w:spacing w:val="-1"/>
          <w:szCs w:val="21"/>
          <w:highlight w:val="none"/>
        </w:rPr>
        <w:t>以</w:t>
      </w:r>
      <w:r>
        <w:rPr>
          <w:rFonts w:hint="eastAsia"/>
          <w:color w:val="auto"/>
          <w:spacing w:val="-1"/>
          <w:szCs w:val="21"/>
          <w:highlight w:val="none"/>
          <w:u w:val="single"/>
        </w:rPr>
        <w:t>穗天发改投批〔2025〕36号</w:t>
      </w:r>
      <w:r>
        <w:rPr>
          <w:color w:val="auto"/>
          <w:spacing w:val="-3"/>
          <w:szCs w:val="21"/>
          <w:highlight w:val="none"/>
        </w:rPr>
        <w:t>（</w:t>
      </w:r>
      <w:r>
        <w:rPr>
          <w:color w:val="auto"/>
          <w:szCs w:val="21"/>
          <w:highlight w:val="none"/>
        </w:rPr>
        <w:t>批</w:t>
      </w:r>
      <w:r>
        <w:rPr>
          <w:color w:val="auto"/>
          <w:spacing w:val="-3"/>
          <w:szCs w:val="21"/>
          <w:highlight w:val="none"/>
        </w:rPr>
        <w:t>文</w:t>
      </w:r>
      <w:r>
        <w:rPr>
          <w:color w:val="auto"/>
          <w:szCs w:val="21"/>
          <w:highlight w:val="none"/>
        </w:rPr>
        <w:t>名</w:t>
      </w:r>
      <w:r>
        <w:rPr>
          <w:color w:val="auto"/>
          <w:spacing w:val="-3"/>
          <w:szCs w:val="21"/>
          <w:highlight w:val="none"/>
        </w:rPr>
        <w:t>称</w:t>
      </w:r>
      <w:r>
        <w:rPr>
          <w:color w:val="auto"/>
          <w:szCs w:val="21"/>
          <w:highlight w:val="none"/>
        </w:rPr>
        <w:t>及</w:t>
      </w:r>
      <w:r>
        <w:rPr>
          <w:color w:val="auto"/>
          <w:spacing w:val="-3"/>
          <w:szCs w:val="21"/>
          <w:highlight w:val="none"/>
        </w:rPr>
        <w:t>编</w:t>
      </w:r>
      <w:r>
        <w:rPr>
          <w:color w:val="auto"/>
          <w:szCs w:val="21"/>
          <w:highlight w:val="none"/>
        </w:rPr>
        <w:t>号</w:t>
      </w:r>
      <w:r>
        <w:rPr>
          <w:color w:val="auto"/>
          <w:spacing w:val="-17"/>
          <w:szCs w:val="21"/>
          <w:highlight w:val="none"/>
        </w:rPr>
        <w:t>）</w:t>
      </w:r>
      <w:r>
        <w:rPr>
          <w:color w:val="auto"/>
          <w:spacing w:val="-3"/>
          <w:szCs w:val="21"/>
          <w:highlight w:val="none"/>
        </w:rPr>
        <w:t>批</w:t>
      </w:r>
      <w:r>
        <w:rPr>
          <w:color w:val="auto"/>
          <w:szCs w:val="21"/>
          <w:highlight w:val="none"/>
        </w:rPr>
        <w:t>准建</w:t>
      </w:r>
      <w:r>
        <w:rPr>
          <w:color w:val="auto"/>
          <w:spacing w:val="-3"/>
          <w:szCs w:val="21"/>
          <w:highlight w:val="none"/>
        </w:rPr>
        <w:t>设</w:t>
      </w:r>
      <w:r>
        <w:rPr>
          <w:color w:val="auto"/>
          <w:spacing w:val="-17"/>
          <w:szCs w:val="21"/>
          <w:highlight w:val="none"/>
        </w:rPr>
        <w:t>，</w:t>
      </w:r>
      <w:r>
        <w:rPr>
          <w:color w:val="auto"/>
          <w:szCs w:val="21"/>
          <w:highlight w:val="none"/>
        </w:rPr>
        <w:t>项</w:t>
      </w:r>
      <w:r>
        <w:rPr>
          <w:color w:val="auto"/>
          <w:spacing w:val="-3"/>
          <w:szCs w:val="21"/>
          <w:highlight w:val="none"/>
        </w:rPr>
        <w:t>目</w:t>
      </w:r>
      <w:r>
        <w:rPr>
          <w:rFonts w:hint="eastAsia"/>
          <w:color w:val="auto"/>
          <w:spacing w:val="-3"/>
          <w:szCs w:val="21"/>
          <w:highlight w:val="none"/>
          <w:lang w:val="en-US" w:eastAsia="zh-CN"/>
        </w:rPr>
        <w:t>业主</w:t>
      </w:r>
      <w:r>
        <w:rPr>
          <w:color w:val="auto"/>
          <w:spacing w:val="-1"/>
          <w:szCs w:val="21"/>
          <w:highlight w:val="none"/>
        </w:rPr>
        <w:t>为</w:t>
      </w:r>
      <w:r>
        <w:rPr>
          <w:rFonts w:hint="eastAsia"/>
          <w:color w:val="auto"/>
          <w:spacing w:val="-1"/>
          <w:szCs w:val="21"/>
          <w:highlight w:val="none"/>
          <w:u w:val="single"/>
        </w:rPr>
        <w:t>广州市天河区住房建设和园林局</w:t>
      </w:r>
      <w:r>
        <w:rPr>
          <w:color w:val="auto"/>
          <w:spacing w:val="-17"/>
          <w:szCs w:val="21"/>
          <w:highlight w:val="none"/>
        </w:rPr>
        <w:t>，</w:t>
      </w:r>
      <w:r>
        <w:rPr>
          <w:color w:val="auto"/>
          <w:szCs w:val="21"/>
          <w:highlight w:val="none"/>
        </w:rPr>
        <w:t>建</w:t>
      </w:r>
      <w:r>
        <w:rPr>
          <w:color w:val="auto"/>
          <w:spacing w:val="-3"/>
          <w:szCs w:val="21"/>
          <w:highlight w:val="none"/>
        </w:rPr>
        <w:t>设</w:t>
      </w:r>
      <w:r>
        <w:rPr>
          <w:color w:val="auto"/>
          <w:szCs w:val="21"/>
          <w:highlight w:val="none"/>
        </w:rPr>
        <w:t>资</w:t>
      </w:r>
      <w:r>
        <w:rPr>
          <w:color w:val="auto"/>
          <w:spacing w:val="-3"/>
          <w:szCs w:val="21"/>
          <w:highlight w:val="none"/>
        </w:rPr>
        <w:t>金</w:t>
      </w:r>
      <w:r>
        <w:rPr>
          <w:color w:val="auto"/>
          <w:szCs w:val="21"/>
          <w:highlight w:val="none"/>
        </w:rPr>
        <w:t>来</w:t>
      </w:r>
      <w:r>
        <w:rPr>
          <w:color w:val="auto"/>
          <w:spacing w:val="-1"/>
          <w:szCs w:val="21"/>
          <w:highlight w:val="none"/>
        </w:rPr>
        <w:t>自</w:t>
      </w:r>
      <w:r>
        <w:rPr>
          <w:rFonts w:hint="eastAsia" w:ascii="宋体" w:hAnsi="宋体"/>
          <w:color w:val="auto"/>
          <w:sz w:val="21"/>
          <w:szCs w:val="21"/>
          <w:highlight w:val="none"/>
          <w:u w:val="single"/>
          <w:lang w:eastAsia="zh-CN"/>
        </w:rPr>
        <w:t>区</w:t>
      </w:r>
      <w:r>
        <w:rPr>
          <w:rFonts w:hint="eastAsia" w:ascii="宋体" w:hAnsi="宋体"/>
          <w:color w:val="auto"/>
          <w:sz w:val="21"/>
          <w:szCs w:val="21"/>
          <w:highlight w:val="none"/>
          <w:u w:val="single"/>
        </w:rPr>
        <w:t>财政资金</w:t>
      </w:r>
      <w:r>
        <w:rPr>
          <w:color w:val="auto"/>
          <w:spacing w:val="-20"/>
          <w:szCs w:val="21"/>
          <w:highlight w:val="none"/>
        </w:rPr>
        <w:t>，</w:t>
      </w:r>
      <w:r>
        <w:rPr>
          <w:color w:val="auto"/>
          <w:szCs w:val="21"/>
          <w:highlight w:val="none"/>
        </w:rPr>
        <w:t>出</w:t>
      </w:r>
      <w:r>
        <w:rPr>
          <w:color w:val="auto"/>
          <w:spacing w:val="-3"/>
          <w:szCs w:val="21"/>
          <w:highlight w:val="none"/>
        </w:rPr>
        <w:t>资</w:t>
      </w:r>
      <w:r>
        <w:rPr>
          <w:color w:val="auto"/>
          <w:szCs w:val="21"/>
          <w:highlight w:val="none"/>
        </w:rPr>
        <w:t>比</w:t>
      </w:r>
      <w:r>
        <w:rPr>
          <w:color w:val="auto"/>
          <w:spacing w:val="-3"/>
          <w:szCs w:val="21"/>
          <w:highlight w:val="none"/>
        </w:rPr>
        <w:t>例</w:t>
      </w:r>
      <w:r>
        <w:rPr>
          <w:color w:val="auto"/>
          <w:szCs w:val="21"/>
          <w:highlight w:val="none"/>
        </w:rPr>
        <w:t>为</w:t>
      </w:r>
      <w:r>
        <w:rPr>
          <w:rFonts w:ascii="宋体" w:hAnsi="宋体"/>
          <w:color w:val="auto"/>
          <w:sz w:val="21"/>
          <w:szCs w:val="21"/>
          <w:highlight w:val="none"/>
          <w:u w:val="single"/>
        </w:rPr>
        <w:t>100%</w:t>
      </w:r>
      <w:r>
        <w:rPr>
          <w:color w:val="auto"/>
          <w:spacing w:val="-20"/>
          <w:szCs w:val="21"/>
          <w:highlight w:val="none"/>
        </w:rPr>
        <w:t>，</w:t>
      </w:r>
      <w:r>
        <w:rPr>
          <w:color w:val="auto"/>
          <w:szCs w:val="21"/>
          <w:highlight w:val="none"/>
        </w:rPr>
        <w:t>招</w:t>
      </w:r>
      <w:r>
        <w:rPr>
          <w:color w:val="auto"/>
          <w:spacing w:val="-3"/>
          <w:szCs w:val="21"/>
          <w:highlight w:val="none"/>
        </w:rPr>
        <w:t>标</w:t>
      </w:r>
      <w:r>
        <w:rPr>
          <w:color w:val="auto"/>
          <w:szCs w:val="21"/>
          <w:highlight w:val="none"/>
        </w:rPr>
        <w:t>人</w:t>
      </w:r>
      <w:r>
        <w:rPr>
          <w:color w:val="auto"/>
          <w:spacing w:val="-3"/>
          <w:szCs w:val="21"/>
          <w:highlight w:val="none"/>
        </w:rPr>
        <w:t>为</w:t>
      </w:r>
      <w:r>
        <w:rPr>
          <w:rFonts w:hint="eastAsia" w:ascii="Times New Roman" w:hAnsi="Times New Roman"/>
          <w:color w:val="auto"/>
          <w:szCs w:val="21"/>
          <w:highlight w:val="none"/>
          <w:u w:val="single"/>
          <w:lang w:val="zh-CN"/>
        </w:rPr>
        <w:t>广州市广园市政建设有限公司</w:t>
      </w:r>
      <w:r>
        <w:rPr>
          <w:color w:val="auto"/>
          <w:spacing w:val="-22"/>
          <w:szCs w:val="21"/>
          <w:highlight w:val="none"/>
        </w:rPr>
        <w:t>。</w:t>
      </w:r>
      <w:r>
        <w:rPr>
          <w:color w:val="auto"/>
          <w:szCs w:val="21"/>
          <w:highlight w:val="none"/>
        </w:rPr>
        <w:t>项目</w:t>
      </w:r>
      <w:r>
        <w:rPr>
          <w:color w:val="auto"/>
          <w:spacing w:val="-3"/>
          <w:szCs w:val="21"/>
          <w:highlight w:val="none"/>
        </w:rPr>
        <w:t>已</w:t>
      </w:r>
      <w:r>
        <w:rPr>
          <w:color w:val="auto"/>
          <w:szCs w:val="21"/>
          <w:highlight w:val="none"/>
        </w:rPr>
        <w:t>具</w:t>
      </w:r>
      <w:r>
        <w:rPr>
          <w:color w:val="auto"/>
          <w:spacing w:val="-3"/>
          <w:szCs w:val="21"/>
          <w:highlight w:val="none"/>
        </w:rPr>
        <w:t>备招</w:t>
      </w:r>
      <w:r>
        <w:rPr>
          <w:color w:val="auto"/>
          <w:szCs w:val="21"/>
          <w:highlight w:val="none"/>
        </w:rPr>
        <w:t>标条件</w:t>
      </w:r>
      <w:r>
        <w:rPr>
          <w:rFonts w:hint="eastAsia" w:ascii="Times New Roman" w:hAnsi="Times New Roman"/>
          <w:color w:val="auto"/>
          <w:szCs w:val="21"/>
          <w:highlight w:val="none"/>
        </w:rPr>
        <w:t>，现对该项目的监理进行公开招标。</w:t>
      </w:r>
    </w:p>
    <w:p w14:paraId="06223D5B">
      <w:pPr>
        <w:pStyle w:val="2"/>
        <w:rPr>
          <w:rFonts w:ascii="Calibri" w:hAnsi="Calibri"/>
          <w:color w:val="auto"/>
          <w:highlight w:val="none"/>
        </w:rPr>
      </w:pPr>
    </w:p>
    <w:p w14:paraId="58D97A0E">
      <w:pPr>
        <w:pStyle w:val="5"/>
        <w:bidi w:val="0"/>
        <w:rPr>
          <w:rFonts w:hint="eastAsia"/>
          <w:color w:val="auto"/>
          <w:highlight w:val="none"/>
        </w:rPr>
      </w:pPr>
      <w:bookmarkStart w:id="33" w:name="_Toc9097"/>
      <w:bookmarkStart w:id="34" w:name="_Toc17994"/>
      <w:bookmarkStart w:id="35" w:name="_Toc20915"/>
      <w:bookmarkStart w:id="36" w:name="_Toc5569"/>
      <w:bookmarkStart w:id="37" w:name="_Toc492300547"/>
      <w:bookmarkStart w:id="38" w:name="_Toc12610"/>
      <w:bookmarkStart w:id="39" w:name="_Toc26461"/>
      <w:bookmarkStart w:id="40" w:name="_Toc16756"/>
      <w:bookmarkStart w:id="41" w:name="_Toc8135"/>
      <w:bookmarkStart w:id="42" w:name="_Toc23202"/>
      <w:bookmarkStart w:id="43" w:name="_Toc15996"/>
      <w:r>
        <w:rPr>
          <w:rFonts w:hint="eastAsia"/>
          <w:color w:val="auto"/>
          <w:highlight w:val="none"/>
        </w:rPr>
        <w:t>2.项目概况与招标范围</w:t>
      </w:r>
      <w:bookmarkEnd w:id="33"/>
      <w:bookmarkEnd w:id="34"/>
      <w:bookmarkEnd w:id="35"/>
      <w:bookmarkEnd w:id="36"/>
      <w:bookmarkEnd w:id="37"/>
      <w:bookmarkEnd w:id="38"/>
      <w:bookmarkEnd w:id="39"/>
      <w:bookmarkEnd w:id="40"/>
      <w:bookmarkEnd w:id="41"/>
      <w:bookmarkEnd w:id="42"/>
      <w:bookmarkEnd w:id="43"/>
    </w:p>
    <w:p w14:paraId="17A71EEE">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textAlignment w:val="auto"/>
        <w:rPr>
          <w:rFonts w:hint="default" w:ascii="宋体" w:hAnsi="宋体" w:eastAsia="宋体" w:cs="Times New Roman"/>
          <w:color w:val="auto"/>
          <w:sz w:val="21"/>
          <w:szCs w:val="21"/>
          <w:highlight w:val="none"/>
          <w:lang w:val="en-US" w:eastAsia="zh-CN"/>
        </w:rPr>
      </w:pPr>
      <w:bookmarkStart w:id="44" w:name="_Toc17345"/>
      <w:r>
        <w:rPr>
          <w:rFonts w:hint="default"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招标项目概况</w:t>
      </w:r>
      <w:bookmarkEnd w:id="44"/>
    </w:p>
    <w:p w14:paraId="0990DDE5">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bookmarkStart w:id="45" w:name="_Toc13481"/>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1 招标项目固定资产投资项目代码：</w:t>
      </w:r>
      <w:r>
        <w:rPr>
          <w:rFonts w:hint="eastAsia" w:ascii="宋体" w:hAnsi="宋体"/>
          <w:color w:val="auto"/>
          <w:sz w:val="21"/>
          <w:szCs w:val="21"/>
          <w:highlight w:val="none"/>
          <w:u w:val="single"/>
          <w:lang w:val="en-US" w:eastAsia="zh-CN"/>
        </w:rPr>
        <w:t>2019-440106-48-01-051369</w:t>
      </w:r>
    </w:p>
    <w:p w14:paraId="4252A9EC">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2.1.2 招标项目名称：</w:t>
      </w:r>
      <w:r>
        <w:rPr>
          <w:rFonts w:hint="eastAsia" w:ascii="宋体" w:hAnsi="宋体" w:eastAsia="宋体" w:cs="Times New Roman"/>
          <w:color w:val="auto"/>
          <w:sz w:val="21"/>
          <w:szCs w:val="21"/>
          <w:highlight w:val="none"/>
          <w:u w:val="single"/>
          <w:lang w:eastAsia="zh-CN"/>
        </w:rPr>
        <w:t>科韵路-广园快速路节点改造工程施工监理</w:t>
      </w:r>
    </w:p>
    <w:p w14:paraId="2EE439EB">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 xml:space="preserve">2.1.3 </w:t>
      </w:r>
      <w:r>
        <w:rPr>
          <w:rFonts w:hint="default" w:ascii="宋体" w:hAnsi="宋体" w:eastAsia="宋体"/>
          <w:color w:val="auto"/>
          <w:sz w:val="21"/>
          <w:szCs w:val="21"/>
          <w:highlight w:val="none"/>
        </w:rPr>
        <w:t>工程建设地点：</w:t>
      </w:r>
      <w:r>
        <w:rPr>
          <w:rFonts w:hint="default" w:ascii="宋体" w:hAnsi="宋体" w:eastAsia="宋体"/>
          <w:color w:val="auto"/>
          <w:sz w:val="21"/>
          <w:szCs w:val="21"/>
          <w:highlight w:val="none"/>
          <w:u w:val="single"/>
          <w:lang w:val="en-US" w:eastAsia="zh-CN"/>
        </w:rPr>
        <w:t>广州市</w:t>
      </w:r>
      <w:r>
        <w:rPr>
          <w:rFonts w:hint="eastAsia" w:ascii="宋体" w:hAnsi="宋体" w:eastAsia="宋体"/>
          <w:color w:val="auto"/>
          <w:sz w:val="21"/>
          <w:szCs w:val="21"/>
          <w:highlight w:val="none"/>
          <w:u w:val="single"/>
          <w:lang w:val="en-US" w:eastAsia="zh-CN"/>
        </w:rPr>
        <w:t>天河</w:t>
      </w:r>
      <w:r>
        <w:rPr>
          <w:rFonts w:hint="default" w:ascii="宋体" w:hAnsi="宋体" w:eastAsia="宋体"/>
          <w:color w:val="auto"/>
          <w:sz w:val="21"/>
          <w:szCs w:val="21"/>
          <w:highlight w:val="none"/>
          <w:u w:val="single"/>
          <w:lang w:val="en-US" w:eastAsia="zh-CN"/>
        </w:rPr>
        <w:t>区</w:t>
      </w:r>
      <w:r>
        <w:rPr>
          <w:rFonts w:hint="default" w:ascii="宋体" w:hAnsi="宋体" w:eastAsia="宋体"/>
          <w:color w:val="auto"/>
          <w:sz w:val="21"/>
          <w:szCs w:val="21"/>
          <w:highlight w:val="none"/>
          <w:lang w:val="en-US" w:eastAsia="zh-CN"/>
        </w:rPr>
        <w:t xml:space="preserve"> </w:t>
      </w:r>
    </w:p>
    <w:p w14:paraId="19F02A56">
      <w:pPr>
        <w:tabs>
          <w:tab w:val="left" w:pos="7513"/>
        </w:tabs>
        <w:autoSpaceDE w:val="0"/>
        <w:autoSpaceDN w:val="0"/>
        <w:spacing w:line="360" w:lineRule="auto"/>
        <w:ind w:firstLine="371" w:firstLineChars="177"/>
        <w:rPr>
          <w:rFonts w:hint="default" w:ascii="宋体" w:hAnsi="Times New Roman" w:eastAsia="宋体"/>
          <w:color w:val="auto"/>
          <w:sz w:val="21"/>
          <w:szCs w:val="21"/>
          <w:highlight w:val="none"/>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 xml:space="preserve">4 </w:t>
      </w:r>
      <w:r>
        <w:rPr>
          <w:rFonts w:hint="default" w:ascii="宋体" w:hAnsi="宋体" w:eastAsia="宋体"/>
          <w:color w:val="auto"/>
          <w:sz w:val="21"/>
          <w:szCs w:val="21"/>
          <w:highlight w:val="none"/>
        </w:rPr>
        <w:t>工程建设规模</w:t>
      </w:r>
      <w:r>
        <w:rPr>
          <w:rFonts w:hint="default" w:ascii="宋体" w:hAnsi="Times New Roman" w:eastAsia="宋体"/>
          <w:color w:val="auto"/>
          <w:sz w:val="21"/>
          <w:szCs w:val="21"/>
          <w:highlight w:val="none"/>
        </w:rPr>
        <w:t>：科韵路道路等级定位为城市主干路，项目改造道路主线及匝道总长约2.5千米，具体改造内容如下：</w:t>
      </w:r>
    </w:p>
    <w:p w14:paraId="67A7BF71">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（一）科韵路主线东侧拓宽2—3车道，上跨广深铁路和广园快速路，长度约500米（其中桥梁段395米）。</w:t>
      </w:r>
    </w:p>
    <w:p w14:paraId="6FE1945B">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（二）科韵路主线拆除现状科韵路桥梁防撞栏，在东侧新建防撞栏，南北直行由双向四车道改造为双向六车道；立交北侧科韵路路基段东侧单侧拓宽两车道，由双向六车道拓宽为双向八车道。</w:t>
      </w:r>
    </w:p>
    <w:p w14:paraId="5285EE3F">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（三）改造东侧广园路匝道：接顺改造南往东匝道92米、南往西匝道约128米。</w:t>
      </w:r>
    </w:p>
    <w:p w14:paraId="77AF6868">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（四）改造东往南、东往北汇流匝道：局部改造东往南、东往北汇流匝道，长度约40米。</w:t>
      </w:r>
    </w:p>
    <w:p w14:paraId="3E68F7ED">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（五）改造南往南掉头车道：东移南往南掉头车道，改造长度约196米。</w:t>
      </w:r>
    </w:p>
    <w:p w14:paraId="30EE68B8">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（六）新建北往北掉头车道：新建北往北匝道长度约482米，其中隧道长度为195米（暗埋段为31米，敞开段为164米）。</w:t>
      </w:r>
    </w:p>
    <w:p w14:paraId="61C0434E">
      <w:pPr>
        <w:tabs>
          <w:tab w:val="left" w:pos="7513"/>
        </w:tabs>
        <w:spacing w:line="360" w:lineRule="auto"/>
        <w:ind w:firstLine="420" w:firstLineChars="200"/>
        <w:rPr>
          <w:rFonts w:hint="default" w:ascii="宋体" w:hAnsi="宋体" w:eastAsia="宋体" w:cs="Times New Roman"/>
          <w:color w:val="auto"/>
          <w:sz w:val="21"/>
          <w:szCs w:val="21"/>
          <w:highlight w:val="none"/>
          <w:u w:val="none"/>
        </w:rPr>
      </w:pPr>
      <w:r>
        <w:rPr>
          <w:rFonts w:hint="default" w:ascii="宋体" w:hAnsi="宋体" w:eastAsia="宋体" w:cs="Times New Roman"/>
          <w:color w:val="auto"/>
          <w:sz w:val="21"/>
          <w:szCs w:val="21"/>
          <w:highlight w:val="none"/>
          <w:u w:val="none"/>
        </w:rPr>
        <w:t>（七）拆除重建现状东侧跨铁路人行天桥1座。</w:t>
      </w:r>
    </w:p>
    <w:p w14:paraId="54044C96">
      <w:pPr>
        <w:tabs>
          <w:tab w:val="left" w:pos="7513"/>
        </w:tabs>
        <w:autoSpaceDE w:val="0"/>
        <w:autoSpaceDN w:val="0"/>
        <w:spacing w:line="360" w:lineRule="auto"/>
        <w:ind w:firstLine="371" w:firstLineChars="177"/>
        <w:rPr>
          <w:rFonts w:hint="default" w:ascii="宋体" w:hAnsi="宋体" w:eastAsia="宋体"/>
          <w:color w:val="auto"/>
          <w:sz w:val="21"/>
          <w:szCs w:val="21"/>
          <w:highlight w:val="none"/>
        </w:rPr>
      </w:pPr>
      <w:r>
        <w:rPr>
          <w:rFonts w:hint="default" w:ascii="宋体" w:hAnsi="宋体" w:eastAsia="宋体"/>
          <w:color w:val="auto"/>
          <w:sz w:val="21"/>
          <w:szCs w:val="21"/>
          <w:highlight w:val="none"/>
        </w:rPr>
        <w:t>建设内容包括道路工程、桥梁工程、隧道工程、排水工程、交通工程、交通疏解工程、照明工程、电力管沟工程、绿化工程、外水外电接驳工程</w:t>
      </w:r>
      <w:r>
        <w:rPr>
          <w:rFonts w:hint="default" w:ascii="宋体" w:hAnsi="宋体" w:eastAsia="宋体"/>
          <w:color w:val="auto"/>
          <w:sz w:val="21"/>
          <w:szCs w:val="21"/>
          <w:highlight w:val="none"/>
          <w:lang w:eastAsia="zh-CN"/>
        </w:rPr>
        <w:t>、</w:t>
      </w:r>
      <w:r>
        <w:rPr>
          <w:rFonts w:hint="default" w:ascii="宋体" w:hAnsi="宋体" w:eastAsia="宋体"/>
          <w:color w:val="auto"/>
          <w:sz w:val="21"/>
          <w:szCs w:val="21"/>
          <w:highlight w:val="none"/>
          <w:lang w:val="en-US" w:eastAsia="zh-CN"/>
        </w:rPr>
        <w:t>管线迁改工程</w:t>
      </w:r>
      <w:r>
        <w:rPr>
          <w:rFonts w:hint="default" w:ascii="宋体" w:hAnsi="宋体" w:eastAsia="宋体"/>
          <w:color w:val="auto"/>
          <w:sz w:val="21"/>
          <w:szCs w:val="21"/>
          <w:highlight w:val="none"/>
        </w:rPr>
        <w:t>等</w:t>
      </w:r>
      <w:r>
        <w:rPr>
          <w:rFonts w:hint="default" w:ascii="宋体" w:hAnsi="宋体" w:eastAsia="宋体"/>
          <w:color w:val="auto"/>
          <w:sz w:val="21"/>
          <w:szCs w:val="21"/>
          <w:highlight w:val="none"/>
          <w:lang w:eastAsia="zh-CN"/>
        </w:rPr>
        <w:t>（不含跨铁路段的桥梁及跨铁路桥梁附属结构以及受影响的铁路运输设备的迁建或防护，以及与</w:t>
      </w:r>
      <w:r>
        <w:rPr>
          <w:rFonts w:hint="eastAsia" w:ascii="宋体" w:hAnsi="宋体" w:eastAsia="宋体"/>
          <w:color w:val="auto"/>
          <w:sz w:val="21"/>
          <w:szCs w:val="21"/>
          <w:highlight w:val="none"/>
          <w:lang w:eastAsia="zh-CN"/>
        </w:rPr>
        <w:t>i匝道</w:t>
      </w:r>
      <w:r>
        <w:rPr>
          <w:rFonts w:hint="default" w:ascii="宋体" w:hAnsi="宋体" w:eastAsia="宋体"/>
          <w:color w:val="auto"/>
          <w:sz w:val="21"/>
          <w:szCs w:val="21"/>
          <w:highlight w:val="none"/>
          <w:lang w:eastAsia="zh-CN"/>
        </w:rPr>
        <w:t>相连的边跨桥梁）</w:t>
      </w:r>
      <w:r>
        <w:rPr>
          <w:rFonts w:hint="default" w:ascii="宋体" w:hAnsi="宋体" w:eastAsia="宋体"/>
          <w:color w:val="auto"/>
          <w:sz w:val="21"/>
          <w:szCs w:val="21"/>
          <w:highlight w:val="none"/>
        </w:rPr>
        <w:t>。</w:t>
      </w:r>
    </w:p>
    <w:p w14:paraId="3371D452">
      <w:pPr>
        <w:tabs>
          <w:tab w:val="left" w:pos="7513"/>
        </w:tabs>
        <w:autoSpaceDE w:val="0"/>
        <w:autoSpaceDN w:val="0"/>
        <w:spacing w:line="360" w:lineRule="auto"/>
        <w:ind w:firstLine="371" w:firstLineChars="177"/>
        <w:rPr>
          <w:rFonts w:hint="eastAsia" w:eastAsia="宋体"/>
          <w:color w:val="auto"/>
          <w:highlight w:val="none"/>
          <w:lang w:val="en-US" w:eastAsia="zh-CN"/>
        </w:rPr>
      </w:pPr>
      <w:r>
        <w:rPr>
          <w:rFonts w:hint="default" w:ascii="宋体" w:hAnsi="宋体" w:eastAsia="宋体"/>
          <w:color w:val="auto"/>
          <w:sz w:val="21"/>
          <w:szCs w:val="21"/>
          <w:highlight w:val="none"/>
        </w:rPr>
        <w:t>2.1.</w:t>
      </w:r>
      <w:r>
        <w:rPr>
          <w:rFonts w:hint="eastAsia" w:ascii="宋体" w:hAnsi="宋体" w:eastAsia="宋体"/>
          <w:color w:val="auto"/>
          <w:sz w:val="21"/>
          <w:szCs w:val="21"/>
          <w:highlight w:val="none"/>
          <w:lang w:val="en-US" w:eastAsia="zh-CN"/>
        </w:rPr>
        <w:t xml:space="preserve">5 </w:t>
      </w:r>
      <w:r>
        <w:rPr>
          <w:rFonts w:hint="default" w:ascii="宋体" w:hAnsi="宋体" w:eastAsia="宋体"/>
          <w:color w:val="auto"/>
          <w:sz w:val="21"/>
          <w:szCs w:val="21"/>
          <w:highlight w:val="none"/>
        </w:rPr>
        <w:t>工程</w:t>
      </w:r>
      <w:r>
        <w:rPr>
          <w:rFonts w:hint="eastAsia" w:ascii="宋体" w:hAnsi="宋体" w:eastAsia="宋体"/>
          <w:color w:val="auto"/>
          <w:sz w:val="21"/>
          <w:szCs w:val="21"/>
          <w:highlight w:val="none"/>
          <w:u w:val="single"/>
          <w:lang w:eastAsia="zh-CN"/>
        </w:rPr>
        <w:t>估算/概算/预算</w:t>
      </w:r>
      <w:r>
        <w:rPr>
          <w:rFonts w:hint="default" w:ascii="宋体" w:hAnsi="宋体" w:eastAsia="宋体"/>
          <w:color w:val="auto"/>
          <w:sz w:val="21"/>
          <w:szCs w:val="22"/>
          <w:highlight w:val="none"/>
        </w:rPr>
        <w:t>建筑安装工程费</w:t>
      </w:r>
      <w:r>
        <w:rPr>
          <w:rFonts w:hint="default" w:ascii="宋体" w:hAnsi="Times New Roman" w:eastAsia="宋体"/>
          <w:color w:val="auto"/>
          <w:sz w:val="21"/>
          <w:szCs w:val="21"/>
          <w:highlight w:val="none"/>
        </w:rPr>
        <w:t>：项目总投资约</w:t>
      </w:r>
      <w:r>
        <w:rPr>
          <w:rFonts w:hint="default" w:ascii="宋体" w:hAnsi="Times New Roman" w:eastAsia="宋体"/>
          <w:color w:val="auto"/>
          <w:sz w:val="21"/>
          <w:szCs w:val="21"/>
          <w:highlight w:val="none"/>
          <w:u w:val="single"/>
        </w:rPr>
        <w:t>29978万元</w:t>
      </w:r>
      <w:r>
        <w:rPr>
          <w:rFonts w:hint="default" w:ascii="宋体" w:hAnsi="Times New Roman" w:eastAsia="宋体"/>
          <w:color w:val="auto"/>
          <w:sz w:val="21"/>
          <w:szCs w:val="21"/>
          <w:highlight w:val="none"/>
        </w:rPr>
        <w:t>，其中工程费用</w:t>
      </w:r>
      <w:r>
        <w:rPr>
          <w:rFonts w:hint="default" w:ascii="宋体" w:hAnsi="Times New Roman" w:eastAsia="宋体"/>
          <w:color w:val="auto"/>
          <w:sz w:val="21"/>
          <w:szCs w:val="21"/>
          <w:highlight w:val="none"/>
          <w:lang w:eastAsia="zh-CN"/>
        </w:rPr>
        <w:t>（</w:t>
      </w:r>
      <w:r>
        <w:rPr>
          <w:rFonts w:hint="default" w:ascii="宋体" w:hAnsi="Times New Roman" w:eastAsia="宋体"/>
          <w:color w:val="auto"/>
          <w:sz w:val="21"/>
          <w:szCs w:val="21"/>
          <w:highlight w:val="none"/>
          <w:lang w:val="en-US" w:eastAsia="zh-CN"/>
        </w:rPr>
        <w:t>非涉铁部分</w:t>
      </w:r>
      <w:r>
        <w:rPr>
          <w:rFonts w:hint="default" w:ascii="宋体" w:hAnsi="Times New Roman" w:eastAsia="宋体"/>
          <w:color w:val="auto"/>
          <w:sz w:val="21"/>
          <w:szCs w:val="21"/>
          <w:highlight w:val="none"/>
          <w:lang w:eastAsia="zh-CN"/>
        </w:rPr>
        <w:t>）</w:t>
      </w:r>
      <w:r>
        <w:rPr>
          <w:rFonts w:hint="default" w:ascii="宋体" w:hAnsi="Times New Roman" w:eastAsia="宋体"/>
          <w:color w:val="auto"/>
          <w:sz w:val="21"/>
          <w:szCs w:val="21"/>
          <w:highlight w:val="none"/>
        </w:rPr>
        <w:t>约12802</w:t>
      </w:r>
      <w:r>
        <w:rPr>
          <w:rFonts w:hint="eastAsia" w:ascii="宋体" w:hAnsi="Times New Roman" w:eastAsia="宋体"/>
          <w:color w:val="auto"/>
          <w:sz w:val="21"/>
          <w:szCs w:val="21"/>
          <w:highlight w:val="none"/>
          <w:lang w:val="en-US" w:eastAsia="zh-CN"/>
        </w:rPr>
        <w:t>.</w:t>
      </w:r>
      <w:r>
        <w:rPr>
          <w:rFonts w:hint="default" w:ascii="宋体" w:hAnsi="Times New Roman" w:eastAsia="宋体"/>
          <w:color w:val="auto"/>
          <w:sz w:val="21"/>
          <w:szCs w:val="21"/>
          <w:highlight w:val="none"/>
        </w:rPr>
        <w:t>77</w:t>
      </w:r>
      <w:r>
        <w:rPr>
          <w:rFonts w:hint="default" w:ascii="宋体" w:hAnsi="Times New Roman" w:eastAsia="宋体"/>
          <w:color w:val="auto"/>
          <w:sz w:val="21"/>
          <w:szCs w:val="21"/>
          <w:highlight w:val="none"/>
          <w:u w:val="single"/>
        </w:rPr>
        <w:t>万元</w:t>
      </w:r>
      <w:r>
        <w:rPr>
          <w:rFonts w:hint="eastAsia" w:ascii="宋体" w:hAnsi="Times New Roman" w:eastAsia="宋体"/>
          <w:color w:val="auto"/>
          <w:sz w:val="21"/>
          <w:szCs w:val="21"/>
          <w:highlight w:val="none"/>
          <w:u w:val="single"/>
          <w:lang w:eastAsia="zh-CN"/>
        </w:rPr>
        <w:t>，管线迁改工程费</w:t>
      </w:r>
      <w:r>
        <w:rPr>
          <w:rFonts w:hint="eastAsia" w:ascii="宋体" w:hAnsi="Times New Roman" w:eastAsia="宋体"/>
          <w:color w:val="auto"/>
          <w:sz w:val="21"/>
          <w:szCs w:val="21"/>
          <w:highlight w:val="none"/>
          <w:u w:val="single"/>
          <w:lang w:val="en-US" w:eastAsia="zh-CN"/>
        </w:rPr>
        <w:t>约3273.30万元</w:t>
      </w:r>
      <w:r>
        <w:rPr>
          <w:rFonts w:hint="eastAsia" w:ascii="宋体" w:hAnsi="Times New Roman" w:eastAsia="宋体"/>
          <w:color w:val="auto"/>
          <w:sz w:val="21"/>
          <w:szCs w:val="21"/>
          <w:highlight w:val="none"/>
          <w:u w:val="single"/>
          <w:lang w:eastAsia="zh-CN"/>
        </w:rPr>
        <w:t>。</w:t>
      </w:r>
    </w:p>
    <w:p w14:paraId="78CF2C6C">
      <w:pPr>
        <w:tabs>
          <w:tab w:val="left" w:pos="7513"/>
        </w:tabs>
        <w:spacing w:line="360" w:lineRule="auto"/>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招标范围</w:t>
      </w:r>
      <w:bookmarkEnd w:id="45"/>
    </w:p>
    <w:p w14:paraId="45AA977E">
      <w:pPr>
        <w:tabs>
          <w:tab w:val="left" w:pos="7513"/>
        </w:tabs>
        <w:spacing w:line="360" w:lineRule="auto"/>
        <w:ind w:firstLine="420" w:firstLineChars="200"/>
        <w:rPr>
          <w:rFonts w:hint="default" w:ascii="宋体" w:hAnsi="宋体" w:eastAsia="宋体" w:cs="宋体"/>
          <w:color w:val="auto"/>
          <w:sz w:val="21"/>
          <w:szCs w:val="21"/>
          <w:highlight w:val="none"/>
          <w:lang w:val="en-US"/>
        </w:rPr>
      </w:pPr>
      <w:r>
        <w:rPr>
          <w:rFonts w:hint="default" w:ascii="宋体" w:hAnsi="宋体" w:eastAsia="宋体"/>
          <w:color w:val="auto"/>
          <w:sz w:val="21"/>
          <w:szCs w:val="21"/>
          <w:highlight w:val="none"/>
        </w:rPr>
        <w:t>2.2.1</w:t>
      </w:r>
      <w:r>
        <w:rPr>
          <w:rFonts w:hint="eastAsia" w:ascii="宋体" w:hAnsi="宋体"/>
          <w:color w:val="auto"/>
          <w:sz w:val="21"/>
          <w:szCs w:val="21"/>
          <w:highlight w:val="none"/>
          <w:lang w:eastAsia="zh-CN"/>
        </w:rPr>
        <w:t>监理</w:t>
      </w:r>
      <w:r>
        <w:rPr>
          <w:rFonts w:hint="default" w:ascii="宋体" w:hAnsi="Times New Roman" w:eastAsia="宋体"/>
          <w:color w:val="auto"/>
          <w:sz w:val="21"/>
          <w:szCs w:val="21"/>
          <w:highlight w:val="none"/>
        </w:rPr>
        <w:t>标段划分：</w:t>
      </w:r>
      <w:r>
        <w:rPr>
          <w:rFonts w:hint="eastAsia"/>
          <w:color w:val="auto"/>
          <w:sz w:val="21"/>
          <w:szCs w:val="21"/>
          <w:highlight w:val="none"/>
          <w:u w:val="single"/>
        </w:rPr>
        <w:t>本项目设1个标段</w:t>
      </w:r>
      <w:r>
        <w:rPr>
          <w:rFonts w:hint="eastAsia"/>
          <w:color w:val="auto"/>
          <w:sz w:val="21"/>
          <w:szCs w:val="21"/>
          <w:highlight w:val="none"/>
          <w:u w:val="single"/>
          <w:lang w:val="en-US" w:eastAsia="zh-CN"/>
        </w:rPr>
        <w:t>。</w:t>
      </w:r>
      <w:r>
        <w:rPr>
          <w:rFonts w:hint="default"/>
          <w:color w:val="auto"/>
          <w:sz w:val="21"/>
          <w:szCs w:val="21"/>
          <w:highlight w:val="none"/>
          <w:lang w:val="en-US" w:eastAsia="zh-CN"/>
        </w:rPr>
        <w:t xml:space="preserve">     </w:t>
      </w:r>
    </w:p>
    <w:p w14:paraId="77227FE8">
      <w:pPr>
        <w:tabs>
          <w:tab w:val="left" w:pos="7513"/>
        </w:tabs>
        <w:spacing w:line="360" w:lineRule="auto"/>
        <w:ind w:firstLine="420" w:firstLineChars="2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2.2.2</w:t>
      </w:r>
      <w:r>
        <w:rPr>
          <w:rFonts w:hint="eastAsia" w:ascii="宋体" w:hAnsi="宋体" w:eastAsia="宋体"/>
          <w:color w:val="auto"/>
          <w:sz w:val="21"/>
          <w:szCs w:val="21"/>
          <w:highlight w:val="none"/>
          <w:lang w:eastAsia="zh-CN"/>
        </w:rPr>
        <w:t>招标</w:t>
      </w:r>
      <w:r>
        <w:rPr>
          <w:rFonts w:hint="default" w:ascii="宋体" w:hAnsi="宋体" w:eastAsia="宋体"/>
          <w:color w:val="auto"/>
          <w:sz w:val="21"/>
          <w:szCs w:val="21"/>
          <w:highlight w:val="none"/>
        </w:rPr>
        <w:t>范围：</w:t>
      </w:r>
      <w:r>
        <w:rPr>
          <w:rFonts w:hint="eastAsia" w:ascii="宋体" w:hAnsi="宋体"/>
          <w:color w:val="auto"/>
          <w:sz w:val="21"/>
          <w:szCs w:val="21"/>
          <w:highlight w:val="none"/>
          <w:u w:val="single"/>
        </w:rPr>
        <w:t>监理范围包括工程（不含跨铁路段的桥梁及跨铁路桥梁附属结构以及受影响的铁路运输设备的迁建或防护，以及与</w:t>
      </w:r>
      <w:r>
        <w:rPr>
          <w:rFonts w:hint="eastAsia" w:ascii="宋体" w:hAnsi="宋体"/>
          <w:color w:val="auto"/>
          <w:sz w:val="21"/>
          <w:szCs w:val="21"/>
          <w:highlight w:val="none"/>
          <w:u w:val="single"/>
          <w:lang w:eastAsia="zh-CN"/>
        </w:rPr>
        <w:t>i匝道</w:t>
      </w:r>
      <w:r>
        <w:rPr>
          <w:rFonts w:hint="eastAsia" w:ascii="宋体" w:hAnsi="宋体"/>
          <w:color w:val="auto"/>
          <w:sz w:val="21"/>
          <w:szCs w:val="21"/>
          <w:highlight w:val="none"/>
          <w:u w:val="single"/>
        </w:rPr>
        <w:t>相连的边跨桥梁）的施工准备阶段、施工阶段、工程收尾阶段（包括但不限于竣工验收及竣工验收资料移交城建档案、整改、工程移交及实物移交、工程结算、竣工备案等）及工程质量保修阶段的质量控制、进度控制、投资控制、安全生产监督管理、合同管理、信息管理及组织协调等监理工作。</w:t>
      </w:r>
      <w:r>
        <w:rPr>
          <w:rFonts w:hint="default" w:ascii="宋体" w:hAnsi="宋体" w:eastAsia="宋体"/>
          <w:color w:val="auto"/>
          <w:sz w:val="21"/>
          <w:szCs w:val="21"/>
          <w:highlight w:val="none"/>
          <w:lang w:val="en-US" w:eastAsia="zh-CN"/>
        </w:rPr>
        <w:t xml:space="preserve">                 </w:t>
      </w:r>
    </w:p>
    <w:p w14:paraId="77895174">
      <w:pPr>
        <w:tabs>
          <w:tab w:val="left" w:pos="7513"/>
        </w:tabs>
        <w:spacing w:line="360" w:lineRule="auto"/>
        <w:ind w:firstLine="315" w:firstLineChars="150"/>
        <w:rPr>
          <w:rFonts w:hint="eastAsia" w:ascii="宋体" w:hAnsi="宋体"/>
          <w:color w:val="auto"/>
          <w:sz w:val="21"/>
          <w:szCs w:val="21"/>
          <w:highlight w:val="none"/>
          <w:u w:val="single"/>
        </w:rPr>
      </w:pPr>
      <w:r>
        <w:rPr>
          <w:rFonts w:hint="default" w:ascii="宋体" w:hAnsi="宋体" w:eastAsia="宋体"/>
          <w:color w:val="auto"/>
          <w:sz w:val="21"/>
          <w:szCs w:val="21"/>
          <w:highlight w:val="none"/>
        </w:rPr>
        <w:t>2.2.3监理服务期：</w:t>
      </w:r>
      <w:r>
        <w:rPr>
          <w:rFonts w:hint="eastAsia" w:ascii="宋体" w:hAnsi="宋体"/>
          <w:color w:val="auto"/>
          <w:sz w:val="21"/>
          <w:szCs w:val="21"/>
          <w:highlight w:val="none"/>
          <w:u w:val="single"/>
        </w:rPr>
        <w:t>施工准备阶段、工程施工阶段、工程保修阶段和竣工结算期的监理服务期：</w:t>
      </w:r>
    </w:p>
    <w:p w14:paraId="1DB3CA29">
      <w:pPr>
        <w:tabs>
          <w:tab w:val="left" w:pos="7513"/>
        </w:tabs>
        <w:spacing w:line="360" w:lineRule="auto"/>
        <w:ind w:firstLine="315" w:firstLineChars="150"/>
        <w:rPr>
          <w:rFonts w:hint="eastAsia" w:ascii="宋体" w:hAnsi="宋体"/>
          <w:color w:val="auto"/>
          <w:sz w:val="21"/>
          <w:szCs w:val="21"/>
          <w:highlight w:val="none"/>
          <w:u w:val="single"/>
        </w:rPr>
      </w:pPr>
      <w:r>
        <w:rPr>
          <w:rFonts w:hint="eastAsia" w:ascii="宋体" w:hAnsi="宋体"/>
          <w:color w:val="auto"/>
          <w:sz w:val="21"/>
          <w:szCs w:val="21"/>
          <w:highlight w:val="none"/>
          <w:u w:val="single"/>
        </w:rPr>
        <w:t>（1）施工准备阶段：从签订监理合同之日起参与施工准备阶段配合业主完成各项报建手续。</w:t>
      </w:r>
    </w:p>
    <w:p w14:paraId="4C812728">
      <w:pPr>
        <w:tabs>
          <w:tab w:val="left" w:pos="7513"/>
        </w:tabs>
        <w:spacing w:line="360" w:lineRule="auto"/>
        <w:ind w:firstLine="315" w:firstLineChars="150"/>
        <w:rPr>
          <w:rFonts w:hint="eastAsia" w:ascii="宋体" w:hAnsi="宋体"/>
          <w:color w:val="auto"/>
          <w:sz w:val="21"/>
          <w:szCs w:val="21"/>
          <w:highlight w:val="none"/>
          <w:u w:val="single"/>
        </w:rPr>
      </w:pPr>
      <w:r>
        <w:rPr>
          <w:rFonts w:hint="eastAsia" w:ascii="宋体" w:hAnsi="宋体"/>
          <w:color w:val="auto"/>
          <w:sz w:val="21"/>
          <w:szCs w:val="21"/>
          <w:highlight w:val="none"/>
          <w:u w:val="single"/>
        </w:rPr>
        <w:t>（2）施工阶段监理服务期：从业主下达开工令或开工报告审批之日起至施工项目全部完工并办理竣工验收、竣工结算、备案管理等为止。</w:t>
      </w:r>
    </w:p>
    <w:p w14:paraId="2E672FAB">
      <w:pPr>
        <w:tabs>
          <w:tab w:val="left" w:pos="7513"/>
        </w:tabs>
        <w:spacing w:line="360" w:lineRule="auto"/>
        <w:ind w:firstLine="315" w:firstLineChars="150"/>
        <w:rPr>
          <w:rFonts w:hint="eastAsia" w:ascii="宋体" w:hAnsi="宋体"/>
          <w:color w:val="auto"/>
          <w:sz w:val="21"/>
          <w:szCs w:val="21"/>
          <w:highlight w:val="none"/>
          <w:u w:val="single"/>
        </w:rPr>
      </w:pPr>
      <w:r>
        <w:rPr>
          <w:rFonts w:hint="eastAsia" w:ascii="宋体" w:hAnsi="宋体"/>
          <w:color w:val="auto"/>
          <w:sz w:val="21"/>
          <w:szCs w:val="21"/>
          <w:highlight w:val="none"/>
          <w:u w:val="single"/>
        </w:rPr>
        <w:t>（3）保修阶段监理服务期：从工程竣工验收合格、备案管理完成之日起至完成保修期服务为止。</w:t>
      </w:r>
    </w:p>
    <w:p w14:paraId="634D15B3">
      <w:pPr>
        <w:tabs>
          <w:tab w:val="left" w:pos="7513"/>
        </w:tabs>
        <w:spacing w:line="360" w:lineRule="auto"/>
        <w:ind w:firstLine="315" w:firstLineChars="150"/>
        <w:rPr>
          <w:rFonts w:hint="eastAsia" w:ascii="宋体" w:hAnsi="宋体"/>
          <w:color w:val="auto"/>
          <w:sz w:val="21"/>
          <w:szCs w:val="21"/>
          <w:highlight w:val="none"/>
          <w:u w:val="single"/>
        </w:rPr>
      </w:pPr>
      <w:r>
        <w:rPr>
          <w:rFonts w:hint="eastAsia" w:ascii="宋体" w:hAnsi="宋体"/>
          <w:color w:val="auto"/>
          <w:sz w:val="21"/>
          <w:szCs w:val="21"/>
          <w:highlight w:val="none"/>
          <w:u w:val="single"/>
        </w:rPr>
        <w:t>（4）竣工结算期：从工程竣工验收合格至财政部门审定结算为止。</w:t>
      </w:r>
    </w:p>
    <w:p w14:paraId="3B5EA6AC">
      <w:pPr>
        <w:tabs>
          <w:tab w:val="left" w:pos="7513"/>
        </w:tabs>
        <w:spacing w:line="360" w:lineRule="auto"/>
        <w:ind w:firstLine="315" w:firstLineChars="150"/>
        <w:rPr>
          <w:rFonts w:ascii="宋体" w:hAnsi="宋体"/>
          <w:color w:val="auto"/>
          <w:sz w:val="21"/>
          <w:szCs w:val="21"/>
          <w:highlight w:val="none"/>
          <w:u w:val="single"/>
        </w:rPr>
      </w:pPr>
      <w:r>
        <w:rPr>
          <w:rFonts w:hint="eastAsia" w:ascii="宋体" w:hAnsi="宋体"/>
          <w:color w:val="auto"/>
          <w:sz w:val="21"/>
          <w:szCs w:val="21"/>
          <w:highlight w:val="none"/>
          <w:u w:val="single"/>
        </w:rPr>
        <w:t>（5）监理服务周期必须满足实际施工要求。</w:t>
      </w:r>
    </w:p>
    <w:p w14:paraId="0AE526E4">
      <w:pPr>
        <w:tabs>
          <w:tab w:val="left" w:pos="7513"/>
        </w:tabs>
        <w:spacing w:line="360" w:lineRule="auto"/>
        <w:ind w:firstLine="420" w:firstLineChars="2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2.2.</w:t>
      </w:r>
      <w:r>
        <w:rPr>
          <w:rFonts w:hint="eastAsia" w:ascii="宋体" w:hAnsi="宋体" w:eastAsia="宋体"/>
          <w:color w:val="auto"/>
          <w:sz w:val="21"/>
          <w:szCs w:val="21"/>
          <w:highlight w:val="none"/>
          <w:lang w:val="en-US" w:eastAsia="zh-CN"/>
        </w:rPr>
        <w:t>4</w:t>
      </w:r>
      <w:r>
        <w:rPr>
          <w:rFonts w:hint="default" w:ascii="宋体" w:hAnsi="宋体" w:eastAsia="宋体"/>
          <w:color w:val="auto"/>
          <w:sz w:val="21"/>
          <w:szCs w:val="21"/>
          <w:highlight w:val="none"/>
        </w:rPr>
        <w:t>监理服务</w:t>
      </w:r>
      <w:r>
        <w:rPr>
          <w:rFonts w:hint="eastAsia" w:ascii="宋体" w:hAnsi="宋体" w:eastAsia="宋体"/>
          <w:color w:val="auto"/>
          <w:sz w:val="21"/>
          <w:szCs w:val="21"/>
          <w:highlight w:val="none"/>
          <w:lang w:eastAsia="zh-CN"/>
        </w:rPr>
        <w:t>阶段</w:t>
      </w:r>
      <w:r>
        <w:rPr>
          <w:rFonts w:hint="default" w:ascii="宋体" w:hAnsi="宋体" w:eastAsia="宋体"/>
          <w:color w:val="auto"/>
          <w:sz w:val="21"/>
          <w:szCs w:val="21"/>
          <w:highlight w:val="none"/>
        </w:rPr>
        <w:t>：</w:t>
      </w:r>
      <w:r>
        <w:rPr>
          <w:rFonts w:hint="eastAsia" w:ascii="宋体" w:hAnsi="宋体"/>
          <w:color w:val="auto"/>
          <w:sz w:val="21"/>
          <w:szCs w:val="21"/>
          <w:highlight w:val="none"/>
          <w:u w:val="single"/>
        </w:rPr>
        <w:t>施工准备阶段、工程施工阶段、工程保修阶段和竣工结算期</w:t>
      </w:r>
      <w:r>
        <w:rPr>
          <w:rFonts w:hint="eastAsia" w:ascii="宋体" w:hAnsi="宋体" w:eastAsia="宋体"/>
          <w:color w:val="auto"/>
          <w:sz w:val="21"/>
          <w:szCs w:val="21"/>
          <w:highlight w:val="none"/>
          <w:u w:val="single"/>
          <w:lang w:val="en-US" w:eastAsia="zh-CN"/>
        </w:rPr>
        <w:t>等。</w:t>
      </w:r>
      <w:r>
        <w:rPr>
          <w:rFonts w:hint="default" w:ascii="宋体" w:hAnsi="宋体" w:eastAsia="宋体"/>
          <w:color w:val="auto"/>
          <w:sz w:val="21"/>
          <w:szCs w:val="21"/>
          <w:highlight w:val="none"/>
          <w:lang w:val="en-US" w:eastAsia="zh-CN"/>
        </w:rPr>
        <w:t xml:space="preserve">                   </w:t>
      </w:r>
    </w:p>
    <w:p w14:paraId="14287004">
      <w:pPr>
        <w:tabs>
          <w:tab w:val="left" w:pos="7513"/>
        </w:tabs>
        <w:spacing w:line="360" w:lineRule="auto"/>
        <w:ind w:firstLine="420" w:firstLineChars="200"/>
        <w:rPr>
          <w:rFonts w:hint="default" w:ascii="宋体" w:hAnsi="宋体" w:eastAsia="宋体" w:cs="宋体"/>
          <w:color w:val="auto"/>
          <w:sz w:val="21"/>
          <w:szCs w:val="21"/>
          <w:highlight w:val="none"/>
          <w:lang w:val="en-US" w:eastAsia="zh-CN" w:bidi="ar"/>
        </w:rPr>
      </w:pPr>
      <w:r>
        <w:rPr>
          <w:rFonts w:hint="eastAsia" w:ascii="宋体" w:hAnsi="宋体" w:eastAsia="宋体"/>
          <w:color w:val="auto"/>
          <w:sz w:val="21"/>
          <w:szCs w:val="21"/>
          <w:highlight w:val="none"/>
          <w:u w:val="none"/>
          <w:lang w:val="en-US" w:eastAsia="zh-CN"/>
        </w:rPr>
        <w:t>2.2.5</w:t>
      </w:r>
      <w:r>
        <w:rPr>
          <w:rFonts w:hint="default" w:ascii="宋体" w:hAnsi="宋体" w:eastAsia="宋体"/>
          <w:color w:val="auto"/>
          <w:sz w:val="21"/>
          <w:szCs w:val="21"/>
          <w:highlight w:val="none"/>
        </w:rPr>
        <w:t>监理服务最高投标限价：</w:t>
      </w:r>
      <w:r>
        <w:rPr>
          <w:rFonts w:hint="eastAsia" w:ascii="宋体" w:hAnsi="宋体" w:eastAsia="宋体"/>
          <w:color w:val="auto"/>
          <w:sz w:val="21"/>
          <w:szCs w:val="21"/>
          <w:highlight w:val="none"/>
          <w:u w:val="single"/>
          <w:lang w:val="en-US" w:eastAsia="zh-CN"/>
        </w:rPr>
        <w:t>2038610.00</w:t>
      </w:r>
      <w:r>
        <w:rPr>
          <w:rFonts w:hint="eastAsia" w:ascii="宋体" w:hAnsi="宋体"/>
          <w:color w:val="auto"/>
          <w:sz w:val="21"/>
          <w:szCs w:val="21"/>
          <w:highlight w:val="none"/>
          <w:u w:val="single"/>
        </w:rPr>
        <w:t>元</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其中建安费市政部分监理费</w:t>
      </w:r>
      <w:r>
        <w:rPr>
          <w:rFonts w:hint="default" w:ascii="宋体" w:hAnsi="宋体" w:eastAsia="宋体"/>
          <w:color w:val="auto"/>
          <w:sz w:val="21"/>
          <w:szCs w:val="21"/>
          <w:highlight w:val="none"/>
          <w:u w:val="single"/>
        </w:rPr>
        <w:t>最高投标限价：</w:t>
      </w:r>
      <w:r>
        <w:rPr>
          <w:rFonts w:hint="eastAsia" w:ascii="宋体" w:hAnsi="宋体" w:eastAsia="宋体"/>
          <w:color w:val="auto"/>
          <w:sz w:val="21"/>
          <w:szCs w:val="21"/>
          <w:highlight w:val="none"/>
          <w:u w:val="single"/>
          <w:lang w:val="en-US" w:eastAsia="zh-CN"/>
        </w:rPr>
        <w:t>1583967.00</w:t>
      </w:r>
      <w:r>
        <w:rPr>
          <w:rFonts w:hint="eastAsia" w:ascii="宋体" w:hAnsi="宋体"/>
          <w:color w:val="auto"/>
          <w:sz w:val="21"/>
          <w:szCs w:val="21"/>
          <w:highlight w:val="none"/>
          <w:u w:val="single"/>
        </w:rPr>
        <w:t>元</w:t>
      </w:r>
      <w:r>
        <w:rPr>
          <w:rFonts w:hint="eastAsia" w:ascii="宋体" w:hAnsi="宋体"/>
          <w:color w:val="auto"/>
          <w:sz w:val="21"/>
          <w:szCs w:val="21"/>
          <w:highlight w:val="none"/>
          <w:u w:val="single"/>
          <w:lang w:eastAsia="zh-CN"/>
        </w:rPr>
        <w:t>，管线迁改部分监理费</w:t>
      </w:r>
      <w:r>
        <w:rPr>
          <w:rFonts w:hint="default" w:ascii="宋体" w:hAnsi="宋体" w:eastAsia="宋体"/>
          <w:color w:val="auto"/>
          <w:sz w:val="21"/>
          <w:szCs w:val="21"/>
          <w:highlight w:val="none"/>
          <w:u w:val="single"/>
        </w:rPr>
        <w:t>最高投标限价：</w:t>
      </w:r>
      <w:r>
        <w:rPr>
          <w:rFonts w:hint="eastAsia" w:ascii="宋体" w:hAnsi="宋体" w:eastAsia="宋体"/>
          <w:color w:val="auto"/>
          <w:sz w:val="21"/>
          <w:szCs w:val="21"/>
          <w:highlight w:val="none"/>
          <w:u w:val="single"/>
          <w:lang w:val="en-US" w:eastAsia="zh-CN"/>
        </w:rPr>
        <w:t>454643.00</w:t>
      </w:r>
      <w:r>
        <w:rPr>
          <w:rFonts w:hint="eastAsia" w:ascii="宋体" w:hAnsi="宋体"/>
          <w:color w:val="auto"/>
          <w:sz w:val="21"/>
          <w:szCs w:val="21"/>
          <w:highlight w:val="none"/>
          <w:u w:val="single"/>
        </w:rPr>
        <w:t>元</w:t>
      </w:r>
      <w:r>
        <w:rPr>
          <w:rFonts w:hint="eastAsia" w:ascii="宋体" w:hAnsi="宋体"/>
          <w:color w:val="auto"/>
          <w:sz w:val="21"/>
          <w:szCs w:val="21"/>
          <w:highlight w:val="none"/>
          <w:u w:val="single"/>
          <w:lang w:eastAsia="zh-CN"/>
        </w:rPr>
        <w:t>。</w:t>
      </w:r>
    </w:p>
    <w:p w14:paraId="3437D96A">
      <w:pPr>
        <w:tabs>
          <w:tab w:val="left" w:pos="7513"/>
        </w:tabs>
        <w:spacing w:line="360" w:lineRule="auto"/>
        <w:ind w:firstLine="420" w:firstLineChars="200"/>
        <w:rPr>
          <w:rFonts w:hint="default" w:ascii="宋体" w:hAnsi="宋体" w:eastAsia="宋体"/>
          <w:color w:val="auto"/>
          <w:sz w:val="21"/>
          <w:szCs w:val="21"/>
          <w:highlight w:val="none"/>
        </w:rPr>
      </w:pPr>
      <w:r>
        <w:rPr>
          <w:rFonts w:hint="default" w:ascii="宋体" w:hAnsi="宋体" w:eastAsia="宋体" w:cs="宋体"/>
          <w:color w:val="auto"/>
          <w:sz w:val="21"/>
          <w:szCs w:val="21"/>
          <w:highlight w:val="none"/>
          <w:lang w:val="en-US" w:eastAsia="zh-CN" w:bidi="ar"/>
        </w:rPr>
        <w:t xml:space="preserve">   </w:t>
      </w:r>
    </w:p>
    <w:p w14:paraId="7ADE9F99">
      <w:pPr>
        <w:pStyle w:val="5"/>
        <w:bidi w:val="0"/>
        <w:rPr>
          <w:rFonts w:hint="eastAsia"/>
          <w:color w:val="auto"/>
          <w:highlight w:val="none"/>
        </w:rPr>
      </w:pPr>
      <w:bookmarkStart w:id="46" w:name="_Toc13318"/>
      <w:bookmarkStart w:id="47" w:name="_Toc11352"/>
      <w:bookmarkStart w:id="48" w:name="_Toc20643"/>
      <w:bookmarkStart w:id="49" w:name="_Toc26825"/>
      <w:bookmarkStart w:id="50" w:name="_Toc29683"/>
      <w:bookmarkStart w:id="51" w:name="_Toc14304"/>
      <w:r>
        <w:rPr>
          <w:rFonts w:hint="eastAsia"/>
          <w:color w:val="auto"/>
          <w:highlight w:val="none"/>
        </w:rPr>
        <w:t>3.投标人资格要求</w:t>
      </w:r>
      <w:bookmarkEnd w:id="46"/>
      <w:bookmarkEnd w:id="47"/>
      <w:bookmarkEnd w:id="48"/>
      <w:bookmarkEnd w:id="49"/>
      <w:bookmarkEnd w:id="50"/>
      <w:bookmarkEnd w:id="51"/>
    </w:p>
    <w:p w14:paraId="7990AB22">
      <w:pPr>
        <w:spacing w:line="360" w:lineRule="auto"/>
        <w:ind w:firstLine="420" w:firstLineChars="2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3.1</w:t>
      </w:r>
      <w:r>
        <w:rPr>
          <w:rFonts w:hint="eastAsia" w:ascii="宋体" w:hAnsi="宋体" w:eastAsia="宋体" w:cs="宋体"/>
          <w:color w:val="auto"/>
          <w:sz w:val="21"/>
          <w:szCs w:val="24"/>
          <w:highlight w:val="none"/>
          <w:lang w:eastAsia="zh-CN"/>
        </w:rPr>
        <w:t>投标</w:t>
      </w:r>
      <w:r>
        <w:rPr>
          <w:rFonts w:hint="eastAsia" w:ascii="宋体" w:hAnsi="宋体" w:eastAsia="宋体" w:cs="宋体"/>
          <w:color w:val="auto"/>
          <w:sz w:val="21"/>
          <w:szCs w:val="24"/>
          <w:highlight w:val="none"/>
        </w:rPr>
        <w:t>人参加投标的意思表达清楚，投标人代表被授权有效</w:t>
      </w:r>
      <w:r>
        <w:rPr>
          <w:rFonts w:hint="eastAsia" w:ascii="宋体" w:hAnsi="宋体" w:eastAsia="宋体" w:cs="宋体"/>
          <w:color w:val="auto"/>
          <w:sz w:val="21"/>
          <w:szCs w:val="24"/>
          <w:highlight w:val="none"/>
          <w:lang w:val="en-US" w:eastAsia="zh-CN"/>
        </w:rPr>
        <w:t>；</w:t>
      </w:r>
    </w:p>
    <w:p w14:paraId="7DEB269C">
      <w:pPr>
        <w:spacing w:line="360" w:lineRule="auto"/>
        <w:ind w:firstLine="420" w:firstLineChars="200"/>
        <w:rPr>
          <w:rFonts w:hint="eastAsia" w:ascii="宋体" w:hAnsi="宋体" w:eastAsia="宋体" w:cs="宋体"/>
          <w:color w:val="auto"/>
          <w:szCs w:val="24"/>
          <w:highlight w:val="none"/>
          <w:u w:val="none"/>
          <w:lang w:eastAsia="zh-CN"/>
        </w:rPr>
      </w:pPr>
      <w:r>
        <w:rPr>
          <w:rFonts w:hint="eastAsia" w:ascii="宋体" w:hAnsi="宋体" w:eastAsia="宋体" w:cs="宋体"/>
          <w:color w:val="auto"/>
          <w:sz w:val="21"/>
          <w:szCs w:val="24"/>
          <w:highlight w:val="none"/>
          <w:lang w:val="en-US" w:eastAsia="zh-CN"/>
        </w:rPr>
        <w:t>3.2</w:t>
      </w:r>
      <w:r>
        <w:rPr>
          <w:rFonts w:hint="eastAsia" w:ascii="宋体" w:hAnsi="宋体" w:eastAsia="宋体" w:cs="宋体"/>
          <w:color w:val="auto"/>
          <w:szCs w:val="24"/>
          <w:highlight w:val="none"/>
          <w:u w:val="none"/>
        </w:rPr>
        <w:t>投标人</w:t>
      </w:r>
      <w:r>
        <w:rPr>
          <w:rFonts w:hint="eastAsia" w:ascii="宋体" w:hAnsi="宋体" w:eastAsia="宋体" w:cs="宋体"/>
          <w:color w:val="auto"/>
          <w:sz w:val="21"/>
          <w:szCs w:val="24"/>
          <w:highlight w:val="none"/>
        </w:rPr>
        <w:t>是法人或其他组织</w:t>
      </w:r>
      <w:r>
        <w:rPr>
          <w:rFonts w:hint="eastAsia" w:ascii="宋体" w:hAnsi="宋体" w:eastAsia="宋体" w:cs="宋体"/>
          <w:color w:val="auto"/>
          <w:szCs w:val="24"/>
          <w:highlight w:val="none"/>
          <w:u w:val="none"/>
        </w:rPr>
        <w:t>，按国家法律经营</w:t>
      </w:r>
      <w:r>
        <w:rPr>
          <w:rFonts w:hint="eastAsia" w:ascii="宋体" w:hAnsi="宋体" w:eastAsia="宋体" w:cs="宋体"/>
          <w:color w:val="auto"/>
          <w:szCs w:val="24"/>
          <w:highlight w:val="none"/>
          <w:u w:val="none"/>
          <w:lang w:eastAsia="zh-CN"/>
        </w:rPr>
        <w:t>；</w:t>
      </w:r>
    </w:p>
    <w:p w14:paraId="47FCEF4B">
      <w:pPr>
        <w:ind w:firstLine="420" w:firstLineChars="200"/>
        <w:rPr>
          <w:rFonts w:hint="default"/>
          <w:color w:val="auto"/>
          <w:highlight w:val="none"/>
          <w:lang w:val="en-US" w:eastAsia="zh-CN"/>
        </w:rPr>
      </w:pPr>
      <w:r>
        <w:rPr>
          <w:rFonts w:hint="eastAsia" w:ascii="宋体" w:hAnsi="宋体" w:cs="宋体"/>
          <w:strike w:val="0"/>
          <w:color w:val="auto"/>
          <w:sz w:val="21"/>
          <w:highlight w:val="none"/>
          <w:lang w:val="en-US" w:eastAsia="zh-CN"/>
        </w:rPr>
        <w:t>3.3</w:t>
      </w:r>
      <w:r>
        <w:rPr>
          <w:rFonts w:hint="eastAsia" w:ascii="宋体" w:hAnsi="宋体" w:cs="宋体"/>
          <w:strike w:val="0"/>
          <w:color w:val="auto"/>
          <w:spacing w:val="2"/>
          <w:sz w:val="21"/>
          <w:highlight w:val="none"/>
        </w:rPr>
        <w:t>投</w:t>
      </w:r>
      <w:r>
        <w:rPr>
          <w:rFonts w:hint="eastAsia" w:ascii="宋体" w:hAnsi="宋体" w:cs="宋体"/>
          <w:strike w:val="0"/>
          <w:color w:val="auto"/>
          <w:sz w:val="21"/>
          <w:highlight w:val="none"/>
        </w:rPr>
        <w:t>标人须</w:t>
      </w:r>
      <w:r>
        <w:rPr>
          <w:rFonts w:hint="eastAsia" w:ascii="宋体" w:hAnsi="宋体" w:cs="宋体"/>
          <w:strike w:val="0"/>
          <w:color w:val="auto"/>
          <w:spacing w:val="2"/>
          <w:sz w:val="21"/>
          <w:highlight w:val="none"/>
        </w:rPr>
        <w:t>具</w:t>
      </w:r>
      <w:r>
        <w:rPr>
          <w:rFonts w:hint="eastAsia" w:ascii="宋体" w:hAnsi="宋体" w:cs="宋体"/>
          <w:strike w:val="0"/>
          <w:color w:val="auto"/>
          <w:spacing w:val="1"/>
          <w:sz w:val="21"/>
          <w:highlight w:val="none"/>
        </w:rPr>
        <w:t>备</w:t>
      </w:r>
      <w:r>
        <w:rPr>
          <w:rFonts w:hint="eastAsia" w:eastAsia="宋体" w:cs="宋体"/>
          <w:color w:val="auto"/>
          <w:spacing w:val="1"/>
          <w:highlight w:val="none"/>
          <w:lang w:eastAsia="zh-CN"/>
        </w:rPr>
        <w:t>建设行政主管部门颁发的</w:t>
      </w:r>
      <w:r>
        <w:rPr>
          <w:rFonts w:hint="eastAsia" w:ascii="宋体" w:hAnsi="宋体" w:eastAsia="宋体" w:cs="宋体"/>
          <w:color w:val="auto"/>
          <w:highlight w:val="none"/>
          <w:u w:val="single"/>
          <w:lang w:val="en-US" w:eastAsia="zh-CN"/>
        </w:rPr>
        <w:t>工程监理综合资质或市政公用工程监理</w:t>
      </w:r>
      <w:r>
        <w:rPr>
          <w:rFonts w:hint="eastAsia" w:ascii="宋体" w:hAnsi="宋体" w:cs="宋体"/>
          <w:color w:val="auto"/>
          <w:highlight w:val="none"/>
          <w:u w:val="single"/>
          <w:lang w:val="en-US" w:eastAsia="zh-CN"/>
        </w:rPr>
        <w:t>甲级</w:t>
      </w:r>
      <w:r>
        <w:rPr>
          <w:rFonts w:hint="eastAsia" w:ascii="宋体" w:hAnsi="宋体" w:eastAsia="宋体" w:cs="宋体"/>
          <w:color w:val="auto"/>
          <w:highlight w:val="none"/>
        </w:rPr>
        <w:t>资质</w:t>
      </w:r>
      <w:r>
        <w:rPr>
          <w:rFonts w:hint="eastAsia" w:eastAsia="宋体" w:cs="宋体"/>
          <w:color w:val="auto"/>
          <w:highlight w:val="none"/>
          <w:lang w:eastAsia="zh-CN"/>
        </w:rPr>
        <w:t>。</w:t>
      </w:r>
    </w:p>
    <w:p w14:paraId="6F4D2979">
      <w:pPr>
        <w:pStyle w:val="3"/>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highlight w:val="none"/>
          <w:lang w:val="en-US" w:eastAsia="zh-CN"/>
        </w:rPr>
      </w:pPr>
      <w:r>
        <w:rPr>
          <w:rFonts w:hint="eastAsia" w:eastAsia="宋体" w:cs="宋体"/>
          <w:color w:val="auto"/>
          <w:highlight w:val="none"/>
          <w:lang w:val="en-US" w:eastAsia="zh-CN"/>
        </w:rPr>
        <w:t>对应所设置资质要求的规模指标：</w:t>
      </w:r>
      <w:r>
        <w:rPr>
          <w:rFonts w:hint="eastAsia" w:cs="宋体"/>
          <w:color w:val="auto"/>
          <w:highlight w:val="none"/>
          <w:u w:val="single"/>
          <w:lang w:val="en-US" w:eastAsia="zh-CN"/>
        </w:rPr>
        <w:t>本项目</w:t>
      </w:r>
      <w:r>
        <w:rPr>
          <w:rFonts w:hint="eastAsia" w:eastAsia="宋体" w:cs="宋体"/>
          <w:color w:val="auto"/>
          <w:highlight w:val="none"/>
          <w:u w:val="single"/>
          <w:lang w:val="en-US" w:eastAsia="zh-CN"/>
        </w:rPr>
        <w:t>道路等级为城市主干路</w:t>
      </w:r>
      <w:r>
        <w:rPr>
          <w:rFonts w:hint="eastAsia" w:cs="宋体"/>
          <w:color w:val="auto"/>
          <w:highlight w:val="none"/>
          <w:u w:val="single"/>
          <w:lang w:val="en-US" w:eastAsia="zh-CN"/>
        </w:rPr>
        <w:t>。</w:t>
      </w:r>
    </w:p>
    <w:p w14:paraId="71D764CF">
      <w:pPr>
        <w:pStyle w:val="3"/>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20" w:firstLineChars="200"/>
        <w:jc w:val="both"/>
        <w:textAlignment w:val="auto"/>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2"/>
          <w:sz w:val="21"/>
          <w:szCs w:val="21"/>
          <w:highlight w:val="none"/>
          <w:lang w:val="en-US" w:eastAsia="zh-CN" w:bidi="ar-SA"/>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w:t>
      </w:r>
      <w:r>
        <w:rPr>
          <w:rFonts w:hint="eastAsia" w:ascii="楷体_GB2312" w:hAnsi="楷体_GB2312" w:eastAsia="楷体_GB2312" w:cs="楷体_GB2312"/>
          <w:color w:val="auto"/>
          <w:sz w:val="20"/>
          <w:szCs w:val="21"/>
          <w:highlight w:val="none"/>
        </w:rPr>
        <w:t>，详见链接：</w:t>
      </w:r>
      <w:r>
        <w:rPr>
          <w:rFonts w:hint="eastAsia" w:ascii="楷体_GB2312" w:hAnsi="楷体_GB2312" w:eastAsia="楷体_GB2312" w:cs="楷体_GB2312"/>
          <w:color w:val="auto"/>
          <w:sz w:val="20"/>
          <w:szCs w:val="21"/>
          <w:highlight w:val="none"/>
        </w:rPr>
        <w:fldChar w:fldCharType="begin"/>
      </w:r>
      <w:r>
        <w:rPr>
          <w:rFonts w:hint="eastAsia" w:ascii="楷体_GB2312" w:hAnsi="楷体_GB2312" w:eastAsia="楷体_GB2312" w:cs="楷体_GB2312"/>
          <w:color w:val="auto"/>
          <w:sz w:val="20"/>
          <w:szCs w:val="21"/>
          <w:highlight w:val="none"/>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highlight w:val="none"/>
        </w:rPr>
        <w:fldChar w:fldCharType="separate"/>
      </w:r>
      <w:r>
        <w:rPr>
          <w:rFonts w:hint="eastAsia" w:ascii="楷体_GB2312" w:hAnsi="楷体_GB2312" w:eastAsia="楷体_GB2312" w:cs="楷体_GB2312"/>
          <w:color w:val="auto"/>
          <w:sz w:val="20"/>
          <w:szCs w:val="21"/>
          <w:highlight w:val="none"/>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highlight w:val="none"/>
        </w:rPr>
        <w:fldChar w:fldCharType="end"/>
      </w:r>
      <w:r>
        <w:rPr>
          <w:rFonts w:hint="eastAsia" w:ascii="楷体_GB2312" w:hAnsi="楷体_GB2312" w:eastAsia="楷体_GB2312" w:cs="楷体_GB2312"/>
          <w:color w:val="auto"/>
          <w:kern w:val="2"/>
          <w:sz w:val="21"/>
          <w:szCs w:val="21"/>
          <w:highlight w:val="none"/>
          <w:lang w:val="en-US" w:eastAsia="zh-CN" w:bidi="ar-SA"/>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w:t>
      </w:r>
      <w:r>
        <w:rPr>
          <w:rFonts w:hint="eastAsia" w:ascii="楷体_GB2312" w:hAnsi="楷体_GB2312" w:eastAsia="楷体_GB2312" w:cs="楷体_GB2312"/>
          <w:color w:val="auto"/>
          <w:sz w:val="20"/>
          <w:szCs w:val="21"/>
          <w:highlight w:val="none"/>
        </w:rPr>
        <w:t>《住房和城乡建设部办公厅关于建设工程企业资质统一延续有关事项的通知》（建办市函〔2021〕510号）</w:t>
      </w:r>
      <w:r>
        <w:rPr>
          <w:rFonts w:hint="eastAsia" w:ascii="楷体_GB2312" w:hAnsi="楷体_GB2312" w:eastAsia="楷体_GB2312" w:cs="楷体_GB2312"/>
          <w:color w:val="auto"/>
          <w:sz w:val="20"/>
          <w:szCs w:val="21"/>
          <w:highlight w:val="none"/>
          <w:lang w:eastAsia="zh-CN"/>
        </w:rPr>
        <w:t>、</w:t>
      </w:r>
      <w:r>
        <w:rPr>
          <w:rFonts w:hint="eastAsia" w:ascii="楷体_GB2312" w:hAnsi="楷体_GB2312" w:eastAsia="楷体_GB2312" w:cs="楷体_GB2312"/>
          <w:color w:val="auto"/>
          <w:sz w:val="20"/>
          <w:szCs w:val="21"/>
          <w:highlight w:val="none"/>
        </w:rPr>
        <w:t>《广东省住房和城乡建设厅关于建设工程企业资质有效期延期的通知》（粤建许函〔2021〕849号）</w:t>
      </w:r>
      <w:r>
        <w:rPr>
          <w:rFonts w:hint="eastAsia" w:ascii="楷体_GB2312" w:hAnsi="楷体_GB2312" w:eastAsia="楷体_GB2312" w:cs="楷体_GB2312"/>
          <w:color w:val="auto"/>
          <w:sz w:val="20"/>
          <w:szCs w:val="21"/>
          <w:highlight w:val="none"/>
          <w:lang w:eastAsia="zh-CN"/>
        </w:rPr>
        <w:t>、</w:t>
      </w:r>
      <w:r>
        <w:rPr>
          <w:rFonts w:hint="eastAsia" w:ascii="楷体_GB2312" w:hAnsi="楷体_GB2312" w:eastAsia="楷体_GB2312" w:cs="楷体_GB2312"/>
          <w:color w:val="auto"/>
          <w:kern w:val="2"/>
          <w:sz w:val="21"/>
          <w:szCs w:val="21"/>
          <w:highlight w:val="none"/>
          <w:lang w:val="en-US" w:eastAsia="zh-CN" w:bidi="ar-SA"/>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highlight w:val="none"/>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highlight w:val="none"/>
        </w:rPr>
        <w:t>〔20</w:t>
      </w:r>
      <w:r>
        <w:rPr>
          <w:rFonts w:hint="eastAsia" w:ascii="楷体_GB2312" w:hAnsi="楷体_GB2312" w:eastAsia="楷体_GB2312" w:cs="楷体_GB2312"/>
          <w:color w:val="auto"/>
          <w:sz w:val="20"/>
          <w:szCs w:val="21"/>
          <w:highlight w:val="none"/>
          <w:lang w:val="en-US" w:eastAsia="zh-CN"/>
        </w:rPr>
        <w:t>23</w:t>
      </w:r>
      <w:r>
        <w:rPr>
          <w:rFonts w:hint="eastAsia" w:ascii="楷体_GB2312" w:hAnsi="楷体_GB2312" w:eastAsia="楷体_GB2312" w:cs="楷体_GB2312"/>
          <w:color w:val="auto"/>
          <w:sz w:val="20"/>
          <w:szCs w:val="21"/>
          <w:highlight w:val="none"/>
        </w:rPr>
        <w:t>〕</w:t>
      </w:r>
      <w:r>
        <w:rPr>
          <w:rFonts w:hint="eastAsia" w:ascii="楷体_GB2312" w:hAnsi="楷体_GB2312" w:eastAsia="楷体_GB2312" w:cs="楷体_GB2312"/>
          <w:color w:val="auto"/>
          <w:sz w:val="20"/>
          <w:szCs w:val="21"/>
          <w:highlight w:val="none"/>
          <w:lang w:val="en-US" w:eastAsia="zh-CN"/>
        </w:rPr>
        <w:t>3号）</w:t>
      </w:r>
      <w:r>
        <w:rPr>
          <w:rFonts w:hint="eastAsia" w:ascii="楷体_GB2312" w:hAnsi="楷体_GB2312" w:eastAsia="楷体_GB2312" w:cs="楷体_GB2312"/>
          <w:color w:val="auto"/>
          <w:kern w:val="2"/>
          <w:sz w:val="21"/>
          <w:szCs w:val="21"/>
          <w:highlight w:val="none"/>
          <w:lang w:val="en-US" w:eastAsia="zh-CN" w:bidi="ar-SA"/>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highlight w:val="none"/>
          <w:lang w:val="en-US" w:eastAsia="zh-CN"/>
        </w:rPr>
        <w:t>、</w:t>
      </w:r>
      <w:r>
        <w:rPr>
          <w:rFonts w:hint="eastAsia" w:ascii="楷体_GB2312" w:hAnsi="楷体_GB2312" w:eastAsia="楷体_GB2312" w:cs="楷体_GB2312"/>
          <w:color w:val="auto"/>
          <w:kern w:val="2"/>
          <w:sz w:val="21"/>
          <w:szCs w:val="21"/>
          <w:highlight w:val="none"/>
          <w:lang w:val="en-US" w:eastAsia="zh-CN" w:bidi="ar-SA"/>
        </w:rPr>
        <w:t>《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231AFEE1">
      <w:pPr>
        <w:keepNext w:val="0"/>
        <w:keepLines w:val="0"/>
        <w:pageBreakBefore w:val="0"/>
        <w:widowControl w:val="0"/>
        <w:wordWrap/>
        <w:topLinePunct w:val="0"/>
        <w:autoSpaceDE/>
        <w:autoSpaceDN/>
        <w:bidi w:val="0"/>
        <w:adjustRightInd/>
        <w:snapToGrid/>
        <w:spacing w:line="360" w:lineRule="auto"/>
        <w:ind w:firstLine="420" w:firstLineChars="200"/>
        <w:jc w:val="both"/>
        <w:textAlignment w:val="auto"/>
        <w:rPr>
          <w:rFonts w:hint="eastAsia" w:ascii="宋体" w:hAnsi="宋体" w:eastAsia="宋体" w:cs="宋体"/>
          <w:strike/>
          <w:color w:val="auto"/>
          <w:highlight w:val="none"/>
          <w:u w:val="single"/>
          <w:lang w:val="en"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highlight w:val="none"/>
        </w:rPr>
        <w:t>拟</w:t>
      </w:r>
      <w:r>
        <w:rPr>
          <w:rFonts w:hint="eastAsia" w:ascii="宋体" w:hAnsi="宋体" w:eastAsia="宋体" w:cs="宋体"/>
          <w:color w:val="auto"/>
          <w:highlight w:val="none"/>
          <w:lang w:eastAsia="zh-CN"/>
        </w:rPr>
        <w:t>委</w:t>
      </w:r>
      <w:r>
        <w:rPr>
          <w:rFonts w:hint="eastAsia" w:ascii="宋体" w:hAnsi="宋体" w:eastAsia="宋体" w:cs="宋体"/>
          <w:color w:val="auto"/>
          <w:highlight w:val="none"/>
        </w:rPr>
        <w:t>派总监理工程师须具备</w:t>
      </w:r>
      <w:r>
        <w:rPr>
          <w:rFonts w:hint="default" w:ascii="宋体" w:hAnsi="宋体" w:eastAsia="宋体" w:cs="宋体"/>
          <w:color w:val="auto"/>
          <w:highlight w:val="none"/>
          <w:u w:val="single"/>
          <w:lang w:val="en"/>
        </w:rPr>
        <w:t>建设部2006年4月1日后颁发的中华人民共和国注册监理工程师注册执业证书，且其注册证书专业为</w:t>
      </w:r>
      <w:r>
        <w:rPr>
          <w:rFonts w:hint="default" w:ascii="宋体" w:hAnsi="宋体" w:eastAsia="宋体" w:cs="宋体"/>
          <w:b/>
          <w:bCs/>
          <w:color w:val="auto"/>
          <w:highlight w:val="none"/>
          <w:u w:val="single"/>
          <w:lang w:val="en"/>
        </w:rPr>
        <w:t>市政公用工程</w:t>
      </w:r>
      <w:r>
        <w:rPr>
          <w:rFonts w:hint="default" w:ascii="宋体" w:hAnsi="宋体" w:eastAsia="宋体" w:cs="宋体"/>
          <w:color w:val="auto"/>
          <w:highlight w:val="none"/>
          <w:u w:val="single"/>
          <w:lang w:val="en"/>
        </w:rPr>
        <w:t>，注册执业单位为本公司</w:t>
      </w:r>
      <w:r>
        <w:rPr>
          <w:rFonts w:hint="eastAsia" w:ascii="宋体" w:hAnsi="宋体" w:eastAsia="宋体" w:cs="宋体"/>
          <w:color w:val="auto"/>
          <w:highlight w:val="none"/>
          <w:u w:val="single"/>
          <w:lang w:val="en-US" w:eastAsia="zh-CN"/>
        </w:rPr>
        <w:t>，并具备大学本科学历</w:t>
      </w:r>
      <w:r>
        <w:rPr>
          <w:rFonts w:hint="eastAsia" w:ascii="宋体" w:hAnsi="宋体" w:eastAsia="宋体" w:cs="宋体"/>
          <w:color w:val="auto"/>
          <w:highlight w:val="none"/>
          <w:u w:val="single"/>
          <w:lang w:val="en" w:eastAsia="zh-CN"/>
        </w:rPr>
        <w:t>。</w:t>
      </w:r>
      <w:r>
        <w:rPr>
          <w:rFonts w:hint="eastAsia" w:ascii="宋体" w:hAnsi="宋体" w:eastAsia="宋体" w:cs="宋体"/>
          <w:color w:val="auto"/>
          <w:sz w:val="21"/>
          <w:szCs w:val="21"/>
          <w:highlight w:val="none"/>
          <w:u w:val="single"/>
        </w:rPr>
        <w:t>需提供离投标截止时间最近</w:t>
      </w:r>
      <w:r>
        <w:rPr>
          <w:rFonts w:hint="eastAsia" w:ascii="宋体" w:hAnsi="宋体" w:eastAsia="宋体" w:cs="宋体"/>
          <w:color w:val="auto"/>
          <w:sz w:val="21"/>
          <w:szCs w:val="21"/>
          <w:highlight w:val="none"/>
          <w:u w:val="single"/>
          <w:lang w:val="en-US" w:eastAsia="zh-CN"/>
        </w:rPr>
        <w:t>的至少1</w:t>
      </w:r>
      <w:r>
        <w:rPr>
          <w:rFonts w:hint="eastAsia" w:ascii="宋体" w:hAnsi="宋体" w:eastAsia="宋体" w:cs="宋体"/>
          <w:color w:val="auto"/>
          <w:sz w:val="21"/>
          <w:szCs w:val="21"/>
          <w:highlight w:val="none"/>
          <w:u w:val="single"/>
        </w:rPr>
        <w:t>个月</w:t>
      </w:r>
      <w:r>
        <w:rPr>
          <w:rFonts w:hint="eastAsia" w:eastAsia="宋体" w:cs="宋体"/>
          <w:color w:val="auto"/>
          <w:sz w:val="21"/>
          <w:szCs w:val="21"/>
          <w:highlight w:val="none"/>
          <w:u w:val="single"/>
          <w:lang w:eastAsia="zh-CN"/>
        </w:rPr>
        <w:t>（</w:t>
      </w:r>
      <w:r>
        <w:rPr>
          <w:rFonts w:hint="eastAsia" w:ascii="宋体" w:hAnsi="宋体" w:eastAsia="宋体" w:cs="宋体"/>
          <w:color w:val="auto"/>
          <w:sz w:val="21"/>
          <w:szCs w:val="22"/>
          <w:highlight w:val="none"/>
          <w:u w:val="single"/>
          <w:lang w:eastAsia="zh-CN"/>
        </w:rPr>
        <w:t>即</w:t>
      </w:r>
      <w:r>
        <w:rPr>
          <w:rFonts w:hint="eastAsia" w:ascii="宋体" w:hAnsi="宋体" w:eastAsia="宋体" w:cs="宋体"/>
          <w:color w:val="auto"/>
          <w:sz w:val="21"/>
          <w:szCs w:val="22"/>
          <w:highlight w:val="none"/>
          <w:u w:val="single"/>
          <w:lang w:val="en-US" w:eastAsia="zh-CN"/>
        </w:rPr>
        <w:t>2025年8月</w:t>
      </w:r>
      <w:r>
        <w:rPr>
          <w:rFonts w:hint="eastAsia"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在本单位缴纳的社保证明文件</w:t>
      </w:r>
      <w:r>
        <w:rPr>
          <w:rFonts w:hint="eastAsia" w:ascii="宋体" w:hAnsi="宋体" w:eastAsia="宋体" w:cs="宋体"/>
          <w:color w:val="auto"/>
          <w:sz w:val="21"/>
          <w:szCs w:val="21"/>
          <w:highlight w:val="none"/>
          <w:u w:val="single"/>
          <w:lang w:val="en-US" w:eastAsia="zh-CN"/>
        </w:rPr>
        <w:t>（如部分地区社保证明显示隔月缴费状态，则提供2025年7月的社保证明）。如退休返聘人员，提供单位返聘及退休证明文件</w:t>
      </w:r>
      <w:r>
        <w:rPr>
          <w:rFonts w:hint="eastAsia" w:ascii="宋体" w:hAnsi="宋体" w:eastAsia="宋体" w:cs="宋体"/>
          <w:color w:val="auto"/>
          <w:sz w:val="21"/>
          <w:szCs w:val="21"/>
          <w:highlight w:val="none"/>
          <w:u w:val="single"/>
          <w:lang w:eastAsia="zh-CN"/>
        </w:rPr>
        <w:t>。</w:t>
      </w:r>
    </w:p>
    <w:p w14:paraId="732A5BE9">
      <w:pPr>
        <w:pStyle w:val="3"/>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00" w:firstLineChars="200"/>
        <w:jc w:val="both"/>
        <w:textAlignment w:val="auto"/>
        <w:rPr>
          <w:rFonts w:hint="eastAsia" w:ascii="楷体_GB2312" w:hAnsi="楷体_GB2312" w:eastAsia="楷体_GB2312" w:cs="楷体_GB2312"/>
          <w:color w:val="auto"/>
          <w:sz w:val="20"/>
          <w:szCs w:val="21"/>
          <w:highlight w:val="none"/>
          <w:lang w:val="en-US" w:eastAsia="zh-CN"/>
        </w:rPr>
      </w:pPr>
      <w:r>
        <w:rPr>
          <w:rFonts w:hint="eastAsia" w:ascii="楷体_GB2312" w:hAnsi="楷体_GB2312" w:eastAsia="楷体_GB2312" w:cs="楷体_GB2312"/>
          <w:color w:val="auto"/>
          <w:sz w:val="20"/>
          <w:szCs w:val="21"/>
          <w:highlight w:val="none"/>
          <w:lang w:val="en-US" w:eastAsia="zh-CN"/>
        </w:rPr>
        <w:t>注：若拟委派的项目负责人（</w:t>
      </w:r>
      <w:r>
        <w:rPr>
          <w:rFonts w:hint="eastAsia" w:ascii="楷体_GB2312" w:hAnsi="楷体_GB2312" w:eastAsia="楷体_GB2312" w:cs="楷体_GB2312"/>
          <w:color w:val="auto"/>
          <w:sz w:val="20"/>
          <w:szCs w:val="21"/>
          <w:highlight w:val="none"/>
          <w:lang w:eastAsia="zh-CN"/>
        </w:rPr>
        <w:t>总监理工程师</w:t>
      </w:r>
      <w:r>
        <w:rPr>
          <w:rFonts w:hint="eastAsia" w:ascii="楷体_GB2312" w:hAnsi="楷体_GB2312" w:eastAsia="楷体_GB2312" w:cs="楷体_GB2312"/>
          <w:color w:val="auto"/>
          <w:sz w:val="20"/>
          <w:szCs w:val="21"/>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C9AA5BD">
      <w:pPr>
        <w:pStyle w:val="3"/>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20" w:firstLineChars="200"/>
        <w:jc w:val="both"/>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3.5 投标申请人业绩要求（</w:t>
      </w:r>
      <w:r>
        <w:rPr>
          <w:rFonts w:hint="eastAsia" w:ascii="宋体" w:hAnsi="宋体" w:eastAsia="宋体" w:cs="宋体"/>
          <w:color w:val="auto"/>
          <w:kern w:val="2"/>
          <w:sz w:val="21"/>
          <w:szCs w:val="22"/>
          <w:highlight w:val="none"/>
          <w:lang w:val="en-US" w:eastAsia="zh-CN" w:bidi="ar-SA"/>
        </w:rPr>
        <w:sym w:font="Wingdings 2" w:char="00A3"/>
      </w:r>
      <w:r>
        <w:rPr>
          <w:rFonts w:hint="eastAsia" w:ascii="宋体" w:hAnsi="宋体" w:eastAsia="宋体" w:cs="宋体"/>
          <w:color w:val="auto"/>
          <w:kern w:val="2"/>
          <w:sz w:val="21"/>
          <w:szCs w:val="22"/>
          <w:highlight w:val="none"/>
          <w:lang w:val="en-US" w:eastAsia="zh-CN" w:bidi="ar-SA"/>
        </w:rPr>
        <w:t>需要 /</w:t>
      </w:r>
      <w:r>
        <w:rPr>
          <w:rFonts w:hint="eastAsia" w:ascii="宋体" w:hAnsi="宋体" w:cs="宋体"/>
          <w:color w:val="auto"/>
          <w:kern w:val="2"/>
          <w:sz w:val="21"/>
          <w:szCs w:val="22"/>
          <w:highlight w:val="none"/>
          <w:lang w:val="en-US" w:eastAsia="zh-CN" w:bidi="ar-SA"/>
        </w:rPr>
        <w:t>☑</w:t>
      </w:r>
      <w:r>
        <w:rPr>
          <w:rFonts w:hint="eastAsia" w:ascii="宋体" w:hAnsi="宋体" w:eastAsia="宋体" w:cs="宋体"/>
          <w:color w:val="auto"/>
          <w:kern w:val="2"/>
          <w:sz w:val="21"/>
          <w:szCs w:val="22"/>
          <w:highlight w:val="none"/>
          <w:lang w:val="en-US" w:eastAsia="zh-CN" w:bidi="ar-SA"/>
        </w:rPr>
        <w:t>不需要）</w:t>
      </w:r>
    </w:p>
    <w:p w14:paraId="71EC0500">
      <w:pPr>
        <w:spacing w:line="360" w:lineRule="auto"/>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strike w:val="0"/>
          <w:color w:val="auto"/>
          <w:sz w:val="21"/>
          <w:highlight w:val="none"/>
        </w:rPr>
        <w:t>3.</w:t>
      </w:r>
      <w:r>
        <w:rPr>
          <w:rFonts w:hint="eastAsia" w:ascii="宋体" w:hAnsi="宋体" w:eastAsia="宋体" w:cs="宋体"/>
          <w:strike w:val="0"/>
          <w:color w:val="auto"/>
          <w:sz w:val="21"/>
          <w:highlight w:val="none"/>
          <w:lang w:val="en-US" w:eastAsia="zh-CN"/>
        </w:rPr>
        <w:t xml:space="preserve">6 </w:t>
      </w: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eastAsia="zh-CN"/>
        </w:rPr>
        <w:t>（</w:t>
      </w:r>
      <w:r>
        <w:rPr>
          <w:rFonts w:hint="eastAsia"/>
          <w:color w:val="auto"/>
          <w:sz w:val="21"/>
          <w:szCs w:val="21"/>
          <w:highlight w:val="none"/>
          <w:u w:val="none"/>
        </w:rPr>
        <w:sym w:font="Wingdings 2" w:char="00A3"/>
      </w:r>
      <w:r>
        <w:rPr>
          <w:rFonts w:hint="eastAsia"/>
          <w:color w:val="auto"/>
          <w:sz w:val="21"/>
          <w:szCs w:val="21"/>
          <w:highlight w:val="none"/>
          <w:u w:val="none"/>
          <w:lang w:eastAsia="zh-CN"/>
        </w:rPr>
        <w:t>接受</w:t>
      </w:r>
      <w:r>
        <w:rPr>
          <w:rFonts w:hint="eastAsia" w:ascii="宋体" w:hAnsi="宋体" w:eastAsia="宋体" w:cs="宋体"/>
          <w:color w:val="auto"/>
          <w:sz w:val="21"/>
          <w:highlight w:val="none"/>
          <w:lang w:val="en-US" w:eastAsia="zh-CN" w:bidi="ar-SA"/>
        </w:rPr>
        <w:t xml:space="preserve"> /</w:t>
      </w:r>
      <w:r>
        <w:rPr>
          <w:rFonts w:hint="eastAsia"/>
          <w:color w:val="auto"/>
          <w:sz w:val="21"/>
          <w:szCs w:val="21"/>
          <w:highlight w:val="none"/>
          <w:u w:val="none"/>
          <w:lang w:eastAsia="zh-CN"/>
        </w:rPr>
        <w:t>☑</w:t>
      </w:r>
      <w:r>
        <w:rPr>
          <w:rFonts w:hint="eastAsia" w:ascii="宋体" w:hAnsi="宋体" w:eastAsia="宋体" w:cs="宋体"/>
          <w:color w:val="auto"/>
          <w:sz w:val="21"/>
          <w:highlight w:val="none"/>
          <w:lang w:val="en-US" w:eastAsia="zh-CN" w:bidi="ar-SA"/>
        </w:rPr>
        <w:t>不接受）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311A415D">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3.7</w:t>
      </w:r>
      <w:r>
        <w:rPr>
          <w:rFonts w:hint="eastAsia" w:ascii="宋体" w:hAnsi="宋体" w:eastAsia="宋体" w:cs="宋体"/>
          <w:color w:val="auto"/>
          <w:szCs w:val="21"/>
          <w:highlight w:val="none"/>
          <w:u w:val="none"/>
          <w:lang w:eastAsia="zh-CN"/>
        </w:rPr>
        <w:t>投标人已在“广州市交通建设项目企业信息库”（网址http://112.94.68.79:8088/entHome/index）建立企业信用档案。</w:t>
      </w:r>
      <w:r>
        <w:rPr>
          <w:rFonts w:hint="eastAsia" w:ascii="宋体" w:hAnsi="宋体" w:eastAsia="宋体" w:cs="宋体"/>
          <w:color w:val="auto"/>
          <w:highlight w:val="none"/>
        </w:rPr>
        <w:t>拟委派的项目负责人须是本企业信用档案中的在册人员</w:t>
      </w:r>
      <w:r>
        <w:rPr>
          <w:rFonts w:hint="eastAsia" w:ascii="宋体" w:hAnsi="宋体" w:eastAsia="宋体" w:cs="宋体"/>
          <w:color w:val="auto"/>
          <w:szCs w:val="21"/>
          <w:highlight w:val="none"/>
          <w:u w:val="none"/>
          <w:lang w:eastAsia="zh-CN"/>
        </w:rPr>
        <w:t>。</w:t>
      </w:r>
    </w:p>
    <w:p w14:paraId="17C7CDF5">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none"/>
          <w:lang w:eastAsia="zh-CN"/>
        </w:rPr>
        <w:t>3</w:t>
      </w:r>
      <w:r>
        <w:rPr>
          <w:rFonts w:hint="eastAsia" w:ascii="宋体" w:hAnsi="宋体" w:eastAsia="宋体" w:cs="宋体"/>
          <w:color w:val="auto"/>
          <w:szCs w:val="21"/>
          <w:highlight w:val="none"/>
          <w:u w:val="none"/>
          <w:lang w:val="en-US" w:eastAsia="zh-CN"/>
        </w:rPr>
        <w:t>.8投标人未出现招标文件第二章投标人须知第1.4.3项所规定的任何一种情形，并已按规定格式签名盖章《投标人声明》（按投标人提供的《投标人声明》内容进行评审）。</w:t>
      </w:r>
    </w:p>
    <w:p w14:paraId="27F2891F">
      <w:pPr>
        <w:spacing w:line="360" w:lineRule="auto"/>
        <w:ind w:firstLine="420" w:firstLineChars="200"/>
        <w:jc w:val="both"/>
        <w:rPr>
          <w:rFonts w:hint="default" w:ascii="宋体" w:hAnsi="宋体" w:eastAsia="宋体" w:cs="宋体"/>
          <w:color w:val="auto"/>
          <w:sz w:val="21"/>
          <w:szCs w:val="20"/>
          <w:highlight w:val="none"/>
          <w:lang w:val="en-US" w:eastAsia="zh-CN" w:bidi="ar-SA"/>
        </w:rPr>
      </w:pPr>
      <w:r>
        <w:rPr>
          <w:rFonts w:hint="eastAsia" w:ascii="宋体" w:hAnsi="宋体" w:eastAsia="宋体" w:cs="宋体"/>
          <w:color w:val="auto"/>
          <w:szCs w:val="21"/>
          <w:highlight w:val="none"/>
          <w:u w:val="none"/>
          <w:lang w:val="en-US" w:eastAsia="zh-CN"/>
        </w:rPr>
        <w:t>3.9</w:t>
      </w:r>
      <w:r>
        <w:rPr>
          <w:rFonts w:hint="eastAsia" w:ascii="宋体" w:hAnsi="宋体" w:eastAsia="宋体" w:cs="宋体"/>
          <w:color w:val="auto"/>
          <w:sz w:val="21"/>
          <w:szCs w:val="20"/>
          <w:highlight w:val="none"/>
          <w:lang w:val="en-US" w:eastAsia="zh-CN" w:bidi="ar-SA"/>
        </w:rPr>
        <w:t>在投标截止时间前，投标人未被列入拖欠农民工工资失信联合惩戒对象名单。</w:t>
      </w:r>
    </w:p>
    <w:p w14:paraId="45D6005D">
      <w:pPr>
        <w:keepNext w:val="0"/>
        <w:keepLines w:val="0"/>
        <w:pageBreakBefore w:val="0"/>
        <w:widowControl w:val="0"/>
        <w:wordWrap/>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 w:val="21"/>
          <w:szCs w:val="20"/>
          <w:highlight w:val="none"/>
          <w:lang w:val="en-US" w:eastAsia="zh-CN" w:bidi="ar-SA"/>
        </w:rPr>
        <w:t>3.10政府投资项目，在投标截止时间前，</w:t>
      </w:r>
      <w:r>
        <w:rPr>
          <w:rFonts w:hint="default" w:ascii="宋体" w:hAnsi="宋体" w:eastAsia="宋体" w:cs="宋体"/>
          <w:color w:val="auto"/>
          <w:sz w:val="21"/>
          <w:szCs w:val="20"/>
          <w:highlight w:val="none"/>
          <w:lang w:val="en-US" w:eastAsia="zh-CN" w:bidi="ar-SA"/>
        </w:rPr>
        <w:t>投标人未被列入“</w:t>
      </w:r>
      <w:r>
        <w:rPr>
          <w:rFonts w:hint="eastAsia" w:ascii="宋体" w:hAnsi="宋体" w:eastAsia="宋体" w:cs="宋体"/>
          <w:color w:val="auto"/>
          <w:sz w:val="21"/>
          <w:szCs w:val="20"/>
          <w:highlight w:val="none"/>
          <w:lang w:val="en-US" w:eastAsia="zh-CN" w:bidi="ar-SA"/>
        </w:rPr>
        <w:t>失信被执行人</w:t>
      </w:r>
      <w:r>
        <w:rPr>
          <w:rFonts w:hint="default"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eastAsia="zh-CN" w:bidi="ar-SA"/>
        </w:rPr>
        <w:t>名单</w:t>
      </w:r>
      <w:r>
        <w:rPr>
          <w:rFonts w:hint="eastAsia" w:ascii="宋体" w:hAnsi="宋体" w:eastAsia="宋体" w:cs="宋体"/>
          <w:color w:val="auto"/>
          <w:szCs w:val="21"/>
          <w:highlight w:val="none"/>
          <w:u w:val="none"/>
          <w:lang w:val="en-US" w:eastAsia="zh-CN"/>
        </w:rPr>
        <w:t>。</w:t>
      </w:r>
    </w:p>
    <w:p w14:paraId="58467F28">
      <w:pPr>
        <w:keepNext w:val="0"/>
        <w:keepLines w:val="0"/>
        <w:pageBreakBefore w:val="0"/>
        <w:widowControl w:val="0"/>
        <w:wordWrap/>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3.11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53D6E220">
      <w:pPr>
        <w:pStyle w:val="2"/>
        <w:rPr>
          <w:rFonts w:hint="default"/>
          <w:color w:val="auto"/>
          <w:highlight w:val="none"/>
          <w:lang w:val="en-US" w:eastAsia="zh-CN"/>
        </w:rPr>
      </w:pPr>
    </w:p>
    <w:p w14:paraId="0F5F9E55">
      <w:pPr>
        <w:pStyle w:val="5"/>
        <w:bidi w:val="0"/>
        <w:rPr>
          <w:rFonts w:hint="eastAsia"/>
          <w:color w:val="auto"/>
          <w:highlight w:val="none"/>
        </w:rPr>
      </w:pPr>
      <w:bookmarkStart w:id="52" w:name="_Toc7384"/>
      <w:bookmarkStart w:id="53" w:name="_Toc17136"/>
      <w:bookmarkStart w:id="54" w:name="_Toc5034"/>
      <w:bookmarkStart w:id="55" w:name="_Toc1349"/>
      <w:bookmarkStart w:id="56" w:name="_Toc492300549"/>
      <w:bookmarkStart w:id="57" w:name="_Toc21595"/>
      <w:bookmarkStart w:id="58" w:name="_Toc2300"/>
      <w:bookmarkStart w:id="59" w:name="_Toc31269"/>
      <w:bookmarkStart w:id="60" w:name="_Toc10789"/>
      <w:bookmarkStart w:id="61" w:name="_Toc32692"/>
      <w:bookmarkStart w:id="62" w:name="_Toc25355"/>
      <w:r>
        <w:rPr>
          <w:rFonts w:hint="eastAsia"/>
          <w:color w:val="auto"/>
          <w:highlight w:val="none"/>
        </w:rPr>
        <w:t>4.招标文件的获取</w:t>
      </w:r>
      <w:bookmarkEnd w:id="52"/>
      <w:bookmarkEnd w:id="53"/>
      <w:bookmarkEnd w:id="54"/>
      <w:bookmarkEnd w:id="55"/>
      <w:bookmarkEnd w:id="56"/>
      <w:bookmarkEnd w:id="57"/>
      <w:bookmarkEnd w:id="58"/>
      <w:bookmarkEnd w:id="59"/>
      <w:bookmarkEnd w:id="60"/>
      <w:bookmarkEnd w:id="61"/>
      <w:bookmarkEnd w:id="62"/>
    </w:p>
    <w:p w14:paraId="54EE468B">
      <w:pPr>
        <w:keepNext w:val="0"/>
        <w:keepLines w:val="0"/>
        <w:pageBreakBefore w:val="0"/>
        <w:widowControl w:val="0"/>
        <w:tabs>
          <w:tab w:val="left" w:pos="360"/>
        </w:tabs>
        <w:wordWrap/>
        <w:topLinePunct w:val="0"/>
        <w:autoSpaceDE/>
        <w:autoSpaceDN/>
        <w:bidi w:val="0"/>
        <w:adjustRightInd/>
        <w:snapToGrid/>
        <w:spacing w:line="360" w:lineRule="auto"/>
        <w:ind w:firstLine="420" w:firstLineChars="200"/>
        <w:jc w:val="left"/>
        <w:textAlignment w:val="auto"/>
        <w:rPr>
          <w:rFonts w:hint="eastAsia" w:ascii="Times New Roman" w:hAnsi="Times New Roman"/>
          <w:color w:val="auto"/>
          <w:szCs w:val="21"/>
          <w:highlight w:val="none"/>
        </w:rPr>
      </w:pPr>
      <w:r>
        <w:rPr>
          <w:rFonts w:ascii="Times New Roman" w:hAnsi="Times New Roman"/>
          <w:color w:val="auto"/>
          <w:szCs w:val="21"/>
          <w:highlight w:val="none"/>
        </w:rPr>
        <w:t>4.1</w:t>
      </w:r>
      <w:r>
        <w:rPr>
          <w:rFonts w:hint="eastAsia" w:ascii="Times New Roman" w:hAnsi="Times New Roman"/>
          <w:color w:val="auto"/>
          <w:szCs w:val="21"/>
          <w:highlight w:val="none"/>
        </w:rPr>
        <w:t>凡有意参加投标者，请于</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时至</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w:t>
      </w:r>
      <w:r>
        <w:rPr>
          <w:rFonts w:ascii="Times New Roman" w:hAnsi="Times New Roman"/>
          <w:color w:val="auto"/>
          <w:szCs w:val="21"/>
          <w:highlight w:val="none"/>
        </w:rPr>
        <w:t>(</w:t>
      </w:r>
      <w:r>
        <w:rPr>
          <w:rFonts w:hint="eastAsia" w:ascii="Times New Roman" w:hAnsi="Times New Roman"/>
          <w:color w:val="auto"/>
          <w:szCs w:val="21"/>
          <w:highlight w:val="none"/>
        </w:rPr>
        <w:t>北京时间，下同</w:t>
      </w:r>
      <w:r>
        <w:rPr>
          <w:rFonts w:ascii="Times New Roman" w:hAnsi="Times New Roman"/>
          <w:color w:val="auto"/>
          <w:szCs w:val="21"/>
          <w:highlight w:val="none"/>
        </w:rPr>
        <w:t>)</w:t>
      </w:r>
      <w:r>
        <w:rPr>
          <w:rFonts w:hint="eastAsia" w:ascii="Times New Roman" w:hAnsi="Times New Roman"/>
          <w:color w:val="auto"/>
          <w:szCs w:val="21"/>
          <w:highlight w:val="none"/>
        </w:rPr>
        <w:t>，登录</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网站或广东省招标投标监管网</w:t>
      </w:r>
      <w:r>
        <w:rPr>
          <w:rFonts w:hint="eastAsia" w:ascii="Times New Roman" w:hAnsi="Times New Roman"/>
          <w:color w:val="auto"/>
          <w:szCs w:val="21"/>
          <w:highlight w:val="none"/>
        </w:rPr>
        <w:t>下载电子招标文件。</w:t>
      </w:r>
    </w:p>
    <w:p w14:paraId="0040A3A5">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4.2发布招标公告时间（含本日）：</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分至</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分</w:t>
      </w:r>
      <w:r>
        <w:rPr>
          <w:rFonts w:hint="eastAsia" w:ascii="Times New Roman" w:hAnsi="Times New Roman"/>
          <w:color w:val="auto"/>
          <w:szCs w:val="21"/>
          <w:highlight w:val="none"/>
          <w:lang w:eastAsia="zh-CN"/>
        </w:rPr>
        <w:t>。</w:t>
      </w:r>
    </w:p>
    <w:p w14:paraId="49537EC7">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2"/>
          <w:sz w:val="21"/>
          <w:szCs w:val="21"/>
          <w:highlight w:val="none"/>
          <w:lang w:val="en-US" w:eastAsia="zh-CN" w:bidi="ar-SA"/>
        </w:rPr>
        <w:t>注：本公告发布之日起开始发布招标文件，发布招标公告的时间为招标公告发出之日起至递交投标文件截止时间止,并从招标公告发布之日起开始计算备标时间。</w:t>
      </w:r>
    </w:p>
    <w:p w14:paraId="4CFCF114">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Times New Roman" w:hAnsi="Times New Roman"/>
          <w:color w:val="auto"/>
          <w:szCs w:val="21"/>
          <w:highlight w:val="none"/>
          <w:u w:val="none"/>
        </w:rPr>
        <w:t>4.3</w:t>
      </w:r>
      <w:r>
        <w:rPr>
          <w:rFonts w:hint="eastAsia" w:ascii="宋体" w:hAnsi="宋体" w:eastAsia="宋体" w:cs="宋体"/>
          <w:color w:val="auto"/>
          <w:sz w:val="21"/>
          <w:szCs w:val="21"/>
          <w:highlight w:val="none"/>
          <w:lang w:val="en-US" w:eastAsia="zh-CN" w:bidi="ar-SA"/>
        </w:rPr>
        <w:t>本项目招标文件随招标公告一并在</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color w:val="auto"/>
          <w:sz w:val="21"/>
          <w:szCs w:val="21"/>
          <w:highlight w:val="none"/>
          <w:u w:val="single"/>
          <w:lang w:val="en-US" w:eastAsia="zh-CN" w:bidi="ar-SA"/>
        </w:rPr>
        <w:t>网站交易平台、广东省招标投标监管网</w:t>
      </w:r>
      <w:r>
        <w:rPr>
          <w:rFonts w:hint="eastAsia" w:ascii="宋体" w:hAnsi="宋体" w:eastAsia="宋体" w:cs="宋体"/>
          <w:color w:val="auto"/>
          <w:sz w:val="21"/>
          <w:szCs w:val="21"/>
          <w:highlight w:val="none"/>
          <w:lang w:val="en-US" w:eastAsia="zh-CN" w:bidi="ar-SA"/>
        </w:rPr>
        <w:t>发布。招标文件一经在</w:t>
      </w:r>
      <w:r>
        <w:rPr>
          <w:rFonts w:hint="eastAsia" w:ascii="宋体" w:hAnsi="宋体" w:eastAsia="宋体" w:cs="宋体"/>
          <w:color w:val="auto"/>
          <w:sz w:val="21"/>
          <w:szCs w:val="21"/>
          <w:highlight w:val="none"/>
          <w:u w:val="single"/>
          <w:lang w:val="en-US" w:eastAsia="zh-CN" w:bidi="ar-SA"/>
        </w:rPr>
        <w:t>广州交易集团有限公司（广州公共资源交易中心）交易平台、广东省招标投标监管网</w:t>
      </w:r>
      <w:r>
        <w:rPr>
          <w:rFonts w:hint="eastAsia" w:ascii="宋体" w:hAnsi="宋体" w:eastAsia="宋体" w:cs="宋体"/>
          <w:color w:val="auto"/>
          <w:sz w:val="21"/>
          <w:szCs w:val="21"/>
          <w:highlight w:val="none"/>
          <w:lang w:val="en-US" w:eastAsia="zh-CN" w:bidi="ar-SA"/>
        </w:rPr>
        <w:t>发布，视为发出给投标人，招标文件由投标人自行在</w:t>
      </w:r>
      <w:r>
        <w:rPr>
          <w:rFonts w:hint="eastAsia" w:ascii="宋体" w:hAnsi="宋体" w:eastAsia="宋体" w:cs="宋体"/>
          <w:color w:val="auto"/>
          <w:sz w:val="21"/>
          <w:szCs w:val="21"/>
          <w:highlight w:val="none"/>
          <w:u w:val="single"/>
          <w:lang w:val="en-US" w:eastAsia="zh-CN" w:bidi="ar-SA"/>
        </w:rPr>
        <w:t>广州交易集团有限公司（广州公共资源交易中心）交易平台网站或广东省招标投标监管网</w:t>
      </w:r>
      <w:r>
        <w:rPr>
          <w:rFonts w:hint="eastAsia" w:ascii="宋体" w:hAnsi="宋体" w:eastAsia="宋体" w:cs="宋体"/>
          <w:color w:val="auto"/>
          <w:sz w:val="21"/>
          <w:szCs w:val="21"/>
          <w:highlight w:val="none"/>
          <w:lang w:val="en-US" w:eastAsia="zh-CN" w:bidi="ar-SA"/>
        </w:rPr>
        <w:t>下载。</w:t>
      </w:r>
    </w:p>
    <w:p w14:paraId="1F0FFDB3">
      <w:pPr>
        <w:pStyle w:val="2"/>
        <w:rPr>
          <w:rFonts w:hint="eastAsia"/>
          <w:color w:val="auto"/>
          <w:highlight w:val="none"/>
          <w:lang w:val="en-US" w:eastAsia="zh-CN"/>
        </w:rPr>
      </w:pPr>
    </w:p>
    <w:p w14:paraId="32C89BBD">
      <w:pPr>
        <w:pStyle w:val="5"/>
        <w:bidi w:val="0"/>
        <w:rPr>
          <w:rFonts w:hint="eastAsia"/>
          <w:color w:val="auto"/>
          <w:highlight w:val="none"/>
        </w:rPr>
      </w:pPr>
      <w:bookmarkStart w:id="63" w:name="_Toc18670"/>
      <w:bookmarkStart w:id="64" w:name="_Toc3884"/>
      <w:bookmarkStart w:id="65" w:name="_Toc30270"/>
      <w:bookmarkStart w:id="66" w:name="_Toc16837"/>
      <w:bookmarkStart w:id="67" w:name="_Toc3582"/>
      <w:bookmarkStart w:id="68" w:name="_Toc14445"/>
      <w:bookmarkStart w:id="69" w:name="_Toc6915"/>
      <w:bookmarkStart w:id="70" w:name="_Toc492300550"/>
      <w:bookmarkStart w:id="71" w:name="_Toc30981"/>
      <w:bookmarkStart w:id="72" w:name="_Toc13305"/>
      <w:bookmarkStart w:id="73" w:name="_Toc22166"/>
      <w:r>
        <w:rPr>
          <w:rFonts w:hint="eastAsia"/>
          <w:color w:val="auto"/>
          <w:highlight w:val="none"/>
        </w:rPr>
        <w:t>5.投标文件的递交</w:t>
      </w:r>
      <w:bookmarkEnd w:id="63"/>
      <w:bookmarkEnd w:id="64"/>
      <w:bookmarkEnd w:id="65"/>
      <w:bookmarkEnd w:id="66"/>
      <w:bookmarkEnd w:id="67"/>
      <w:bookmarkEnd w:id="68"/>
      <w:bookmarkEnd w:id="69"/>
      <w:bookmarkEnd w:id="70"/>
      <w:bookmarkEnd w:id="71"/>
      <w:bookmarkEnd w:id="72"/>
      <w:bookmarkEnd w:id="73"/>
    </w:p>
    <w:p w14:paraId="099C1BCF">
      <w:pPr>
        <w:tabs>
          <w:tab w:val="left" w:pos="360"/>
        </w:tabs>
        <w:spacing w:line="360" w:lineRule="auto"/>
        <w:ind w:firstLine="420" w:firstLineChars="200"/>
        <w:jc w:val="both"/>
        <w:rPr>
          <w:rFonts w:hint="eastAsia" w:ascii="宋体" w:hAnsi="宋体" w:eastAsia="宋体" w:cs="宋体"/>
          <w:color w:val="auto"/>
          <w:sz w:val="21"/>
          <w:szCs w:val="21"/>
          <w:highlight w:val="none"/>
        </w:rPr>
      </w:pPr>
      <w:bookmarkStart w:id="74" w:name="_Toc28330"/>
      <w:bookmarkStart w:id="75" w:name="_Toc3643"/>
      <w:bookmarkStart w:id="76" w:name="_Toc25776"/>
      <w:bookmarkStart w:id="77" w:name="_Toc14276"/>
      <w:bookmarkStart w:id="78" w:name="_Toc5148"/>
      <w:bookmarkStart w:id="79" w:name="_Toc8942"/>
      <w:bookmarkStart w:id="80" w:name="_Toc492300551"/>
      <w:bookmarkStart w:id="81" w:name="_Toc996"/>
      <w:bookmarkStart w:id="82" w:name="_Toc5954"/>
      <w:bookmarkStart w:id="83" w:name="_Toc9454"/>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分，投标人应在截止时间前通过</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w:t>
      </w:r>
      <w:r>
        <w:rPr>
          <w:rFonts w:hint="eastAsia" w:ascii="宋体" w:hAnsi="宋体" w:eastAsia="宋体" w:cs="宋体"/>
          <w:color w:val="auto"/>
          <w:sz w:val="21"/>
          <w:szCs w:val="21"/>
          <w:highlight w:val="none"/>
        </w:rPr>
        <w:t>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4942C379">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w:t>
      </w:r>
      <w:r>
        <w:rPr>
          <w:rFonts w:hint="eastAsia" w:ascii="宋体" w:hAnsi="宋体" w:eastAsia="宋体" w:cs="宋体"/>
          <w:color w:val="auto"/>
          <w:w w:val="100"/>
          <w:sz w:val="21"/>
          <w:szCs w:val="21"/>
          <w:highlight w:val="none"/>
          <w:u w:val="none"/>
        </w:rPr>
        <w:t>后</w:t>
      </w:r>
      <w:r>
        <w:rPr>
          <w:rFonts w:hint="eastAsia" w:ascii="宋体" w:hAnsi="宋体" w:eastAsia="宋体" w:cs="宋体"/>
          <w:color w:val="auto"/>
          <w:w w:val="100"/>
          <w:sz w:val="21"/>
          <w:szCs w:val="21"/>
          <w:highlight w:val="none"/>
          <w:u w:val="none"/>
          <w:lang w:eastAsia="zh-CN"/>
        </w:rPr>
        <w:t>一</w:t>
      </w:r>
      <w:r>
        <w:rPr>
          <w:rFonts w:hint="eastAsia" w:ascii="宋体" w:hAnsi="宋体" w:eastAsia="宋体" w:cs="宋体"/>
          <w:color w:val="auto"/>
          <w:w w:val="100"/>
          <w:sz w:val="21"/>
          <w:szCs w:val="21"/>
          <w:highlight w:val="none"/>
        </w:rPr>
        <w:t>小时内，投标人通过</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color w:val="auto"/>
          <w:w w:val="100"/>
          <w:sz w:val="21"/>
          <w:szCs w:val="21"/>
          <w:highlight w:val="none"/>
          <w:lang w:eastAsia="zh-CN"/>
        </w:rPr>
        <w:t>网站</w:t>
      </w:r>
      <w:r>
        <w:rPr>
          <w:rFonts w:hint="eastAsia" w:ascii="宋体" w:hAnsi="宋体" w:eastAsia="宋体" w:cs="宋体"/>
          <w:color w:val="auto"/>
          <w:w w:val="100"/>
          <w:sz w:val="21"/>
          <w:szCs w:val="21"/>
          <w:highlight w:val="none"/>
        </w:rPr>
        <w:t>对已递交的电子投标文件进行解密。</w:t>
      </w:r>
    </w:p>
    <w:p w14:paraId="1187E710">
      <w:pPr>
        <w:pStyle w:val="3"/>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Times New Roman" w:hAnsi="Times New Roman"/>
          <w:color w:val="auto"/>
          <w:szCs w:val="21"/>
          <w:highlight w:val="none"/>
          <w:u w:val="single"/>
        </w:rPr>
      </w:pPr>
      <w:r>
        <w:rPr>
          <w:rFonts w:hint="eastAsia" w:ascii="宋体" w:hAnsi="宋体" w:eastAsia="宋体" w:cs="宋体"/>
          <w:color w:val="auto"/>
          <w:sz w:val="21"/>
          <w:szCs w:val="21"/>
          <w:highlight w:val="none"/>
          <w:lang w:val="en-US" w:eastAsia="zh-CN" w:bidi="ar-SA"/>
        </w:rPr>
        <w:t>5.2 投标人应在递交投标文件截止时间前，登录</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color w:val="auto"/>
          <w:sz w:val="21"/>
          <w:szCs w:val="21"/>
          <w:highlight w:val="none"/>
          <w:lang w:val="en-US" w:eastAsia="zh-CN" w:bidi="ar-SA"/>
        </w:rPr>
        <w:t>网站交易平台办理网上投标登记手续；投标登记时间（含本日）</w:t>
      </w:r>
      <w:r>
        <w:rPr>
          <w:rFonts w:hint="eastAsia" w:ascii="Times New Roman" w:hAnsi="Times New Roman"/>
          <w:color w:val="auto"/>
          <w:szCs w:val="21"/>
          <w:highlight w:val="none"/>
        </w:rPr>
        <w:t>：</w:t>
      </w:r>
      <w:r>
        <w:rPr>
          <w:rFonts w:hint="eastAsia" w:ascii="宋体" w:hAnsi="宋体" w:eastAsia="宋体" w:cs="宋体"/>
          <w:color w:val="auto"/>
          <w:highlight w:val="none"/>
          <w:u w:val="single"/>
          <w:lang w:val="en-US" w:eastAsia="zh-CN"/>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分至</w:t>
      </w:r>
      <w:r>
        <w:rPr>
          <w:rFonts w:hint="eastAsia" w:ascii="宋体" w:hAnsi="宋体" w:eastAsia="宋体" w:cs="宋体"/>
          <w:color w:val="auto"/>
          <w:highlight w:val="none"/>
          <w:u w:val="single"/>
          <w:lang w:val="en-US" w:eastAsia="zh-CN"/>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日</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时</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none"/>
          <w:lang w:eastAsia="zh-CN"/>
        </w:rPr>
        <w:t>分</w:t>
      </w:r>
      <w:r>
        <w:rPr>
          <w:rFonts w:hint="eastAsia" w:ascii="Times New Roman" w:hAnsi="Times New Roman"/>
          <w:color w:val="auto"/>
          <w:szCs w:val="21"/>
          <w:highlight w:val="none"/>
        </w:rPr>
        <w:t>。</w:t>
      </w:r>
    </w:p>
    <w:p w14:paraId="1788E55D">
      <w:pPr>
        <w:pStyle w:val="3"/>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2"/>
          <w:sz w:val="21"/>
          <w:szCs w:val="21"/>
          <w:highlight w:val="none"/>
          <w:lang w:val="en-US" w:eastAsia="zh-CN" w:bidi="ar-SA"/>
        </w:rPr>
        <w:t>注：详见</w:t>
      </w:r>
      <w:r>
        <w:rPr>
          <w:rFonts w:hint="eastAsia" w:ascii="楷体_GB2312" w:hAnsi="楷体_GB2312" w:eastAsia="楷体_GB2312" w:cs="楷体_GB2312"/>
          <w:color w:val="auto"/>
          <w:kern w:val="2"/>
          <w:sz w:val="21"/>
          <w:szCs w:val="21"/>
          <w:highlight w:val="none"/>
          <w:u w:val="single"/>
          <w:lang w:val="en-US" w:eastAsia="zh-CN" w:bidi="ar-SA"/>
        </w:rPr>
        <w:t>广州交易集团有限公司（广州公共资源交易中心）</w:t>
      </w:r>
      <w:r>
        <w:rPr>
          <w:rFonts w:hint="eastAsia" w:ascii="楷体_GB2312" w:hAnsi="楷体_GB2312" w:eastAsia="楷体_GB2312" w:cs="楷体_GB2312"/>
          <w:color w:val="auto"/>
          <w:kern w:val="2"/>
          <w:sz w:val="21"/>
          <w:szCs w:val="21"/>
          <w:highlight w:val="none"/>
          <w:lang w:val="en-US" w:eastAsia="zh-CN" w:bidi="ar-SA"/>
        </w:rPr>
        <w:t>网站发布的最新版操作指引。</w:t>
      </w:r>
    </w:p>
    <w:p w14:paraId="2589E2DF">
      <w:pPr>
        <w:tabs>
          <w:tab w:val="left" w:pos="360"/>
        </w:tabs>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开标开始时间：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C75595">
      <w:pPr>
        <w:tabs>
          <w:tab w:val="left" w:pos="360"/>
        </w:tabs>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投标文件光盘（备用）递交时间：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。（投标人自行决定是否递交备用电子光盘，若提交电子光盘需则按规定封装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投标人将数据刻录到光盘之后，投标前自行检查文件是否可以读取）。</w:t>
      </w:r>
      <w:r>
        <w:rPr>
          <w:rFonts w:hint="eastAsia" w:ascii="宋体" w:hAnsi="宋体" w:eastAsia="宋体" w:cs="宋体"/>
          <w:color w:val="auto"/>
          <w:sz w:val="21"/>
          <w:szCs w:val="21"/>
          <w:highlight w:val="none"/>
          <w:lang w:eastAsia="zh-CN"/>
        </w:rPr>
        <w:t>逾期送达的投标文件光盘（备用），招标人将予以拒收。</w:t>
      </w:r>
    </w:p>
    <w:p w14:paraId="103F5BAE">
      <w:pPr>
        <w:tabs>
          <w:tab w:val="left" w:pos="360"/>
        </w:tabs>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投标文件解密时间为：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分，投标人应在截止时间前通过</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w:t>
      </w:r>
      <w:r>
        <w:rPr>
          <w:rFonts w:hint="eastAsia" w:ascii="宋体" w:hAnsi="宋体" w:eastAsia="宋体" w:cs="宋体"/>
          <w:color w:val="auto"/>
          <w:sz w:val="21"/>
          <w:szCs w:val="21"/>
          <w:highlight w:val="none"/>
        </w:rPr>
        <w:t>对电子投标文件进行投标文件解密。</w:t>
      </w:r>
    </w:p>
    <w:p w14:paraId="090E084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逾期送达的投标文件，</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color w:val="auto"/>
          <w:sz w:val="21"/>
          <w:szCs w:val="21"/>
          <w:highlight w:val="none"/>
        </w:rPr>
        <w:t>交易平台将予以拒收。</w:t>
      </w:r>
    </w:p>
    <w:p w14:paraId="502C703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递交投标文件截止时间及开标时间是否有变化，请密切留意</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w:t>
      </w:r>
      <w:r>
        <w:rPr>
          <w:rFonts w:hint="eastAsia" w:ascii="宋体" w:hAnsi="宋体" w:eastAsia="宋体" w:cs="宋体"/>
          <w:color w:val="auto"/>
          <w:sz w:val="21"/>
          <w:szCs w:val="21"/>
          <w:highlight w:val="none"/>
        </w:rPr>
        <w:t>中的相关信息。递交投标文件截止时间后，投标文件评审时间因故推迟的，相关资审信息仍以原递交投标文件截止时间的信息为准。</w:t>
      </w:r>
    </w:p>
    <w:p w14:paraId="204BA784">
      <w:pPr>
        <w:pStyle w:val="2"/>
        <w:rPr>
          <w:rFonts w:hint="eastAsia"/>
          <w:color w:val="auto"/>
          <w:highlight w:val="none"/>
        </w:rPr>
      </w:pPr>
    </w:p>
    <w:p w14:paraId="19F15374">
      <w:pPr>
        <w:pStyle w:val="5"/>
        <w:bidi w:val="0"/>
        <w:rPr>
          <w:rFonts w:hint="eastAsia"/>
          <w:color w:val="auto"/>
          <w:highlight w:val="none"/>
        </w:rPr>
      </w:pPr>
      <w:bookmarkStart w:id="84" w:name="_Toc4976"/>
      <w:r>
        <w:rPr>
          <w:rFonts w:hint="eastAsia"/>
          <w:color w:val="auto"/>
          <w:highlight w:val="none"/>
        </w:rPr>
        <w:t>6.发布公告的媒介</w:t>
      </w:r>
      <w:bookmarkEnd w:id="74"/>
      <w:bookmarkEnd w:id="75"/>
      <w:bookmarkEnd w:id="76"/>
      <w:bookmarkEnd w:id="77"/>
      <w:bookmarkEnd w:id="78"/>
      <w:bookmarkEnd w:id="79"/>
      <w:bookmarkEnd w:id="80"/>
      <w:bookmarkEnd w:id="81"/>
      <w:bookmarkEnd w:id="82"/>
      <w:bookmarkEnd w:id="83"/>
      <w:bookmarkEnd w:id="84"/>
    </w:p>
    <w:p w14:paraId="70E8729A">
      <w:pPr>
        <w:spacing w:line="360" w:lineRule="auto"/>
        <w:ind w:firstLine="420" w:firstLineChars="200"/>
        <w:rPr>
          <w:rFonts w:hint="eastAsia" w:ascii="Times New Roman" w:hAnsi="Times New Roman"/>
          <w:color w:val="auto"/>
          <w:highlight w:val="none"/>
        </w:rPr>
      </w:pPr>
      <w:r>
        <w:rPr>
          <w:rFonts w:hint="eastAsia" w:ascii="宋体" w:hAnsi="宋体" w:eastAsia="宋体" w:cs="宋体"/>
          <w:b w:val="0"/>
          <w:bCs w:val="0"/>
          <w:color w:val="auto"/>
          <w:sz w:val="21"/>
          <w:szCs w:val="21"/>
          <w:highlight w:val="none"/>
          <w:lang w:val="en-US" w:eastAsia="zh-CN" w:bidi="ar-SA"/>
        </w:rPr>
        <w:t>本次招标公告同</w:t>
      </w:r>
      <w:r>
        <w:rPr>
          <w:rFonts w:hint="eastAsia" w:ascii="宋体" w:hAnsi="宋体" w:eastAsia="宋体" w:cs="宋体"/>
          <w:b w:val="0"/>
          <w:bCs w:val="0"/>
          <w:color w:val="auto"/>
          <w:sz w:val="21"/>
          <w:szCs w:val="21"/>
          <w:highlight w:val="none"/>
          <w:u w:val="none"/>
          <w:lang w:val="en-US" w:eastAsia="zh-CN" w:bidi="ar-SA"/>
        </w:rPr>
        <w:t>时在</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w:t>
      </w:r>
      <w:r>
        <w:rPr>
          <w:rFonts w:hint="default" w:ascii="Times New Roman" w:hAnsi="Times New Roman"/>
          <w:color w:val="auto"/>
          <w:szCs w:val="21"/>
          <w:highlight w:val="none"/>
          <w:u w:val="single"/>
          <w:lang w:val="en" w:eastAsia="zh-CN"/>
        </w:rPr>
        <w:t>（网址：http://www.gzggzy.cn）</w:t>
      </w:r>
      <w:r>
        <w:rPr>
          <w:rFonts w:hint="eastAsia" w:ascii="宋体" w:hAnsi="宋体" w:eastAsia="宋体" w:cs="宋体"/>
          <w:b w:val="0"/>
          <w:bCs w:val="0"/>
          <w:color w:val="auto"/>
          <w:sz w:val="21"/>
          <w:szCs w:val="21"/>
          <w:highlight w:val="none"/>
          <w:u w:val="single"/>
          <w:lang w:val="en-US" w:eastAsia="zh-CN" w:bidi="ar-SA"/>
        </w:rPr>
        <w:t>、广东省招标投标监管网（网址： http://zbtb.gd.gov.cn）、中国招标投标公共服务平台（网址：http://www.cebpubservice.com/）、广州国企阳光采购信息发布平台（网址：https://ygcg.gzggzy.cn）</w:t>
      </w:r>
      <w:r>
        <w:rPr>
          <w:rFonts w:hint="eastAsia" w:ascii="宋体" w:hAnsi="宋体" w:eastAsia="宋体" w:cs="宋体"/>
          <w:b w:val="0"/>
          <w:bCs w:val="0"/>
          <w:color w:val="auto"/>
          <w:sz w:val="21"/>
          <w:szCs w:val="21"/>
          <w:highlight w:val="none"/>
          <w:u w:val="none"/>
          <w:lang w:val="en-US" w:eastAsia="zh-CN" w:bidi="ar-SA"/>
        </w:rPr>
        <w:t>上</w:t>
      </w:r>
      <w:r>
        <w:rPr>
          <w:rFonts w:hint="eastAsia" w:ascii="宋体" w:hAnsi="宋体" w:eastAsia="宋体" w:cs="宋体"/>
          <w:b w:val="0"/>
          <w:bCs w:val="0"/>
          <w:color w:val="auto"/>
          <w:sz w:val="21"/>
          <w:szCs w:val="21"/>
          <w:highlight w:val="none"/>
          <w:lang w:val="en-US" w:eastAsia="zh-CN" w:bidi="ar-SA"/>
        </w:rPr>
        <w:t>发布。本公告的修改、补充，在</w:t>
      </w:r>
      <w:r>
        <w:rPr>
          <w:rFonts w:hint="default" w:ascii="Times New Roman" w:hAnsi="Times New Roman"/>
          <w:color w:val="auto"/>
          <w:szCs w:val="21"/>
          <w:highlight w:val="none"/>
          <w:u w:val="single"/>
          <w:lang w:val="en" w:eastAsia="zh-CN"/>
        </w:rPr>
        <w:t>广州交易集团有限公司（广州公共资源交易中心）</w:t>
      </w:r>
      <w:r>
        <w:rPr>
          <w:rFonts w:hint="eastAsia" w:ascii="Times New Roman" w:hAnsi="Times New Roman"/>
          <w:color w:val="auto"/>
          <w:szCs w:val="21"/>
          <w:highlight w:val="none"/>
          <w:u w:val="single"/>
          <w:lang w:val="en-US" w:eastAsia="zh-CN"/>
        </w:rPr>
        <w:t>网站</w:t>
      </w:r>
      <w:r>
        <w:rPr>
          <w:rFonts w:hint="eastAsia" w:ascii="宋体" w:hAnsi="宋体" w:eastAsia="宋体" w:cs="宋体"/>
          <w:b w:val="0"/>
          <w:bCs w:val="0"/>
          <w:color w:val="auto"/>
          <w:sz w:val="21"/>
          <w:szCs w:val="21"/>
          <w:highlight w:val="none"/>
          <w:u w:val="single"/>
          <w:lang w:val="en-US" w:eastAsia="zh-CN" w:bidi="ar-SA"/>
        </w:rPr>
        <w:t>、广东省招标投标监管网、中国招标投标公共服务平台、广州国企阳光采购信息发布平台</w:t>
      </w:r>
      <w:r>
        <w:rPr>
          <w:rFonts w:hint="eastAsia" w:ascii="宋体" w:hAnsi="宋体" w:eastAsia="宋体" w:cs="宋体"/>
          <w:b w:val="0"/>
          <w:bCs w:val="0"/>
          <w:color w:val="auto"/>
          <w:sz w:val="21"/>
          <w:szCs w:val="21"/>
          <w:highlight w:val="none"/>
          <w:lang w:val="en-US" w:eastAsia="zh-CN" w:bidi="ar-SA"/>
        </w:rPr>
        <w:t>发布。招标公告、公示信息的发布时间和内容，以在广东省招标投标监管网(网址: http://zbtb.gd.gov.cn/) 发布的为准。本项目相关附件具体详见</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b w:val="0"/>
          <w:bCs w:val="0"/>
          <w:color w:val="auto"/>
          <w:sz w:val="21"/>
          <w:szCs w:val="21"/>
          <w:highlight w:val="none"/>
          <w:u w:val="single"/>
          <w:lang w:val="en-US" w:eastAsia="zh-CN" w:bidi="ar-SA"/>
        </w:rPr>
        <w:t>网站、广东省招标投标监管网</w:t>
      </w:r>
      <w:r>
        <w:rPr>
          <w:rFonts w:hint="eastAsia" w:ascii="Times New Roman" w:hAnsi="Times New Roman"/>
          <w:color w:val="auto"/>
          <w:highlight w:val="none"/>
        </w:rPr>
        <w:t>。</w:t>
      </w:r>
    </w:p>
    <w:p w14:paraId="17E30423">
      <w:pPr>
        <w:pStyle w:val="6"/>
        <w:spacing w:line="360" w:lineRule="auto"/>
        <w:rPr>
          <w:rFonts w:hint="eastAsia"/>
          <w:color w:val="auto"/>
          <w:highlight w:val="none"/>
        </w:rPr>
      </w:pPr>
    </w:p>
    <w:p w14:paraId="3720D2F6">
      <w:pPr>
        <w:pStyle w:val="5"/>
        <w:bidi w:val="0"/>
        <w:rPr>
          <w:rFonts w:hint="eastAsia"/>
          <w:color w:val="auto"/>
          <w:highlight w:val="none"/>
          <w:lang w:eastAsia="zh-CN"/>
        </w:rPr>
      </w:pPr>
      <w:bookmarkStart w:id="85" w:name="_Toc26465"/>
      <w:bookmarkStart w:id="86" w:name="_Toc31630"/>
      <w:bookmarkStart w:id="87" w:name="_Toc4765"/>
      <w:bookmarkStart w:id="88" w:name="_Toc29446"/>
      <w:bookmarkStart w:id="89" w:name="_Toc19129"/>
      <w:bookmarkStart w:id="90" w:name="_Toc17274"/>
      <w:bookmarkStart w:id="91" w:name="_Toc14159"/>
      <w:bookmarkStart w:id="92" w:name="_Toc22894"/>
      <w:bookmarkStart w:id="93" w:name="_Toc12872"/>
      <w:bookmarkStart w:id="94" w:name="_Toc492300552"/>
      <w:bookmarkStart w:id="95" w:name="_Toc2596"/>
      <w:r>
        <w:rPr>
          <w:rFonts w:hint="eastAsia"/>
          <w:color w:val="auto"/>
          <w:highlight w:val="none"/>
          <w:lang w:val="en-US" w:eastAsia="zh-CN"/>
        </w:rPr>
        <w:t>7.</w:t>
      </w:r>
      <w:bookmarkEnd w:id="85"/>
      <w:bookmarkEnd w:id="86"/>
      <w:bookmarkEnd w:id="87"/>
      <w:bookmarkEnd w:id="88"/>
      <w:bookmarkEnd w:id="89"/>
      <w:bookmarkEnd w:id="90"/>
      <w:bookmarkEnd w:id="91"/>
      <w:bookmarkEnd w:id="92"/>
      <w:bookmarkEnd w:id="93"/>
      <w:bookmarkEnd w:id="94"/>
      <w:r>
        <w:rPr>
          <w:rFonts w:hint="eastAsia"/>
          <w:color w:val="auto"/>
          <w:highlight w:val="none"/>
          <w:lang w:eastAsia="zh-CN"/>
        </w:rPr>
        <w:t>资格审查方式</w:t>
      </w:r>
      <w:bookmarkEnd w:id="95"/>
    </w:p>
    <w:p w14:paraId="31CE4E1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 本工程采用资格后审方式，由评标委员会负责资格审查。</w:t>
      </w:r>
    </w:p>
    <w:p w14:paraId="5306A2E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资格审查结果将在</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b w:val="0"/>
          <w:bCs w:val="0"/>
          <w:color w:val="auto"/>
          <w:sz w:val="21"/>
          <w:szCs w:val="21"/>
          <w:highlight w:val="none"/>
          <w:u w:val="single"/>
          <w:lang w:val="en-US" w:eastAsia="zh-CN" w:bidi="ar-SA"/>
        </w:rPr>
        <w:t>网站、</w:t>
      </w:r>
      <w:r>
        <w:rPr>
          <w:rFonts w:hint="eastAsia" w:ascii="宋体" w:hAnsi="宋体" w:eastAsia="宋体" w:cs="宋体"/>
          <w:color w:val="auto"/>
          <w:sz w:val="21"/>
          <w:szCs w:val="21"/>
          <w:highlight w:val="none"/>
          <w:u w:val="single"/>
          <w:lang w:val="en-US" w:eastAsia="zh-CN"/>
        </w:rPr>
        <w:t>广东省招标投标监管网、广州国企阳光采购信息发布平台</w:t>
      </w:r>
      <w:r>
        <w:rPr>
          <w:rFonts w:hint="eastAsia" w:ascii="宋体" w:hAnsi="宋体" w:eastAsia="宋体" w:cs="宋体"/>
          <w:color w:val="auto"/>
          <w:sz w:val="21"/>
          <w:szCs w:val="21"/>
          <w:highlight w:val="none"/>
          <w:lang w:val="en-US" w:eastAsia="zh-CN"/>
        </w:rPr>
        <w:t>公示，公示时间不得少于3日，最后一天应为工作日。</w:t>
      </w:r>
    </w:p>
    <w:p w14:paraId="0A9A8F9C">
      <w:pPr>
        <w:pStyle w:val="6"/>
        <w:spacing w:line="360" w:lineRule="auto"/>
        <w:rPr>
          <w:rFonts w:hint="default"/>
          <w:color w:val="auto"/>
          <w:highlight w:val="none"/>
          <w:lang w:val="en-US" w:eastAsia="zh-CN"/>
        </w:rPr>
      </w:pPr>
    </w:p>
    <w:p w14:paraId="5180A7E7">
      <w:pPr>
        <w:pStyle w:val="5"/>
        <w:bidi w:val="0"/>
        <w:rPr>
          <w:rFonts w:hint="eastAsia"/>
          <w:color w:val="auto"/>
          <w:highlight w:val="none"/>
          <w:lang w:eastAsia="zh-CN"/>
        </w:rPr>
      </w:pPr>
      <w:bookmarkStart w:id="96" w:name="_Toc748"/>
      <w:r>
        <w:rPr>
          <w:rFonts w:hint="eastAsia"/>
          <w:color w:val="auto"/>
          <w:highlight w:val="none"/>
          <w:lang w:val="en-US" w:eastAsia="zh-CN"/>
        </w:rPr>
        <w:t>8</w:t>
      </w:r>
      <w:r>
        <w:rPr>
          <w:rFonts w:hint="eastAsia"/>
          <w:color w:val="auto"/>
          <w:highlight w:val="none"/>
        </w:rPr>
        <w:t>.</w:t>
      </w:r>
      <w:r>
        <w:rPr>
          <w:rFonts w:hint="eastAsia"/>
          <w:color w:val="auto"/>
          <w:highlight w:val="none"/>
          <w:lang w:eastAsia="zh-CN"/>
        </w:rPr>
        <w:t>疑问、异议、投诉处理</w:t>
      </w:r>
      <w:bookmarkEnd w:id="96"/>
    </w:p>
    <w:p w14:paraId="188D3AE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8.1 </w:t>
      </w:r>
      <w:r>
        <w:rPr>
          <w:rFonts w:hint="default" w:ascii="宋体" w:hAnsi="宋体" w:eastAsia="宋体" w:cs="宋体"/>
          <w:color w:val="auto"/>
          <w:w w:val="100"/>
          <w:sz w:val="21"/>
          <w:szCs w:val="21"/>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1"/>
          <w:szCs w:val="21"/>
          <w:highlight w:val="none"/>
        </w:rPr>
        <w:t>。</w:t>
      </w:r>
    </w:p>
    <w:p w14:paraId="75DBDA8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8.2 </w:t>
      </w:r>
      <w:r>
        <w:rPr>
          <w:rFonts w:hint="default" w:ascii="宋体" w:hAnsi="宋体" w:eastAsia="宋体" w:cs="宋体"/>
          <w:color w:val="auto"/>
          <w:w w:val="100"/>
          <w:sz w:val="21"/>
          <w:szCs w:val="21"/>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highlight w:val="none"/>
        </w:rPr>
        <w:t>。</w:t>
      </w:r>
    </w:p>
    <w:p w14:paraId="619FCE3C">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8.3 </w:t>
      </w:r>
      <w:r>
        <w:rPr>
          <w:rFonts w:hint="eastAsia" w:ascii="宋体" w:hAnsi="宋体" w:eastAsia="宋体" w:cs="宋体"/>
          <w:b w:val="0"/>
          <w:bCs w:val="0"/>
          <w:color w:val="auto"/>
          <w:sz w:val="21"/>
          <w:szCs w:val="21"/>
          <w:highlight w:val="none"/>
        </w:rPr>
        <w:t>潜在投标人或利害关系人对本招标公告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招标文件有异议的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应当在招标投标相关法律法规规定的时间内通过电子交易系统</w:t>
      </w:r>
      <w:r>
        <w:rPr>
          <w:rFonts w:hint="eastAsia" w:ascii="宋体" w:hAnsi="宋体" w:eastAsia="宋体" w:cs="宋体"/>
          <w:b w:val="0"/>
          <w:bCs w:val="0"/>
          <w:color w:val="auto"/>
          <w:sz w:val="21"/>
          <w:szCs w:val="21"/>
          <w:highlight w:val="none"/>
          <w:u w:val="none"/>
          <w:lang w:val="en-US" w:eastAsia="zh-CN"/>
        </w:rPr>
        <w:t>向招标人</w:t>
      </w:r>
      <w:r>
        <w:rPr>
          <w:rFonts w:hint="eastAsia" w:ascii="宋体" w:hAnsi="宋体" w:eastAsia="宋体" w:cs="宋体"/>
          <w:b w:val="0"/>
          <w:bCs w:val="0"/>
          <w:color w:val="auto"/>
          <w:sz w:val="21"/>
          <w:szCs w:val="21"/>
          <w:highlight w:val="none"/>
        </w:rPr>
        <w:t>提出，具体按照</w:t>
      </w:r>
      <w:r>
        <w:rPr>
          <w:rFonts w:hint="default" w:ascii="Times New Roman" w:hAnsi="Times New Roman"/>
          <w:color w:val="auto"/>
          <w:szCs w:val="21"/>
          <w:highlight w:val="none"/>
          <w:u w:val="single"/>
          <w:lang w:val="en" w:eastAsia="zh-CN"/>
        </w:rPr>
        <w:t>广州交易集团有限公司（广州公共资源交易中心）</w:t>
      </w:r>
      <w:r>
        <w:rPr>
          <w:rFonts w:hint="eastAsia" w:ascii="宋体" w:hAnsi="宋体" w:eastAsia="宋体" w:cs="宋体"/>
          <w:b w:val="0"/>
          <w:bCs w:val="0"/>
          <w:color w:val="auto"/>
          <w:sz w:val="21"/>
          <w:szCs w:val="21"/>
          <w:highlight w:val="none"/>
          <w:u w:val="single"/>
          <w:lang w:val="en-US" w:eastAsia="zh-CN" w:bidi="ar-SA"/>
        </w:rPr>
        <w:t>网站</w:t>
      </w:r>
      <w:r>
        <w:rPr>
          <w:rFonts w:hint="eastAsia" w:ascii="宋体" w:hAnsi="宋体" w:eastAsia="宋体" w:cs="宋体"/>
          <w:b w:val="0"/>
          <w:bCs w:val="0"/>
          <w:color w:val="auto"/>
          <w:sz w:val="21"/>
          <w:szCs w:val="21"/>
          <w:highlight w:val="none"/>
        </w:rPr>
        <w:t>相关指南进行操作；尚未登记注册的，可</w:t>
      </w:r>
      <w:r>
        <w:rPr>
          <w:rFonts w:hint="eastAsia" w:ascii="宋体" w:hAnsi="宋体" w:eastAsia="宋体" w:cs="宋体"/>
          <w:b w:val="0"/>
          <w:bCs w:val="0"/>
          <w:color w:val="auto"/>
          <w:sz w:val="21"/>
          <w:szCs w:val="21"/>
          <w:highlight w:val="none"/>
          <w:u w:val="single"/>
          <w:lang w:val="en-US" w:eastAsia="zh-CN"/>
        </w:rPr>
        <w:t>向招标人书面提出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按照招标文件明确的其他方式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1"/>
          <w:szCs w:val="21"/>
          <w:highlight w:val="none"/>
          <w:lang w:eastAsia="zh-CN"/>
        </w:rPr>
        <w:t>行。</w:t>
      </w:r>
    </w:p>
    <w:p w14:paraId="0F90A8CD">
      <w:pPr>
        <w:spacing w:line="360" w:lineRule="auto"/>
        <w:ind w:left="424" w:leftChars="202"/>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异议受理部门：</w:t>
      </w:r>
      <w:r>
        <w:rPr>
          <w:rFonts w:hint="eastAsia" w:ascii="宋体" w:hAnsi="宋体" w:eastAsia="宋体" w:cs="宋体"/>
          <w:color w:val="auto"/>
          <w:sz w:val="21"/>
          <w:szCs w:val="21"/>
          <w:highlight w:val="none"/>
          <w:u w:val="single"/>
          <w:lang w:eastAsia="zh-CN"/>
        </w:rPr>
        <w:t>广州市广园市政建设有限公司</w:t>
      </w:r>
    </w:p>
    <w:p w14:paraId="08CB866A">
      <w:pPr>
        <w:spacing w:line="360" w:lineRule="auto"/>
        <w:ind w:left="424" w:leftChars="202"/>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异议受理电话：020-</w:t>
      </w:r>
      <w:r>
        <w:rPr>
          <w:rFonts w:hint="eastAsia" w:ascii="宋体" w:hAnsi="宋体" w:eastAsia="宋体" w:cs="宋体"/>
          <w:color w:val="auto"/>
          <w:sz w:val="21"/>
          <w:szCs w:val="21"/>
          <w:highlight w:val="none"/>
          <w:u w:val="single"/>
          <w:lang w:val="en-US" w:eastAsia="zh-CN"/>
        </w:rPr>
        <w:t>62655579</w:t>
      </w:r>
    </w:p>
    <w:p w14:paraId="33CC3189">
      <w:pPr>
        <w:spacing w:line="360" w:lineRule="auto"/>
        <w:ind w:left="424" w:left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地址：广州市越秀区站南路15号之一7楼</w:t>
      </w:r>
    </w:p>
    <w:p w14:paraId="7C9A6672">
      <w:pPr>
        <w:pStyle w:val="4"/>
        <w:bidi w:val="0"/>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bookmarkStart w:id="97" w:name="_Toc27994"/>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 xml:space="preserve">.4 </w:t>
      </w:r>
      <w:r>
        <w:rPr>
          <w:rFonts w:hint="eastAsia" w:ascii="宋体" w:hAnsi="宋体" w:eastAsia="宋体" w:cs="宋体"/>
          <w:b w:val="0"/>
          <w:bCs w:val="0"/>
          <w:color w:val="auto"/>
          <w:w w:val="100"/>
          <w:sz w:val="21"/>
          <w:szCs w:val="21"/>
          <w:highlight w:val="none"/>
          <w:lang w:val="en-US" w:eastAsia="zh-CN"/>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hint="default" w:ascii="宋体" w:hAnsi="宋体" w:eastAsia="宋体" w:cs="宋体"/>
          <w:b w:val="0"/>
          <w:bCs w:val="0"/>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bCs w:val="0"/>
          <w:color w:val="auto"/>
          <w:w w:val="100"/>
          <w:sz w:val="21"/>
          <w:szCs w:val="21"/>
          <w:highlight w:val="none"/>
          <w:lang w:val="en-US" w:eastAsia="zh-CN"/>
        </w:rPr>
        <w:t>同时将记录到广州市交通建设项目企业信息库诚信评价管理系统。</w:t>
      </w:r>
      <w:bookmarkEnd w:id="97"/>
    </w:p>
    <w:p w14:paraId="64A744ED">
      <w:pPr>
        <w:pStyle w:val="5"/>
        <w:bidi w:val="0"/>
        <w:rPr>
          <w:rFonts w:hint="eastAsia" w:ascii="宋体" w:hAnsi="宋体" w:eastAsia="宋体" w:cs="宋体"/>
          <w:b/>
          <w:bCs/>
          <w:color w:val="auto"/>
          <w:highlight w:val="none"/>
        </w:rPr>
      </w:pPr>
      <w:bookmarkStart w:id="98" w:name="_Toc11636"/>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rPr>
        <w:t>.其它事项</w:t>
      </w:r>
      <w:bookmarkEnd w:id="98"/>
    </w:p>
    <w:p w14:paraId="2E08C89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9.1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BAD2AE2">
      <w:pPr>
        <w:spacing w:line="360" w:lineRule="auto"/>
        <w:rPr>
          <w:rFonts w:hint="eastAsia"/>
          <w:color w:val="auto"/>
          <w:highlight w:val="none"/>
        </w:rPr>
      </w:pPr>
    </w:p>
    <w:p w14:paraId="6394BDD5">
      <w:pPr>
        <w:pStyle w:val="5"/>
        <w:bidi w:val="0"/>
        <w:rPr>
          <w:rFonts w:hint="eastAsia" w:ascii="宋体" w:hAnsi="宋体" w:eastAsia="宋体" w:cs="宋体"/>
          <w:b/>
          <w:bCs/>
          <w:color w:val="auto"/>
          <w:highlight w:val="none"/>
        </w:rPr>
      </w:pPr>
      <w:bookmarkStart w:id="99" w:name="bookmark9"/>
      <w:bookmarkEnd w:id="99"/>
      <w:bookmarkStart w:id="100" w:name="_Toc9802"/>
      <w:bookmarkStart w:id="101" w:name="_Toc15585"/>
      <w:bookmarkStart w:id="102" w:name="_Toc20345"/>
      <w:bookmarkStart w:id="103" w:name="_Toc13798"/>
      <w:bookmarkStart w:id="104" w:name="_Toc25287"/>
      <w:bookmarkStart w:id="105" w:name="_Toc26307"/>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rPr>
        <w:t>.联系方式</w:t>
      </w:r>
      <w:bookmarkEnd w:id="100"/>
      <w:bookmarkEnd w:id="101"/>
      <w:bookmarkEnd w:id="102"/>
      <w:bookmarkEnd w:id="103"/>
      <w:bookmarkEnd w:id="104"/>
      <w:bookmarkEnd w:id="105"/>
    </w:p>
    <w:p w14:paraId="3E16E02F">
      <w:pPr>
        <w:pStyle w:val="3"/>
        <w:tabs>
          <w:tab w:val="left" w:pos="1151"/>
          <w:tab w:val="left" w:pos="4228"/>
          <w:tab w:val="left" w:pos="4862"/>
          <w:tab w:val="left" w:pos="7942"/>
        </w:tabs>
        <w:kinsoku w:val="0"/>
        <w:overflowPunct w:val="0"/>
        <w:spacing w:line="240" w:lineRule="auto"/>
        <w:ind w:right="915"/>
        <w:jc w:val="both"/>
        <w:rPr>
          <w:rFonts w:hint="eastAsia" w:eastAsia="宋体"/>
          <w:color w:val="auto"/>
          <w:highlight w:val="none"/>
          <w:lang w:eastAsia="zh-CN"/>
        </w:rPr>
      </w:pPr>
      <w:r>
        <w:rPr>
          <w:color w:val="auto"/>
          <w:highlight w:val="none"/>
        </w:rPr>
        <w:t>招 标</w:t>
      </w:r>
      <w:r>
        <w:rPr>
          <w:color w:val="auto"/>
          <w:spacing w:val="-2"/>
          <w:highlight w:val="none"/>
        </w:rPr>
        <w:t xml:space="preserve"> </w:t>
      </w:r>
      <w:r>
        <w:rPr>
          <w:color w:val="auto"/>
          <w:highlight w:val="none"/>
        </w:rPr>
        <w:t>人：</w:t>
      </w:r>
      <w:r>
        <w:rPr>
          <w:rFonts w:hint="eastAsia" w:ascii="宋体" w:hAnsi="宋体" w:cs="宋体"/>
          <w:color w:val="auto"/>
          <w:kern w:val="0"/>
          <w:sz w:val="21"/>
          <w:szCs w:val="21"/>
          <w:highlight w:val="none"/>
          <w:u w:val="single"/>
          <w:lang w:eastAsia="zh-CN"/>
        </w:rPr>
        <w:t>广州市广园市政建设有限公司</w:t>
      </w:r>
    </w:p>
    <w:p w14:paraId="4D3BB70D">
      <w:pPr>
        <w:pStyle w:val="3"/>
        <w:tabs>
          <w:tab w:val="left" w:pos="1151"/>
          <w:tab w:val="left" w:pos="4228"/>
          <w:tab w:val="left" w:pos="4862"/>
          <w:tab w:val="left" w:pos="7942"/>
        </w:tabs>
        <w:kinsoku w:val="0"/>
        <w:overflowPunct w:val="0"/>
        <w:spacing w:line="240" w:lineRule="auto"/>
        <w:ind w:right="915"/>
        <w:jc w:val="both"/>
        <w:rPr>
          <w:rFonts w:hint="default" w:eastAsia="宋体"/>
          <w:color w:val="auto"/>
          <w:highlight w:val="none"/>
          <w:u w:val="single"/>
          <w:lang w:val="en-US" w:eastAsia="zh-CN"/>
        </w:rPr>
      </w:pPr>
      <w:r>
        <w:rPr>
          <w:color w:val="auto"/>
          <w:highlight w:val="none"/>
        </w:rPr>
        <w:t>地</w:t>
      </w:r>
      <w:r>
        <w:rPr>
          <w:rFonts w:hint="eastAsia"/>
          <w:color w:val="auto"/>
          <w:highlight w:val="none"/>
          <w:lang w:val="en-US" w:eastAsia="zh-CN"/>
        </w:rPr>
        <w:t xml:space="preserve">    </w:t>
      </w:r>
      <w:r>
        <w:rPr>
          <w:color w:val="auto"/>
          <w:highlight w:val="none"/>
        </w:rPr>
        <w:t>址：</w:t>
      </w:r>
      <w:r>
        <w:rPr>
          <w:rFonts w:hint="eastAsia"/>
          <w:color w:val="auto"/>
          <w:highlight w:val="none"/>
          <w:u w:val="single"/>
        </w:rPr>
        <w:t>广州市越秀区站南路15号之一7楼</w:t>
      </w:r>
    </w:p>
    <w:p w14:paraId="3B00B00D">
      <w:pPr>
        <w:pStyle w:val="3"/>
        <w:tabs>
          <w:tab w:val="left" w:pos="1151"/>
          <w:tab w:val="left" w:pos="4228"/>
          <w:tab w:val="left" w:pos="7942"/>
          <w:tab w:val="left" w:pos="9400"/>
        </w:tabs>
        <w:kinsoku w:val="0"/>
        <w:overflowPunct w:val="0"/>
        <w:spacing w:line="240" w:lineRule="auto"/>
        <w:ind w:right="915"/>
        <w:jc w:val="both"/>
        <w:rPr>
          <w:rFonts w:hint="eastAsia"/>
          <w:color w:val="auto"/>
          <w:highlight w:val="none"/>
          <w:u w:val="single"/>
          <w:lang w:eastAsia="zh-CN"/>
        </w:rPr>
      </w:pPr>
      <w:r>
        <w:rPr>
          <w:rFonts w:hint="eastAsia"/>
          <w:color w:val="auto"/>
          <w:highlight w:val="none"/>
          <w:u w:val="none"/>
          <w:lang w:eastAsia="zh-CN"/>
        </w:rPr>
        <w:t>联系人：</w:t>
      </w:r>
      <w:r>
        <w:rPr>
          <w:rFonts w:hint="eastAsia"/>
          <w:color w:val="auto"/>
          <w:highlight w:val="none"/>
          <w:u w:val="single"/>
          <w:lang w:val="en-US" w:eastAsia="zh-CN"/>
        </w:rPr>
        <w:t>舒</w:t>
      </w:r>
      <w:r>
        <w:rPr>
          <w:rFonts w:hint="eastAsia"/>
          <w:color w:val="auto"/>
          <w:highlight w:val="none"/>
          <w:u w:val="single"/>
          <w:lang w:eastAsia="zh-CN"/>
        </w:rPr>
        <w:t>工</w:t>
      </w:r>
    </w:p>
    <w:p w14:paraId="4265B2A8">
      <w:pPr>
        <w:pStyle w:val="3"/>
        <w:tabs>
          <w:tab w:val="left" w:pos="1151"/>
          <w:tab w:val="left" w:pos="4228"/>
          <w:tab w:val="left" w:pos="7942"/>
          <w:tab w:val="left" w:pos="9400"/>
        </w:tabs>
        <w:kinsoku w:val="0"/>
        <w:overflowPunct w:val="0"/>
        <w:spacing w:line="240" w:lineRule="auto"/>
        <w:ind w:right="915"/>
        <w:jc w:val="both"/>
        <w:rPr>
          <w:rFonts w:hint="default" w:eastAsia="宋体"/>
          <w:color w:val="auto"/>
          <w:highlight w:val="none"/>
          <w:lang w:val="en-US" w:eastAsia="zh-CN"/>
        </w:rPr>
      </w:pPr>
      <w:r>
        <w:rPr>
          <w:rFonts w:hint="eastAsia"/>
          <w:color w:val="auto"/>
          <w:highlight w:val="none"/>
          <w:lang w:eastAsia="zh-CN"/>
        </w:rPr>
        <w:t>联系电话</w:t>
      </w:r>
      <w:r>
        <w:rPr>
          <w:color w:val="auto"/>
          <w:highlight w:val="none"/>
        </w:rPr>
        <w:t>：</w:t>
      </w:r>
      <w:r>
        <w:rPr>
          <w:rFonts w:hint="eastAsia"/>
          <w:color w:val="auto"/>
          <w:highlight w:val="none"/>
          <w:u w:val="single"/>
          <w:lang w:val="en-US" w:eastAsia="zh-CN"/>
        </w:rPr>
        <w:t>020-</w:t>
      </w:r>
      <w:r>
        <w:rPr>
          <w:rFonts w:hint="eastAsia"/>
          <w:color w:val="auto"/>
          <w:highlight w:val="none"/>
          <w:u w:val="single"/>
        </w:rPr>
        <w:t>626555</w:t>
      </w:r>
      <w:r>
        <w:rPr>
          <w:rFonts w:hint="eastAsia"/>
          <w:color w:val="auto"/>
          <w:highlight w:val="none"/>
          <w:u w:val="single"/>
          <w:lang w:val="en-US" w:eastAsia="zh-CN"/>
        </w:rPr>
        <w:t>79</w:t>
      </w:r>
    </w:p>
    <w:p w14:paraId="1CC7A149">
      <w:pPr>
        <w:pStyle w:val="3"/>
        <w:tabs>
          <w:tab w:val="left" w:pos="1151"/>
          <w:tab w:val="left" w:pos="4228"/>
          <w:tab w:val="left" w:pos="4862"/>
          <w:tab w:val="left" w:pos="7942"/>
        </w:tabs>
        <w:kinsoku w:val="0"/>
        <w:overflowPunct w:val="0"/>
        <w:spacing w:line="240" w:lineRule="auto"/>
        <w:ind w:right="915"/>
        <w:jc w:val="both"/>
        <w:rPr>
          <w:rFonts w:hint="eastAsia"/>
          <w:color w:val="auto"/>
          <w:highlight w:val="none"/>
          <w:lang w:val="en-US" w:eastAsia="zh-CN"/>
        </w:rPr>
      </w:pPr>
      <w:r>
        <w:rPr>
          <w:rFonts w:hint="eastAsia"/>
          <w:color w:val="auto"/>
          <w:highlight w:val="none"/>
          <w:lang w:val="en-US" w:eastAsia="zh-CN"/>
        </w:rPr>
        <w:t xml:space="preserve"> </w:t>
      </w:r>
    </w:p>
    <w:p w14:paraId="2AE538D7">
      <w:pPr>
        <w:pStyle w:val="3"/>
        <w:tabs>
          <w:tab w:val="left" w:pos="1151"/>
          <w:tab w:val="left" w:pos="4228"/>
          <w:tab w:val="left" w:pos="4862"/>
          <w:tab w:val="left" w:pos="7942"/>
        </w:tabs>
        <w:kinsoku w:val="0"/>
        <w:overflowPunct w:val="0"/>
        <w:spacing w:line="240" w:lineRule="auto"/>
        <w:ind w:right="915"/>
        <w:jc w:val="both"/>
        <w:rPr>
          <w:rFonts w:hint="eastAsia" w:eastAsia="宋体"/>
          <w:color w:val="auto"/>
          <w:highlight w:val="none"/>
          <w:u w:val="single"/>
          <w:lang w:val="en-US" w:eastAsia="zh-CN"/>
        </w:rPr>
      </w:pPr>
      <w:r>
        <w:rPr>
          <w:color w:val="auto"/>
          <w:highlight w:val="none"/>
        </w:rPr>
        <w:t>招</w:t>
      </w:r>
      <w:r>
        <w:rPr>
          <w:rFonts w:hint="eastAsia"/>
          <w:color w:val="auto"/>
          <w:highlight w:val="none"/>
          <w:lang w:eastAsia="zh-CN"/>
        </w:rPr>
        <w:t>标代理</w:t>
      </w:r>
      <w:r>
        <w:rPr>
          <w:rFonts w:hint="eastAsia"/>
          <w:color w:val="auto"/>
          <w:highlight w:val="none"/>
          <w:lang w:val="en-US" w:eastAsia="zh-CN"/>
        </w:rPr>
        <w:t>机构</w:t>
      </w:r>
      <w:r>
        <w:rPr>
          <w:color w:val="auto"/>
          <w:highlight w:val="none"/>
        </w:rPr>
        <w:t>：</w:t>
      </w:r>
      <w:r>
        <w:rPr>
          <w:rFonts w:hint="eastAsia" w:ascii="宋体" w:hAnsi="宋体"/>
          <w:color w:val="auto"/>
          <w:sz w:val="21"/>
          <w:szCs w:val="21"/>
          <w:highlight w:val="none"/>
          <w:u w:val="single"/>
          <w:lang w:eastAsia="zh-CN"/>
        </w:rPr>
        <w:t>广州市广园工程技术咨询有限公司</w:t>
      </w:r>
    </w:p>
    <w:p w14:paraId="7F704261">
      <w:pPr>
        <w:pStyle w:val="3"/>
        <w:tabs>
          <w:tab w:val="left" w:pos="1151"/>
          <w:tab w:val="left" w:pos="4228"/>
          <w:tab w:val="left" w:pos="4862"/>
          <w:tab w:val="left" w:pos="7942"/>
        </w:tabs>
        <w:kinsoku w:val="0"/>
        <w:overflowPunct w:val="0"/>
        <w:spacing w:line="240" w:lineRule="auto"/>
        <w:ind w:right="915"/>
        <w:jc w:val="both"/>
        <w:rPr>
          <w:rFonts w:hint="default" w:eastAsia="宋体"/>
          <w:color w:val="auto"/>
          <w:highlight w:val="none"/>
          <w:u w:val="single"/>
          <w:lang w:val="en-US" w:eastAsia="zh-CN"/>
        </w:rPr>
      </w:pPr>
      <w:r>
        <w:rPr>
          <w:color w:val="auto"/>
          <w:highlight w:val="none"/>
        </w:rPr>
        <w:t>地</w:t>
      </w:r>
      <w:r>
        <w:rPr>
          <w:rFonts w:hint="eastAsia"/>
          <w:color w:val="auto"/>
          <w:highlight w:val="none"/>
          <w:lang w:val="en-US" w:eastAsia="zh-CN"/>
        </w:rPr>
        <w:t xml:space="preserve">    </w:t>
      </w:r>
      <w:r>
        <w:rPr>
          <w:color w:val="auto"/>
          <w:highlight w:val="none"/>
        </w:rPr>
        <w:t>址：</w:t>
      </w:r>
      <w:r>
        <w:rPr>
          <w:rFonts w:hint="eastAsia"/>
          <w:color w:val="auto"/>
          <w:highlight w:val="none"/>
          <w:u w:val="single"/>
        </w:rPr>
        <w:t>广州市越秀区站南路15号之一512</w:t>
      </w:r>
    </w:p>
    <w:p w14:paraId="61E0D5CA">
      <w:pPr>
        <w:pStyle w:val="3"/>
        <w:tabs>
          <w:tab w:val="left" w:pos="1151"/>
          <w:tab w:val="left" w:pos="4228"/>
          <w:tab w:val="left" w:pos="7942"/>
          <w:tab w:val="left" w:pos="9400"/>
        </w:tabs>
        <w:kinsoku w:val="0"/>
        <w:overflowPunct w:val="0"/>
        <w:spacing w:line="240" w:lineRule="auto"/>
        <w:ind w:right="915"/>
        <w:jc w:val="both"/>
        <w:rPr>
          <w:rFonts w:hint="default"/>
          <w:color w:val="auto"/>
          <w:highlight w:val="none"/>
          <w:u w:val="single"/>
          <w:lang w:val="en-US" w:eastAsia="zh-CN"/>
        </w:rPr>
      </w:pPr>
      <w:r>
        <w:rPr>
          <w:rFonts w:hint="eastAsia"/>
          <w:color w:val="auto"/>
          <w:highlight w:val="none"/>
          <w:u w:val="none"/>
          <w:lang w:eastAsia="zh-CN"/>
        </w:rPr>
        <w:t>联系人：</w:t>
      </w:r>
      <w:r>
        <w:rPr>
          <w:rFonts w:hint="eastAsia"/>
          <w:color w:val="auto"/>
          <w:highlight w:val="none"/>
          <w:u w:val="single"/>
          <w:lang w:val="en-US" w:eastAsia="zh-CN"/>
        </w:rPr>
        <w:t>黄</w:t>
      </w:r>
      <w:r>
        <w:rPr>
          <w:rFonts w:hint="eastAsia"/>
          <w:color w:val="auto"/>
          <w:highlight w:val="none"/>
          <w:u w:val="single"/>
          <w:lang w:eastAsia="zh-CN"/>
        </w:rPr>
        <w:t>工、</w:t>
      </w:r>
      <w:r>
        <w:rPr>
          <w:rFonts w:hint="eastAsia"/>
          <w:color w:val="auto"/>
          <w:highlight w:val="none"/>
          <w:u w:val="single"/>
          <w:lang w:val="en-US" w:eastAsia="zh-CN"/>
        </w:rPr>
        <w:t>潘工</w:t>
      </w:r>
    </w:p>
    <w:p w14:paraId="245BE5CB">
      <w:pPr>
        <w:pStyle w:val="3"/>
        <w:tabs>
          <w:tab w:val="left" w:pos="1151"/>
          <w:tab w:val="left" w:pos="4228"/>
          <w:tab w:val="left" w:pos="7942"/>
          <w:tab w:val="left" w:pos="9400"/>
        </w:tabs>
        <w:kinsoku w:val="0"/>
        <w:overflowPunct w:val="0"/>
        <w:spacing w:line="240" w:lineRule="auto"/>
        <w:ind w:right="915"/>
        <w:jc w:val="both"/>
        <w:rPr>
          <w:rFonts w:hint="eastAsia" w:eastAsia="宋体"/>
          <w:color w:val="auto"/>
          <w:highlight w:val="none"/>
          <w:u w:val="single"/>
          <w:lang w:val="en-US" w:eastAsia="zh-CN"/>
        </w:rPr>
      </w:pPr>
      <w:r>
        <w:rPr>
          <w:rFonts w:hint="eastAsia"/>
          <w:color w:val="auto"/>
          <w:highlight w:val="none"/>
          <w:lang w:eastAsia="zh-CN"/>
        </w:rPr>
        <w:t>联系电话</w:t>
      </w:r>
      <w:r>
        <w:rPr>
          <w:color w:val="auto"/>
          <w:highlight w:val="none"/>
        </w:rPr>
        <w:t>：</w:t>
      </w:r>
      <w:r>
        <w:rPr>
          <w:rFonts w:hint="eastAsia"/>
          <w:color w:val="auto"/>
          <w:highlight w:val="none"/>
          <w:u w:val="single"/>
        </w:rPr>
        <w:t>020-6265558</w:t>
      </w:r>
      <w:r>
        <w:rPr>
          <w:rFonts w:hint="eastAsia"/>
          <w:color w:val="auto"/>
          <w:highlight w:val="none"/>
          <w:u w:val="single"/>
          <w:lang w:val="en-US" w:eastAsia="zh-CN"/>
        </w:rPr>
        <w:t>1</w:t>
      </w:r>
    </w:p>
    <w:p w14:paraId="0002A51A">
      <w:pPr>
        <w:pStyle w:val="3"/>
        <w:tabs>
          <w:tab w:val="left" w:pos="1151"/>
          <w:tab w:val="left" w:pos="4228"/>
          <w:tab w:val="left" w:pos="4862"/>
          <w:tab w:val="left" w:pos="7942"/>
        </w:tabs>
        <w:kinsoku w:val="0"/>
        <w:overflowPunct w:val="0"/>
        <w:spacing w:line="240" w:lineRule="auto"/>
        <w:ind w:right="915"/>
        <w:jc w:val="both"/>
        <w:rPr>
          <w:color w:val="auto"/>
          <w:highlight w:val="none"/>
        </w:rPr>
      </w:pPr>
    </w:p>
    <w:p w14:paraId="790BACFF">
      <w:pPr>
        <w:pStyle w:val="3"/>
        <w:tabs>
          <w:tab w:val="left" w:pos="1151"/>
          <w:tab w:val="left" w:pos="4228"/>
          <w:tab w:val="left" w:pos="4862"/>
          <w:tab w:val="left" w:pos="7942"/>
        </w:tabs>
        <w:kinsoku w:val="0"/>
        <w:overflowPunct w:val="0"/>
        <w:spacing w:line="240" w:lineRule="auto"/>
        <w:ind w:right="915"/>
        <w:jc w:val="both"/>
        <w:rPr>
          <w:rFonts w:hint="default"/>
          <w:color w:val="auto"/>
          <w:highlight w:val="none"/>
          <w:u w:val="single"/>
          <w:lang w:val="en-US" w:eastAsia="zh-CN"/>
        </w:rPr>
      </w:pPr>
      <w:r>
        <w:rPr>
          <w:color w:val="auto"/>
          <w:highlight w:val="none"/>
        </w:rPr>
        <w:t>招标</w:t>
      </w:r>
      <w:r>
        <w:rPr>
          <w:rFonts w:hint="eastAsia"/>
          <w:color w:val="auto"/>
          <w:highlight w:val="none"/>
          <w:lang w:eastAsia="zh-CN"/>
        </w:rPr>
        <w:t>管理机构</w:t>
      </w:r>
      <w:r>
        <w:rPr>
          <w:color w:val="auto"/>
          <w:highlight w:val="none"/>
        </w:rPr>
        <w:t>：</w:t>
      </w:r>
      <w:r>
        <w:rPr>
          <w:rFonts w:hint="eastAsia"/>
          <w:color w:val="auto"/>
          <w:highlight w:val="none"/>
          <w:u w:val="single"/>
          <w:lang w:eastAsia="zh-CN"/>
        </w:rPr>
        <w:t>广州市天河区建设工程招标管理办公室</w:t>
      </w:r>
    </w:p>
    <w:p w14:paraId="0B763F3E">
      <w:pPr>
        <w:pStyle w:val="3"/>
        <w:tabs>
          <w:tab w:val="left" w:pos="1151"/>
          <w:tab w:val="left" w:pos="4228"/>
          <w:tab w:val="left" w:pos="4862"/>
          <w:tab w:val="left" w:pos="7942"/>
        </w:tabs>
        <w:kinsoku w:val="0"/>
        <w:overflowPunct w:val="0"/>
        <w:spacing w:line="240" w:lineRule="auto"/>
        <w:ind w:right="915"/>
        <w:jc w:val="both"/>
        <w:rPr>
          <w:rFonts w:hint="default" w:eastAsia="宋体"/>
          <w:color w:val="auto"/>
          <w:highlight w:val="none"/>
          <w:u w:val="single"/>
          <w:lang w:val="en-US" w:eastAsia="zh-CN"/>
        </w:rPr>
      </w:pPr>
      <w:r>
        <w:rPr>
          <w:color w:val="auto"/>
          <w:highlight w:val="none"/>
        </w:rPr>
        <w:t>地</w:t>
      </w:r>
      <w:r>
        <w:rPr>
          <w:rFonts w:hint="eastAsia"/>
          <w:color w:val="auto"/>
          <w:highlight w:val="none"/>
          <w:lang w:val="en-US" w:eastAsia="zh-CN"/>
        </w:rPr>
        <w:t xml:space="preserve">    </w:t>
      </w:r>
      <w:r>
        <w:rPr>
          <w:color w:val="auto"/>
          <w:highlight w:val="none"/>
        </w:rPr>
        <w:t>址：</w:t>
      </w:r>
      <w:r>
        <w:rPr>
          <w:rFonts w:hint="eastAsia"/>
          <w:color w:val="auto"/>
          <w:highlight w:val="none"/>
          <w:u w:val="single"/>
        </w:rPr>
        <w:t>广州市天河区黄埔大道中166号305室</w:t>
      </w:r>
    </w:p>
    <w:p w14:paraId="3F23D1FB">
      <w:pPr>
        <w:spacing w:line="240" w:lineRule="auto"/>
        <w:jc w:val="both"/>
        <w:rPr>
          <w:rFonts w:hint="eastAsia"/>
          <w:color w:val="auto"/>
          <w:highlight w:val="none"/>
        </w:rPr>
      </w:pPr>
      <w:r>
        <w:rPr>
          <w:rFonts w:hint="eastAsia"/>
          <w:color w:val="auto"/>
          <w:highlight w:val="none"/>
          <w:lang w:eastAsia="zh-CN"/>
        </w:rPr>
        <w:t>电</w:t>
      </w:r>
      <w:r>
        <w:rPr>
          <w:rFonts w:hint="eastAsia"/>
          <w:color w:val="auto"/>
          <w:highlight w:val="none"/>
          <w:lang w:val="en-US" w:eastAsia="zh-CN"/>
        </w:rPr>
        <w:t xml:space="preserve">    </w:t>
      </w:r>
      <w:r>
        <w:rPr>
          <w:rFonts w:hint="eastAsia"/>
          <w:color w:val="auto"/>
          <w:highlight w:val="none"/>
          <w:lang w:eastAsia="zh-CN"/>
        </w:rPr>
        <w:t>话</w:t>
      </w:r>
      <w:r>
        <w:rPr>
          <w:color w:val="auto"/>
          <w:highlight w:val="none"/>
        </w:rPr>
        <w:t>：</w:t>
      </w:r>
      <w:r>
        <w:rPr>
          <w:rFonts w:hint="eastAsia"/>
          <w:color w:val="auto"/>
          <w:highlight w:val="none"/>
          <w:u w:val="single"/>
        </w:rPr>
        <w:t>020-85536908</w:t>
      </w:r>
    </w:p>
    <w:p w14:paraId="22EFFB9A">
      <w:pPr>
        <w:spacing w:line="360" w:lineRule="auto"/>
        <w:ind w:firstLine="210" w:firstLineChars="100"/>
        <w:jc w:val="right"/>
        <w:rPr>
          <w:rFonts w:hint="eastAsia" w:ascii="宋体" w:hAnsi="宋体" w:eastAsia="宋体" w:cs="Times New Roman"/>
          <w:color w:val="auto"/>
          <w:sz w:val="21"/>
          <w:highlight w:val="none"/>
          <w:u w:val="single"/>
          <w:lang w:val="en-US" w:eastAsia="zh-CN" w:bidi="ar-SA"/>
        </w:rPr>
      </w:pPr>
    </w:p>
    <w:p w14:paraId="0034BB2B">
      <w:pPr>
        <w:spacing w:line="360" w:lineRule="auto"/>
        <w:ind w:firstLine="0" w:firstLineChars="0"/>
        <w:jc w:val="right"/>
        <w:rPr>
          <w:rFonts w:hint="eastAsia" w:ascii="宋体" w:hAnsi="宋体" w:eastAsia="宋体" w:cs="Times New Roman"/>
          <w:color w:val="auto"/>
          <w:sz w:val="21"/>
          <w:highlight w:val="none"/>
          <w:u w:val="none"/>
          <w:lang w:val="en-US" w:eastAsia="zh-CN" w:bidi="ar-SA"/>
        </w:rPr>
      </w:pPr>
      <w:r>
        <w:rPr>
          <w:rFonts w:hint="eastAsia" w:ascii="宋体" w:hAnsi="宋体" w:eastAsia="宋体" w:cs="Times New Roman"/>
          <w:color w:val="auto"/>
          <w:sz w:val="21"/>
          <w:highlight w:val="none"/>
          <w:u w:val="single"/>
          <w:lang w:val="en-US" w:eastAsia="zh-CN" w:bidi="ar-SA"/>
        </w:rPr>
        <w:t>2025</w:t>
      </w:r>
      <w:r>
        <w:rPr>
          <w:rFonts w:hint="eastAsia" w:ascii="宋体" w:hAnsi="宋体" w:eastAsia="宋体" w:cs="Times New Roman"/>
          <w:color w:val="auto"/>
          <w:sz w:val="21"/>
          <w:highlight w:val="none"/>
          <w:u w:val="none"/>
          <w:lang w:val="en-US" w:eastAsia="zh-CN" w:bidi="ar-SA"/>
        </w:rPr>
        <w:t>年</w:t>
      </w:r>
      <w:r>
        <w:rPr>
          <w:rFonts w:hint="eastAsia" w:ascii="宋体" w:hAnsi="宋体" w:eastAsia="宋体" w:cs="Times New Roman"/>
          <w:color w:val="auto"/>
          <w:sz w:val="21"/>
          <w:highlight w:val="none"/>
          <w:u w:val="single"/>
          <w:lang w:val="en-US" w:eastAsia="zh-CN" w:bidi="ar-SA"/>
        </w:rPr>
        <w:t>9</w:t>
      </w:r>
      <w:r>
        <w:rPr>
          <w:rFonts w:hint="eastAsia" w:ascii="宋体" w:hAnsi="宋体" w:eastAsia="宋体" w:cs="Times New Roman"/>
          <w:color w:val="auto"/>
          <w:sz w:val="21"/>
          <w:highlight w:val="none"/>
          <w:u w:val="none"/>
          <w:lang w:val="en-US" w:eastAsia="zh-CN" w:bidi="ar-SA"/>
        </w:rPr>
        <w:t>月</w:t>
      </w:r>
      <w:r>
        <w:rPr>
          <w:rFonts w:hint="eastAsia" w:ascii="宋体" w:hAnsi="宋体" w:eastAsia="宋体" w:cs="Times New Roman"/>
          <w:color w:val="auto"/>
          <w:sz w:val="21"/>
          <w:highlight w:val="none"/>
          <w:u w:val="single"/>
          <w:lang w:val="en-US" w:eastAsia="zh-CN" w:bidi="ar-SA"/>
        </w:rPr>
        <w:t xml:space="preserve">  </w:t>
      </w:r>
      <w:r>
        <w:rPr>
          <w:rFonts w:hint="eastAsia" w:ascii="宋体" w:hAnsi="宋体" w:eastAsia="宋体" w:cs="Times New Roman"/>
          <w:color w:val="auto"/>
          <w:sz w:val="21"/>
          <w:highlight w:val="none"/>
          <w:u w:val="none"/>
          <w:lang w:val="en-US" w:eastAsia="zh-CN" w:bidi="ar-SA"/>
        </w:rPr>
        <w:t>日</w:t>
      </w:r>
      <w:bookmarkEnd w:id="23"/>
      <w:bookmarkEnd w:id="24"/>
      <w:bookmarkEnd w:id="25"/>
      <w:bookmarkEnd w:id="26"/>
      <w:bookmarkEnd w:id="27"/>
      <w:bookmarkEnd w:id="28"/>
      <w:bookmarkEnd w:id="29"/>
      <w:bookmarkEnd w:id="30"/>
      <w:bookmarkEnd w:id="31"/>
      <w:bookmarkEnd w:id="32"/>
    </w:p>
    <w:p w14:paraId="261016B3">
      <w:bookmarkStart w:id="106" w:name="_GoBack"/>
      <w:bookmarkEnd w:id="106"/>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B6B3B"/>
    <w:rsid w:val="338B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9"/>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line="360" w:lineRule="auto"/>
      <w:outlineLvl w:val="2"/>
    </w:pPr>
    <w:rPr>
      <w:rFonts w:ascii="Times New Roman" w:hAnsi="Times New Roman" w:eastAsia="宋体"/>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Cs w:val="22"/>
    </w:rPr>
  </w:style>
  <w:style w:type="paragraph" w:styleId="3">
    <w:name w:val="Body Text"/>
    <w:basedOn w:val="1"/>
    <w:next w:val="1"/>
    <w:qFormat/>
    <w:uiPriority w:val="0"/>
    <w:pPr>
      <w:spacing w:after="120"/>
    </w:pPr>
    <w:rPr>
      <w:rFonts w:ascii="Times New Roman" w:hAnsi="Times New Roman" w:eastAsia="宋体"/>
      <w:szCs w:val="24"/>
    </w:rPr>
  </w:style>
  <w:style w:type="paragraph" w:styleId="6">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character" w:customStyle="1" w:styleId="9">
    <w:name w:val="标题 2 Char"/>
    <w:link w:val="4"/>
    <w:qFormat/>
    <w:locked/>
    <w:uiPriority w:val="0"/>
    <w:rPr>
      <w:rFonts w:ascii="Arial" w:hAnsi="Arial" w:eastAsia="黑体"/>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2025-09-08T03:17:00Z</dcterms:created>
  <dc:creator>林仲亨</dc:creator>
  <cp:lastModifiedBy>林仲亨</cp:lastModifiedBy>
  <dcterms:modified xsi:type="dcterms:W3CDTF">2025-09-08T03:18:20Z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9A0F17E3F7F542B383517E05C30044AA_11</vt:lpwstr>
  </property>
  <property fmtid="{D5CDD505-2E9C-101B-9397-08002B2CF9AE}" pid="4" name="KSOTemplateDocerSaveRecord">
    <vt:lpwstr>eyJoZGlkIjoiMjVmNjRjYzA0ZmRiODUxMjVkZjEwMzAxMWQyZGNiNGUiLCJ1c2VySWQiOiIyMzQ2Nzk2NDMifQ==</vt:lpwstr>
  </property>
</Properties>
</file>