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02DE67">
      <w:pPr>
        <w:spacing w:line="360" w:lineRule="auto"/>
        <w:jc w:val="left"/>
        <w:rPr>
          <w:rFonts w:ascii="黑体" w:eastAsia="黑体"/>
          <w:bCs/>
          <w:sz w:val="28"/>
          <w:szCs w:val="28"/>
          <w:highlight w:val="none"/>
        </w:rPr>
      </w:pPr>
      <w:bookmarkStart w:id="762" w:name="_GoBack"/>
      <w:bookmarkEnd w:id="762"/>
      <w:r>
        <w:rPr>
          <w:rFonts w:hint="eastAsia" w:ascii="黑体" w:eastAsia="黑体"/>
          <w:bCs/>
          <w:sz w:val="28"/>
          <w:szCs w:val="28"/>
          <w:highlight w:val="none"/>
        </w:rPr>
        <w:t>甲方合同编号：</w:t>
      </w:r>
    </w:p>
    <w:p w14:paraId="2663A138">
      <w:pPr>
        <w:spacing w:line="360" w:lineRule="auto"/>
        <w:jc w:val="left"/>
        <w:rPr>
          <w:rFonts w:eastAsia="华文中宋"/>
          <w:b/>
          <w:sz w:val="52"/>
          <w:szCs w:val="52"/>
          <w:highlight w:val="none"/>
        </w:rPr>
      </w:pPr>
      <w:r>
        <w:rPr>
          <w:rFonts w:hint="eastAsia" w:ascii="黑体" w:eastAsia="黑体"/>
          <w:bCs/>
          <w:sz w:val="28"/>
          <w:szCs w:val="28"/>
          <w:highlight w:val="none"/>
        </w:rPr>
        <w:t>乙方合同编号：</w:t>
      </w:r>
    </w:p>
    <w:p w14:paraId="32BF6379">
      <w:pPr>
        <w:jc w:val="center"/>
        <w:rPr>
          <w:rFonts w:ascii="黑体" w:hAnsi="黑体" w:eastAsia="黑体" w:cs="黑体"/>
          <w:sz w:val="52"/>
          <w:szCs w:val="52"/>
          <w:highlight w:val="none"/>
        </w:rPr>
      </w:pPr>
    </w:p>
    <w:p w14:paraId="6C6EE2C1">
      <w:pPr>
        <w:jc w:val="center"/>
        <w:rPr>
          <w:rFonts w:ascii="黑体" w:hAnsi="黑体" w:eastAsia="黑体" w:cs="黑体"/>
          <w:sz w:val="52"/>
          <w:szCs w:val="52"/>
          <w:highlight w:val="none"/>
        </w:rPr>
      </w:pPr>
    </w:p>
    <w:p w14:paraId="17C97351">
      <w:pPr>
        <w:jc w:val="center"/>
        <w:rPr>
          <w:rFonts w:ascii="黑体" w:hAnsi="黑体" w:eastAsia="黑体" w:cs="黑体"/>
          <w:sz w:val="52"/>
          <w:szCs w:val="52"/>
          <w:highlight w:val="none"/>
        </w:rPr>
      </w:pPr>
    </w:p>
    <w:p w14:paraId="7874F055">
      <w:pPr>
        <w:spacing w:line="360" w:lineRule="auto"/>
        <w:jc w:val="center"/>
        <w:rPr>
          <w:rFonts w:ascii="黑体" w:eastAsia="黑体"/>
          <w:sz w:val="48"/>
          <w:szCs w:val="48"/>
          <w:highlight w:val="none"/>
        </w:rPr>
      </w:pPr>
      <w:r>
        <w:rPr>
          <w:rFonts w:hint="eastAsia" w:ascii="黑体" w:hAnsi="黑体" w:eastAsia="黑体" w:cs="黑体"/>
          <w:sz w:val="52"/>
          <w:szCs w:val="52"/>
          <w:highlight w:val="none"/>
        </w:rPr>
        <w:t>云港城项目</w:t>
      </w:r>
      <w:r>
        <w:rPr>
          <w:rFonts w:hint="eastAsia" w:ascii="黑体" w:eastAsia="黑体"/>
          <w:sz w:val="52"/>
          <w:szCs w:val="52"/>
          <w:highlight w:val="none"/>
        </w:rPr>
        <w:t>4#地块</w:t>
      </w:r>
      <w:r>
        <w:rPr>
          <w:rFonts w:hint="eastAsia" w:ascii="黑体" w:eastAsia="黑体"/>
          <w:sz w:val="48"/>
          <w:szCs w:val="48"/>
          <w:highlight w:val="none"/>
        </w:rPr>
        <w:t>工程施工总承包</w:t>
      </w:r>
    </w:p>
    <w:p w14:paraId="219BF24D">
      <w:pPr>
        <w:spacing w:line="360" w:lineRule="auto"/>
        <w:jc w:val="center"/>
        <w:rPr>
          <w:rFonts w:eastAsia="黑体"/>
          <w:sz w:val="48"/>
          <w:szCs w:val="48"/>
          <w:highlight w:val="none"/>
        </w:rPr>
      </w:pPr>
      <w:r>
        <w:rPr>
          <w:rFonts w:hint="eastAsia" w:ascii="黑体" w:eastAsia="黑体"/>
          <w:sz w:val="48"/>
          <w:szCs w:val="48"/>
          <w:highlight w:val="none"/>
        </w:rPr>
        <w:t>合同补充协议</w:t>
      </w:r>
    </w:p>
    <w:p w14:paraId="43718109">
      <w:pPr>
        <w:jc w:val="center"/>
        <w:rPr>
          <w:rFonts w:ascii="黑体" w:eastAsia="黑体"/>
          <w:sz w:val="52"/>
          <w:szCs w:val="52"/>
          <w:highlight w:val="none"/>
        </w:rPr>
      </w:pPr>
    </w:p>
    <w:p w14:paraId="740CEDE5">
      <w:pPr>
        <w:ind w:right="-819" w:rightChars="-390"/>
        <w:jc w:val="center"/>
        <w:rPr>
          <w:rFonts w:ascii="黑体" w:eastAsia="黑体"/>
          <w:sz w:val="52"/>
          <w:szCs w:val="52"/>
          <w:highlight w:val="none"/>
        </w:rPr>
      </w:pPr>
      <w:r>
        <w:rPr>
          <w:rFonts w:eastAsia="华文中宋"/>
          <w:sz w:val="52"/>
          <w:szCs w:val="52"/>
          <w:highlight w:val="none"/>
        </w:rPr>
        <w:br w:type="textWrapping"/>
      </w:r>
    </w:p>
    <w:p w14:paraId="729DF22F">
      <w:pPr>
        <w:jc w:val="center"/>
        <w:rPr>
          <w:rFonts w:eastAsia="楷体_GB2312"/>
          <w:b/>
          <w:sz w:val="72"/>
          <w:szCs w:val="72"/>
          <w:highlight w:val="none"/>
        </w:rPr>
      </w:pPr>
    </w:p>
    <w:p w14:paraId="13583DFE">
      <w:pPr>
        <w:rPr>
          <w:b/>
          <w:sz w:val="28"/>
          <w:szCs w:val="28"/>
          <w:highlight w:val="none"/>
        </w:rPr>
      </w:pPr>
    </w:p>
    <w:p w14:paraId="2C2DB801">
      <w:pPr>
        <w:spacing w:line="360" w:lineRule="auto"/>
        <w:ind w:right="-819" w:rightChars="-390"/>
        <w:rPr>
          <w:rFonts w:ascii="黑体" w:hAnsi="宋体" w:eastAsia="黑体"/>
          <w:sz w:val="32"/>
          <w:szCs w:val="32"/>
          <w:highlight w:val="none"/>
          <w:u w:val="single"/>
        </w:rPr>
      </w:pPr>
      <w:r>
        <w:rPr>
          <w:rFonts w:hint="eastAsia" w:ascii="黑体" w:hAnsi="宋体" w:eastAsia="黑体"/>
          <w:sz w:val="32"/>
          <w:szCs w:val="32"/>
          <w:highlight w:val="none"/>
        </w:rPr>
        <w:t>工</w:t>
      </w:r>
      <w:r>
        <w:rPr>
          <w:rFonts w:ascii="黑体" w:hAnsi="宋体" w:eastAsia="黑体"/>
          <w:sz w:val="32"/>
          <w:szCs w:val="32"/>
          <w:highlight w:val="none"/>
        </w:rPr>
        <w:t xml:space="preserve"> </w:t>
      </w:r>
      <w:r>
        <w:rPr>
          <w:rFonts w:hint="eastAsia" w:ascii="黑体" w:hAnsi="宋体" w:eastAsia="黑体"/>
          <w:sz w:val="32"/>
          <w:szCs w:val="32"/>
          <w:highlight w:val="none"/>
        </w:rPr>
        <w:t>程</w:t>
      </w:r>
      <w:r>
        <w:rPr>
          <w:rFonts w:ascii="黑体" w:hAnsi="宋体" w:eastAsia="黑体"/>
          <w:sz w:val="32"/>
          <w:szCs w:val="32"/>
          <w:highlight w:val="none"/>
        </w:rPr>
        <w:t xml:space="preserve"> </w:t>
      </w:r>
      <w:r>
        <w:rPr>
          <w:rFonts w:hint="eastAsia" w:ascii="黑体" w:hAnsi="宋体" w:eastAsia="黑体"/>
          <w:sz w:val="32"/>
          <w:szCs w:val="32"/>
          <w:highlight w:val="none"/>
        </w:rPr>
        <w:t>名</w:t>
      </w:r>
      <w:r>
        <w:rPr>
          <w:rFonts w:ascii="黑体" w:hAnsi="宋体" w:eastAsia="黑体"/>
          <w:sz w:val="32"/>
          <w:szCs w:val="32"/>
          <w:highlight w:val="none"/>
        </w:rPr>
        <w:t xml:space="preserve"> </w:t>
      </w:r>
      <w:r>
        <w:rPr>
          <w:rFonts w:hint="eastAsia" w:ascii="黑体" w:hAnsi="宋体" w:eastAsia="黑体"/>
          <w:sz w:val="32"/>
          <w:szCs w:val="32"/>
          <w:highlight w:val="none"/>
        </w:rPr>
        <w:t>称：云港城项目</w:t>
      </w:r>
      <w:r>
        <w:rPr>
          <w:rFonts w:ascii="黑体" w:hAnsi="宋体" w:eastAsia="黑体"/>
          <w:sz w:val="32"/>
          <w:szCs w:val="32"/>
          <w:highlight w:val="none"/>
        </w:rPr>
        <w:t>4#地块工程施工总承包</w:t>
      </w:r>
    </w:p>
    <w:p w14:paraId="2AA13FA8">
      <w:pPr>
        <w:spacing w:line="360" w:lineRule="auto"/>
        <w:rPr>
          <w:rFonts w:ascii="黑体" w:hAnsi="宋体" w:eastAsia="黑体"/>
          <w:sz w:val="32"/>
          <w:szCs w:val="32"/>
          <w:highlight w:val="none"/>
        </w:rPr>
      </w:pPr>
      <w:r>
        <w:rPr>
          <w:rFonts w:hint="eastAsia" w:ascii="黑体" w:hAnsi="宋体" w:eastAsia="黑体"/>
          <w:sz w:val="32"/>
          <w:szCs w:val="32"/>
          <w:highlight w:val="none"/>
        </w:rPr>
        <w:t>工</w:t>
      </w:r>
      <w:r>
        <w:rPr>
          <w:rFonts w:ascii="黑体" w:hAnsi="宋体" w:eastAsia="黑体"/>
          <w:sz w:val="32"/>
          <w:szCs w:val="32"/>
          <w:highlight w:val="none"/>
        </w:rPr>
        <w:t xml:space="preserve"> </w:t>
      </w:r>
      <w:r>
        <w:rPr>
          <w:rFonts w:hint="eastAsia" w:ascii="黑体" w:hAnsi="宋体" w:eastAsia="黑体"/>
          <w:sz w:val="32"/>
          <w:szCs w:val="32"/>
          <w:highlight w:val="none"/>
        </w:rPr>
        <w:t>程</w:t>
      </w:r>
      <w:r>
        <w:rPr>
          <w:rFonts w:ascii="黑体" w:hAnsi="宋体" w:eastAsia="黑体"/>
          <w:sz w:val="32"/>
          <w:szCs w:val="32"/>
          <w:highlight w:val="none"/>
        </w:rPr>
        <w:t xml:space="preserve"> </w:t>
      </w:r>
      <w:r>
        <w:rPr>
          <w:rFonts w:hint="eastAsia" w:ascii="黑体" w:hAnsi="宋体" w:eastAsia="黑体"/>
          <w:sz w:val="32"/>
          <w:szCs w:val="32"/>
          <w:highlight w:val="none"/>
        </w:rPr>
        <w:t>地</w:t>
      </w:r>
      <w:r>
        <w:rPr>
          <w:rFonts w:ascii="黑体" w:hAnsi="宋体" w:eastAsia="黑体"/>
          <w:sz w:val="32"/>
          <w:szCs w:val="32"/>
          <w:highlight w:val="none"/>
        </w:rPr>
        <w:t xml:space="preserve"> </w:t>
      </w:r>
      <w:r>
        <w:rPr>
          <w:rFonts w:hint="eastAsia" w:ascii="黑体" w:hAnsi="宋体" w:eastAsia="黑体"/>
          <w:sz w:val="32"/>
          <w:szCs w:val="32"/>
          <w:highlight w:val="none"/>
        </w:rPr>
        <w:t>点：广州市白云区云城西路与云城南四路交叉路口</w:t>
      </w:r>
    </w:p>
    <w:p w14:paraId="6A0337B9">
      <w:pPr>
        <w:adjustRightInd w:val="0"/>
        <w:spacing w:line="360" w:lineRule="auto"/>
        <w:textAlignment w:val="baseline"/>
        <w:rPr>
          <w:rFonts w:ascii="黑体" w:hAnsi="仿宋" w:eastAsia="黑体"/>
          <w:b/>
          <w:kern w:val="0"/>
          <w:sz w:val="32"/>
          <w:szCs w:val="32"/>
          <w:highlight w:val="none"/>
        </w:rPr>
      </w:pPr>
      <w:r>
        <w:rPr>
          <w:rFonts w:hint="eastAsia" w:ascii="黑体" w:hAnsi="仿宋" w:eastAsia="黑体"/>
          <w:kern w:val="0"/>
          <w:sz w:val="32"/>
          <w:szCs w:val="32"/>
          <w:highlight w:val="none"/>
        </w:rPr>
        <w:t>发</w:t>
      </w:r>
      <w:r>
        <w:rPr>
          <w:rFonts w:ascii="黑体" w:hAnsi="仿宋" w:eastAsia="黑体"/>
          <w:kern w:val="0"/>
          <w:sz w:val="32"/>
          <w:szCs w:val="32"/>
          <w:highlight w:val="none"/>
        </w:rPr>
        <w:t xml:space="preserve">  </w:t>
      </w:r>
      <w:r>
        <w:rPr>
          <w:rFonts w:hint="eastAsia" w:ascii="黑体" w:hAnsi="仿宋" w:eastAsia="黑体"/>
          <w:kern w:val="0"/>
          <w:sz w:val="32"/>
          <w:szCs w:val="32"/>
          <w:highlight w:val="none"/>
        </w:rPr>
        <w:t>包</w:t>
      </w:r>
      <w:r>
        <w:rPr>
          <w:rFonts w:ascii="黑体" w:hAnsi="仿宋" w:eastAsia="黑体"/>
          <w:kern w:val="0"/>
          <w:sz w:val="32"/>
          <w:szCs w:val="32"/>
          <w:highlight w:val="none"/>
        </w:rPr>
        <w:t xml:space="preserve">  </w:t>
      </w:r>
      <w:r>
        <w:rPr>
          <w:rFonts w:hint="eastAsia" w:ascii="黑体" w:hAnsi="仿宋" w:eastAsia="黑体"/>
          <w:kern w:val="0"/>
          <w:sz w:val="32"/>
          <w:szCs w:val="32"/>
          <w:highlight w:val="none"/>
        </w:rPr>
        <w:t>人：</w:t>
      </w:r>
      <w:r>
        <w:rPr>
          <w:rFonts w:ascii="黑体" w:hAnsi="仿宋" w:eastAsia="黑体"/>
          <w:kern w:val="0"/>
          <w:sz w:val="32"/>
          <w:szCs w:val="32"/>
          <w:highlight w:val="none"/>
        </w:rPr>
        <w:t xml:space="preserve"> </w:t>
      </w:r>
      <w:r>
        <w:rPr>
          <w:rFonts w:hint="eastAsia" w:ascii="黑体" w:hAnsi="仿宋" w:eastAsia="黑体"/>
          <w:kern w:val="0"/>
          <w:sz w:val="32"/>
          <w:szCs w:val="32"/>
          <w:highlight w:val="none"/>
        </w:rPr>
        <w:t>广东粤海置地发展有限公司</w:t>
      </w:r>
    </w:p>
    <w:p w14:paraId="544B89AE">
      <w:pPr>
        <w:adjustRightInd w:val="0"/>
        <w:spacing w:line="480" w:lineRule="auto"/>
        <w:textAlignment w:val="baseline"/>
        <w:rPr>
          <w:rFonts w:ascii="黑体" w:hAnsi="仿宋" w:eastAsia="黑体"/>
          <w:b/>
          <w:kern w:val="0"/>
          <w:sz w:val="32"/>
          <w:szCs w:val="32"/>
          <w:highlight w:val="none"/>
        </w:rPr>
      </w:pPr>
      <w:r>
        <w:rPr>
          <w:rFonts w:hint="eastAsia" w:ascii="黑体" w:hAnsi="仿宋" w:eastAsia="黑体"/>
          <w:kern w:val="0"/>
          <w:sz w:val="32"/>
          <w:szCs w:val="32"/>
          <w:highlight w:val="none"/>
        </w:rPr>
        <w:t>承</w:t>
      </w:r>
      <w:r>
        <w:rPr>
          <w:rFonts w:ascii="黑体" w:hAnsi="仿宋" w:eastAsia="黑体"/>
          <w:kern w:val="0"/>
          <w:sz w:val="32"/>
          <w:szCs w:val="32"/>
          <w:highlight w:val="none"/>
        </w:rPr>
        <w:t xml:space="preserve">  包  人： </w:t>
      </w:r>
      <w:r>
        <w:rPr>
          <w:rFonts w:hint="eastAsia" w:ascii="黑体" w:hAnsi="仿宋" w:eastAsia="黑体"/>
          <w:kern w:val="0"/>
          <w:sz w:val="32"/>
          <w:szCs w:val="32"/>
          <w:highlight w:val="none"/>
        </w:rPr>
        <w:t>中国建筑第五工程局有限公司</w:t>
      </w:r>
    </w:p>
    <w:p w14:paraId="4037DB9C">
      <w:pPr>
        <w:rPr>
          <w:b/>
          <w:sz w:val="28"/>
          <w:szCs w:val="28"/>
          <w:highlight w:val="none"/>
        </w:rPr>
      </w:pPr>
    </w:p>
    <w:p w14:paraId="68DB2542">
      <w:pPr>
        <w:pStyle w:val="72"/>
        <w:jc w:val="both"/>
        <w:outlineLvl w:val="9"/>
        <w:rPr>
          <w:highlight w:val="none"/>
        </w:rPr>
        <w:sectPr>
          <w:footerReference r:id="rId4" w:type="first"/>
          <w:footerReference r:id="rId3" w:type="default"/>
          <w:pgSz w:w="11906" w:h="16838"/>
          <w:pgMar w:top="1418" w:right="1555" w:bottom="1418" w:left="1531" w:header="851" w:footer="992" w:gutter="0"/>
          <w:pgNumType w:start="1"/>
          <w:cols w:space="720" w:num="1"/>
          <w:titlePg/>
          <w:docGrid w:type="lines" w:linePitch="312" w:charSpace="0"/>
        </w:sectPr>
      </w:pPr>
    </w:p>
    <w:p w14:paraId="1D7117CE">
      <w:pPr>
        <w:pStyle w:val="72"/>
        <w:outlineLvl w:val="9"/>
        <w:rPr>
          <w:highlight w:val="none"/>
          <w:lang w:val="zh-CN"/>
        </w:rPr>
      </w:pPr>
      <w:bookmarkStart w:id="0" w:name="_Toc17580"/>
      <w:bookmarkStart w:id="1" w:name="_Toc167975571"/>
      <w:bookmarkStart w:id="2" w:name="_Toc31549"/>
      <w:bookmarkStart w:id="3" w:name="_Toc147841805"/>
      <w:bookmarkStart w:id="4" w:name="_Toc19479"/>
      <w:bookmarkStart w:id="5" w:name="_Toc167701747"/>
      <w:bookmarkStart w:id="6" w:name="_Toc2368"/>
      <w:bookmarkStart w:id="7" w:name="_Toc148462065"/>
      <w:r>
        <w:rPr>
          <w:rFonts w:hint="eastAsia"/>
          <w:highlight w:val="none"/>
          <w:lang w:val="zh-CN"/>
        </w:rPr>
        <w:t>总</w:t>
      </w:r>
      <w:r>
        <w:rPr>
          <w:highlight w:val="none"/>
          <w:lang w:val="zh-CN"/>
        </w:rPr>
        <w:t>目录</w:t>
      </w:r>
      <w:bookmarkEnd w:id="0"/>
      <w:bookmarkEnd w:id="1"/>
      <w:bookmarkEnd w:id="2"/>
      <w:bookmarkEnd w:id="3"/>
      <w:bookmarkEnd w:id="4"/>
      <w:bookmarkEnd w:id="5"/>
      <w:bookmarkEnd w:id="6"/>
      <w:bookmarkEnd w:id="7"/>
    </w:p>
    <w:p w14:paraId="5B899FE0">
      <w:pPr>
        <w:pStyle w:val="29"/>
        <w:tabs>
          <w:tab w:val="right" w:leader="dot" w:pos="8789"/>
          <w:tab w:val="clear" w:pos="8296"/>
        </w:tabs>
        <w:spacing w:line="360" w:lineRule="auto"/>
        <w:rPr>
          <w:rStyle w:val="48"/>
          <w:rFonts w:cs="宋体" w:asciiTheme="minorEastAsia" w:hAnsiTheme="minorEastAsia" w:eastAsiaTheme="minorEastAsia"/>
          <w:b w:val="0"/>
          <w:sz w:val="21"/>
          <w:szCs w:val="21"/>
          <w:highlight w:val="none"/>
        </w:rPr>
      </w:pPr>
      <w:r>
        <w:rPr>
          <w:rStyle w:val="48"/>
          <w:rFonts w:cs="宋体" w:asciiTheme="minorEastAsia" w:hAnsiTheme="minorEastAsia" w:eastAsiaTheme="minorEastAsia"/>
          <w:highlight w:val="none"/>
        </w:rPr>
        <w:fldChar w:fldCharType="begin"/>
      </w:r>
      <w:r>
        <w:rPr>
          <w:rStyle w:val="48"/>
          <w:rFonts w:cs="宋体" w:asciiTheme="minorEastAsia" w:hAnsiTheme="minorEastAsia" w:eastAsiaTheme="minorEastAsia"/>
          <w:highlight w:val="none"/>
        </w:rPr>
        <w:instrText xml:space="preserve"> TOC \o "1-1" \h \z \u </w:instrText>
      </w:r>
      <w:r>
        <w:rPr>
          <w:rStyle w:val="48"/>
          <w:rFonts w:cs="宋体" w:asciiTheme="minorEastAsia" w:hAnsiTheme="minorEastAsia" w:eastAsiaTheme="minorEastAsia"/>
          <w:highlight w:val="none"/>
        </w:rPr>
        <w:fldChar w:fldCharType="separate"/>
      </w:r>
      <w:r>
        <w:rPr>
          <w:highlight w:val="none"/>
        </w:rPr>
        <w:fldChar w:fldCharType="begin"/>
      </w:r>
      <w:r>
        <w:rPr>
          <w:highlight w:val="none"/>
        </w:rPr>
        <w:instrText xml:space="preserve"> HYPERLINK \l "_Toc167975571" </w:instrText>
      </w:r>
      <w:r>
        <w:rPr>
          <w:highlight w:val="none"/>
        </w:rPr>
        <w:fldChar w:fldCharType="separate"/>
      </w:r>
      <w:r>
        <w:rPr>
          <w:rStyle w:val="48"/>
          <w:rFonts w:hint="eastAsia" w:cs="宋体" w:asciiTheme="minorEastAsia" w:hAnsiTheme="minorEastAsia" w:eastAsiaTheme="minorEastAsia"/>
          <w:b w:val="0"/>
          <w:sz w:val="21"/>
          <w:szCs w:val="21"/>
          <w:highlight w:val="none"/>
        </w:rPr>
        <w:t>总目录</w:t>
      </w:r>
      <w:r>
        <w:rPr>
          <w:rStyle w:val="48"/>
          <w:rFonts w:cs="宋体" w:asciiTheme="minorEastAsia" w:hAnsiTheme="minorEastAsia" w:eastAsiaTheme="minorEastAsia"/>
          <w:b w:val="0"/>
          <w:sz w:val="21"/>
          <w:szCs w:val="21"/>
          <w:highlight w:val="none"/>
        </w:rPr>
        <w:tab/>
      </w:r>
      <w:r>
        <w:rPr>
          <w:rStyle w:val="48"/>
          <w:rFonts w:cs="宋体" w:asciiTheme="minorEastAsia" w:hAnsiTheme="minorEastAsia" w:eastAsiaTheme="minorEastAsia"/>
          <w:b w:val="0"/>
          <w:sz w:val="21"/>
          <w:szCs w:val="21"/>
          <w:highlight w:val="none"/>
        </w:rPr>
        <w:fldChar w:fldCharType="begin"/>
      </w:r>
      <w:r>
        <w:rPr>
          <w:rStyle w:val="48"/>
          <w:rFonts w:cs="宋体" w:asciiTheme="minorEastAsia" w:hAnsiTheme="minorEastAsia" w:eastAsiaTheme="minorEastAsia"/>
          <w:b w:val="0"/>
          <w:sz w:val="21"/>
          <w:szCs w:val="21"/>
          <w:highlight w:val="none"/>
        </w:rPr>
        <w:instrText xml:space="preserve"> PAGEREF _Toc167975571 \h </w:instrText>
      </w:r>
      <w:r>
        <w:rPr>
          <w:rStyle w:val="48"/>
          <w:rFonts w:cs="宋体" w:asciiTheme="minorEastAsia" w:hAnsiTheme="minorEastAsia" w:eastAsiaTheme="minorEastAsia"/>
          <w:b w:val="0"/>
          <w:sz w:val="21"/>
          <w:szCs w:val="21"/>
          <w:highlight w:val="none"/>
        </w:rPr>
        <w:fldChar w:fldCharType="separate"/>
      </w:r>
      <w:r>
        <w:rPr>
          <w:rStyle w:val="48"/>
          <w:rFonts w:cs="宋体" w:asciiTheme="minorEastAsia" w:hAnsiTheme="minorEastAsia" w:eastAsiaTheme="minorEastAsia"/>
          <w:b w:val="0"/>
          <w:sz w:val="21"/>
          <w:szCs w:val="21"/>
          <w:highlight w:val="none"/>
        </w:rPr>
        <w:t>2</w:t>
      </w:r>
      <w:r>
        <w:rPr>
          <w:rStyle w:val="48"/>
          <w:rFonts w:cs="宋体" w:asciiTheme="minorEastAsia" w:hAnsiTheme="minorEastAsia" w:eastAsiaTheme="minorEastAsia"/>
          <w:b w:val="0"/>
          <w:sz w:val="21"/>
          <w:szCs w:val="21"/>
          <w:highlight w:val="none"/>
        </w:rPr>
        <w:fldChar w:fldCharType="end"/>
      </w:r>
      <w:r>
        <w:rPr>
          <w:rStyle w:val="48"/>
          <w:rFonts w:cs="宋体" w:asciiTheme="minorEastAsia" w:hAnsiTheme="minorEastAsia" w:eastAsiaTheme="minorEastAsia"/>
          <w:b w:val="0"/>
          <w:sz w:val="21"/>
          <w:szCs w:val="21"/>
          <w:highlight w:val="none"/>
        </w:rPr>
        <w:fldChar w:fldCharType="end"/>
      </w:r>
    </w:p>
    <w:p w14:paraId="638E42A3">
      <w:pPr>
        <w:pStyle w:val="29"/>
        <w:tabs>
          <w:tab w:val="right" w:leader="dot" w:pos="8789"/>
          <w:tab w:val="clear" w:pos="8296"/>
        </w:tabs>
        <w:spacing w:line="360" w:lineRule="auto"/>
        <w:rPr>
          <w:rStyle w:val="48"/>
          <w:rFonts w:hint="eastAsia" w:cs="宋体" w:asciiTheme="minorEastAsia" w:hAnsiTheme="minorEastAsia" w:eastAsiaTheme="minorEastAsia"/>
          <w:b w:val="0"/>
          <w:sz w:val="21"/>
          <w:szCs w:val="21"/>
          <w:highlight w:val="none"/>
          <w:lang w:eastAsia="zh-CN"/>
        </w:rPr>
      </w:pPr>
      <w:r>
        <w:rPr>
          <w:highlight w:val="none"/>
        </w:rPr>
        <w:fldChar w:fldCharType="begin"/>
      </w:r>
      <w:r>
        <w:rPr>
          <w:highlight w:val="none"/>
        </w:rPr>
        <w:instrText xml:space="preserve"> HYPERLINK \l "_Toc167975572" </w:instrText>
      </w:r>
      <w:r>
        <w:rPr>
          <w:highlight w:val="none"/>
        </w:rPr>
        <w:fldChar w:fldCharType="separate"/>
      </w:r>
      <w:r>
        <w:rPr>
          <w:rStyle w:val="48"/>
          <w:rFonts w:hint="eastAsia" w:cs="宋体" w:asciiTheme="minorEastAsia" w:hAnsiTheme="minorEastAsia" w:eastAsiaTheme="minorEastAsia"/>
          <w:b w:val="0"/>
          <w:sz w:val="21"/>
          <w:szCs w:val="21"/>
          <w:highlight w:val="none"/>
        </w:rPr>
        <w:t>云港城项目</w:t>
      </w:r>
      <w:r>
        <w:rPr>
          <w:rStyle w:val="48"/>
          <w:rFonts w:cs="宋体" w:asciiTheme="minorEastAsia" w:hAnsiTheme="minorEastAsia" w:eastAsiaTheme="minorEastAsia"/>
          <w:b w:val="0"/>
          <w:sz w:val="21"/>
          <w:szCs w:val="21"/>
          <w:highlight w:val="none"/>
        </w:rPr>
        <w:t>4#</w:t>
      </w:r>
      <w:r>
        <w:rPr>
          <w:rStyle w:val="48"/>
          <w:rFonts w:hint="eastAsia" w:cs="宋体" w:asciiTheme="minorEastAsia" w:hAnsiTheme="minorEastAsia" w:eastAsiaTheme="minorEastAsia"/>
          <w:b w:val="0"/>
          <w:sz w:val="21"/>
          <w:szCs w:val="21"/>
          <w:highlight w:val="none"/>
        </w:rPr>
        <w:t>地块工程施工总承包合同补充协议</w:t>
      </w:r>
      <w:r>
        <w:rPr>
          <w:rStyle w:val="48"/>
          <w:rFonts w:cs="宋体" w:asciiTheme="minorEastAsia" w:hAnsiTheme="minorEastAsia" w:eastAsiaTheme="minorEastAsia"/>
          <w:b w:val="0"/>
          <w:sz w:val="21"/>
          <w:szCs w:val="21"/>
          <w:highlight w:val="none"/>
        </w:rPr>
        <w:tab/>
      </w:r>
      <w:r>
        <w:rPr>
          <w:rStyle w:val="48"/>
          <w:rFonts w:cs="宋体" w:asciiTheme="minorEastAsia" w:hAnsiTheme="minorEastAsia" w:eastAsiaTheme="minorEastAsia"/>
          <w:b w:val="0"/>
          <w:sz w:val="21"/>
          <w:szCs w:val="21"/>
          <w:highlight w:val="none"/>
        </w:rPr>
        <w:fldChar w:fldCharType="end"/>
      </w:r>
      <w:r>
        <w:rPr>
          <w:rStyle w:val="48"/>
          <w:rFonts w:hint="eastAsia" w:cs="宋体" w:asciiTheme="minorEastAsia" w:hAnsiTheme="minorEastAsia" w:eastAsiaTheme="minorEastAsia"/>
          <w:b w:val="0"/>
          <w:sz w:val="21"/>
          <w:szCs w:val="21"/>
          <w:highlight w:val="none"/>
          <w:lang w:val="en-US" w:eastAsia="zh-CN"/>
        </w:rPr>
        <w:t>3</w:t>
      </w:r>
    </w:p>
    <w:p w14:paraId="6BF81297">
      <w:pPr>
        <w:pStyle w:val="29"/>
        <w:tabs>
          <w:tab w:val="right" w:leader="dot" w:pos="8789"/>
          <w:tab w:val="clear" w:pos="8296"/>
        </w:tabs>
        <w:spacing w:line="360" w:lineRule="auto"/>
        <w:rPr>
          <w:rStyle w:val="48"/>
          <w:rFonts w:hint="eastAsia" w:cs="宋体" w:asciiTheme="minorEastAsia" w:hAnsiTheme="minorEastAsia" w:eastAsiaTheme="minorEastAsia"/>
          <w:b w:val="0"/>
          <w:sz w:val="21"/>
          <w:szCs w:val="21"/>
          <w:highlight w:val="none"/>
          <w:lang w:val="en-US" w:eastAsia="zh-CN"/>
        </w:rPr>
      </w:pPr>
      <w:r>
        <w:rPr>
          <w:highlight w:val="none"/>
        </w:rPr>
        <w:fldChar w:fldCharType="begin"/>
      </w:r>
      <w:r>
        <w:rPr>
          <w:highlight w:val="none"/>
        </w:rPr>
        <w:instrText xml:space="preserve"> HYPERLINK \l "_Toc167975574" </w:instrText>
      </w:r>
      <w:r>
        <w:rPr>
          <w:highlight w:val="none"/>
        </w:rPr>
        <w:fldChar w:fldCharType="separate"/>
      </w:r>
      <w:r>
        <w:rPr>
          <w:rStyle w:val="48"/>
          <w:rFonts w:hint="eastAsia" w:cs="宋体" w:asciiTheme="minorEastAsia" w:hAnsiTheme="minorEastAsia" w:eastAsiaTheme="minorEastAsia"/>
          <w:b w:val="0"/>
          <w:sz w:val="21"/>
          <w:szCs w:val="21"/>
          <w:highlight w:val="none"/>
        </w:rPr>
        <w:t>第一部分</w:t>
      </w:r>
      <w:r>
        <w:rPr>
          <w:rStyle w:val="48"/>
          <w:rFonts w:cs="宋体" w:asciiTheme="minorEastAsia" w:hAnsiTheme="minorEastAsia" w:eastAsiaTheme="minorEastAsia"/>
          <w:b w:val="0"/>
          <w:sz w:val="21"/>
          <w:szCs w:val="21"/>
          <w:highlight w:val="none"/>
        </w:rPr>
        <w:t xml:space="preserve"> </w:t>
      </w:r>
      <w:r>
        <w:rPr>
          <w:rStyle w:val="48"/>
          <w:rFonts w:hint="eastAsia" w:cs="宋体" w:asciiTheme="minorEastAsia" w:hAnsiTheme="minorEastAsia" w:eastAsiaTheme="minorEastAsia"/>
          <w:b w:val="0"/>
          <w:sz w:val="21"/>
          <w:szCs w:val="21"/>
          <w:highlight w:val="none"/>
        </w:rPr>
        <w:t>核心条款</w:t>
      </w:r>
      <w:r>
        <w:rPr>
          <w:rStyle w:val="48"/>
          <w:rFonts w:cs="宋体" w:asciiTheme="minorEastAsia" w:hAnsiTheme="minorEastAsia" w:eastAsiaTheme="minorEastAsia"/>
          <w:b w:val="0"/>
          <w:sz w:val="21"/>
          <w:szCs w:val="21"/>
          <w:highlight w:val="none"/>
        </w:rPr>
        <w:tab/>
      </w:r>
      <w:r>
        <w:rPr>
          <w:rStyle w:val="48"/>
          <w:rFonts w:cs="宋体" w:asciiTheme="minorEastAsia" w:hAnsiTheme="minorEastAsia" w:eastAsiaTheme="minorEastAsia"/>
          <w:b w:val="0"/>
          <w:sz w:val="21"/>
          <w:szCs w:val="21"/>
          <w:highlight w:val="none"/>
        </w:rPr>
        <w:fldChar w:fldCharType="end"/>
      </w:r>
      <w:r>
        <w:rPr>
          <w:rStyle w:val="48"/>
          <w:rFonts w:hint="eastAsia" w:cs="宋体" w:asciiTheme="minorEastAsia" w:hAnsiTheme="minorEastAsia" w:eastAsiaTheme="minorEastAsia"/>
          <w:b w:val="0"/>
          <w:sz w:val="21"/>
          <w:szCs w:val="21"/>
          <w:highlight w:val="none"/>
          <w:lang w:val="en-US" w:eastAsia="zh-CN"/>
        </w:rPr>
        <w:t>4</w:t>
      </w:r>
    </w:p>
    <w:p w14:paraId="4F2E295A">
      <w:pPr>
        <w:pStyle w:val="29"/>
        <w:tabs>
          <w:tab w:val="right" w:leader="dot" w:pos="8789"/>
          <w:tab w:val="clear" w:pos="8296"/>
        </w:tabs>
        <w:spacing w:line="360" w:lineRule="auto"/>
        <w:rPr>
          <w:rStyle w:val="48"/>
          <w:rFonts w:hint="default" w:cs="宋体" w:asciiTheme="minorEastAsia" w:hAnsiTheme="minorEastAsia" w:eastAsiaTheme="minorEastAsia"/>
          <w:b w:val="0"/>
          <w:sz w:val="21"/>
          <w:szCs w:val="21"/>
          <w:highlight w:val="none"/>
          <w:lang w:val="en-US" w:eastAsia="zh-CN"/>
        </w:rPr>
      </w:pPr>
      <w:r>
        <w:rPr>
          <w:highlight w:val="none"/>
        </w:rPr>
        <w:fldChar w:fldCharType="begin"/>
      </w:r>
      <w:r>
        <w:rPr>
          <w:highlight w:val="none"/>
        </w:rPr>
        <w:instrText xml:space="preserve"> HYPERLINK \l "_Toc167975601" </w:instrText>
      </w:r>
      <w:r>
        <w:rPr>
          <w:highlight w:val="none"/>
        </w:rPr>
        <w:fldChar w:fldCharType="separate"/>
      </w:r>
      <w:r>
        <w:rPr>
          <w:rStyle w:val="48"/>
          <w:rFonts w:hint="eastAsia" w:cs="宋体" w:asciiTheme="minorEastAsia" w:hAnsiTheme="minorEastAsia" w:eastAsiaTheme="minorEastAsia"/>
          <w:b w:val="0"/>
          <w:sz w:val="21"/>
          <w:szCs w:val="21"/>
          <w:highlight w:val="none"/>
        </w:rPr>
        <w:t>附件</w:t>
      </w:r>
      <w:r>
        <w:rPr>
          <w:rStyle w:val="48"/>
          <w:rFonts w:cs="宋体" w:asciiTheme="minorEastAsia" w:hAnsiTheme="minorEastAsia" w:eastAsiaTheme="minorEastAsia"/>
          <w:b w:val="0"/>
          <w:sz w:val="21"/>
          <w:szCs w:val="21"/>
          <w:highlight w:val="none"/>
        </w:rPr>
        <w:t xml:space="preserve">1 </w:t>
      </w:r>
      <w:r>
        <w:rPr>
          <w:rStyle w:val="48"/>
          <w:rFonts w:hint="eastAsia" w:cs="宋体" w:asciiTheme="minorEastAsia" w:hAnsiTheme="minorEastAsia" w:eastAsiaTheme="minorEastAsia"/>
          <w:b w:val="0"/>
          <w:sz w:val="21"/>
          <w:szCs w:val="21"/>
          <w:highlight w:val="none"/>
        </w:rPr>
        <w:t>合同范围及边界</w:t>
      </w:r>
      <w:r>
        <w:rPr>
          <w:rStyle w:val="48"/>
          <w:rFonts w:cs="宋体" w:asciiTheme="minorEastAsia" w:hAnsiTheme="minorEastAsia" w:eastAsiaTheme="minorEastAsia"/>
          <w:b w:val="0"/>
          <w:sz w:val="21"/>
          <w:szCs w:val="21"/>
          <w:highlight w:val="none"/>
        </w:rPr>
        <w:tab/>
      </w:r>
      <w:r>
        <w:rPr>
          <w:rStyle w:val="48"/>
          <w:rFonts w:cs="宋体" w:asciiTheme="minorEastAsia" w:hAnsiTheme="minorEastAsia" w:eastAsiaTheme="minorEastAsia"/>
          <w:b w:val="0"/>
          <w:sz w:val="21"/>
          <w:szCs w:val="21"/>
          <w:highlight w:val="none"/>
        </w:rPr>
        <w:fldChar w:fldCharType="end"/>
      </w:r>
      <w:r>
        <w:rPr>
          <w:rStyle w:val="48"/>
          <w:rFonts w:hint="eastAsia" w:cs="宋体" w:asciiTheme="minorEastAsia" w:hAnsiTheme="minorEastAsia" w:eastAsiaTheme="minorEastAsia"/>
          <w:b w:val="0"/>
          <w:sz w:val="21"/>
          <w:szCs w:val="21"/>
          <w:highlight w:val="none"/>
          <w:lang w:val="en-US" w:eastAsia="zh-CN"/>
        </w:rPr>
        <w:t>66</w:t>
      </w:r>
    </w:p>
    <w:p w14:paraId="6941C5FB">
      <w:pPr>
        <w:pStyle w:val="29"/>
        <w:tabs>
          <w:tab w:val="right" w:leader="dot" w:pos="8789"/>
          <w:tab w:val="clear" w:pos="8296"/>
        </w:tabs>
        <w:spacing w:line="360" w:lineRule="auto"/>
        <w:rPr>
          <w:rStyle w:val="48"/>
          <w:rFonts w:hint="default" w:cs="宋体" w:asciiTheme="minorEastAsia" w:hAnsiTheme="minorEastAsia" w:eastAsiaTheme="minorEastAsia"/>
          <w:b w:val="0"/>
          <w:sz w:val="21"/>
          <w:szCs w:val="21"/>
          <w:highlight w:val="none"/>
          <w:lang w:val="en-US" w:eastAsia="zh-CN"/>
        </w:rPr>
      </w:pPr>
      <w:r>
        <w:rPr>
          <w:highlight w:val="none"/>
        </w:rPr>
        <w:fldChar w:fldCharType="begin"/>
      </w:r>
      <w:r>
        <w:rPr>
          <w:highlight w:val="none"/>
        </w:rPr>
        <w:instrText xml:space="preserve"> HYPERLINK \l "_Toc167975602" </w:instrText>
      </w:r>
      <w:r>
        <w:rPr>
          <w:highlight w:val="none"/>
        </w:rPr>
        <w:fldChar w:fldCharType="separate"/>
      </w:r>
      <w:r>
        <w:rPr>
          <w:rStyle w:val="48"/>
          <w:rFonts w:hint="eastAsia" w:cs="宋体" w:asciiTheme="minorEastAsia" w:hAnsiTheme="minorEastAsia" w:eastAsiaTheme="minorEastAsia"/>
          <w:b w:val="0"/>
          <w:sz w:val="21"/>
          <w:szCs w:val="21"/>
          <w:highlight w:val="none"/>
        </w:rPr>
        <w:t>附件</w:t>
      </w:r>
      <w:r>
        <w:rPr>
          <w:rStyle w:val="48"/>
          <w:rFonts w:cs="宋体" w:asciiTheme="minorEastAsia" w:hAnsiTheme="minorEastAsia" w:eastAsiaTheme="minorEastAsia"/>
          <w:b w:val="0"/>
          <w:sz w:val="21"/>
          <w:szCs w:val="21"/>
          <w:highlight w:val="none"/>
        </w:rPr>
        <w:t xml:space="preserve">2 </w:t>
      </w:r>
      <w:r>
        <w:rPr>
          <w:rStyle w:val="48"/>
          <w:rFonts w:hint="eastAsia" w:cs="宋体" w:asciiTheme="minorEastAsia" w:hAnsiTheme="minorEastAsia" w:eastAsiaTheme="minorEastAsia"/>
          <w:b w:val="0"/>
          <w:sz w:val="21"/>
          <w:szCs w:val="21"/>
          <w:highlight w:val="none"/>
        </w:rPr>
        <w:t>施工技术要求（另册）</w:t>
      </w:r>
      <w:r>
        <w:rPr>
          <w:rStyle w:val="48"/>
          <w:rFonts w:cs="宋体" w:asciiTheme="minorEastAsia" w:hAnsiTheme="minorEastAsia" w:eastAsiaTheme="minorEastAsia"/>
          <w:b w:val="0"/>
          <w:sz w:val="21"/>
          <w:szCs w:val="21"/>
          <w:highlight w:val="none"/>
        </w:rPr>
        <w:tab/>
      </w:r>
      <w:r>
        <w:rPr>
          <w:rStyle w:val="48"/>
          <w:rFonts w:cs="宋体" w:asciiTheme="minorEastAsia" w:hAnsiTheme="minorEastAsia" w:eastAsiaTheme="minorEastAsia"/>
          <w:b w:val="0"/>
          <w:sz w:val="21"/>
          <w:szCs w:val="21"/>
          <w:highlight w:val="none"/>
        </w:rPr>
        <w:fldChar w:fldCharType="end"/>
      </w:r>
      <w:r>
        <w:rPr>
          <w:rStyle w:val="48"/>
          <w:rFonts w:hint="eastAsia" w:cs="宋体" w:asciiTheme="minorEastAsia" w:hAnsiTheme="minorEastAsia" w:eastAsiaTheme="minorEastAsia"/>
          <w:b w:val="0"/>
          <w:sz w:val="21"/>
          <w:szCs w:val="21"/>
          <w:highlight w:val="none"/>
          <w:lang w:val="en-US" w:eastAsia="zh-CN"/>
        </w:rPr>
        <w:t>69</w:t>
      </w:r>
    </w:p>
    <w:p w14:paraId="2D791ECB">
      <w:pPr>
        <w:pStyle w:val="29"/>
        <w:tabs>
          <w:tab w:val="right" w:leader="dot" w:pos="8789"/>
          <w:tab w:val="clear" w:pos="8296"/>
        </w:tabs>
        <w:spacing w:line="360" w:lineRule="auto"/>
        <w:rPr>
          <w:rStyle w:val="48"/>
          <w:rFonts w:hint="default" w:cs="宋体" w:asciiTheme="minorEastAsia" w:hAnsiTheme="minorEastAsia" w:eastAsiaTheme="minorEastAsia"/>
          <w:b w:val="0"/>
          <w:sz w:val="21"/>
          <w:szCs w:val="21"/>
          <w:highlight w:val="none"/>
          <w:lang w:val="en-US" w:eastAsia="zh-CN"/>
        </w:rPr>
      </w:pPr>
      <w:r>
        <w:rPr>
          <w:highlight w:val="none"/>
        </w:rPr>
        <w:fldChar w:fldCharType="begin"/>
      </w:r>
      <w:r>
        <w:rPr>
          <w:highlight w:val="none"/>
        </w:rPr>
        <w:instrText xml:space="preserve"> HYPERLINK \l "_Toc167975603" </w:instrText>
      </w:r>
      <w:r>
        <w:rPr>
          <w:highlight w:val="none"/>
        </w:rPr>
        <w:fldChar w:fldCharType="separate"/>
      </w:r>
      <w:r>
        <w:rPr>
          <w:rStyle w:val="48"/>
          <w:rFonts w:hint="eastAsia" w:cs="宋体" w:asciiTheme="minorEastAsia" w:hAnsiTheme="minorEastAsia" w:eastAsiaTheme="minorEastAsia"/>
          <w:b w:val="0"/>
          <w:sz w:val="21"/>
          <w:szCs w:val="21"/>
          <w:highlight w:val="none"/>
        </w:rPr>
        <w:t>附件</w:t>
      </w:r>
      <w:r>
        <w:rPr>
          <w:rStyle w:val="48"/>
          <w:rFonts w:cs="宋体" w:asciiTheme="minorEastAsia" w:hAnsiTheme="minorEastAsia" w:eastAsiaTheme="minorEastAsia"/>
          <w:b w:val="0"/>
          <w:sz w:val="21"/>
          <w:szCs w:val="21"/>
          <w:highlight w:val="none"/>
        </w:rPr>
        <w:t>3</w:t>
      </w:r>
      <w:r>
        <w:rPr>
          <w:rStyle w:val="48"/>
          <w:rFonts w:hint="eastAsia" w:cs="宋体" w:asciiTheme="minorEastAsia" w:hAnsiTheme="minorEastAsia" w:eastAsiaTheme="minorEastAsia"/>
          <w:b w:val="0"/>
          <w:sz w:val="21"/>
          <w:szCs w:val="21"/>
          <w:highlight w:val="none"/>
        </w:rPr>
        <w:t>材料设备品牌推荐（另册）</w:t>
      </w:r>
      <w:r>
        <w:rPr>
          <w:rStyle w:val="48"/>
          <w:rFonts w:cs="宋体" w:asciiTheme="minorEastAsia" w:hAnsiTheme="minorEastAsia" w:eastAsiaTheme="minorEastAsia"/>
          <w:b w:val="0"/>
          <w:sz w:val="21"/>
          <w:szCs w:val="21"/>
          <w:highlight w:val="none"/>
        </w:rPr>
        <w:tab/>
      </w:r>
      <w:r>
        <w:rPr>
          <w:rStyle w:val="48"/>
          <w:rFonts w:cs="宋体" w:asciiTheme="minorEastAsia" w:hAnsiTheme="minorEastAsia" w:eastAsiaTheme="minorEastAsia"/>
          <w:b w:val="0"/>
          <w:sz w:val="21"/>
          <w:szCs w:val="21"/>
          <w:highlight w:val="none"/>
        </w:rPr>
        <w:fldChar w:fldCharType="end"/>
      </w:r>
      <w:r>
        <w:rPr>
          <w:rStyle w:val="48"/>
          <w:rFonts w:hint="eastAsia" w:cs="宋体" w:asciiTheme="minorEastAsia" w:hAnsiTheme="minorEastAsia" w:eastAsiaTheme="minorEastAsia"/>
          <w:b w:val="0"/>
          <w:sz w:val="21"/>
          <w:szCs w:val="21"/>
          <w:highlight w:val="none"/>
          <w:lang w:val="en-US" w:eastAsia="zh-CN"/>
        </w:rPr>
        <w:t>69</w:t>
      </w:r>
    </w:p>
    <w:p w14:paraId="15C0F256">
      <w:pPr>
        <w:pStyle w:val="29"/>
        <w:tabs>
          <w:tab w:val="right" w:leader="dot" w:pos="8789"/>
          <w:tab w:val="clear" w:pos="8296"/>
        </w:tabs>
        <w:spacing w:line="360" w:lineRule="auto"/>
        <w:rPr>
          <w:rStyle w:val="48"/>
          <w:rFonts w:hint="default" w:cs="宋体" w:asciiTheme="minorEastAsia" w:hAnsiTheme="minorEastAsia" w:eastAsiaTheme="minorEastAsia"/>
          <w:b w:val="0"/>
          <w:sz w:val="21"/>
          <w:szCs w:val="21"/>
          <w:highlight w:val="none"/>
          <w:lang w:val="en-US" w:eastAsia="zh-CN"/>
        </w:rPr>
      </w:pPr>
      <w:r>
        <w:rPr>
          <w:highlight w:val="none"/>
        </w:rPr>
        <w:fldChar w:fldCharType="begin"/>
      </w:r>
      <w:r>
        <w:rPr>
          <w:highlight w:val="none"/>
        </w:rPr>
        <w:instrText xml:space="preserve"> HYPERLINK \l "_Toc167975604" </w:instrText>
      </w:r>
      <w:r>
        <w:rPr>
          <w:highlight w:val="none"/>
        </w:rPr>
        <w:fldChar w:fldCharType="separate"/>
      </w:r>
      <w:r>
        <w:rPr>
          <w:rStyle w:val="48"/>
          <w:rFonts w:hint="eastAsia" w:cs="宋体" w:asciiTheme="minorEastAsia" w:hAnsiTheme="minorEastAsia" w:eastAsiaTheme="minorEastAsia"/>
          <w:b w:val="0"/>
          <w:sz w:val="21"/>
          <w:szCs w:val="21"/>
          <w:highlight w:val="none"/>
        </w:rPr>
        <w:t>附件</w:t>
      </w:r>
      <w:r>
        <w:rPr>
          <w:rStyle w:val="48"/>
          <w:rFonts w:cs="宋体" w:asciiTheme="minorEastAsia" w:hAnsiTheme="minorEastAsia" w:eastAsiaTheme="minorEastAsia"/>
          <w:b w:val="0"/>
          <w:sz w:val="21"/>
          <w:szCs w:val="21"/>
          <w:highlight w:val="none"/>
        </w:rPr>
        <w:t>4</w:t>
      </w:r>
      <w:r>
        <w:rPr>
          <w:rStyle w:val="48"/>
          <w:rFonts w:hint="eastAsia" w:cs="宋体" w:asciiTheme="minorEastAsia" w:hAnsiTheme="minorEastAsia" w:eastAsiaTheme="minorEastAsia"/>
          <w:b w:val="0"/>
          <w:sz w:val="21"/>
          <w:szCs w:val="21"/>
          <w:highlight w:val="none"/>
        </w:rPr>
        <w:t>已标价工程量清单（另册）</w:t>
      </w:r>
      <w:r>
        <w:rPr>
          <w:rStyle w:val="48"/>
          <w:rFonts w:cs="宋体" w:asciiTheme="minorEastAsia" w:hAnsiTheme="minorEastAsia" w:eastAsiaTheme="minorEastAsia"/>
          <w:b w:val="0"/>
          <w:sz w:val="21"/>
          <w:szCs w:val="21"/>
          <w:highlight w:val="none"/>
        </w:rPr>
        <w:tab/>
      </w:r>
      <w:r>
        <w:rPr>
          <w:rStyle w:val="48"/>
          <w:rFonts w:cs="宋体" w:asciiTheme="minorEastAsia" w:hAnsiTheme="minorEastAsia" w:eastAsiaTheme="minorEastAsia"/>
          <w:b w:val="0"/>
          <w:sz w:val="21"/>
          <w:szCs w:val="21"/>
          <w:highlight w:val="none"/>
        </w:rPr>
        <w:fldChar w:fldCharType="end"/>
      </w:r>
      <w:r>
        <w:rPr>
          <w:rStyle w:val="48"/>
          <w:rFonts w:hint="eastAsia" w:cs="宋体" w:asciiTheme="minorEastAsia" w:hAnsiTheme="minorEastAsia" w:eastAsiaTheme="minorEastAsia"/>
          <w:b w:val="0"/>
          <w:sz w:val="21"/>
          <w:szCs w:val="21"/>
          <w:highlight w:val="none"/>
          <w:lang w:val="en-US" w:eastAsia="zh-CN"/>
        </w:rPr>
        <w:t>69</w:t>
      </w:r>
    </w:p>
    <w:p w14:paraId="3A0E570B">
      <w:pPr>
        <w:pStyle w:val="29"/>
        <w:tabs>
          <w:tab w:val="right" w:leader="dot" w:pos="8789"/>
          <w:tab w:val="clear" w:pos="8296"/>
        </w:tabs>
        <w:spacing w:line="360" w:lineRule="auto"/>
        <w:rPr>
          <w:rStyle w:val="48"/>
          <w:rFonts w:hint="default" w:cs="宋体" w:asciiTheme="minorEastAsia" w:hAnsiTheme="minorEastAsia" w:eastAsiaTheme="minorEastAsia"/>
          <w:b w:val="0"/>
          <w:sz w:val="21"/>
          <w:szCs w:val="21"/>
          <w:highlight w:val="none"/>
          <w:lang w:val="en-US" w:eastAsia="zh-CN"/>
        </w:rPr>
      </w:pPr>
      <w:r>
        <w:rPr>
          <w:highlight w:val="none"/>
        </w:rPr>
        <w:fldChar w:fldCharType="begin"/>
      </w:r>
      <w:r>
        <w:rPr>
          <w:highlight w:val="none"/>
        </w:rPr>
        <w:instrText xml:space="preserve"> HYPERLINK \l "_Toc167975605" </w:instrText>
      </w:r>
      <w:r>
        <w:rPr>
          <w:highlight w:val="none"/>
        </w:rPr>
        <w:fldChar w:fldCharType="separate"/>
      </w:r>
      <w:r>
        <w:rPr>
          <w:rStyle w:val="48"/>
          <w:rFonts w:hint="eastAsia" w:cs="宋体" w:asciiTheme="minorEastAsia" w:hAnsiTheme="minorEastAsia" w:eastAsiaTheme="minorEastAsia"/>
          <w:b w:val="0"/>
          <w:sz w:val="21"/>
          <w:szCs w:val="21"/>
          <w:highlight w:val="none"/>
        </w:rPr>
        <w:t>附件</w:t>
      </w:r>
      <w:r>
        <w:rPr>
          <w:rStyle w:val="48"/>
          <w:rFonts w:cs="宋体" w:asciiTheme="minorEastAsia" w:hAnsiTheme="minorEastAsia" w:eastAsiaTheme="minorEastAsia"/>
          <w:b w:val="0"/>
          <w:sz w:val="21"/>
          <w:szCs w:val="21"/>
          <w:highlight w:val="none"/>
        </w:rPr>
        <w:t>5</w:t>
      </w:r>
      <w:r>
        <w:rPr>
          <w:rStyle w:val="48"/>
          <w:rFonts w:hint="eastAsia" w:cs="宋体" w:asciiTheme="minorEastAsia" w:hAnsiTheme="minorEastAsia" w:eastAsiaTheme="minorEastAsia"/>
          <w:b w:val="0"/>
          <w:sz w:val="21"/>
          <w:szCs w:val="21"/>
          <w:highlight w:val="none"/>
        </w:rPr>
        <w:t>图纸目录（另册）</w:t>
      </w:r>
      <w:r>
        <w:rPr>
          <w:rStyle w:val="48"/>
          <w:rFonts w:cs="宋体" w:asciiTheme="minorEastAsia" w:hAnsiTheme="minorEastAsia" w:eastAsiaTheme="minorEastAsia"/>
          <w:b w:val="0"/>
          <w:sz w:val="21"/>
          <w:szCs w:val="21"/>
          <w:highlight w:val="none"/>
        </w:rPr>
        <w:tab/>
      </w:r>
      <w:r>
        <w:rPr>
          <w:rStyle w:val="48"/>
          <w:rFonts w:cs="宋体" w:asciiTheme="minorEastAsia" w:hAnsiTheme="minorEastAsia" w:eastAsiaTheme="minorEastAsia"/>
          <w:b w:val="0"/>
          <w:sz w:val="21"/>
          <w:szCs w:val="21"/>
          <w:highlight w:val="none"/>
        </w:rPr>
        <w:fldChar w:fldCharType="end"/>
      </w:r>
      <w:r>
        <w:rPr>
          <w:rStyle w:val="48"/>
          <w:rFonts w:hint="eastAsia" w:cs="宋体" w:asciiTheme="minorEastAsia" w:hAnsiTheme="minorEastAsia" w:eastAsiaTheme="minorEastAsia"/>
          <w:b w:val="0"/>
          <w:sz w:val="21"/>
          <w:szCs w:val="21"/>
          <w:highlight w:val="none"/>
          <w:lang w:val="en-US" w:eastAsia="zh-CN"/>
        </w:rPr>
        <w:t>69</w:t>
      </w:r>
    </w:p>
    <w:p w14:paraId="7CA5E75A">
      <w:pPr>
        <w:pStyle w:val="29"/>
        <w:tabs>
          <w:tab w:val="right" w:leader="dot" w:pos="8789"/>
          <w:tab w:val="clear" w:pos="8296"/>
        </w:tabs>
        <w:spacing w:line="360" w:lineRule="auto"/>
        <w:rPr>
          <w:rStyle w:val="48"/>
          <w:rFonts w:hint="default" w:cs="宋体" w:asciiTheme="minorEastAsia" w:hAnsiTheme="minorEastAsia" w:eastAsiaTheme="minorEastAsia"/>
          <w:b w:val="0"/>
          <w:sz w:val="21"/>
          <w:szCs w:val="21"/>
          <w:highlight w:val="none"/>
          <w:lang w:val="en-US" w:eastAsia="zh-CN"/>
        </w:rPr>
      </w:pPr>
      <w:r>
        <w:rPr>
          <w:highlight w:val="none"/>
        </w:rPr>
        <w:fldChar w:fldCharType="begin"/>
      </w:r>
      <w:r>
        <w:rPr>
          <w:highlight w:val="none"/>
        </w:rPr>
        <w:instrText xml:space="preserve"> HYPERLINK \l "_Toc167975606" </w:instrText>
      </w:r>
      <w:r>
        <w:rPr>
          <w:highlight w:val="none"/>
        </w:rPr>
        <w:fldChar w:fldCharType="separate"/>
      </w:r>
      <w:r>
        <w:rPr>
          <w:rStyle w:val="48"/>
          <w:rFonts w:hint="eastAsia" w:cs="宋体" w:asciiTheme="minorEastAsia" w:hAnsiTheme="minorEastAsia" w:eastAsiaTheme="minorEastAsia"/>
          <w:b w:val="0"/>
          <w:sz w:val="21"/>
          <w:szCs w:val="21"/>
          <w:highlight w:val="none"/>
        </w:rPr>
        <w:t>附件</w:t>
      </w:r>
      <w:r>
        <w:rPr>
          <w:rStyle w:val="48"/>
          <w:rFonts w:cs="宋体" w:asciiTheme="minorEastAsia" w:hAnsiTheme="minorEastAsia" w:eastAsiaTheme="minorEastAsia"/>
          <w:b w:val="0"/>
          <w:sz w:val="21"/>
          <w:szCs w:val="21"/>
          <w:highlight w:val="none"/>
        </w:rPr>
        <w:t>6</w:t>
      </w:r>
      <w:r>
        <w:rPr>
          <w:rStyle w:val="48"/>
          <w:rFonts w:hint="eastAsia" w:cs="宋体" w:asciiTheme="minorEastAsia" w:hAnsiTheme="minorEastAsia" w:eastAsiaTheme="minorEastAsia"/>
          <w:b w:val="0"/>
          <w:sz w:val="21"/>
          <w:szCs w:val="21"/>
          <w:highlight w:val="none"/>
        </w:rPr>
        <w:t>履约保函（样式）</w:t>
      </w:r>
      <w:r>
        <w:rPr>
          <w:rStyle w:val="48"/>
          <w:rFonts w:cs="宋体" w:asciiTheme="minorEastAsia" w:hAnsiTheme="minorEastAsia" w:eastAsiaTheme="minorEastAsia"/>
          <w:b w:val="0"/>
          <w:sz w:val="21"/>
          <w:szCs w:val="21"/>
          <w:highlight w:val="none"/>
        </w:rPr>
        <w:tab/>
      </w:r>
      <w:r>
        <w:rPr>
          <w:rStyle w:val="48"/>
          <w:rFonts w:cs="宋体" w:asciiTheme="minorEastAsia" w:hAnsiTheme="minorEastAsia" w:eastAsiaTheme="minorEastAsia"/>
          <w:b w:val="0"/>
          <w:sz w:val="21"/>
          <w:szCs w:val="21"/>
          <w:highlight w:val="none"/>
        </w:rPr>
        <w:fldChar w:fldCharType="end"/>
      </w:r>
      <w:r>
        <w:rPr>
          <w:rStyle w:val="48"/>
          <w:rFonts w:hint="eastAsia" w:cs="宋体" w:asciiTheme="minorEastAsia" w:hAnsiTheme="minorEastAsia" w:eastAsiaTheme="minorEastAsia"/>
          <w:b w:val="0"/>
          <w:sz w:val="21"/>
          <w:szCs w:val="21"/>
          <w:highlight w:val="none"/>
          <w:lang w:val="en-US" w:eastAsia="zh-CN"/>
        </w:rPr>
        <w:t>70</w:t>
      </w:r>
    </w:p>
    <w:p w14:paraId="3C845ECF">
      <w:pPr>
        <w:pStyle w:val="29"/>
        <w:tabs>
          <w:tab w:val="right" w:leader="dot" w:pos="8789"/>
          <w:tab w:val="clear" w:pos="8296"/>
        </w:tabs>
        <w:spacing w:line="360" w:lineRule="auto"/>
        <w:rPr>
          <w:rStyle w:val="48"/>
          <w:rFonts w:hint="default" w:cs="宋体" w:asciiTheme="minorEastAsia" w:hAnsiTheme="minorEastAsia" w:eastAsiaTheme="minorEastAsia"/>
          <w:b w:val="0"/>
          <w:sz w:val="21"/>
          <w:szCs w:val="21"/>
          <w:highlight w:val="none"/>
          <w:lang w:val="en-US" w:eastAsia="zh-CN"/>
        </w:rPr>
      </w:pPr>
      <w:r>
        <w:rPr>
          <w:highlight w:val="none"/>
        </w:rPr>
        <w:fldChar w:fldCharType="begin"/>
      </w:r>
      <w:r>
        <w:rPr>
          <w:highlight w:val="none"/>
        </w:rPr>
        <w:instrText xml:space="preserve"> HYPERLINK \l "_Toc167975607" </w:instrText>
      </w:r>
      <w:r>
        <w:rPr>
          <w:highlight w:val="none"/>
        </w:rPr>
        <w:fldChar w:fldCharType="separate"/>
      </w:r>
      <w:r>
        <w:rPr>
          <w:rStyle w:val="48"/>
          <w:rFonts w:hint="eastAsia" w:cs="宋体" w:asciiTheme="minorEastAsia" w:hAnsiTheme="minorEastAsia" w:eastAsiaTheme="minorEastAsia"/>
          <w:b w:val="0"/>
          <w:sz w:val="21"/>
          <w:szCs w:val="21"/>
          <w:highlight w:val="none"/>
        </w:rPr>
        <w:t>附件</w:t>
      </w:r>
      <w:r>
        <w:rPr>
          <w:rStyle w:val="48"/>
          <w:rFonts w:cs="宋体" w:asciiTheme="minorEastAsia" w:hAnsiTheme="minorEastAsia" w:eastAsiaTheme="minorEastAsia"/>
          <w:b w:val="0"/>
          <w:sz w:val="21"/>
          <w:szCs w:val="21"/>
          <w:highlight w:val="none"/>
        </w:rPr>
        <w:t xml:space="preserve">7 </w:t>
      </w:r>
      <w:r>
        <w:rPr>
          <w:rStyle w:val="48"/>
          <w:rFonts w:hint="eastAsia" w:cs="宋体" w:asciiTheme="minorEastAsia" w:hAnsiTheme="minorEastAsia" w:eastAsiaTheme="minorEastAsia"/>
          <w:b w:val="0"/>
          <w:sz w:val="21"/>
          <w:szCs w:val="21"/>
          <w:highlight w:val="none"/>
        </w:rPr>
        <w:t>工程质量保修书</w:t>
      </w:r>
      <w:r>
        <w:rPr>
          <w:rStyle w:val="48"/>
          <w:rFonts w:cs="宋体" w:asciiTheme="minorEastAsia" w:hAnsiTheme="minorEastAsia" w:eastAsiaTheme="minorEastAsia"/>
          <w:b w:val="0"/>
          <w:sz w:val="21"/>
          <w:szCs w:val="21"/>
          <w:highlight w:val="none"/>
        </w:rPr>
        <w:tab/>
      </w:r>
      <w:r>
        <w:rPr>
          <w:rStyle w:val="48"/>
          <w:rFonts w:cs="宋体" w:asciiTheme="minorEastAsia" w:hAnsiTheme="minorEastAsia" w:eastAsiaTheme="minorEastAsia"/>
          <w:b w:val="0"/>
          <w:sz w:val="21"/>
          <w:szCs w:val="21"/>
          <w:highlight w:val="none"/>
        </w:rPr>
        <w:fldChar w:fldCharType="end"/>
      </w:r>
      <w:r>
        <w:rPr>
          <w:rStyle w:val="48"/>
          <w:rFonts w:hint="eastAsia" w:cs="宋体" w:asciiTheme="minorEastAsia" w:hAnsiTheme="minorEastAsia" w:eastAsiaTheme="minorEastAsia"/>
          <w:b w:val="0"/>
          <w:sz w:val="21"/>
          <w:szCs w:val="21"/>
          <w:highlight w:val="none"/>
          <w:lang w:val="en-US" w:eastAsia="zh-CN"/>
        </w:rPr>
        <w:t>71</w:t>
      </w:r>
    </w:p>
    <w:p w14:paraId="7A56A4A5">
      <w:pPr>
        <w:pStyle w:val="29"/>
        <w:tabs>
          <w:tab w:val="right" w:leader="dot" w:pos="8789"/>
          <w:tab w:val="clear" w:pos="8296"/>
        </w:tabs>
        <w:spacing w:line="360" w:lineRule="auto"/>
        <w:rPr>
          <w:rStyle w:val="48"/>
          <w:rFonts w:hint="default" w:cs="宋体" w:asciiTheme="minorEastAsia" w:hAnsiTheme="minorEastAsia" w:eastAsiaTheme="minorEastAsia"/>
          <w:b w:val="0"/>
          <w:sz w:val="21"/>
          <w:szCs w:val="21"/>
          <w:highlight w:val="none"/>
          <w:lang w:val="en-US" w:eastAsia="zh-CN"/>
        </w:rPr>
      </w:pPr>
      <w:r>
        <w:rPr>
          <w:highlight w:val="none"/>
        </w:rPr>
        <w:fldChar w:fldCharType="begin"/>
      </w:r>
      <w:r>
        <w:rPr>
          <w:highlight w:val="none"/>
        </w:rPr>
        <w:instrText xml:space="preserve"> HYPERLINK \l "_Toc167975608" </w:instrText>
      </w:r>
      <w:r>
        <w:rPr>
          <w:highlight w:val="none"/>
        </w:rPr>
        <w:fldChar w:fldCharType="separate"/>
      </w:r>
      <w:r>
        <w:rPr>
          <w:rStyle w:val="48"/>
          <w:rFonts w:hint="eastAsia" w:cs="宋体" w:asciiTheme="minorEastAsia" w:hAnsiTheme="minorEastAsia" w:eastAsiaTheme="minorEastAsia"/>
          <w:b w:val="0"/>
          <w:sz w:val="21"/>
          <w:szCs w:val="21"/>
          <w:highlight w:val="none"/>
        </w:rPr>
        <w:t>附件</w:t>
      </w:r>
      <w:r>
        <w:rPr>
          <w:rStyle w:val="48"/>
          <w:rFonts w:cs="宋体" w:asciiTheme="minorEastAsia" w:hAnsiTheme="minorEastAsia" w:eastAsiaTheme="minorEastAsia"/>
          <w:b w:val="0"/>
          <w:sz w:val="21"/>
          <w:szCs w:val="21"/>
          <w:highlight w:val="none"/>
        </w:rPr>
        <w:t>8</w:t>
      </w:r>
      <w:r>
        <w:rPr>
          <w:rStyle w:val="48"/>
          <w:rFonts w:hint="eastAsia" w:cs="宋体" w:asciiTheme="minorEastAsia" w:hAnsiTheme="minorEastAsia" w:eastAsiaTheme="minorEastAsia"/>
          <w:b w:val="0"/>
          <w:sz w:val="21"/>
          <w:szCs w:val="21"/>
          <w:highlight w:val="none"/>
        </w:rPr>
        <w:t>工程建设项目廉政责任书</w:t>
      </w:r>
      <w:r>
        <w:rPr>
          <w:rStyle w:val="48"/>
          <w:rFonts w:cs="宋体" w:asciiTheme="minorEastAsia" w:hAnsiTheme="minorEastAsia" w:eastAsiaTheme="minorEastAsia"/>
          <w:b w:val="0"/>
          <w:sz w:val="21"/>
          <w:szCs w:val="21"/>
          <w:highlight w:val="none"/>
        </w:rPr>
        <w:tab/>
      </w:r>
      <w:r>
        <w:rPr>
          <w:rStyle w:val="48"/>
          <w:rFonts w:cs="宋体" w:asciiTheme="minorEastAsia" w:hAnsiTheme="minorEastAsia" w:eastAsiaTheme="minorEastAsia"/>
          <w:b w:val="0"/>
          <w:sz w:val="21"/>
          <w:szCs w:val="21"/>
          <w:highlight w:val="none"/>
        </w:rPr>
        <w:fldChar w:fldCharType="end"/>
      </w:r>
      <w:r>
        <w:rPr>
          <w:rStyle w:val="48"/>
          <w:rFonts w:hint="eastAsia" w:cs="宋体" w:asciiTheme="minorEastAsia" w:hAnsiTheme="minorEastAsia" w:eastAsiaTheme="minorEastAsia"/>
          <w:b w:val="0"/>
          <w:sz w:val="21"/>
          <w:szCs w:val="21"/>
          <w:highlight w:val="none"/>
          <w:lang w:val="en-US" w:eastAsia="zh-CN"/>
        </w:rPr>
        <w:t>73</w:t>
      </w:r>
    </w:p>
    <w:p w14:paraId="263BF113">
      <w:pPr>
        <w:pStyle w:val="29"/>
        <w:tabs>
          <w:tab w:val="right" w:leader="dot" w:pos="8789"/>
          <w:tab w:val="clear" w:pos="8296"/>
        </w:tabs>
        <w:spacing w:line="360" w:lineRule="auto"/>
        <w:rPr>
          <w:rStyle w:val="48"/>
          <w:rFonts w:hint="default" w:cs="宋体" w:asciiTheme="minorEastAsia" w:hAnsiTheme="minorEastAsia" w:eastAsiaTheme="minorEastAsia"/>
          <w:b w:val="0"/>
          <w:sz w:val="21"/>
          <w:szCs w:val="21"/>
          <w:highlight w:val="none"/>
          <w:lang w:val="en-US" w:eastAsia="zh-CN"/>
        </w:rPr>
      </w:pPr>
      <w:r>
        <w:rPr>
          <w:highlight w:val="none"/>
        </w:rPr>
        <w:fldChar w:fldCharType="begin"/>
      </w:r>
      <w:r>
        <w:rPr>
          <w:highlight w:val="none"/>
        </w:rPr>
        <w:instrText xml:space="preserve"> HYPERLINK \l "_Toc167975609" </w:instrText>
      </w:r>
      <w:r>
        <w:rPr>
          <w:highlight w:val="none"/>
        </w:rPr>
        <w:fldChar w:fldCharType="separate"/>
      </w:r>
      <w:r>
        <w:rPr>
          <w:rStyle w:val="48"/>
          <w:rFonts w:hint="eastAsia" w:cs="宋体" w:asciiTheme="minorEastAsia" w:hAnsiTheme="minorEastAsia" w:eastAsiaTheme="minorEastAsia"/>
          <w:b w:val="0"/>
          <w:sz w:val="21"/>
          <w:szCs w:val="21"/>
          <w:highlight w:val="none"/>
        </w:rPr>
        <w:t>附件</w:t>
      </w:r>
      <w:r>
        <w:rPr>
          <w:rStyle w:val="48"/>
          <w:rFonts w:cs="宋体" w:asciiTheme="minorEastAsia" w:hAnsiTheme="minorEastAsia" w:eastAsiaTheme="minorEastAsia"/>
          <w:b w:val="0"/>
          <w:sz w:val="21"/>
          <w:szCs w:val="21"/>
          <w:highlight w:val="none"/>
        </w:rPr>
        <w:t xml:space="preserve">9 </w:t>
      </w:r>
      <w:r>
        <w:rPr>
          <w:rStyle w:val="48"/>
          <w:rFonts w:hint="eastAsia" w:cs="宋体" w:asciiTheme="minorEastAsia" w:hAnsiTheme="minorEastAsia" w:eastAsiaTheme="minorEastAsia"/>
          <w:b w:val="0"/>
          <w:sz w:val="21"/>
          <w:szCs w:val="21"/>
          <w:highlight w:val="none"/>
        </w:rPr>
        <w:t>工程建设资金拨付管理办法及实施细则</w:t>
      </w:r>
      <w:r>
        <w:rPr>
          <w:rStyle w:val="48"/>
          <w:rFonts w:cs="宋体" w:asciiTheme="minorEastAsia" w:hAnsiTheme="minorEastAsia" w:eastAsiaTheme="minorEastAsia"/>
          <w:b w:val="0"/>
          <w:sz w:val="21"/>
          <w:szCs w:val="21"/>
          <w:highlight w:val="none"/>
        </w:rPr>
        <w:tab/>
      </w:r>
      <w:r>
        <w:rPr>
          <w:rStyle w:val="48"/>
          <w:rFonts w:cs="宋体" w:asciiTheme="minorEastAsia" w:hAnsiTheme="minorEastAsia" w:eastAsiaTheme="minorEastAsia"/>
          <w:b w:val="0"/>
          <w:sz w:val="21"/>
          <w:szCs w:val="21"/>
          <w:highlight w:val="none"/>
        </w:rPr>
        <w:fldChar w:fldCharType="end"/>
      </w:r>
      <w:r>
        <w:rPr>
          <w:rStyle w:val="48"/>
          <w:rFonts w:hint="eastAsia" w:cs="宋体" w:asciiTheme="minorEastAsia" w:hAnsiTheme="minorEastAsia" w:eastAsiaTheme="minorEastAsia"/>
          <w:b w:val="0"/>
          <w:sz w:val="21"/>
          <w:szCs w:val="21"/>
          <w:highlight w:val="none"/>
          <w:lang w:val="en-US" w:eastAsia="zh-CN"/>
        </w:rPr>
        <w:t>76</w:t>
      </w:r>
    </w:p>
    <w:p w14:paraId="2642E85A">
      <w:pPr>
        <w:pStyle w:val="29"/>
        <w:tabs>
          <w:tab w:val="right" w:leader="dot" w:pos="8789"/>
          <w:tab w:val="clear" w:pos="8296"/>
        </w:tabs>
        <w:spacing w:line="360" w:lineRule="auto"/>
        <w:rPr>
          <w:rStyle w:val="48"/>
          <w:rFonts w:hint="default" w:cs="宋体" w:asciiTheme="minorEastAsia" w:hAnsiTheme="minorEastAsia" w:eastAsiaTheme="minorEastAsia"/>
          <w:b w:val="0"/>
          <w:sz w:val="21"/>
          <w:szCs w:val="21"/>
          <w:highlight w:val="none"/>
          <w:lang w:val="en-US" w:eastAsia="zh-CN"/>
        </w:rPr>
      </w:pPr>
      <w:r>
        <w:rPr>
          <w:highlight w:val="none"/>
        </w:rPr>
        <w:fldChar w:fldCharType="begin"/>
      </w:r>
      <w:r>
        <w:rPr>
          <w:highlight w:val="none"/>
        </w:rPr>
        <w:instrText xml:space="preserve"> HYPERLINK \l "_Toc167975610" </w:instrText>
      </w:r>
      <w:r>
        <w:rPr>
          <w:highlight w:val="none"/>
        </w:rPr>
        <w:fldChar w:fldCharType="separate"/>
      </w:r>
      <w:r>
        <w:rPr>
          <w:rStyle w:val="48"/>
          <w:rFonts w:hint="eastAsia" w:cs="宋体" w:asciiTheme="minorEastAsia" w:hAnsiTheme="minorEastAsia" w:eastAsiaTheme="minorEastAsia"/>
          <w:b w:val="0"/>
          <w:sz w:val="21"/>
          <w:szCs w:val="21"/>
          <w:highlight w:val="none"/>
        </w:rPr>
        <w:t>附件</w:t>
      </w:r>
      <w:r>
        <w:rPr>
          <w:rStyle w:val="48"/>
          <w:rFonts w:cs="宋体" w:asciiTheme="minorEastAsia" w:hAnsiTheme="minorEastAsia" w:eastAsiaTheme="minorEastAsia"/>
          <w:b w:val="0"/>
          <w:sz w:val="21"/>
          <w:szCs w:val="21"/>
          <w:highlight w:val="none"/>
        </w:rPr>
        <w:t>10</w:t>
      </w:r>
      <w:r>
        <w:rPr>
          <w:rStyle w:val="48"/>
          <w:rFonts w:hint="eastAsia" w:cs="宋体" w:asciiTheme="minorEastAsia" w:hAnsiTheme="minorEastAsia" w:eastAsiaTheme="minorEastAsia"/>
          <w:b w:val="0"/>
          <w:sz w:val="21"/>
          <w:szCs w:val="21"/>
          <w:highlight w:val="none"/>
        </w:rPr>
        <w:t>安全生产不良行为扣分条款</w:t>
      </w:r>
      <w:r>
        <w:rPr>
          <w:rStyle w:val="48"/>
          <w:rFonts w:cs="宋体" w:asciiTheme="minorEastAsia" w:hAnsiTheme="minorEastAsia" w:eastAsiaTheme="minorEastAsia"/>
          <w:b w:val="0"/>
          <w:sz w:val="21"/>
          <w:szCs w:val="21"/>
          <w:highlight w:val="none"/>
        </w:rPr>
        <w:tab/>
      </w:r>
      <w:r>
        <w:rPr>
          <w:rStyle w:val="48"/>
          <w:rFonts w:cs="宋体" w:asciiTheme="minorEastAsia" w:hAnsiTheme="minorEastAsia" w:eastAsiaTheme="minorEastAsia"/>
          <w:b w:val="0"/>
          <w:sz w:val="21"/>
          <w:szCs w:val="21"/>
          <w:highlight w:val="none"/>
        </w:rPr>
        <w:fldChar w:fldCharType="end"/>
      </w:r>
      <w:r>
        <w:rPr>
          <w:rStyle w:val="48"/>
          <w:rFonts w:hint="eastAsia" w:cs="宋体" w:asciiTheme="minorEastAsia" w:hAnsiTheme="minorEastAsia" w:eastAsiaTheme="minorEastAsia"/>
          <w:b w:val="0"/>
          <w:sz w:val="21"/>
          <w:szCs w:val="21"/>
          <w:highlight w:val="none"/>
          <w:lang w:val="en-US" w:eastAsia="zh-CN"/>
        </w:rPr>
        <w:t>78</w:t>
      </w:r>
    </w:p>
    <w:p w14:paraId="696CDC7B">
      <w:pPr>
        <w:pStyle w:val="29"/>
        <w:tabs>
          <w:tab w:val="right" w:leader="dot" w:pos="8789"/>
          <w:tab w:val="clear" w:pos="8296"/>
        </w:tabs>
        <w:spacing w:line="360" w:lineRule="auto"/>
        <w:rPr>
          <w:rStyle w:val="48"/>
          <w:rFonts w:hint="default" w:cs="宋体" w:asciiTheme="minorEastAsia" w:hAnsiTheme="minorEastAsia" w:eastAsiaTheme="minorEastAsia"/>
          <w:b w:val="0"/>
          <w:sz w:val="21"/>
          <w:szCs w:val="21"/>
          <w:highlight w:val="none"/>
          <w:lang w:val="en-US" w:eastAsia="zh-CN"/>
        </w:rPr>
      </w:pPr>
      <w:r>
        <w:rPr>
          <w:highlight w:val="none"/>
        </w:rPr>
        <w:fldChar w:fldCharType="begin"/>
      </w:r>
      <w:r>
        <w:rPr>
          <w:highlight w:val="none"/>
        </w:rPr>
        <w:instrText xml:space="preserve"> HYPERLINK \l "_Toc167975611" </w:instrText>
      </w:r>
      <w:r>
        <w:rPr>
          <w:highlight w:val="none"/>
        </w:rPr>
        <w:fldChar w:fldCharType="separate"/>
      </w:r>
      <w:r>
        <w:rPr>
          <w:rStyle w:val="48"/>
          <w:rFonts w:hint="eastAsia" w:cs="宋体" w:asciiTheme="minorEastAsia" w:hAnsiTheme="minorEastAsia" w:eastAsiaTheme="minorEastAsia"/>
          <w:b w:val="0"/>
          <w:sz w:val="21"/>
          <w:szCs w:val="21"/>
          <w:highlight w:val="none"/>
        </w:rPr>
        <w:t>附件</w:t>
      </w:r>
      <w:r>
        <w:rPr>
          <w:rStyle w:val="48"/>
          <w:rFonts w:cs="宋体" w:asciiTheme="minorEastAsia" w:hAnsiTheme="minorEastAsia" w:eastAsiaTheme="minorEastAsia"/>
          <w:b w:val="0"/>
          <w:sz w:val="21"/>
          <w:szCs w:val="21"/>
          <w:highlight w:val="none"/>
        </w:rPr>
        <w:t xml:space="preserve">11 </w:t>
      </w:r>
      <w:r>
        <w:rPr>
          <w:rStyle w:val="48"/>
          <w:rFonts w:hint="eastAsia" w:cs="宋体" w:asciiTheme="minorEastAsia" w:hAnsiTheme="minorEastAsia" w:eastAsiaTheme="minorEastAsia"/>
          <w:b w:val="0"/>
          <w:sz w:val="21"/>
          <w:szCs w:val="21"/>
          <w:highlight w:val="none"/>
        </w:rPr>
        <w:t>深化设计图申报表</w:t>
      </w:r>
      <w:r>
        <w:rPr>
          <w:rStyle w:val="48"/>
          <w:rFonts w:cs="宋体" w:asciiTheme="minorEastAsia" w:hAnsiTheme="minorEastAsia" w:eastAsiaTheme="minorEastAsia"/>
          <w:b w:val="0"/>
          <w:sz w:val="21"/>
          <w:szCs w:val="21"/>
          <w:highlight w:val="none"/>
        </w:rPr>
        <w:tab/>
      </w:r>
      <w:r>
        <w:rPr>
          <w:rStyle w:val="48"/>
          <w:rFonts w:cs="宋体" w:asciiTheme="minorEastAsia" w:hAnsiTheme="minorEastAsia" w:eastAsiaTheme="minorEastAsia"/>
          <w:b w:val="0"/>
          <w:sz w:val="21"/>
          <w:szCs w:val="21"/>
          <w:highlight w:val="none"/>
        </w:rPr>
        <w:fldChar w:fldCharType="end"/>
      </w:r>
      <w:r>
        <w:rPr>
          <w:rStyle w:val="48"/>
          <w:rFonts w:hint="eastAsia" w:cs="宋体" w:asciiTheme="minorEastAsia" w:hAnsiTheme="minorEastAsia" w:eastAsiaTheme="minorEastAsia"/>
          <w:b w:val="0"/>
          <w:sz w:val="21"/>
          <w:szCs w:val="21"/>
          <w:highlight w:val="none"/>
          <w:lang w:val="en-US" w:eastAsia="zh-CN"/>
        </w:rPr>
        <w:t>83</w:t>
      </w:r>
    </w:p>
    <w:p w14:paraId="74AAD266">
      <w:pPr>
        <w:pStyle w:val="29"/>
        <w:tabs>
          <w:tab w:val="right" w:leader="dot" w:pos="8789"/>
          <w:tab w:val="clear" w:pos="8296"/>
        </w:tabs>
        <w:spacing w:line="360" w:lineRule="auto"/>
        <w:rPr>
          <w:rStyle w:val="48"/>
          <w:rFonts w:hint="default" w:cs="宋体" w:asciiTheme="minorEastAsia" w:hAnsiTheme="minorEastAsia" w:eastAsiaTheme="minorEastAsia"/>
          <w:b w:val="0"/>
          <w:sz w:val="21"/>
          <w:szCs w:val="21"/>
          <w:highlight w:val="none"/>
          <w:lang w:val="en-US" w:eastAsia="zh-CN"/>
        </w:rPr>
      </w:pPr>
      <w:r>
        <w:rPr>
          <w:highlight w:val="none"/>
        </w:rPr>
        <w:fldChar w:fldCharType="begin"/>
      </w:r>
      <w:r>
        <w:rPr>
          <w:highlight w:val="none"/>
        </w:rPr>
        <w:instrText xml:space="preserve"> HYPERLINK \l "_Toc167975612" </w:instrText>
      </w:r>
      <w:r>
        <w:rPr>
          <w:highlight w:val="none"/>
        </w:rPr>
        <w:fldChar w:fldCharType="separate"/>
      </w:r>
      <w:r>
        <w:rPr>
          <w:rStyle w:val="48"/>
          <w:rFonts w:hint="eastAsia" w:cs="宋体" w:asciiTheme="minorEastAsia" w:hAnsiTheme="minorEastAsia" w:eastAsiaTheme="minorEastAsia"/>
          <w:b w:val="0"/>
          <w:sz w:val="21"/>
          <w:szCs w:val="21"/>
          <w:highlight w:val="none"/>
        </w:rPr>
        <w:t>附件</w:t>
      </w:r>
      <w:r>
        <w:rPr>
          <w:rStyle w:val="48"/>
          <w:rFonts w:cs="宋体" w:asciiTheme="minorEastAsia" w:hAnsiTheme="minorEastAsia" w:eastAsiaTheme="minorEastAsia"/>
          <w:b w:val="0"/>
          <w:sz w:val="21"/>
          <w:szCs w:val="21"/>
          <w:highlight w:val="none"/>
        </w:rPr>
        <w:t xml:space="preserve">12 </w:t>
      </w:r>
      <w:r>
        <w:rPr>
          <w:rStyle w:val="48"/>
          <w:rFonts w:hint="eastAsia" w:cs="宋体" w:asciiTheme="minorEastAsia" w:hAnsiTheme="minorEastAsia" w:eastAsiaTheme="minorEastAsia"/>
          <w:b w:val="0"/>
          <w:sz w:val="21"/>
          <w:szCs w:val="21"/>
          <w:highlight w:val="none"/>
        </w:rPr>
        <w:t>拟投人员一览表（按投标文件）</w:t>
      </w:r>
      <w:r>
        <w:rPr>
          <w:rStyle w:val="48"/>
          <w:rFonts w:cs="宋体" w:asciiTheme="minorEastAsia" w:hAnsiTheme="minorEastAsia" w:eastAsiaTheme="minorEastAsia"/>
          <w:b w:val="0"/>
          <w:sz w:val="21"/>
          <w:szCs w:val="21"/>
          <w:highlight w:val="none"/>
        </w:rPr>
        <w:tab/>
      </w:r>
      <w:r>
        <w:rPr>
          <w:rStyle w:val="48"/>
          <w:rFonts w:cs="宋体" w:asciiTheme="minorEastAsia" w:hAnsiTheme="minorEastAsia" w:eastAsiaTheme="minorEastAsia"/>
          <w:b w:val="0"/>
          <w:sz w:val="21"/>
          <w:szCs w:val="21"/>
          <w:highlight w:val="none"/>
        </w:rPr>
        <w:fldChar w:fldCharType="end"/>
      </w:r>
      <w:r>
        <w:rPr>
          <w:rStyle w:val="48"/>
          <w:rFonts w:hint="eastAsia" w:cs="宋体" w:asciiTheme="minorEastAsia" w:hAnsiTheme="minorEastAsia" w:eastAsiaTheme="minorEastAsia"/>
          <w:b w:val="0"/>
          <w:sz w:val="21"/>
          <w:szCs w:val="21"/>
          <w:highlight w:val="none"/>
          <w:lang w:val="en-US" w:eastAsia="zh-CN"/>
        </w:rPr>
        <w:t>85</w:t>
      </w:r>
    </w:p>
    <w:p w14:paraId="479F0C2C">
      <w:pPr>
        <w:pStyle w:val="29"/>
        <w:tabs>
          <w:tab w:val="right" w:leader="dot" w:pos="8789"/>
          <w:tab w:val="clear" w:pos="8296"/>
        </w:tabs>
        <w:spacing w:line="360" w:lineRule="auto"/>
        <w:rPr>
          <w:rStyle w:val="48"/>
          <w:rFonts w:hint="default" w:cs="宋体" w:asciiTheme="minorEastAsia" w:hAnsiTheme="minorEastAsia" w:eastAsiaTheme="minorEastAsia"/>
          <w:b w:val="0"/>
          <w:sz w:val="21"/>
          <w:szCs w:val="21"/>
          <w:highlight w:val="none"/>
          <w:lang w:val="en-US" w:eastAsia="zh-CN"/>
        </w:rPr>
      </w:pPr>
      <w:r>
        <w:rPr>
          <w:highlight w:val="none"/>
        </w:rPr>
        <w:fldChar w:fldCharType="begin"/>
      </w:r>
      <w:r>
        <w:rPr>
          <w:highlight w:val="none"/>
        </w:rPr>
        <w:instrText xml:space="preserve"> HYPERLINK \l "_Toc167975614" </w:instrText>
      </w:r>
      <w:r>
        <w:rPr>
          <w:highlight w:val="none"/>
        </w:rPr>
        <w:fldChar w:fldCharType="separate"/>
      </w:r>
      <w:r>
        <w:rPr>
          <w:rStyle w:val="48"/>
          <w:rFonts w:hint="eastAsia" w:cs="宋体" w:asciiTheme="minorEastAsia" w:hAnsiTheme="minorEastAsia" w:eastAsiaTheme="minorEastAsia"/>
          <w:b w:val="0"/>
          <w:sz w:val="21"/>
          <w:szCs w:val="21"/>
          <w:highlight w:val="none"/>
        </w:rPr>
        <w:t>附件</w:t>
      </w:r>
      <w:r>
        <w:rPr>
          <w:rStyle w:val="48"/>
          <w:rFonts w:cs="宋体" w:asciiTheme="minorEastAsia" w:hAnsiTheme="minorEastAsia" w:eastAsiaTheme="minorEastAsia"/>
          <w:b w:val="0"/>
          <w:sz w:val="21"/>
          <w:szCs w:val="21"/>
          <w:highlight w:val="none"/>
        </w:rPr>
        <w:t>1</w:t>
      </w:r>
      <w:r>
        <w:rPr>
          <w:rStyle w:val="48"/>
          <w:rFonts w:hint="eastAsia" w:cs="宋体" w:asciiTheme="minorEastAsia" w:hAnsiTheme="minorEastAsia" w:eastAsiaTheme="minorEastAsia"/>
          <w:b w:val="0"/>
          <w:sz w:val="21"/>
          <w:szCs w:val="21"/>
          <w:highlight w:val="none"/>
          <w:lang w:val="en-US" w:eastAsia="zh-CN"/>
        </w:rPr>
        <w:t>3</w:t>
      </w:r>
      <w:r>
        <w:rPr>
          <w:rStyle w:val="48"/>
          <w:rFonts w:cs="宋体" w:asciiTheme="minorEastAsia" w:hAnsiTheme="minorEastAsia" w:eastAsiaTheme="minorEastAsia"/>
          <w:b w:val="0"/>
          <w:sz w:val="21"/>
          <w:szCs w:val="21"/>
          <w:highlight w:val="none"/>
        </w:rPr>
        <w:t xml:space="preserve"> </w:t>
      </w:r>
      <w:r>
        <w:rPr>
          <w:rStyle w:val="48"/>
          <w:rFonts w:hint="eastAsia" w:cs="宋体" w:asciiTheme="minorEastAsia" w:hAnsiTheme="minorEastAsia" w:eastAsiaTheme="minorEastAsia"/>
          <w:b w:val="0"/>
          <w:sz w:val="21"/>
          <w:szCs w:val="21"/>
          <w:highlight w:val="none"/>
        </w:rPr>
        <w:t>质量风险检查表（另册）</w:t>
      </w:r>
      <w:r>
        <w:rPr>
          <w:rStyle w:val="48"/>
          <w:rFonts w:cs="宋体" w:asciiTheme="minorEastAsia" w:hAnsiTheme="minorEastAsia" w:eastAsiaTheme="minorEastAsia"/>
          <w:b w:val="0"/>
          <w:sz w:val="21"/>
          <w:szCs w:val="21"/>
          <w:highlight w:val="none"/>
        </w:rPr>
        <w:tab/>
      </w:r>
      <w:r>
        <w:rPr>
          <w:rStyle w:val="48"/>
          <w:rFonts w:cs="宋体" w:asciiTheme="minorEastAsia" w:hAnsiTheme="minorEastAsia" w:eastAsiaTheme="minorEastAsia"/>
          <w:b w:val="0"/>
          <w:sz w:val="21"/>
          <w:szCs w:val="21"/>
          <w:highlight w:val="none"/>
        </w:rPr>
        <w:fldChar w:fldCharType="end"/>
      </w:r>
      <w:r>
        <w:rPr>
          <w:rStyle w:val="48"/>
          <w:rFonts w:hint="eastAsia" w:cs="宋体" w:asciiTheme="minorEastAsia" w:hAnsiTheme="minorEastAsia" w:eastAsiaTheme="minorEastAsia"/>
          <w:b w:val="0"/>
          <w:sz w:val="21"/>
          <w:szCs w:val="21"/>
          <w:highlight w:val="none"/>
          <w:lang w:val="en-US" w:eastAsia="zh-CN"/>
        </w:rPr>
        <w:t>85</w:t>
      </w:r>
    </w:p>
    <w:p w14:paraId="4664D5A3">
      <w:pPr>
        <w:pStyle w:val="29"/>
        <w:tabs>
          <w:tab w:val="right" w:leader="dot" w:pos="8789"/>
          <w:tab w:val="clear" w:pos="8296"/>
        </w:tabs>
        <w:spacing w:line="360" w:lineRule="auto"/>
        <w:rPr>
          <w:rStyle w:val="48"/>
          <w:rFonts w:hint="eastAsia" w:cs="宋体" w:asciiTheme="minorEastAsia" w:hAnsiTheme="minorEastAsia" w:eastAsiaTheme="minorEastAsia"/>
          <w:b w:val="0"/>
          <w:sz w:val="21"/>
          <w:szCs w:val="21"/>
          <w:highlight w:val="none"/>
          <w:lang w:val="en-US" w:eastAsia="zh-CN"/>
        </w:rPr>
      </w:pPr>
      <w:r>
        <w:rPr>
          <w:highlight w:val="none"/>
        </w:rPr>
        <w:fldChar w:fldCharType="begin"/>
      </w:r>
      <w:r>
        <w:rPr>
          <w:highlight w:val="none"/>
        </w:rPr>
        <w:instrText xml:space="preserve"> HYPERLINK \l "_Toc167975615" </w:instrText>
      </w:r>
      <w:r>
        <w:rPr>
          <w:highlight w:val="none"/>
        </w:rPr>
        <w:fldChar w:fldCharType="separate"/>
      </w:r>
      <w:r>
        <w:rPr>
          <w:rStyle w:val="48"/>
          <w:rFonts w:hint="eastAsia" w:cs="宋体" w:asciiTheme="minorEastAsia" w:hAnsiTheme="minorEastAsia" w:eastAsiaTheme="minorEastAsia"/>
          <w:b w:val="0"/>
          <w:sz w:val="21"/>
          <w:szCs w:val="21"/>
          <w:highlight w:val="none"/>
        </w:rPr>
        <w:t>附件</w:t>
      </w:r>
      <w:r>
        <w:rPr>
          <w:rStyle w:val="48"/>
          <w:rFonts w:cs="宋体" w:asciiTheme="minorEastAsia" w:hAnsiTheme="minorEastAsia" w:eastAsiaTheme="minorEastAsia"/>
          <w:b w:val="0"/>
          <w:sz w:val="21"/>
          <w:szCs w:val="21"/>
          <w:highlight w:val="none"/>
        </w:rPr>
        <w:t>1</w:t>
      </w:r>
      <w:r>
        <w:rPr>
          <w:rStyle w:val="48"/>
          <w:rFonts w:hint="eastAsia" w:cs="宋体" w:asciiTheme="minorEastAsia" w:hAnsiTheme="minorEastAsia" w:eastAsiaTheme="minorEastAsia"/>
          <w:b w:val="0"/>
          <w:sz w:val="21"/>
          <w:szCs w:val="21"/>
          <w:highlight w:val="none"/>
          <w:lang w:val="en-US" w:eastAsia="zh-CN"/>
        </w:rPr>
        <w:t>4</w:t>
      </w:r>
      <w:r>
        <w:rPr>
          <w:rStyle w:val="48"/>
          <w:rFonts w:cs="宋体" w:asciiTheme="minorEastAsia" w:hAnsiTheme="minorEastAsia" w:eastAsiaTheme="minorEastAsia"/>
          <w:b w:val="0"/>
          <w:sz w:val="21"/>
          <w:szCs w:val="21"/>
          <w:highlight w:val="none"/>
        </w:rPr>
        <w:t xml:space="preserve"> </w:t>
      </w:r>
      <w:r>
        <w:rPr>
          <w:rStyle w:val="48"/>
          <w:rFonts w:hint="eastAsia" w:cs="宋体" w:asciiTheme="minorEastAsia" w:hAnsiTheme="minorEastAsia" w:eastAsiaTheme="minorEastAsia"/>
          <w:b w:val="0"/>
          <w:sz w:val="21"/>
          <w:szCs w:val="21"/>
          <w:highlight w:val="none"/>
        </w:rPr>
        <w:t>粤海置地建设工程安全文明施工标准化图册（另册）</w:t>
      </w:r>
      <w:r>
        <w:rPr>
          <w:rStyle w:val="48"/>
          <w:rFonts w:cs="宋体" w:asciiTheme="minorEastAsia" w:hAnsiTheme="minorEastAsia" w:eastAsiaTheme="minorEastAsia"/>
          <w:b w:val="0"/>
          <w:sz w:val="21"/>
          <w:szCs w:val="21"/>
          <w:highlight w:val="none"/>
        </w:rPr>
        <w:tab/>
      </w:r>
      <w:r>
        <w:rPr>
          <w:rStyle w:val="48"/>
          <w:rFonts w:cs="宋体" w:asciiTheme="minorEastAsia" w:hAnsiTheme="minorEastAsia" w:eastAsiaTheme="minorEastAsia"/>
          <w:b w:val="0"/>
          <w:sz w:val="21"/>
          <w:szCs w:val="21"/>
          <w:highlight w:val="none"/>
        </w:rPr>
        <w:fldChar w:fldCharType="end"/>
      </w:r>
      <w:r>
        <w:rPr>
          <w:rStyle w:val="48"/>
          <w:rFonts w:hint="eastAsia" w:cs="宋体" w:asciiTheme="minorEastAsia" w:hAnsiTheme="minorEastAsia" w:eastAsiaTheme="minorEastAsia"/>
          <w:b w:val="0"/>
          <w:sz w:val="21"/>
          <w:szCs w:val="21"/>
          <w:highlight w:val="none"/>
          <w:lang w:val="en-US" w:eastAsia="zh-CN"/>
        </w:rPr>
        <w:t>85</w:t>
      </w:r>
    </w:p>
    <w:p w14:paraId="76A3C6A2">
      <w:pPr>
        <w:rPr>
          <w:rFonts w:hint="default"/>
          <w:highlight w:val="none"/>
          <w:lang w:val="en-US" w:eastAsia="zh-CN"/>
        </w:rPr>
      </w:pPr>
      <w:r>
        <w:rPr>
          <w:highlight w:val="none"/>
        </w:rPr>
        <w:fldChar w:fldCharType="begin"/>
      </w:r>
      <w:r>
        <w:rPr>
          <w:highlight w:val="none"/>
        </w:rPr>
        <w:instrText xml:space="preserve"> HYPERLINK \l "_Toc167975615" </w:instrText>
      </w:r>
      <w:r>
        <w:rPr>
          <w:highlight w:val="none"/>
        </w:rPr>
        <w:fldChar w:fldCharType="separate"/>
      </w:r>
      <w:r>
        <w:rPr>
          <w:rStyle w:val="48"/>
          <w:rFonts w:hint="eastAsia" w:cs="宋体" w:asciiTheme="minorEastAsia" w:hAnsiTheme="minorEastAsia" w:eastAsiaTheme="minorEastAsia"/>
          <w:b w:val="0"/>
          <w:sz w:val="21"/>
          <w:szCs w:val="21"/>
          <w:highlight w:val="none"/>
        </w:rPr>
        <w:t>附件</w:t>
      </w:r>
      <w:r>
        <w:rPr>
          <w:rStyle w:val="48"/>
          <w:rFonts w:cs="宋体" w:asciiTheme="minorEastAsia" w:hAnsiTheme="minorEastAsia" w:eastAsiaTheme="minorEastAsia"/>
          <w:b w:val="0"/>
          <w:sz w:val="21"/>
          <w:szCs w:val="21"/>
          <w:highlight w:val="none"/>
        </w:rPr>
        <w:t>1</w:t>
      </w:r>
      <w:r>
        <w:rPr>
          <w:rStyle w:val="48"/>
          <w:rFonts w:hint="eastAsia" w:cs="宋体" w:asciiTheme="minorEastAsia" w:hAnsiTheme="minorEastAsia" w:eastAsiaTheme="minorEastAsia"/>
          <w:b w:val="0"/>
          <w:sz w:val="21"/>
          <w:szCs w:val="21"/>
          <w:highlight w:val="none"/>
          <w:lang w:val="en-US" w:eastAsia="zh-CN"/>
        </w:rPr>
        <w:t>5</w:t>
      </w:r>
      <w:r>
        <w:rPr>
          <w:rStyle w:val="48"/>
          <w:rFonts w:cs="宋体" w:asciiTheme="minorEastAsia" w:hAnsiTheme="minorEastAsia" w:eastAsiaTheme="minorEastAsia"/>
          <w:b w:val="0"/>
          <w:sz w:val="21"/>
          <w:szCs w:val="21"/>
          <w:highlight w:val="none"/>
        </w:rPr>
        <w:t xml:space="preserve"> </w:t>
      </w:r>
      <w:r>
        <w:rPr>
          <w:rStyle w:val="48"/>
          <w:rFonts w:hint="eastAsia" w:cs="宋体" w:asciiTheme="minorEastAsia" w:hAnsiTheme="minorEastAsia" w:eastAsiaTheme="minorEastAsia"/>
          <w:b w:val="0"/>
          <w:sz w:val="21"/>
          <w:szCs w:val="21"/>
          <w:highlight w:val="none"/>
        </w:rPr>
        <w:t>建安类供方严重不良行为清单</w:t>
      </w:r>
      <w:r>
        <w:rPr>
          <w:rStyle w:val="48"/>
          <w:rFonts w:hint="eastAsia" w:cs="宋体" w:asciiTheme="minorEastAsia" w:hAnsiTheme="minorEastAsia" w:eastAsiaTheme="minorEastAsia"/>
          <w:b w:val="0"/>
          <w:sz w:val="21"/>
          <w:szCs w:val="21"/>
          <w:highlight w:val="none"/>
          <w:lang w:val="en-US" w:eastAsia="zh-CN"/>
        </w:rPr>
        <w:t xml:space="preserve">                                                </w:t>
      </w:r>
      <w:r>
        <w:rPr>
          <w:rStyle w:val="48"/>
          <w:rFonts w:cs="宋体" w:asciiTheme="minorEastAsia" w:hAnsiTheme="minorEastAsia" w:eastAsiaTheme="minorEastAsia"/>
          <w:b w:val="0"/>
          <w:sz w:val="21"/>
          <w:szCs w:val="21"/>
          <w:highlight w:val="none"/>
        </w:rPr>
        <w:tab/>
      </w:r>
      <w:r>
        <w:rPr>
          <w:rStyle w:val="48"/>
          <w:rFonts w:cs="宋体" w:asciiTheme="minorEastAsia" w:hAnsiTheme="minorEastAsia" w:eastAsiaTheme="minorEastAsia"/>
          <w:b w:val="0"/>
          <w:sz w:val="21"/>
          <w:szCs w:val="21"/>
          <w:highlight w:val="none"/>
        </w:rPr>
        <w:fldChar w:fldCharType="end"/>
      </w:r>
      <w:r>
        <w:rPr>
          <w:rStyle w:val="48"/>
          <w:rFonts w:hint="eastAsia" w:cs="宋体" w:asciiTheme="minorEastAsia" w:hAnsiTheme="minorEastAsia" w:eastAsiaTheme="minorEastAsia"/>
          <w:b w:val="0"/>
          <w:sz w:val="21"/>
          <w:szCs w:val="21"/>
          <w:highlight w:val="none"/>
          <w:lang w:val="en-US" w:eastAsia="zh-CN"/>
        </w:rPr>
        <w:t>85</w:t>
      </w:r>
    </w:p>
    <w:p w14:paraId="7F11F9F1">
      <w:pPr>
        <w:pStyle w:val="29"/>
        <w:tabs>
          <w:tab w:val="right" w:leader="dot" w:pos="8789"/>
          <w:tab w:val="clear" w:pos="8296"/>
        </w:tabs>
        <w:spacing w:line="360" w:lineRule="auto"/>
        <w:rPr>
          <w:rStyle w:val="48"/>
          <w:rFonts w:hint="eastAsia" w:cs="宋体" w:asciiTheme="minorEastAsia" w:hAnsiTheme="minorEastAsia" w:eastAsiaTheme="minorEastAsia"/>
          <w:b w:val="0"/>
          <w:sz w:val="21"/>
          <w:szCs w:val="21"/>
          <w:highlight w:val="none"/>
          <w:lang w:val="en-US" w:eastAsia="zh-CN"/>
        </w:rPr>
      </w:pPr>
      <w:r>
        <w:rPr>
          <w:rStyle w:val="48"/>
          <w:rFonts w:cs="宋体" w:asciiTheme="minorEastAsia" w:hAnsiTheme="minorEastAsia" w:eastAsiaTheme="minorEastAsia"/>
          <w:highlight w:val="none"/>
        </w:rPr>
        <w:fldChar w:fldCharType="end"/>
      </w:r>
      <w:bookmarkStart w:id="8" w:name="_Toc351203480"/>
      <w:r>
        <w:rPr>
          <w:rStyle w:val="48"/>
          <w:rFonts w:hint="eastAsia" w:cs="宋体" w:asciiTheme="minorEastAsia" w:hAnsiTheme="minorEastAsia" w:eastAsiaTheme="minorEastAsia"/>
          <w:b w:val="0"/>
          <w:kern w:val="2"/>
          <w:sz w:val="21"/>
          <w:szCs w:val="21"/>
          <w:highlight w:val="none"/>
        </w:rPr>
        <w:fldChar w:fldCharType="begin"/>
      </w:r>
      <w:r>
        <w:rPr>
          <w:rStyle w:val="48"/>
          <w:rFonts w:hint="eastAsia" w:cs="宋体" w:asciiTheme="minorEastAsia" w:hAnsiTheme="minorEastAsia" w:eastAsiaTheme="minorEastAsia"/>
          <w:b w:val="0"/>
          <w:kern w:val="2"/>
          <w:sz w:val="21"/>
          <w:szCs w:val="21"/>
          <w:highlight w:val="none"/>
        </w:rPr>
        <w:instrText xml:space="preserve"> HYPERLINK \l "_Toc167975615" </w:instrText>
      </w:r>
      <w:r>
        <w:rPr>
          <w:rStyle w:val="48"/>
          <w:rFonts w:hint="eastAsia" w:cs="宋体" w:asciiTheme="minorEastAsia" w:hAnsiTheme="minorEastAsia" w:eastAsiaTheme="minorEastAsia"/>
          <w:b w:val="0"/>
          <w:kern w:val="2"/>
          <w:sz w:val="21"/>
          <w:szCs w:val="21"/>
          <w:highlight w:val="none"/>
        </w:rPr>
        <w:fldChar w:fldCharType="separate"/>
      </w:r>
      <w:r>
        <w:rPr>
          <w:rStyle w:val="48"/>
          <w:rFonts w:hint="eastAsia" w:cs="宋体" w:asciiTheme="minorEastAsia" w:hAnsiTheme="minorEastAsia" w:eastAsiaTheme="minorEastAsia"/>
          <w:b w:val="0"/>
          <w:kern w:val="2"/>
          <w:sz w:val="21"/>
          <w:szCs w:val="21"/>
          <w:highlight w:val="none"/>
        </w:rPr>
        <w:t>附件1</w:t>
      </w:r>
      <w:r>
        <w:rPr>
          <w:rStyle w:val="48"/>
          <w:rFonts w:hint="eastAsia" w:cs="宋体" w:asciiTheme="minorEastAsia" w:hAnsiTheme="minorEastAsia" w:eastAsiaTheme="minorEastAsia"/>
          <w:b w:val="0"/>
          <w:kern w:val="2"/>
          <w:sz w:val="21"/>
          <w:szCs w:val="21"/>
          <w:highlight w:val="none"/>
          <w:lang w:val="en-US" w:eastAsia="zh-CN"/>
        </w:rPr>
        <w:t>6</w:t>
      </w:r>
      <w:r>
        <w:rPr>
          <w:rStyle w:val="48"/>
          <w:rFonts w:hint="eastAsia" w:cs="宋体" w:asciiTheme="minorEastAsia" w:hAnsiTheme="minorEastAsia" w:eastAsiaTheme="minorEastAsia"/>
          <w:b w:val="0"/>
          <w:kern w:val="2"/>
          <w:sz w:val="21"/>
          <w:szCs w:val="21"/>
          <w:highlight w:val="none"/>
        </w:rPr>
        <w:t>答疑澄清纪要（另册）</w:t>
      </w:r>
      <w:r>
        <w:rPr>
          <w:rStyle w:val="48"/>
          <w:rFonts w:hint="eastAsia" w:cs="宋体" w:asciiTheme="minorEastAsia" w:hAnsiTheme="minorEastAsia" w:eastAsiaTheme="minorEastAsia"/>
          <w:b w:val="0"/>
          <w:kern w:val="2"/>
          <w:sz w:val="21"/>
          <w:szCs w:val="21"/>
          <w:highlight w:val="none"/>
        </w:rPr>
        <w:tab/>
      </w:r>
      <w:r>
        <w:rPr>
          <w:rStyle w:val="48"/>
          <w:rFonts w:hint="eastAsia" w:cs="宋体" w:asciiTheme="minorEastAsia" w:hAnsiTheme="minorEastAsia" w:eastAsiaTheme="minorEastAsia"/>
          <w:b w:val="0"/>
          <w:kern w:val="2"/>
          <w:sz w:val="21"/>
          <w:szCs w:val="21"/>
          <w:highlight w:val="none"/>
        </w:rPr>
        <w:fldChar w:fldCharType="end"/>
      </w:r>
      <w:r>
        <w:rPr>
          <w:rStyle w:val="48"/>
          <w:rFonts w:hint="eastAsia" w:cs="宋体" w:asciiTheme="minorEastAsia" w:hAnsiTheme="minorEastAsia" w:eastAsiaTheme="minorEastAsia"/>
          <w:b w:val="0"/>
          <w:sz w:val="21"/>
          <w:szCs w:val="21"/>
          <w:highlight w:val="none"/>
          <w:lang w:val="en-US" w:eastAsia="zh-CN"/>
        </w:rPr>
        <w:t>85</w:t>
      </w:r>
    </w:p>
    <w:p w14:paraId="6C454091">
      <w:pPr>
        <w:rPr>
          <w:rFonts w:hint="default"/>
          <w:lang w:val="en-US" w:eastAsia="zh-CN"/>
        </w:rPr>
      </w:pPr>
      <w:r>
        <w:rPr>
          <w:rFonts w:hint="eastAsia"/>
          <w:lang w:val="en-US" w:eastAsia="zh-CN"/>
        </w:rPr>
        <w:t xml:space="preserve">附件17 投标承诺函（按投标文件）                                                  </w:t>
      </w:r>
      <w:r>
        <w:rPr>
          <w:rFonts w:hint="eastAsia" w:ascii="宋体" w:hAnsi="宋体" w:cs="宋体"/>
          <w:lang w:val="en-US" w:eastAsia="zh-CN"/>
        </w:rPr>
        <w:t>85</w:t>
      </w:r>
    </w:p>
    <w:p w14:paraId="436DB455">
      <w:pPr>
        <w:rPr>
          <w:rStyle w:val="48"/>
          <w:rFonts w:hint="eastAsia" w:cs="宋体" w:asciiTheme="minorEastAsia" w:hAnsiTheme="minorEastAsia" w:eastAsiaTheme="minorEastAsia"/>
          <w:b w:val="0"/>
          <w:sz w:val="21"/>
          <w:szCs w:val="21"/>
          <w:highlight w:val="none"/>
          <w:lang w:val="en-US" w:eastAsia="zh-CN"/>
        </w:rPr>
      </w:pPr>
    </w:p>
    <w:p w14:paraId="447757EA">
      <w:pPr>
        <w:rPr>
          <w:rStyle w:val="48"/>
          <w:rFonts w:hint="eastAsia" w:cs="宋体" w:asciiTheme="minorEastAsia" w:hAnsiTheme="minorEastAsia" w:eastAsiaTheme="minorEastAsia"/>
          <w:b w:val="0"/>
          <w:sz w:val="21"/>
          <w:szCs w:val="21"/>
          <w:highlight w:val="none"/>
          <w:lang w:val="en-US" w:eastAsia="zh-CN"/>
        </w:rPr>
        <w:sectPr>
          <w:footerReference r:id="rId5" w:type="first"/>
          <w:pgSz w:w="11906" w:h="16838"/>
          <w:pgMar w:top="1418" w:right="1555" w:bottom="1418" w:left="1531" w:header="851" w:footer="992" w:gutter="0"/>
          <w:cols w:space="720" w:num="1"/>
          <w:titlePg/>
          <w:docGrid w:type="lines" w:linePitch="312" w:charSpace="0"/>
        </w:sectPr>
      </w:pPr>
    </w:p>
    <w:p w14:paraId="0FD40435">
      <w:pPr>
        <w:pStyle w:val="72"/>
        <w:spacing w:after="100" w:line="540" w:lineRule="exact"/>
        <w:rPr>
          <w:rFonts w:ascii="Times New Roman" w:hAnsi="Times New Roman"/>
          <w:highlight w:val="none"/>
        </w:rPr>
      </w:pPr>
      <w:bookmarkStart w:id="9" w:name="_Toc402450430"/>
      <w:bookmarkStart w:id="10" w:name="_Toc31614"/>
      <w:bookmarkStart w:id="11" w:name="_Toc44492398"/>
      <w:bookmarkStart w:id="12" w:name="_Toc40186509"/>
      <w:bookmarkStart w:id="13" w:name="_Toc148462066"/>
      <w:bookmarkStart w:id="14" w:name="_Toc167975572"/>
      <w:bookmarkStart w:id="15" w:name="_Toc118447977"/>
      <w:bookmarkStart w:id="16" w:name="_Toc7445"/>
      <w:bookmarkStart w:id="17" w:name="_Toc24858"/>
      <w:bookmarkStart w:id="18" w:name="_Toc147841806"/>
      <w:bookmarkStart w:id="19" w:name="_Toc44227948"/>
      <w:r>
        <w:rPr>
          <w:rFonts w:hint="eastAsia"/>
          <w:highlight w:val="none"/>
        </w:rPr>
        <w:t>云港城项目</w:t>
      </w:r>
      <w:r>
        <w:rPr>
          <w:highlight w:val="none"/>
        </w:rPr>
        <w:t>4#地块工程施工总承包</w:t>
      </w:r>
      <w:bookmarkStart w:id="20" w:name="_Toc118466488"/>
      <w:r>
        <w:rPr>
          <w:rFonts w:hint="eastAsia"/>
          <w:highlight w:val="none"/>
        </w:rPr>
        <w:t>合同补充协议</w:t>
      </w:r>
      <w:bookmarkEnd w:id="8"/>
      <w:bookmarkEnd w:id="9"/>
      <w:bookmarkEnd w:id="10"/>
      <w:bookmarkEnd w:id="11"/>
      <w:bookmarkEnd w:id="12"/>
      <w:bookmarkEnd w:id="13"/>
      <w:bookmarkEnd w:id="14"/>
      <w:bookmarkEnd w:id="15"/>
      <w:bookmarkEnd w:id="16"/>
      <w:bookmarkEnd w:id="17"/>
      <w:bookmarkEnd w:id="18"/>
      <w:bookmarkEnd w:id="19"/>
      <w:bookmarkEnd w:id="20"/>
    </w:p>
    <w:p w14:paraId="18808117">
      <w:pPr>
        <w:pStyle w:val="56"/>
        <w:ind w:firstLine="420"/>
        <w:rPr>
          <w:rFonts w:ascii="宋体" w:hAnsi="宋体" w:cs="宋体"/>
          <w:b/>
          <w:color w:val="auto"/>
          <w:highlight w:val="none"/>
        </w:rPr>
      </w:pPr>
    </w:p>
    <w:p w14:paraId="306C5750">
      <w:pPr>
        <w:pStyle w:val="56"/>
        <w:ind w:firstLine="562"/>
        <w:rPr>
          <w:rFonts w:ascii="宋体" w:hAnsi="宋体" w:eastAsia="宋体" w:cs="宋体"/>
          <w:b/>
          <w:color w:val="auto"/>
          <w:sz w:val="28"/>
          <w:szCs w:val="30"/>
          <w:highlight w:val="none"/>
        </w:rPr>
      </w:pPr>
      <w:r>
        <w:rPr>
          <w:rFonts w:hint="eastAsia" w:ascii="宋体" w:hAnsi="宋体" w:eastAsia="宋体" w:cs="宋体"/>
          <w:b/>
          <w:color w:val="auto"/>
          <w:sz w:val="28"/>
          <w:szCs w:val="30"/>
          <w:highlight w:val="none"/>
        </w:rPr>
        <w:t>发包人（甲方）：</w:t>
      </w:r>
      <w:r>
        <w:rPr>
          <w:rFonts w:hint="eastAsia" w:ascii="宋体" w:hAnsi="宋体" w:eastAsia="宋体" w:cs="宋体"/>
          <w:b/>
          <w:color w:val="auto"/>
          <w:sz w:val="28"/>
          <w:szCs w:val="30"/>
          <w:highlight w:val="none"/>
          <w:u w:val="single"/>
        </w:rPr>
        <w:t>广东粤海置地发展有限公司</w:t>
      </w:r>
    </w:p>
    <w:p w14:paraId="1A29437C">
      <w:pPr>
        <w:pStyle w:val="56"/>
        <w:ind w:firstLine="562"/>
        <w:rPr>
          <w:rFonts w:ascii="宋体" w:hAnsi="宋体" w:eastAsia="宋体" w:cs="宋体"/>
          <w:b/>
          <w:color w:val="auto"/>
          <w:sz w:val="28"/>
          <w:szCs w:val="30"/>
          <w:highlight w:val="none"/>
          <w:u w:val="single"/>
        </w:rPr>
      </w:pPr>
      <w:r>
        <w:rPr>
          <w:rFonts w:hint="eastAsia" w:ascii="宋体" w:hAnsi="宋体" w:eastAsia="宋体" w:cs="宋体"/>
          <w:b/>
          <w:color w:val="auto"/>
          <w:sz w:val="28"/>
          <w:szCs w:val="30"/>
          <w:highlight w:val="none"/>
        </w:rPr>
        <w:t>承包人（乙方）：</w:t>
      </w:r>
      <w:r>
        <w:rPr>
          <w:rFonts w:hint="eastAsia" w:ascii="宋体" w:hAnsi="宋体" w:eastAsia="宋体" w:cs="宋体"/>
          <w:b/>
          <w:color w:val="auto"/>
          <w:sz w:val="28"/>
          <w:szCs w:val="30"/>
          <w:highlight w:val="none"/>
          <w:u w:val="single"/>
        </w:rPr>
        <w:t>中国建筑第五工程局有限公司</w:t>
      </w:r>
    </w:p>
    <w:p w14:paraId="38FCA5B4">
      <w:pPr>
        <w:pStyle w:val="56"/>
        <w:ind w:firstLine="480"/>
        <w:rPr>
          <w:rFonts w:ascii="宋体" w:hAnsi="宋体" w:cs="宋体"/>
          <w:bCs/>
          <w:color w:val="auto"/>
          <w:sz w:val="24"/>
          <w:szCs w:val="24"/>
          <w:highlight w:val="none"/>
        </w:rPr>
      </w:pPr>
      <w:r>
        <w:rPr>
          <w:rFonts w:hint="eastAsia" w:ascii="宋体" w:hAnsi="宋体" w:eastAsia="宋体" w:cs="宋体"/>
          <w:bCs/>
          <w:color w:val="auto"/>
          <w:sz w:val="24"/>
          <w:szCs w:val="24"/>
          <w:highlight w:val="none"/>
        </w:rPr>
        <w:t>鉴于：</w:t>
      </w:r>
    </w:p>
    <w:p w14:paraId="755ED2A6">
      <w:pPr>
        <w:pStyle w:val="56"/>
        <w:ind w:firstLine="480"/>
        <w:rPr>
          <w:rFonts w:ascii="宋体" w:hAnsi="宋体" w:cs="宋体"/>
          <w:bCs/>
          <w:color w:val="auto"/>
          <w:sz w:val="24"/>
          <w:szCs w:val="24"/>
          <w:highlight w:val="none"/>
        </w:rPr>
      </w:pPr>
      <w:r>
        <w:rPr>
          <w:rFonts w:ascii="宋体" w:hAnsi="宋体" w:eastAsia="宋体" w:cs="宋体"/>
          <w:bCs/>
          <w:color w:val="auto"/>
          <w:sz w:val="24"/>
          <w:szCs w:val="24"/>
          <w:highlight w:val="none"/>
        </w:rPr>
        <w:t>1、就</w:t>
      </w:r>
      <w:r>
        <w:rPr>
          <w:rFonts w:ascii="宋体" w:hAnsi="宋体" w:eastAsia="宋体" w:cs="宋体"/>
          <w:bCs/>
          <w:color w:val="auto"/>
          <w:sz w:val="24"/>
          <w:szCs w:val="24"/>
          <w:highlight w:val="none"/>
          <w:u w:val="single"/>
        </w:rPr>
        <w:t>粤海</w:t>
      </w:r>
      <w:r>
        <w:rPr>
          <w:rFonts w:hint="eastAsia" w:ascii="宋体" w:hAnsi="宋体" w:eastAsia="宋体" w:cs="宋体"/>
          <w:bCs/>
          <w:color w:val="auto"/>
          <w:sz w:val="24"/>
          <w:szCs w:val="24"/>
          <w:highlight w:val="none"/>
          <w:u w:val="single"/>
        </w:rPr>
        <w:t>•云港城项目</w:t>
      </w:r>
      <w:r>
        <w:rPr>
          <w:rFonts w:ascii="宋体" w:hAnsi="宋体" w:eastAsia="宋体" w:cs="宋体"/>
          <w:bCs/>
          <w:color w:val="auto"/>
          <w:highlight w:val="none"/>
          <w:u w:val="single"/>
        </w:rPr>
        <w:t>4#</w:t>
      </w:r>
      <w:r>
        <w:rPr>
          <w:rFonts w:hint="eastAsia" w:ascii="宋体" w:hAnsi="宋体" w:eastAsia="宋体" w:cs="宋体"/>
          <w:bCs/>
          <w:color w:val="auto"/>
          <w:sz w:val="24"/>
          <w:szCs w:val="24"/>
          <w:highlight w:val="none"/>
          <w:u w:val="single"/>
        </w:rPr>
        <w:t>地块工程施工总承包合同</w:t>
      </w:r>
      <w:r>
        <w:rPr>
          <w:rFonts w:hint="eastAsia" w:ascii="宋体" w:hAnsi="宋体" w:eastAsia="宋体" w:cs="宋体"/>
          <w:bCs/>
          <w:color w:val="auto"/>
          <w:sz w:val="24"/>
          <w:szCs w:val="24"/>
          <w:highlight w:val="none"/>
        </w:rPr>
        <w:t>事宜，甲乙双方于</w:t>
      </w:r>
      <w:r>
        <w:rPr>
          <w:rFonts w:ascii="宋体" w:hAnsi="宋体" w:eastAsia="宋体" w:cs="宋体"/>
          <w:bCs/>
          <w:color w:val="auto"/>
          <w:sz w:val="24"/>
          <w:szCs w:val="24"/>
          <w:highlight w:val="none"/>
        </w:rPr>
        <w:t xml:space="preserve">2021年 </w:t>
      </w:r>
      <w:r>
        <w:rPr>
          <w:rFonts w:hint="eastAsia" w:ascii="宋体" w:hAnsi="宋体" w:eastAsia="宋体" w:cs="宋体"/>
          <w:bCs/>
          <w:color w:val="auto"/>
          <w:sz w:val="24"/>
          <w:szCs w:val="24"/>
          <w:highlight w:val="none"/>
        </w:rPr>
        <w:t>月</w:t>
      </w:r>
      <w:r>
        <w:rPr>
          <w:rFonts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rPr>
        <w:t>日签订了《粤海•云港城项目</w:t>
      </w:r>
      <w:r>
        <w:rPr>
          <w:rFonts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rPr>
        <w:t>地块工程施工总承包合同》（甲方合同编号：</w:t>
      </w:r>
      <w:r>
        <w:rPr>
          <w:rFonts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rPr>
        <w:t>；乙方合同编号：</w:t>
      </w:r>
      <w:r>
        <w:rPr>
          <w:rFonts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 xml:space="preserve"> (以下称</w:t>
      </w:r>
      <w:r>
        <w:rPr>
          <w:rFonts w:hint="eastAsia" w:ascii="宋体" w:hAnsi="宋体" w:eastAsia="宋体" w:cs="宋体"/>
          <w:bCs/>
          <w:color w:val="auto"/>
          <w:highlight w:val="none"/>
        </w:rPr>
        <w:t>原合同</w:t>
      </w:r>
      <w:r>
        <w:rPr>
          <w:rFonts w:hint="eastAsia" w:ascii="宋体" w:hAnsi="宋体" w:eastAsia="宋体" w:cs="宋体"/>
          <w:bCs/>
          <w:color w:val="auto"/>
          <w:sz w:val="24"/>
          <w:szCs w:val="24"/>
          <w:highlight w:val="none"/>
        </w:rPr>
        <w:t>）。</w:t>
      </w:r>
    </w:p>
    <w:p w14:paraId="109E3461">
      <w:pPr>
        <w:pStyle w:val="56"/>
        <w:ind w:firstLine="420"/>
        <w:rPr>
          <w:rFonts w:ascii="宋体" w:hAnsi="宋体" w:eastAsia="宋体" w:cs="宋体"/>
          <w:bCs/>
          <w:color w:val="auto"/>
          <w:highlight w:val="none"/>
        </w:rPr>
      </w:pPr>
      <w:r>
        <w:rPr>
          <w:rFonts w:ascii="宋体" w:hAnsi="宋体" w:eastAsia="宋体" w:cs="宋体"/>
          <w:bCs/>
          <w:color w:val="auto"/>
          <w:highlight w:val="none"/>
        </w:rPr>
        <w:t>2、根据原合同专用</w:t>
      </w:r>
      <w:r>
        <w:rPr>
          <w:rFonts w:hint="eastAsia" w:ascii="宋体" w:hAnsi="宋体" w:eastAsia="宋体" w:cs="宋体"/>
          <w:bCs/>
          <w:color w:val="auto"/>
          <w:highlight w:val="none"/>
        </w:rPr>
        <w:t>条款第</w:t>
      </w:r>
      <w:r>
        <w:rPr>
          <w:rFonts w:ascii="宋体" w:hAnsi="宋体" w:eastAsia="宋体" w:cs="宋体"/>
          <w:bCs/>
          <w:color w:val="auto"/>
          <w:highlight w:val="none"/>
        </w:rPr>
        <w:t>16.4.2项</w:t>
      </w:r>
      <w:r>
        <w:rPr>
          <w:rFonts w:hint="eastAsia" w:ascii="宋体" w:hAnsi="宋体" w:eastAsia="宋体" w:cs="宋体"/>
          <w:bCs/>
          <w:color w:val="auto"/>
          <w:highlight w:val="none"/>
        </w:rPr>
        <w:t>第（</w:t>
      </w:r>
      <w:r>
        <w:rPr>
          <w:rFonts w:ascii="宋体" w:hAnsi="宋体" w:eastAsia="宋体" w:cs="宋体"/>
          <w:bCs/>
          <w:color w:val="auto"/>
          <w:highlight w:val="none"/>
        </w:rPr>
        <w:t xml:space="preserve">3）目第1）点 </w:t>
      </w:r>
      <w:r>
        <w:rPr>
          <w:rFonts w:hint="eastAsia" w:ascii="宋体" w:hAnsi="宋体" w:eastAsia="宋体" w:cs="宋体"/>
          <w:bCs/>
          <w:color w:val="auto"/>
          <w:highlight w:val="none"/>
        </w:rPr>
        <w:t>约定：“属于依法必须招标的，应由承发包双方依法组织招标选择承包人。……承包人应当与暂估价专业工程</w:t>
      </w:r>
      <w:r>
        <w:rPr>
          <w:rFonts w:ascii="宋体" w:hAnsi="宋体" w:eastAsia="宋体" w:cs="宋体"/>
          <w:bCs/>
          <w:color w:val="auto"/>
          <w:highlight w:val="none"/>
        </w:rPr>
        <w:t>/服务中标人依据中标结果签署专业分包合同，并履行总承包管理与服务的义务，同时享有计取总承包管理费的权利，签订分包合同所涉及属于承包人需承担的所有税费（各付</w:t>
      </w:r>
      <w:r>
        <w:rPr>
          <w:rFonts w:hint="eastAsia" w:ascii="宋体" w:hAnsi="宋体" w:eastAsia="宋体" w:cs="宋体"/>
          <w:bCs/>
          <w:color w:val="auto"/>
          <w:highlight w:val="none"/>
        </w:rPr>
        <w:t>各</w:t>
      </w:r>
      <w:r>
        <w:rPr>
          <w:rFonts w:ascii="宋体" w:hAnsi="宋体" w:eastAsia="宋体" w:cs="宋体"/>
          <w:bCs/>
          <w:color w:val="auto"/>
          <w:highlight w:val="none"/>
        </w:rPr>
        <w:t>税）已包括于合同暂定价款内。若承包人参与以发包人名义组织的暂估价专业工程/服务的招标且中标的，则按中标金额为依据取代本合同的相应的暂估价，发包人有权根据合同履约的实际情况通过补充协议方式调整本合同暂定价款，同时承包人不应再计取该专业工程/服务的总承包管理与服务费。”发包人与承包人就</w:t>
      </w:r>
      <w:r>
        <w:rPr>
          <w:rFonts w:hint="eastAsia" w:ascii="宋体" w:hAnsi="宋体" w:eastAsia="宋体" w:cs="宋体"/>
          <w:bCs/>
          <w:color w:val="auto"/>
          <w:highlight w:val="none"/>
          <w:u w:val="single"/>
        </w:rPr>
        <w:t>云港城项目4#地块T</w:t>
      </w:r>
      <w:r>
        <w:rPr>
          <w:rFonts w:hint="eastAsia" w:ascii="宋体" w:hAnsi="宋体" w:eastAsia="宋体" w:cs="宋体"/>
          <w:bCs/>
          <w:color w:val="auto"/>
          <w:highlight w:val="none"/>
          <w:u w:val="single"/>
          <w:lang w:val="en-US" w:eastAsia="zh-CN"/>
        </w:rPr>
        <w:t>2</w:t>
      </w:r>
      <w:r>
        <w:rPr>
          <w:rFonts w:hint="eastAsia" w:ascii="宋体" w:hAnsi="宋体" w:eastAsia="宋体" w:cs="宋体"/>
          <w:bCs/>
          <w:color w:val="auto"/>
          <w:highlight w:val="none"/>
          <w:u w:val="single"/>
        </w:rPr>
        <w:t>栋及附属裙楼幕墙工程</w:t>
      </w:r>
      <w:r>
        <w:rPr>
          <w:rFonts w:ascii="宋体" w:hAnsi="宋体" w:eastAsia="宋体" w:cs="宋体"/>
          <w:bCs/>
          <w:color w:val="auto"/>
          <w:highlight w:val="none"/>
          <w:u w:val="single"/>
        </w:rPr>
        <w:t>施工</w:t>
      </w:r>
      <w:r>
        <w:rPr>
          <w:rFonts w:hint="eastAsia" w:ascii="宋体" w:hAnsi="宋体" w:eastAsia="宋体" w:cs="宋体"/>
          <w:color w:val="auto"/>
          <w:highlight w:val="none"/>
          <w:u w:val="single"/>
        </w:rPr>
        <w:t>专业承包</w:t>
      </w:r>
      <w:r>
        <w:rPr>
          <w:rFonts w:hint="eastAsia" w:ascii="宋体" w:hAnsi="宋体" w:eastAsia="宋体" w:cs="宋体"/>
          <w:bCs/>
          <w:color w:val="auto"/>
          <w:highlight w:val="none"/>
        </w:rPr>
        <w:t>签订本补充协议，作为对原合同的补充及修订。中标人为</w:t>
      </w:r>
      <w:r>
        <w:rPr>
          <w:rFonts w:ascii="宋体" w:hAnsi="宋体" w:eastAsia="宋体" w:cs="宋体"/>
          <w:bCs/>
          <w:color w:val="auto"/>
          <w:highlight w:val="none"/>
        </w:rPr>
        <w:t xml:space="preserve">                </w:t>
      </w:r>
      <w:r>
        <w:rPr>
          <w:rFonts w:hint="eastAsia" w:ascii="宋体" w:hAnsi="宋体" w:eastAsia="宋体" w:cs="宋体"/>
          <w:bCs/>
          <w:color w:val="auto"/>
          <w:highlight w:val="none"/>
        </w:rPr>
        <w:t>，中标金额为</w:t>
      </w:r>
      <w:r>
        <w:rPr>
          <w:rFonts w:ascii="宋体" w:hAnsi="宋体" w:eastAsia="宋体" w:cs="宋体"/>
          <w:bCs/>
          <w:color w:val="auto"/>
          <w:highlight w:val="none"/>
        </w:rPr>
        <w:t xml:space="preserve">            </w:t>
      </w:r>
      <w:r>
        <w:rPr>
          <w:rFonts w:hint="eastAsia" w:ascii="宋体" w:hAnsi="宋体" w:eastAsia="宋体" w:cs="宋体"/>
          <w:bCs/>
          <w:color w:val="auto"/>
          <w:highlight w:val="none"/>
        </w:rPr>
        <w:t>。</w:t>
      </w:r>
    </w:p>
    <w:p w14:paraId="6D176AE8">
      <w:pPr>
        <w:pStyle w:val="56"/>
        <w:ind w:firstLine="422"/>
        <w:rPr>
          <w:rFonts w:ascii="宋体" w:hAnsi="宋体" w:eastAsia="宋体" w:cs="宋体"/>
          <w:b/>
          <w:color w:val="auto"/>
          <w:highlight w:val="none"/>
        </w:rPr>
      </w:pPr>
      <w:r>
        <w:rPr>
          <w:rFonts w:hint="eastAsia" w:ascii="宋体" w:hAnsi="宋体" w:eastAsia="宋体" w:cs="宋体"/>
          <w:b/>
          <w:color w:val="auto"/>
          <w:highlight w:val="none"/>
        </w:rPr>
        <w:t>一、原合同第一部分协议书第</w:t>
      </w:r>
      <w:r>
        <w:rPr>
          <w:rFonts w:ascii="宋体" w:hAnsi="宋体" w:eastAsia="宋体" w:cs="宋体"/>
          <w:b/>
          <w:color w:val="auto"/>
          <w:highlight w:val="none"/>
        </w:rPr>
        <w:t>6</w:t>
      </w:r>
      <w:r>
        <w:rPr>
          <w:rFonts w:hint="eastAsia" w:ascii="宋体" w:hAnsi="宋体" w:eastAsia="宋体" w:cs="宋体"/>
          <w:b/>
          <w:color w:val="auto"/>
          <w:highlight w:val="none"/>
        </w:rPr>
        <w:t>条双方协商一致变更如下：</w:t>
      </w:r>
    </w:p>
    <w:p w14:paraId="3F60C5D2">
      <w:pPr>
        <w:pStyle w:val="56"/>
        <w:ind w:firstLine="420"/>
        <w:rPr>
          <w:rFonts w:ascii="宋体" w:hAnsi="宋体" w:eastAsia="宋体" w:cs="宋体"/>
          <w:bCs/>
          <w:color w:val="auto"/>
          <w:highlight w:val="none"/>
        </w:rPr>
      </w:pPr>
      <w:r>
        <w:rPr>
          <w:rFonts w:ascii="宋体" w:hAnsi="宋体" w:eastAsia="宋体" w:cs="宋体"/>
          <w:bCs/>
          <w:color w:val="auto"/>
          <w:highlight w:val="none"/>
        </w:rPr>
        <w:t>6.合同价款</w:t>
      </w:r>
    </w:p>
    <w:p w14:paraId="38A20A1D">
      <w:pPr>
        <w:pStyle w:val="56"/>
        <w:ind w:firstLine="420"/>
        <w:rPr>
          <w:rFonts w:ascii="宋体" w:hAnsi="宋体" w:eastAsia="宋体" w:cs="宋体"/>
          <w:bCs/>
          <w:color w:val="auto"/>
          <w:highlight w:val="none"/>
        </w:rPr>
      </w:pPr>
      <w:r>
        <w:rPr>
          <w:rFonts w:hint="eastAsia" w:ascii="宋体" w:hAnsi="宋体" w:eastAsia="宋体" w:cs="宋体"/>
          <w:bCs/>
          <w:color w:val="auto"/>
          <w:highlight w:val="none"/>
        </w:rPr>
        <w:t>……合同暂定总价（含税）为</w:t>
      </w:r>
      <w:r>
        <w:rPr>
          <w:rFonts w:ascii="宋体" w:hAnsi="宋体" w:eastAsia="宋体" w:cs="宋体"/>
          <w:bCs/>
          <w:color w:val="auto"/>
          <w:highlight w:val="none"/>
          <w:u w:val="single"/>
        </w:rPr>
        <w:t xml:space="preserve">             </w:t>
      </w:r>
      <w:r>
        <w:rPr>
          <w:rFonts w:hint="eastAsia" w:ascii="宋体" w:hAnsi="宋体" w:eastAsia="宋体" w:cs="宋体"/>
          <w:bCs/>
          <w:color w:val="auto"/>
          <w:highlight w:val="none"/>
        </w:rPr>
        <w:t>元（大写：</w:t>
      </w:r>
      <w:r>
        <w:rPr>
          <w:rFonts w:ascii="宋体" w:hAnsi="宋体" w:eastAsia="宋体" w:cs="宋体"/>
          <w:bCs/>
          <w:color w:val="auto"/>
          <w:highlight w:val="none"/>
          <w:u w:val="single"/>
        </w:rPr>
        <w:t xml:space="preserve">             </w:t>
      </w:r>
      <w:r>
        <w:rPr>
          <w:rFonts w:hint="eastAsia" w:ascii="宋体" w:hAnsi="宋体" w:eastAsia="宋体" w:cs="宋体"/>
          <w:bCs/>
          <w:color w:val="auto"/>
          <w:highlight w:val="none"/>
        </w:rPr>
        <w:t>）。其中增值税税率为</w:t>
      </w:r>
      <w:r>
        <w:rPr>
          <w:rFonts w:ascii="宋体" w:hAnsi="宋体" w:eastAsia="宋体" w:cs="宋体"/>
          <w:bCs/>
          <w:color w:val="auto"/>
          <w:highlight w:val="none"/>
        </w:rPr>
        <w:t>9%，增值税税额为</w:t>
      </w:r>
      <w:r>
        <w:rPr>
          <w:rFonts w:ascii="宋体" w:hAnsi="宋体" w:eastAsia="宋体" w:cs="宋体"/>
          <w:bCs/>
          <w:color w:val="auto"/>
          <w:highlight w:val="none"/>
          <w:u w:val="single"/>
        </w:rPr>
        <w:t xml:space="preserve">           </w:t>
      </w:r>
      <w:r>
        <w:rPr>
          <w:rFonts w:hint="eastAsia" w:ascii="宋体" w:hAnsi="宋体" w:eastAsia="宋体" w:cs="宋体"/>
          <w:bCs/>
          <w:color w:val="auto"/>
          <w:highlight w:val="none"/>
        </w:rPr>
        <w:t>元，不含税价款为</w:t>
      </w:r>
      <w:r>
        <w:rPr>
          <w:rFonts w:ascii="宋体" w:hAnsi="宋体" w:eastAsia="宋体" w:cs="宋体"/>
          <w:bCs/>
          <w:color w:val="auto"/>
          <w:highlight w:val="none"/>
          <w:u w:val="single"/>
        </w:rPr>
        <w:t xml:space="preserve">                     </w:t>
      </w:r>
      <w:r>
        <w:rPr>
          <w:rFonts w:hint="eastAsia" w:ascii="宋体" w:hAnsi="宋体" w:eastAsia="宋体" w:cs="宋体"/>
          <w:bCs/>
          <w:color w:val="auto"/>
          <w:highlight w:val="none"/>
        </w:rPr>
        <w:t>元；暂估价及暂列金额合计</w:t>
      </w:r>
      <w:r>
        <w:rPr>
          <w:rFonts w:ascii="宋体" w:hAnsi="宋体" w:eastAsia="宋体" w:cs="宋体"/>
          <w:bCs/>
          <w:color w:val="auto"/>
          <w:highlight w:val="none"/>
          <w:u w:val="single"/>
        </w:rPr>
        <w:t xml:space="preserve">         </w:t>
      </w:r>
      <w:r>
        <w:rPr>
          <w:rFonts w:hint="eastAsia" w:ascii="宋体" w:hAnsi="宋体" w:eastAsia="宋体" w:cs="宋体"/>
          <w:bCs/>
          <w:color w:val="auto"/>
          <w:highlight w:val="none"/>
        </w:rPr>
        <w:t>元。……</w:t>
      </w:r>
    </w:p>
    <w:p w14:paraId="5D5FAEA8">
      <w:pPr>
        <w:pStyle w:val="56"/>
        <w:numPr>
          <w:ilvl w:val="0"/>
          <w:numId w:val="3"/>
        </w:numPr>
        <w:ind w:firstLine="422" w:firstLineChars="0"/>
        <w:rPr>
          <w:rFonts w:ascii="宋体" w:hAnsi="宋体" w:eastAsia="宋体" w:cs="宋体"/>
          <w:color w:val="auto"/>
          <w:highlight w:val="none"/>
        </w:rPr>
      </w:pPr>
      <w:bookmarkStart w:id="21" w:name="_Toc31787"/>
      <w:bookmarkStart w:id="22" w:name="_Toc44492399"/>
      <w:bookmarkStart w:id="23" w:name="_Toc30191"/>
      <w:bookmarkStart w:id="24" w:name="_Toc351203481"/>
      <w:bookmarkStart w:id="25" w:name="_Toc402450431"/>
      <w:r>
        <w:rPr>
          <w:rFonts w:hint="eastAsia" w:ascii="宋体" w:hAnsi="宋体" w:eastAsia="宋体" w:cs="宋体"/>
          <w:b/>
          <w:color w:val="auto"/>
          <w:highlight w:val="none"/>
          <w:u w:val="single"/>
        </w:rPr>
        <w:t>以下为云港城项目4#地块T</w:t>
      </w:r>
      <w:r>
        <w:rPr>
          <w:rFonts w:hint="eastAsia" w:ascii="宋体" w:hAnsi="宋体" w:eastAsia="宋体" w:cs="宋体"/>
          <w:b/>
          <w:color w:val="auto"/>
          <w:highlight w:val="none"/>
          <w:u w:val="single"/>
          <w:lang w:val="en-US" w:eastAsia="zh-CN"/>
        </w:rPr>
        <w:t>2</w:t>
      </w:r>
      <w:r>
        <w:rPr>
          <w:rFonts w:hint="eastAsia" w:ascii="宋体" w:hAnsi="宋体" w:eastAsia="宋体" w:cs="宋体"/>
          <w:b/>
          <w:color w:val="auto"/>
          <w:highlight w:val="none"/>
          <w:u w:val="single"/>
        </w:rPr>
        <w:t>栋及附属裙楼幕墙工程</w:t>
      </w:r>
      <w:r>
        <w:rPr>
          <w:rFonts w:ascii="宋体" w:hAnsi="宋体" w:eastAsia="宋体" w:cs="宋体"/>
          <w:b/>
          <w:color w:val="auto"/>
          <w:highlight w:val="none"/>
          <w:u w:val="single"/>
        </w:rPr>
        <w:t>施工</w:t>
      </w:r>
      <w:r>
        <w:rPr>
          <w:rFonts w:hint="eastAsia" w:ascii="宋体" w:hAnsi="宋体" w:eastAsia="宋体" w:cs="宋体"/>
          <w:b/>
          <w:color w:val="auto"/>
          <w:highlight w:val="none"/>
          <w:u w:val="single"/>
        </w:rPr>
        <w:t>专业承包相关具体约定（以下称“本合同”），目前工程具体约定包含核心条款、通用条款（按原合同通用条款执行）、专用条款（以下称合同专用条款）及附件（以下称合同附件），云港城项目4#地块T</w:t>
      </w:r>
      <w:r>
        <w:rPr>
          <w:rFonts w:hint="eastAsia" w:ascii="宋体" w:hAnsi="宋体" w:eastAsia="宋体" w:cs="宋体"/>
          <w:b/>
          <w:color w:val="auto"/>
          <w:highlight w:val="none"/>
          <w:u w:val="single"/>
          <w:lang w:val="en-US" w:eastAsia="zh-CN"/>
        </w:rPr>
        <w:t>2</w:t>
      </w:r>
      <w:r>
        <w:rPr>
          <w:rFonts w:hint="eastAsia" w:ascii="宋体" w:hAnsi="宋体" w:eastAsia="宋体" w:cs="宋体"/>
          <w:b/>
          <w:color w:val="auto"/>
          <w:highlight w:val="none"/>
          <w:u w:val="single"/>
        </w:rPr>
        <w:t>栋及附属裙楼幕墙工程</w:t>
      </w:r>
      <w:r>
        <w:rPr>
          <w:rFonts w:ascii="宋体" w:hAnsi="宋体" w:eastAsia="宋体" w:cs="宋体"/>
          <w:b/>
          <w:color w:val="auto"/>
          <w:highlight w:val="none"/>
          <w:u w:val="single"/>
        </w:rPr>
        <w:t>施工专业</w:t>
      </w:r>
      <w:r>
        <w:rPr>
          <w:rFonts w:hint="eastAsia" w:ascii="宋体" w:hAnsi="宋体" w:eastAsia="宋体" w:cs="宋体"/>
          <w:b/>
          <w:color w:val="auto"/>
          <w:highlight w:val="none"/>
          <w:u w:val="single"/>
        </w:rPr>
        <w:t>承包优先按</w:t>
      </w:r>
      <w:r>
        <w:rPr>
          <w:rFonts w:hint="eastAsia" w:ascii="宋体" w:hAnsi="宋体" w:eastAsia="宋体" w:cs="宋体"/>
          <w:b/>
          <w:color w:val="auto"/>
          <w:highlight w:val="none"/>
          <w:u w:val="single"/>
          <w:lang w:val="en-US" w:eastAsia="zh-CN"/>
        </w:rPr>
        <w:t>本补充协议</w:t>
      </w:r>
      <w:r>
        <w:rPr>
          <w:rFonts w:hint="eastAsia" w:ascii="宋体" w:hAnsi="宋体" w:eastAsia="宋体" w:cs="宋体"/>
          <w:b/>
          <w:color w:val="auto"/>
          <w:highlight w:val="none"/>
          <w:u w:val="single"/>
        </w:rPr>
        <w:t>具体约定</w:t>
      </w:r>
      <w:r>
        <w:rPr>
          <w:rFonts w:hint="eastAsia" w:ascii="宋体" w:hAnsi="宋体" w:eastAsia="宋体" w:cs="宋体"/>
          <w:b/>
          <w:color w:val="auto"/>
          <w:highlight w:val="none"/>
          <w:u w:val="single"/>
          <w:lang w:eastAsia="zh-CN"/>
        </w:rPr>
        <w:t>，</w:t>
      </w:r>
      <w:r>
        <w:rPr>
          <w:rFonts w:hint="eastAsia" w:ascii="宋体" w:hAnsi="宋体" w:eastAsia="宋体" w:cs="宋体"/>
          <w:b/>
          <w:color w:val="auto"/>
          <w:highlight w:val="none"/>
          <w:u w:val="single"/>
          <w:lang w:val="en-US" w:eastAsia="zh-CN"/>
        </w:rPr>
        <w:t>并</w:t>
      </w:r>
      <w:r>
        <w:rPr>
          <w:rFonts w:ascii="宋体" w:hAnsi="宋体" w:eastAsia="宋体" w:cs="宋体"/>
          <w:b/>
          <w:color w:val="auto"/>
          <w:highlight w:val="none"/>
          <w:u w:val="single"/>
        </w:rPr>
        <w:t>作为原合同的补充</w:t>
      </w:r>
      <w:r>
        <w:rPr>
          <w:rFonts w:hint="eastAsia" w:ascii="宋体" w:hAnsi="宋体" w:eastAsia="宋体" w:cs="宋体"/>
          <w:b/>
          <w:color w:val="auto"/>
          <w:highlight w:val="none"/>
        </w:rPr>
        <w:t>。</w:t>
      </w:r>
    </w:p>
    <w:p w14:paraId="71DA1DF0">
      <w:pPr>
        <w:pStyle w:val="72"/>
        <w:rPr>
          <w:rFonts w:ascii="宋体" w:hAnsi="宋体" w:eastAsia="宋体" w:cs="宋体"/>
          <w:sz w:val="21"/>
          <w:szCs w:val="21"/>
          <w:highlight w:val="none"/>
          <w:u w:val="single"/>
        </w:rPr>
      </w:pPr>
    </w:p>
    <w:p w14:paraId="3EBDF445">
      <w:pPr>
        <w:spacing w:after="0"/>
        <w:rPr>
          <w:rFonts w:hint="eastAsia" w:ascii="宋体" w:hAnsi="宋体" w:eastAsia="宋体" w:cs="宋体"/>
          <w:sz w:val="24"/>
          <w:szCs w:val="32"/>
          <w:highlight w:val="none"/>
          <w:u w:val="single"/>
        </w:rPr>
      </w:pPr>
      <w:bookmarkStart w:id="26" w:name="_Toc167701749"/>
      <w:bookmarkStart w:id="27" w:name="_Toc148462067"/>
      <w:bookmarkStart w:id="28" w:name="_Toc167701648"/>
      <w:bookmarkStart w:id="29" w:name="_Toc167975573"/>
      <w:bookmarkStart w:id="30" w:name="_Toc147841807"/>
      <w:r>
        <w:rPr>
          <w:rFonts w:hint="eastAsia" w:ascii="宋体" w:hAnsi="宋体" w:eastAsia="宋体" w:cs="宋体"/>
          <w:sz w:val="24"/>
          <w:szCs w:val="32"/>
          <w:highlight w:val="none"/>
          <w:u w:val="single"/>
        </w:rPr>
        <w:br w:type="page"/>
      </w:r>
    </w:p>
    <w:p w14:paraId="4347D8E3">
      <w:pPr>
        <w:pStyle w:val="72"/>
        <w:spacing w:after="0"/>
        <w:rPr>
          <w:rFonts w:ascii="宋体" w:hAnsi="宋体" w:eastAsia="宋体" w:cs="宋体"/>
          <w:sz w:val="24"/>
          <w:szCs w:val="32"/>
          <w:highlight w:val="none"/>
          <w:u w:val="single"/>
        </w:rPr>
      </w:pPr>
      <w:r>
        <w:rPr>
          <w:rFonts w:hint="eastAsia" w:ascii="宋体" w:hAnsi="宋体" w:eastAsia="宋体" w:cs="宋体"/>
          <w:sz w:val="24"/>
          <w:szCs w:val="32"/>
          <w:highlight w:val="none"/>
          <w:u w:val="single"/>
        </w:rPr>
        <w:t>云港城项目4#地块T</w:t>
      </w:r>
      <w:r>
        <w:rPr>
          <w:rFonts w:hint="eastAsia" w:ascii="宋体" w:hAnsi="宋体" w:eastAsia="宋体" w:cs="宋体"/>
          <w:sz w:val="24"/>
          <w:szCs w:val="32"/>
          <w:highlight w:val="none"/>
          <w:u w:val="single"/>
          <w:lang w:val="en-US" w:eastAsia="zh-CN"/>
        </w:rPr>
        <w:t>2</w:t>
      </w:r>
      <w:r>
        <w:rPr>
          <w:rFonts w:hint="eastAsia" w:ascii="宋体" w:hAnsi="宋体" w:eastAsia="宋体" w:cs="宋体"/>
          <w:sz w:val="24"/>
          <w:szCs w:val="32"/>
          <w:highlight w:val="none"/>
          <w:u w:val="single"/>
        </w:rPr>
        <w:t>栋及附属裙楼幕墙工程</w:t>
      </w:r>
      <w:r>
        <w:rPr>
          <w:rFonts w:ascii="宋体" w:hAnsi="宋体" w:eastAsia="宋体" w:cs="宋体"/>
          <w:sz w:val="24"/>
          <w:szCs w:val="32"/>
          <w:highlight w:val="none"/>
          <w:u w:val="single"/>
        </w:rPr>
        <w:t>施工</w:t>
      </w:r>
      <w:r>
        <w:rPr>
          <w:rFonts w:hint="eastAsia" w:ascii="宋体" w:hAnsi="宋体" w:eastAsia="宋体" w:cs="宋体"/>
          <w:sz w:val="24"/>
          <w:szCs w:val="32"/>
          <w:highlight w:val="none"/>
          <w:u w:val="single"/>
        </w:rPr>
        <w:t>专业承包相关具体约定如下</w:t>
      </w:r>
      <w:bookmarkEnd w:id="26"/>
      <w:bookmarkEnd w:id="27"/>
      <w:bookmarkEnd w:id="28"/>
      <w:bookmarkEnd w:id="29"/>
      <w:bookmarkEnd w:id="30"/>
    </w:p>
    <w:p w14:paraId="4CEA1981">
      <w:pPr>
        <w:pStyle w:val="72"/>
        <w:spacing w:before="120" w:after="120"/>
        <w:rPr>
          <w:rFonts w:ascii="Times New Roman" w:hAnsi="Times New Roman"/>
          <w:highlight w:val="none"/>
        </w:rPr>
      </w:pPr>
      <w:bookmarkStart w:id="31" w:name="_Toc118446905"/>
      <w:bookmarkStart w:id="32" w:name="_Toc167975574"/>
      <w:r>
        <w:rPr>
          <w:highlight w:val="none"/>
        </w:rPr>
        <w:t xml:space="preserve">第一部分 </w:t>
      </w:r>
      <w:bookmarkEnd w:id="31"/>
      <w:r>
        <w:rPr>
          <w:rFonts w:hint="eastAsia"/>
          <w:highlight w:val="none"/>
        </w:rPr>
        <w:t>核心</w:t>
      </w:r>
      <w:r>
        <w:rPr>
          <w:highlight w:val="none"/>
        </w:rPr>
        <w:t>条款</w:t>
      </w:r>
      <w:bookmarkEnd w:id="32"/>
    </w:p>
    <w:p w14:paraId="4E040674">
      <w:pPr>
        <w:pStyle w:val="77"/>
        <w:spacing w:before="60" w:after="60"/>
        <w:rPr>
          <w:color w:val="auto"/>
          <w:highlight w:val="none"/>
        </w:rPr>
      </w:pPr>
      <w:r>
        <w:rPr>
          <w:rFonts w:hint="eastAsia"/>
          <w:color w:val="auto"/>
          <w:highlight w:val="none"/>
        </w:rPr>
        <w:t>1.专业工程概况</w:t>
      </w:r>
      <w:bookmarkEnd w:id="21"/>
      <w:bookmarkEnd w:id="22"/>
      <w:bookmarkEnd w:id="23"/>
      <w:bookmarkEnd w:id="24"/>
      <w:bookmarkEnd w:id="25"/>
    </w:p>
    <w:p w14:paraId="73491E66">
      <w:pPr>
        <w:pStyle w:val="56"/>
        <w:ind w:firstLine="420"/>
        <w:rPr>
          <w:rFonts w:ascii="宋体" w:hAnsi="宋体" w:eastAsia="宋体" w:cs="宋体"/>
          <w:color w:val="auto"/>
          <w:highlight w:val="none"/>
          <w:u w:val="none"/>
        </w:rPr>
      </w:pPr>
      <w:r>
        <w:rPr>
          <w:rFonts w:ascii="宋体" w:hAnsi="宋体" w:eastAsia="宋体" w:cs="宋体"/>
          <w:bCs/>
          <w:color w:val="auto"/>
          <w:highlight w:val="none"/>
        </w:rPr>
        <w:t>1.1.专业工程名称</w:t>
      </w:r>
      <w:r>
        <w:rPr>
          <w:rFonts w:hint="eastAsia" w:ascii="宋体" w:hAnsi="宋体" w:eastAsia="宋体" w:cs="宋体"/>
          <w:color w:val="auto"/>
          <w:highlight w:val="none"/>
        </w:rPr>
        <w:t>：</w:t>
      </w:r>
      <w:r>
        <w:rPr>
          <w:rFonts w:hint="eastAsia" w:ascii="宋体" w:hAnsi="宋体" w:eastAsia="宋体" w:cs="宋体"/>
          <w:color w:val="auto"/>
          <w:highlight w:val="none"/>
          <w:u w:val="none"/>
        </w:rPr>
        <w:t>云港城项目4#地块T</w:t>
      </w:r>
      <w:r>
        <w:rPr>
          <w:rFonts w:hint="eastAsia" w:ascii="宋体" w:hAnsi="宋体" w:eastAsia="宋体" w:cs="宋体"/>
          <w:color w:val="auto"/>
          <w:highlight w:val="none"/>
          <w:u w:val="none"/>
          <w:lang w:val="en-US" w:eastAsia="zh-CN"/>
        </w:rPr>
        <w:t>2</w:t>
      </w:r>
      <w:r>
        <w:rPr>
          <w:rFonts w:hint="eastAsia" w:ascii="宋体" w:hAnsi="宋体" w:eastAsia="宋体" w:cs="宋体"/>
          <w:color w:val="auto"/>
          <w:highlight w:val="none"/>
          <w:u w:val="none"/>
        </w:rPr>
        <w:t>栋及附属裙楼幕墙工程</w:t>
      </w:r>
      <w:r>
        <w:rPr>
          <w:rFonts w:ascii="宋体" w:hAnsi="宋体" w:eastAsia="宋体" w:cs="宋体"/>
          <w:color w:val="auto"/>
          <w:highlight w:val="none"/>
          <w:u w:val="none"/>
        </w:rPr>
        <w:t xml:space="preserve">施工专业承包工程（以下简称“本专业工程”） </w:t>
      </w:r>
    </w:p>
    <w:p w14:paraId="12A6C273">
      <w:pPr>
        <w:pStyle w:val="56"/>
        <w:ind w:firstLine="420"/>
        <w:rPr>
          <w:rFonts w:ascii="宋体" w:hAnsi="宋体" w:eastAsia="宋体" w:cs="宋体"/>
          <w:bCs/>
          <w:color w:val="auto"/>
          <w:highlight w:val="none"/>
          <w:u w:val="none"/>
        </w:rPr>
      </w:pPr>
      <w:r>
        <w:rPr>
          <w:rFonts w:ascii="宋体" w:hAnsi="宋体" w:eastAsia="宋体" w:cs="宋体"/>
          <w:bCs/>
          <w:color w:val="auto"/>
          <w:highlight w:val="none"/>
          <w:u w:val="none"/>
        </w:rPr>
        <w:t>1.2.工程地点：</w:t>
      </w:r>
      <w:r>
        <w:rPr>
          <w:rFonts w:hint="eastAsia" w:ascii="宋体" w:hAnsi="宋体" w:eastAsia="宋体" w:cs="宋体"/>
          <w:color w:val="auto"/>
          <w:highlight w:val="none"/>
          <w:u w:val="none"/>
        </w:rPr>
        <w:t>广州市白云区云城西路与云城南四路交叉路口</w:t>
      </w:r>
    </w:p>
    <w:p w14:paraId="5EA7BD03">
      <w:pPr>
        <w:ind w:firstLine="420" w:firstLineChars="200"/>
        <w:rPr>
          <w:rFonts w:ascii="宋体" w:hAnsi="宋体" w:eastAsia="宋体"/>
          <w:color w:val="auto"/>
          <w:kern w:val="2"/>
          <w:szCs w:val="22"/>
          <w:highlight w:val="none"/>
        </w:rPr>
      </w:pPr>
      <w:r>
        <w:rPr>
          <w:rFonts w:ascii="宋体" w:hAnsi="宋体" w:cs="宋体"/>
          <w:bCs/>
          <w:highlight w:val="none"/>
        </w:rPr>
        <w:t>1.3.工程概况：</w:t>
      </w:r>
      <w:r>
        <w:rPr>
          <w:rFonts w:hint="eastAsia" w:ascii="宋体" w:hAnsi="宋体" w:eastAsia="宋体"/>
          <w:color w:val="auto"/>
          <w:kern w:val="2"/>
          <w:szCs w:val="22"/>
          <w:highlight w:val="none"/>
        </w:rPr>
        <w:t>云港城项目4#地块位于广州市白云区云城西路与云城南四路交叉口北侧，4</w:t>
      </w:r>
      <w:r>
        <w:rPr>
          <w:rFonts w:ascii="宋体" w:hAnsi="宋体" w:eastAsia="宋体"/>
          <w:color w:val="auto"/>
          <w:kern w:val="2"/>
          <w:szCs w:val="22"/>
          <w:highlight w:val="none"/>
        </w:rPr>
        <w:t>#</w:t>
      </w:r>
      <w:r>
        <w:rPr>
          <w:rFonts w:hint="eastAsia" w:ascii="宋体" w:hAnsi="宋体" w:eastAsia="宋体"/>
          <w:color w:val="auto"/>
          <w:kern w:val="2"/>
          <w:szCs w:val="22"/>
          <w:highlight w:val="none"/>
        </w:rPr>
        <w:t>地块占地面积约42687.63㎡，总建筑面积约</w:t>
      </w:r>
      <w:r>
        <w:rPr>
          <w:rFonts w:ascii="宋体" w:hAnsi="宋体" w:eastAsia="宋体"/>
          <w:color w:val="auto"/>
          <w:kern w:val="2"/>
          <w:szCs w:val="22"/>
          <w:highlight w:val="none"/>
        </w:rPr>
        <w:t>381182㎡</w:t>
      </w:r>
      <w:r>
        <w:rPr>
          <w:rFonts w:hint="eastAsia" w:ascii="宋体" w:hAnsi="宋体" w:eastAsia="宋体"/>
          <w:color w:val="auto"/>
          <w:kern w:val="2"/>
          <w:szCs w:val="22"/>
          <w:highlight w:val="none"/>
        </w:rPr>
        <w:t>，</w:t>
      </w:r>
      <w:r>
        <w:rPr>
          <w:rFonts w:hint="eastAsia" w:ascii="宋体" w:hAnsi="宋体"/>
          <w:color w:val="auto"/>
          <w:kern w:val="2"/>
          <w:szCs w:val="22"/>
          <w:highlight w:val="none"/>
          <w:lang w:val="en-US" w:eastAsia="zh-CN"/>
        </w:rPr>
        <w:t>T2</w:t>
      </w:r>
      <w:r>
        <w:rPr>
          <w:rFonts w:hint="eastAsia" w:ascii="宋体" w:hAnsi="宋体" w:eastAsia="宋体"/>
          <w:color w:val="auto"/>
          <w:kern w:val="2"/>
          <w:szCs w:val="22"/>
          <w:highlight w:val="none"/>
        </w:rPr>
        <w:t>栋</w:t>
      </w:r>
      <w:r>
        <w:rPr>
          <w:rFonts w:hint="eastAsia" w:ascii="宋体" w:hAnsi="宋体"/>
          <w:color w:val="auto"/>
          <w:kern w:val="2"/>
          <w:szCs w:val="22"/>
          <w:highlight w:val="none"/>
          <w:lang w:val="en-US" w:eastAsia="zh-CN"/>
        </w:rPr>
        <w:t>及附属裙楼</w:t>
      </w:r>
      <w:r>
        <w:rPr>
          <w:rFonts w:hint="eastAsia" w:ascii="宋体" w:hAnsi="宋体" w:eastAsia="宋体"/>
          <w:color w:val="auto"/>
          <w:kern w:val="2"/>
          <w:szCs w:val="22"/>
          <w:highlight w:val="none"/>
        </w:rPr>
        <w:t>幕墙面积约</w:t>
      </w:r>
      <w:r>
        <w:rPr>
          <w:rFonts w:hint="default" w:ascii="宋体" w:hAnsi="宋体"/>
          <w:color w:val="auto"/>
          <w:highlight w:val="none"/>
        </w:rPr>
        <w:t>43500</w:t>
      </w:r>
      <w:r>
        <w:rPr>
          <w:rFonts w:hint="eastAsia" w:ascii="宋体" w:hAnsi="宋体" w:eastAsia="宋体"/>
          <w:color w:val="auto"/>
          <w:kern w:val="2"/>
          <w:szCs w:val="22"/>
          <w:highlight w:val="none"/>
        </w:rPr>
        <w:t>㎡。</w:t>
      </w:r>
    </w:p>
    <w:p w14:paraId="0179223A">
      <w:pPr>
        <w:pStyle w:val="77"/>
        <w:spacing w:before="60" w:after="60"/>
        <w:rPr>
          <w:color w:val="auto"/>
          <w:highlight w:val="none"/>
          <w:u w:val="single"/>
        </w:rPr>
      </w:pPr>
      <w:r>
        <w:rPr>
          <w:bCs w:val="0"/>
          <w:color w:val="auto"/>
          <w:highlight w:val="none"/>
        </w:rPr>
        <w:t>2.</w:t>
      </w:r>
      <w:r>
        <w:rPr>
          <w:rFonts w:hint="eastAsia"/>
          <w:bCs w:val="0"/>
          <w:color w:val="auto"/>
          <w:highlight w:val="none"/>
        </w:rPr>
        <w:t xml:space="preserve"> 专业</w:t>
      </w:r>
      <w:r>
        <w:rPr>
          <w:rFonts w:hint="eastAsia"/>
          <w:color w:val="auto"/>
          <w:highlight w:val="none"/>
        </w:rPr>
        <w:t>工程承包</w:t>
      </w:r>
      <w:r>
        <w:rPr>
          <w:rFonts w:hint="eastAsia"/>
          <w:bCs w:val="0"/>
          <w:color w:val="auto"/>
          <w:highlight w:val="none"/>
        </w:rPr>
        <w:t>方式</w:t>
      </w:r>
    </w:p>
    <w:p w14:paraId="1A1BB4BF">
      <w:pPr>
        <w:adjustRightInd w:val="0"/>
        <w:snapToGrid w:val="0"/>
        <w:spacing w:line="360" w:lineRule="auto"/>
        <w:ind w:firstLine="420" w:firstLineChars="200"/>
        <w:rPr>
          <w:highlight w:val="none"/>
          <w:u w:val="single"/>
        </w:rPr>
      </w:pPr>
      <w:r>
        <w:rPr>
          <w:rFonts w:hint="eastAsia" w:ascii="宋体" w:hAnsi="宋体"/>
          <w:highlight w:val="none"/>
        </w:rPr>
        <w:t>按照本</w:t>
      </w:r>
      <w:r>
        <w:rPr>
          <w:rFonts w:hint="eastAsia" w:ascii="宋体" w:hAnsi="宋体" w:cs="宋体"/>
          <w:b w:val="0"/>
          <w:bCs/>
          <w:highlight w:val="none"/>
          <w:u w:val="none"/>
        </w:rPr>
        <w:t>合同</w:t>
      </w:r>
      <w:r>
        <w:rPr>
          <w:rFonts w:hint="eastAsia" w:ascii="宋体" w:hAnsi="宋体"/>
          <w:highlight w:val="none"/>
        </w:rPr>
        <w:t>约定的承包范围包深化设计（优化设计）、包人工、包材料、包工期、包质量、包安全、包文明施工、包对本工程相关的各专业工程提供协调及配合服务、包验收移交、包保修等。</w:t>
      </w:r>
    </w:p>
    <w:p w14:paraId="0D481233">
      <w:pPr>
        <w:pStyle w:val="77"/>
        <w:spacing w:before="60" w:after="60"/>
        <w:rPr>
          <w:color w:val="auto"/>
          <w:highlight w:val="none"/>
        </w:rPr>
      </w:pPr>
      <w:bookmarkStart w:id="33" w:name="_Toc44492400"/>
      <w:bookmarkStart w:id="34" w:name="_Toc1181"/>
      <w:bookmarkStart w:id="35" w:name="_Toc402450432"/>
      <w:bookmarkStart w:id="36" w:name="_Toc15151"/>
      <w:r>
        <w:rPr>
          <w:color w:val="auto"/>
          <w:highlight w:val="none"/>
        </w:rPr>
        <w:t xml:space="preserve">3. </w:t>
      </w:r>
      <w:r>
        <w:rPr>
          <w:rFonts w:hint="eastAsia"/>
          <w:color w:val="auto"/>
          <w:highlight w:val="none"/>
        </w:rPr>
        <w:t>专业工程承包范围</w:t>
      </w:r>
      <w:bookmarkEnd w:id="33"/>
      <w:bookmarkEnd w:id="34"/>
      <w:bookmarkEnd w:id="35"/>
      <w:bookmarkEnd w:id="36"/>
    </w:p>
    <w:p w14:paraId="438F6ACA">
      <w:pPr>
        <w:adjustRightInd w:val="0"/>
        <w:snapToGrid w:val="0"/>
        <w:spacing w:line="360" w:lineRule="auto"/>
        <w:ind w:firstLine="420" w:firstLineChars="200"/>
        <w:rPr>
          <w:rFonts w:hint="eastAsia"/>
          <w:highlight w:val="none"/>
        </w:rPr>
      </w:pPr>
      <w:r>
        <w:rPr>
          <w:highlight w:val="none"/>
        </w:rPr>
        <w:t xml:space="preserve">3.1 </w:t>
      </w:r>
      <w:r>
        <w:rPr>
          <w:rFonts w:hint="eastAsia"/>
          <w:highlight w:val="none"/>
        </w:rPr>
        <w:t>承包范围：承包人依据发包人提供的施工图纸（包括技术需求书）及相关规范标准完成本工程工作内容，在实施过程中发包人有权根据项目需求增减工作内容及工程范围，除按合同相关条款计价外，承包人不得提出额外的利润或费用索赔</w:t>
      </w:r>
      <w:r>
        <w:rPr>
          <w:rFonts w:hint="eastAsia"/>
          <w:highlight w:val="none"/>
          <w:lang w:eastAsia="zh-CN"/>
        </w:rPr>
        <w:t>，</w:t>
      </w:r>
      <w:r>
        <w:rPr>
          <w:rFonts w:hint="eastAsia"/>
          <w:highlight w:val="none"/>
        </w:rPr>
        <w:t>承包人不能拒绝执行为完成全部工程而执行的可能遗漏的工作。工程范围主要包括（但不限于）如下：玻璃幕墙、石材幕墙、</w:t>
      </w:r>
      <w:r>
        <w:rPr>
          <w:rFonts w:hint="eastAsia"/>
          <w:highlight w:val="none"/>
          <w:lang w:val="en-US" w:eastAsia="zh-CN"/>
        </w:rPr>
        <w:t>铝板幕墙、</w:t>
      </w:r>
      <w:r>
        <w:rPr>
          <w:rFonts w:hint="eastAsia"/>
          <w:highlight w:val="none"/>
        </w:rPr>
        <w:t>门窗（含耐火窗）、蜂窝铝板、百叶（包括但不限于避难层防雨百叶、屋面机房通风百叶、屋面管井排风百叶等）、格栅、铝板吊顶、铝型材、铝板线条、雨棚、栏杆、干挂龙骨、预埋件（包括后置埋件）、幕墙防水系统（密封打胶、内披水板）</w:t>
      </w:r>
      <w:r>
        <w:rPr>
          <w:rFonts w:hint="eastAsia"/>
          <w:highlight w:val="none"/>
          <w:lang w:val="en-US" w:eastAsia="zh-CN"/>
        </w:rPr>
        <w:t>、</w:t>
      </w:r>
      <w:r>
        <w:rPr>
          <w:rFonts w:hint="eastAsia"/>
          <w:highlight w:val="none"/>
        </w:rPr>
        <w:t>擦窗机系统及其它要求工作范围内的深化设计、测试、供货、制造、输送、安装、配合第三方检测、验收、保养、售后等在合同中应承担的全部义务。</w:t>
      </w:r>
    </w:p>
    <w:p w14:paraId="5289056E">
      <w:pPr>
        <w:adjustRightInd w:val="0"/>
        <w:snapToGrid w:val="0"/>
        <w:spacing w:line="360" w:lineRule="auto"/>
        <w:ind w:firstLine="420" w:firstLineChars="200"/>
        <w:rPr>
          <w:rFonts w:hint="eastAsia"/>
          <w:highlight w:val="none"/>
        </w:rPr>
      </w:pPr>
      <w:r>
        <w:rPr>
          <w:rFonts w:hint="eastAsia"/>
          <w:highlight w:val="none"/>
        </w:rPr>
        <w:t>施工内容主要包括（但不限于）如下：</w:t>
      </w:r>
    </w:p>
    <w:p w14:paraId="5291FFE5">
      <w:pPr>
        <w:adjustRightInd w:val="0"/>
        <w:snapToGrid w:val="0"/>
        <w:spacing w:line="360" w:lineRule="auto"/>
        <w:ind w:firstLine="420" w:firstLineChars="200"/>
        <w:rPr>
          <w:rFonts w:hint="eastAsia"/>
          <w:highlight w:val="none"/>
        </w:rPr>
      </w:pPr>
      <w:r>
        <w:rPr>
          <w:rFonts w:hint="eastAsia"/>
          <w:highlight w:val="none"/>
        </w:rPr>
        <w:t>3.1.1主要施工内容</w:t>
      </w:r>
    </w:p>
    <w:p w14:paraId="1F2522A6">
      <w:pPr>
        <w:adjustRightInd w:val="0"/>
        <w:snapToGrid w:val="0"/>
        <w:spacing w:line="360" w:lineRule="auto"/>
        <w:ind w:firstLine="420" w:firstLineChars="200"/>
        <w:rPr>
          <w:rFonts w:hint="eastAsia"/>
          <w:highlight w:val="none"/>
        </w:rPr>
      </w:pPr>
      <w:r>
        <w:rPr>
          <w:rFonts w:hint="eastAsia"/>
          <w:highlight w:val="none"/>
        </w:rPr>
        <w:t>1)图纸深化设计；</w:t>
      </w:r>
    </w:p>
    <w:p w14:paraId="32C0FA35">
      <w:pPr>
        <w:adjustRightInd w:val="0"/>
        <w:snapToGrid w:val="0"/>
        <w:spacing w:line="360" w:lineRule="auto"/>
        <w:ind w:firstLine="420" w:firstLineChars="200"/>
        <w:rPr>
          <w:rFonts w:hint="eastAsia"/>
          <w:highlight w:val="none"/>
        </w:rPr>
      </w:pPr>
      <w:r>
        <w:rPr>
          <w:rFonts w:hint="eastAsia"/>
          <w:highlight w:val="none"/>
        </w:rPr>
        <w:t>2)负责组织整个幕墙、门窗、百叶、格栅、铝板吊顶、雨棚、栏杆等的测量放线，主体结构建筑尺寸校核、门窗洞口尺寸校核等；</w:t>
      </w:r>
    </w:p>
    <w:p w14:paraId="6A2A1295">
      <w:pPr>
        <w:adjustRightInd w:val="0"/>
        <w:snapToGrid w:val="0"/>
        <w:spacing w:line="360" w:lineRule="auto"/>
        <w:ind w:firstLine="420" w:firstLineChars="200"/>
        <w:rPr>
          <w:rFonts w:hint="eastAsia"/>
          <w:highlight w:val="none"/>
        </w:rPr>
      </w:pPr>
      <w:r>
        <w:rPr>
          <w:rFonts w:hint="eastAsia"/>
          <w:highlight w:val="none"/>
        </w:rPr>
        <w:t>3)外幕墙供应及安装工作（包括玻璃幕墙、石材幕墙、</w:t>
      </w:r>
      <w:r>
        <w:rPr>
          <w:rFonts w:hint="eastAsia"/>
          <w:highlight w:val="none"/>
          <w:lang w:val="en-US" w:eastAsia="zh-CN"/>
        </w:rPr>
        <w:t>铝板幕墙、</w:t>
      </w:r>
      <w:r>
        <w:rPr>
          <w:rFonts w:hint="eastAsia"/>
          <w:highlight w:val="none"/>
        </w:rPr>
        <w:t>门窗（含耐火窗）、蜂窝铝板、百叶（包括但不限于避难层防雨百叶、屋面机房通风百叶、屋面管井排风百叶等）、格栅、铝板吊顶、铝型材、铝板线条、雨棚、栏杆、干挂龙骨、预埋件（包括后置埋件）、幕墙防水系统（密封打胶、内披水板）等）</w:t>
      </w:r>
    </w:p>
    <w:p w14:paraId="3B100BA6">
      <w:pPr>
        <w:adjustRightInd w:val="0"/>
        <w:snapToGrid w:val="0"/>
        <w:spacing w:line="360" w:lineRule="auto"/>
        <w:ind w:firstLine="420" w:firstLineChars="200"/>
        <w:rPr>
          <w:rFonts w:hint="eastAsia"/>
          <w:highlight w:val="none"/>
        </w:rPr>
      </w:pPr>
      <w:r>
        <w:rPr>
          <w:rFonts w:hint="eastAsia"/>
          <w:highlight w:val="none"/>
        </w:rPr>
        <w:t>4)负责位于主体结构和二次结构中的预埋件及附件物料供应和安装；它们还应包括，但不局限于这些预埋件设计、策划、配置、预埋安装及混凝土浇筑之前检查、位置校核；</w:t>
      </w:r>
      <w:r>
        <w:rPr>
          <w:rFonts w:hint="eastAsia"/>
          <w:highlight w:val="none"/>
          <w:lang w:val="en-US" w:eastAsia="zh-CN"/>
        </w:rPr>
        <w:t>承</w:t>
      </w:r>
      <w:r>
        <w:rPr>
          <w:rFonts w:hint="eastAsia"/>
          <w:highlight w:val="none"/>
        </w:rPr>
        <w:t>包人需做好龙骨安装前的预埋件检查及所需的修复工作</w:t>
      </w:r>
      <w:r>
        <w:rPr>
          <w:rFonts w:hint="eastAsia"/>
          <w:highlight w:val="none"/>
          <w:lang w:eastAsia="zh-CN"/>
        </w:rPr>
        <w:t>。</w:t>
      </w:r>
    </w:p>
    <w:p w14:paraId="0DCE188D">
      <w:pPr>
        <w:adjustRightInd w:val="0"/>
        <w:snapToGrid w:val="0"/>
        <w:spacing w:line="360" w:lineRule="auto"/>
        <w:ind w:firstLine="420" w:firstLineChars="200"/>
        <w:rPr>
          <w:rFonts w:hint="eastAsia"/>
          <w:highlight w:val="none"/>
        </w:rPr>
      </w:pPr>
      <w:r>
        <w:rPr>
          <w:rFonts w:hint="eastAsia"/>
          <w:highlight w:val="none"/>
        </w:rPr>
        <w:t>5)负责在所有非外露区域，提供外墙系统所需的所有隔音与隔热装置以及相关的水汽隔板、披水板等物料的供应、设计、加工、运输、安装；</w:t>
      </w:r>
    </w:p>
    <w:p w14:paraId="00C6066D">
      <w:pPr>
        <w:adjustRightInd w:val="0"/>
        <w:snapToGrid w:val="0"/>
        <w:spacing w:line="360" w:lineRule="auto"/>
        <w:ind w:firstLine="420" w:firstLineChars="200"/>
        <w:rPr>
          <w:rFonts w:hint="eastAsia"/>
          <w:highlight w:val="none"/>
        </w:rPr>
      </w:pPr>
      <w:r>
        <w:rPr>
          <w:rFonts w:hint="eastAsia"/>
          <w:highlight w:val="none"/>
        </w:rPr>
        <w:t>6)负责所有楼层的层间防火与烟封设施（电气工程、消防风管等防火防烟孔洞封堵除外）；</w:t>
      </w:r>
    </w:p>
    <w:p w14:paraId="6C5B34E4">
      <w:pPr>
        <w:adjustRightInd w:val="0"/>
        <w:snapToGrid w:val="0"/>
        <w:spacing w:line="360" w:lineRule="auto"/>
        <w:ind w:firstLine="420" w:firstLineChars="200"/>
        <w:rPr>
          <w:rFonts w:hint="eastAsia"/>
          <w:highlight w:val="none"/>
        </w:rPr>
      </w:pPr>
      <w:r>
        <w:rPr>
          <w:rFonts w:hint="eastAsia"/>
          <w:highlight w:val="none"/>
        </w:rPr>
        <w:t>7)擦窗机系统的供货、安装、检测及调试；</w:t>
      </w:r>
    </w:p>
    <w:p w14:paraId="1A3CF414">
      <w:pPr>
        <w:adjustRightInd w:val="0"/>
        <w:snapToGrid w:val="0"/>
        <w:spacing w:line="360" w:lineRule="auto"/>
        <w:ind w:firstLine="420" w:firstLineChars="200"/>
        <w:rPr>
          <w:rFonts w:hint="eastAsia"/>
          <w:highlight w:val="none"/>
        </w:rPr>
      </w:pPr>
      <w:r>
        <w:rPr>
          <w:rFonts w:hint="eastAsia"/>
          <w:highlight w:val="none"/>
          <w:lang w:eastAsia="zh-CN"/>
        </w:rPr>
        <w:t>8</w:t>
      </w:r>
      <w:r>
        <w:rPr>
          <w:rFonts w:hint="eastAsia"/>
          <w:highlight w:val="none"/>
        </w:rPr>
        <w:t>)泛光照明施工图深化设计、泛光照明系统（含灯具及附件、供电、控制系统及防雷接地）材料、设备供货（包括运输及储存）、现场安装、检验检测、调试及验收、培训及移交、维护保修等完成该项目泛光照明工程的一切工作。包含与泛光照明系统施工相关（如供电、控制系统、幕墙、防雷接地等）孔洞的定位、开孔、封堵、补胶及相关配合等工作。完成泛光控制系统调试及场景编程</w:t>
      </w:r>
      <w:r>
        <w:rPr>
          <w:rFonts w:hint="eastAsia"/>
          <w:highlight w:val="none"/>
          <w:lang w:eastAsia="zh-CN"/>
        </w:rPr>
        <w:t>，实现与智能化专业和广州市景观照明控制系统对接（如需），办理泛光照明的报批手续，并达到相关验收要求。</w:t>
      </w:r>
      <w:r>
        <w:rPr>
          <w:rFonts w:hint="eastAsia"/>
          <w:highlight w:val="none"/>
          <w:lang w:val="en-US" w:eastAsia="zh-CN"/>
        </w:rPr>
        <w:t>同时应负责</w:t>
      </w:r>
      <w:r>
        <w:rPr>
          <w:rFonts w:ascii="Source Han Sans" w:hAnsi="Source Han Sans" w:eastAsia="Source Han Sans" w:cs="Source Han Sans"/>
          <w:i w:val="0"/>
          <w:iCs w:val="0"/>
          <w:caps w:val="0"/>
          <w:spacing w:val="0"/>
          <w:sz w:val="21"/>
          <w:szCs w:val="21"/>
        </w:rPr>
        <w:t>向白云区城市管理和综合执法局、白云区市场监督管理局、白云区人民政府、广州市城市管理和综合执法局等相关政府部门申报大型户外广告设置，取得《广州市户外广告设置证》，并对广告投放内容进行申报，取得同意意见。</w:t>
      </w:r>
    </w:p>
    <w:p w14:paraId="7071A488">
      <w:pPr>
        <w:adjustRightInd w:val="0"/>
        <w:snapToGrid w:val="0"/>
        <w:spacing w:line="360" w:lineRule="auto"/>
        <w:ind w:firstLine="420" w:firstLineChars="200"/>
        <w:rPr>
          <w:rFonts w:hint="eastAsia"/>
          <w:highlight w:val="none"/>
        </w:rPr>
      </w:pPr>
      <w:r>
        <w:rPr>
          <w:rFonts w:hint="eastAsia"/>
          <w:highlight w:val="none"/>
          <w:lang w:val="en-US" w:eastAsia="zh-CN"/>
        </w:rPr>
        <w:t>9)</w:t>
      </w:r>
      <w:r>
        <w:rPr>
          <w:rFonts w:hint="eastAsia"/>
          <w:highlight w:val="none"/>
        </w:rPr>
        <w:t>幕墙防雷系统施工，其中含幕墙的防雷材料采购、运输、测试、检验、安装等；</w:t>
      </w:r>
    </w:p>
    <w:p w14:paraId="7A701882">
      <w:pPr>
        <w:adjustRightInd w:val="0"/>
        <w:snapToGrid w:val="0"/>
        <w:spacing w:line="360" w:lineRule="auto"/>
        <w:ind w:firstLine="420" w:firstLineChars="200"/>
        <w:rPr>
          <w:rFonts w:hint="eastAsia"/>
          <w:highlight w:val="none"/>
        </w:rPr>
      </w:pPr>
      <w:r>
        <w:rPr>
          <w:rFonts w:hint="eastAsia"/>
          <w:highlight w:val="none"/>
          <w:lang w:val="en-US" w:eastAsia="zh-CN"/>
        </w:rPr>
        <w:t>10</w:t>
      </w:r>
      <w:r>
        <w:rPr>
          <w:rFonts w:hint="eastAsia"/>
          <w:highlight w:val="none"/>
        </w:rPr>
        <w:t>)屋面女儿墙栏杆、屋顶饰面收口、女儿墙饰面收口；</w:t>
      </w:r>
    </w:p>
    <w:p w14:paraId="68D7B089">
      <w:pPr>
        <w:adjustRightInd w:val="0"/>
        <w:snapToGrid w:val="0"/>
        <w:spacing w:line="360" w:lineRule="auto"/>
        <w:ind w:firstLine="420" w:firstLineChars="200"/>
        <w:rPr>
          <w:rFonts w:hint="eastAsia"/>
          <w:highlight w:val="none"/>
        </w:rPr>
      </w:pPr>
      <w:r>
        <w:rPr>
          <w:rFonts w:hint="eastAsia"/>
          <w:highlight w:val="none"/>
        </w:rPr>
        <w:t>1</w:t>
      </w:r>
      <w:r>
        <w:rPr>
          <w:rFonts w:hint="eastAsia"/>
          <w:highlight w:val="none"/>
          <w:lang w:val="en-US" w:eastAsia="zh-CN"/>
        </w:rPr>
        <w:t>1</w:t>
      </w:r>
      <w:r>
        <w:rPr>
          <w:rFonts w:hint="eastAsia"/>
          <w:highlight w:val="none"/>
        </w:rPr>
        <w:t>)外幕墙沉降缝的施工；</w:t>
      </w:r>
    </w:p>
    <w:p w14:paraId="46F122B9">
      <w:pPr>
        <w:adjustRightInd w:val="0"/>
        <w:snapToGrid w:val="0"/>
        <w:spacing w:line="360" w:lineRule="auto"/>
        <w:ind w:firstLine="420" w:firstLineChars="200"/>
        <w:rPr>
          <w:rFonts w:hint="eastAsia"/>
          <w:highlight w:val="none"/>
        </w:rPr>
      </w:pPr>
      <w:r>
        <w:rPr>
          <w:rFonts w:hint="eastAsia"/>
          <w:highlight w:val="none"/>
        </w:rPr>
        <w:t>1</w:t>
      </w:r>
      <w:r>
        <w:rPr>
          <w:rFonts w:hint="eastAsia"/>
          <w:highlight w:val="none"/>
          <w:lang w:val="en-US" w:eastAsia="zh-CN"/>
        </w:rPr>
        <w:t>2</w:t>
      </w:r>
      <w:r>
        <w:rPr>
          <w:rFonts w:hint="eastAsia"/>
          <w:highlight w:val="none"/>
        </w:rPr>
        <w:t>)施工平台（吊篮、脚手架）租赁、搭设、维护、拆除、退场等施工，其中包含（但不限于）按发包人要求设置入口处安全防砸硬防护、首层门头雨棚施工落地脚手架等搭设施工；</w:t>
      </w:r>
    </w:p>
    <w:p w14:paraId="38C55309">
      <w:pPr>
        <w:adjustRightInd w:val="0"/>
        <w:snapToGrid w:val="0"/>
        <w:spacing w:line="360" w:lineRule="auto"/>
        <w:ind w:firstLine="420" w:firstLineChars="200"/>
        <w:rPr>
          <w:rFonts w:hint="eastAsia"/>
          <w:highlight w:val="none"/>
        </w:rPr>
      </w:pPr>
      <w:r>
        <w:rPr>
          <w:rFonts w:hint="eastAsia"/>
          <w:highlight w:val="none"/>
        </w:rPr>
        <w:t>1</w:t>
      </w:r>
      <w:r>
        <w:rPr>
          <w:rFonts w:hint="eastAsia"/>
          <w:highlight w:val="none"/>
          <w:lang w:val="en-US" w:eastAsia="zh-CN"/>
        </w:rPr>
        <w:t>3</w:t>
      </w:r>
      <w:r>
        <w:rPr>
          <w:rFonts w:hint="eastAsia"/>
          <w:highlight w:val="none"/>
        </w:rPr>
        <w:t>)办公室租赁、施工现场临时设施搭建施工；</w:t>
      </w:r>
    </w:p>
    <w:p w14:paraId="2FEE5337">
      <w:pPr>
        <w:adjustRightInd w:val="0"/>
        <w:snapToGrid w:val="0"/>
        <w:spacing w:line="360" w:lineRule="auto"/>
        <w:ind w:firstLine="420" w:firstLineChars="200"/>
        <w:rPr>
          <w:rFonts w:hint="eastAsia"/>
          <w:highlight w:val="none"/>
        </w:rPr>
      </w:pPr>
      <w:r>
        <w:rPr>
          <w:rFonts w:hint="eastAsia"/>
          <w:highlight w:val="none"/>
        </w:rPr>
        <w:t>1</w:t>
      </w:r>
      <w:r>
        <w:rPr>
          <w:rFonts w:hint="eastAsia"/>
          <w:highlight w:val="none"/>
          <w:lang w:val="en-US" w:eastAsia="zh-CN"/>
        </w:rPr>
        <w:t>4</w:t>
      </w:r>
      <w:r>
        <w:rPr>
          <w:rFonts w:hint="eastAsia"/>
          <w:highlight w:val="none"/>
        </w:rPr>
        <w:t>)幕墙外饰面（含外门窗、栏杆）的清洗保洁工作，其中含过程基本清洁（撕膜等）及竣工前清洁（玻璃污渍、浮灰、除胶痕、胶印等）；</w:t>
      </w:r>
    </w:p>
    <w:p w14:paraId="0CF46095">
      <w:pPr>
        <w:adjustRightInd w:val="0"/>
        <w:snapToGrid w:val="0"/>
        <w:spacing w:line="360" w:lineRule="auto"/>
        <w:ind w:firstLine="420" w:firstLineChars="200"/>
        <w:rPr>
          <w:rFonts w:hint="eastAsia"/>
          <w:highlight w:val="none"/>
        </w:rPr>
      </w:pPr>
      <w:r>
        <w:rPr>
          <w:rFonts w:hint="eastAsia"/>
          <w:highlight w:val="none"/>
          <w:lang w:val="en-US" w:eastAsia="zh-CN"/>
        </w:rPr>
        <w:t>15</w:t>
      </w:r>
      <w:r>
        <w:rPr>
          <w:rFonts w:hint="eastAsia"/>
          <w:highlight w:val="none"/>
        </w:rPr>
        <w:t>)负责施工材料送样、样板施工等；</w:t>
      </w:r>
    </w:p>
    <w:p w14:paraId="3FB92F5A">
      <w:pPr>
        <w:adjustRightInd w:val="0"/>
        <w:snapToGrid w:val="0"/>
        <w:spacing w:line="360" w:lineRule="auto"/>
        <w:ind w:firstLine="420" w:firstLineChars="200"/>
        <w:rPr>
          <w:rFonts w:hint="eastAsia"/>
          <w:highlight w:val="none"/>
        </w:rPr>
      </w:pPr>
      <w:r>
        <w:rPr>
          <w:rFonts w:hint="eastAsia"/>
          <w:highlight w:val="none"/>
        </w:rPr>
        <w:t>1</w:t>
      </w:r>
      <w:r>
        <w:rPr>
          <w:rFonts w:hint="eastAsia"/>
          <w:highlight w:val="none"/>
          <w:lang w:val="en-US" w:eastAsia="zh-CN"/>
        </w:rPr>
        <w:t>6</w:t>
      </w:r>
      <w:r>
        <w:rPr>
          <w:rFonts w:hint="eastAsia"/>
          <w:highlight w:val="none"/>
        </w:rPr>
        <w:t>)幕墙四性检测模型制作及配合检测工作；</w:t>
      </w:r>
    </w:p>
    <w:p w14:paraId="7E7F3B86">
      <w:pPr>
        <w:adjustRightInd w:val="0"/>
        <w:snapToGrid w:val="0"/>
        <w:spacing w:line="360" w:lineRule="auto"/>
        <w:ind w:firstLine="420" w:firstLineChars="200"/>
        <w:rPr>
          <w:rFonts w:hint="eastAsia"/>
          <w:highlight w:val="none"/>
        </w:rPr>
      </w:pPr>
      <w:r>
        <w:rPr>
          <w:rFonts w:hint="eastAsia"/>
          <w:highlight w:val="none"/>
        </w:rPr>
        <w:t>1</w:t>
      </w:r>
      <w:r>
        <w:rPr>
          <w:rFonts w:hint="eastAsia"/>
          <w:highlight w:val="none"/>
          <w:lang w:val="en-US" w:eastAsia="zh-CN"/>
        </w:rPr>
        <w:t>7</w:t>
      </w:r>
      <w:r>
        <w:rPr>
          <w:rFonts w:hint="eastAsia"/>
          <w:highlight w:val="none"/>
        </w:rPr>
        <w:t>)幕墙视觉样板段施工；</w:t>
      </w:r>
    </w:p>
    <w:p w14:paraId="5A6E8F0B">
      <w:pPr>
        <w:adjustRightInd w:val="0"/>
        <w:snapToGrid w:val="0"/>
        <w:spacing w:line="360" w:lineRule="auto"/>
        <w:ind w:firstLine="420" w:firstLineChars="200"/>
        <w:rPr>
          <w:rFonts w:hint="eastAsia"/>
          <w:highlight w:val="none"/>
        </w:rPr>
      </w:pPr>
      <w:r>
        <w:rPr>
          <w:rFonts w:hint="eastAsia"/>
          <w:highlight w:val="none"/>
        </w:rPr>
        <w:t>1</w:t>
      </w:r>
      <w:r>
        <w:rPr>
          <w:rFonts w:hint="eastAsia"/>
          <w:highlight w:val="none"/>
          <w:lang w:val="en-US" w:eastAsia="zh-CN"/>
        </w:rPr>
        <w:t>8</w:t>
      </w:r>
      <w:r>
        <w:rPr>
          <w:rFonts w:hint="eastAsia"/>
          <w:highlight w:val="none"/>
        </w:rPr>
        <w:t>)幕墙碰撞试验（具体以设计单位或技术文件明确为准）；</w:t>
      </w:r>
    </w:p>
    <w:p w14:paraId="2A3125C4">
      <w:pPr>
        <w:adjustRightInd w:val="0"/>
        <w:snapToGrid w:val="0"/>
        <w:spacing w:line="360" w:lineRule="auto"/>
        <w:ind w:firstLine="420" w:firstLineChars="200"/>
        <w:rPr>
          <w:rFonts w:hint="default" w:eastAsia="宋体"/>
          <w:highlight w:val="none"/>
          <w:lang w:val="en-US" w:eastAsia="zh-CN"/>
        </w:rPr>
      </w:pPr>
      <w:r>
        <w:rPr>
          <w:rFonts w:hint="eastAsia"/>
          <w:highlight w:val="none"/>
          <w:lang w:val="en-US" w:eastAsia="zh-CN"/>
        </w:rPr>
        <w:t>19)配合销售工作所需的要求；</w:t>
      </w:r>
    </w:p>
    <w:p w14:paraId="06AD19F3">
      <w:pPr>
        <w:adjustRightInd w:val="0"/>
        <w:snapToGrid w:val="0"/>
        <w:spacing w:line="360" w:lineRule="auto"/>
        <w:ind w:firstLine="420" w:firstLineChars="200"/>
        <w:rPr>
          <w:rFonts w:hint="eastAsia"/>
          <w:highlight w:val="none"/>
        </w:rPr>
      </w:pPr>
      <w:r>
        <w:rPr>
          <w:rFonts w:hint="eastAsia"/>
          <w:highlight w:val="none"/>
          <w:lang w:val="en-US" w:eastAsia="zh-CN"/>
        </w:rPr>
        <w:t>20)</w:t>
      </w:r>
      <w:r>
        <w:rPr>
          <w:rFonts w:hint="eastAsia"/>
          <w:highlight w:val="none"/>
        </w:rPr>
        <w:t>配合LOGO标识深化设计及预留预埋；</w:t>
      </w:r>
    </w:p>
    <w:p w14:paraId="4D8E5610">
      <w:pPr>
        <w:adjustRightInd w:val="0"/>
        <w:snapToGrid w:val="0"/>
        <w:spacing w:line="360" w:lineRule="auto"/>
        <w:ind w:firstLine="420" w:firstLineChars="200"/>
        <w:rPr>
          <w:highlight w:val="none"/>
        </w:rPr>
      </w:pPr>
      <w:r>
        <w:rPr>
          <w:rFonts w:hint="eastAsia"/>
          <w:highlight w:val="none"/>
          <w:lang w:val="en-US" w:eastAsia="zh-CN"/>
        </w:rPr>
        <w:t>21)</w:t>
      </w:r>
      <w:r>
        <w:rPr>
          <w:rFonts w:hint="eastAsia"/>
          <w:highlight w:val="none"/>
        </w:rPr>
        <w:t>配合验收所必要的临时拆改及验收后重新安装工作（包括期间的成品保护、运输到指定存放点等）；</w:t>
      </w:r>
    </w:p>
    <w:p w14:paraId="335A6D9F">
      <w:pPr>
        <w:adjustRightInd w:val="0"/>
        <w:snapToGrid w:val="0"/>
        <w:spacing w:line="360" w:lineRule="auto"/>
        <w:ind w:firstLine="420" w:firstLineChars="200"/>
        <w:rPr>
          <w:highlight w:val="none"/>
        </w:rPr>
      </w:pPr>
      <w:r>
        <w:rPr>
          <w:rFonts w:hint="eastAsia"/>
          <w:highlight w:val="none"/>
        </w:rPr>
        <w:t>3.1.2其他零星施工及工程的统筹组织、协调、管理</w:t>
      </w:r>
    </w:p>
    <w:p w14:paraId="1C5D6ABD">
      <w:pPr>
        <w:adjustRightInd w:val="0"/>
        <w:snapToGrid w:val="0"/>
        <w:spacing w:line="360" w:lineRule="auto"/>
        <w:ind w:firstLine="420" w:firstLineChars="200"/>
        <w:rPr>
          <w:rFonts w:hint="eastAsia"/>
          <w:highlight w:val="none"/>
        </w:rPr>
      </w:pPr>
      <w:r>
        <w:rPr>
          <w:rFonts w:hint="eastAsia"/>
          <w:highlight w:val="none"/>
        </w:rPr>
        <w:t>1</w:t>
      </w:r>
      <w:r>
        <w:rPr>
          <w:rFonts w:hint="eastAsia"/>
          <w:highlight w:val="none"/>
          <w:lang w:eastAsia="zh-CN"/>
        </w:rPr>
        <w:t>)</w:t>
      </w:r>
      <w:r>
        <w:rPr>
          <w:rFonts w:hint="eastAsia"/>
          <w:highlight w:val="none"/>
        </w:rPr>
        <w:t>外装施工管理区域的接收和管理；</w:t>
      </w:r>
    </w:p>
    <w:p w14:paraId="338ED1C0">
      <w:pPr>
        <w:adjustRightInd w:val="0"/>
        <w:snapToGrid w:val="0"/>
        <w:spacing w:line="360" w:lineRule="auto"/>
        <w:ind w:firstLine="420" w:firstLineChars="200"/>
        <w:rPr>
          <w:rFonts w:hint="eastAsia"/>
          <w:highlight w:val="none"/>
        </w:rPr>
      </w:pPr>
      <w:r>
        <w:rPr>
          <w:rFonts w:hint="eastAsia"/>
          <w:highlight w:val="none"/>
        </w:rPr>
        <w:t>2</w:t>
      </w:r>
      <w:r>
        <w:rPr>
          <w:rFonts w:hint="eastAsia"/>
          <w:highlight w:val="none"/>
          <w:lang w:eastAsia="zh-CN"/>
        </w:rPr>
        <w:t>)</w:t>
      </w:r>
      <w:r>
        <w:rPr>
          <w:rFonts w:hint="eastAsia"/>
          <w:highlight w:val="none"/>
        </w:rPr>
        <w:t>施工区域所有施工垃圾的清运</w:t>
      </w:r>
      <w:r>
        <w:rPr>
          <w:rFonts w:hint="eastAsia"/>
          <w:highlight w:val="none"/>
          <w:lang w:eastAsia="zh-CN"/>
        </w:rPr>
        <w:t>（清运到总承包人指定堆放地点）</w:t>
      </w:r>
      <w:r>
        <w:rPr>
          <w:rFonts w:hint="eastAsia"/>
          <w:highlight w:val="none"/>
        </w:rPr>
        <w:t>、消纳；</w:t>
      </w:r>
    </w:p>
    <w:p w14:paraId="28A2F068">
      <w:pPr>
        <w:adjustRightInd w:val="0"/>
        <w:snapToGrid w:val="0"/>
        <w:spacing w:line="360" w:lineRule="auto"/>
        <w:ind w:firstLine="420" w:firstLineChars="200"/>
        <w:rPr>
          <w:rFonts w:hint="eastAsia"/>
          <w:highlight w:val="none"/>
        </w:rPr>
      </w:pPr>
      <w:r>
        <w:rPr>
          <w:rFonts w:hint="eastAsia"/>
          <w:highlight w:val="none"/>
        </w:rPr>
        <w:t>3</w:t>
      </w:r>
      <w:r>
        <w:rPr>
          <w:rFonts w:hint="eastAsia"/>
          <w:highlight w:val="none"/>
          <w:lang w:eastAsia="zh-CN"/>
        </w:rPr>
        <w:t>)</w:t>
      </w:r>
      <w:r>
        <w:rPr>
          <w:rFonts w:hint="eastAsia"/>
          <w:highlight w:val="none"/>
        </w:rPr>
        <w:t>施工区域的临水临电安装、维护、管理；</w:t>
      </w:r>
    </w:p>
    <w:p w14:paraId="290FB67E">
      <w:pPr>
        <w:adjustRightInd w:val="0"/>
        <w:snapToGrid w:val="0"/>
        <w:spacing w:line="360" w:lineRule="auto"/>
        <w:ind w:firstLine="420" w:firstLineChars="200"/>
        <w:rPr>
          <w:rFonts w:hint="eastAsia"/>
          <w:highlight w:val="none"/>
        </w:rPr>
      </w:pPr>
      <w:r>
        <w:rPr>
          <w:rFonts w:hint="eastAsia"/>
          <w:highlight w:val="none"/>
        </w:rPr>
        <w:t>4</w:t>
      </w:r>
      <w:r>
        <w:rPr>
          <w:rFonts w:hint="eastAsia"/>
          <w:highlight w:val="none"/>
          <w:lang w:eastAsia="zh-CN"/>
        </w:rPr>
        <w:t>)</w:t>
      </w:r>
      <w:r>
        <w:rPr>
          <w:rFonts w:hint="eastAsia"/>
          <w:highlight w:val="none"/>
        </w:rPr>
        <w:t>施工区域消防器材的配备、维护、管理；</w:t>
      </w:r>
    </w:p>
    <w:p w14:paraId="0132E150">
      <w:pPr>
        <w:adjustRightInd w:val="0"/>
        <w:snapToGrid w:val="0"/>
        <w:spacing w:line="360" w:lineRule="auto"/>
        <w:ind w:firstLine="420" w:firstLineChars="200"/>
        <w:rPr>
          <w:rFonts w:hint="eastAsia"/>
          <w:highlight w:val="none"/>
        </w:rPr>
      </w:pPr>
      <w:r>
        <w:rPr>
          <w:rFonts w:hint="eastAsia"/>
          <w:highlight w:val="none"/>
        </w:rPr>
        <w:t>5</w:t>
      </w:r>
      <w:r>
        <w:rPr>
          <w:rFonts w:hint="eastAsia"/>
          <w:highlight w:val="none"/>
          <w:lang w:eastAsia="zh-CN"/>
        </w:rPr>
        <w:t>)</w:t>
      </w:r>
      <w:r>
        <w:rPr>
          <w:rFonts w:hint="eastAsia"/>
          <w:highlight w:val="none"/>
        </w:rPr>
        <w:t>材料运输临时道路的基本维护、管理；</w:t>
      </w:r>
    </w:p>
    <w:p w14:paraId="27C38886">
      <w:pPr>
        <w:adjustRightInd w:val="0"/>
        <w:snapToGrid w:val="0"/>
        <w:spacing w:line="360" w:lineRule="auto"/>
        <w:ind w:firstLine="420" w:firstLineChars="200"/>
        <w:rPr>
          <w:rFonts w:hint="eastAsia"/>
          <w:highlight w:val="none"/>
        </w:rPr>
      </w:pPr>
      <w:r>
        <w:rPr>
          <w:rFonts w:hint="eastAsia"/>
          <w:highlight w:val="none"/>
        </w:rPr>
        <w:t>6</w:t>
      </w:r>
      <w:r>
        <w:rPr>
          <w:rFonts w:hint="eastAsia"/>
          <w:highlight w:val="none"/>
          <w:lang w:eastAsia="zh-CN"/>
        </w:rPr>
        <w:t>)</w:t>
      </w:r>
      <w:r>
        <w:rPr>
          <w:rFonts w:hint="eastAsia"/>
          <w:highlight w:val="none"/>
        </w:rPr>
        <w:t>施工区域相关标语、标识配备、维护、管理；</w:t>
      </w:r>
    </w:p>
    <w:p w14:paraId="0B05C512">
      <w:pPr>
        <w:adjustRightInd w:val="0"/>
        <w:snapToGrid w:val="0"/>
        <w:spacing w:line="360" w:lineRule="auto"/>
        <w:ind w:firstLine="420" w:firstLineChars="200"/>
        <w:rPr>
          <w:rFonts w:hint="eastAsia"/>
          <w:highlight w:val="none"/>
        </w:rPr>
      </w:pPr>
      <w:r>
        <w:rPr>
          <w:rFonts w:hint="eastAsia"/>
          <w:highlight w:val="none"/>
        </w:rPr>
        <w:t>7</w:t>
      </w:r>
      <w:r>
        <w:rPr>
          <w:rFonts w:hint="eastAsia"/>
          <w:highlight w:val="none"/>
          <w:lang w:eastAsia="zh-CN"/>
        </w:rPr>
        <w:t>)</w:t>
      </w:r>
      <w:r>
        <w:rPr>
          <w:rFonts w:hint="eastAsia"/>
          <w:highlight w:val="none"/>
        </w:rPr>
        <w:t>施工区域所有安全文明施工实施、教育、监督、管理；</w:t>
      </w:r>
    </w:p>
    <w:p w14:paraId="1CE86049">
      <w:pPr>
        <w:adjustRightInd w:val="0"/>
        <w:snapToGrid w:val="0"/>
        <w:spacing w:line="360" w:lineRule="auto"/>
        <w:ind w:firstLine="420" w:firstLineChars="200"/>
        <w:rPr>
          <w:rFonts w:hint="eastAsia"/>
          <w:highlight w:val="none"/>
        </w:rPr>
      </w:pPr>
      <w:r>
        <w:rPr>
          <w:rFonts w:hint="eastAsia"/>
          <w:highlight w:val="none"/>
        </w:rPr>
        <w:t>8</w:t>
      </w:r>
      <w:r>
        <w:rPr>
          <w:rFonts w:hint="eastAsia"/>
          <w:highlight w:val="none"/>
          <w:lang w:eastAsia="zh-CN"/>
        </w:rPr>
        <w:t>)</w:t>
      </w:r>
      <w:r>
        <w:rPr>
          <w:rFonts w:hint="eastAsia"/>
          <w:highlight w:val="none"/>
        </w:rPr>
        <w:t>外装整体施工（含门窗、照明等）的安全、质量、进度的统筹管理、协调、监控、检验、工程资料管理；</w:t>
      </w:r>
    </w:p>
    <w:p w14:paraId="26566271">
      <w:pPr>
        <w:adjustRightInd w:val="0"/>
        <w:snapToGrid w:val="0"/>
        <w:spacing w:line="360" w:lineRule="auto"/>
        <w:ind w:firstLine="420" w:firstLineChars="200"/>
        <w:rPr>
          <w:rFonts w:hint="eastAsia"/>
          <w:highlight w:val="none"/>
        </w:rPr>
      </w:pPr>
      <w:r>
        <w:rPr>
          <w:rFonts w:hint="eastAsia"/>
          <w:highlight w:val="none"/>
        </w:rPr>
        <w:t>9</w:t>
      </w:r>
      <w:r>
        <w:rPr>
          <w:rFonts w:hint="eastAsia"/>
          <w:highlight w:val="none"/>
          <w:lang w:eastAsia="zh-CN"/>
        </w:rPr>
        <w:t>)</w:t>
      </w:r>
      <w:r>
        <w:rPr>
          <w:rFonts w:hint="eastAsia"/>
          <w:highlight w:val="none"/>
        </w:rPr>
        <w:t xml:space="preserve">外装区域所有成品保护、成品看护； </w:t>
      </w:r>
    </w:p>
    <w:p w14:paraId="14647B5E">
      <w:pPr>
        <w:adjustRightInd w:val="0"/>
        <w:snapToGrid w:val="0"/>
        <w:spacing w:line="360" w:lineRule="auto"/>
        <w:ind w:firstLine="420" w:firstLineChars="200"/>
        <w:rPr>
          <w:rFonts w:hint="eastAsia"/>
          <w:highlight w:val="none"/>
        </w:rPr>
      </w:pPr>
      <w:r>
        <w:rPr>
          <w:rFonts w:hint="eastAsia"/>
          <w:highlight w:val="none"/>
        </w:rPr>
        <w:t>10</w:t>
      </w:r>
      <w:r>
        <w:rPr>
          <w:rFonts w:hint="eastAsia"/>
          <w:highlight w:val="none"/>
          <w:lang w:eastAsia="zh-CN"/>
        </w:rPr>
        <w:t>)</w:t>
      </w:r>
      <w:r>
        <w:rPr>
          <w:rFonts w:hint="eastAsia"/>
          <w:highlight w:val="none"/>
        </w:rPr>
        <w:t>过程验收、过程检修、竣工验收；</w:t>
      </w:r>
    </w:p>
    <w:p w14:paraId="67086C86">
      <w:pPr>
        <w:adjustRightInd w:val="0"/>
        <w:snapToGrid w:val="0"/>
        <w:spacing w:line="360" w:lineRule="auto"/>
        <w:ind w:firstLine="420" w:firstLineChars="200"/>
        <w:rPr>
          <w:highlight w:val="none"/>
        </w:rPr>
      </w:pPr>
      <w:r>
        <w:rPr>
          <w:rFonts w:hint="eastAsia"/>
          <w:highlight w:val="none"/>
        </w:rPr>
        <w:t>11</w:t>
      </w:r>
      <w:r>
        <w:rPr>
          <w:rFonts w:hint="eastAsia"/>
          <w:highlight w:val="none"/>
          <w:lang w:eastAsia="zh-CN"/>
        </w:rPr>
        <w:t>)</w:t>
      </w:r>
      <w:r>
        <w:rPr>
          <w:rFonts w:hint="eastAsia"/>
          <w:highlight w:val="none"/>
        </w:rPr>
        <w:t>维保材料的采购及储备（如玻璃、石材、金属装饰面板、密封胶、五金、保温、密封胶条等）；</w:t>
      </w:r>
    </w:p>
    <w:p w14:paraId="0CEB2BF5">
      <w:pPr>
        <w:adjustRightInd w:val="0"/>
        <w:snapToGrid w:val="0"/>
        <w:spacing w:line="360" w:lineRule="auto"/>
        <w:ind w:firstLine="420" w:firstLineChars="200"/>
        <w:rPr>
          <w:highlight w:val="none"/>
        </w:rPr>
      </w:pPr>
      <w:r>
        <w:rPr>
          <w:rFonts w:hint="eastAsia"/>
          <w:highlight w:val="none"/>
        </w:rPr>
        <w:t>3.1.3工程资料及外围关系维护</w:t>
      </w:r>
    </w:p>
    <w:p w14:paraId="23694C8A">
      <w:pPr>
        <w:adjustRightInd w:val="0"/>
        <w:snapToGrid w:val="0"/>
        <w:spacing w:line="360" w:lineRule="auto"/>
        <w:ind w:firstLine="420" w:firstLineChars="200"/>
        <w:rPr>
          <w:rFonts w:hint="eastAsia"/>
          <w:highlight w:val="none"/>
        </w:rPr>
      </w:pPr>
      <w:r>
        <w:rPr>
          <w:rFonts w:hint="eastAsia"/>
          <w:highlight w:val="none"/>
        </w:rPr>
        <w:t>1</w:t>
      </w:r>
      <w:r>
        <w:rPr>
          <w:rFonts w:hint="eastAsia"/>
          <w:highlight w:val="none"/>
          <w:lang w:eastAsia="zh-CN"/>
        </w:rPr>
        <w:t>)</w:t>
      </w:r>
      <w:r>
        <w:rPr>
          <w:rFonts w:hint="eastAsia"/>
          <w:highlight w:val="none"/>
        </w:rPr>
        <w:t>进场材料的送检；</w:t>
      </w:r>
    </w:p>
    <w:p w14:paraId="575F0CA1">
      <w:pPr>
        <w:adjustRightInd w:val="0"/>
        <w:snapToGrid w:val="0"/>
        <w:spacing w:line="360" w:lineRule="auto"/>
        <w:ind w:firstLine="420" w:firstLineChars="200"/>
        <w:rPr>
          <w:rFonts w:hint="eastAsia"/>
          <w:highlight w:val="none"/>
        </w:rPr>
      </w:pPr>
      <w:r>
        <w:rPr>
          <w:rFonts w:hint="eastAsia"/>
          <w:highlight w:val="none"/>
        </w:rPr>
        <w:t>2</w:t>
      </w:r>
      <w:r>
        <w:rPr>
          <w:rFonts w:hint="eastAsia"/>
          <w:highlight w:val="none"/>
          <w:lang w:eastAsia="zh-CN"/>
        </w:rPr>
        <w:t>)</w:t>
      </w:r>
      <w:r>
        <w:rPr>
          <w:rFonts w:hint="eastAsia"/>
          <w:highlight w:val="none"/>
        </w:rPr>
        <w:t>施工过程所有资料汇总、编制、资料报审、资料管理、资料归档；</w:t>
      </w:r>
    </w:p>
    <w:p w14:paraId="0B5C3091">
      <w:pPr>
        <w:adjustRightInd w:val="0"/>
        <w:snapToGrid w:val="0"/>
        <w:spacing w:line="360" w:lineRule="auto"/>
        <w:ind w:firstLine="420" w:firstLineChars="200"/>
        <w:rPr>
          <w:rFonts w:hint="eastAsia"/>
          <w:highlight w:val="none"/>
        </w:rPr>
      </w:pPr>
      <w:r>
        <w:rPr>
          <w:rFonts w:hint="eastAsia"/>
          <w:highlight w:val="none"/>
        </w:rPr>
        <w:t>3</w:t>
      </w:r>
      <w:r>
        <w:rPr>
          <w:rFonts w:hint="eastAsia"/>
          <w:highlight w:val="none"/>
          <w:lang w:eastAsia="zh-CN"/>
        </w:rPr>
        <w:t>)</w:t>
      </w:r>
      <w:r>
        <w:rPr>
          <w:rFonts w:hint="eastAsia"/>
          <w:highlight w:val="none"/>
        </w:rPr>
        <w:t>竣工图绘制归档；</w:t>
      </w:r>
    </w:p>
    <w:p w14:paraId="4CEDA34B">
      <w:pPr>
        <w:adjustRightInd w:val="0"/>
        <w:snapToGrid w:val="0"/>
        <w:spacing w:line="360" w:lineRule="auto"/>
        <w:ind w:firstLine="420" w:firstLineChars="200"/>
        <w:rPr>
          <w:highlight w:val="none"/>
        </w:rPr>
      </w:pPr>
      <w:r>
        <w:rPr>
          <w:rFonts w:hint="eastAsia"/>
          <w:highlight w:val="none"/>
        </w:rPr>
        <w:t>4</w:t>
      </w:r>
      <w:r>
        <w:rPr>
          <w:rFonts w:hint="eastAsia"/>
          <w:highlight w:val="none"/>
          <w:lang w:eastAsia="zh-CN"/>
        </w:rPr>
        <w:t>)</w:t>
      </w:r>
      <w:r>
        <w:rPr>
          <w:rFonts w:hint="eastAsia"/>
          <w:highlight w:val="none"/>
        </w:rPr>
        <w:t>实施过程中，对政府交通、城管、派出所、质量安全监督等部门关系维护。</w:t>
      </w:r>
      <w:bookmarkStart w:id="37" w:name="_Hlk124691727"/>
    </w:p>
    <w:p w14:paraId="2C745891">
      <w:pPr>
        <w:adjustRightInd w:val="0"/>
        <w:snapToGrid w:val="0"/>
        <w:spacing w:line="360" w:lineRule="auto"/>
        <w:ind w:firstLine="420" w:firstLineChars="200"/>
        <w:rPr>
          <w:highlight w:val="none"/>
        </w:rPr>
      </w:pPr>
      <w:r>
        <w:rPr>
          <w:rFonts w:hint="eastAsia"/>
          <w:highlight w:val="none"/>
        </w:rPr>
        <w:t>上述所描述的承包范围仅是概括性的，不能视为是完整无缺的。承包人应参阅合同文件中的其他部分，去完全了解工程的实际范围与工作内容。根据本合同所需进行施工的工程包括合同文件、合同图纸、工程技术要求及工程量清单内所显示的一切项目。承包人有责任现场踏勘，细阅合同图纸及工程技术要求，务求对所有施工工程的所有内容做到完全清楚了解。此外承包人还须负责与本合同工程施工有关的环境清理、市容维护、交通、噪音、民扰调停及垃圾清理外运等工作。</w:t>
      </w:r>
      <w:bookmarkEnd w:id="37"/>
    </w:p>
    <w:p w14:paraId="73AD3FF0">
      <w:pPr>
        <w:adjustRightInd w:val="0"/>
        <w:snapToGrid w:val="0"/>
        <w:spacing w:line="360" w:lineRule="auto"/>
        <w:ind w:firstLine="420" w:firstLineChars="200"/>
        <w:rPr>
          <w:highlight w:val="none"/>
        </w:rPr>
      </w:pPr>
      <w:r>
        <w:rPr>
          <w:highlight w:val="none"/>
        </w:rPr>
        <w:t xml:space="preserve">3.2 </w:t>
      </w:r>
      <w:r>
        <w:rPr>
          <w:rFonts w:hint="eastAsia" w:ascii="宋体" w:hAnsi="宋体"/>
          <w:szCs w:val="21"/>
          <w:highlight w:val="none"/>
          <w:u w:val="none"/>
        </w:rPr>
        <w:t>承包范围及施工界面划分详见合同附件</w:t>
      </w:r>
      <w:r>
        <w:rPr>
          <w:rFonts w:ascii="宋体" w:hAnsi="宋体"/>
          <w:szCs w:val="21"/>
          <w:highlight w:val="none"/>
          <w:u w:val="none"/>
        </w:rPr>
        <w:t>1《合同范围及边界》。</w:t>
      </w:r>
    </w:p>
    <w:p w14:paraId="6FBF04D7">
      <w:pPr>
        <w:adjustRightInd w:val="0"/>
        <w:snapToGrid w:val="0"/>
        <w:spacing w:line="360" w:lineRule="auto"/>
        <w:ind w:firstLine="420" w:firstLineChars="200"/>
        <w:rPr>
          <w:rFonts w:hint="eastAsia" w:eastAsia="宋体"/>
          <w:highlight w:val="none"/>
          <w:lang w:eastAsia="zh-CN"/>
        </w:rPr>
      </w:pPr>
      <w:r>
        <w:rPr>
          <w:rFonts w:hint="eastAsia"/>
          <w:highlight w:val="none"/>
        </w:rPr>
        <w:t>3.3施工过程中的产生的水电费用由承包人承担。临水临电的管道、线路由承包人负责敷设、拆除，并承担相关费用</w:t>
      </w:r>
      <w:r>
        <w:rPr>
          <w:rFonts w:hint="eastAsia"/>
          <w:highlight w:val="none"/>
          <w:lang w:eastAsia="zh-CN"/>
        </w:rPr>
        <w:t>。</w:t>
      </w:r>
    </w:p>
    <w:p w14:paraId="1A682B99">
      <w:pPr>
        <w:adjustRightInd w:val="0"/>
        <w:snapToGrid w:val="0"/>
        <w:spacing w:line="360" w:lineRule="auto"/>
        <w:ind w:firstLine="420" w:firstLineChars="200"/>
        <w:rPr>
          <w:highlight w:val="none"/>
        </w:rPr>
      </w:pPr>
      <w:r>
        <w:rPr>
          <w:highlight w:val="none"/>
        </w:rPr>
        <w:t xml:space="preserve">3.4 </w:t>
      </w:r>
      <w:r>
        <w:rPr>
          <w:rFonts w:hint="eastAsia"/>
          <w:highlight w:val="none"/>
        </w:rPr>
        <w:t>承包人负责本专业工程的材料采购、材料加工、材料运输装卸（包括二次转运）、材料检测取样送样、材料仓储、材料保护，施工机械及设备的投入，施工图深化，工程施工、施工及安全文明措施、成品保护，施工垃圾清理（工完场清）；负责工程范围内的所有各项其他专业工程施工的协调及配合，完成本工程各项专业工程的调试、试验、验收工作；配合和满足本项目总包安全管理及现场施工管理要求，配合和满足本项目监理的各项管理要求；配合和满足本项目规划、节能、消防等各项验收的要求等，相关费用包含在合同价格中，不另外计取。</w:t>
      </w:r>
    </w:p>
    <w:p w14:paraId="092B8E1B">
      <w:pPr>
        <w:adjustRightInd w:val="0"/>
        <w:snapToGrid w:val="0"/>
        <w:spacing w:line="360" w:lineRule="auto"/>
        <w:ind w:firstLine="420" w:firstLineChars="200"/>
        <w:rPr>
          <w:rFonts w:ascii="宋体" w:hAnsi="宋体"/>
          <w:bCs/>
          <w:szCs w:val="21"/>
          <w:highlight w:val="none"/>
          <w:u w:val="single"/>
        </w:rPr>
      </w:pPr>
      <w:bookmarkStart w:id="38" w:name="_Toc26249"/>
      <w:bookmarkStart w:id="39" w:name="_Toc44492401"/>
      <w:bookmarkStart w:id="40" w:name="_Toc6945"/>
      <w:r>
        <w:rPr>
          <w:highlight w:val="none"/>
        </w:rPr>
        <w:t>3.5</w:t>
      </w:r>
      <w:r>
        <w:rPr>
          <w:rFonts w:hint="eastAsia"/>
          <w:highlight w:val="none"/>
        </w:rPr>
        <w:t>承包人被认为已在本工程投标阶段踏勘现场，并充分了解本工程现场条件和周围环境，并已在本合同价格中给予了充分的考虑。</w:t>
      </w:r>
    </w:p>
    <w:p w14:paraId="0A511755">
      <w:pPr>
        <w:adjustRightInd w:val="0"/>
        <w:snapToGrid w:val="0"/>
        <w:spacing w:line="360" w:lineRule="auto"/>
        <w:ind w:firstLine="420" w:firstLineChars="200"/>
        <w:rPr>
          <w:highlight w:val="none"/>
        </w:rPr>
      </w:pPr>
      <w:r>
        <w:rPr>
          <w:rFonts w:ascii="宋体" w:hAnsi="宋体"/>
          <w:szCs w:val="21"/>
          <w:highlight w:val="none"/>
        </w:rPr>
        <w:t>3.</w:t>
      </w:r>
      <w:r>
        <w:rPr>
          <w:highlight w:val="none"/>
        </w:rPr>
        <w:t>6</w:t>
      </w:r>
      <w:r>
        <w:rPr>
          <w:rFonts w:hint="eastAsia" w:ascii="宋体" w:hAnsi="宋体"/>
          <w:szCs w:val="21"/>
          <w:highlight w:val="none"/>
        </w:rPr>
        <w:t>本合同工程相关的第三方检测由发包人另行委托，不在本合同范围内。但</w:t>
      </w:r>
      <w:r>
        <w:rPr>
          <w:rFonts w:hint="eastAsia"/>
          <w:highlight w:val="none"/>
        </w:rPr>
        <w:t>承</w:t>
      </w:r>
      <w:r>
        <w:rPr>
          <w:rFonts w:hint="eastAsia" w:ascii="宋体" w:hAnsi="宋体"/>
          <w:szCs w:val="21"/>
          <w:highlight w:val="none"/>
        </w:rPr>
        <w:t>包人需提供检测所需的材料并承担材料及材料损耗及检测配合的相关费用。</w:t>
      </w:r>
      <w:r>
        <w:rPr>
          <w:rFonts w:hint="eastAsia"/>
          <w:highlight w:val="none"/>
        </w:rPr>
        <w:t>承</w:t>
      </w:r>
      <w:r>
        <w:rPr>
          <w:rFonts w:hint="eastAsia" w:ascii="宋体" w:hAnsi="宋体"/>
          <w:szCs w:val="21"/>
          <w:highlight w:val="none"/>
        </w:rPr>
        <w:t>包人必须充分考虑项目实施和验收所产生的检测数量、内容以及检测报告及资料的相应增加，相关工作费用已包含于合同</w:t>
      </w:r>
      <w:r>
        <w:rPr>
          <w:rFonts w:hint="eastAsia"/>
          <w:highlight w:val="none"/>
        </w:rPr>
        <w:t>价格</w:t>
      </w:r>
      <w:r>
        <w:rPr>
          <w:rFonts w:hint="eastAsia" w:ascii="宋体" w:hAnsi="宋体"/>
          <w:szCs w:val="21"/>
          <w:highlight w:val="none"/>
        </w:rPr>
        <w:t>内。</w:t>
      </w:r>
    </w:p>
    <w:p w14:paraId="1C9E3D01">
      <w:pPr>
        <w:adjustRightInd w:val="0"/>
        <w:snapToGrid w:val="0"/>
        <w:spacing w:line="360" w:lineRule="auto"/>
        <w:ind w:firstLine="420" w:firstLineChars="200"/>
        <w:rPr>
          <w:rFonts w:hint="eastAsia"/>
          <w:highlight w:val="none"/>
        </w:rPr>
      </w:pPr>
      <w:r>
        <w:rPr>
          <w:rFonts w:hint="eastAsia"/>
          <w:highlight w:val="none"/>
        </w:rPr>
        <w:t>3.7本条约定的本专业工程承包范围内所有工作内容下称合同内容。</w:t>
      </w:r>
    </w:p>
    <w:p w14:paraId="66A5B2D6">
      <w:pPr>
        <w:adjustRightInd w:val="0"/>
        <w:snapToGrid w:val="0"/>
        <w:spacing w:line="360" w:lineRule="auto"/>
        <w:ind w:firstLine="420" w:firstLineChars="200"/>
        <w:rPr>
          <w:rFonts w:hint="eastAsia"/>
          <w:highlight w:val="none"/>
        </w:rPr>
      </w:pPr>
      <w:r>
        <w:rPr>
          <w:rFonts w:hint="eastAsia"/>
          <w:highlight w:val="none"/>
        </w:rPr>
        <w:t>3.</w:t>
      </w:r>
      <w:r>
        <w:rPr>
          <w:rFonts w:hint="eastAsia"/>
          <w:highlight w:val="none"/>
          <w:lang w:val="en-US" w:eastAsia="zh-CN"/>
        </w:rPr>
        <w:t>8</w:t>
      </w:r>
      <w:r>
        <w:rPr>
          <w:rFonts w:hint="eastAsia"/>
          <w:highlight w:val="none"/>
        </w:rPr>
        <w:t>如因第三方单位原因导致幕墙损坏的，幕墙的维修及质量维保由</w:t>
      </w:r>
      <w:r>
        <w:rPr>
          <w:rFonts w:hint="eastAsia"/>
          <w:highlight w:val="none"/>
          <w:lang w:val="en-US" w:eastAsia="zh-CN"/>
        </w:rPr>
        <w:t>承</w:t>
      </w:r>
      <w:r>
        <w:rPr>
          <w:rFonts w:hint="eastAsia"/>
          <w:highlight w:val="none"/>
        </w:rPr>
        <w:t>包人负责，维修费用由第三方单位承担。</w:t>
      </w:r>
    </w:p>
    <w:p w14:paraId="15421E89">
      <w:pPr>
        <w:adjustRightInd w:val="0"/>
        <w:snapToGrid w:val="0"/>
        <w:spacing w:line="360" w:lineRule="auto"/>
        <w:ind w:firstLine="420" w:firstLineChars="200"/>
        <w:rPr>
          <w:rFonts w:hint="eastAsia"/>
          <w:highlight w:val="none"/>
          <w:lang w:val="en-US" w:eastAsia="zh-CN"/>
        </w:rPr>
      </w:pPr>
      <w:r>
        <w:rPr>
          <w:rFonts w:hint="eastAsia"/>
          <w:highlight w:val="none"/>
          <w:lang w:val="en-US" w:eastAsia="zh-CN"/>
        </w:rPr>
        <w:t>3.9若</w:t>
      </w:r>
      <w:r>
        <w:rPr>
          <w:rFonts w:hint="eastAsia"/>
          <w:highlight w:val="none"/>
        </w:rPr>
        <w:t>施工</w:t>
      </w:r>
      <w:r>
        <w:rPr>
          <w:rFonts w:hint="eastAsia"/>
          <w:highlight w:val="none"/>
          <w:lang w:eastAsia="zh-CN"/>
        </w:rPr>
        <w:t>现场的</w:t>
      </w:r>
      <w:r>
        <w:rPr>
          <w:rFonts w:hint="eastAsia"/>
          <w:highlight w:val="none"/>
        </w:rPr>
        <w:t>人货梯及塔吊</w:t>
      </w:r>
      <w:r>
        <w:rPr>
          <w:rFonts w:hint="eastAsia"/>
          <w:highlight w:val="none"/>
          <w:lang w:val="en-US" w:eastAsia="zh-CN"/>
        </w:rPr>
        <w:t>等相关措施未能满足幕墙单位施工需要，导致幕墙单位需额外实施其他措施，则由此产生的相关费用由幕墙单位在投标报价中综合考虑。</w:t>
      </w:r>
    </w:p>
    <w:p w14:paraId="5AAE99FE">
      <w:pPr>
        <w:adjustRightInd w:val="0"/>
        <w:snapToGrid w:val="0"/>
        <w:spacing w:line="360" w:lineRule="auto"/>
        <w:ind w:firstLine="420" w:firstLineChars="200"/>
        <w:rPr>
          <w:rFonts w:hint="eastAsia"/>
          <w:highlight w:val="none"/>
          <w:lang w:val="en-US" w:eastAsia="zh-CN"/>
        </w:rPr>
      </w:pPr>
      <w:r>
        <w:rPr>
          <w:rFonts w:hint="eastAsia"/>
          <w:highlight w:val="none"/>
          <w:lang w:val="en-US" w:eastAsia="zh-CN"/>
        </w:rPr>
        <w:t>3.10所有样板房施工均需考虑幕墙上下层封闭、阻断水、气等措施，保障室内精装修展示。</w:t>
      </w:r>
    </w:p>
    <w:p w14:paraId="2796C05D">
      <w:pPr>
        <w:adjustRightInd w:val="0"/>
        <w:snapToGrid w:val="0"/>
        <w:spacing w:line="360" w:lineRule="auto"/>
        <w:ind w:firstLine="420" w:firstLineChars="200"/>
        <w:rPr>
          <w:rFonts w:hint="eastAsia"/>
          <w:highlight w:val="none"/>
          <w:lang w:val="en-US" w:eastAsia="zh-CN"/>
        </w:rPr>
      </w:pPr>
      <w:r>
        <w:rPr>
          <w:rFonts w:hint="eastAsia"/>
          <w:highlight w:val="none"/>
          <w:lang w:val="en-US" w:eastAsia="zh-CN"/>
        </w:rPr>
        <w:t>3.11承包单位需在进场后两周时间内，告知建设单位、施工总承包单位裙楼范围外脚手架预留距离。</w:t>
      </w:r>
    </w:p>
    <w:p w14:paraId="3E54CE87">
      <w:pPr>
        <w:pStyle w:val="77"/>
        <w:spacing w:before="60" w:after="60"/>
        <w:rPr>
          <w:color w:val="auto"/>
          <w:highlight w:val="none"/>
        </w:rPr>
      </w:pPr>
      <w:r>
        <w:rPr>
          <w:color w:val="auto"/>
          <w:highlight w:val="none"/>
        </w:rPr>
        <w:t xml:space="preserve">4. </w:t>
      </w:r>
      <w:r>
        <w:rPr>
          <w:rFonts w:hint="eastAsia"/>
          <w:color w:val="auto"/>
          <w:highlight w:val="none"/>
        </w:rPr>
        <w:t>专业工程工期</w:t>
      </w:r>
      <w:bookmarkEnd w:id="38"/>
      <w:bookmarkEnd w:id="39"/>
      <w:bookmarkEnd w:id="40"/>
    </w:p>
    <w:p w14:paraId="51004E54">
      <w:pPr>
        <w:pStyle w:val="56"/>
        <w:ind w:firstLine="420"/>
        <w:rPr>
          <w:color w:val="auto"/>
          <w:highlight w:val="none"/>
        </w:rPr>
      </w:pPr>
      <w:r>
        <w:rPr>
          <w:color w:val="auto"/>
          <w:highlight w:val="none"/>
        </w:rPr>
        <w:t>4.1.</w:t>
      </w:r>
      <w:r>
        <w:rPr>
          <w:rFonts w:hint="eastAsia" w:eastAsia="宋体"/>
          <w:color w:val="auto"/>
          <w:kern w:val="2"/>
          <w:szCs w:val="22"/>
          <w:highlight w:val="none"/>
        </w:rPr>
        <w:t>工期：</w:t>
      </w:r>
      <w:r>
        <w:rPr>
          <w:rFonts w:hint="eastAsia" w:eastAsia="宋体"/>
          <w:color w:val="auto"/>
          <w:kern w:val="2"/>
          <w:szCs w:val="22"/>
          <w:highlight w:val="none"/>
          <w:u w:val="single"/>
          <w:lang w:val="en-US" w:eastAsia="zh-CN"/>
        </w:rPr>
        <w:t>740</w:t>
      </w:r>
      <w:r>
        <w:rPr>
          <w:rFonts w:hint="eastAsia" w:eastAsia="宋体"/>
          <w:color w:val="auto"/>
          <w:kern w:val="2"/>
          <w:szCs w:val="22"/>
          <w:highlight w:val="none"/>
        </w:rPr>
        <w:t>日历天。</w:t>
      </w:r>
    </w:p>
    <w:p w14:paraId="35771230">
      <w:pPr>
        <w:pStyle w:val="56"/>
        <w:ind w:firstLine="420"/>
        <w:rPr>
          <w:rFonts w:eastAsia="宋体"/>
          <w:color w:val="auto"/>
          <w:kern w:val="2"/>
          <w:szCs w:val="22"/>
          <w:highlight w:val="none"/>
          <w:u w:val="single"/>
        </w:rPr>
      </w:pPr>
      <w:r>
        <w:rPr>
          <w:rFonts w:hint="eastAsia" w:eastAsia="宋体"/>
          <w:color w:val="auto"/>
          <w:kern w:val="2"/>
          <w:szCs w:val="22"/>
          <w:highlight w:val="none"/>
        </w:rPr>
        <w:t>以上工期已充分考虑除不可抗力以外的各种形式的雨雪、冰雹、停水、停电、节假日（含中高考、重大会议、庆典停工等）、流行性疾病、扰民、道路施工影响等不利因素，并已考虑</w:t>
      </w:r>
      <w:r>
        <w:rPr>
          <w:rFonts w:hint="eastAsia" w:eastAsia="宋体"/>
          <w:color w:val="auto"/>
          <w:kern w:val="2"/>
          <w:szCs w:val="22"/>
          <w:highlight w:val="none"/>
          <w:lang w:val="en-US" w:eastAsia="zh-CN"/>
        </w:rPr>
        <w:t>与</w:t>
      </w:r>
      <w:r>
        <w:rPr>
          <w:rFonts w:hint="eastAsia" w:eastAsia="宋体"/>
          <w:color w:val="auto"/>
          <w:kern w:val="2"/>
          <w:szCs w:val="22"/>
          <w:highlight w:val="none"/>
        </w:rPr>
        <w:t>其他承包单位之间的配合时间，承包人不得以上述因素申请工期的延长。承包人已到工地考察并充分了解工地位置、情况、道路、储存空间、装卸限制、垂直运输条件、脚手架或吊栏施工设置及任何其他足以影响投标报价的情况，任何因忽视或误解工地情况而导致的索赔或工期延长申请将不被批准。</w:t>
      </w:r>
    </w:p>
    <w:p w14:paraId="512A378E">
      <w:pPr>
        <w:pStyle w:val="56"/>
        <w:ind w:firstLine="420"/>
        <w:rPr>
          <w:rFonts w:eastAsia="宋体"/>
          <w:color w:val="auto"/>
          <w:kern w:val="2"/>
          <w:szCs w:val="22"/>
          <w:highlight w:val="none"/>
        </w:rPr>
      </w:pPr>
      <w:r>
        <w:rPr>
          <w:color w:val="auto"/>
          <w:highlight w:val="none"/>
        </w:rPr>
        <w:t>4.2.</w:t>
      </w:r>
      <w:r>
        <w:rPr>
          <w:color w:val="auto"/>
          <w:highlight w:val="none"/>
        </w:rPr>
        <w:tab/>
      </w:r>
      <w:r>
        <w:rPr>
          <w:rFonts w:hint="eastAsia" w:eastAsia="宋体"/>
          <w:color w:val="auto"/>
          <w:kern w:val="2"/>
          <w:szCs w:val="22"/>
          <w:highlight w:val="none"/>
        </w:rPr>
        <w:t>开工日期</w:t>
      </w:r>
    </w:p>
    <w:p w14:paraId="4B3344FA">
      <w:pPr>
        <w:pStyle w:val="56"/>
        <w:ind w:firstLine="420"/>
        <w:rPr>
          <w:rFonts w:eastAsia="宋体"/>
          <w:color w:val="auto"/>
          <w:kern w:val="2"/>
          <w:szCs w:val="22"/>
          <w:highlight w:val="none"/>
          <w:u w:val="none"/>
        </w:rPr>
      </w:pPr>
      <w:r>
        <w:rPr>
          <w:rFonts w:hint="eastAsia" w:eastAsia="宋体"/>
          <w:color w:val="auto"/>
          <w:kern w:val="2"/>
          <w:szCs w:val="22"/>
          <w:highlight w:val="none"/>
        </w:rPr>
        <w:t>开工日期：</w:t>
      </w:r>
      <w:r>
        <w:rPr>
          <w:rFonts w:hint="eastAsia" w:eastAsia="宋体"/>
          <w:color w:val="auto"/>
          <w:kern w:val="2"/>
          <w:szCs w:val="22"/>
          <w:highlight w:val="none"/>
          <w:u w:val="none"/>
        </w:rPr>
        <w:t>暂定为</w:t>
      </w:r>
      <w:r>
        <w:rPr>
          <w:rFonts w:eastAsia="宋体"/>
          <w:color w:val="auto"/>
          <w:kern w:val="2"/>
          <w:szCs w:val="22"/>
          <w:highlight w:val="none"/>
          <w:u w:val="none"/>
        </w:rPr>
        <w:t>202</w:t>
      </w:r>
      <w:r>
        <w:rPr>
          <w:rFonts w:hint="eastAsia" w:eastAsia="宋体"/>
          <w:color w:val="auto"/>
          <w:kern w:val="2"/>
          <w:szCs w:val="22"/>
          <w:highlight w:val="none"/>
          <w:u w:val="none"/>
          <w:lang w:val="en-US" w:eastAsia="zh-CN"/>
        </w:rPr>
        <w:t>5</w:t>
      </w:r>
      <w:r>
        <w:rPr>
          <w:rFonts w:hint="eastAsia" w:eastAsia="宋体"/>
          <w:color w:val="auto"/>
          <w:kern w:val="2"/>
          <w:szCs w:val="22"/>
          <w:highlight w:val="none"/>
          <w:u w:val="none"/>
        </w:rPr>
        <w:t>年</w:t>
      </w:r>
      <w:r>
        <w:rPr>
          <w:rFonts w:hint="eastAsia" w:eastAsia="宋体"/>
          <w:color w:val="auto"/>
          <w:kern w:val="2"/>
          <w:szCs w:val="22"/>
          <w:highlight w:val="none"/>
          <w:u w:val="none"/>
          <w:lang w:val="en-US" w:eastAsia="zh-CN"/>
        </w:rPr>
        <w:t>9</w:t>
      </w:r>
      <w:r>
        <w:rPr>
          <w:rFonts w:hint="eastAsia" w:eastAsia="宋体"/>
          <w:color w:val="auto"/>
          <w:kern w:val="2"/>
          <w:szCs w:val="22"/>
          <w:highlight w:val="none"/>
          <w:u w:val="none"/>
        </w:rPr>
        <w:t>月</w:t>
      </w:r>
      <w:r>
        <w:rPr>
          <w:rFonts w:hint="eastAsia" w:eastAsia="宋体"/>
          <w:color w:val="auto"/>
          <w:kern w:val="2"/>
          <w:szCs w:val="22"/>
          <w:highlight w:val="none"/>
          <w:u w:val="none"/>
          <w:lang w:val="en-US" w:eastAsia="zh-CN"/>
        </w:rPr>
        <w:t>20</w:t>
      </w:r>
      <w:r>
        <w:rPr>
          <w:rFonts w:hint="eastAsia" w:eastAsia="宋体"/>
          <w:color w:val="auto"/>
          <w:kern w:val="2"/>
          <w:szCs w:val="22"/>
          <w:highlight w:val="none"/>
          <w:u w:val="none"/>
        </w:rPr>
        <w:t>日(以经发包人确认同意由监理人书面下发的开工通知中载明的日期为准)；</w:t>
      </w:r>
    </w:p>
    <w:p w14:paraId="7D4C8D6C">
      <w:pPr>
        <w:pStyle w:val="56"/>
        <w:ind w:firstLine="420"/>
        <w:rPr>
          <w:color w:val="auto"/>
          <w:highlight w:val="none"/>
          <w:u w:val="single"/>
        </w:rPr>
      </w:pPr>
      <w:r>
        <w:rPr>
          <w:color w:val="auto"/>
          <w:highlight w:val="none"/>
          <w:u w:val="none"/>
        </w:rPr>
        <w:t>4.3.</w:t>
      </w:r>
      <w:r>
        <w:rPr>
          <w:color w:val="auto"/>
          <w:highlight w:val="none"/>
          <w:u w:val="none"/>
        </w:rPr>
        <w:tab/>
      </w:r>
      <w:r>
        <w:rPr>
          <w:rFonts w:hint="eastAsia" w:eastAsia="宋体"/>
          <w:color w:val="auto"/>
          <w:kern w:val="2"/>
          <w:szCs w:val="22"/>
          <w:highlight w:val="none"/>
          <w:u w:val="none"/>
        </w:rPr>
        <w:t>竣工日期：</w:t>
      </w:r>
      <w:r>
        <w:rPr>
          <w:rFonts w:hint="eastAsia" w:eastAsia="宋体"/>
          <w:color w:val="auto"/>
          <w:kern w:val="2"/>
          <w:szCs w:val="22"/>
          <w:highlight w:val="none"/>
          <w:u w:val="none"/>
          <w:lang w:val="en-US" w:eastAsia="zh-CN"/>
        </w:rPr>
        <w:t>本工程</w:t>
      </w:r>
      <w:r>
        <w:rPr>
          <w:rFonts w:hint="eastAsia" w:eastAsia="宋体"/>
          <w:color w:val="auto"/>
          <w:kern w:val="2"/>
          <w:szCs w:val="22"/>
          <w:highlight w:val="none"/>
          <w:u w:val="none"/>
        </w:rPr>
        <w:t>暂定为</w:t>
      </w:r>
      <w:r>
        <w:rPr>
          <w:rFonts w:eastAsia="宋体"/>
          <w:color w:val="auto"/>
          <w:kern w:val="2"/>
          <w:szCs w:val="22"/>
          <w:highlight w:val="none"/>
          <w:u w:val="none"/>
        </w:rPr>
        <w:t>202</w:t>
      </w:r>
      <w:r>
        <w:rPr>
          <w:rFonts w:hint="eastAsia" w:eastAsia="宋体"/>
          <w:color w:val="auto"/>
          <w:kern w:val="2"/>
          <w:szCs w:val="22"/>
          <w:highlight w:val="none"/>
          <w:u w:val="none"/>
          <w:lang w:val="en-US" w:eastAsia="zh-CN"/>
        </w:rPr>
        <w:t>7</w:t>
      </w:r>
      <w:r>
        <w:rPr>
          <w:rFonts w:hint="eastAsia" w:eastAsia="宋体"/>
          <w:color w:val="auto"/>
          <w:kern w:val="2"/>
          <w:szCs w:val="22"/>
          <w:highlight w:val="none"/>
          <w:u w:val="none"/>
        </w:rPr>
        <w:t>年</w:t>
      </w:r>
      <w:r>
        <w:rPr>
          <w:rFonts w:hint="eastAsia" w:eastAsia="宋体"/>
          <w:color w:val="auto"/>
          <w:kern w:val="2"/>
          <w:szCs w:val="22"/>
          <w:highlight w:val="none"/>
          <w:u w:val="none"/>
          <w:lang w:val="en-US" w:eastAsia="zh-CN"/>
        </w:rPr>
        <w:t>9</w:t>
      </w:r>
      <w:r>
        <w:rPr>
          <w:rFonts w:hint="eastAsia" w:eastAsia="宋体"/>
          <w:color w:val="auto"/>
          <w:kern w:val="2"/>
          <w:szCs w:val="22"/>
          <w:highlight w:val="none"/>
          <w:u w:val="none"/>
        </w:rPr>
        <w:t>月</w:t>
      </w:r>
      <w:r>
        <w:rPr>
          <w:rFonts w:hint="eastAsia" w:eastAsia="宋体"/>
          <w:color w:val="auto"/>
          <w:kern w:val="2"/>
          <w:szCs w:val="22"/>
          <w:highlight w:val="none"/>
          <w:u w:val="none"/>
          <w:lang w:val="en-US" w:eastAsia="zh-CN"/>
        </w:rPr>
        <w:t>30</w:t>
      </w:r>
      <w:r>
        <w:rPr>
          <w:rFonts w:hint="eastAsia" w:eastAsia="宋体"/>
          <w:color w:val="auto"/>
          <w:kern w:val="2"/>
          <w:szCs w:val="22"/>
          <w:highlight w:val="none"/>
          <w:u w:val="none"/>
        </w:rPr>
        <w:t>日；</w:t>
      </w:r>
    </w:p>
    <w:p w14:paraId="1257C5D8">
      <w:pPr>
        <w:spacing w:line="360" w:lineRule="auto"/>
        <w:ind w:firstLine="420" w:firstLineChars="200"/>
        <w:rPr>
          <w:rFonts w:ascii="仿宋" w:hAnsi="仿宋" w:eastAsia="仿宋" w:cs="仿宋"/>
          <w:highlight w:val="none"/>
          <w:lang w:bidi="ar"/>
        </w:rPr>
      </w:pPr>
      <w:r>
        <w:rPr>
          <w:rFonts w:ascii="Times New Roman" w:hAnsi="Times New Roman" w:eastAsia="仿宋_GB2312"/>
          <w:kern w:val="0"/>
          <w:szCs w:val="32"/>
          <w:highlight w:val="none"/>
        </w:rPr>
        <w:t xml:space="preserve">4.4. </w:t>
      </w:r>
      <w:r>
        <w:rPr>
          <w:rFonts w:hint="eastAsia"/>
          <w:highlight w:val="none"/>
        </w:rPr>
        <w:t>若本工程开工日期顺延的，则本工程相应的节点工期相应调整，承包人需采取相应措施，确保不影响项目整体竣工验收合格日期和竣工备案通过日期。</w:t>
      </w:r>
      <w:r>
        <w:rPr>
          <w:rFonts w:ascii="仿宋" w:hAnsi="仿宋" w:eastAsia="仿宋" w:cs="仿宋"/>
          <w:highlight w:val="none"/>
          <w:lang w:bidi="ar"/>
        </w:rPr>
        <w:t xml:space="preserve"> </w:t>
      </w:r>
    </w:p>
    <w:p w14:paraId="75CFC04B">
      <w:pPr>
        <w:pStyle w:val="77"/>
        <w:spacing w:before="60" w:after="60"/>
        <w:rPr>
          <w:color w:val="auto"/>
          <w:highlight w:val="none"/>
        </w:rPr>
      </w:pPr>
      <w:bookmarkStart w:id="41" w:name="_Toc30316"/>
      <w:bookmarkStart w:id="42" w:name="_Toc17381"/>
      <w:bookmarkStart w:id="43" w:name="_Toc44492402"/>
      <w:r>
        <w:rPr>
          <w:color w:val="auto"/>
          <w:highlight w:val="none"/>
        </w:rPr>
        <w:t xml:space="preserve">5. </w:t>
      </w:r>
      <w:r>
        <w:rPr>
          <w:rFonts w:hint="eastAsia"/>
          <w:color w:val="auto"/>
          <w:highlight w:val="none"/>
        </w:rPr>
        <w:t>质量标准</w:t>
      </w:r>
      <w:bookmarkEnd w:id="41"/>
      <w:bookmarkEnd w:id="42"/>
      <w:bookmarkEnd w:id="43"/>
    </w:p>
    <w:p w14:paraId="3B860763">
      <w:pPr>
        <w:pStyle w:val="56"/>
        <w:ind w:firstLine="420"/>
        <w:rPr>
          <w:rFonts w:eastAsia="宋体"/>
          <w:color w:val="auto"/>
          <w:kern w:val="2"/>
          <w:szCs w:val="22"/>
          <w:highlight w:val="none"/>
        </w:rPr>
      </w:pPr>
      <w:r>
        <w:rPr>
          <w:color w:val="auto"/>
          <w:highlight w:val="none"/>
        </w:rPr>
        <w:t>5.1.</w:t>
      </w:r>
      <w:r>
        <w:rPr>
          <w:rFonts w:hint="eastAsia" w:eastAsia="宋体"/>
          <w:color w:val="auto"/>
          <w:kern w:val="2"/>
          <w:szCs w:val="22"/>
          <w:highlight w:val="none"/>
        </w:rPr>
        <w:t>应达到《建筑工程质量标准》《建筑工程施工质量验收统一标准》《建筑装饰装修工程质量验收规范》</w:t>
      </w:r>
      <w:r>
        <w:rPr>
          <w:rFonts w:hint="eastAsia" w:eastAsia="宋体"/>
          <w:color w:val="auto"/>
          <w:kern w:val="2"/>
          <w:szCs w:val="22"/>
          <w:highlight w:val="none"/>
          <w:u w:val="none"/>
        </w:rPr>
        <w:t>《玻璃幕墙工程质量检验标准》</w:t>
      </w:r>
      <w:r>
        <w:rPr>
          <w:rFonts w:hint="eastAsia" w:eastAsia="宋体"/>
          <w:color w:val="auto"/>
          <w:kern w:val="2"/>
          <w:szCs w:val="22"/>
          <w:highlight w:val="none"/>
        </w:rPr>
        <w:t>等国家规范、行业标准、地方标准等相关要求，确保分部分项工程达到100%合格，一次性验收合格并通过竣工备案，达到合格质量标准。</w:t>
      </w:r>
    </w:p>
    <w:p w14:paraId="703A5452">
      <w:pPr>
        <w:adjustRightInd w:val="0"/>
        <w:snapToGrid w:val="0"/>
        <w:spacing w:line="360" w:lineRule="auto"/>
        <w:ind w:firstLine="420" w:firstLineChars="200"/>
        <w:rPr>
          <w:highlight w:val="none"/>
        </w:rPr>
      </w:pPr>
      <w:r>
        <w:rPr>
          <w:highlight w:val="none"/>
        </w:rPr>
        <w:t>5.2.</w:t>
      </w:r>
      <w:r>
        <w:rPr>
          <w:rFonts w:hint="eastAsia"/>
          <w:highlight w:val="none"/>
        </w:rPr>
        <w:t>如技术文件、设计图纸（含设计说明）中确定适用的技术标准或规范要求、检验测试要求及验收要求不一致时，本工程实施按其中标准较高、要求较严格的要求执行。</w:t>
      </w:r>
    </w:p>
    <w:p w14:paraId="6D6F5226">
      <w:pPr>
        <w:pStyle w:val="77"/>
        <w:spacing w:before="60" w:after="60"/>
        <w:rPr>
          <w:color w:val="auto"/>
          <w:highlight w:val="none"/>
        </w:rPr>
      </w:pPr>
      <w:bookmarkStart w:id="44" w:name="_Toc10430"/>
      <w:bookmarkStart w:id="45" w:name="_Toc28544"/>
      <w:bookmarkStart w:id="46" w:name="_Toc44492403"/>
      <w:r>
        <w:rPr>
          <w:color w:val="auto"/>
          <w:highlight w:val="none"/>
        </w:rPr>
        <w:t>6</w:t>
      </w:r>
      <w:r>
        <w:rPr>
          <w:rFonts w:hint="eastAsia"/>
          <w:color w:val="auto"/>
          <w:highlight w:val="none"/>
        </w:rPr>
        <w:t>.安全</w:t>
      </w:r>
      <w:bookmarkEnd w:id="44"/>
      <w:bookmarkEnd w:id="45"/>
      <w:bookmarkEnd w:id="46"/>
      <w:r>
        <w:rPr>
          <w:rFonts w:hint="eastAsia"/>
          <w:color w:val="auto"/>
          <w:highlight w:val="none"/>
        </w:rPr>
        <w:t>生产目标</w:t>
      </w:r>
    </w:p>
    <w:p w14:paraId="6A0CEB1F">
      <w:pPr>
        <w:pStyle w:val="56"/>
        <w:ind w:firstLine="420"/>
        <w:rPr>
          <w:rFonts w:ascii="宋体" w:hAnsi="宋体" w:eastAsia="宋体" w:cs="宋体"/>
          <w:color w:val="auto"/>
          <w:highlight w:val="none"/>
        </w:rPr>
      </w:pPr>
      <w:r>
        <w:rPr>
          <w:rFonts w:hint="eastAsia" w:ascii="宋体" w:hAnsi="宋体" w:eastAsia="宋体" w:cs="宋体"/>
          <w:color w:val="auto"/>
          <w:highlight w:val="none"/>
        </w:rPr>
        <w:t>确保不发生亡人及以上生产安全责任事故，工伤频率控制在</w:t>
      </w:r>
      <w:r>
        <w:rPr>
          <w:rFonts w:ascii="宋体" w:hAnsi="宋体" w:eastAsia="宋体" w:cs="宋体"/>
          <w:color w:val="auto"/>
          <w:highlight w:val="none"/>
          <w:u w:val="single"/>
        </w:rPr>
        <w:t xml:space="preserve"> 广州 </w:t>
      </w:r>
      <w:r>
        <w:rPr>
          <w:rFonts w:hint="eastAsia" w:ascii="宋体" w:hAnsi="宋体" w:eastAsia="宋体" w:cs="宋体"/>
          <w:color w:val="auto"/>
          <w:highlight w:val="none"/>
        </w:rPr>
        <w:t>市建筑施工安全管理法规规定的指标要求范围内。</w:t>
      </w:r>
    </w:p>
    <w:p w14:paraId="71D654E8">
      <w:pPr>
        <w:pStyle w:val="77"/>
        <w:spacing w:before="60" w:after="60"/>
        <w:rPr>
          <w:color w:val="auto"/>
          <w:highlight w:val="none"/>
        </w:rPr>
      </w:pPr>
      <w:bookmarkStart w:id="47" w:name="_Toc44492404"/>
      <w:bookmarkStart w:id="48" w:name="_Toc29176"/>
      <w:bookmarkStart w:id="49" w:name="_Toc27904"/>
      <w:r>
        <w:rPr>
          <w:color w:val="auto"/>
          <w:highlight w:val="none"/>
        </w:rPr>
        <w:t xml:space="preserve">7. </w:t>
      </w:r>
      <w:r>
        <w:rPr>
          <w:rFonts w:hint="eastAsia"/>
          <w:color w:val="auto"/>
          <w:highlight w:val="none"/>
        </w:rPr>
        <w:t>签约价</w:t>
      </w:r>
      <w:bookmarkEnd w:id="47"/>
      <w:bookmarkEnd w:id="48"/>
      <w:bookmarkEnd w:id="49"/>
      <w:r>
        <w:rPr>
          <w:rFonts w:hint="eastAsia"/>
          <w:color w:val="auto"/>
          <w:highlight w:val="none"/>
        </w:rPr>
        <w:t>格</w:t>
      </w:r>
    </w:p>
    <w:p w14:paraId="5518426F">
      <w:pPr>
        <w:pStyle w:val="56"/>
        <w:ind w:firstLine="420"/>
        <w:rPr>
          <w:rFonts w:ascii="宋体" w:hAnsi="宋体" w:eastAsia="宋体" w:cs="宋体"/>
          <w:color w:val="auto"/>
          <w:highlight w:val="none"/>
        </w:rPr>
      </w:pPr>
      <w:r>
        <w:rPr>
          <w:rFonts w:hint="eastAsia" w:ascii="宋体" w:hAnsi="宋体" w:eastAsia="宋体" w:cs="宋体"/>
          <w:color w:val="auto"/>
          <w:highlight w:val="none"/>
        </w:rPr>
        <w:t>本合同以上文规定的方式确定合同价款，合同暂定总价为：       元（大写：      ），含   %增值税（专用发票）。其中：不含增值税的价款为人民币       元（大写：      ），增值税为人民币                     元（大写：      ）。合同价款组成明细具体详见本合同附件</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《已标价工程量清单》。合同价款按下述原则执行：</w:t>
      </w:r>
    </w:p>
    <w:p w14:paraId="145A0CF7">
      <w:pPr>
        <w:pStyle w:val="56"/>
        <w:ind w:firstLine="420"/>
        <w:rPr>
          <w:rFonts w:ascii="宋体" w:hAnsi="宋体" w:eastAsia="宋体" w:cs="宋体"/>
          <w:color w:val="auto"/>
          <w:highlight w:val="none"/>
        </w:rPr>
      </w:pPr>
      <w:r>
        <w:rPr>
          <w:rFonts w:hint="eastAsia" w:ascii="宋体" w:hAnsi="宋体" w:eastAsia="宋体" w:cs="宋体"/>
          <w:color w:val="auto"/>
          <w:highlight w:val="none"/>
        </w:rPr>
        <w:t>本合同采用工程量清单计价模式，暂定总价；分部分项工程采用固定综合单价包干；措施项目费【除按系数计算的</w:t>
      </w:r>
      <w:r>
        <w:rPr>
          <w:rFonts w:hint="eastAsia" w:ascii="宋体" w:hAnsi="宋体" w:eastAsia="宋体" w:cs="宋体"/>
          <w:color w:val="auto"/>
          <w:highlight w:val="none"/>
          <w:u w:val="none"/>
          <w:lang w:val="en-US" w:eastAsia="zh-CN"/>
        </w:rPr>
        <w:t>安全生产措施费</w:t>
      </w:r>
      <w:r>
        <w:rPr>
          <w:rFonts w:hint="eastAsia" w:ascii="宋体" w:hAnsi="宋体" w:eastAsia="宋体" w:cs="宋体"/>
          <w:color w:val="auto"/>
          <w:highlight w:val="none"/>
        </w:rPr>
        <w:t>采用费率包干外】采用固定总价包干；其他项目费采用固定总价包干；</w:t>
      </w:r>
      <w:r>
        <w:rPr>
          <w:rFonts w:hint="eastAsia" w:ascii="宋体" w:hAnsi="宋体" w:eastAsia="宋体" w:cs="宋体"/>
          <w:color w:val="auto"/>
          <w:highlight w:val="none"/>
          <w:u w:val="none"/>
          <w:lang w:val="en-US" w:eastAsia="zh-CN"/>
        </w:rPr>
        <w:t>安全生产措施费</w:t>
      </w:r>
      <w:r>
        <w:rPr>
          <w:rFonts w:hint="eastAsia" w:ascii="宋体" w:hAnsi="宋体" w:eastAsia="宋体" w:cs="宋体"/>
          <w:color w:val="auto"/>
          <w:highlight w:val="none"/>
        </w:rPr>
        <w:t>如按合同计算的费率超出定额规定的费率时，进度支付和结算按定额规定的费率计算；如按合同计算的费率低于定额规定的费率时，则按合同计算的费率计算，合同另有约定可调整的除外。</w:t>
      </w:r>
    </w:p>
    <w:p w14:paraId="373FE2AA">
      <w:pPr>
        <w:pStyle w:val="56"/>
        <w:ind w:firstLine="420"/>
        <w:rPr>
          <w:rFonts w:ascii="宋体" w:hAnsi="宋体" w:eastAsia="宋体" w:cs="宋体"/>
          <w:color w:val="auto"/>
          <w:highlight w:val="none"/>
        </w:rPr>
      </w:pPr>
      <w:r>
        <w:rPr>
          <w:rFonts w:hint="eastAsia" w:ascii="宋体" w:hAnsi="宋体" w:eastAsia="宋体" w:cs="宋体"/>
          <w:color w:val="auto"/>
          <w:highlight w:val="none"/>
        </w:rPr>
        <w:t>工程量按经发包人认可的竣工图纸及合同约定进行结算。综合单价应认为已包含按照合同约定范围、招标文件、图纸内容和工程量清单等有关资料及说明所需的所有费用，包括但不限于完成该规定清单项目所需的人工费、材料费、工程设备费、施工机具费、文明施工费、专利费、赶工费和企业管理费、利润、保险费、检验试验费、其他为按时按质完成合同所规定工作的除措施费外所有直接和间接费用（不论图纸、规范、技术要求、工程量清单中有没有说明），以及合同明示或默示的风险。除非合同另有其他明确约定（材料调差、对不合理价格调整等）外，该固定综合单价不做任何调整。</w:t>
      </w:r>
    </w:p>
    <w:p w14:paraId="2E2DFDFF">
      <w:pPr>
        <w:pStyle w:val="56"/>
        <w:ind w:firstLine="420"/>
        <w:rPr>
          <w:rFonts w:ascii="宋体" w:hAnsi="宋体" w:eastAsia="宋体" w:cs="宋体"/>
          <w:color w:val="auto"/>
          <w:highlight w:val="none"/>
        </w:rPr>
      </w:pPr>
      <w:r>
        <w:rPr>
          <w:rFonts w:hint="eastAsia" w:ascii="宋体" w:hAnsi="宋体" w:eastAsia="宋体" w:cs="宋体"/>
          <w:color w:val="auto"/>
          <w:highlight w:val="none"/>
        </w:rPr>
        <w:t>7.1.</w:t>
      </w:r>
      <w:r>
        <w:rPr>
          <w:rFonts w:hint="eastAsia" w:ascii="宋体" w:hAnsi="宋体" w:eastAsia="宋体" w:cs="宋体"/>
          <w:color w:val="auto"/>
          <w:highlight w:val="none"/>
        </w:rPr>
        <w:tab/>
      </w:r>
      <w:r>
        <w:rPr>
          <w:rFonts w:hint="eastAsia" w:ascii="宋体" w:hAnsi="宋体" w:eastAsia="宋体" w:cs="宋体"/>
          <w:color w:val="auto"/>
          <w:highlight w:val="none"/>
        </w:rPr>
        <w:t>政策影响的合同价格调整</w:t>
      </w:r>
    </w:p>
    <w:p w14:paraId="41FBF964">
      <w:pPr>
        <w:pStyle w:val="56"/>
        <w:ind w:firstLine="420"/>
        <w:rPr>
          <w:rFonts w:ascii="宋体" w:hAnsi="宋体" w:eastAsia="宋体" w:cs="宋体"/>
          <w:color w:val="auto"/>
          <w:highlight w:val="none"/>
        </w:rPr>
      </w:pPr>
      <w:r>
        <w:rPr>
          <w:rFonts w:hint="eastAsia" w:ascii="宋体" w:hAnsi="宋体" w:eastAsia="宋体" w:cs="宋体"/>
          <w:color w:val="auto"/>
          <w:highlight w:val="none"/>
        </w:rPr>
        <w:t>（1）截止投标日至本合同签署前发生增值税政策性调整的，调整后含税合同价款=不含增值税的中标金额*（1+政策调整后的增值税税率）</w:t>
      </w:r>
    </w:p>
    <w:p w14:paraId="7A55A155">
      <w:pPr>
        <w:pStyle w:val="56"/>
        <w:ind w:firstLine="420"/>
        <w:rPr>
          <w:rFonts w:ascii="宋体" w:hAnsi="宋体" w:eastAsia="宋体" w:cs="宋体"/>
          <w:color w:val="auto"/>
          <w:highlight w:val="none"/>
        </w:rPr>
      </w:pPr>
      <w:r>
        <w:rPr>
          <w:rFonts w:hint="eastAsia" w:ascii="宋体" w:hAnsi="宋体" w:eastAsia="宋体" w:cs="宋体"/>
          <w:color w:val="auto"/>
          <w:highlight w:val="none"/>
        </w:rPr>
        <w:t>（2）当合同履约期间发生政策性调整增值税税率时，承包人提供增值税专用发票的增值税税率应按政策性调整后的税率执行；若承包人拒绝执行或不积极配合执行的，自行承担付款延期责任及相关违约责任。</w:t>
      </w:r>
    </w:p>
    <w:p w14:paraId="392C9871">
      <w:pPr>
        <w:pStyle w:val="56"/>
        <w:ind w:firstLine="420"/>
        <w:rPr>
          <w:rFonts w:ascii="宋体" w:hAnsi="宋体" w:eastAsia="宋体" w:cs="宋体"/>
          <w:color w:val="auto"/>
          <w:highlight w:val="none"/>
        </w:rPr>
      </w:pPr>
      <w:r>
        <w:rPr>
          <w:rFonts w:hint="eastAsia" w:ascii="宋体" w:hAnsi="宋体" w:eastAsia="宋体" w:cs="宋体"/>
          <w:color w:val="auto"/>
          <w:highlight w:val="none"/>
        </w:rPr>
        <w:t>调整后含税合同价款=累计已付款含税金额+【原合同含税金额/（1+原合同增值税税率）-∑（已付款含税金额/（1+已付款的增值税税率））】*（1+政策性调整后的增值税税率）</w:t>
      </w:r>
    </w:p>
    <w:p w14:paraId="6399D3EA">
      <w:pPr>
        <w:pStyle w:val="56"/>
        <w:ind w:firstLine="420"/>
        <w:rPr>
          <w:color w:val="auto"/>
          <w:highlight w:val="none"/>
        </w:rPr>
      </w:pPr>
      <w:r>
        <w:rPr>
          <w:rFonts w:hint="eastAsia" w:ascii="宋体" w:hAnsi="宋体" w:eastAsia="宋体" w:cs="宋体"/>
          <w:color w:val="auto"/>
          <w:highlight w:val="none"/>
        </w:rPr>
        <w:t>调整后含税结算价款=累计已付款含税金额+【结算含税金额/（1+结算增值税税率）-∑（已付款含税金额/（1+已付款的增值税税率）】*（1+政策性调整后的增值税税率）</w:t>
      </w:r>
    </w:p>
    <w:p w14:paraId="37DD77B0">
      <w:pPr>
        <w:pStyle w:val="77"/>
        <w:spacing w:before="60" w:after="60"/>
        <w:rPr>
          <w:highlight w:val="none"/>
        </w:rPr>
      </w:pPr>
      <w:bookmarkStart w:id="50" w:name="_Toc44492405"/>
      <w:bookmarkStart w:id="51" w:name="_Toc12138"/>
      <w:bookmarkStart w:id="52" w:name="_Toc20860"/>
      <w:r>
        <w:rPr>
          <w:highlight w:val="none"/>
        </w:rPr>
        <w:t xml:space="preserve">8. </w:t>
      </w:r>
      <w:r>
        <w:rPr>
          <w:rFonts w:hint="eastAsia"/>
          <w:highlight w:val="none"/>
        </w:rPr>
        <w:t>合同份数及生效</w:t>
      </w:r>
      <w:bookmarkEnd w:id="50"/>
      <w:bookmarkEnd w:id="51"/>
      <w:bookmarkEnd w:id="52"/>
    </w:p>
    <w:p w14:paraId="0067F72E">
      <w:pPr>
        <w:pStyle w:val="56"/>
        <w:ind w:firstLine="420"/>
        <w:rPr>
          <w:rFonts w:ascii="宋体" w:hAnsi="宋体" w:eastAsia="宋体" w:cs="宋体"/>
          <w:color w:val="auto"/>
          <w:highlight w:val="none"/>
        </w:rPr>
      </w:pPr>
      <w:r>
        <w:rPr>
          <w:rFonts w:hint="eastAsia" w:ascii="宋体" w:hAnsi="宋体" w:eastAsia="宋体" w:cs="宋体"/>
          <w:color w:val="auto"/>
          <w:highlight w:val="none"/>
        </w:rPr>
        <w:t>本合同一式</w:t>
      </w:r>
      <w:r>
        <w:rPr>
          <w:rFonts w:hint="eastAsia" w:ascii="宋体" w:hAnsi="宋体" w:eastAsia="宋体" w:cs="宋体"/>
          <w:color w:val="auto"/>
          <w:highlight w:val="none"/>
          <w:u w:val="single"/>
        </w:rPr>
        <w:t>　</w:t>
      </w:r>
      <w:r>
        <w:rPr>
          <w:rFonts w:ascii="宋体" w:hAnsi="宋体" w:eastAsia="宋体" w:cs="宋体"/>
          <w:color w:val="auto"/>
          <w:highlight w:val="none"/>
          <w:u w:val="single"/>
        </w:rPr>
        <w:t xml:space="preserve">   </w:t>
      </w:r>
      <w:r>
        <w:rPr>
          <w:rFonts w:hint="eastAsia" w:ascii="宋体" w:hAnsi="宋体" w:eastAsia="宋体" w:cs="宋体"/>
          <w:color w:val="auto"/>
          <w:highlight w:val="none"/>
        </w:rPr>
        <w:t>份，发包人执</w:t>
      </w:r>
      <w:r>
        <w:rPr>
          <w:rFonts w:ascii="宋体" w:hAnsi="宋体" w:eastAsia="宋体" w:cs="宋体"/>
          <w:color w:val="auto"/>
          <w:highlight w:val="none"/>
          <w:u w:val="single"/>
        </w:rPr>
        <w:t xml:space="preserve"> 叁  </w:t>
      </w:r>
      <w:r>
        <w:rPr>
          <w:rFonts w:hint="eastAsia" w:ascii="宋体" w:hAnsi="宋体" w:eastAsia="宋体" w:cs="宋体"/>
          <w:color w:val="auto"/>
          <w:highlight w:val="none"/>
        </w:rPr>
        <w:t>份，承包人执</w:t>
      </w:r>
      <w:r>
        <w:rPr>
          <w:rFonts w:ascii="宋体" w:hAnsi="宋体" w:eastAsia="宋体" w:cs="宋体"/>
          <w:color w:val="auto"/>
          <w:highlight w:val="none"/>
          <w:u w:val="single"/>
        </w:rPr>
        <w:t xml:space="preserve">   </w:t>
      </w:r>
      <w:r>
        <w:rPr>
          <w:rFonts w:hint="eastAsia" w:ascii="宋体" w:hAnsi="宋体" w:eastAsia="宋体" w:cs="宋体"/>
          <w:color w:val="auto"/>
          <w:highlight w:val="none"/>
        </w:rPr>
        <w:t>份。本合同经承包人、承包人双方加盖公章或合同专用章，法定代表人或其委托代理人签字或盖章生效。</w:t>
      </w:r>
    </w:p>
    <w:p w14:paraId="3CCCF09E">
      <w:pPr>
        <w:widowControl/>
        <w:jc w:val="left"/>
        <w:rPr>
          <w:rFonts w:ascii="宋体" w:hAnsi="宋体" w:cs="宋体"/>
          <w:kern w:val="0"/>
          <w:szCs w:val="32"/>
          <w:highlight w:val="none"/>
        </w:rPr>
      </w:pPr>
      <w:r>
        <w:rPr>
          <w:rFonts w:ascii="宋体" w:hAnsi="宋体" w:cs="宋体"/>
          <w:highlight w:val="none"/>
        </w:rPr>
        <w:br w:type="page"/>
      </w:r>
    </w:p>
    <w:p w14:paraId="7DC4C0F4">
      <w:pPr>
        <w:pStyle w:val="56"/>
        <w:ind w:firstLine="420"/>
        <w:rPr>
          <w:rFonts w:ascii="宋体" w:hAnsi="宋体" w:eastAsia="宋体" w:cs="宋体"/>
          <w:color w:val="auto"/>
          <w:highlight w:val="none"/>
        </w:rPr>
      </w:pPr>
    </w:p>
    <w:p w14:paraId="305ECA78">
      <w:pPr>
        <w:adjustRightInd w:val="0"/>
        <w:snapToGrid w:val="0"/>
        <w:spacing w:line="360" w:lineRule="auto"/>
        <w:ind w:firstLine="420" w:firstLineChars="200"/>
        <w:rPr>
          <w:highlight w:val="none"/>
        </w:rPr>
      </w:pPr>
      <w:r>
        <w:rPr>
          <w:rFonts w:ascii="宋体" w:hAnsi="宋体"/>
          <w:snapToGrid w:val="0"/>
          <w:kern w:val="0"/>
          <w:highlight w:val="none"/>
        </w:rPr>
        <w:t>(以下无正文)</w:t>
      </w:r>
    </w:p>
    <w:p w14:paraId="0E387C80">
      <w:pPr>
        <w:widowControl/>
        <w:jc w:val="left"/>
        <w:rPr>
          <w:rFonts w:eastAsia="仿宋_GB2312"/>
          <w:kern w:val="0"/>
          <w:szCs w:val="32"/>
          <w:highlight w:val="none"/>
        </w:rPr>
      </w:pPr>
    </w:p>
    <w:p w14:paraId="5CBC6D5F">
      <w:pPr>
        <w:pStyle w:val="56"/>
        <w:ind w:firstLine="0" w:firstLineChars="0"/>
        <w:rPr>
          <w:color w:val="auto"/>
          <w:highlight w:val="none"/>
        </w:rPr>
      </w:pPr>
    </w:p>
    <w:p w14:paraId="26BC423C">
      <w:pPr>
        <w:pStyle w:val="117"/>
        <w:snapToGrid w:val="0"/>
        <w:spacing w:before="0" w:after="0" w:line="360" w:lineRule="auto"/>
        <w:ind w:left="0" w:right="244"/>
        <w:rPr>
          <w:rFonts w:ascii="宋体" w:hAnsi="宋体"/>
          <w:snapToGrid w:val="0"/>
          <w:sz w:val="21"/>
          <w:szCs w:val="21"/>
          <w:highlight w:val="none"/>
        </w:rPr>
      </w:pPr>
      <w:r>
        <w:rPr>
          <w:rFonts w:hint="eastAsia" w:ascii="宋体" w:hAnsi="宋体"/>
          <w:snapToGrid w:val="0"/>
          <w:sz w:val="21"/>
          <w:szCs w:val="21"/>
          <w:highlight w:val="none"/>
        </w:rPr>
        <w:t>发包人（公章）：</w:t>
      </w:r>
      <w:r>
        <w:rPr>
          <w:rFonts w:ascii="宋体" w:hAnsi="宋体" w:cs="宋体"/>
          <w:snapToGrid w:val="0"/>
          <w:sz w:val="21"/>
          <w:szCs w:val="21"/>
          <w:highlight w:val="none"/>
        </w:rPr>
        <w:t xml:space="preserve">  </w:t>
      </w:r>
      <w:r>
        <w:rPr>
          <w:rFonts w:ascii="宋体" w:hAnsi="宋体"/>
          <w:snapToGrid w:val="0"/>
          <w:sz w:val="21"/>
          <w:szCs w:val="21"/>
          <w:highlight w:val="none"/>
        </w:rPr>
        <w:t xml:space="preserve">                   </w:t>
      </w:r>
    </w:p>
    <w:p w14:paraId="108EFA47">
      <w:pPr>
        <w:pStyle w:val="117"/>
        <w:snapToGrid w:val="0"/>
        <w:spacing w:before="0" w:after="0" w:line="360" w:lineRule="auto"/>
        <w:ind w:left="0" w:right="720"/>
        <w:rPr>
          <w:rFonts w:ascii="宋体"/>
          <w:snapToGrid w:val="0"/>
          <w:sz w:val="21"/>
          <w:szCs w:val="21"/>
          <w:highlight w:val="none"/>
        </w:rPr>
      </w:pPr>
      <w:r>
        <w:rPr>
          <w:rFonts w:hint="eastAsia" w:ascii="宋体" w:hAnsi="宋体"/>
          <w:snapToGrid w:val="0"/>
          <w:sz w:val="21"/>
          <w:szCs w:val="21"/>
          <w:highlight w:val="none"/>
        </w:rPr>
        <w:t>地</w:t>
      </w:r>
      <w:r>
        <w:rPr>
          <w:rFonts w:ascii="宋体" w:hAnsi="宋体"/>
          <w:snapToGrid w:val="0"/>
          <w:sz w:val="21"/>
          <w:szCs w:val="21"/>
          <w:highlight w:val="none"/>
        </w:rPr>
        <w:t xml:space="preserve">  址：                      </w:t>
      </w:r>
    </w:p>
    <w:p w14:paraId="0AC914CA">
      <w:pPr>
        <w:pStyle w:val="117"/>
        <w:snapToGrid w:val="0"/>
        <w:spacing w:before="0" w:after="0" w:line="360" w:lineRule="auto"/>
        <w:ind w:left="0" w:right="720"/>
        <w:rPr>
          <w:rFonts w:ascii="宋体"/>
          <w:snapToGrid w:val="0"/>
          <w:sz w:val="21"/>
          <w:szCs w:val="21"/>
          <w:highlight w:val="none"/>
        </w:rPr>
      </w:pPr>
      <w:r>
        <w:rPr>
          <w:rFonts w:hint="eastAsia" w:ascii="宋体" w:hAnsi="宋体"/>
          <w:snapToGrid w:val="0"/>
          <w:sz w:val="21"/>
          <w:szCs w:val="21"/>
          <w:highlight w:val="none"/>
        </w:rPr>
        <w:t>法定代表人或委托代理人：</w:t>
      </w:r>
      <w:r>
        <w:rPr>
          <w:rFonts w:ascii="宋体" w:hAnsi="宋体"/>
          <w:snapToGrid w:val="0"/>
          <w:sz w:val="21"/>
          <w:szCs w:val="21"/>
          <w:highlight w:val="none"/>
        </w:rPr>
        <w:t xml:space="preserve">                                     </w:t>
      </w:r>
    </w:p>
    <w:p w14:paraId="2492DCDD">
      <w:pPr>
        <w:pStyle w:val="117"/>
        <w:snapToGrid w:val="0"/>
        <w:spacing w:before="0" w:after="0" w:line="360" w:lineRule="auto"/>
        <w:ind w:left="0" w:right="720"/>
        <w:rPr>
          <w:rFonts w:ascii="宋体" w:hAnsi="宋体"/>
          <w:snapToGrid w:val="0"/>
          <w:sz w:val="21"/>
          <w:szCs w:val="21"/>
          <w:highlight w:val="none"/>
        </w:rPr>
      </w:pPr>
      <w:r>
        <w:rPr>
          <w:rFonts w:hint="eastAsia" w:ascii="宋体" w:hAnsi="宋体"/>
          <w:snapToGrid w:val="0"/>
          <w:sz w:val="21"/>
          <w:szCs w:val="21"/>
          <w:highlight w:val="none"/>
        </w:rPr>
        <w:t>电</w:t>
      </w:r>
      <w:r>
        <w:rPr>
          <w:rFonts w:ascii="宋体" w:hAnsi="宋体"/>
          <w:snapToGrid w:val="0"/>
          <w:sz w:val="21"/>
          <w:szCs w:val="21"/>
          <w:highlight w:val="none"/>
        </w:rPr>
        <w:t xml:space="preserve">  话：                                 </w:t>
      </w:r>
    </w:p>
    <w:p w14:paraId="71F21241">
      <w:pPr>
        <w:pStyle w:val="117"/>
        <w:snapToGrid w:val="0"/>
        <w:spacing w:before="0" w:after="0" w:line="360" w:lineRule="auto"/>
        <w:ind w:left="0" w:right="720"/>
        <w:rPr>
          <w:rFonts w:ascii="宋体" w:hAnsi="宋体"/>
          <w:snapToGrid w:val="0"/>
          <w:sz w:val="21"/>
          <w:szCs w:val="21"/>
          <w:highlight w:val="none"/>
        </w:rPr>
      </w:pPr>
      <w:r>
        <w:rPr>
          <w:rFonts w:hint="eastAsia" w:ascii="宋体" w:hAnsi="宋体"/>
          <w:snapToGrid w:val="0"/>
          <w:sz w:val="21"/>
          <w:szCs w:val="21"/>
          <w:highlight w:val="none"/>
        </w:rPr>
        <w:t>开户银行：</w:t>
      </w:r>
    </w:p>
    <w:p w14:paraId="4E8F7038">
      <w:pPr>
        <w:pStyle w:val="117"/>
        <w:snapToGrid w:val="0"/>
        <w:spacing w:before="0" w:after="0" w:line="360" w:lineRule="auto"/>
        <w:ind w:left="0" w:right="720"/>
        <w:rPr>
          <w:rFonts w:ascii="宋体"/>
          <w:snapToGrid w:val="0"/>
          <w:sz w:val="21"/>
          <w:szCs w:val="21"/>
          <w:highlight w:val="none"/>
        </w:rPr>
      </w:pPr>
      <w:r>
        <w:rPr>
          <w:rFonts w:hint="eastAsia" w:ascii="宋体" w:hAnsi="宋体"/>
          <w:snapToGrid w:val="0"/>
          <w:sz w:val="21"/>
          <w:szCs w:val="21"/>
          <w:highlight w:val="none"/>
        </w:rPr>
        <w:t>账</w:t>
      </w:r>
      <w:r>
        <w:rPr>
          <w:rFonts w:ascii="宋体" w:hAnsi="宋体"/>
          <w:snapToGrid w:val="0"/>
          <w:sz w:val="21"/>
          <w:szCs w:val="21"/>
          <w:highlight w:val="none"/>
        </w:rPr>
        <w:t xml:space="preserve">   </w:t>
      </w:r>
      <w:r>
        <w:rPr>
          <w:rFonts w:hint="eastAsia" w:ascii="宋体" w:hAnsi="宋体"/>
          <w:snapToGrid w:val="0"/>
          <w:sz w:val="21"/>
          <w:szCs w:val="21"/>
          <w:highlight w:val="none"/>
        </w:rPr>
        <w:t>号：</w:t>
      </w:r>
    </w:p>
    <w:p w14:paraId="1D2FAE6A">
      <w:pPr>
        <w:pStyle w:val="117"/>
        <w:snapToGrid w:val="0"/>
        <w:spacing w:before="0" w:after="0" w:line="360" w:lineRule="auto"/>
        <w:ind w:left="0" w:right="720"/>
        <w:rPr>
          <w:rFonts w:ascii="宋体" w:hAnsi="宋体"/>
          <w:snapToGrid w:val="0"/>
          <w:sz w:val="21"/>
          <w:szCs w:val="21"/>
          <w:highlight w:val="none"/>
        </w:rPr>
      </w:pPr>
    </w:p>
    <w:p w14:paraId="2CAA4E8C">
      <w:pPr>
        <w:pStyle w:val="117"/>
        <w:snapToGrid w:val="0"/>
        <w:spacing w:before="0" w:after="0" w:line="360" w:lineRule="auto"/>
        <w:ind w:left="0" w:right="720"/>
        <w:rPr>
          <w:rFonts w:ascii="宋体" w:hAnsi="宋体"/>
          <w:snapToGrid w:val="0"/>
          <w:sz w:val="21"/>
          <w:szCs w:val="21"/>
          <w:highlight w:val="none"/>
        </w:rPr>
      </w:pPr>
      <w:r>
        <w:rPr>
          <w:rFonts w:hint="eastAsia" w:ascii="宋体" w:hAnsi="宋体"/>
          <w:snapToGrid w:val="0"/>
          <w:sz w:val="21"/>
          <w:szCs w:val="21"/>
          <w:highlight w:val="none"/>
        </w:rPr>
        <w:t>签订日期：</w:t>
      </w:r>
      <w:r>
        <w:rPr>
          <w:rFonts w:ascii="宋体" w:hAnsi="宋体"/>
          <w:snapToGrid w:val="0"/>
          <w:sz w:val="21"/>
          <w:szCs w:val="21"/>
          <w:highlight w:val="none"/>
        </w:rPr>
        <w:t xml:space="preserve">     年    月   日 </w:t>
      </w:r>
    </w:p>
    <w:p w14:paraId="113549D7">
      <w:pPr>
        <w:pStyle w:val="117"/>
        <w:snapToGrid w:val="0"/>
        <w:spacing w:before="0" w:after="0" w:line="360" w:lineRule="auto"/>
        <w:ind w:left="0" w:right="720"/>
        <w:rPr>
          <w:rFonts w:ascii="宋体" w:hAnsi="宋体"/>
          <w:snapToGrid w:val="0"/>
          <w:sz w:val="21"/>
          <w:szCs w:val="21"/>
          <w:highlight w:val="none"/>
        </w:rPr>
      </w:pPr>
    </w:p>
    <w:p w14:paraId="45FA76AD">
      <w:pPr>
        <w:pStyle w:val="117"/>
        <w:snapToGrid w:val="0"/>
        <w:spacing w:before="0" w:after="0" w:line="360" w:lineRule="auto"/>
        <w:ind w:left="0" w:right="720"/>
        <w:rPr>
          <w:rFonts w:ascii="宋体" w:hAnsi="宋体"/>
          <w:snapToGrid w:val="0"/>
          <w:sz w:val="21"/>
          <w:szCs w:val="21"/>
          <w:highlight w:val="none"/>
        </w:rPr>
      </w:pPr>
      <w:r>
        <w:rPr>
          <w:rFonts w:hint="eastAsia" w:ascii="宋体" w:hAnsi="宋体"/>
          <w:snapToGrid w:val="0"/>
          <w:sz w:val="21"/>
          <w:szCs w:val="21"/>
          <w:highlight w:val="none"/>
        </w:rPr>
        <w:t>承包人（公章）：</w:t>
      </w:r>
      <w:r>
        <w:rPr>
          <w:rFonts w:ascii="宋体" w:hAnsi="宋体"/>
          <w:snapToGrid w:val="0"/>
          <w:sz w:val="21"/>
          <w:szCs w:val="21"/>
          <w:highlight w:val="none"/>
        </w:rPr>
        <w:t xml:space="preserve"> </w:t>
      </w:r>
    </w:p>
    <w:p w14:paraId="06C4AB45">
      <w:pPr>
        <w:pStyle w:val="117"/>
        <w:snapToGrid w:val="0"/>
        <w:spacing w:before="0" w:after="0" w:line="360" w:lineRule="auto"/>
        <w:ind w:left="0" w:right="720"/>
        <w:rPr>
          <w:rFonts w:ascii="宋体" w:hAnsi="宋体"/>
          <w:snapToGrid w:val="0"/>
          <w:sz w:val="21"/>
          <w:szCs w:val="21"/>
          <w:highlight w:val="none"/>
        </w:rPr>
      </w:pPr>
      <w:r>
        <w:rPr>
          <w:rFonts w:hint="eastAsia" w:ascii="宋体" w:hAnsi="宋体"/>
          <w:snapToGrid w:val="0"/>
          <w:sz w:val="21"/>
          <w:szCs w:val="21"/>
          <w:highlight w:val="none"/>
        </w:rPr>
        <w:t>地</w:t>
      </w:r>
      <w:r>
        <w:rPr>
          <w:rFonts w:ascii="宋体" w:hAnsi="宋体"/>
          <w:snapToGrid w:val="0"/>
          <w:sz w:val="21"/>
          <w:szCs w:val="21"/>
          <w:highlight w:val="none"/>
        </w:rPr>
        <w:t xml:space="preserve">   </w:t>
      </w:r>
      <w:r>
        <w:rPr>
          <w:rFonts w:hint="eastAsia" w:ascii="宋体" w:hAnsi="宋体"/>
          <w:snapToGrid w:val="0"/>
          <w:sz w:val="21"/>
          <w:szCs w:val="21"/>
          <w:highlight w:val="none"/>
        </w:rPr>
        <w:t>址：</w:t>
      </w:r>
    </w:p>
    <w:p w14:paraId="532659B6">
      <w:pPr>
        <w:pStyle w:val="117"/>
        <w:snapToGrid w:val="0"/>
        <w:spacing w:before="0" w:after="0" w:line="360" w:lineRule="auto"/>
        <w:ind w:left="0" w:right="720"/>
        <w:rPr>
          <w:rFonts w:ascii="宋体" w:hAnsi="宋体"/>
          <w:snapToGrid w:val="0"/>
          <w:sz w:val="21"/>
          <w:szCs w:val="21"/>
          <w:highlight w:val="none"/>
        </w:rPr>
      </w:pPr>
      <w:r>
        <w:rPr>
          <w:rFonts w:hint="eastAsia" w:ascii="宋体" w:hAnsi="宋体"/>
          <w:snapToGrid w:val="0"/>
          <w:sz w:val="21"/>
          <w:szCs w:val="21"/>
          <w:highlight w:val="none"/>
        </w:rPr>
        <w:t>法定代表人或委托代理人：</w:t>
      </w:r>
    </w:p>
    <w:p w14:paraId="0AFAD2B1">
      <w:pPr>
        <w:pStyle w:val="117"/>
        <w:snapToGrid w:val="0"/>
        <w:spacing w:before="0" w:after="0" w:line="360" w:lineRule="auto"/>
        <w:ind w:left="0" w:right="720"/>
        <w:rPr>
          <w:rFonts w:ascii="宋体" w:hAnsi="宋体"/>
          <w:snapToGrid w:val="0"/>
          <w:sz w:val="21"/>
          <w:szCs w:val="21"/>
          <w:highlight w:val="none"/>
        </w:rPr>
      </w:pPr>
      <w:r>
        <w:rPr>
          <w:rFonts w:hint="eastAsia" w:ascii="宋体" w:hAnsi="宋体"/>
          <w:snapToGrid w:val="0"/>
          <w:sz w:val="21"/>
          <w:szCs w:val="21"/>
          <w:highlight w:val="none"/>
        </w:rPr>
        <w:t>电</w:t>
      </w:r>
      <w:r>
        <w:rPr>
          <w:rFonts w:ascii="宋体" w:hAnsi="宋体"/>
          <w:snapToGrid w:val="0"/>
          <w:sz w:val="21"/>
          <w:szCs w:val="21"/>
          <w:highlight w:val="none"/>
        </w:rPr>
        <w:t xml:space="preserve">  </w:t>
      </w:r>
      <w:r>
        <w:rPr>
          <w:rFonts w:hint="eastAsia" w:ascii="宋体" w:hAnsi="宋体"/>
          <w:snapToGrid w:val="0"/>
          <w:sz w:val="21"/>
          <w:szCs w:val="21"/>
          <w:highlight w:val="none"/>
        </w:rPr>
        <w:t>话：</w:t>
      </w:r>
    </w:p>
    <w:p w14:paraId="72C6FA5B">
      <w:pPr>
        <w:pStyle w:val="117"/>
        <w:snapToGrid w:val="0"/>
        <w:spacing w:before="0" w:after="0" w:line="360" w:lineRule="auto"/>
        <w:ind w:left="0" w:right="720"/>
        <w:rPr>
          <w:rFonts w:ascii="宋体"/>
          <w:snapToGrid w:val="0"/>
          <w:sz w:val="21"/>
          <w:szCs w:val="21"/>
          <w:highlight w:val="none"/>
        </w:rPr>
      </w:pPr>
      <w:r>
        <w:rPr>
          <w:rFonts w:ascii="宋体" w:hAnsi="宋体"/>
          <w:snapToGrid w:val="0"/>
          <w:sz w:val="21"/>
          <w:szCs w:val="21"/>
          <w:highlight w:val="none"/>
        </w:rPr>
        <w:t xml:space="preserve">                                </w:t>
      </w:r>
    </w:p>
    <w:p w14:paraId="6F2F7D98">
      <w:pPr>
        <w:pStyle w:val="117"/>
        <w:snapToGrid w:val="0"/>
        <w:spacing w:before="0" w:after="0" w:line="360" w:lineRule="auto"/>
        <w:ind w:left="0" w:right="720"/>
        <w:rPr>
          <w:rFonts w:ascii="宋体" w:hAnsi="宋体"/>
          <w:snapToGrid w:val="0"/>
          <w:sz w:val="21"/>
          <w:szCs w:val="21"/>
          <w:highlight w:val="none"/>
        </w:rPr>
      </w:pPr>
    </w:p>
    <w:p w14:paraId="5DFFA0FE">
      <w:pPr>
        <w:pStyle w:val="117"/>
        <w:snapToGrid w:val="0"/>
        <w:spacing w:before="0" w:after="0" w:line="360" w:lineRule="auto"/>
        <w:ind w:left="0" w:right="720"/>
        <w:rPr>
          <w:rFonts w:ascii="宋体" w:hAnsi="宋体"/>
          <w:snapToGrid w:val="0"/>
          <w:szCs w:val="21"/>
          <w:highlight w:val="none"/>
        </w:rPr>
      </w:pPr>
      <w:r>
        <w:rPr>
          <w:rFonts w:hint="eastAsia" w:ascii="宋体" w:hAnsi="宋体"/>
          <w:snapToGrid w:val="0"/>
          <w:sz w:val="21"/>
          <w:szCs w:val="21"/>
          <w:highlight w:val="none"/>
        </w:rPr>
        <w:t>签订日期：</w:t>
      </w:r>
      <w:r>
        <w:rPr>
          <w:rFonts w:ascii="宋体" w:hAnsi="宋体"/>
          <w:snapToGrid w:val="0"/>
          <w:sz w:val="21"/>
          <w:szCs w:val="21"/>
          <w:highlight w:val="none"/>
        </w:rPr>
        <w:t xml:space="preserve">     </w:t>
      </w:r>
      <w:r>
        <w:rPr>
          <w:rFonts w:hint="eastAsia" w:ascii="宋体" w:hAnsi="宋体"/>
          <w:snapToGrid w:val="0"/>
          <w:sz w:val="21"/>
          <w:szCs w:val="21"/>
          <w:highlight w:val="none"/>
        </w:rPr>
        <w:t>年</w:t>
      </w:r>
      <w:r>
        <w:rPr>
          <w:rFonts w:ascii="宋体" w:hAnsi="宋体"/>
          <w:snapToGrid w:val="0"/>
          <w:sz w:val="21"/>
          <w:szCs w:val="21"/>
          <w:highlight w:val="none"/>
        </w:rPr>
        <w:t xml:space="preserve">    </w:t>
      </w:r>
      <w:r>
        <w:rPr>
          <w:rFonts w:hint="eastAsia" w:ascii="宋体" w:hAnsi="宋体"/>
          <w:snapToGrid w:val="0"/>
          <w:sz w:val="21"/>
          <w:szCs w:val="21"/>
          <w:highlight w:val="none"/>
        </w:rPr>
        <w:t>月</w:t>
      </w:r>
      <w:r>
        <w:rPr>
          <w:rFonts w:ascii="宋体" w:hAnsi="宋体"/>
          <w:snapToGrid w:val="0"/>
          <w:sz w:val="21"/>
          <w:szCs w:val="21"/>
          <w:highlight w:val="none"/>
        </w:rPr>
        <w:t xml:space="preserve">   </w:t>
      </w:r>
      <w:r>
        <w:rPr>
          <w:rFonts w:hint="eastAsia" w:ascii="宋体" w:hAnsi="宋体"/>
          <w:snapToGrid w:val="0"/>
          <w:sz w:val="21"/>
          <w:szCs w:val="21"/>
          <w:highlight w:val="none"/>
        </w:rPr>
        <w:t>日</w:t>
      </w:r>
      <w:bookmarkStart w:id="53" w:name="_Toc44492406"/>
      <w:bookmarkStart w:id="54" w:name="_Toc118446906"/>
      <w:bookmarkStart w:id="55" w:name="_Toc40186510"/>
      <w:bookmarkStart w:id="56" w:name="_Toc4504"/>
      <w:bookmarkStart w:id="57" w:name="_Toc27237"/>
      <w:bookmarkStart w:id="58" w:name="_Toc44227949"/>
      <w:bookmarkStart w:id="59" w:name="_Toc1924"/>
      <w:bookmarkStart w:id="60" w:name="_Toc402450437"/>
      <w:r>
        <w:rPr>
          <w:rFonts w:ascii="宋体" w:hAnsi="宋体"/>
          <w:snapToGrid w:val="0"/>
          <w:sz w:val="21"/>
          <w:szCs w:val="21"/>
          <w:highlight w:val="none"/>
        </w:rPr>
        <w:br w:type="page"/>
      </w:r>
    </w:p>
    <w:bookmarkEnd w:id="53"/>
    <w:bookmarkEnd w:id="54"/>
    <w:bookmarkEnd w:id="55"/>
    <w:bookmarkEnd w:id="56"/>
    <w:bookmarkEnd w:id="57"/>
    <w:bookmarkEnd w:id="58"/>
    <w:bookmarkEnd w:id="59"/>
    <w:bookmarkEnd w:id="60"/>
    <w:p w14:paraId="58E9B679">
      <w:pPr>
        <w:pStyle w:val="81"/>
        <w:ind w:firstLine="3081" w:firstLineChars="855"/>
        <w:rPr>
          <w:rFonts w:ascii="华文中宋" w:hAnsi="华文中宋" w:eastAsia="华文中宋"/>
          <w:b/>
          <w:color w:val="auto"/>
          <w:sz w:val="36"/>
          <w:szCs w:val="44"/>
          <w:highlight w:val="none"/>
        </w:rPr>
      </w:pPr>
      <w:bookmarkStart w:id="61" w:name="_Toc26596"/>
      <w:bookmarkStart w:id="62" w:name="_Toc38987270"/>
      <w:bookmarkStart w:id="63" w:name="_Toc44228153"/>
      <w:bookmarkStart w:id="64" w:name="_Toc402450459"/>
      <w:bookmarkStart w:id="65" w:name="_Toc91082434"/>
      <w:bookmarkStart w:id="66" w:name="p3"/>
      <w:bookmarkStart w:id="67" w:name="_Toc23052"/>
      <w:bookmarkStart w:id="68" w:name="_Toc44492550"/>
      <w:bookmarkStart w:id="69" w:name="_Toc10189"/>
      <w:r>
        <w:rPr>
          <w:rFonts w:hint="eastAsia" w:ascii="华文中宋" w:hAnsi="华文中宋" w:eastAsia="华文中宋"/>
          <w:b/>
          <w:color w:val="auto"/>
          <w:sz w:val="36"/>
          <w:szCs w:val="44"/>
          <w:highlight w:val="none"/>
        </w:rPr>
        <w:t>第二部分 通用条款</w:t>
      </w:r>
    </w:p>
    <w:p w14:paraId="12CDF4FC">
      <w:pPr>
        <w:pStyle w:val="81"/>
        <w:ind w:firstLine="420"/>
        <w:rPr>
          <w:rFonts w:ascii="仿宋" w:hAnsi="仿宋" w:eastAsia="仿宋_GB2312" w:cs="宋体"/>
          <w:b/>
          <w:color w:val="auto"/>
          <w:kern w:val="0"/>
          <w:sz w:val="21"/>
          <w:szCs w:val="21"/>
          <w:highlight w:val="none"/>
        </w:rPr>
      </w:pPr>
      <w:r>
        <w:rPr>
          <w:rFonts w:hint="eastAsia" w:ascii="仿宋" w:hAnsi="仿宋" w:eastAsia="仿宋_GB2312" w:cs="宋体"/>
          <w:b/>
          <w:color w:val="auto"/>
          <w:kern w:val="0"/>
          <w:sz w:val="21"/>
          <w:szCs w:val="21"/>
          <w:highlight w:val="none"/>
        </w:rPr>
        <w:t>按原合同通用条款执行。</w:t>
      </w:r>
    </w:p>
    <w:p w14:paraId="0B30AE07">
      <w:pPr>
        <w:pStyle w:val="81"/>
        <w:ind w:firstLine="3243" w:firstLineChars="900"/>
        <w:rPr>
          <w:rFonts w:ascii="仿宋" w:hAnsi="仿宋" w:eastAsia="仿宋_GB2312" w:cs="宋体"/>
          <w:b/>
          <w:color w:val="auto"/>
          <w:kern w:val="0"/>
          <w:sz w:val="21"/>
          <w:szCs w:val="21"/>
          <w:highlight w:val="none"/>
        </w:rPr>
      </w:pPr>
      <w:r>
        <w:rPr>
          <w:rFonts w:ascii="华文中宋" w:hAnsi="华文中宋" w:eastAsia="华文中宋"/>
          <w:b/>
          <w:color w:val="auto"/>
          <w:sz w:val="36"/>
          <w:szCs w:val="44"/>
          <w:highlight w:val="none"/>
        </w:rPr>
        <w:t>第</w:t>
      </w:r>
      <w:r>
        <w:rPr>
          <w:rFonts w:hint="eastAsia" w:ascii="华文中宋" w:hAnsi="华文中宋" w:eastAsia="华文中宋"/>
          <w:b/>
          <w:color w:val="auto"/>
          <w:sz w:val="36"/>
          <w:szCs w:val="44"/>
          <w:highlight w:val="none"/>
        </w:rPr>
        <w:t>三</w:t>
      </w:r>
      <w:r>
        <w:rPr>
          <w:rFonts w:ascii="华文中宋" w:hAnsi="华文中宋" w:eastAsia="华文中宋"/>
          <w:b/>
          <w:color w:val="auto"/>
          <w:sz w:val="36"/>
          <w:szCs w:val="44"/>
          <w:highlight w:val="none"/>
        </w:rPr>
        <w:t xml:space="preserve">部分 </w:t>
      </w:r>
      <w:r>
        <w:rPr>
          <w:rFonts w:hint="eastAsia" w:ascii="华文中宋" w:hAnsi="华文中宋" w:eastAsia="华文中宋"/>
          <w:b/>
          <w:color w:val="auto"/>
          <w:sz w:val="36"/>
          <w:szCs w:val="44"/>
          <w:highlight w:val="none"/>
        </w:rPr>
        <w:t>专</w:t>
      </w:r>
      <w:r>
        <w:rPr>
          <w:rFonts w:ascii="华文中宋" w:hAnsi="华文中宋" w:eastAsia="华文中宋"/>
          <w:b/>
          <w:color w:val="auto"/>
          <w:sz w:val="36"/>
          <w:szCs w:val="44"/>
          <w:highlight w:val="none"/>
        </w:rPr>
        <w:t>用条款</w:t>
      </w:r>
    </w:p>
    <w:p w14:paraId="713A6C89">
      <w:pPr>
        <w:pStyle w:val="81"/>
        <w:ind w:firstLine="420"/>
        <w:rPr>
          <w:rFonts w:eastAsia="仿宋_GB2312"/>
          <w:color w:val="auto"/>
          <w:kern w:val="0"/>
          <w:sz w:val="21"/>
          <w:highlight w:val="none"/>
        </w:rPr>
      </w:pPr>
      <w:r>
        <w:rPr>
          <w:rFonts w:hint="eastAsia" w:ascii="仿宋" w:hAnsi="仿宋" w:eastAsia="仿宋_GB2312" w:cs="宋体"/>
          <w:b/>
          <w:color w:val="auto"/>
          <w:kern w:val="0"/>
          <w:sz w:val="21"/>
          <w:szCs w:val="21"/>
          <w:highlight w:val="none"/>
        </w:rPr>
        <w:t>本专用条款的编号对应总承包合同中通用条款编号。</w:t>
      </w:r>
    </w:p>
    <w:bookmarkEnd w:id="61"/>
    <w:bookmarkEnd w:id="62"/>
    <w:bookmarkEnd w:id="63"/>
    <w:bookmarkEnd w:id="64"/>
    <w:bookmarkEnd w:id="65"/>
    <w:bookmarkEnd w:id="66"/>
    <w:bookmarkEnd w:id="67"/>
    <w:bookmarkEnd w:id="68"/>
    <w:bookmarkEnd w:id="69"/>
    <w:p w14:paraId="32AF1A1D">
      <w:pPr>
        <w:keepNext/>
        <w:keepLines/>
        <w:numPr>
          <w:ilvl w:val="0"/>
          <w:numId w:val="4"/>
        </w:numPr>
        <w:adjustRightInd w:val="0"/>
        <w:snapToGrid w:val="0"/>
        <w:spacing w:line="360" w:lineRule="auto"/>
        <w:outlineLvl w:val="0"/>
        <w:rPr>
          <w:rFonts w:ascii="宋体" w:hAnsi="宋体"/>
          <w:b/>
          <w:bCs/>
          <w:kern w:val="44"/>
          <w:sz w:val="28"/>
          <w:szCs w:val="44"/>
          <w:highlight w:val="none"/>
        </w:rPr>
      </w:pPr>
      <w:bookmarkStart w:id="70" w:name="_Toc167701751"/>
      <w:bookmarkStart w:id="71" w:name="_Toc15637"/>
      <w:bookmarkStart w:id="72" w:name="_Toc18748"/>
      <w:bookmarkStart w:id="73" w:name="_Toc427331236"/>
      <w:bookmarkStart w:id="74" w:name="_Toc20760"/>
      <w:bookmarkStart w:id="75" w:name="_Toc27219"/>
      <w:bookmarkStart w:id="76" w:name="_Toc21733"/>
      <w:bookmarkStart w:id="77" w:name="_Toc167701650"/>
      <w:bookmarkStart w:id="78" w:name="_Toc7769"/>
      <w:bookmarkStart w:id="79" w:name="_Toc26661"/>
      <w:bookmarkStart w:id="80" w:name="_Toc26092"/>
      <w:bookmarkStart w:id="81" w:name="_Toc2993"/>
      <w:bookmarkStart w:id="82" w:name="_Toc167975575"/>
      <w:bookmarkStart w:id="83" w:name="_Toc13984"/>
      <w:bookmarkStart w:id="84" w:name="_Toc14395"/>
      <w:bookmarkStart w:id="85" w:name="_Toc27685"/>
      <w:bookmarkStart w:id="86" w:name="_Toc24401"/>
      <w:bookmarkStart w:id="87" w:name="_Toc27424"/>
      <w:bookmarkStart w:id="88" w:name="_Toc17953"/>
      <w:bookmarkStart w:id="89" w:name="_Toc25369"/>
      <w:bookmarkStart w:id="90" w:name="_Toc350865203"/>
      <w:bookmarkStart w:id="91" w:name="_Toc350865565"/>
      <w:bookmarkStart w:id="92" w:name="_Toc29105"/>
      <w:bookmarkStart w:id="93" w:name="_Toc14965"/>
      <w:bookmarkStart w:id="94" w:name="_Toc14743"/>
      <w:bookmarkStart w:id="95" w:name="_Toc28426"/>
      <w:bookmarkStart w:id="96" w:name="_Toc402450479"/>
      <w:r>
        <w:rPr>
          <w:rFonts w:hint="eastAsia" w:ascii="宋体" w:hAnsi="宋体"/>
          <w:b/>
          <w:bCs/>
          <w:kern w:val="44"/>
          <w:sz w:val="28"/>
          <w:szCs w:val="44"/>
          <w:highlight w:val="none"/>
        </w:rPr>
        <w:t>一般约定</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5AD47723">
      <w:pPr>
        <w:numPr>
          <w:ilvl w:val="2"/>
          <w:numId w:val="0"/>
        </w:numPr>
        <w:adjustRightInd w:val="0"/>
        <w:snapToGrid w:val="0"/>
        <w:spacing w:line="360" w:lineRule="auto"/>
        <w:jc w:val="left"/>
        <w:outlineLvl w:val="2"/>
        <w:rPr>
          <w:rFonts w:ascii="宋体" w:hAnsi="Arial"/>
          <w:b/>
          <w:bCs/>
          <w:kern w:val="0"/>
          <w:szCs w:val="20"/>
          <w:highlight w:val="none"/>
        </w:rPr>
      </w:pPr>
      <w:r>
        <w:rPr>
          <w:rFonts w:hint="eastAsia" w:ascii="宋体" w:hAnsi="Arial"/>
          <w:b/>
          <w:bCs/>
          <w:kern w:val="0"/>
          <w:szCs w:val="20"/>
          <w:highlight w:val="none"/>
        </w:rPr>
        <w:t>1.1词语定义</w:t>
      </w:r>
    </w:p>
    <w:p w14:paraId="3298380A">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1.1.4.日期</w:t>
      </w:r>
    </w:p>
    <w:p w14:paraId="716E1AA6">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6)</w:t>
      </w:r>
      <w:r>
        <w:rPr>
          <w:rFonts w:hint="eastAsia" w:ascii="宋体" w:hAnsi="宋体"/>
          <w:bCs/>
          <w:kern w:val="0"/>
          <w:szCs w:val="28"/>
          <w:highlight w:val="none"/>
        </w:rPr>
        <w:tab/>
      </w:r>
      <w:r>
        <w:rPr>
          <w:rFonts w:hint="eastAsia" w:ascii="宋体" w:hAnsi="宋体"/>
          <w:bCs/>
          <w:kern w:val="0"/>
          <w:szCs w:val="28"/>
          <w:highlight w:val="none"/>
        </w:rPr>
        <w:t>项目整体竣工验收合格日期：指发包人和总承包人约定的项目整体竣工验收合格日期。</w:t>
      </w:r>
    </w:p>
    <w:p w14:paraId="69A793FE">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1.1.5.合同总价和费用</w:t>
      </w:r>
    </w:p>
    <w:p w14:paraId="54B2C4D9">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7）现金支付：指采用支票或银行</w:t>
      </w:r>
      <w:r>
        <w:rPr>
          <w:rFonts w:hint="eastAsia" w:ascii="宋体" w:hAnsi="宋体"/>
          <w:bCs/>
          <w:kern w:val="0"/>
          <w:szCs w:val="28"/>
          <w:highlight w:val="none"/>
          <w:lang w:val="en-US" w:eastAsia="zh-CN"/>
        </w:rPr>
        <w:t>转账</w:t>
      </w:r>
      <w:r>
        <w:rPr>
          <w:rFonts w:hint="eastAsia" w:ascii="宋体" w:hAnsi="宋体"/>
          <w:bCs/>
          <w:kern w:val="0"/>
          <w:szCs w:val="28"/>
          <w:highlight w:val="none"/>
        </w:rPr>
        <w:t>等无账期的支付方式。</w:t>
      </w:r>
    </w:p>
    <w:p w14:paraId="4198AF91">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8）非现金支付：非现金结算工具主要指商业汇票、信用证及电子债权凭证，其中商业汇票包括但不限于纸质或电子形式的银行承兑汇票、财务公司承兑汇票、商业承兑汇票等。</w:t>
      </w:r>
    </w:p>
    <w:p w14:paraId="057916B5">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9）本合同中涉及到费用及款项金额等若未特别注明的，其币种均指人民币。</w:t>
      </w:r>
    </w:p>
    <w:p w14:paraId="443A2FC3">
      <w:pPr>
        <w:numPr>
          <w:ilvl w:val="2"/>
          <w:numId w:val="0"/>
        </w:numPr>
        <w:adjustRightInd w:val="0"/>
        <w:snapToGrid w:val="0"/>
        <w:spacing w:line="360" w:lineRule="auto"/>
        <w:jc w:val="left"/>
        <w:outlineLvl w:val="2"/>
        <w:rPr>
          <w:rFonts w:ascii="宋体" w:hAnsi="Arial"/>
          <w:b/>
          <w:bCs/>
          <w:kern w:val="0"/>
          <w:szCs w:val="20"/>
          <w:highlight w:val="none"/>
        </w:rPr>
      </w:pPr>
      <w:r>
        <w:rPr>
          <w:rFonts w:hint="eastAsia" w:ascii="宋体" w:hAnsi="Arial"/>
          <w:b/>
          <w:bCs/>
          <w:kern w:val="0"/>
          <w:szCs w:val="20"/>
          <w:highlight w:val="none"/>
        </w:rPr>
        <w:t>1.2.语言文字</w:t>
      </w:r>
    </w:p>
    <w:p w14:paraId="10299CFF">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1.2.1.本合同除使用汉语外，还使用</w:t>
      </w:r>
      <w:r>
        <w:rPr>
          <w:rFonts w:hint="eastAsia" w:ascii="宋体" w:hAnsi="Arial"/>
          <w:kern w:val="0"/>
          <w:szCs w:val="20"/>
          <w:highlight w:val="none"/>
          <w:u w:val="single"/>
        </w:rPr>
        <w:t xml:space="preserve"> </w:t>
      </w:r>
      <w:r>
        <w:rPr>
          <w:highlight w:val="none"/>
          <w:u w:val="single"/>
        </w:rPr>
        <w:t>/</w:t>
      </w:r>
      <w:r>
        <w:rPr>
          <w:rFonts w:hint="eastAsia"/>
          <w:highlight w:val="none"/>
          <w:u w:val="single"/>
        </w:rPr>
        <w:t xml:space="preserve"> </w:t>
      </w:r>
      <w:r>
        <w:rPr>
          <w:rFonts w:hint="eastAsia" w:ascii="宋体" w:hAnsi="Arial"/>
          <w:kern w:val="0"/>
          <w:szCs w:val="20"/>
          <w:highlight w:val="none"/>
        </w:rPr>
        <w:t>语言文字。</w:t>
      </w:r>
    </w:p>
    <w:p w14:paraId="21A4B802">
      <w:pPr>
        <w:numPr>
          <w:ilvl w:val="2"/>
          <w:numId w:val="0"/>
        </w:numPr>
        <w:adjustRightInd w:val="0"/>
        <w:snapToGrid w:val="0"/>
        <w:spacing w:line="360" w:lineRule="auto"/>
        <w:jc w:val="left"/>
        <w:outlineLvl w:val="2"/>
        <w:rPr>
          <w:rFonts w:ascii="宋体" w:hAnsi="Arial"/>
          <w:b/>
          <w:bCs/>
          <w:kern w:val="0"/>
          <w:szCs w:val="20"/>
          <w:highlight w:val="none"/>
        </w:rPr>
      </w:pPr>
      <w:r>
        <w:rPr>
          <w:rFonts w:hint="eastAsia" w:ascii="宋体" w:hAnsi="Arial"/>
          <w:b/>
          <w:bCs/>
          <w:kern w:val="0"/>
          <w:szCs w:val="20"/>
          <w:highlight w:val="none"/>
        </w:rPr>
        <w:t>1.3.适用法律、标准及规范</w:t>
      </w:r>
    </w:p>
    <w:p w14:paraId="57F7042D">
      <w:pPr>
        <w:numPr>
          <w:ilvl w:val="2"/>
          <w:numId w:val="0"/>
        </w:numPr>
        <w:adjustRightInd w:val="0"/>
        <w:snapToGrid w:val="0"/>
        <w:spacing w:line="360" w:lineRule="auto"/>
        <w:ind w:firstLine="420" w:firstLineChars="200"/>
        <w:jc w:val="left"/>
        <w:outlineLvl w:val="2"/>
        <w:rPr>
          <w:rFonts w:ascii="宋体" w:hAnsi="宋体"/>
          <w:kern w:val="0"/>
          <w:szCs w:val="20"/>
          <w:highlight w:val="none"/>
          <w:u w:val="single"/>
        </w:rPr>
      </w:pPr>
      <w:r>
        <w:rPr>
          <w:rFonts w:hint="eastAsia" w:ascii="宋体" w:hAnsi="宋体"/>
          <w:kern w:val="0"/>
          <w:szCs w:val="20"/>
          <w:highlight w:val="none"/>
        </w:rPr>
        <w:t>1.3.1.本合同文件适用《中华人民共和国民法典》、《中华人民共和国建筑法》、《中华人民共和国安全生产法》、《建设工程质量管理条例》、《建设工程安全生产管理条例》等国家现行法律、法规和对本工程有管辖权的各级政府颁布的行政法规。需要特别明示的法律、行政法规由合同当事人双方在专用条款中约定。</w:t>
      </w:r>
    </w:p>
    <w:p w14:paraId="56BFAC80">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1.3.2.本合同适用的标准、规范为中华人民共和国现行的有关工程建设与施工的技术标准与规范，包括但不限于：《建筑工程施工与验收规范》、发包人在本合同中约定的有关技术标准要求等。</w:t>
      </w:r>
    </w:p>
    <w:p w14:paraId="70ED8CD9">
      <w:pPr>
        <w:numPr>
          <w:ilvl w:val="2"/>
          <w:numId w:val="0"/>
        </w:numPr>
        <w:adjustRightInd w:val="0"/>
        <w:snapToGrid w:val="0"/>
        <w:spacing w:line="360" w:lineRule="auto"/>
        <w:ind w:firstLine="420" w:firstLineChars="200"/>
        <w:jc w:val="left"/>
        <w:outlineLvl w:val="2"/>
        <w:rPr>
          <w:rFonts w:ascii="宋体" w:hAnsi="宋体"/>
          <w:kern w:val="0"/>
          <w:szCs w:val="20"/>
          <w:highlight w:val="none"/>
          <w:u w:val="single"/>
        </w:rPr>
      </w:pPr>
      <w:r>
        <w:rPr>
          <w:rFonts w:hint="eastAsia" w:ascii="宋体" w:hAnsi="宋体"/>
          <w:kern w:val="0"/>
          <w:szCs w:val="20"/>
          <w:highlight w:val="none"/>
        </w:rPr>
        <w:t>1.3.3.发包人提供的标准、规范：</w:t>
      </w:r>
      <w:r>
        <w:rPr>
          <w:rFonts w:hint="eastAsia" w:ascii="宋体" w:hAnsi="宋体"/>
          <w:kern w:val="0"/>
          <w:szCs w:val="20"/>
          <w:highlight w:val="none"/>
          <w:u w:val="single"/>
        </w:rPr>
        <w:t xml:space="preserve"> 详见附件2。</w:t>
      </w:r>
    </w:p>
    <w:p w14:paraId="60D91188">
      <w:pPr>
        <w:numPr>
          <w:ilvl w:val="2"/>
          <w:numId w:val="0"/>
        </w:numPr>
        <w:adjustRightInd w:val="0"/>
        <w:snapToGrid w:val="0"/>
        <w:spacing w:line="360" w:lineRule="auto"/>
        <w:jc w:val="left"/>
        <w:outlineLvl w:val="2"/>
        <w:rPr>
          <w:rFonts w:ascii="宋体" w:hAnsi="Arial"/>
          <w:b/>
          <w:bCs/>
          <w:kern w:val="0"/>
          <w:szCs w:val="20"/>
          <w:highlight w:val="none"/>
        </w:rPr>
      </w:pPr>
      <w:r>
        <w:rPr>
          <w:rFonts w:hint="eastAsia" w:ascii="宋体" w:hAnsi="Arial"/>
          <w:b/>
          <w:bCs/>
          <w:kern w:val="0"/>
          <w:szCs w:val="20"/>
          <w:highlight w:val="none"/>
        </w:rPr>
        <w:t>1.4合同文件的优先顺序</w:t>
      </w:r>
    </w:p>
    <w:p w14:paraId="0A017983">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1.4.1 通用条款1.4.1修订为：</w:t>
      </w:r>
    </w:p>
    <w:p w14:paraId="0A12B83E">
      <w:pPr>
        <w:autoSpaceDE w:val="0"/>
        <w:autoSpaceDN w:val="0"/>
        <w:adjustRightInd w:val="0"/>
        <w:spacing w:line="360" w:lineRule="auto"/>
        <w:ind w:firstLine="420" w:firstLineChars="200"/>
        <w:jc w:val="left"/>
        <w:rPr>
          <w:rFonts w:ascii="宋体" w:hAnsi="宋体" w:cs="宋体"/>
          <w:kern w:val="0"/>
          <w:szCs w:val="32"/>
          <w:highlight w:val="none"/>
        </w:rPr>
      </w:pPr>
      <w:r>
        <w:rPr>
          <w:rFonts w:hint="eastAsia" w:ascii="宋体" w:hAnsi="宋体" w:cs="宋体"/>
          <w:kern w:val="0"/>
          <w:szCs w:val="32"/>
          <w:highlight w:val="none"/>
        </w:rPr>
        <w:t>下列文件均为合同的组成部分，互为补充和解释。若合同文件中对工程范围、工程质量、建设工期、工程价款（含相关的计价条款）、安全管理要求等实质性内容有不一致的，承包人应当自发现或应当发现之日起及时向发包人提出，除发包人明确要求适用何种约定外，以对承包人义务、责任要求高者、严者为准；合同文件的其他内容出现不一致的，除合同另有明文约定外，按顺序排列在前者为准，同一顺序文件出现不一致的，以时间在后者为准；但经发包人认定承包人的有关承诺比顺序在前的文件对发包人更有利的，就该承诺事项以该特定承诺为准；当同一份合同文件中内容相互矛盾或冲突，以发包人意见为准。</w:t>
      </w:r>
    </w:p>
    <w:p w14:paraId="1C147D53">
      <w:pPr>
        <w:numPr>
          <w:ilvl w:val="0"/>
          <w:numId w:val="5"/>
        </w:numPr>
        <w:autoSpaceDE w:val="0"/>
        <w:autoSpaceDN w:val="0"/>
        <w:adjustRightInd w:val="0"/>
        <w:spacing w:line="360" w:lineRule="auto"/>
        <w:ind w:left="0" w:firstLine="420" w:firstLineChars="200"/>
        <w:jc w:val="left"/>
        <w:rPr>
          <w:rFonts w:ascii="宋体" w:hAnsi="宋体" w:cs="宋体"/>
          <w:kern w:val="0"/>
          <w:szCs w:val="32"/>
          <w:highlight w:val="none"/>
        </w:rPr>
      </w:pPr>
      <w:r>
        <w:rPr>
          <w:rFonts w:hint="eastAsia" w:ascii="宋体" w:hAnsi="宋体" w:cs="宋体"/>
          <w:kern w:val="0"/>
          <w:szCs w:val="32"/>
          <w:highlight w:val="none"/>
        </w:rPr>
        <w:t>本合同的补充合同（若有）；</w:t>
      </w:r>
    </w:p>
    <w:p w14:paraId="41FB85C4">
      <w:pPr>
        <w:numPr>
          <w:ilvl w:val="0"/>
          <w:numId w:val="5"/>
        </w:numPr>
        <w:autoSpaceDE w:val="0"/>
        <w:autoSpaceDN w:val="0"/>
        <w:adjustRightInd w:val="0"/>
        <w:spacing w:line="360" w:lineRule="auto"/>
        <w:ind w:left="0" w:firstLine="420" w:firstLineChars="200"/>
        <w:jc w:val="left"/>
        <w:rPr>
          <w:rFonts w:ascii="宋体" w:hAnsi="宋体" w:cs="宋体"/>
          <w:kern w:val="0"/>
          <w:szCs w:val="32"/>
          <w:highlight w:val="none"/>
        </w:rPr>
      </w:pPr>
      <w:r>
        <w:rPr>
          <w:rFonts w:hint="eastAsia" w:ascii="宋体" w:hAnsi="宋体" w:cs="宋体"/>
          <w:kern w:val="0"/>
          <w:szCs w:val="32"/>
          <w:highlight w:val="none"/>
        </w:rPr>
        <w:t>协议书；</w:t>
      </w:r>
    </w:p>
    <w:p w14:paraId="55021514">
      <w:pPr>
        <w:numPr>
          <w:ilvl w:val="0"/>
          <w:numId w:val="5"/>
        </w:numPr>
        <w:autoSpaceDE w:val="0"/>
        <w:autoSpaceDN w:val="0"/>
        <w:adjustRightInd w:val="0"/>
        <w:spacing w:line="360" w:lineRule="auto"/>
        <w:ind w:left="0" w:firstLine="420" w:firstLineChars="200"/>
        <w:jc w:val="left"/>
        <w:rPr>
          <w:rFonts w:ascii="宋体" w:hAnsi="宋体" w:cs="宋体"/>
          <w:kern w:val="0"/>
          <w:szCs w:val="32"/>
          <w:highlight w:val="none"/>
        </w:rPr>
      </w:pPr>
      <w:r>
        <w:rPr>
          <w:rFonts w:hint="eastAsia" w:ascii="宋体" w:hAnsi="宋体" w:cs="宋体"/>
          <w:kern w:val="0"/>
          <w:szCs w:val="32"/>
          <w:highlight w:val="none"/>
        </w:rPr>
        <w:t>本合同专用条款及合同附件；（若专用条款和通用条款有不一致的，则按照专用条款执行）；</w:t>
      </w:r>
    </w:p>
    <w:p w14:paraId="156D5F67">
      <w:pPr>
        <w:numPr>
          <w:ilvl w:val="0"/>
          <w:numId w:val="5"/>
        </w:numPr>
        <w:autoSpaceDE w:val="0"/>
        <w:autoSpaceDN w:val="0"/>
        <w:adjustRightInd w:val="0"/>
        <w:spacing w:line="360" w:lineRule="auto"/>
        <w:ind w:left="0" w:firstLine="420" w:firstLineChars="200"/>
        <w:jc w:val="left"/>
        <w:rPr>
          <w:rFonts w:ascii="宋体" w:hAnsi="宋体" w:cs="宋体"/>
          <w:kern w:val="0"/>
          <w:szCs w:val="32"/>
          <w:highlight w:val="none"/>
        </w:rPr>
      </w:pPr>
      <w:r>
        <w:rPr>
          <w:rFonts w:hint="eastAsia" w:ascii="宋体" w:hAnsi="宋体" w:cs="宋体"/>
          <w:kern w:val="0"/>
          <w:szCs w:val="32"/>
          <w:highlight w:val="none"/>
        </w:rPr>
        <w:t>合同通用条款；</w:t>
      </w:r>
    </w:p>
    <w:p w14:paraId="651ADB2D">
      <w:pPr>
        <w:numPr>
          <w:ilvl w:val="0"/>
          <w:numId w:val="5"/>
        </w:numPr>
        <w:autoSpaceDE w:val="0"/>
        <w:autoSpaceDN w:val="0"/>
        <w:adjustRightInd w:val="0"/>
        <w:spacing w:line="360" w:lineRule="auto"/>
        <w:ind w:left="0" w:firstLine="420" w:firstLineChars="200"/>
        <w:jc w:val="left"/>
        <w:rPr>
          <w:rFonts w:ascii="宋体" w:hAnsi="宋体" w:cs="宋体"/>
          <w:kern w:val="0"/>
          <w:szCs w:val="32"/>
          <w:highlight w:val="none"/>
        </w:rPr>
      </w:pPr>
      <w:r>
        <w:rPr>
          <w:rFonts w:hint="eastAsia" w:ascii="宋体" w:hAnsi="宋体" w:cs="宋体"/>
          <w:kern w:val="0"/>
          <w:szCs w:val="32"/>
          <w:highlight w:val="none"/>
        </w:rPr>
        <w:t>设计技术标准和要求；</w:t>
      </w:r>
    </w:p>
    <w:p w14:paraId="0F001226">
      <w:pPr>
        <w:numPr>
          <w:ilvl w:val="0"/>
          <w:numId w:val="5"/>
        </w:numPr>
        <w:autoSpaceDE w:val="0"/>
        <w:autoSpaceDN w:val="0"/>
        <w:adjustRightInd w:val="0"/>
        <w:spacing w:line="360" w:lineRule="auto"/>
        <w:ind w:left="0" w:firstLine="420" w:firstLineChars="200"/>
        <w:jc w:val="left"/>
        <w:rPr>
          <w:rFonts w:ascii="宋体" w:hAnsi="宋体" w:cs="宋体"/>
          <w:kern w:val="0"/>
          <w:szCs w:val="32"/>
          <w:highlight w:val="none"/>
        </w:rPr>
      </w:pPr>
      <w:r>
        <w:rPr>
          <w:rFonts w:hint="eastAsia" w:ascii="宋体" w:hAnsi="宋体" w:cs="宋体"/>
          <w:kern w:val="0"/>
          <w:szCs w:val="32"/>
          <w:highlight w:val="none"/>
        </w:rPr>
        <w:t>图纸（另册）；</w:t>
      </w:r>
    </w:p>
    <w:p w14:paraId="36138D46">
      <w:pPr>
        <w:numPr>
          <w:ilvl w:val="0"/>
          <w:numId w:val="5"/>
        </w:numPr>
        <w:autoSpaceDE w:val="0"/>
        <w:autoSpaceDN w:val="0"/>
        <w:adjustRightInd w:val="0"/>
        <w:spacing w:line="360" w:lineRule="auto"/>
        <w:ind w:left="0" w:firstLine="420" w:firstLineChars="200"/>
        <w:jc w:val="left"/>
        <w:rPr>
          <w:rFonts w:ascii="宋体" w:hAnsi="宋体" w:cs="宋体"/>
          <w:kern w:val="0"/>
          <w:szCs w:val="32"/>
          <w:highlight w:val="none"/>
        </w:rPr>
      </w:pPr>
      <w:r>
        <w:rPr>
          <w:rFonts w:hint="eastAsia" w:ascii="宋体" w:hAnsi="宋体" w:cs="宋体"/>
          <w:kern w:val="0"/>
          <w:szCs w:val="32"/>
          <w:highlight w:val="none"/>
        </w:rPr>
        <w:t>中标通知书；</w:t>
      </w:r>
    </w:p>
    <w:p w14:paraId="1353C7DD">
      <w:pPr>
        <w:numPr>
          <w:ilvl w:val="0"/>
          <w:numId w:val="5"/>
        </w:numPr>
        <w:autoSpaceDE w:val="0"/>
        <w:autoSpaceDN w:val="0"/>
        <w:adjustRightInd w:val="0"/>
        <w:spacing w:line="360" w:lineRule="auto"/>
        <w:ind w:left="0" w:firstLine="420" w:firstLineChars="200"/>
        <w:jc w:val="left"/>
        <w:rPr>
          <w:rFonts w:ascii="宋体" w:hAnsi="宋体" w:cs="宋体"/>
          <w:kern w:val="0"/>
          <w:szCs w:val="32"/>
          <w:highlight w:val="none"/>
        </w:rPr>
      </w:pPr>
      <w:r>
        <w:rPr>
          <w:rFonts w:hint="eastAsia" w:ascii="宋体" w:hAnsi="宋体" w:cs="宋体"/>
          <w:kern w:val="0"/>
          <w:szCs w:val="32"/>
          <w:highlight w:val="none"/>
        </w:rPr>
        <w:t>投标文件（另册；但投标文件以符合招标文件和经招标人书面同意者为准，投标文件承诺的投标人的义务、责任比招标文件更高更严者，适用该等对招标人有利的承诺；投标文件低于招标文件要求的或对招标人不利的，以招标文件为准。）；</w:t>
      </w:r>
    </w:p>
    <w:p w14:paraId="1FAD69E7">
      <w:pPr>
        <w:numPr>
          <w:ilvl w:val="0"/>
          <w:numId w:val="5"/>
        </w:numPr>
        <w:autoSpaceDE w:val="0"/>
        <w:autoSpaceDN w:val="0"/>
        <w:adjustRightInd w:val="0"/>
        <w:spacing w:line="360" w:lineRule="auto"/>
        <w:ind w:left="0" w:firstLine="420" w:firstLineChars="200"/>
        <w:jc w:val="left"/>
        <w:rPr>
          <w:rFonts w:ascii="宋体" w:hAnsi="宋体" w:cs="宋体"/>
          <w:kern w:val="0"/>
          <w:szCs w:val="32"/>
          <w:highlight w:val="none"/>
        </w:rPr>
      </w:pPr>
      <w:r>
        <w:rPr>
          <w:rFonts w:hint="eastAsia" w:ascii="宋体" w:hAnsi="宋体" w:cs="宋体"/>
          <w:kern w:val="0"/>
          <w:szCs w:val="32"/>
          <w:highlight w:val="none"/>
        </w:rPr>
        <w:t>招标文件（另册）；</w:t>
      </w:r>
    </w:p>
    <w:p w14:paraId="5E9FE76D">
      <w:pPr>
        <w:numPr>
          <w:ilvl w:val="0"/>
          <w:numId w:val="5"/>
        </w:numPr>
        <w:autoSpaceDE w:val="0"/>
        <w:autoSpaceDN w:val="0"/>
        <w:adjustRightInd w:val="0"/>
        <w:spacing w:line="360" w:lineRule="auto"/>
        <w:ind w:left="0" w:firstLine="420" w:firstLineChars="200"/>
        <w:jc w:val="left"/>
        <w:rPr>
          <w:rFonts w:ascii="宋体" w:hAnsi="宋体" w:cs="宋体"/>
          <w:kern w:val="0"/>
          <w:szCs w:val="32"/>
          <w:highlight w:val="none"/>
        </w:rPr>
      </w:pPr>
      <w:r>
        <w:rPr>
          <w:rFonts w:hint="eastAsia" w:ascii="宋体" w:hAnsi="宋体" w:cs="宋体"/>
          <w:kern w:val="0"/>
          <w:szCs w:val="32"/>
          <w:highlight w:val="none"/>
        </w:rPr>
        <w:t>经双方认可的其他有关书面文件。</w:t>
      </w:r>
    </w:p>
    <w:p w14:paraId="2A5FF734">
      <w:pPr>
        <w:numPr>
          <w:ilvl w:val="1"/>
          <w:numId w:val="0"/>
        </w:numPr>
        <w:adjustRightInd w:val="0"/>
        <w:snapToGrid w:val="0"/>
        <w:spacing w:line="360" w:lineRule="auto"/>
        <w:ind w:left="420" w:hanging="420"/>
        <w:jc w:val="left"/>
        <w:outlineLvl w:val="1"/>
        <w:rPr>
          <w:rFonts w:ascii="宋体" w:hAnsi="宋体"/>
          <w:b/>
          <w:bCs/>
          <w:kern w:val="0"/>
          <w:sz w:val="28"/>
          <w:szCs w:val="32"/>
          <w:highlight w:val="none"/>
        </w:rPr>
      </w:pPr>
      <w:r>
        <w:rPr>
          <w:rFonts w:hint="eastAsia" w:ascii="宋体" w:hAnsi="宋体"/>
          <w:b/>
          <w:bCs/>
          <w:kern w:val="0"/>
          <w:sz w:val="28"/>
          <w:szCs w:val="32"/>
          <w:highlight w:val="none"/>
        </w:rPr>
        <w:t>1.6. 图纸和承包人文件</w:t>
      </w:r>
    </w:p>
    <w:p w14:paraId="5F68B5C9">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1.6.1. 发包人提供的图纸</w:t>
      </w:r>
    </w:p>
    <w:p w14:paraId="631893E3">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1）</w:t>
      </w:r>
      <w:r>
        <w:rPr>
          <w:rFonts w:hint="eastAsia" w:ascii="宋体" w:hAnsi="宋体"/>
          <w:bCs/>
          <w:kern w:val="0"/>
          <w:szCs w:val="28"/>
          <w:highlight w:val="none"/>
          <w:u w:val="none"/>
        </w:rPr>
        <w:t>发包人在工程开工前向承包人提供完整的施工图纸一式肆份</w:t>
      </w:r>
      <w:r>
        <w:rPr>
          <w:rFonts w:hint="eastAsia" w:ascii="宋体" w:hAnsi="宋体"/>
          <w:bCs/>
          <w:kern w:val="0"/>
          <w:szCs w:val="28"/>
          <w:highlight w:val="none"/>
        </w:rPr>
        <w:t>（含承包人制作竣工图所用的叁套）。</w:t>
      </w:r>
    </w:p>
    <w:p w14:paraId="2955778C">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 xml:space="preserve">1.6.2. </w:t>
      </w:r>
      <w:r>
        <w:rPr>
          <w:rFonts w:hint="eastAsia" w:ascii="宋体" w:hAnsi="Arial"/>
          <w:kern w:val="0"/>
          <w:szCs w:val="20"/>
          <w:highlight w:val="none"/>
        </w:rPr>
        <w:t>承包人</w:t>
      </w:r>
      <w:r>
        <w:rPr>
          <w:rFonts w:hint="eastAsia" w:ascii="宋体" w:hAnsi="宋体"/>
          <w:kern w:val="0"/>
          <w:szCs w:val="20"/>
          <w:highlight w:val="none"/>
        </w:rPr>
        <w:t>提供的图纸</w:t>
      </w:r>
    </w:p>
    <w:p w14:paraId="11838EF9">
      <w:pPr>
        <w:adjustRightInd w:val="0"/>
        <w:snapToGrid w:val="0"/>
        <w:spacing w:line="360" w:lineRule="auto"/>
        <w:ind w:firstLine="420" w:firstLineChars="200"/>
        <w:jc w:val="left"/>
        <w:outlineLvl w:val="3"/>
        <w:rPr>
          <w:rFonts w:ascii="宋体" w:hAnsi="宋体"/>
          <w:bCs/>
          <w:kern w:val="0"/>
          <w:szCs w:val="28"/>
          <w:highlight w:val="none"/>
          <w:u w:val="none"/>
        </w:rPr>
      </w:pPr>
      <w:r>
        <w:rPr>
          <w:rFonts w:hint="eastAsia" w:ascii="宋体" w:hAnsi="宋体"/>
          <w:bCs/>
          <w:kern w:val="0"/>
          <w:szCs w:val="28"/>
          <w:highlight w:val="none"/>
          <w:u w:val="none"/>
        </w:rPr>
        <w:t>1）需承包人提交的深化设计（优化设计）图纸有：幕墙系统（含擦窗机）</w:t>
      </w:r>
      <w:r>
        <w:rPr>
          <w:rFonts w:hint="eastAsia" w:ascii="宋体" w:hAnsi="宋体"/>
          <w:bCs/>
          <w:kern w:val="0"/>
          <w:szCs w:val="28"/>
          <w:highlight w:val="none"/>
          <w:u w:val="none"/>
          <w:lang w:eastAsia="zh-CN"/>
        </w:rPr>
        <w:t>、</w:t>
      </w:r>
      <w:r>
        <w:rPr>
          <w:rFonts w:hint="eastAsia" w:ascii="宋体" w:hAnsi="宋体"/>
          <w:bCs/>
          <w:kern w:val="0"/>
          <w:szCs w:val="28"/>
          <w:highlight w:val="none"/>
          <w:u w:val="none"/>
          <w:lang w:val="en-US" w:eastAsia="zh-CN"/>
        </w:rPr>
        <w:t>泛光照明</w:t>
      </w:r>
      <w:r>
        <w:rPr>
          <w:rFonts w:hint="eastAsia" w:ascii="宋体" w:hAnsi="宋体"/>
          <w:bCs/>
          <w:kern w:val="0"/>
          <w:szCs w:val="28"/>
          <w:highlight w:val="none"/>
          <w:u w:val="none"/>
        </w:rPr>
        <w:t>。</w:t>
      </w:r>
    </w:p>
    <w:p w14:paraId="46DEA208">
      <w:pPr>
        <w:tabs>
          <w:tab w:val="left" w:pos="851"/>
          <w:tab w:val="left" w:pos="993"/>
        </w:tabs>
        <w:adjustRightInd w:val="0"/>
        <w:snapToGrid w:val="0"/>
        <w:spacing w:line="360" w:lineRule="auto"/>
        <w:ind w:firstLine="420" w:firstLineChars="200"/>
        <w:rPr>
          <w:rFonts w:ascii="宋体" w:hAnsi="宋体"/>
          <w:szCs w:val="24"/>
          <w:highlight w:val="none"/>
          <w:u w:val="none"/>
        </w:rPr>
      </w:pPr>
      <w:r>
        <w:rPr>
          <w:rFonts w:hint="eastAsia" w:ascii="宋体" w:hAnsi="宋体"/>
          <w:szCs w:val="24"/>
          <w:highlight w:val="none"/>
          <w:u w:val="none"/>
        </w:rPr>
        <w:t>深化设计完成时间：详见合同专用条款10.1.2要求</w:t>
      </w:r>
      <w:r>
        <w:rPr>
          <w:rFonts w:hint="eastAsia" w:ascii="Times New Roman" w:hAnsi="Times New Roman"/>
          <w:szCs w:val="24"/>
          <w:highlight w:val="none"/>
          <w:u w:val="none"/>
        </w:rPr>
        <w:t>。</w:t>
      </w:r>
    </w:p>
    <w:p w14:paraId="049FD7CD">
      <w:pPr>
        <w:tabs>
          <w:tab w:val="left" w:pos="851"/>
          <w:tab w:val="left" w:pos="993"/>
        </w:tabs>
        <w:adjustRightInd w:val="0"/>
        <w:snapToGrid w:val="0"/>
        <w:spacing w:line="360" w:lineRule="auto"/>
        <w:ind w:firstLine="420" w:firstLineChars="200"/>
        <w:rPr>
          <w:rFonts w:ascii="宋体" w:hAnsi="宋体"/>
          <w:szCs w:val="24"/>
          <w:highlight w:val="none"/>
          <w:u w:val="none"/>
        </w:rPr>
      </w:pPr>
      <w:r>
        <w:rPr>
          <w:rFonts w:hint="eastAsia" w:ascii="宋体" w:hAnsi="宋体"/>
          <w:szCs w:val="24"/>
          <w:highlight w:val="none"/>
          <w:u w:val="none"/>
        </w:rPr>
        <w:t>提交的数量为：</w:t>
      </w:r>
      <w:r>
        <w:rPr>
          <w:rFonts w:hint="eastAsia" w:ascii="Times New Roman" w:hAnsi="Times New Roman"/>
          <w:szCs w:val="24"/>
          <w:highlight w:val="none"/>
          <w:u w:val="none"/>
        </w:rPr>
        <w:t>一式八份。所提交的资料需同时包括纸质版与电子版（CAD文档与盖章版PDF文档）。</w:t>
      </w:r>
    </w:p>
    <w:p w14:paraId="7E78667F">
      <w:pPr>
        <w:adjustRightInd w:val="0"/>
        <w:snapToGrid w:val="0"/>
        <w:spacing w:line="360" w:lineRule="auto"/>
        <w:ind w:left="704" w:hanging="284"/>
        <w:jc w:val="left"/>
        <w:outlineLvl w:val="3"/>
        <w:rPr>
          <w:rFonts w:ascii="宋体" w:hAnsi="宋体"/>
          <w:bCs/>
          <w:kern w:val="0"/>
          <w:szCs w:val="28"/>
          <w:highlight w:val="none"/>
          <w:u w:val="none"/>
        </w:rPr>
      </w:pPr>
      <w:r>
        <w:rPr>
          <w:rFonts w:hint="eastAsia" w:ascii="宋体" w:hAnsi="宋体"/>
          <w:bCs/>
          <w:kern w:val="0"/>
          <w:szCs w:val="28"/>
          <w:highlight w:val="none"/>
          <w:u w:val="none"/>
        </w:rPr>
        <w:t>2）承包人提供的竣工图的份数：竣工图纸壹式叁份及相应的电子磁盘资料叁套。</w:t>
      </w:r>
    </w:p>
    <w:p w14:paraId="6270358A">
      <w:pPr>
        <w:adjustRightInd w:val="0"/>
        <w:snapToGrid w:val="0"/>
        <w:spacing w:line="360" w:lineRule="auto"/>
        <w:ind w:left="704" w:hanging="284"/>
        <w:jc w:val="left"/>
        <w:outlineLvl w:val="3"/>
        <w:rPr>
          <w:rFonts w:ascii="宋体" w:hAnsi="宋体"/>
          <w:bCs/>
          <w:kern w:val="0"/>
          <w:szCs w:val="28"/>
          <w:highlight w:val="none"/>
          <w:u w:val="none"/>
        </w:rPr>
      </w:pPr>
      <w:r>
        <w:rPr>
          <w:rFonts w:hint="eastAsia" w:ascii="宋体" w:hAnsi="宋体"/>
          <w:bCs/>
          <w:kern w:val="0"/>
          <w:szCs w:val="28"/>
          <w:highlight w:val="none"/>
          <w:u w:val="none"/>
        </w:rPr>
        <w:t xml:space="preserve">3）其他需承包人提供的图纸及其要求：  </w:t>
      </w:r>
      <w:r>
        <w:rPr>
          <w:rFonts w:hint="eastAsia" w:ascii="仿宋" w:hAnsi="仿宋" w:eastAsia="仿宋" w:cs="宋体"/>
          <w:highlight w:val="none"/>
          <w:u w:val="none"/>
        </w:rPr>
        <w:t xml:space="preserve">/ </w:t>
      </w:r>
      <w:r>
        <w:rPr>
          <w:rFonts w:hint="eastAsia" w:ascii="宋体" w:hAnsi="宋体"/>
          <w:bCs/>
          <w:kern w:val="0"/>
          <w:szCs w:val="28"/>
          <w:highlight w:val="none"/>
          <w:u w:val="none"/>
        </w:rPr>
        <w:t>。</w:t>
      </w:r>
    </w:p>
    <w:p w14:paraId="053AF2F9">
      <w:pPr>
        <w:adjustRightInd w:val="0"/>
        <w:snapToGrid w:val="0"/>
        <w:spacing w:line="360" w:lineRule="auto"/>
        <w:ind w:firstLine="420" w:firstLineChars="200"/>
        <w:jc w:val="left"/>
        <w:outlineLvl w:val="3"/>
        <w:rPr>
          <w:rFonts w:ascii="宋体" w:hAnsi="宋体"/>
          <w:bCs/>
          <w:kern w:val="0"/>
          <w:szCs w:val="28"/>
          <w:highlight w:val="none"/>
          <w:u w:val="none"/>
        </w:rPr>
      </w:pPr>
      <w:r>
        <w:rPr>
          <w:rFonts w:hint="eastAsia" w:ascii="宋体" w:hAnsi="宋体"/>
          <w:bCs/>
          <w:kern w:val="0"/>
          <w:szCs w:val="28"/>
          <w:highlight w:val="none"/>
          <w:u w:val="none"/>
        </w:rPr>
        <w:t>4）竣工图编制要求：竣工资料及竣工图纸必须准确真实的反映实际施工情况（含电子版文件叁套）。竣工图由承包人编制，相关费用（包括但不限于编制费及出图费（如需）由承包人承担）在合同签约合同价格中综合考虑。</w:t>
      </w:r>
    </w:p>
    <w:p w14:paraId="3B902A03">
      <w:pPr>
        <w:adjustRightInd w:val="0"/>
        <w:snapToGrid w:val="0"/>
        <w:spacing w:line="360" w:lineRule="auto"/>
        <w:ind w:left="704" w:hanging="284"/>
        <w:jc w:val="left"/>
        <w:outlineLvl w:val="3"/>
        <w:rPr>
          <w:rFonts w:ascii="宋体" w:hAnsi="宋体"/>
          <w:bCs/>
          <w:kern w:val="0"/>
          <w:szCs w:val="28"/>
          <w:highlight w:val="none"/>
          <w:u w:val="none"/>
        </w:rPr>
      </w:pPr>
      <w:r>
        <w:rPr>
          <w:rFonts w:hint="eastAsia" w:ascii="宋体" w:hAnsi="宋体"/>
          <w:bCs/>
          <w:kern w:val="0"/>
          <w:szCs w:val="28"/>
          <w:highlight w:val="none"/>
          <w:u w:val="none"/>
        </w:rPr>
        <w:t>5）深化设计相关要求：</w:t>
      </w:r>
    </w:p>
    <w:p w14:paraId="357D8E65">
      <w:pPr>
        <w:adjustRightInd w:val="0"/>
        <w:snapToGrid w:val="0"/>
        <w:spacing w:line="360" w:lineRule="auto"/>
        <w:ind w:firstLine="420" w:firstLineChars="200"/>
        <w:jc w:val="left"/>
        <w:outlineLvl w:val="3"/>
        <w:rPr>
          <w:rFonts w:ascii="宋体" w:hAnsi="宋体"/>
          <w:bCs/>
          <w:kern w:val="0"/>
          <w:szCs w:val="28"/>
          <w:highlight w:val="none"/>
          <w:u w:val="none"/>
        </w:rPr>
      </w:pPr>
      <w:r>
        <w:rPr>
          <w:rFonts w:hint="eastAsia" w:ascii="宋体" w:hAnsi="宋体"/>
          <w:bCs/>
          <w:kern w:val="0"/>
          <w:szCs w:val="28"/>
          <w:highlight w:val="none"/>
          <w:u w:val="none"/>
        </w:rPr>
        <w:t>(1)由承包人负责专业工程设计深化的，深化设计</w:t>
      </w:r>
      <w:r>
        <w:rPr>
          <w:rFonts w:hint="eastAsia"/>
          <w:color w:val="auto"/>
        </w:rPr>
        <w:t>及深化设计引起的本工程造价调整的相关</w:t>
      </w:r>
      <w:r>
        <w:rPr>
          <w:rFonts w:hint="eastAsia" w:ascii="宋体" w:hAnsi="宋体"/>
          <w:bCs/>
          <w:kern w:val="0"/>
          <w:szCs w:val="28"/>
          <w:highlight w:val="none"/>
          <w:u w:val="none"/>
        </w:rPr>
        <w:t>费用已在投标报价中综合考虑，不另行支付。设计深化是在原招标施工图基础上结合现场实际情况对图纸进行完善、补充、细化后，绘制成具有可实施性的现场施工图纸，通过发包人审查及取得审查单位审查合格意见（如需），图形合一，直接指导现场施工。深化设计文件深度要满足报审、施工、维护等工程需求，包含但不限于以下内容：图纸、计算书、技术文档、调试安装手册等。深化设计文件需要符合本工程资质的</w:t>
      </w:r>
      <w:r>
        <w:rPr>
          <w:rFonts w:hint="eastAsia"/>
          <w:highlight w:val="none"/>
          <w:u w:val="none"/>
        </w:rPr>
        <w:t>幕墙顾问及</w:t>
      </w:r>
      <w:r>
        <w:rPr>
          <w:rFonts w:hint="eastAsia" w:ascii="宋体" w:hAnsi="宋体"/>
          <w:bCs/>
          <w:kern w:val="0"/>
          <w:szCs w:val="28"/>
          <w:highlight w:val="none"/>
          <w:u w:val="none"/>
        </w:rPr>
        <w:t>设计院盖章。</w:t>
      </w:r>
    </w:p>
    <w:p w14:paraId="5C5EADA2">
      <w:pPr>
        <w:adjustRightInd w:val="0"/>
        <w:snapToGrid w:val="0"/>
        <w:spacing w:line="360" w:lineRule="auto"/>
        <w:ind w:firstLine="420" w:firstLineChars="200"/>
        <w:jc w:val="left"/>
        <w:outlineLvl w:val="3"/>
        <w:rPr>
          <w:rFonts w:ascii="宋体" w:hAnsi="宋体"/>
          <w:bCs/>
          <w:kern w:val="0"/>
          <w:szCs w:val="28"/>
          <w:highlight w:val="none"/>
          <w:u w:val="none"/>
        </w:rPr>
      </w:pPr>
      <w:r>
        <w:rPr>
          <w:rFonts w:hint="eastAsia" w:ascii="宋体" w:hAnsi="宋体"/>
          <w:bCs/>
          <w:kern w:val="0"/>
          <w:szCs w:val="28"/>
          <w:highlight w:val="none"/>
          <w:u w:val="none"/>
        </w:rPr>
        <w:t>(2)承包人需提交的深化设计图纸包括但不限于：幕墙系统（含擦窗机）</w:t>
      </w:r>
      <w:r>
        <w:rPr>
          <w:rFonts w:hint="eastAsia" w:ascii="宋体" w:hAnsi="宋体"/>
          <w:bCs/>
          <w:kern w:val="0"/>
          <w:szCs w:val="28"/>
          <w:highlight w:val="none"/>
          <w:u w:val="none"/>
          <w:lang w:eastAsia="zh-CN"/>
        </w:rPr>
        <w:t>、</w:t>
      </w:r>
      <w:r>
        <w:rPr>
          <w:rFonts w:hint="eastAsia" w:ascii="宋体" w:hAnsi="宋体"/>
          <w:bCs/>
          <w:kern w:val="0"/>
          <w:szCs w:val="28"/>
          <w:highlight w:val="none"/>
          <w:u w:val="none"/>
          <w:lang w:val="en-US" w:eastAsia="zh-CN"/>
        </w:rPr>
        <w:t>泛光照明</w:t>
      </w:r>
      <w:r>
        <w:rPr>
          <w:rFonts w:hint="eastAsia" w:ascii="宋体" w:hAnsi="宋体"/>
          <w:bCs/>
          <w:kern w:val="0"/>
          <w:szCs w:val="28"/>
          <w:highlight w:val="none"/>
          <w:u w:val="none"/>
        </w:rPr>
        <w:t>。</w:t>
      </w:r>
    </w:p>
    <w:p w14:paraId="6975F256">
      <w:pPr>
        <w:adjustRightInd w:val="0"/>
        <w:snapToGrid w:val="0"/>
        <w:spacing w:line="360" w:lineRule="auto"/>
        <w:ind w:firstLine="420" w:firstLineChars="200"/>
        <w:jc w:val="left"/>
        <w:outlineLvl w:val="3"/>
        <w:rPr>
          <w:rFonts w:ascii="宋体" w:hAnsi="宋体"/>
          <w:bCs/>
          <w:kern w:val="0"/>
          <w:szCs w:val="28"/>
          <w:highlight w:val="none"/>
          <w:u w:val="none"/>
        </w:rPr>
      </w:pPr>
      <w:r>
        <w:rPr>
          <w:rFonts w:hint="eastAsia" w:ascii="宋体" w:hAnsi="宋体"/>
          <w:bCs/>
          <w:kern w:val="0"/>
          <w:szCs w:val="28"/>
          <w:highlight w:val="none"/>
          <w:u w:val="none"/>
        </w:rPr>
        <w:t>(3)深化设计必须实现原设计所有功能，并不低于原有设计要求。不因设计深化图纸经发包人审核确认而免除承包人深化设计后图纸不满足原方案设计、技术要求、设计施工规范之违约责任。</w:t>
      </w:r>
    </w:p>
    <w:p w14:paraId="42E8272B">
      <w:pPr>
        <w:adjustRightInd w:val="0"/>
        <w:snapToGrid w:val="0"/>
        <w:spacing w:line="360" w:lineRule="auto"/>
        <w:ind w:firstLine="420" w:firstLineChars="200"/>
        <w:jc w:val="left"/>
        <w:outlineLvl w:val="3"/>
        <w:rPr>
          <w:rFonts w:ascii="宋体" w:hAnsi="宋体"/>
          <w:bCs/>
          <w:kern w:val="0"/>
          <w:szCs w:val="28"/>
          <w:highlight w:val="none"/>
          <w:u w:val="none"/>
        </w:rPr>
      </w:pPr>
      <w:r>
        <w:rPr>
          <w:rFonts w:hint="eastAsia" w:ascii="宋体" w:hAnsi="宋体"/>
          <w:bCs/>
          <w:kern w:val="0"/>
          <w:szCs w:val="28"/>
          <w:highlight w:val="none"/>
          <w:u w:val="none"/>
        </w:rPr>
        <w:t>(4)承包人提交的深化设计图纸必须一次性满足发包人的深化设计要求，否则，每超过一次，承包人须向发包人承担一般违约责任，且不免除承包人需完成的深化设计任务。</w:t>
      </w:r>
    </w:p>
    <w:p w14:paraId="4FCC20D0">
      <w:pPr>
        <w:adjustRightInd w:val="0"/>
        <w:snapToGrid w:val="0"/>
        <w:spacing w:line="360" w:lineRule="auto"/>
        <w:ind w:firstLine="420" w:firstLineChars="200"/>
        <w:jc w:val="left"/>
        <w:outlineLvl w:val="3"/>
        <w:rPr>
          <w:rFonts w:ascii="宋体" w:hAnsi="宋体"/>
          <w:bCs/>
          <w:kern w:val="0"/>
          <w:szCs w:val="28"/>
          <w:highlight w:val="none"/>
          <w:u w:val="none"/>
        </w:rPr>
      </w:pPr>
      <w:r>
        <w:rPr>
          <w:rFonts w:hint="eastAsia" w:ascii="宋体" w:hAnsi="宋体"/>
          <w:bCs/>
          <w:kern w:val="0"/>
          <w:szCs w:val="28"/>
          <w:highlight w:val="none"/>
          <w:u w:val="none"/>
        </w:rPr>
        <w:t>(5)排产前承包人应查勘安装现场。若现场情况与招标施工图纸存在差异，承包人应以书面方式向发包人提出确认需求，并以发包人的书面答复为准。在发包人未确认前应暂停产品的生产。承包人设计、生产的产品与实际建筑物或工程图纸标明的尺寸不符的，由承包人自费负责调整其产品并满足安装和相关服务要求，并承担全部责任。</w:t>
      </w:r>
    </w:p>
    <w:p w14:paraId="6A546DA8">
      <w:pPr>
        <w:pStyle w:val="56"/>
        <w:ind w:firstLine="420"/>
        <w:rPr>
          <w:color w:val="auto"/>
          <w:highlight w:val="none"/>
          <w:u w:val="none"/>
        </w:rPr>
      </w:pPr>
      <w:r>
        <w:rPr>
          <w:rFonts w:hint="eastAsia"/>
          <w:color w:val="auto"/>
          <w:highlight w:val="none"/>
          <w:u w:val="none"/>
        </w:rPr>
        <w:t>（6）</w:t>
      </w:r>
      <w:r>
        <w:rPr>
          <w:rFonts w:hint="eastAsia" w:ascii="宋体" w:hAnsi="宋体" w:eastAsia="宋体"/>
          <w:bCs/>
          <w:color w:val="auto"/>
          <w:szCs w:val="28"/>
          <w:highlight w:val="none"/>
          <w:u w:val="none"/>
        </w:rPr>
        <w:t>为确保幕墙、</w:t>
      </w:r>
      <w:r>
        <w:rPr>
          <w:rFonts w:hint="eastAsia" w:ascii="宋体" w:hAnsi="宋体" w:eastAsia="宋体"/>
          <w:bCs/>
          <w:color w:val="auto"/>
          <w:szCs w:val="28"/>
          <w:highlight w:val="none"/>
          <w:u w:val="none"/>
          <w:lang w:val="en-US" w:eastAsia="zh-CN"/>
        </w:rPr>
        <w:t>泛光照明、</w:t>
      </w:r>
      <w:r>
        <w:rPr>
          <w:rFonts w:hint="eastAsia" w:ascii="宋体" w:hAnsi="宋体" w:eastAsia="宋体"/>
          <w:bCs/>
          <w:color w:val="auto"/>
          <w:szCs w:val="28"/>
          <w:highlight w:val="none"/>
          <w:u w:val="none"/>
        </w:rPr>
        <w:t>擦窗机、楼体字、广告灯箱背板（不含广告灯箱及光源）的安装及使用能顺利进行，承包人应在本合同生效后，在满足招标文件的技术要求及图纸要求的前提下，在5个工作日内以书面的形式提出“幕墙专业需要其他专业配合的要求”（如与土建相关的要求、与室内装修相关的要求、管线综合相关要求等）。承包人有责任依照此要求落实至各所需配合的专业上。若因承包人书面提交的相关要求存在错误或缺失，以致造成发包人损失的，承包人不得以任何理由推卸，同时发包人保留追究其法律责任的权利。</w:t>
      </w:r>
    </w:p>
    <w:p w14:paraId="601130F5">
      <w:pPr>
        <w:adjustRightInd w:val="0"/>
        <w:snapToGrid w:val="0"/>
        <w:spacing w:line="360" w:lineRule="auto"/>
        <w:ind w:firstLine="420" w:firstLineChars="200"/>
        <w:jc w:val="left"/>
        <w:outlineLvl w:val="3"/>
        <w:rPr>
          <w:rFonts w:hint="eastAsia" w:ascii="宋体" w:hAnsi="宋体"/>
          <w:bCs/>
          <w:kern w:val="0"/>
          <w:szCs w:val="28"/>
          <w:highlight w:val="none"/>
          <w:u w:val="none"/>
        </w:rPr>
      </w:pPr>
      <w:r>
        <w:rPr>
          <w:rFonts w:hint="eastAsia"/>
          <w:highlight w:val="none"/>
          <w:u w:val="none"/>
        </w:rPr>
        <w:t>（</w:t>
      </w:r>
      <w:r>
        <w:rPr>
          <w:rFonts w:hint="eastAsia"/>
          <w:highlight w:val="none"/>
          <w:u w:val="none"/>
          <w:lang w:val="en-US" w:eastAsia="zh-CN"/>
        </w:rPr>
        <w:t>7</w:t>
      </w:r>
      <w:r>
        <w:rPr>
          <w:rFonts w:hint="eastAsia"/>
          <w:highlight w:val="none"/>
          <w:u w:val="none"/>
        </w:rPr>
        <w:t>）为确保幕墙、</w:t>
      </w:r>
      <w:r>
        <w:rPr>
          <w:rFonts w:hint="eastAsia"/>
          <w:highlight w:val="none"/>
          <w:u w:val="none"/>
          <w:lang w:val="en-US" w:eastAsia="zh-CN"/>
        </w:rPr>
        <w:t>泛光照明、</w:t>
      </w:r>
      <w:r>
        <w:rPr>
          <w:rFonts w:hint="eastAsia"/>
          <w:highlight w:val="none"/>
          <w:u w:val="none"/>
        </w:rPr>
        <w:t>擦窗机、楼体字、广告灯箱背板（不含广告灯箱及光源）的生产能顺利进行，承包人应在本合同生效后，根据招标文件的相关要求，在满足招标文件的技术要求及图纸要求的前提下，对于需要发包人、监理单位确认的事宜，须以书面的形式提出，必要时需附上相应材料或实物样板、图纸等以供发包人、监理单位确认，待发包人、监理单位完成相关审批流程并确认后再下单生产。</w:t>
      </w:r>
    </w:p>
    <w:p w14:paraId="73502A58">
      <w:pPr>
        <w:adjustRightInd w:val="0"/>
        <w:snapToGrid w:val="0"/>
        <w:spacing w:line="360" w:lineRule="auto"/>
        <w:ind w:firstLine="420" w:firstLineChars="200"/>
        <w:jc w:val="left"/>
        <w:outlineLvl w:val="3"/>
        <w:rPr>
          <w:rFonts w:ascii="宋体" w:hAnsi="宋体"/>
          <w:bCs/>
          <w:kern w:val="0"/>
          <w:szCs w:val="28"/>
          <w:highlight w:val="none"/>
          <w:u w:val="none"/>
        </w:rPr>
      </w:pPr>
      <w:r>
        <w:rPr>
          <w:rFonts w:hint="eastAsia" w:ascii="宋体" w:hAnsi="宋体"/>
          <w:bCs/>
          <w:kern w:val="0"/>
          <w:szCs w:val="28"/>
          <w:highlight w:val="none"/>
          <w:u w:val="none"/>
        </w:rPr>
        <w:t>(</w:t>
      </w:r>
      <w:r>
        <w:rPr>
          <w:rFonts w:hint="eastAsia" w:ascii="宋体" w:hAnsi="宋体"/>
          <w:bCs/>
          <w:kern w:val="0"/>
          <w:szCs w:val="28"/>
          <w:highlight w:val="none"/>
          <w:u w:val="none"/>
          <w:lang w:val="en-US" w:eastAsia="zh-CN"/>
        </w:rPr>
        <w:t>8</w:t>
      </w:r>
      <w:r>
        <w:rPr>
          <w:rFonts w:hint="eastAsia" w:ascii="宋体" w:hAnsi="宋体"/>
          <w:bCs/>
          <w:kern w:val="0"/>
          <w:szCs w:val="28"/>
          <w:highlight w:val="none"/>
          <w:u w:val="none"/>
        </w:rPr>
        <w:t>)承包人提交深化设计文件时需附上《深化设计图申报表》（格式详附件</w:t>
      </w:r>
      <w:r>
        <w:rPr>
          <w:rFonts w:hint="eastAsia" w:ascii="宋体" w:hAnsi="宋体"/>
          <w:bCs/>
          <w:kern w:val="0"/>
          <w:szCs w:val="28"/>
          <w:highlight w:val="none"/>
          <w:u w:val="none"/>
          <w:lang w:val="en-US" w:eastAsia="zh-CN"/>
        </w:rPr>
        <w:t>11</w:t>
      </w:r>
      <w:r>
        <w:rPr>
          <w:rFonts w:hint="eastAsia" w:ascii="宋体" w:hAnsi="宋体"/>
          <w:bCs/>
          <w:kern w:val="0"/>
          <w:szCs w:val="28"/>
          <w:highlight w:val="none"/>
          <w:u w:val="none"/>
        </w:rPr>
        <w:t>）。</w:t>
      </w:r>
    </w:p>
    <w:p w14:paraId="2E18C3D8">
      <w:pPr>
        <w:adjustRightInd w:val="0"/>
        <w:snapToGrid w:val="0"/>
        <w:spacing w:line="360" w:lineRule="auto"/>
        <w:ind w:firstLine="420" w:firstLineChars="200"/>
        <w:jc w:val="left"/>
        <w:outlineLvl w:val="3"/>
        <w:rPr>
          <w:rFonts w:ascii="宋体" w:hAnsi="宋体"/>
          <w:bCs/>
          <w:kern w:val="0"/>
          <w:szCs w:val="28"/>
          <w:highlight w:val="none"/>
          <w:u w:val="none"/>
        </w:rPr>
      </w:pPr>
      <w:r>
        <w:rPr>
          <w:rFonts w:hint="eastAsia" w:ascii="宋体" w:hAnsi="宋体"/>
          <w:bCs/>
          <w:kern w:val="0"/>
          <w:szCs w:val="28"/>
          <w:highlight w:val="none"/>
          <w:u w:val="none"/>
        </w:rPr>
        <w:t>(</w:t>
      </w:r>
      <w:r>
        <w:rPr>
          <w:rFonts w:hint="eastAsia" w:ascii="宋体" w:hAnsi="宋体"/>
          <w:bCs/>
          <w:kern w:val="0"/>
          <w:szCs w:val="28"/>
          <w:highlight w:val="none"/>
          <w:u w:val="none"/>
          <w:lang w:val="en-US" w:eastAsia="zh-CN"/>
        </w:rPr>
        <w:t>9</w:t>
      </w:r>
      <w:r>
        <w:rPr>
          <w:rFonts w:hint="eastAsia" w:ascii="宋体" w:hAnsi="宋体"/>
          <w:bCs/>
          <w:kern w:val="0"/>
          <w:szCs w:val="28"/>
          <w:highlight w:val="none"/>
          <w:u w:val="none"/>
        </w:rPr>
        <w:t>)承包人提供设计深化图于发包人审核同时需书面提供深化图相对于招标文件的对比说明，该说明应包括所有调整过的图纸内容、技术要求等内容。</w:t>
      </w:r>
    </w:p>
    <w:p w14:paraId="074E032C">
      <w:pPr>
        <w:adjustRightInd w:val="0"/>
        <w:snapToGrid w:val="0"/>
        <w:spacing w:line="360" w:lineRule="auto"/>
        <w:ind w:firstLine="420" w:firstLineChars="200"/>
        <w:jc w:val="left"/>
        <w:outlineLvl w:val="3"/>
        <w:rPr>
          <w:rFonts w:ascii="宋体" w:hAnsi="宋体"/>
          <w:bCs/>
          <w:kern w:val="0"/>
          <w:szCs w:val="28"/>
          <w:highlight w:val="none"/>
          <w:u w:val="none"/>
        </w:rPr>
      </w:pPr>
      <w:r>
        <w:rPr>
          <w:rFonts w:hint="eastAsia" w:ascii="宋体" w:hAnsi="宋体"/>
          <w:bCs/>
          <w:kern w:val="0"/>
          <w:szCs w:val="28"/>
          <w:highlight w:val="none"/>
          <w:u w:val="none"/>
        </w:rPr>
        <w:t>(</w:t>
      </w:r>
      <w:r>
        <w:rPr>
          <w:rFonts w:hint="eastAsia" w:ascii="宋体" w:hAnsi="宋体"/>
          <w:bCs/>
          <w:kern w:val="0"/>
          <w:szCs w:val="28"/>
          <w:highlight w:val="none"/>
          <w:u w:val="none"/>
          <w:lang w:val="en-US" w:eastAsia="zh-CN"/>
        </w:rPr>
        <w:t>10</w:t>
      </w:r>
      <w:r>
        <w:rPr>
          <w:rFonts w:hint="eastAsia" w:ascii="宋体" w:hAnsi="宋体"/>
          <w:bCs/>
          <w:kern w:val="0"/>
          <w:szCs w:val="28"/>
          <w:highlight w:val="none"/>
          <w:u w:val="none"/>
        </w:rPr>
        <w:t>)施工方案由承包人负责编制，发包人确认后方可实施。符合以下特点的工作需要编制施工方案：危险性较大、工序较多、工作时间长、涉及多个单位配合协调及其他需要报发包人批准方可实施的工作。</w:t>
      </w:r>
    </w:p>
    <w:p w14:paraId="0DDEA53F">
      <w:pPr>
        <w:adjustRightInd w:val="0"/>
        <w:snapToGrid w:val="0"/>
        <w:spacing w:line="360" w:lineRule="auto"/>
        <w:ind w:firstLine="420" w:firstLineChars="200"/>
        <w:jc w:val="left"/>
        <w:outlineLvl w:val="3"/>
        <w:rPr>
          <w:rFonts w:ascii="宋体" w:hAnsi="宋体"/>
          <w:bCs/>
          <w:kern w:val="0"/>
          <w:szCs w:val="28"/>
          <w:highlight w:val="none"/>
          <w:u w:val="none"/>
        </w:rPr>
      </w:pPr>
      <w:r>
        <w:rPr>
          <w:rFonts w:hint="eastAsia" w:ascii="宋体" w:hAnsi="宋体"/>
          <w:bCs/>
          <w:kern w:val="0"/>
          <w:szCs w:val="28"/>
          <w:highlight w:val="none"/>
          <w:u w:val="none"/>
        </w:rPr>
        <w:t>(</w:t>
      </w:r>
      <w:r>
        <w:rPr>
          <w:rFonts w:hint="eastAsia" w:ascii="宋体" w:hAnsi="宋体"/>
          <w:bCs/>
          <w:kern w:val="0"/>
          <w:szCs w:val="28"/>
          <w:highlight w:val="none"/>
          <w:u w:val="none"/>
          <w:lang w:val="en-US" w:eastAsia="zh-CN"/>
        </w:rPr>
        <w:t>11</w:t>
      </w:r>
      <w:r>
        <w:rPr>
          <w:rFonts w:hint="eastAsia" w:ascii="宋体" w:hAnsi="宋体"/>
          <w:bCs/>
          <w:kern w:val="0"/>
          <w:szCs w:val="28"/>
          <w:highlight w:val="none"/>
          <w:u w:val="none"/>
        </w:rPr>
        <w:t>)如承包人的施工组织设计无法满足工期要求的，由承包人自行优化达到发包人的工期要求，相关费用由承包人承担。</w:t>
      </w:r>
    </w:p>
    <w:p w14:paraId="7EC5033B">
      <w:pPr>
        <w:adjustRightInd w:val="0"/>
        <w:snapToGrid w:val="0"/>
        <w:spacing w:line="360" w:lineRule="auto"/>
        <w:ind w:firstLine="420" w:firstLineChars="200"/>
        <w:jc w:val="left"/>
        <w:outlineLvl w:val="3"/>
        <w:rPr>
          <w:rFonts w:ascii="宋体" w:hAnsi="宋体"/>
          <w:bCs/>
          <w:kern w:val="0"/>
          <w:szCs w:val="28"/>
          <w:highlight w:val="none"/>
          <w:u w:val="none"/>
        </w:rPr>
      </w:pPr>
      <w:r>
        <w:rPr>
          <w:rFonts w:hint="eastAsia" w:ascii="宋体" w:hAnsi="宋体"/>
          <w:bCs/>
          <w:kern w:val="0"/>
          <w:szCs w:val="28"/>
          <w:highlight w:val="none"/>
          <w:u w:val="none"/>
        </w:rPr>
        <w:t>(</w:t>
      </w:r>
      <w:r>
        <w:rPr>
          <w:rFonts w:hint="eastAsia" w:ascii="宋体" w:hAnsi="宋体"/>
          <w:bCs/>
          <w:kern w:val="0"/>
          <w:szCs w:val="28"/>
          <w:highlight w:val="none"/>
          <w:u w:val="none"/>
          <w:lang w:val="en-US" w:eastAsia="zh-CN"/>
        </w:rPr>
        <w:t>12</w:t>
      </w:r>
      <w:r>
        <w:rPr>
          <w:rFonts w:hint="eastAsia" w:ascii="宋体" w:hAnsi="宋体"/>
          <w:bCs/>
          <w:kern w:val="0"/>
          <w:szCs w:val="28"/>
          <w:highlight w:val="none"/>
          <w:u w:val="none"/>
        </w:rPr>
        <w:t>)由承包人负责完成的图纸深化设计、施工组织设计等存在缺陷造成的任何支出，由承包人承担。</w:t>
      </w:r>
    </w:p>
    <w:p w14:paraId="4FF00AD7">
      <w:pPr>
        <w:adjustRightInd w:val="0"/>
        <w:snapToGrid w:val="0"/>
        <w:spacing w:line="360" w:lineRule="auto"/>
        <w:ind w:firstLine="420" w:firstLineChars="200"/>
        <w:jc w:val="left"/>
        <w:outlineLvl w:val="3"/>
        <w:rPr>
          <w:rFonts w:ascii="宋体" w:hAnsi="宋体"/>
          <w:bCs/>
          <w:kern w:val="0"/>
          <w:szCs w:val="28"/>
          <w:highlight w:val="none"/>
          <w:u w:val="none"/>
        </w:rPr>
      </w:pPr>
      <w:r>
        <w:rPr>
          <w:rFonts w:hint="eastAsia" w:ascii="宋体" w:hAnsi="宋体"/>
          <w:bCs/>
          <w:kern w:val="0"/>
          <w:szCs w:val="28"/>
          <w:highlight w:val="none"/>
          <w:u w:val="none"/>
        </w:rPr>
        <w:t>(</w:t>
      </w:r>
      <w:r>
        <w:rPr>
          <w:rFonts w:hint="eastAsia" w:ascii="宋体" w:hAnsi="宋体"/>
          <w:bCs/>
          <w:kern w:val="0"/>
          <w:szCs w:val="28"/>
          <w:highlight w:val="none"/>
          <w:u w:val="none"/>
          <w:lang w:val="en-US" w:eastAsia="zh-CN"/>
        </w:rPr>
        <w:t>13</w:t>
      </w:r>
      <w:r>
        <w:rPr>
          <w:rFonts w:hint="eastAsia" w:ascii="宋体" w:hAnsi="宋体"/>
          <w:bCs/>
          <w:kern w:val="0"/>
          <w:szCs w:val="28"/>
          <w:highlight w:val="none"/>
          <w:u w:val="none"/>
        </w:rPr>
        <w:t>)承包人需在接收发包人指令30天内提供合理的施工深化图送审计划并严格按照计划执行；</w:t>
      </w:r>
    </w:p>
    <w:p w14:paraId="5E9B8239">
      <w:pPr>
        <w:adjustRightInd w:val="0"/>
        <w:snapToGrid w:val="0"/>
        <w:spacing w:line="360" w:lineRule="auto"/>
        <w:ind w:firstLine="420" w:firstLineChars="200"/>
        <w:jc w:val="left"/>
        <w:outlineLvl w:val="3"/>
        <w:rPr>
          <w:rFonts w:ascii="宋体" w:hAnsi="宋体"/>
          <w:bCs/>
          <w:kern w:val="0"/>
          <w:szCs w:val="28"/>
          <w:highlight w:val="none"/>
          <w:u w:val="none"/>
        </w:rPr>
      </w:pPr>
      <w:r>
        <w:rPr>
          <w:rFonts w:hint="eastAsia" w:ascii="宋体" w:hAnsi="宋体"/>
          <w:bCs/>
          <w:kern w:val="0"/>
          <w:szCs w:val="28"/>
          <w:highlight w:val="none"/>
          <w:u w:val="none"/>
        </w:rPr>
        <w:t>(</w:t>
      </w:r>
      <w:r>
        <w:rPr>
          <w:rFonts w:hint="eastAsia" w:ascii="宋体" w:hAnsi="宋体"/>
          <w:bCs/>
          <w:kern w:val="0"/>
          <w:szCs w:val="28"/>
          <w:highlight w:val="none"/>
          <w:u w:val="none"/>
          <w:lang w:val="en-US" w:eastAsia="zh-CN"/>
        </w:rPr>
        <w:t>14</w:t>
      </w:r>
      <w:r>
        <w:rPr>
          <w:rFonts w:hint="eastAsia" w:ascii="宋体" w:hAnsi="宋体"/>
          <w:bCs/>
          <w:kern w:val="0"/>
          <w:szCs w:val="28"/>
          <w:highlight w:val="none"/>
          <w:u w:val="none"/>
        </w:rPr>
        <w:t>)</w:t>
      </w:r>
      <w:r>
        <w:rPr>
          <w:rFonts w:hint="eastAsia"/>
          <w:highlight w:val="none"/>
          <w:u w:val="none"/>
        </w:rPr>
        <w:t xml:space="preserve"> 深化图将会提交给发包人聘请的设计院、幕墙顾问单位及审查机构审核并出具正式书面审核意见。原则上承包人需在收到意见后7个日历日内完成书面回复及图纸修改工作；若图纸修改量较大，则修改时间承包人与发包人另行约定。上述意见的整改及后续施工均不视为变更，不增补任何费用。</w:t>
      </w:r>
    </w:p>
    <w:p w14:paraId="43AA4EF5">
      <w:pPr>
        <w:adjustRightInd w:val="0"/>
        <w:snapToGrid w:val="0"/>
        <w:spacing w:line="360" w:lineRule="auto"/>
        <w:ind w:firstLine="420" w:firstLineChars="200"/>
        <w:jc w:val="left"/>
        <w:outlineLvl w:val="3"/>
        <w:rPr>
          <w:rFonts w:ascii="宋体" w:hAnsi="宋体"/>
          <w:bCs/>
          <w:kern w:val="0"/>
          <w:szCs w:val="28"/>
          <w:highlight w:val="none"/>
          <w:u w:val="none"/>
        </w:rPr>
      </w:pPr>
      <w:r>
        <w:rPr>
          <w:rFonts w:hint="eastAsia" w:ascii="宋体" w:hAnsi="宋体"/>
          <w:bCs/>
          <w:kern w:val="0"/>
          <w:szCs w:val="28"/>
          <w:highlight w:val="none"/>
          <w:u w:val="none"/>
        </w:rPr>
        <w:t>（</w:t>
      </w:r>
      <w:r>
        <w:rPr>
          <w:rFonts w:hint="eastAsia" w:ascii="宋体" w:hAnsi="宋体"/>
          <w:bCs/>
          <w:kern w:val="0"/>
          <w:szCs w:val="28"/>
          <w:highlight w:val="none"/>
          <w:u w:val="none"/>
          <w:lang w:val="en-US" w:eastAsia="zh-CN"/>
        </w:rPr>
        <w:t>15</w:t>
      </w:r>
      <w:r>
        <w:rPr>
          <w:rFonts w:hint="eastAsia" w:ascii="宋体" w:hAnsi="宋体"/>
          <w:bCs/>
          <w:kern w:val="0"/>
          <w:szCs w:val="28"/>
          <w:highlight w:val="none"/>
          <w:u w:val="none"/>
        </w:rPr>
        <w:t>）深化图纸的深度应满足相关</w:t>
      </w:r>
      <w:r>
        <w:rPr>
          <w:rFonts w:hint="eastAsia"/>
          <w:highlight w:val="none"/>
          <w:u w:val="none"/>
        </w:rPr>
        <w:t>幕墙/铝窗</w:t>
      </w:r>
      <w:r>
        <w:rPr>
          <w:rFonts w:hint="eastAsia" w:ascii="宋体" w:hAnsi="宋体"/>
          <w:bCs/>
          <w:kern w:val="0"/>
          <w:szCs w:val="28"/>
          <w:highlight w:val="none"/>
          <w:u w:val="none"/>
        </w:rPr>
        <w:t>设计规范</w:t>
      </w:r>
      <w:r>
        <w:rPr>
          <w:rFonts w:hint="eastAsia"/>
          <w:highlight w:val="none"/>
          <w:u w:val="none"/>
        </w:rPr>
        <w:t>、取得审查机构审查合格意见</w:t>
      </w:r>
      <w:r>
        <w:rPr>
          <w:rFonts w:hint="eastAsia" w:ascii="宋体" w:hAnsi="宋体"/>
          <w:bCs/>
          <w:kern w:val="0"/>
          <w:szCs w:val="28"/>
          <w:highlight w:val="none"/>
          <w:u w:val="none"/>
        </w:rPr>
        <w:t>以及发包人书面提出的深度要求，清晰、完整。发包人发现图纸深度不足并书面提出要求加强图纸深度，承包人应在收到通知7个日历日内提供满足发包人要求的图纸；若图纸修改量较大，则修改时间承包人与发包人另行约定。</w:t>
      </w:r>
    </w:p>
    <w:p w14:paraId="60559790">
      <w:pPr>
        <w:adjustRightInd w:val="0"/>
        <w:snapToGrid w:val="0"/>
        <w:spacing w:line="360" w:lineRule="auto"/>
        <w:ind w:firstLine="420" w:firstLineChars="200"/>
        <w:jc w:val="left"/>
        <w:outlineLvl w:val="3"/>
        <w:rPr>
          <w:rFonts w:ascii="宋体" w:hAnsi="宋体"/>
          <w:bCs/>
          <w:kern w:val="0"/>
          <w:szCs w:val="28"/>
          <w:highlight w:val="none"/>
          <w:u w:val="none"/>
        </w:rPr>
      </w:pPr>
      <w:r>
        <w:rPr>
          <w:rFonts w:hint="eastAsia" w:ascii="宋体" w:hAnsi="宋体"/>
          <w:bCs/>
          <w:kern w:val="0"/>
          <w:szCs w:val="28"/>
          <w:highlight w:val="none"/>
          <w:u w:val="none"/>
        </w:rPr>
        <w:t>(</w:t>
      </w:r>
      <w:r>
        <w:rPr>
          <w:rFonts w:hint="eastAsia" w:ascii="宋体" w:hAnsi="宋体"/>
          <w:bCs/>
          <w:kern w:val="0"/>
          <w:szCs w:val="28"/>
          <w:highlight w:val="none"/>
          <w:u w:val="none"/>
          <w:lang w:val="en-US" w:eastAsia="zh-CN"/>
        </w:rPr>
        <w:t>16</w:t>
      </w:r>
      <w:r>
        <w:rPr>
          <w:rFonts w:hint="eastAsia" w:ascii="宋体" w:hAnsi="宋体"/>
          <w:bCs/>
          <w:kern w:val="0"/>
          <w:szCs w:val="28"/>
          <w:highlight w:val="none"/>
          <w:u w:val="none"/>
        </w:rPr>
        <w:t>)承包人的深化图应与现场施工情况、土建设计院施工图对应、配合。若因深化图自身错误、图纸深度不足（包括但不限于缺图，图纸索引不清晰等原因）而引起的变更及签证，承包人应负责整改图纸及现场；</w:t>
      </w:r>
    </w:p>
    <w:p w14:paraId="64554DC9">
      <w:pPr>
        <w:adjustRightInd w:val="0"/>
        <w:snapToGrid w:val="0"/>
        <w:spacing w:line="360" w:lineRule="auto"/>
        <w:ind w:firstLine="420" w:firstLineChars="200"/>
        <w:jc w:val="left"/>
        <w:outlineLvl w:val="3"/>
        <w:rPr>
          <w:rFonts w:ascii="宋体" w:hAnsi="宋体"/>
          <w:bCs/>
          <w:kern w:val="0"/>
          <w:szCs w:val="28"/>
          <w:highlight w:val="none"/>
          <w:u w:val="single"/>
        </w:rPr>
      </w:pPr>
      <w:r>
        <w:rPr>
          <w:rFonts w:hint="eastAsia" w:ascii="宋体" w:hAnsi="宋体"/>
          <w:bCs/>
          <w:kern w:val="0"/>
          <w:szCs w:val="28"/>
          <w:highlight w:val="none"/>
          <w:u w:val="none"/>
        </w:rPr>
        <w:t>(</w:t>
      </w:r>
      <w:r>
        <w:rPr>
          <w:rFonts w:hint="eastAsia" w:ascii="宋体" w:hAnsi="宋体"/>
          <w:bCs/>
          <w:kern w:val="0"/>
          <w:szCs w:val="28"/>
          <w:highlight w:val="none"/>
          <w:u w:val="none"/>
          <w:lang w:val="en-US" w:eastAsia="zh-CN"/>
        </w:rPr>
        <w:t>17</w:t>
      </w:r>
      <w:r>
        <w:rPr>
          <w:rFonts w:hint="eastAsia" w:ascii="宋体" w:hAnsi="宋体"/>
          <w:bCs/>
          <w:kern w:val="0"/>
          <w:szCs w:val="28"/>
          <w:highlight w:val="none"/>
          <w:u w:val="none"/>
        </w:rPr>
        <w:t>)</w:t>
      </w:r>
      <w:r>
        <w:rPr>
          <w:rFonts w:hint="eastAsia" w:ascii="宋体" w:hAnsi="宋体" w:cs="宋体"/>
          <w:bCs/>
          <w:kern w:val="0"/>
          <w:szCs w:val="28"/>
          <w:highlight w:val="none"/>
          <w:u w:val="none"/>
        </w:rPr>
        <w:t>承包人提供的</w:t>
      </w:r>
      <w:r>
        <w:rPr>
          <w:rFonts w:hint="eastAsia" w:ascii="宋体" w:hAnsi="宋体"/>
          <w:bCs/>
          <w:kern w:val="0"/>
          <w:szCs w:val="28"/>
          <w:highlight w:val="none"/>
          <w:u w:val="none"/>
        </w:rPr>
        <w:t>深化图纸应加盖相应资质设计单位的公章以及图纸印章，相关技术设计负责人员签名，装订成册，否则图纸视为无效图纸，发包人有权拒收。</w:t>
      </w:r>
    </w:p>
    <w:p w14:paraId="22A1323F">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1.6.4.</w:t>
      </w:r>
      <w:r>
        <w:rPr>
          <w:rFonts w:hint="eastAsia" w:ascii="宋体" w:hAnsi="Arial"/>
          <w:kern w:val="0"/>
          <w:szCs w:val="20"/>
          <w:highlight w:val="none"/>
        </w:rPr>
        <w:t>施工</w:t>
      </w:r>
      <w:r>
        <w:rPr>
          <w:rFonts w:hint="eastAsia" w:ascii="宋体" w:hAnsi="宋体"/>
          <w:kern w:val="0"/>
          <w:szCs w:val="20"/>
          <w:highlight w:val="none"/>
        </w:rPr>
        <w:t>方案</w:t>
      </w:r>
    </w:p>
    <w:p w14:paraId="1B4D7355">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w:t>
      </w:r>
      <w:r>
        <w:rPr>
          <w:rFonts w:hint="eastAsia" w:ascii="宋体" w:hAnsi="宋体"/>
          <w:kern w:val="0"/>
          <w:szCs w:val="20"/>
          <w:highlight w:val="none"/>
        </w:rPr>
        <w:tab/>
      </w:r>
      <w:r>
        <w:rPr>
          <w:rFonts w:hint="eastAsia" w:ascii="宋体" w:hAnsi="宋体"/>
          <w:kern w:val="0"/>
          <w:szCs w:val="20"/>
          <w:highlight w:val="none"/>
        </w:rPr>
        <w:t>施工方案由承包人负责编制，经监理人报发包人书面确认后方可实施。</w:t>
      </w:r>
    </w:p>
    <w:p w14:paraId="194AAD68">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2)</w:t>
      </w:r>
      <w:r>
        <w:rPr>
          <w:rFonts w:hint="eastAsia" w:ascii="宋体" w:hAnsi="宋体"/>
          <w:kern w:val="0"/>
          <w:szCs w:val="20"/>
          <w:highlight w:val="none"/>
        </w:rPr>
        <w:tab/>
      </w:r>
      <w:r>
        <w:rPr>
          <w:rFonts w:hint="eastAsia" w:ascii="宋体" w:hAnsi="宋体"/>
          <w:kern w:val="0"/>
          <w:szCs w:val="20"/>
          <w:highlight w:val="none"/>
        </w:rPr>
        <w:t>符合以下特点的工作需要编制施工方案：危险性较大、工序较多、工作时间长、涉及多个单位配合协调及其他需要报发包人批准方可实施的工作。</w:t>
      </w:r>
    </w:p>
    <w:p w14:paraId="2F77A901">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3）施工方案不作为本合同工程变更、价格调整、工程量增减、计价计量方式调整、技术标准调整等的依据。</w:t>
      </w:r>
    </w:p>
    <w:p w14:paraId="5EA1C01F">
      <w:pPr>
        <w:adjustRightInd w:val="0"/>
        <w:snapToGrid w:val="0"/>
        <w:spacing w:line="360" w:lineRule="auto"/>
        <w:ind w:firstLine="420" w:firstLineChars="200"/>
        <w:jc w:val="left"/>
        <w:outlineLvl w:val="3"/>
        <w:rPr>
          <w:rFonts w:ascii="宋体" w:hAnsi="宋体"/>
          <w:bCs/>
          <w:kern w:val="0"/>
          <w:szCs w:val="28"/>
          <w:highlight w:val="none"/>
          <w:u w:val="single"/>
        </w:rPr>
      </w:pPr>
      <w:r>
        <w:rPr>
          <w:rFonts w:hint="eastAsia" w:ascii="宋体" w:hAnsi="宋体"/>
          <w:bCs/>
          <w:kern w:val="0"/>
          <w:szCs w:val="28"/>
          <w:highlight w:val="none"/>
          <w:u w:val="none"/>
        </w:rPr>
        <w:t>4）施工方案由承包人负责编制，发包人书面确认后方可实施。承包人作为一个具备相应专业资质及丰富施工经验的承包商，应充分了解场地特点及施工风险，当场地环境及施工现场发生变化后，承包人判断需要重新调整施工方案的，须经发包人书面确认，重新调整施工方案所产生的费用由承包人承担。</w:t>
      </w:r>
    </w:p>
    <w:p w14:paraId="48C695CB">
      <w:pPr>
        <w:numPr>
          <w:ilvl w:val="1"/>
          <w:numId w:val="0"/>
        </w:numPr>
        <w:adjustRightInd w:val="0"/>
        <w:snapToGrid w:val="0"/>
        <w:spacing w:line="360" w:lineRule="auto"/>
        <w:ind w:left="420" w:hanging="420"/>
        <w:jc w:val="left"/>
        <w:outlineLvl w:val="1"/>
        <w:rPr>
          <w:rFonts w:ascii="宋体" w:hAnsi="宋体"/>
          <w:b/>
          <w:bCs/>
          <w:kern w:val="0"/>
          <w:sz w:val="28"/>
          <w:szCs w:val="32"/>
          <w:highlight w:val="none"/>
        </w:rPr>
      </w:pPr>
      <w:r>
        <w:rPr>
          <w:rFonts w:hint="eastAsia" w:ascii="宋体" w:hAnsi="宋体"/>
          <w:b/>
          <w:bCs/>
          <w:kern w:val="0"/>
          <w:sz w:val="28"/>
          <w:szCs w:val="32"/>
          <w:highlight w:val="none"/>
        </w:rPr>
        <w:t>1.8.</w:t>
      </w:r>
      <w:r>
        <w:rPr>
          <w:rFonts w:hint="eastAsia" w:ascii="宋体" w:hAnsi="宋体"/>
          <w:b/>
          <w:bCs/>
          <w:kern w:val="0"/>
          <w:sz w:val="28"/>
          <w:szCs w:val="32"/>
          <w:highlight w:val="none"/>
        </w:rPr>
        <w:tab/>
      </w:r>
      <w:r>
        <w:rPr>
          <w:rFonts w:hint="eastAsia" w:ascii="宋体" w:hAnsi="宋体"/>
          <w:b/>
          <w:bCs/>
          <w:kern w:val="0"/>
          <w:sz w:val="28"/>
          <w:szCs w:val="32"/>
          <w:highlight w:val="none"/>
        </w:rPr>
        <w:t>严禁贿赂</w:t>
      </w:r>
    </w:p>
    <w:p w14:paraId="5929BAE6">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1.8.1.</w:t>
      </w:r>
      <w:r>
        <w:rPr>
          <w:rFonts w:hint="eastAsia" w:ascii="宋体" w:hAnsi="宋体"/>
          <w:kern w:val="0"/>
          <w:szCs w:val="20"/>
          <w:highlight w:val="none"/>
        </w:rPr>
        <w:tab/>
      </w:r>
      <w:r>
        <w:rPr>
          <w:rFonts w:hint="eastAsia" w:ascii="宋体" w:hAnsi="宋体"/>
          <w:kern w:val="0"/>
          <w:szCs w:val="20"/>
          <w:highlight w:val="none"/>
        </w:rPr>
        <w:t>合同当事人双方不得以贿赂或变相贿赂的方式，谋取不当利益或损害对方权益。因贿赂造成对方损失的，行为人（即违约方）应赔偿损失，并承担相应的法律责任，守约方有权解除合同。</w:t>
      </w:r>
    </w:p>
    <w:p w14:paraId="7844767F">
      <w:pPr>
        <w:numPr>
          <w:ilvl w:val="1"/>
          <w:numId w:val="0"/>
        </w:numPr>
        <w:adjustRightInd w:val="0"/>
        <w:snapToGrid w:val="0"/>
        <w:spacing w:line="360" w:lineRule="auto"/>
        <w:ind w:left="420" w:hanging="420"/>
        <w:jc w:val="left"/>
        <w:outlineLvl w:val="1"/>
        <w:rPr>
          <w:rFonts w:ascii="宋体" w:hAnsi="Arial"/>
          <w:kern w:val="0"/>
          <w:szCs w:val="20"/>
          <w:highlight w:val="none"/>
        </w:rPr>
      </w:pPr>
      <w:r>
        <w:rPr>
          <w:rFonts w:hint="eastAsia" w:ascii="宋体" w:hAnsi="宋体"/>
          <w:b/>
          <w:bCs/>
          <w:kern w:val="0"/>
          <w:sz w:val="28"/>
          <w:szCs w:val="32"/>
          <w:highlight w:val="none"/>
        </w:rPr>
        <w:t>1.9.文物和地下障碍物：</w:t>
      </w:r>
    </w:p>
    <w:p w14:paraId="4A0777A2">
      <w:pPr>
        <w:adjustRightInd w:val="0"/>
        <w:snapToGrid w:val="0"/>
        <w:spacing w:line="360" w:lineRule="auto"/>
        <w:ind w:firstLine="420" w:firstLineChars="200"/>
        <w:rPr>
          <w:rFonts w:ascii="Times New Roman" w:hAnsi="Times New Roman"/>
          <w:szCs w:val="24"/>
          <w:highlight w:val="none"/>
          <w:u w:val="single"/>
        </w:rPr>
      </w:pPr>
      <w:r>
        <w:rPr>
          <w:rFonts w:hint="eastAsia" w:ascii="Times New Roman" w:hAnsi="Times New Roman"/>
          <w:szCs w:val="24"/>
          <w:highlight w:val="none"/>
          <w:u w:val="none"/>
        </w:rPr>
        <w:t>本合同不适用该条款。</w:t>
      </w:r>
    </w:p>
    <w:p w14:paraId="1A86BD42">
      <w:pPr>
        <w:keepNext/>
        <w:keepLines/>
        <w:numPr>
          <w:ilvl w:val="0"/>
          <w:numId w:val="4"/>
        </w:numPr>
        <w:adjustRightInd w:val="0"/>
        <w:snapToGrid w:val="0"/>
        <w:spacing w:line="360" w:lineRule="auto"/>
        <w:outlineLvl w:val="0"/>
        <w:rPr>
          <w:rFonts w:ascii="宋体" w:hAnsi="宋体"/>
          <w:b/>
          <w:bCs/>
          <w:kern w:val="44"/>
          <w:sz w:val="28"/>
          <w:szCs w:val="44"/>
          <w:highlight w:val="none"/>
        </w:rPr>
      </w:pPr>
      <w:bookmarkStart w:id="97" w:name="_Toc167701752"/>
      <w:bookmarkStart w:id="98" w:name="_Toc350865204"/>
      <w:bookmarkStart w:id="99" w:name="_Toc9364"/>
      <w:bookmarkStart w:id="100" w:name="_Toc13884"/>
      <w:bookmarkStart w:id="101" w:name="_Toc167975576"/>
      <w:bookmarkStart w:id="102" w:name="_Toc2178"/>
      <w:bookmarkStart w:id="103" w:name="_Toc15727"/>
      <w:bookmarkStart w:id="104" w:name="_Toc6373"/>
      <w:bookmarkStart w:id="105" w:name="_Toc14293"/>
      <w:bookmarkStart w:id="106" w:name="_Toc32079"/>
      <w:bookmarkStart w:id="107" w:name="_Toc31422"/>
      <w:bookmarkStart w:id="108" w:name="_Toc350865566"/>
      <w:bookmarkStart w:id="109" w:name="_Toc6762"/>
      <w:bookmarkStart w:id="110" w:name="_Toc167701651"/>
      <w:bookmarkStart w:id="111" w:name="_Toc427331237"/>
      <w:bookmarkStart w:id="112" w:name="_Toc6741"/>
      <w:bookmarkStart w:id="113" w:name="_Toc13880"/>
      <w:bookmarkStart w:id="114" w:name="_Toc11390"/>
      <w:bookmarkStart w:id="115" w:name="_Toc23478"/>
      <w:bookmarkStart w:id="116" w:name="_Toc11998"/>
      <w:bookmarkStart w:id="117" w:name="_Toc4961"/>
      <w:bookmarkStart w:id="118" w:name="_Toc10795"/>
      <w:bookmarkStart w:id="119" w:name="_Toc26844"/>
      <w:bookmarkStart w:id="120" w:name="_Toc19183"/>
      <w:bookmarkStart w:id="121" w:name="_Toc27637"/>
      <w:bookmarkStart w:id="122" w:name="_Toc10621"/>
      <w:r>
        <w:rPr>
          <w:rFonts w:hint="eastAsia" w:ascii="宋体" w:hAnsi="宋体"/>
          <w:b/>
          <w:bCs/>
          <w:kern w:val="44"/>
          <w:sz w:val="28"/>
          <w:szCs w:val="44"/>
          <w:highlight w:val="none"/>
        </w:rPr>
        <w:t>发包人</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3F67160">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2.1. 发包人代表</w:t>
      </w:r>
    </w:p>
    <w:p w14:paraId="16557D35">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2.1.1. 发包人代表的姓名：</w:t>
      </w:r>
      <w:r>
        <w:rPr>
          <w:rFonts w:hint="eastAsia" w:ascii="宋体" w:hAnsi="Arial"/>
          <w:kern w:val="0"/>
          <w:szCs w:val="20"/>
          <w:highlight w:val="none"/>
          <w:u w:val="single"/>
        </w:rPr>
        <w:t xml:space="preserve">          </w:t>
      </w:r>
      <w:r>
        <w:rPr>
          <w:rFonts w:hint="eastAsia" w:ascii="宋体" w:hAnsi="宋体"/>
          <w:kern w:val="0"/>
          <w:szCs w:val="20"/>
          <w:highlight w:val="none"/>
        </w:rPr>
        <w:t>，职务：</w:t>
      </w:r>
      <w:r>
        <w:rPr>
          <w:rFonts w:hint="eastAsia" w:ascii="宋体" w:hAnsi="Arial"/>
          <w:kern w:val="0"/>
          <w:szCs w:val="20"/>
          <w:highlight w:val="none"/>
          <w:u w:val="single"/>
        </w:rPr>
        <w:t xml:space="preserve">        </w:t>
      </w:r>
      <w:r>
        <w:rPr>
          <w:rFonts w:hint="eastAsia" w:ascii="宋体" w:hAnsi="宋体"/>
          <w:kern w:val="0"/>
          <w:szCs w:val="20"/>
          <w:highlight w:val="none"/>
        </w:rPr>
        <w:t>，联系电话：</w:t>
      </w:r>
      <w:r>
        <w:rPr>
          <w:rFonts w:hint="eastAsia" w:ascii="宋体" w:hAnsi="Arial"/>
          <w:kern w:val="0"/>
          <w:szCs w:val="20"/>
          <w:highlight w:val="none"/>
          <w:u w:val="single"/>
        </w:rPr>
        <w:t xml:space="preserve">                  </w:t>
      </w:r>
      <w:r>
        <w:rPr>
          <w:rFonts w:hint="eastAsia" w:ascii="宋体" w:hAnsi="Arial"/>
          <w:kern w:val="0"/>
          <w:szCs w:val="20"/>
          <w:highlight w:val="none"/>
        </w:rPr>
        <w:t>。</w:t>
      </w:r>
    </w:p>
    <w:p w14:paraId="2AE2D33B">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宋体"/>
          <w:kern w:val="0"/>
          <w:szCs w:val="20"/>
          <w:highlight w:val="none"/>
        </w:rPr>
        <w:t>2.1.2.发包人赋予发包人代表的其他权限：代表发包人行使合同约定的权利，履行合同约定的义务，负责处理施工现场的具体事宜</w:t>
      </w:r>
      <w:r>
        <w:rPr>
          <w:rFonts w:hint="eastAsia" w:ascii="宋体" w:hAnsi="Arial"/>
          <w:kern w:val="0"/>
          <w:szCs w:val="20"/>
          <w:highlight w:val="none"/>
        </w:rPr>
        <w:t>。</w:t>
      </w:r>
    </w:p>
    <w:p w14:paraId="527406BC">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heme="minorEastAsia" w:hAnsiTheme="minorEastAsia" w:eastAsiaTheme="minorEastAsia"/>
          <w:szCs w:val="24"/>
          <w:highlight w:val="none"/>
        </w:rPr>
        <w:t>2</w:t>
      </w:r>
      <w:r>
        <w:rPr>
          <w:rFonts w:asciiTheme="minorEastAsia" w:hAnsiTheme="minorEastAsia" w:eastAsiaTheme="minorEastAsia"/>
          <w:szCs w:val="24"/>
          <w:highlight w:val="none"/>
        </w:rPr>
        <w:t>.1.3.</w:t>
      </w:r>
      <w:r>
        <w:rPr>
          <w:rFonts w:hint="eastAsia" w:ascii="Times New Roman" w:hAnsi="Times New Roman"/>
          <w:szCs w:val="24"/>
          <w:highlight w:val="none"/>
        </w:rPr>
        <w:t>通用条款2.1.3修订为：发包人代表签发的工程指令、通知、工程付款申请、设计变更申请单、现场签证申请与确认单、其他变更的申请单等，需加盖发包人项目公章方可生效。在任何情形下，发包人代表都没有修改本合同内容的权利。承包人确知，发包人代表签署的可能修改合同条款的任何文件均无效，发包人代表根据本合同授权签发的任何文件与本合同约定计量计价规则不一致的，均应严格以本合同约定的计量计价原则为准，本合同的补充合同（协议）另有约定的除外。</w:t>
      </w:r>
    </w:p>
    <w:p w14:paraId="31C91CED">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2.1.6 在发包人代表的权限范围内，除非发包人代表在承包人发出的工程施工联系函或其它报告、文件上签署明确意见，否则，发包人代表的签名或其他人的签名(即使其他人签署意见)，仅表示发包人对该份文件的签收（即仅表示发包人收到该份文件，而不表示发包人对该份文件及其中任何内容的认可），不能作为发包人意见或结算的依据。</w:t>
      </w:r>
    </w:p>
    <w:p w14:paraId="5C327E5E">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2.2. 发包人一般权利义务</w:t>
      </w:r>
    </w:p>
    <w:p w14:paraId="36F53C58">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2.2.4. 发包人完成以下工作：</w:t>
      </w:r>
    </w:p>
    <w:p w14:paraId="588C2718">
      <w:pPr>
        <w:adjustRightInd w:val="0"/>
        <w:snapToGrid w:val="0"/>
        <w:spacing w:line="360" w:lineRule="auto"/>
        <w:ind w:firstLine="420"/>
        <w:jc w:val="left"/>
        <w:outlineLvl w:val="3"/>
        <w:rPr>
          <w:rFonts w:ascii="宋体" w:hAnsi="宋体"/>
          <w:bCs/>
          <w:kern w:val="0"/>
          <w:szCs w:val="28"/>
          <w:highlight w:val="none"/>
        </w:rPr>
      </w:pPr>
      <w:r>
        <w:rPr>
          <w:rFonts w:hint="eastAsia" w:ascii="宋体" w:hAnsi="宋体"/>
          <w:bCs/>
          <w:kern w:val="0"/>
          <w:szCs w:val="28"/>
          <w:highlight w:val="none"/>
        </w:rPr>
        <w:t>5）设计交底后，承包人应当继续审查相关图纸中可能存在的不符合法律规定、适用标准、施工规范的任何错误、冲突，并在</w:t>
      </w:r>
      <w:r>
        <w:rPr>
          <w:rFonts w:hint="eastAsia" w:ascii="宋体" w:hAnsi="宋体"/>
          <w:bCs/>
          <w:kern w:val="0"/>
          <w:szCs w:val="28"/>
          <w:highlight w:val="none"/>
          <w:u w:val="single"/>
        </w:rPr>
        <w:t>7</w:t>
      </w:r>
      <w:r>
        <w:rPr>
          <w:rFonts w:hint="eastAsia" w:ascii="宋体" w:hAnsi="宋体"/>
          <w:bCs/>
          <w:kern w:val="0"/>
          <w:szCs w:val="28"/>
          <w:highlight w:val="none"/>
        </w:rPr>
        <w:t>天内以书面方式报发包人及监理人。</w:t>
      </w:r>
    </w:p>
    <w:p w14:paraId="522E4BA3">
      <w:pPr>
        <w:numPr>
          <w:ilvl w:val="2"/>
          <w:numId w:val="0"/>
        </w:numPr>
        <w:adjustRightInd w:val="0"/>
        <w:snapToGrid w:val="0"/>
        <w:spacing w:line="360" w:lineRule="auto"/>
        <w:ind w:firstLine="420" w:firstLineChars="200"/>
        <w:jc w:val="left"/>
        <w:outlineLvl w:val="2"/>
        <w:rPr>
          <w:rFonts w:ascii="宋体" w:hAnsi="宋体"/>
          <w:kern w:val="0"/>
          <w:szCs w:val="20"/>
          <w:highlight w:val="none"/>
          <w:u w:val="single"/>
        </w:rPr>
      </w:pPr>
      <w:r>
        <w:rPr>
          <w:rFonts w:hint="eastAsia" w:ascii="宋体" w:hAnsi="Arial"/>
          <w:kern w:val="0"/>
          <w:szCs w:val="20"/>
          <w:highlight w:val="none"/>
        </w:rPr>
        <w:t>7）其他由发包人完成的工作：</w:t>
      </w:r>
    </w:p>
    <w:p w14:paraId="42434351">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承包人进场后，发包人提供水平控制点，进行现场交验。</w:t>
      </w:r>
    </w:p>
    <w:p w14:paraId="0CFB703B">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承包人进场后，向承包人提供施工场地的工程地质和地上（下）管线资料。承包人对地上（下）管线负有保护责任，如因承包人原因造成损坏，由承包人负责维修并承担费用。</w:t>
      </w:r>
    </w:p>
    <w:p w14:paraId="40D03F2B">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2.2.5. 施工所需水、电、电讯线路、施工电梯说明：</w:t>
      </w:r>
    </w:p>
    <w:p w14:paraId="78827891">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1）关于施工所需水、电\电讯线路、施工电梯的具体约定：按总承包合同约定，项目</w:t>
      </w:r>
      <w:r>
        <w:rPr>
          <w:rFonts w:hint="eastAsia" w:ascii="Times New Roman" w:hAnsi="Times New Roman"/>
          <w:szCs w:val="24"/>
          <w:highlight w:val="none"/>
          <w:u w:val="none"/>
        </w:rPr>
        <w:t>施工所需水、电已由发包人支付给承包人。</w:t>
      </w:r>
    </w:p>
    <w:p w14:paraId="3686917F">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 xml:space="preserve">2.2.6. </w:t>
      </w:r>
      <w:r>
        <w:rPr>
          <w:rFonts w:hint="eastAsia" w:ascii="宋体" w:hAnsi="Arial"/>
          <w:kern w:val="0"/>
          <w:szCs w:val="20"/>
          <w:highlight w:val="none"/>
        </w:rPr>
        <w:t>发包人</w:t>
      </w:r>
      <w:r>
        <w:rPr>
          <w:rFonts w:hint="eastAsia" w:ascii="宋体" w:hAnsi="宋体"/>
          <w:kern w:val="0"/>
          <w:szCs w:val="20"/>
          <w:highlight w:val="none"/>
        </w:rPr>
        <w:t>委托承包人办理的其他工作（包括但不限于）：</w:t>
      </w:r>
    </w:p>
    <w:p w14:paraId="34A76F90">
      <w:pPr>
        <w:numPr>
          <w:ilvl w:val="2"/>
          <w:numId w:val="0"/>
        </w:numPr>
        <w:adjustRightInd w:val="0"/>
        <w:snapToGrid w:val="0"/>
        <w:spacing w:line="360" w:lineRule="auto"/>
        <w:ind w:firstLine="420" w:firstLineChars="200"/>
        <w:jc w:val="left"/>
        <w:outlineLvl w:val="2"/>
        <w:rPr>
          <w:rFonts w:ascii="宋体" w:hAnsi="Arial"/>
          <w:kern w:val="0"/>
          <w:szCs w:val="20"/>
          <w:highlight w:val="none"/>
          <w:u w:val="none"/>
        </w:rPr>
      </w:pPr>
      <w:r>
        <w:rPr>
          <w:rFonts w:hint="eastAsia" w:ascii="宋体" w:hAnsi="Arial"/>
          <w:kern w:val="0"/>
          <w:szCs w:val="20"/>
          <w:highlight w:val="none"/>
          <w:u w:val="none"/>
        </w:rPr>
        <w:t>1）负责办理本合同范围内工程开工至竣工验收所必须的行政许可、报审、报批、报备等手续（如需）。</w:t>
      </w:r>
    </w:p>
    <w:p w14:paraId="3D21253A">
      <w:pPr>
        <w:numPr>
          <w:ilvl w:val="2"/>
          <w:numId w:val="0"/>
        </w:numPr>
        <w:adjustRightInd w:val="0"/>
        <w:snapToGrid w:val="0"/>
        <w:spacing w:line="360" w:lineRule="auto"/>
        <w:ind w:firstLine="420" w:firstLineChars="200"/>
        <w:jc w:val="left"/>
        <w:outlineLvl w:val="2"/>
        <w:rPr>
          <w:rFonts w:ascii="宋体" w:hAnsi="Arial"/>
          <w:kern w:val="0"/>
          <w:szCs w:val="20"/>
          <w:highlight w:val="none"/>
          <w:u w:val="none"/>
        </w:rPr>
      </w:pPr>
      <w:r>
        <w:rPr>
          <w:rFonts w:hint="eastAsia" w:ascii="宋体" w:hAnsi="Arial"/>
          <w:kern w:val="0"/>
          <w:szCs w:val="20"/>
          <w:highlight w:val="none"/>
          <w:u w:val="none"/>
        </w:rPr>
        <w:t>2）协助发包人办理相关设计图纸的审核、审查、备案及项目的报批、报建、验收等相关手续</w:t>
      </w:r>
    </w:p>
    <w:p w14:paraId="410CD167">
      <w:pPr>
        <w:numPr>
          <w:ilvl w:val="2"/>
          <w:numId w:val="0"/>
        </w:numPr>
        <w:adjustRightInd w:val="0"/>
        <w:snapToGrid w:val="0"/>
        <w:spacing w:line="360" w:lineRule="auto"/>
        <w:ind w:firstLine="420" w:firstLineChars="200"/>
        <w:jc w:val="left"/>
        <w:outlineLvl w:val="2"/>
        <w:rPr>
          <w:rFonts w:ascii="宋体" w:hAnsi="Arial"/>
          <w:kern w:val="0"/>
          <w:szCs w:val="20"/>
          <w:highlight w:val="none"/>
          <w:u w:val="none"/>
        </w:rPr>
      </w:pPr>
      <w:r>
        <w:rPr>
          <w:rFonts w:hint="eastAsia" w:ascii="宋体" w:hAnsi="Arial"/>
          <w:kern w:val="0"/>
          <w:szCs w:val="20"/>
          <w:highlight w:val="none"/>
          <w:u w:val="none"/>
        </w:rPr>
        <w:t>3）负责协调施工过程中的相关职能部门及周边在建其他项目，包括且不限于：街道居委、公安派出所、交通部门、质安监、建管等（如需）。</w:t>
      </w:r>
    </w:p>
    <w:p w14:paraId="344362AB">
      <w:pPr>
        <w:numPr>
          <w:ilvl w:val="2"/>
          <w:numId w:val="0"/>
        </w:numPr>
        <w:adjustRightInd w:val="0"/>
        <w:snapToGrid w:val="0"/>
        <w:spacing w:line="360" w:lineRule="auto"/>
        <w:ind w:firstLine="420" w:firstLineChars="200"/>
        <w:jc w:val="left"/>
        <w:outlineLvl w:val="2"/>
        <w:rPr>
          <w:rFonts w:ascii="宋体" w:hAnsi="Arial"/>
          <w:kern w:val="0"/>
          <w:szCs w:val="20"/>
          <w:highlight w:val="none"/>
          <w:u w:val="single"/>
        </w:rPr>
      </w:pPr>
      <w:r>
        <w:rPr>
          <w:rFonts w:hint="eastAsia" w:ascii="宋体" w:hAnsi="Arial"/>
          <w:kern w:val="0"/>
          <w:szCs w:val="20"/>
          <w:highlight w:val="none"/>
          <w:u w:val="none"/>
        </w:rPr>
        <w:t>4）承包人完成以上工作内容所需的一切费用均包含在合同价款其他措施费用中，发包人无需另行支付费用。</w:t>
      </w:r>
    </w:p>
    <w:p w14:paraId="5DAD390E">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2.3发包人检查配合工作</w:t>
      </w:r>
    </w:p>
    <w:p w14:paraId="41C1C7AD">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2.3.1.发包人根据合同情况自主或引入第三方质量、安全等评估单位进行现场检查，检查内容包括但不限于现场质量、安全、资料、人员等。承包人需对发包人下发的评价体系充分掌握、内部宣讲，并配合现场检查；发包人将按需对检查结果进行公布、下发整改单、排名及通报批评；必要时根据发包人的管理需要，可在通报栏处增加承包人董事长相片及姓名信息。第三方检查标准详见本合同附件</w:t>
      </w:r>
      <w:r>
        <w:rPr>
          <w:rFonts w:hint="eastAsia" w:ascii="Times New Roman" w:hAnsi="Times New Roman"/>
          <w:szCs w:val="24"/>
          <w:highlight w:val="none"/>
          <w:lang w:val="en-US" w:eastAsia="zh-CN"/>
        </w:rPr>
        <w:t>13</w:t>
      </w:r>
      <w:r>
        <w:rPr>
          <w:rFonts w:hint="eastAsia" w:ascii="Times New Roman" w:hAnsi="Times New Roman"/>
          <w:szCs w:val="24"/>
          <w:highlight w:val="none"/>
        </w:rPr>
        <w:t>《质量风险检查表》。</w:t>
      </w:r>
    </w:p>
    <w:p w14:paraId="0C209F4C">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2.3.2.发包人定期将根据评估检查结果对发包人所有在建工地进行评分排名，排名倒数第一的，公布排名一周内，由承包人提交专项整改方案，并经其实施公司董事长（或总经理）签批后备案发包人，发包人根据整改方案监督整改效果；连续两次排名倒数第一的，由实施公司承包人董事长（或总经理）参与三方（发包人、承包人及监理）专项整改方案讨论，并由其牵头整改。</w:t>
      </w:r>
    </w:p>
    <w:p w14:paraId="75DBB2EA">
      <w:pPr>
        <w:keepNext/>
        <w:keepLines/>
        <w:numPr>
          <w:ilvl w:val="0"/>
          <w:numId w:val="4"/>
        </w:numPr>
        <w:adjustRightInd w:val="0"/>
        <w:snapToGrid w:val="0"/>
        <w:spacing w:line="360" w:lineRule="auto"/>
        <w:outlineLvl w:val="0"/>
        <w:rPr>
          <w:rFonts w:ascii="宋体" w:hAnsi="宋体"/>
          <w:b/>
          <w:bCs/>
          <w:kern w:val="44"/>
          <w:sz w:val="28"/>
          <w:szCs w:val="44"/>
          <w:highlight w:val="none"/>
        </w:rPr>
      </w:pPr>
      <w:bookmarkStart w:id="123" w:name="_Toc18419"/>
      <w:bookmarkStart w:id="124" w:name="_Toc18587"/>
      <w:bookmarkStart w:id="125" w:name="_Toc23843"/>
      <w:bookmarkStart w:id="126" w:name="_Toc167975577"/>
      <w:bookmarkStart w:id="127" w:name="_Toc22753"/>
      <w:bookmarkStart w:id="128" w:name="_Toc167701652"/>
      <w:bookmarkStart w:id="129" w:name="_Toc16774"/>
      <w:bookmarkStart w:id="130" w:name="_Toc350865567"/>
      <w:bookmarkStart w:id="131" w:name="_Toc167701753"/>
      <w:bookmarkStart w:id="132" w:name="_Toc6782"/>
      <w:bookmarkStart w:id="133" w:name="_Toc12045"/>
      <w:bookmarkStart w:id="134" w:name="_Toc3734"/>
      <w:bookmarkStart w:id="135" w:name="_Toc20927"/>
      <w:bookmarkStart w:id="136" w:name="_Toc427331238"/>
      <w:bookmarkStart w:id="137" w:name="_Toc16205"/>
      <w:bookmarkStart w:id="138" w:name="_Toc27773"/>
      <w:bookmarkStart w:id="139" w:name="_Toc19470"/>
      <w:bookmarkStart w:id="140" w:name="_Toc986"/>
      <w:bookmarkStart w:id="141" w:name="_Toc20447"/>
      <w:bookmarkStart w:id="142" w:name="_Toc3106"/>
      <w:bookmarkStart w:id="143" w:name="_Toc350865205"/>
      <w:bookmarkStart w:id="144" w:name="_Toc8511"/>
      <w:bookmarkStart w:id="145" w:name="_Toc30392"/>
      <w:bookmarkStart w:id="146" w:name="_Toc22834"/>
      <w:bookmarkStart w:id="147" w:name="_Toc2331"/>
      <w:bookmarkStart w:id="148" w:name="_Toc22970"/>
      <w:r>
        <w:rPr>
          <w:rFonts w:hint="eastAsia" w:ascii="宋体" w:hAnsi="宋体"/>
          <w:b/>
          <w:bCs/>
          <w:kern w:val="44"/>
          <w:sz w:val="28"/>
          <w:szCs w:val="44"/>
          <w:highlight w:val="none"/>
        </w:rPr>
        <w:t>监理人及造价咨询人</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5E441AC">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3.1. 监理人</w:t>
      </w:r>
    </w:p>
    <w:p w14:paraId="3A4B1B69">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3.1.2. 总</w:t>
      </w:r>
      <w:r>
        <w:rPr>
          <w:rFonts w:hint="eastAsia" w:ascii="宋体" w:hAnsi="Arial"/>
          <w:kern w:val="0"/>
          <w:szCs w:val="20"/>
          <w:highlight w:val="none"/>
        </w:rPr>
        <w:t>监理工程师</w:t>
      </w:r>
      <w:r>
        <w:rPr>
          <w:rFonts w:hint="eastAsia" w:ascii="宋体" w:hAnsi="宋体"/>
          <w:kern w:val="0"/>
          <w:szCs w:val="20"/>
          <w:highlight w:val="none"/>
        </w:rPr>
        <w:t>的姓名：</w:t>
      </w:r>
      <w:r>
        <w:rPr>
          <w:rFonts w:hint="eastAsia" w:ascii="宋体" w:hAnsi="Arial"/>
          <w:kern w:val="0"/>
          <w:szCs w:val="20"/>
          <w:highlight w:val="none"/>
          <w:u w:val="single"/>
        </w:rPr>
        <w:t xml:space="preserve">           </w:t>
      </w:r>
      <w:r>
        <w:rPr>
          <w:rFonts w:hint="eastAsia" w:ascii="宋体" w:hAnsi="宋体"/>
          <w:kern w:val="0"/>
          <w:szCs w:val="20"/>
          <w:highlight w:val="none"/>
        </w:rPr>
        <w:t>，职务：</w:t>
      </w:r>
      <w:r>
        <w:rPr>
          <w:rFonts w:hint="eastAsia" w:ascii="宋体" w:hAnsi="Arial"/>
          <w:kern w:val="0"/>
          <w:szCs w:val="20"/>
          <w:highlight w:val="none"/>
          <w:u w:val="single"/>
        </w:rPr>
        <w:t xml:space="preserve">         </w:t>
      </w:r>
      <w:r>
        <w:rPr>
          <w:rFonts w:hint="eastAsia" w:ascii="宋体" w:hAnsi="宋体"/>
          <w:kern w:val="0"/>
          <w:szCs w:val="20"/>
          <w:highlight w:val="none"/>
        </w:rPr>
        <w:t>，联系电话：</w:t>
      </w:r>
      <w:r>
        <w:rPr>
          <w:rFonts w:hint="eastAsia" w:ascii="宋体" w:hAnsi="Arial"/>
          <w:kern w:val="0"/>
          <w:szCs w:val="20"/>
          <w:highlight w:val="none"/>
          <w:u w:val="single"/>
        </w:rPr>
        <w:t xml:space="preserve">           </w:t>
      </w:r>
      <w:r>
        <w:rPr>
          <w:rFonts w:hint="eastAsia" w:ascii="宋体" w:hAnsi="Arial"/>
          <w:kern w:val="0"/>
          <w:szCs w:val="20"/>
          <w:highlight w:val="none"/>
        </w:rPr>
        <w:t>。</w:t>
      </w:r>
    </w:p>
    <w:p w14:paraId="56C245FC">
      <w:pPr>
        <w:numPr>
          <w:ilvl w:val="2"/>
          <w:numId w:val="0"/>
        </w:numPr>
        <w:adjustRightInd w:val="0"/>
        <w:snapToGrid w:val="0"/>
        <w:spacing w:line="360" w:lineRule="auto"/>
        <w:ind w:firstLine="420" w:firstLineChars="200"/>
        <w:jc w:val="left"/>
        <w:outlineLvl w:val="2"/>
        <w:rPr>
          <w:rFonts w:ascii="宋体" w:hAnsi="宋体"/>
          <w:kern w:val="0"/>
          <w:szCs w:val="20"/>
          <w:highlight w:val="none"/>
          <w:u w:val="single"/>
        </w:rPr>
      </w:pPr>
      <w:r>
        <w:rPr>
          <w:rFonts w:hint="eastAsia" w:ascii="宋体" w:hAnsi="宋体"/>
          <w:kern w:val="0"/>
          <w:szCs w:val="20"/>
          <w:highlight w:val="none"/>
        </w:rPr>
        <w:t xml:space="preserve">3.1.3. </w:t>
      </w:r>
      <w:r>
        <w:rPr>
          <w:rFonts w:hint="eastAsia" w:ascii="宋体" w:hAnsi="Arial"/>
          <w:kern w:val="0"/>
          <w:szCs w:val="20"/>
          <w:highlight w:val="none"/>
        </w:rPr>
        <w:t>发包人</w:t>
      </w:r>
      <w:r>
        <w:rPr>
          <w:rFonts w:hint="eastAsia" w:ascii="宋体" w:hAnsi="宋体"/>
          <w:kern w:val="0"/>
          <w:szCs w:val="20"/>
          <w:highlight w:val="none"/>
        </w:rPr>
        <w:t>另行委托的职权：</w:t>
      </w:r>
      <w:r>
        <w:rPr>
          <w:rFonts w:hint="eastAsia" w:ascii="宋体" w:hAnsi="Arial"/>
          <w:kern w:val="0"/>
          <w:szCs w:val="20"/>
          <w:highlight w:val="none"/>
          <w:u w:val="single"/>
        </w:rPr>
        <w:t xml:space="preserve">                       </w:t>
      </w:r>
      <w:r>
        <w:rPr>
          <w:rFonts w:hint="eastAsia" w:ascii="宋体" w:hAnsi="Arial"/>
          <w:kern w:val="0"/>
          <w:szCs w:val="20"/>
          <w:highlight w:val="none"/>
        </w:rPr>
        <w:t>。</w:t>
      </w:r>
    </w:p>
    <w:p w14:paraId="5876E63D">
      <w:pPr>
        <w:numPr>
          <w:ilvl w:val="2"/>
          <w:numId w:val="0"/>
        </w:numPr>
        <w:adjustRightInd w:val="0"/>
        <w:snapToGrid w:val="0"/>
        <w:spacing w:line="360" w:lineRule="auto"/>
        <w:ind w:firstLine="420" w:firstLineChars="200"/>
        <w:jc w:val="left"/>
        <w:outlineLvl w:val="2"/>
        <w:rPr>
          <w:rFonts w:ascii="宋体" w:hAnsi="Arial"/>
          <w:color w:val="000000"/>
          <w:kern w:val="0"/>
          <w:szCs w:val="20"/>
          <w:highlight w:val="none"/>
        </w:rPr>
      </w:pPr>
      <w:bookmarkStart w:id="149" w:name="_Hlk146123935"/>
      <w:r>
        <w:rPr>
          <w:rFonts w:hint="eastAsia" w:ascii="宋体" w:hAnsi="宋体"/>
          <w:kern w:val="0"/>
          <w:szCs w:val="20"/>
          <w:highlight w:val="none"/>
        </w:rPr>
        <w:t xml:space="preserve">3.1.4. </w:t>
      </w:r>
      <w:bookmarkEnd w:id="149"/>
      <w:r>
        <w:rPr>
          <w:rFonts w:hint="eastAsia" w:ascii="宋体" w:hAnsi="宋体"/>
          <w:kern w:val="0"/>
          <w:szCs w:val="20"/>
          <w:highlight w:val="none"/>
        </w:rPr>
        <w:t>监理人需要取得发包人批准才能行使的其他职权为：</w:t>
      </w:r>
      <w:r>
        <w:rPr>
          <w:rFonts w:hint="eastAsia" w:ascii="宋体" w:hAnsi="Arial"/>
          <w:color w:val="000000"/>
          <w:kern w:val="0"/>
          <w:szCs w:val="20"/>
          <w:highlight w:val="none"/>
        </w:rPr>
        <w:t>签发开工令、停工令或复工令等有关工期的指示；分包单位的选定；设计变更、工程款支付及竣工结算的审核（监理人单方审核的工程价款不得作为合同结算价款）；工程量、工期、费用等的签证；工程量确认、施工方案的调整；新型主体结构材料的选择与审核；主要材料设备或替换材料设备的使用；任何减免承包人合同义务、责任或增加发包人义务、责任的通知、指令；发包人与监理人签订的监理合同中明确约定的其他需经发包人批准后才能行使的职权。</w:t>
      </w:r>
    </w:p>
    <w:p w14:paraId="52390CF9">
      <w:pPr>
        <w:numPr>
          <w:ilvl w:val="2"/>
          <w:numId w:val="0"/>
        </w:numPr>
        <w:adjustRightInd w:val="0"/>
        <w:snapToGrid w:val="0"/>
        <w:spacing w:line="360" w:lineRule="auto"/>
        <w:jc w:val="left"/>
        <w:outlineLvl w:val="2"/>
        <w:rPr>
          <w:rFonts w:ascii="宋体" w:hAnsi="Arial"/>
          <w:kern w:val="0"/>
          <w:szCs w:val="20"/>
          <w:highlight w:val="none"/>
        </w:rPr>
      </w:pPr>
      <w:r>
        <w:rPr>
          <w:rFonts w:hint="eastAsia" w:ascii="宋体" w:hAnsi="Arial"/>
          <w:color w:val="000000"/>
          <w:kern w:val="0"/>
          <w:szCs w:val="20"/>
          <w:highlight w:val="none"/>
        </w:rPr>
        <w:t>监理人和发包人代表之间的授权若存在交叉或冲突，以发包人代表的授权为准。监理单位签发的所有可能影响发包人利益的有关事项，均须经过发包人代表的书面审核批准并加盖发包人项目公章方可生效；当监理单位签发事项超出发包人代表审批权限的，须经发包人书面审核批准且加盖发包人公章方可生效。监理人行使需经发包人批准的职权时，应随附发包人批准的书面证明文件。如监理人未提供发包人书面批准证明的，承包人应以书面形式征询发包人；如承包人未以书面形式征询发包人、发包人回复不予确认或未在合理时间回复确认的，则视为发包人不同意监理人行使该职权，监理人行使该等职权的法律后果不约束发包人。如因此造成工期延误的，工期不予顺延；因此造成损失的，均由承包人自行承担及（或）由承包人向发包人赔偿</w:t>
      </w:r>
      <w:r>
        <w:rPr>
          <w:rFonts w:hint="eastAsia" w:ascii="宋体" w:hAnsi="Arial"/>
          <w:kern w:val="0"/>
          <w:szCs w:val="20"/>
          <w:highlight w:val="none"/>
        </w:rPr>
        <w:t>。</w:t>
      </w:r>
    </w:p>
    <w:p w14:paraId="52353682">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宋体" w:hAnsi="宋体"/>
          <w:kern w:val="0"/>
          <w:szCs w:val="20"/>
          <w:highlight w:val="none"/>
        </w:rPr>
        <w:t>3.</w:t>
      </w:r>
      <w:r>
        <w:rPr>
          <w:rFonts w:ascii="宋体" w:hAnsi="宋体"/>
          <w:kern w:val="0"/>
          <w:szCs w:val="20"/>
          <w:highlight w:val="none"/>
        </w:rPr>
        <w:t>1</w:t>
      </w:r>
      <w:r>
        <w:rPr>
          <w:rFonts w:hint="eastAsia" w:ascii="宋体" w:hAnsi="宋体"/>
          <w:kern w:val="0"/>
          <w:szCs w:val="20"/>
          <w:highlight w:val="none"/>
        </w:rPr>
        <w:t>.</w:t>
      </w:r>
      <w:r>
        <w:rPr>
          <w:rFonts w:ascii="宋体" w:hAnsi="宋体"/>
          <w:kern w:val="0"/>
          <w:szCs w:val="20"/>
          <w:highlight w:val="none"/>
        </w:rPr>
        <w:t>9</w:t>
      </w:r>
      <w:r>
        <w:rPr>
          <w:rFonts w:hint="eastAsia" w:ascii="宋体" w:hAnsi="宋体"/>
          <w:kern w:val="0"/>
          <w:szCs w:val="20"/>
          <w:highlight w:val="none"/>
        </w:rPr>
        <w:t>.</w:t>
      </w:r>
      <w:r>
        <w:rPr>
          <w:rFonts w:ascii="宋体" w:hAnsi="宋体"/>
          <w:kern w:val="0"/>
          <w:szCs w:val="20"/>
          <w:highlight w:val="none"/>
        </w:rPr>
        <w:t xml:space="preserve"> </w:t>
      </w:r>
      <w:r>
        <w:rPr>
          <w:rFonts w:hint="eastAsia" w:ascii="Times New Roman" w:hAnsi="Times New Roman"/>
          <w:szCs w:val="24"/>
          <w:highlight w:val="none"/>
        </w:rPr>
        <w:t>总监理工程师可在有关国家、行业规范所允许的范围内 委派代表行使合同约定给自己的职权，并可在必要时撤回，委派和撤回均应提前7天以书面形式通知承包人。</w:t>
      </w:r>
    </w:p>
    <w:p w14:paraId="445789F9">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3.2. 监理单位的指示</w:t>
      </w:r>
    </w:p>
    <w:p w14:paraId="1AEBCE6F">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3.2.2. 补充：</w:t>
      </w:r>
      <w:r>
        <w:rPr>
          <w:rFonts w:hint="eastAsia" w:ascii="宋体" w:hAnsi="Arial"/>
          <w:kern w:val="0"/>
          <w:szCs w:val="20"/>
          <w:highlight w:val="none"/>
        </w:rPr>
        <w:t>发包人</w:t>
      </w:r>
      <w:r>
        <w:rPr>
          <w:rFonts w:hint="eastAsia" w:ascii="宋体" w:hAnsi="宋体"/>
          <w:kern w:val="0"/>
          <w:szCs w:val="20"/>
          <w:highlight w:val="none"/>
        </w:rPr>
        <w:t>应在实施监理前将委托的监理单位名称、监理内容及监理权限以书面形式通知承包人。</w:t>
      </w:r>
    </w:p>
    <w:p w14:paraId="22C3364D">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3.2.7 监理</w:t>
      </w:r>
      <w:r>
        <w:rPr>
          <w:rFonts w:hint="eastAsia" w:ascii="宋体" w:hAnsi="Arial"/>
          <w:kern w:val="0"/>
          <w:szCs w:val="20"/>
          <w:highlight w:val="none"/>
        </w:rPr>
        <w:t>单位</w:t>
      </w:r>
      <w:r>
        <w:rPr>
          <w:rFonts w:hint="eastAsia" w:ascii="宋体" w:hAnsi="宋体"/>
          <w:kern w:val="0"/>
          <w:szCs w:val="20"/>
          <w:highlight w:val="none"/>
        </w:rPr>
        <w:t>对承包人的任何工作、工程或其采用的材料和工程设备未在约定的或合理的期限内提出否定意见的，不视为已获批准，监理单位享有在以后拒绝该项工作、工程、材料或工程设备的权利。</w:t>
      </w:r>
    </w:p>
    <w:p w14:paraId="0FF9CD08">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3.3. 造价咨询人</w:t>
      </w:r>
    </w:p>
    <w:p w14:paraId="4C79A8F7">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3.3.1. 造价</w:t>
      </w:r>
      <w:r>
        <w:rPr>
          <w:rFonts w:hint="eastAsia" w:ascii="宋体" w:hAnsi="Arial"/>
          <w:kern w:val="0"/>
          <w:szCs w:val="20"/>
          <w:highlight w:val="none"/>
        </w:rPr>
        <w:t>咨询</w:t>
      </w:r>
      <w:r>
        <w:rPr>
          <w:rFonts w:hint="eastAsia" w:ascii="宋体" w:hAnsi="宋体"/>
          <w:kern w:val="0"/>
          <w:szCs w:val="20"/>
          <w:highlight w:val="none"/>
        </w:rPr>
        <w:t>人单位名称：</w:t>
      </w:r>
      <w:r>
        <w:rPr>
          <w:rFonts w:hint="eastAsia" w:ascii="宋体" w:hAnsi="Arial"/>
          <w:kern w:val="0"/>
          <w:szCs w:val="20"/>
          <w:highlight w:val="none"/>
          <w:u w:val="single"/>
        </w:rPr>
        <w:t xml:space="preserve">                       </w:t>
      </w:r>
      <w:r>
        <w:rPr>
          <w:rFonts w:hint="eastAsia" w:ascii="宋体" w:hAnsi="Arial"/>
          <w:kern w:val="0"/>
          <w:szCs w:val="20"/>
          <w:highlight w:val="none"/>
        </w:rPr>
        <w:t>。</w:t>
      </w:r>
    </w:p>
    <w:p w14:paraId="7831685C">
      <w:pPr>
        <w:numPr>
          <w:ilvl w:val="2"/>
          <w:numId w:val="0"/>
        </w:numPr>
        <w:adjustRightInd w:val="0"/>
        <w:snapToGrid w:val="0"/>
        <w:spacing w:line="360" w:lineRule="auto"/>
        <w:ind w:firstLine="420" w:firstLineChars="200"/>
        <w:jc w:val="left"/>
        <w:outlineLvl w:val="2"/>
        <w:rPr>
          <w:rFonts w:ascii="宋体" w:hAnsi="宋体"/>
          <w:kern w:val="0"/>
          <w:szCs w:val="20"/>
          <w:highlight w:val="none"/>
          <w:u w:val="single"/>
        </w:rPr>
      </w:pPr>
      <w:r>
        <w:rPr>
          <w:rFonts w:hint="eastAsia" w:ascii="宋体" w:hAnsi="宋体"/>
          <w:kern w:val="0"/>
          <w:szCs w:val="20"/>
          <w:highlight w:val="none"/>
        </w:rPr>
        <w:t>3.3.2. 发包人委托的职权：</w:t>
      </w:r>
      <w:r>
        <w:rPr>
          <w:rFonts w:hint="eastAsia" w:ascii="宋体" w:hAnsi="Arial"/>
          <w:kern w:val="0"/>
          <w:szCs w:val="20"/>
          <w:highlight w:val="none"/>
          <w:u w:val="single"/>
        </w:rPr>
        <w:t xml:space="preserve">  无  。</w:t>
      </w:r>
    </w:p>
    <w:p w14:paraId="0A9B6458">
      <w:pPr>
        <w:keepNext/>
        <w:keepLines/>
        <w:numPr>
          <w:ilvl w:val="0"/>
          <w:numId w:val="4"/>
        </w:numPr>
        <w:adjustRightInd w:val="0"/>
        <w:snapToGrid w:val="0"/>
        <w:spacing w:line="360" w:lineRule="auto"/>
        <w:outlineLvl w:val="0"/>
        <w:rPr>
          <w:rFonts w:ascii="宋体" w:hAnsi="宋体"/>
          <w:b/>
          <w:bCs/>
          <w:kern w:val="44"/>
          <w:sz w:val="28"/>
          <w:szCs w:val="44"/>
          <w:highlight w:val="none"/>
        </w:rPr>
      </w:pPr>
      <w:bookmarkStart w:id="150" w:name="_Toc25921"/>
      <w:bookmarkStart w:id="151" w:name="_Toc9537"/>
      <w:bookmarkStart w:id="152" w:name="_Toc10133"/>
      <w:bookmarkStart w:id="153" w:name="_Toc6129"/>
      <w:bookmarkStart w:id="154" w:name="_Toc17572"/>
      <w:bookmarkStart w:id="155" w:name="_Toc6535"/>
      <w:bookmarkStart w:id="156" w:name="_Toc6491"/>
      <w:bookmarkStart w:id="157" w:name="_Toc23577"/>
      <w:bookmarkStart w:id="158" w:name="_Toc17127"/>
      <w:bookmarkStart w:id="159" w:name="_Toc24307"/>
      <w:bookmarkStart w:id="160" w:name="_Toc20611"/>
      <w:bookmarkStart w:id="161" w:name="_Toc6975"/>
      <w:bookmarkStart w:id="162" w:name="_Toc24232"/>
      <w:bookmarkStart w:id="163" w:name="_Toc21610"/>
      <w:bookmarkStart w:id="164" w:name="_Toc16173"/>
      <w:bookmarkStart w:id="165" w:name="_Toc13244"/>
      <w:bookmarkStart w:id="166" w:name="_Toc167975578"/>
      <w:bookmarkStart w:id="167" w:name="_Toc26886"/>
      <w:bookmarkStart w:id="168" w:name="_Toc30364"/>
      <w:bookmarkStart w:id="169" w:name="_Toc167701653"/>
      <w:bookmarkStart w:id="170" w:name="_Toc350865568"/>
      <w:bookmarkStart w:id="171" w:name="_Toc350865206"/>
      <w:bookmarkStart w:id="172" w:name="_Toc167701754"/>
      <w:bookmarkStart w:id="173" w:name="_Toc23423"/>
      <w:bookmarkStart w:id="174" w:name="_Toc427331239"/>
      <w:bookmarkStart w:id="175" w:name="_Toc27686"/>
      <w:r>
        <w:rPr>
          <w:rFonts w:hint="eastAsia" w:ascii="宋体" w:hAnsi="宋体"/>
          <w:b/>
          <w:bCs/>
          <w:kern w:val="44"/>
          <w:sz w:val="28"/>
          <w:szCs w:val="44"/>
          <w:highlight w:val="none"/>
        </w:rPr>
        <w:t>承包人</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AF49872">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4.1 承包人工作</w:t>
      </w:r>
    </w:p>
    <w:p w14:paraId="31802AF4">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4.1.1.完成</w:t>
      </w:r>
      <w:r>
        <w:rPr>
          <w:rFonts w:hint="eastAsia" w:ascii="宋体" w:hAnsi="Arial"/>
          <w:kern w:val="0"/>
          <w:szCs w:val="20"/>
          <w:highlight w:val="none"/>
        </w:rPr>
        <w:t>以下</w:t>
      </w:r>
      <w:r>
        <w:rPr>
          <w:rFonts w:hint="eastAsia" w:ascii="宋体" w:hAnsi="宋体"/>
          <w:kern w:val="0"/>
          <w:szCs w:val="20"/>
          <w:highlight w:val="none"/>
        </w:rPr>
        <w:t>各项承包工作：</w:t>
      </w:r>
    </w:p>
    <w:p w14:paraId="1FAFDA10">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3）对承包人工作的特别约定：按照合同约定的标准、规范、工程的功能、规模、考核目标和竣工日期，完成本合同承包范围内的深化设计、采购、施工、调试、竣工验收与竣工备案、质量保修等。</w:t>
      </w:r>
    </w:p>
    <w:p w14:paraId="634C74FD">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承包人在施工前应仔细核对发包人提供的图纸，并深刻消化、领会和接受设计图纸的设计意图。对于设计图纸存在的矛盾、缺陷或错误之处应及时书面告知发包人并等待发包人指示，若承包人未等待发包人指示或不按发包人指示执行，由此造成的工期延误及返工费用由承包人承担。</w:t>
      </w:r>
    </w:p>
    <w:p w14:paraId="6F982239">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承包人接到中标通知书后，在一个月内完成项目工程策划，并提交监理单位审核、发包人确认，经发包人审核后，由承包人组织工程策划推演。</w:t>
      </w:r>
    </w:p>
    <w:p w14:paraId="10C0D24D">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承包人需对本项目成立专门的领导小组和技术小组，领导小组需由承包人的董事长（或总经理）任组长、技术小组由承包人的总工或副总工任组长。承包人所提供的施工图纸审核意见、深化图纸、施工组织方案、安全文明措施方案需由技术小组审批后方能提供给发包人，领导小组负责有关项目重大事宜的协调工作（含安全事故、进度滞后、质量事故等）；承包人进场后一个月内需提交加盖公章的领导小组及技术小组名单（包含联系方式）给发包人。</w:t>
      </w:r>
    </w:p>
    <w:p w14:paraId="39F49680">
      <w:pPr>
        <w:adjustRightInd w:val="0"/>
        <w:snapToGrid w:val="0"/>
        <w:spacing w:line="360" w:lineRule="auto"/>
        <w:ind w:firstLine="420" w:firstLineChars="200"/>
        <w:jc w:val="left"/>
        <w:outlineLvl w:val="3"/>
        <w:rPr>
          <w:highlight w:val="none"/>
        </w:rPr>
      </w:pPr>
      <w:r>
        <w:rPr>
          <w:rFonts w:hint="eastAsia" w:ascii="宋体" w:hAnsi="宋体"/>
          <w:bCs/>
          <w:kern w:val="0"/>
          <w:szCs w:val="28"/>
          <w:highlight w:val="none"/>
          <w:u w:val="none"/>
        </w:rPr>
        <w:t>4.1.2</w:t>
      </w:r>
      <w:r>
        <w:rPr>
          <w:rFonts w:hint="eastAsia"/>
          <w:highlight w:val="none"/>
        </w:rPr>
        <w:t>对施工作业和施工方法的完备性负责</w:t>
      </w:r>
    </w:p>
    <w:p w14:paraId="05BF7848">
      <w:pPr>
        <w:numPr>
          <w:ilvl w:val="2"/>
          <w:numId w:val="0"/>
        </w:numPr>
        <w:adjustRightInd w:val="0"/>
        <w:snapToGrid w:val="0"/>
        <w:spacing w:line="360" w:lineRule="auto"/>
        <w:ind w:firstLine="420" w:firstLineChars="200"/>
        <w:jc w:val="left"/>
        <w:outlineLvl w:val="2"/>
        <w:rPr>
          <w:rFonts w:hint="eastAsia" w:ascii="宋体" w:hAnsi="宋体"/>
          <w:bCs/>
          <w:kern w:val="0"/>
          <w:szCs w:val="28"/>
          <w:highlight w:val="none"/>
          <w:u w:val="single"/>
        </w:rPr>
      </w:pPr>
      <w:r>
        <w:rPr>
          <w:rFonts w:hint="eastAsia" w:ascii="宋体" w:hAnsi="宋体"/>
          <w:bCs/>
          <w:kern w:val="0"/>
          <w:szCs w:val="28"/>
          <w:highlight w:val="none"/>
          <w:u w:val="none"/>
        </w:rPr>
        <w:t>2)</w:t>
      </w:r>
      <w:r>
        <w:rPr>
          <w:rFonts w:hint="eastAsia" w:ascii="宋体" w:hAnsi="宋体"/>
          <w:bCs/>
          <w:kern w:val="0"/>
          <w:szCs w:val="28"/>
          <w:highlight w:val="none"/>
          <w:u w:val="none"/>
        </w:rPr>
        <w:tab/>
      </w:r>
      <w:r>
        <w:rPr>
          <w:rFonts w:hint="eastAsia" w:ascii="宋体" w:hAnsi="宋体"/>
          <w:bCs/>
          <w:kern w:val="0"/>
          <w:szCs w:val="28"/>
          <w:highlight w:val="none"/>
          <w:u w:val="none"/>
        </w:rPr>
        <w:t>承包人负责办理各主管部门的相关报批报建验收手续，负责处理周边关系及相关政府部门关系，办理属于承包人承包范围内的有关证件。承包人负责办理施工临时占用道路手续并承担费用，发包人予以配合；开设临时路口、使用临时场地等保证金或押金由承包人负责缴纳，发包人配合提供有关资料。</w:t>
      </w:r>
    </w:p>
    <w:p w14:paraId="67A31823">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4.1.4.负责</w:t>
      </w:r>
      <w:r>
        <w:rPr>
          <w:rFonts w:hint="eastAsia" w:ascii="宋体" w:hAnsi="Arial"/>
          <w:kern w:val="0"/>
          <w:szCs w:val="20"/>
          <w:highlight w:val="none"/>
        </w:rPr>
        <w:t>施工</w:t>
      </w:r>
      <w:r>
        <w:rPr>
          <w:rFonts w:hint="eastAsia" w:ascii="宋体" w:hAnsi="宋体"/>
          <w:kern w:val="0"/>
          <w:szCs w:val="20"/>
          <w:highlight w:val="none"/>
        </w:rPr>
        <w:t>场地及其周边环境与生态的保护工作</w:t>
      </w:r>
    </w:p>
    <w:p w14:paraId="518B9330">
      <w:pPr>
        <w:numPr>
          <w:ilvl w:val="2"/>
          <w:numId w:val="0"/>
        </w:numPr>
        <w:adjustRightInd w:val="0"/>
        <w:snapToGrid w:val="0"/>
        <w:spacing w:line="360" w:lineRule="auto"/>
        <w:ind w:firstLine="420" w:firstLineChars="200"/>
        <w:jc w:val="left"/>
        <w:outlineLvl w:val="2"/>
        <w:rPr>
          <w:rFonts w:ascii="宋体" w:hAnsi="宋体"/>
          <w:snapToGrid w:val="0"/>
          <w:kern w:val="0"/>
          <w:szCs w:val="24"/>
          <w:highlight w:val="none"/>
        </w:rPr>
      </w:pPr>
      <w:r>
        <w:rPr>
          <w:rFonts w:hint="eastAsia" w:ascii="宋体" w:hAnsi="宋体"/>
          <w:szCs w:val="24"/>
          <w:highlight w:val="none"/>
        </w:rPr>
        <w:t>3）</w:t>
      </w:r>
      <w:r>
        <w:rPr>
          <w:rFonts w:hint="eastAsia" w:ascii="宋体" w:hAnsi="Arial"/>
          <w:kern w:val="0"/>
          <w:szCs w:val="20"/>
          <w:highlight w:val="none"/>
        </w:rPr>
        <w:t>承包人</w:t>
      </w:r>
      <w:r>
        <w:rPr>
          <w:rFonts w:hint="eastAsia" w:ascii="宋体" w:hAnsi="宋体"/>
          <w:szCs w:val="24"/>
          <w:highlight w:val="none"/>
        </w:rPr>
        <w:t>应保证施工场地清洁符合环境卫生管理的有关要求，做到工完场清，即建筑垃圾须及时清运出场，否则发包人有权另行委托他人清理，发生的费用</w:t>
      </w:r>
      <w:r>
        <w:rPr>
          <w:rFonts w:hint="eastAsia" w:ascii="宋体" w:hAnsi="宋体"/>
          <w:snapToGrid w:val="0"/>
          <w:kern w:val="0"/>
          <w:szCs w:val="24"/>
          <w:highlight w:val="none"/>
        </w:rPr>
        <w:t>由承包人双倍承担，并且承包人须向发包人承担一般违约责任。</w:t>
      </w:r>
    </w:p>
    <w:p w14:paraId="37BCEA93">
      <w:pPr>
        <w:numPr>
          <w:ilvl w:val="2"/>
          <w:numId w:val="0"/>
        </w:numPr>
        <w:adjustRightInd w:val="0"/>
        <w:snapToGrid w:val="0"/>
        <w:spacing w:line="360" w:lineRule="auto"/>
        <w:ind w:firstLine="420" w:firstLineChars="200"/>
        <w:jc w:val="left"/>
        <w:outlineLvl w:val="2"/>
        <w:rPr>
          <w:rFonts w:ascii="宋体" w:hAnsi="宋体"/>
          <w:snapToGrid w:val="0"/>
          <w:kern w:val="0"/>
          <w:szCs w:val="24"/>
          <w:highlight w:val="none"/>
        </w:rPr>
      </w:pPr>
      <w:r>
        <w:rPr>
          <w:rFonts w:hint="eastAsia" w:ascii="宋体" w:hAnsi="宋体"/>
          <w:snapToGrid w:val="0"/>
          <w:kern w:val="0"/>
          <w:szCs w:val="24"/>
          <w:highlight w:val="none"/>
        </w:rPr>
        <w:t>4)</w:t>
      </w:r>
      <w:r>
        <w:rPr>
          <w:rFonts w:hint="eastAsia" w:ascii="宋体" w:hAnsi="宋体"/>
          <w:snapToGrid w:val="0"/>
          <w:kern w:val="0"/>
          <w:szCs w:val="24"/>
          <w:highlight w:val="none"/>
        </w:rPr>
        <w:tab/>
      </w:r>
      <w:r>
        <w:rPr>
          <w:rFonts w:hint="eastAsia" w:ascii="宋体" w:hAnsi="宋体"/>
          <w:snapToGrid w:val="0"/>
          <w:kern w:val="0"/>
          <w:szCs w:val="24"/>
          <w:highlight w:val="none"/>
        </w:rPr>
        <w:t>承包人负责施工场地周围地上地下管线、观测设施和邻近建筑物、构筑物（含古树名木）等设施的保护，可能造成损害的，应当采取专项防护措施，该等保护、防护措施经发包人与物权人以及享有管理权的第三人（如有）认可后实施，相关费用已包含在合同价款内。发包人的认可并非责任主体行为，发包人不对实施防护措施的后果承担责任。如相关规定要求该等保护、防护措施在实施前需组织专家论证的，按该规定执行。</w:t>
      </w:r>
    </w:p>
    <w:p w14:paraId="2CA3F13E">
      <w:pPr>
        <w:numPr>
          <w:ilvl w:val="2"/>
          <w:numId w:val="0"/>
        </w:numPr>
        <w:adjustRightInd w:val="0"/>
        <w:snapToGrid w:val="0"/>
        <w:spacing w:line="360" w:lineRule="auto"/>
        <w:ind w:firstLine="420" w:firstLineChars="200"/>
        <w:jc w:val="left"/>
        <w:outlineLvl w:val="2"/>
        <w:rPr>
          <w:rFonts w:ascii="宋体" w:hAnsi="宋体"/>
          <w:snapToGrid w:val="0"/>
          <w:kern w:val="0"/>
          <w:szCs w:val="24"/>
          <w:highlight w:val="none"/>
        </w:rPr>
      </w:pPr>
      <w:r>
        <w:rPr>
          <w:rFonts w:hint="eastAsia" w:ascii="宋体" w:hAnsi="宋体"/>
          <w:snapToGrid w:val="0"/>
          <w:kern w:val="0"/>
          <w:szCs w:val="24"/>
          <w:highlight w:val="none"/>
        </w:rPr>
        <w:t>如发生</w:t>
      </w:r>
      <w:r>
        <w:rPr>
          <w:rFonts w:hint="eastAsia" w:ascii="宋体" w:hAnsi="Arial"/>
          <w:kern w:val="0"/>
          <w:szCs w:val="20"/>
          <w:highlight w:val="none"/>
        </w:rPr>
        <w:t>施工</w:t>
      </w:r>
      <w:r>
        <w:rPr>
          <w:rFonts w:hint="eastAsia" w:ascii="宋体" w:hAnsi="宋体"/>
          <w:snapToGrid w:val="0"/>
          <w:kern w:val="0"/>
          <w:szCs w:val="24"/>
          <w:highlight w:val="none"/>
        </w:rPr>
        <w:t>沿线路面沉降，构建筑物沉降、裂缝等受损问题，承包人应负责委托经政府及主管部门认可的第三方鉴定机构进行评估（如需），如发生诉讼、仲裁案件的，由司法机关、仲裁机构委托鉴定机构评估，并由承包人承担包括但不限于鉴定费、发包人因处理争议发生的费用、损害赔偿等所有相关费用、损失和责任。</w:t>
      </w:r>
    </w:p>
    <w:p w14:paraId="085CDAB2">
      <w:pPr>
        <w:numPr>
          <w:ilvl w:val="2"/>
          <w:numId w:val="0"/>
        </w:numPr>
        <w:adjustRightInd w:val="0"/>
        <w:snapToGrid w:val="0"/>
        <w:spacing w:line="360" w:lineRule="auto"/>
        <w:ind w:firstLine="420" w:firstLineChars="200"/>
        <w:jc w:val="left"/>
        <w:outlineLvl w:val="2"/>
        <w:rPr>
          <w:rFonts w:ascii="宋体" w:hAnsi="宋体"/>
          <w:snapToGrid w:val="0"/>
          <w:kern w:val="0"/>
          <w:szCs w:val="24"/>
          <w:highlight w:val="none"/>
        </w:rPr>
      </w:pPr>
      <w:r>
        <w:rPr>
          <w:rFonts w:hint="eastAsia" w:ascii="宋体" w:hAnsi="宋体"/>
          <w:snapToGrid w:val="0"/>
          <w:kern w:val="0"/>
          <w:szCs w:val="24"/>
          <w:highlight w:val="none"/>
        </w:rPr>
        <w:t>4.1.5.</w:t>
      </w:r>
      <w:r>
        <w:rPr>
          <w:rFonts w:hint="eastAsia" w:ascii="宋体" w:hAnsi="宋体"/>
          <w:snapToGrid w:val="0"/>
          <w:kern w:val="0"/>
          <w:szCs w:val="24"/>
          <w:highlight w:val="none"/>
        </w:rPr>
        <w:tab/>
      </w:r>
      <w:r>
        <w:rPr>
          <w:rFonts w:hint="eastAsia" w:ascii="宋体" w:hAnsi="宋体"/>
          <w:snapToGrid w:val="0"/>
          <w:kern w:val="0"/>
          <w:szCs w:val="24"/>
          <w:highlight w:val="none"/>
        </w:rPr>
        <w:tab/>
      </w:r>
      <w:r>
        <w:rPr>
          <w:rFonts w:hint="eastAsia" w:ascii="宋体" w:hAnsi="宋体"/>
          <w:snapToGrid w:val="0"/>
          <w:kern w:val="0"/>
          <w:szCs w:val="24"/>
          <w:highlight w:val="none"/>
        </w:rPr>
        <w:t>避免施工对公众与他人的利益造成损害</w:t>
      </w:r>
    </w:p>
    <w:p w14:paraId="09908845">
      <w:pPr>
        <w:numPr>
          <w:ilvl w:val="2"/>
          <w:numId w:val="0"/>
        </w:numPr>
        <w:adjustRightInd w:val="0"/>
        <w:snapToGrid w:val="0"/>
        <w:spacing w:line="360" w:lineRule="auto"/>
        <w:ind w:firstLine="420" w:firstLineChars="200"/>
        <w:jc w:val="left"/>
        <w:outlineLvl w:val="2"/>
        <w:rPr>
          <w:rFonts w:ascii="宋体" w:hAnsi="宋体"/>
          <w:snapToGrid w:val="0"/>
          <w:kern w:val="0"/>
          <w:szCs w:val="24"/>
          <w:highlight w:val="none"/>
        </w:rPr>
      </w:pPr>
      <w:r>
        <w:rPr>
          <w:rFonts w:hint="eastAsia" w:ascii="宋体" w:hAnsi="宋体"/>
          <w:snapToGrid w:val="0"/>
          <w:kern w:val="0"/>
          <w:szCs w:val="24"/>
          <w:highlight w:val="none"/>
        </w:rPr>
        <w:t>2)</w:t>
      </w:r>
      <w:r>
        <w:rPr>
          <w:rFonts w:hint="eastAsia" w:ascii="宋体" w:hAnsi="宋体"/>
          <w:snapToGrid w:val="0"/>
          <w:kern w:val="0"/>
          <w:szCs w:val="24"/>
          <w:highlight w:val="none"/>
        </w:rPr>
        <w:tab/>
      </w:r>
      <w:r>
        <w:rPr>
          <w:rFonts w:hint="eastAsia" w:ascii="宋体" w:hAnsi="宋体"/>
          <w:snapToGrid w:val="0"/>
          <w:kern w:val="0"/>
          <w:szCs w:val="24"/>
          <w:highlight w:val="none"/>
        </w:rPr>
        <w:t>承包人按本合同的约定实施本工程而应向第三方支付的扰民费、噪音费、夜间施工费等由承包人负责，已经包含在暂定合同总价、措施费及相关工作的综合单价中，不再另行计取。</w:t>
      </w:r>
    </w:p>
    <w:p w14:paraId="1B0E3316">
      <w:pPr>
        <w:numPr>
          <w:ilvl w:val="2"/>
          <w:numId w:val="0"/>
        </w:numPr>
        <w:adjustRightInd w:val="0"/>
        <w:snapToGrid w:val="0"/>
        <w:spacing w:line="360" w:lineRule="auto"/>
        <w:ind w:firstLine="420" w:firstLineChars="200"/>
        <w:jc w:val="left"/>
        <w:outlineLvl w:val="2"/>
        <w:rPr>
          <w:rFonts w:ascii="宋体" w:hAnsi="宋体"/>
          <w:snapToGrid w:val="0"/>
          <w:kern w:val="0"/>
          <w:szCs w:val="24"/>
          <w:highlight w:val="none"/>
          <w:u w:val="none"/>
        </w:rPr>
      </w:pPr>
      <w:r>
        <w:rPr>
          <w:rFonts w:hint="eastAsia" w:ascii="宋体" w:hAnsi="宋体"/>
          <w:snapToGrid w:val="0"/>
          <w:kern w:val="0"/>
          <w:szCs w:val="24"/>
          <w:highlight w:val="none"/>
          <w:u w:val="none"/>
        </w:rPr>
        <w:t>4.1.6为他人提供方便</w:t>
      </w:r>
    </w:p>
    <w:p w14:paraId="48D81086">
      <w:pPr>
        <w:numPr>
          <w:ilvl w:val="2"/>
          <w:numId w:val="0"/>
        </w:numPr>
        <w:adjustRightInd w:val="0"/>
        <w:snapToGrid w:val="0"/>
        <w:spacing w:line="360" w:lineRule="auto"/>
        <w:ind w:firstLine="420" w:firstLineChars="200"/>
        <w:jc w:val="left"/>
        <w:outlineLvl w:val="2"/>
        <w:rPr>
          <w:rFonts w:ascii="宋体" w:hAnsi="宋体"/>
          <w:snapToGrid w:val="0"/>
          <w:kern w:val="0"/>
          <w:szCs w:val="24"/>
          <w:highlight w:val="none"/>
          <w:u w:val="single"/>
        </w:rPr>
      </w:pPr>
      <w:r>
        <w:rPr>
          <w:rFonts w:hint="eastAsia" w:ascii="宋体" w:hAnsi="宋体"/>
          <w:snapToGrid w:val="0"/>
          <w:kern w:val="0"/>
          <w:szCs w:val="24"/>
          <w:highlight w:val="none"/>
          <w:u w:val="none"/>
        </w:rPr>
        <w:t>4)</w:t>
      </w:r>
      <w:r>
        <w:rPr>
          <w:rFonts w:hint="eastAsia" w:ascii="宋体" w:hAnsi="宋体"/>
          <w:snapToGrid w:val="0"/>
          <w:kern w:val="0"/>
          <w:szCs w:val="24"/>
          <w:highlight w:val="none"/>
          <w:u w:val="none"/>
        </w:rPr>
        <w:tab/>
      </w:r>
      <w:r>
        <w:rPr>
          <w:rFonts w:hint="eastAsia" w:ascii="宋体" w:hAnsi="宋体"/>
          <w:snapToGrid w:val="0"/>
          <w:kern w:val="0"/>
          <w:szCs w:val="24"/>
          <w:highlight w:val="none"/>
          <w:u w:val="none"/>
        </w:rPr>
        <w:t>承包人必须按发包人要求的时间，将施工现场的临时设施及时拆除或清理，将施工人员（特别是施工班组人员）撤离施工现场，如承包人不能及时拆除或清理，发包人或现场监理人有权派人强行拆除并清理，造成的费用及责任均由承包人负责。</w:t>
      </w:r>
    </w:p>
    <w:p w14:paraId="13114E42">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 xml:space="preserve">4.1.7. </w:t>
      </w:r>
      <w:r>
        <w:rPr>
          <w:rFonts w:hint="eastAsia" w:ascii="宋体" w:hAnsi="Arial"/>
          <w:kern w:val="0"/>
          <w:szCs w:val="20"/>
          <w:highlight w:val="none"/>
        </w:rPr>
        <w:t>工程</w:t>
      </w:r>
      <w:r>
        <w:rPr>
          <w:rFonts w:hint="eastAsia" w:ascii="宋体" w:hAnsi="宋体"/>
          <w:kern w:val="0"/>
          <w:szCs w:val="20"/>
          <w:highlight w:val="none"/>
        </w:rPr>
        <w:t>的维护和照管</w:t>
      </w:r>
    </w:p>
    <w:p w14:paraId="7F28F18D">
      <w:pPr>
        <w:adjustRightInd w:val="0"/>
        <w:snapToGrid w:val="0"/>
        <w:spacing w:line="360" w:lineRule="auto"/>
        <w:ind w:firstLine="420" w:firstLineChars="200"/>
        <w:rPr>
          <w:rFonts w:ascii="宋体" w:hAnsi="宋体"/>
          <w:szCs w:val="24"/>
          <w:highlight w:val="none"/>
          <w:u w:val="single"/>
        </w:rPr>
      </w:pPr>
      <w:r>
        <w:rPr>
          <w:rFonts w:hint="eastAsia" w:ascii="宋体" w:hAnsi="宋体"/>
          <w:szCs w:val="24"/>
          <w:highlight w:val="none"/>
        </w:rPr>
        <w:t>1）工程交付前完工工程成品保护的特殊要求及费用承担：</w:t>
      </w:r>
      <w:r>
        <w:rPr>
          <w:rFonts w:hint="eastAsia" w:ascii="宋体" w:hAnsi="宋体"/>
          <w:szCs w:val="24"/>
          <w:highlight w:val="none"/>
          <w:u w:val="none"/>
        </w:rPr>
        <w:t>本合同工程项目整体工程竣工验收合格及交付前，承包人负责本工程（包括发包人提供的材料和工程设备及发包人采购安放在现场的办公家具等）的照管和维护工作。保护期间发生损坏，承包人自费予以修复和整改；不能修复和整改的，发包人有权在工程款中扣除损坏部分所对应的金额。对于分包工程，承包人应督促并协助分包人做好成品保护工作。</w:t>
      </w:r>
    </w:p>
    <w:p w14:paraId="283B44E5">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ab/>
      </w:r>
      <w:r>
        <w:rPr>
          <w:rFonts w:hint="eastAsia" w:ascii="宋体" w:hAnsi="Arial"/>
          <w:kern w:val="0"/>
          <w:szCs w:val="20"/>
          <w:highlight w:val="none"/>
        </w:rPr>
        <w:t>4.1.9 承包人的其它义务</w:t>
      </w:r>
    </w:p>
    <w:p w14:paraId="17A6C038">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4)</w:t>
      </w:r>
      <w:r>
        <w:rPr>
          <w:rFonts w:hint="eastAsia" w:ascii="宋体" w:hAnsi="Arial"/>
          <w:kern w:val="0"/>
          <w:szCs w:val="20"/>
          <w:highlight w:val="none"/>
        </w:rPr>
        <w:tab/>
      </w:r>
      <w:r>
        <w:rPr>
          <w:rFonts w:hint="eastAsia" w:ascii="宋体" w:hAnsi="Arial"/>
          <w:kern w:val="0"/>
          <w:szCs w:val="20"/>
          <w:highlight w:val="none"/>
        </w:rPr>
        <w:t>承包人应遵守发包人发布的该项目的现场管理办法等工程管理相关制度，并积极配合发包人的供方评估，评估中发现的问题承包人应积极改进。承包人违反发包人现场管理制度有关规定的，按照发包人现场管理制度的有关规定处理。</w:t>
      </w:r>
    </w:p>
    <w:p w14:paraId="1AC98E99">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5)</w:t>
      </w:r>
      <w:r>
        <w:rPr>
          <w:rFonts w:hint="eastAsia" w:ascii="宋体" w:hAnsi="Arial"/>
          <w:kern w:val="0"/>
          <w:szCs w:val="20"/>
          <w:highlight w:val="none"/>
        </w:rPr>
        <w:tab/>
      </w:r>
      <w:r>
        <w:rPr>
          <w:rFonts w:hint="eastAsia" w:ascii="宋体" w:hAnsi="Arial"/>
          <w:kern w:val="0"/>
          <w:szCs w:val="20"/>
          <w:highlight w:val="none"/>
        </w:rPr>
        <w:t>由于承包人原因在施工场地内及其毗邻造成的第三方人身伤亡和财产损失，由承包人负责赔偿和处理。</w:t>
      </w:r>
    </w:p>
    <w:p w14:paraId="6A06C24A">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6）承包人的其他义务补充约定如下：</w:t>
      </w:r>
    </w:p>
    <w:p w14:paraId="199D6C93">
      <w:pPr>
        <w:adjustRightInd w:val="0"/>
        <w:snapToGrid w:val="0"/>
        <w:spacing w:line="360" w:lineRule="auto"/>
        <w:ind w:firstLine="420" w:firstLineChars="200"/>
        <w:rPr>
          <w:rFonts w:ascii="宋体" w:hAnsi="宋体"/>
          <w:snapToGrid w:val="0"/>
          <w:kern w:val="0"/>
          <w:szCs w:val="24"/>
          <w:highlight w:val="none"/>
          <w:u w:val="none"/>
        </w:rPr>
      </w:pPr>
      <w:r>
        <w:rPr>
          <w:rFonts w:hint="eastAsia" w:ascii="宋体" w:hAnsi="宋体"/>
          <w:snapToGrid w:val="0"/>
          <w:kern w:val="0"/>
          <w:szCs w:val="24"/>
          <w:highlight w:val="none"/>
          <w:u w:val="none"/>
        </w:rPr>
        <w:fldChar w:fldCharType="begin"/>
      </w:r>
      <w:r>
        <w:rPr>
          <w:rFonts w:hint="eastAsia" w:ascii="宋体" w:hAnsi="宋体"/>
          <w:snapToGrid w:val="0"/>
          <w:kern w:val="0"/>
          <w:szCs w:val="24"/>
          <w:highlight w:val="none"/>
          <w:u w:val="none"/>
        </w:rPr>
        <w:instrText xml:space="preserve"> = 1 \* GB3 \* MERGEFORMAT </w:instrText>
      </w:r>
      <w:r>
        <w:rPr>
          <w:rFonts w:hint="eastAsia" w:ascii="宋体" w:hAnsi="宋体"/>
          <w:snapToGrid w:val="0"/>
          <w:kern w:val="0"/>
          <w:szCs w:val="24"/>
          <w:highlight w:val="none"/>
          <w:u w:val="none"/>
        </w:rPr>
        <w:fldChar w:fldCharType="separate"/>
      </w:r>
      <w:r>
        <w:rPr>
          <w:rFonts w:hint="eastAsia" w:ascii="宋体" w:hAnsi="宋体"/>
          <w:snapToGrid w:val="0"/>
          <w:kern w:val="0"/>
          <w:szCs w:val="24"/>
          <w:highlight w:val="none"/>
          <w:u w:val="none"/>
        </w:rPr>
        <w:t>①</w:t>
      </w:r>
      <w:r>
        <w:rPr>
          <w:rFonts w:hint="eastAsia" w:ascii="宋体" w:hAnsi="宋体"/>
          <w:snapToGrid w:val="0"/>
          <w:kern w:val="0"/>
          <w:szCs w:val="24"/>
          <w:highlight w:val="none"/>
          <w:u w:val="none"/>
        </w:rPr>
        <w:fldChar w:fldCharType="end"/>
      </w:r>
      <w:r>
        <w:rPr>
          <w:rFonts w:hint="eastAsia" w:ascii="宋体" w:hAnsi="宋体"/>
          <w:snapToGrid w:val="0"/>
          <w:kern w:val="0"/>
          <w:szCs w:val="24"/>
          <w:highlight w:val="none"/>
          <w:u w:val="none"/>
        </w:rPr>
        <w:t>如本合同工程发包人要求办理过程结算，承包人应积极按发包人要求配合发包人、监理人办理过程结算。</w:t>
      </w:r>
    </w:p>
    <w:p w14:paraId="6DC4F5DA">
      <w:pPr>
        <w:adjustRightInd w:val="0"/>
        <w:snapToGrid w:val="0"/>
        <w:spacing w:line="360" w:lineRule="auto"/>
        <w:ind w:firstLine="420" w:firstLineChars="200"/>
        <w:rPr>
          <w:rFonts w:ascii="宋体" w:hAnsi="宋体"/>
          <w:snapToGrid w:val="0"/>
          <w:kern w:val="0"/>
          <w:szCs w:val="24"/>
          <w:highlight w:val="none"/>
          <w:u w:val="none"/>
        </w:rPr>
      </w:pPr>
      <w:r>
        <w:rPr>
          <w:rFonts w:hint="eastAsia" w:ascii="宋体" w:hAnsi="宋体"/>
          <w:snapToGrid w:val="0"/>
          <w:kern w:val="0"/>
          <w:szCs w:val="24"/>
          <w:highlight w:val="none"/>
          <w:u w:val="none"/>
        </w:rPr>
        <w:fldChar w:fldCharType="begin"/>
      </w:r>
      <w:r>
        <w:rPr>
          <w:rFonts w:hint="eastAsia" w:ascii="宋体" w:hAnsi="宋体"/>
          <w:snapToGrid w:val="0"/>
          <w:kern w:val="0"/>
          <w:szCs w:val="24"/>
          <w:highlight w:val="none"/>
          <w:u w:val="none"/>
        </w:rPr>
        <w:instrText xml:space="preserve"> = 2 \* GB3 \* MERGEFORMAT </w:instrText>
      </w:r>
      <w:r>
        <w:rPr>
          <w:rFonts w:hint="eastAsia" w:ascii="宋体" w:hAnsi="宋体"/>
          <w:snapToGrid w:val="0"/>
          <w:kern w:val="0"/>
          <w:szCs w:val="24"/>
          <w:highlight w:val="none"/>
          <w:u w:val="none"/>
        </w:rPr>
        <w:fldChar w:fldCharType="separate"/>
      </w:r>
      <w:r>
        <w:rPr>
          <w:rFonts w:hint="eastAsia" w:ascii="宋体" w:hAnsi="宋体"/>
          <w:snapToGrid w:val="0"/>
          <w:kern w:val="0"/>
          <w:szCs w:val="24"/>
          <w:highlight w:val="none"/>
          <w:u w:val="none"/>
        </w:rPr>
        <w:t>②</w:t>
      </w:r>
      <w:r>
        <w:rPr>
          <w:rFonts w:hint="eastAsia" w:ascii="宋体" w:hAnsi="宋体"/>
          <w:snapToGrid w:val="0"/>
          <w:kern w:val="0"/>
          <w:szCs w:val="24"/>
          <w:highlight w:val="none"/>
          <w:u w:val="none"/>
        </w:rPr>
        <w:fldChar w:fldCharType="end"/>
      </w:r>
      <w:r>
        <w:rPr>
          <w:rFonts w:hint="eastAsia" w:ascii="宋体" w:hAnsi="宋体"/>
          <w:snapToGrid w:val="0"/>
          <w:kern w:val="0"/>
          <w:szCs w:val="24"/>
          <w:highlight w:val="none"/>
          <w:u w:val="none"/>
        </w:rPr>
        <w:t>本合同实施期间，如发包人需要，则承包人须在本工程现场派驻</w:t>
      </w:r>
      <w:r>
        <w:rPr>
          <w:rFonts w:hint="eastAsia" w:ascii="宋体" w:hAnsi="宋体"/>
          <w:snapToGrid w:val="0"/>
          <w:kern w:val="0"/>
          <w:highlight w:val="none"/>
          <w:u w:val="none"/>
        </w:rPr>
        <w:t>幕墙工程专业设计人员</w:t>
      </w:r>
      <w:r>
        <w:rPr>
          <w:rFonts w:hint="eastAsia"/>
          <w:highlight w:val="none"/>
          <w:lang w:val="en-US" w:eastAsia="zh-CN"/>
        </w:rPr>
        <w:t>1</w:t>
      </w:r>
      <w:r>
        <w:rPr>
          <w:rFonts w:hint="eastAsia"/>
          <w:highlight w:val="none"/>
        </w:rPr>
        <w:t>人</w:t>
      </w:r>
      <w:r>
        <w:rPr>
          <w:rFonts w:hint="eastAsia" w:ascii="宋体" w:hAnsi="宋体"/>
          <w:snapToGrid w:val="0"/>
          <w:kern w:val="0"/>
          <w:szCs w:val="24"/>
          <w:highlight w:val="none"/>
          <w:u w:val="none"/>
        </w:rPr>
        <w:t>，以便于发包人、承包人及时沟通及协调，以保证承包人的深化设计（优化设计）成果文件能更好地体现发包人的建设意图；前述设计人员的资格资历需报发包人审批认可；</w:t>
      </w:r>
    </w:p>
    <w:p w14:paraId="28674B9B">
      <w:pPr>
        <w:adjustRightInd w:val="0"/>
        <w:snapToGrid w:val="0"/>
        <w:spacing w:line="360" w:lineRule="auto"/>
        <w:ind w:firstLine="420" w:firstLineChars="200"/>
        <w:rPr>
          <w:rFonts w:ascii="宋体" w:hAnsi="宋体"/>
          <w:snapToGrid w:val="0"/>
          <w:kern w:val="0"/>
          <w:szCs w:val="24"/>
          <w:highlight w:val="none"/>
          <w:u w:val="none"/>
        </w:rPr>
      </w:pPr>
      <w:r>
        <w:rPr>
          <w:rFonts w:hint="eastAsia" w:ascii="宋体" w:hAnsi="宋体"/>
          <w:snapToGrid w:val="0"/>
          <w:kern w:val="0"/>
          <w:szCs w:val="24"/>
          <w:highlight w:val="none"/>
          <w:u w:val="none"/>
        </w:rPr>
        <w:fldChar w:fldCharType="begin"/>
      </w:r>
      <w:r>
        <w:rPr>
          <w:rFonts w:hint="eastAsia" w:ascii="宋体" w:hAnsi="宋体"/>
          <w:snapToGrid w:val="0"/>
          <w:kern w:val="0"/>
          <w:szCs w:val="24"/>
          <w:highlight w:val="none"/>
          <w:u w:val="none"/>
        </w:rPr>
        <w:instrText xml:space="preserve"> = 3 \* GB3 \* MERGEFORMAT </w:instrText>
      </w:r>
      <w:r>
        <w:rPr>
          <w:rFonts w:hint="eastAsia" w:ascii="宋体" w:hAnsi="宋体"/>
          <w:snapToGrid w:val="0"/>
          <w:kern w:val="0"/>
          <w:szCs w:val="24"/>
          <w:highlight w:val="none"/>
          <w:u w:val="none"/>
        </w:rPr>
        <w:fldChar w:fldCharType="separate"/>
      </w:r>
      <w:r>
        <w:rPr>
          <w:rFonts w:hint="eastAsia" w:ascii="宋体" w:hAnsi="宋体"/>
          <w:snapToGrid w:val="0"/>
          <w:kern w:val="0"/>
          <w:szCs w:val="24"/>
          <w:highlight w:val="none"/>
          <w:u w:val="none"/>
        </w:rPr>
        <w:t>③</w:t>
      </w:r>
      <w:r>
        <w:rPr>
          <w:rFonts w:hint="eastAsia" w:ascii="宋体" w:hAnsi="宋体"/>
          <w:snapToGrid w:val="0"/>
          <w:kern w:val="0"/>
          <w:szCs w:val="24"/>
          <w:highlight w:val="none"/>
          <w:u w:val="none"/>
        </w:rPr>
        <w:fldChar w:fldCharType="end"/>
      </w:r>
      <w:r>
        <w:rPr>
          <w:rFonts w:hint="eastAsia" w:ascii="宋体" w:hAnsi="宋体"/>
          <w:snapToGrid w:val="0"/>
          <w:kern w:val="0"/>
          <w:szCs w:val="24"/>
          <w:highlight w:val="none"/>
          <w:u w:val="none"/>
        </w:rPr>
        <w:t>承包人不按本合同的有关约定投入现场组织管理人员、施工作业人员、施工机械设备，或者擅自变更资源投入计划或者擅自对已投入的资源进行调整的，承包人必须按照总监理工程师或者发包人的指令限期改正；</w:t>
      </w:r>
    </w:p>
    <w:p w14:paraId="26A00E53">
      <w:pPr>
        <w:adjustRightInd w:val="0"/>
        <w:snapToGrid w:val="0"/>
        <w:spacing w:line="360" w:lineRule="auto"/>
        <w:ind w:firstLine="420" w:firstLineChars="200"/>
        <w:rPr>
          <w:rFonts w:ascii="宋体" w:hAnsi="宋体"/>
          <w:snapToGrid w:val="0"/>
          <w:kern w:val="0"/>
          <w:szCs w:val="24"/>
          <w:highlight w:val="none"/>
          <w:u w:val="single"/>
        </w:rPr>
      </w:pPr>
      <w:r>
        <w:rPr>
          <w:rFonts w:hint="eastAsia" w:ascii="宋体" w:hAnsi="宋体"/>
          <w:snapToGrid w:val="0"/>
          <w:kern w:val="0"/>
          <w:szCs w:val="24"/>
          <w:highlight w:val="none"/>
          <w:u w:val="none"/>
        </w:rPr>
        <w:t>4.1.10 本项目列入承包人的公司总经理项目办公会(如有)议程，且承包人项目部应该每月不少于1次与承包人的公司总经理全面汇报一次项目情况（进度、质量、安全及资源投入），并将会议纪要或备忘录报备给发包人（项目公司），有未报备情况的，承包人承担5000元/次违约责任。</w:t>
      </w:r>
    </w:p>
    <w:p w14:paraId="7C955256">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4.2. 履约担保</w:t>
      </w:r>
    </w:p>
    <w:p w14:paraId="5EF5BBDF">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4.2.1承包人应向发包人提交保证金或提供经发包人认可的独立、不可撤销、 见索即付的银行保函作为履约担保，履约保函的格式见附件</w:t>
      </w:r>
      <w:r>
        <w:rPr>
          <w:rFonts w:hint="eastAsia" w:ascii="宋体" w:hAnsi="Arial"/>
          <w:kern w:val="0"/>
          <w:szCs w:val="20"/>
          <w:highlight w:val="none"/>
          <w:lang w:val="en-US" w:eastAsia="zh-CN"/>
        </w:rPr>
        <w:t>6</w:t>
      </w:r>
      <w:r>
        <w:rPr>
          <w:rFonts w:hint="eastAsia" w:ascii="宋体" w:hAnsi="Arial"/>
          <w:kern w:val="0"/>
          <w:szCs w:val="20"/>
          <w:highlight w:val="none"/>
        </w:rPr>
        <w:t>《履约保函》（原则上只接收国家金融监督管理总局现行发布的系统重要性银行开具的保函）。承包人应按本合同所附履约保函格式，在发包人付款前向发包人提供不可撤销银行履约保函，其对发包人的保障不得低于合同所附履约保函格式的要求。履约保函的有效期从保函开具之日起至合同项下工程竣工验收合格、结算完成且工程交付发包人（以时间较晚者为准）后第30天止。如银行出具的履约保函仅同意出具有固定期限的保函（该固定期限应经发包人认可），且保函有效期在合同约定的担保期限前届满的，则承包人应在保函到期前至少提前60 天进行续期，以确保保函有效期符合合同约定的期限。保函续期次数不限，保函续期的相关费用由承包人承担。如承包人拒绝续期或未能在保函到期日 60 天前成功续期的，则发包人有权在履约保函有效期届满前 14 天内提取该保函项下的全部担保金额或者从后续工程进度款及结算款中抵扣款项作为履约担保金额。</w:t>
      </w:r>
    </w:p>
    <w:p w14:paraId="604E1647">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4.2.3.履约保函的担保额度为本协议书第</w:t>
      </w:r>
      <w:r>
        <w:rPr>
          <w:rFonts w:hint="eastAsia" w:ascii="宋体" w:hAnsi="Arial"/>
          <w:kern w:val="0"/>
          <w:szCs w:val="20"/>
          <w:highlight w:val="none"/>
          <w:lang w:val="en-US" w:eastAsia="zh-CN"/>
        </w:rPr>
        <w:t>7</w:t>
      </w:r>
      <w:r>
        <w:rPr>
          <w:rFonts w:hint="eastAsia" w:ascii="宋体" w:hAnsi="Arial"/>
          <w:kern w:val="0"/>
          <w:szCs w:val="20"/>
          <w:highlight w:val="none"/>
        </w:rPr>
        <w:t>条</w:t>
      </w:r>
      <w:r>
        <w:rPr>
          <w:rFonts w:hint="eastAsia" w:ascii="宋体" w:hAnsi="Arial"/>
          <w:kern w:val="0"/>
          <w:szCs w:val="20"/>
          <w:highlight w:val="none"/>
          <w:lang w:val="en-US" w:eastAsia="zh-CN"/>
        </w:rPr>
        <w:t>签约价格</w:t>
      </w:r>
      <w:r>
        <w:rPr>
          <w:rFonts w:hint="eastAsia" w:ascii="宋体" w:hAnsi="Arial"/>
          <w:kern w:val="0"/>
          <w:szCs w:val="20"/>
          <w:highlight w:val="none"/>
        </w:rPr>
        <w:t>中合同暂定金额的 10 %。</w:t>
      </w:r>
    </w:p>
    <w:p w14:paraId="6782CD3C">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4.2.4 承包人应承担的各项违约金、赔偿金及其他任何费用，发包人均有权从履约担保中直接提取。如承包人被发包人提取履约保函项下金额而不解除合同的，承包人应在接到发包人关于提取履约保函项下金额的通知后10天内补足被提取的履约保函金额，发包人亦可从应付合同价款中直接扣除相应金额补足履约保函金额。</w:t>
      </w:r>
    </w:p>
    <w:p w14:paraId="56BEF7DC">
      <w:pPr>
        <w:numPr>
          <w:ilvl w:val="1"/>
          <w:numId w:val="0"/>
        </w:numPr>
        <w:adjustRightInd w:val="0"/>
        <w:snapToGrid w:val="0"/>
        <w:spacing w:line="360" w:lineRule="auto"/>
        <w:jc w:val="left"/>
        <w:outlineLvl w:val="1"/>
        <w:rPr>
          <w:rFonts w:ascii="宋体" w:hAnsi="宋体"/>
          <w:b/>
          <w:bCs/>
          <w:kern w:val="0"/>
          <w:szCs w:val="21"/>
          <w:highlight w:val="none"/>
        </w:rPr>
      </w:pPr>
      <w:r>
        <w:rPr>
          <w:rFonts w:ascii="宋体" w:hAnsi="宋体"/>
          <w:b/>
          <w:bCs/>
          <w:kern w:val="0"/>
          <w:szCs w:val="21"/>
          <w:highlight w:val="none"/>
        </w:rPr>
        <w:t>4.3</w:t>
      </w:r>
      <w:r>
        <w:rPr>
          <w:rFonts w:hint="eastAsia" w:ascii="宋体" w:hAnsi="宋体"/>
          <w:b/>
          <w:bCs/>
          <w:kern w:val="0"/>
          <w:szCs w:val="21"/>
          <w:highlight w:val="none"/>
        </w:rPr>
        <w:t>分包</w:t>
      </w:r>
    </w:p>
    <w:p w14:paraId="36A430FF">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4.3.3.工程转包、承包人挂靠的违约责任：承包人转包工程或挂靠的，必须终止转包、挂靠；发包人有权要求承包人支付</w:t>
      </w:r>
      <w:r>
        <w:rPr>
          <w:rFonts w:hint="eastAsia" w:ascii="宋体" w:hAnsi="宋体"/>
          <w:color w:val="000000"/>
          <w:kern w:val="0"/>
          <w:szCs w:val="20"/>
          <w:highlight w:val="none"/>
        </w:rPr>
        <w:t>合同暂定总价</w:t>
      </w:r>
      <w:r>
        <w:rPr>
          <w:rFonts w:hint="eastAsia" w:ascii="宋体" w:hAnsi="宋体"/>
          <w:color w:val="000000"/>
          <w:kern w:val="0"/>
          <w:szCs w:val="20"/>
          <w:highlight w:val="none"/>
          <w:lang w:val="en-US" w:eastAsia="zh-CN"/>
        </w:rPr>
        <w:t>10</w:t>
      </w:r>
      <w:r>
        <w:rPr>
          <w:rFonts w:ascii="宋体" w:hAnsi="宋体"/>
          <w:color w:val="000000"/>
          <w:kern w:val="0"/>
          <w:szCs w:val="20"/>
          <w:highlight w:val="none"/>
        </w:rPr>
        <w:t>%</w:t>
      </w:r>
      <w:r>
        <w:rPr>
          <w:rFonts w:hint="eastAsia" w:ascii="宋体" w:hAnsi="Arial"/>
          <w:kern w:val="0"/>
          <w:szCs w:val="20"/>
          <w:highlight w:val="none"/>
        </w:rPr>
        <w:t>的违约金，同时发包人还有权选择单方全部或部分解除合同；承包人转包、挂靠造成发包人损失的，由承包人负责全额赔偿。</w:t>
      </w:r>
    </w:p>
    <w:p w14:paraId="39C65B43">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宋体" w:hAnsi="Arial"/>
          <w:snapToGrid w:val="0"/>
          <w:kern w:val="0"/>
          <w:szCs w:val="20"/>
          <w:highlight w:val="none"/>
        </w:rPr>
        <w:t>4.3.4承包人本工程所有劳务分包合同必须报发包人备案，承包人必须确保分包人为派驻现场人员购买社保和合同专用条款第20条规定的保险。</w:t>
      </w:r>
    </w:p>
    <w:p w14:paraId="53769179">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4.3.5.承包人存在下列情形之一的属于违法分包：</w:t>
      </w:r>
    </w:p>
    <w:p w14:paraId="06A012AE">
      <w:pPr>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①承包人将其承包的工程分包给个人的；</w:t>
      </w:r>
    </w:p>
    <w:p w14:paraId="24D9DF05">
      <w:pPr>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②专业承包单位将工程分包给不具备相应资质单位的；</w:t>
      </w:r>
    </w:p>
    <w:p w14:paraId="244CC4F5">
      <w:pPr>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③专业分包单位将其承包的专业工程中非劳务作业部分再分包的；</w:t>
      </w:r>
    </w:p>
    <w:p w14:paraId="777BD278">
      <w:pPr>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④承包人将工程主体结构专业分包的；</w:t>
      </w:r>
    </w:p>
    <w:p w14:paraId="0649BC64">
      <w:pPr>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⑤未经发包人同意擅自分包；</w:t>
      </w:r>
    </w:p>
    <w:p w14:paraId="09BD6D0A">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⑥法律法规规定的其他属于违法分包情形的。</w:t>
      </w:r>
    </w:p>
    <w:p w14:paraId="0E54DD08">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4.3.6.建设</w:t>
      </w:r>
      <w:r>
        <w:rPr>
          <w:rFonts w:hint="eastAsia" w:ascii="宋体" w:hAnsi="Arial"/>
          <w:kern w:val="0"/>
          <w:szCs w:val="20"/>
          <w:highlight w:val="none"/>
        </w:rPr>
        <w:t>工程项目</w:t>
      </w:r>
      <w:r>
        <w:rPr>
          <w:rFonts w:hint="eastAsia" w:ascii="Times New Roman" w:hAnsi="Times New Roman"/>
          <w:szCs w:val="24"/>
          <w:highlight w:val="none"/>
        </w:rPr>
        <w:t>禁止转包或肢解后以分包名义进行转包。承包人存在下列情形之一的应认定为转包：</w:t>
      </w:r>
    </w:p>
    <w:p w14:paraId="74F494D1">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①承包人将其承包的全部工程转给其他单位或个人施工的；</w:t>
      </w:r>
    </w:p>
    <w:p w14:paraId="0BBBC360">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②承包人将其承包的全部工程肢解以后，以分包的名义分别转给其他单位或个人施工的；</w:t>
      </w:r>
    </w:p>
    <w:p w14:paraId="4AE50278">
      <w:pPr>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③承包人通过采取合作、联营、个人承包等形式或名义，直接或变相将其他承包的全部工程转给其他单位或个人施工的。</w:t>
      </w:r>
    </w:p>
    <w:p w14:paraId="558D3DBD">
      <w:pPr>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4.3.7. 承包人存在下列情形之一的，属于挂靠行为：</w:t>
      </w:r>
    </w:p>
    <w:p w14:paraId="3E6705F7">
      <w:pPr>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①承包单位将其承包的工程分包给个人的；</w:t>
      </w:r>
    </w:p>
    <w:p w14:paraId="21EC5F09">
      <w:pPr>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②施工总承包单位或专业承包单位将工程分包给不具备相应资质单位的；</w:t>
      </w:r>
    </w:p>
    <w:p w14:paraId="50E51D59">
      <w:pPr>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③施工总承包单位将施工总承包合同范围内工程主体结构的施工分包给其他单位的，钢结构工程除外；</w:t>
      </w:r>
    </w:p>
    <w:p w14:paraId="09568A40">
      <w:pPr>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④专业分包单位将其承包的专业工程中非劳务作业部分再分包的；</w:t>
      </w:r>
    </w:p>
    <w:p w14:paraId="4AA984BA">
      <w:pPr>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⑤专业作业承包人将其承包的劳务再分包的；</w:t>
      </w:r>
    </w:p>
    <w:p w14:paraId="2F2942E1">
      <w:pPr>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⑥专业作业承包人除计取劳务作业费用外，还计取主要建筑材料款和大中型施工机械设备、主要周转材料费用的。</w:t>
      </w:r>
    </w:p>
    <w:p w14:paraId="0EA17297">
      <w:pPr>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⑦法律法规规定的其他属于违法挂靠情形的。</w:t>
      </w:r>
    </w:p>
    <w:p w14:paraId="3D95D48B">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4.4. 承包人项目经理</w:t>
      </w:r>
    </w:p>
    <w:p w14:paraId="35B72318">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 xml:space="preserve">4.4.1. </w:t>
      </w:r>
      <w:r>
        <w:rPr>
          <w:rFonts w:hint="eastAsia" w:ascii="宋体" w:hAnsi="Arial"/>
          <w:kern w:val="0"/>
          <w:szCs w:val="20"/>
          <w:highlight w:val="none"/>
        </w:rPr>
        <w:t>承包人</w:t>
      </w:r>
      <w:r>
        <w:rPr>
          <w:rFonts w:hint="eastAsia" w:ascii="宋体" w:hAnsi="宋体"/>
          <w:kern w:val="0"/>
          <w:szCs w:val="20"/>
          <w:highlight w:val="none"/>
        </w:rPr>
        <w:t>项目经理的姓名：</w:t>
      </w:r>
      <w:r>
        <w:rPr>
          <w:rFonts w:hint="eastAsia" w:ascii="宋体" w:hAnsi="Arial"/>
          <w:kern w:val="0"/>
          <w:szCs w:val="20"/>
          <w:highlight w:val="none"/>
          <w:u w:val="single"/>
        </w:rPr>
        <w:t xml:space="preserve">             </w:t>
      </w:r>
      <w:r>
        <w:rPr>
          <w:rFonts w:hint="eastAsia" w:ascii="宋体" w:hAnsi="宋体"/>
          <w:kern w:val="0"/>
          <w:szCs w:val="20"/>
          <w:highlight w:val="none"/>
        </w:rPr>
        <w:t>，职务：</w:t>
      </w:r>
      <w:r>
        <w:rPr>
          <w:rFonts w:hint="eastAsia" w:ascii="宋体" w:hAnsi="Arial"/>
          <w:kern w:val="0"/>
          <w:szCs w:val="20"/>
          <w:highlight w:val="none"/>
          <w:u w:val="single"/>
        </w:rPr>
        <w:t xml:space="preserve">          </w:t>
      </w:r>
      <w:r>
        <w:rPr>
          <w:rFonts w:hint="eastAsia" w:ascii="宋体" w:hAnsi="宋体"/>
          <w:kern w:val="0"/>
          <w:szCs w:val="20"/>
          <w:highlight w:val="none"/>
        </w:rPr>
        <w:t>，联系电话：</w:t>
      </w:r>
      <w:r>
        <w:rPr>
          <w:rFonts w:hint="eastAsia" w:ascii="宋体" w:hAnsi="Arial"/>
          <w:kern w:val="0"/>
          <w:szCs w:val="20"/>
          <w:highlight w:val="none"/>
          <w:u w:val="single"/>
        </w:rPr>
        <w:t xml:space="preserve">                </w:t>
      </w:r>
      <w:r>
        <w:rPr>
          <w:rFonts w:hint="eastAsia" w:ascii="宋体" w:hAnsi="Arial"/>
          <w:kern w:val="0"/>
          <w:szCs w:val="20"/>
          <w:highlight w:val="none"/>
        </w:rPr>
        <w:t>。</w:t>
      </w:r>
    </w:p>
    <w:p w14:paraId="2855D4C0">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宋体"/>
          <w:kern w:val="0"/>
          <w:szCs w:val="20"/>
          <w:highlight w:val="none"/>
        </w:rPr>
        <w:t>4.4.3. 对</w:t>
      </w:r>
      <w:r>
        <w:rPr>
          <w:rFonts w:hint="eastAsia" w:ascii="宋体" w:hAnsi="Arial"/>
          <w:kern w:val="0"/>
          <w:szCs w:val="20"/>
          <w:highlight w:val="none"/>
        </w:rPr>
        <w:t>承包人</w:t>
      </w:r>
      <w:r>
        <w:rPr>
          <w:rFonts w:hint="eastAsia" w:ascii="宋体" w:hAnsi="宋体"/>
          <w:kern w:val="0"/>
          <w:szCs w:val="20"/>
          <w:highlight w:val="none"/>
        </w:rPr>
        <w:t>项目经理的管理要求：</w:t>
      </w:r>
      <w:r>
        <w:rPr>
          <w:rFonts w:hint="eastAsia" w:ascii="宋体" w:hAnsi="Arial"/>
          <w:kern w:val="0"/>
          <w:szCs w:val="20"/>
          <w:highlight w:val="none"/>
        </w:rPr>
        <w:t>本合同中明确的项目经理，不得擅自变更。</w:t>
      </w:r>
    </w:p>
    <w:p w14:paraId="66E96D8B">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4.5</w:t>
      </w:r>
      <w:r>
        <w:rPr>
          <w:rFonts w:hint="eastAsia" w:ascii="宋体" w:hAnsi="宋体"/>
          <w:b/>
          <w:bCs/>
          <w:kern w:val="0"/>
          <w:szCs w:val="21"/>
          <w:highlight w:val="none"/>
        </w:rPr>
        <w:tab/>
      </w:r>
      <w:r>
        <w:rPr>
          <w:rFonts w:hint="eastAsia" w:ascii="宋体" w:hAnsi="宋体"/>
          <w:b/>
          <w:bCs/>
          <w:kern w:val="0"/>
          <w:szCs w:val="21"/>
          <w:highlight w:val="none"/>
        </w:rPr>
        <w:t>承包人人员的管理</w:t>
      </w:r>
    </w:p>
    <w:p w14:paraId="7E6E59BC">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4.5.1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发包人对于其组成人员有异议的，承包人应提供证据证明被质疑人员有能力完成其岗位工作。</w:t>
      </w:r>
    </w:p>
    <w:p w14:paraId="026ACF0F">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宋体"/>
          <w:kern w:val="0"/>
          <w:szCs w:val="20"/>
          <w:highlight w:val="none"/>
        </w:rPr>
        <w:t>4.5.2</w:t>
      </w:r>
      <w:r>
        <w:rPr>
          <w:rFonts w:hint="eastAsia" w:ascii="宋体" w:hAnsi="Arial"/>
          <w:kern w:val="0"/>
          <w:szCs w:val="20"/>
          <w:highlight w:val="none"/>
        </w:rPr>
        <w:t>为完成合同约定的各项工作，承包人应向施工场地派遣或雇佣足够数量的下列人员：承包人应按投标文件中承诺的项目团队配置标准和数量为本工程施工场地配置人员，详见本合同附件</w:t>
      </w:r>
      <w:r>
        <w:rPr>
          <w:rFonts w:hint="eastAsia" w:ascii="宋体" w:hAnsi="Arial"/>
          <w:kern w:val="0"/>
          <w:szCs w:val="20"/>
          <w:highlight w:val="none"/>
          <w:lang w:val="en-US" w:eastAsia="zh-CN"/>
        </w:rPr>
        <w:t>12</w:t>
      </w:r>
      <w:r>
        <w:rPr>
          <w:rFonts w:hint="eastAsia" w:ascii="宋体" w:hAnsi="Arial"/>
          <w:kern w:val="0"/>
          <w:szCs w:val="20"/>
          <w:highlight w:val="none"/>
        </w:rPr>
        <w:t>《拟投人员一览表》。</w:t>
      </w:r>
    </w:p>
    <w:p w14:paraId="4B033BC5">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4.5.6如</w:t>
      </w:r>
      <w:r>
        <w:rPr>
          <w:rFonts w:hint="eastAsia" w:ascii="宋体" w:hAnsi="Arial"/>
          <w:kern w:val="0"/>
          <w:szCs w:val="20"/>
          <w:highlight w:val="none"/>
        </w:rPr>
        <w:t>承包人</w:t>
      </w:r>
      <w:r>
        <w:rPr>
          <w:rFonts w:hint="eastAsia" w:ascii="宋体" w:hAnsi="宋体"/>
          <w:kern w:val="0"/>
          <w:szCs w:val="20"/>
          <w:highlight w:val="none"/>
        </w:rPr>
        <w:t>投入的人员数量、业务水平、专业配置等不能满足工作所需时，发包人有权要求承包人聘请符合工作所需要的工程技术管理人员作为承包人从事本工程施工管理工作的人员；所聘请工程技术管理人员的工资待遇由承包人与所聘人员协商确定，相关费用已包括在本工程合同价内，由承包人向所聘用人员支付。</w:t>
      </w:r>
    </w:p>
    <w:p w14:paraId="30CEDBC1">
      <w:pPr>
        <w:numPr>
          <w:ilvl w:val="2"/>
          <w:numId w:val="0"/>
        </w:numPr>
        <w:adjustRightInd w:val="0"/>
        <w:snapToGrid w:val="0"/>
        <w:spacing w:line="360" w:lineRule="auto"/>
        <w:ind w:firstLine="420" w:firstLineChars="200"/>
        <w:jc w:val="left"/>
        <w:outlineLvl w:val="2"/>
        <w:rPr>
          <w:rFonts w:ascii="Times New Roman" w:hAnsi="宋体"/>
          <w:szCs w:val="24"/>
          <w:highlight w:val="none"/>
        </w:rPr>
      </w:pPr>
      <w:r>
        <w:rPr>
          <w:rFonts w:hint="eastAsia" w:ascii="Times New Roman" w:hAnsi="宋体"/>
          <w:szCs w:val="24"/>
          <w:highlight w:val="none"/>
        </w:rPr>
        <w:t>4.5.7承包人所</w:t>
      </w:r>
      <w:r>
        <w:rPr>
          <w:rFonts w:hint="eastAsia" w:ascii="宋体" w:hAnsi="Arial"/>
          <w:kern w:val="0"/>
          <w:szCs w:val="20"/>
          <w:highlight w:val="none"/>
        </w:rPr>
        <w:t>投入</w:t>
      </w:r>
      <w:r>
        <w:rPr>
          <w:rFonts w:hint="eastAsia" w:ascii="Times New Roman" w:hAnsi="宋体"/>
          <w:szCs w:val="24"/>
          <w:highlight w:val="none"/>
        </w:rPr>
        <w:t>的工程管理人员和工程技术人员应与投标文件保持一致，发包人不要求更换时不得更换，因特殊情况需要更换的，承包人应至少提前7天以书面形式向监理人提出意向（附前任和后任人员的详细履历资料），经监理工程师签署意见后向发包人提出申请，并征得发包人同意。承包人必须保证后任人员的资质、资历、业绩、实际工作能力不低于前任人员的素质。即使发包人同意更换，也不免除承包人应承担的违约责任。</w:t>
      </w:r>
    </w:p>
    <w:p w14:paraId="64888668">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4.5.8承包人的所有管理人员均应向发包人提供不少于六个月在承包人公司的社保证明。</w:t>
      </w:r>
    </w:p>
    <w:p w14:paraId="57EA9C50">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4.5.9.承包人</w:t>
      </w:r>
      <w:r>
        <w:rPr>
          <w:rFonts w:hint="eastAsia" w:ascii="宋体" w:hAnsi="Arial"/>
          <w:kern w:val="0"/>
          <w:szCs w:val="20"/>
          <w:highlight w:val="none"/>
        </w:rPr>
        <w:t>参与</w:t>
      </w:r>
      <w:r>
        <w:rPr>
          <w:rFonts w:hint="eastAsia" w:ascii="宋体" w:hAnsi="宋体"/>
          <w:kern w:val="0"/>
          <w:szCs w:val="20"/>
          <w:highlight w:val="none"/>
        </w:rPr>
        <w:t>本项目承建的主要管理人员及团队需经发包人指定的项目负责人进行专业性的面试及考核合格后才能进场，如考核面试不合格，承包人须在规定时间内向发包人提供合格的对应岗位管理人员。</w:t>
      </w:r>
    </w:p>
    <w:p w14:paraId="4253DA15">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4.5.10．</w:t>
      </w:r>
      <w:r>
        <w:rPr>
          <w:rFonts w:hint="eastAsia" w:ascii="宋体" w:hAnsi="Arial"/>
          <w:kern w:val="0"/>
          <w:szCs w:val="20"/>
          <w:highlight w:val="none"/>
        </w:rPr>
        <w:t>承包人</w:t>
      </w:r>
      <w:r>
        <w:rPr>
          <w:rFonts w:hint="eastAsia" w:ascii="宋体" w:hAnsi="宋体"/>
          <w:kern w:val="0"/>
          <w:szCs w:val="20"/>
          <w:highlight w:val="none"/>
        </w:rPr>
        <w:t>施工期间配置1名专职造价负责人，竣工验收前60天至结算申报前至少配置2个专职造价人员，主管负责人上岗及更换应征求发包人意见，并经发包人同意。</w:t>
      </w:r>
    </w:p>
    <w:p w14:paraId="3566183A">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4.6. 撤换承包人项目经理和其他人员</w:t>
      </w:r>
    </w:p>
    <w:p w14:paraId="2FC2E250">
      <w:pPr>
        <w:numPr>
          <w:ilvl w:val="2"/>
          <w:numId w:val="0"/>
        </w:numPr>
        <w:adjustRightInd w:val="0"/>
        <w:snapToGrid w:val="0"/>
        <w:spacing w:line="360" w:lineRule="auto"/>
        <w:ind w:firstLine="420" w:firstLineChars="200"/>
        <w:jc w:val="left"/>
        <w:outlineLvl w:val="2"/>
        <w:rPr>
          <w:rFonts w:ascii="宋体" w:hAnsi="宋体"/>
          <w:kern w:val="0"/>
          <w:szCs w:val="20"/>
          <w:highlight w:val="none"/>
          <w:u w:val="single"/>
        </w:rPr>
      </w:pPr>
      <w:r>
        <w:rPr>
          <w:rFonts w:hint="eastAsia" w:ascii="宋体" w:hAnsi="宋体"/>
          <w:kern w:val="0"/>
          <w:szCs w:val="20"/>
          <w:highlight w:val="none"/>
        </w:rPr>
        <w:t>4.6.2. 当</w:t>
      </w:r>
      <w:r>
        <w:rPr>
          <w:rFonts w:hint="eastAsia" w:ascii="宋体" w:hAnsi="Arial"/>
          <w:kern w:val="0"/>
          <w:szCs w:val="20"/>
          <w:highlight w:val="none"/>
        </w:rPr>
        <w:t>发包人</w:t>
      </w:r>
      <w:r>
        <w:rPr>
          <w:rFonts w:hint="eastAsia" w:ascii="宋体" w:hAnsi="宋体"/>
          <w:kern w:val="0"/>
          <w:szCs w:val="20"/>
          <w:highlight w:val="none"/>
        </w:rPr>
        <w:t>或监理人认为承包人项目经理及管理人员不称职时，有权要求承包人进行替换。承包人在收到发包人的书面要求后，应在  7  天内递交更换相关人员的相关资料，经发包人审核确认后到岗，承包人必须保证不因人员更换而使工程受到任何影响。未经发包人书面同意，承包人被更换员工不得再在本工程从事任何工作。</w:t>
      </w:r>
    </w:p>
    <w:p w14:paraId="7F7D85A2">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4.7.保障承包人人员合法权益</w:t>
      </w:r>
    </w:p>
    <w:p w14:paraId="32952801">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4.7.4承包人应按有关法律规定和合同约定，为其雇佣人员办理保险。</w:t>
      </w:r>
    </w:p>
    <w:p w14:paraId="5206D69D">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4.7.5.</w:t>
      </w:r>
      <w:r>
        <w:rPr>
          <w:rFonts w:hint="eastAsia" w:ascii="宋体" w:hAnsi="宋体"/>
          <w:kern w:val="0"/>
          <w:szCs w:val="20"/>
          <w:highlight w:val="none"/>
        </w:rPr>
        <w:tab/>
      </w:r>
      <w:r>
        <w:rPr>
          <w:rFonts w:hint="eastAsia" w:ascii="宋体" w:hAnsi="宋体"/>
          <w:kern w:val="0"/>
          <w:szCs w:val="20"/>
          <w:highlight w:val="none"/>
        </w:rPr>
        <w:tab/>
      </w:r>
      <w:r>
        <w:rPr>
          <w:rFonts w:hint="eastAsia" w:ascii="宋体" w:hAnsi="宋体"/>
          <w:kern w:val="0"/>
          <w:szCs w:val="20"/>
          <w:highlight w:val="none"/>
        </w:rPr>
        <w:t>承包人应负责妥善处理其雇佣人员因工伤亡事故的善后事宜，保障发包人和本工程不因其遭受任何滋扰、保障发包人不发生任何费用、损失。</w:t>
      </w:r>
    </w:p>
    <w:p w14:paraId="77981DCE">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4.7.6 对工人</w:t>
      </w:r>
      <w:r>
        <w:rPr>
          <w:rFonts w:hint="eastAsia" w:ascii="宋体" w:hAnsi="Arial"/>
          <w:kern w:val="0"/>
          <w:szCs w:val="20"/>
          <w:highlight w:val="none"/>
        </w:rPr>
        <w:t>工资</w:t>
      </w:r>
      <w:r>
        <w:rPr>
          <w:rFonts w:hint="eastAsia" w:ascii="宋体" w:hAnsi="宋体"/>
          <w:kern w:val="0"/>
          <w:szCs w:val="20"/>
          <w:highlight w:val="none"/>
        </w:rPr>
        <w:t>的约定</w:t>
      </w:r>
    </w:p>
    <w:p w14:paraId="6DBDD6AD">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4.7.6.1承包人应根据《工程建设领域农民工工资专用账户管理暂行办法》等相关法规、政策的要求，在项目所在地银行开立设立专项用于支付农民工工人工资的专用账户，该账户与其他款项实行分开银行账户管理，若工程所在地对非总包自行施工工程的工人工资支付有相关要求的，承包人应积极配合满足相关部门的管理要求，包括但不限于工程施工期间发布的相关要求。此部分费用在总报价中综合考虑。工人工资支付专用账户内的资金除发放工人工资外，不得用于其他用途，不得开通网上银行等电子支付渠道，不得提取现金。承包人设立的工人工资支付专用账户信息（开户银行名称及账号），承包人必须在本合同签订后、发包人第一次支付款项前提供给发包人。</w:t>
      </w:r>
    </w:p>
    <w:p w14:paraId="35E6AC89">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4.7.6.2承包人应严格执行政府颁发的《建筑工人实名制管理办法》的相关要求，必须对所有进场建筑工人进行实名制管理，将施工人员名单造册提交发包人监督，发生施工人员变动时必须及时提交变更后名单；因未提交施工人员名单或名单不准确的，在发生欠薪讨薪事件时，以发包人认定的施工人员范围为准；承包人并应为每一位工人办理工资个人账户，建立工人工资支付台账，每月定期将工资直接支付给工人本人。发包人有权（但无义务）对建筑工人的个人银行账户的真实性和承包人的工资发放进行检查监督。</w:t>
      </w:r>
    </w:p>
    <w:p w14:paraId="1306A64B">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4.7.6.3承包人应当配备劳资专管员，对承包人自行施工及分包单位的劳动用工实施监督管理，掌握施工现场用工、考勤、工资支付等情况，审核分包单位编制的农民工工资支付表，分包单位应当予以配合。承包人、分包单位应当建立工人考勤、工资结算和支付等管理台账，存档备查，并将相关信息按月报送建设行业主管部门，并保存至工程完工且工资全部结清后至少3年。工人考勤明细表应当在施工现场公示栏进行公示，公示期不少于5天，工人考勤和工资结算明细表须经工人签名确认。</w:t>
      </w:r>
    </w:p>
    <w:p w14:paraId="2F686FB2">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4.7.6.4</w:t>
      </w:r>
      <w:r>
        <w:rPr>
          <w:rFonts w:hint="eastAsia" w:ascii="宋体" w:hAnsi="宋体"/>
          <w:kern w:val="0"/>
          <w:szCs w:val="20"/>
          <w:highlight w:val="none"/>
          <w:lang w:eastAsia="zh-CN"/>
        </w:rPr>
        <w:t>承</w:t>
      </w:r>
      <w:r>
        <w:rPr>
          <w:rFonts w:hint="eastAsia" w:ascii="宋体" w:hAnsi="宋体"/>
          <w:kern w:val="0"/>
          <w:szCs w:val="20"/>
          <w:highlight w:val="none"/>
        </w:rPr>
        <w:t>包人每期申请进度款时，</w:t>
      </w:r>
      <w:r>
        <w:rPr>
          <w:rFonts w:hint="eastAsia" w:ascii="宋体" w:hAnsi="宋体"/>
          <w:kern w:val="0"/>
          <w:szCs w:val="20"/>
          <w:highlight w:val="none"/>
          <w:lang w:val="en-US" w:eastAsia="zh-CN"/>
        </w:rPr>
        <w:t>发</w:t>
      </w:r>
      <w:r>
        <w:rPr>
          <w:rFonts w:hint="eastAsia" w:ascii="宋体" w:hAnsi="宋体"/>
          <w:kern w:val="0"/>
          <w:szCs w:val="20"/>
          <w:highlight w:val="none"/>
        </w:rPr>
        <w:t>包人按照</w:t>
      </w:r>
      <w:r>
        <w:rPr>
          <w:rFonts w:hint="eastAsia" w:ascii="宋体" w:hAnsi="宋体"/>
          <w:kern w:val="0"/>
          <w:szCs w:val="20"/>
          <w:highlight w:val="none"/>
          <w:lang w:eastAsia="zh-CN"/>
        </w:rPr>
        <w:t>承</w:t>
      </w:r>
      <w:r>
        <w:rPr>
          <w:rFonts w:hint="eastAsia" w:ascii="宋体" w:hAnsi="宋体"/>
          <w:kern w:val="0"/>
          <w:szCs w:val="20"/>
          <w:highlight w:val="none"/>
        </w:rPr>
        <w:t>包人提供并经发包人审批确认后的农民工工资费用数额，且在合同约定的付款条件满足后向</w:t>
      </w:r>
      <w:r>
        <w:rPr>
          <w:rFonts w:hint="eastAsia" w:ascii="宋体" w:hAnsi="宋体"/>
          <w:kern w:val="0"/>
          <w:szCs w:val="20"/>
          <w:highlight w:val="none"/>
          <w:lang w:eastAsia="zh-CN"/>
        </w:rPr>
        <w:t>承</w:t>
      </w:r>
      <w:r>
        <w:rPr>
          <w:rFonts w:hint="eastAsia" w:ascii="宋体" w:hAnsi="宋体"/>
          <w:kern w:val="0"/>
          <w:szCs w:val="20"/>
          <w:highlight w:val="none"/>
        </w:rPr>
        <w:t>包人拨付工人工资款项。</w:t>
      </w:r>
    </w:p>
    <w:p w14:paraId="2E842BD2">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4.7.6.5如因进度款不足、用工量增加等原因导致专用账户余额不足以按时足额支付农民工工资时，且承包人仍有待支付额度空间的，由承包人提出需增加人工费用数额的申请，经发包人审批同意后及时追加拨付。</w:t>
      </w:r>
    </w:p>
    <w:p w14:paraId="794BB8F9">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4.7.6.6承包人</w:t>
      </w:r>
      <w:r>
        <w:rPr>
          <w:rFonts w:hint="eastAsia" w:ascii="宋体" w:hAnsi="Arial"/>
          <w:kern w:val="0"/>
          <w:szCs w:val="20"/>
          <w:highlight w:val="none"/>
        </w:rPr>
        <w:t>设立</w:t>
      </w:r>
      <w:r>
        <w:rPr>
          <w:rFonts w:hint="eastAsia" w:ascii="宋体" w:hAnsi="宋体"/>
          <w:kern w:val="0"/>
          <w:szCs w:val="20"/>
          <w:highlight w:val="none"/>
        </w:rPr>
        <w:t>工人工资支付专用账户、按时足额支付工人工资，不得拖欠工人工资或影响发包人施工许可证办理及施工进度等。否则，发包人有权从应付承包人的工程款中直接向工人支付工资，可以按照工人的主张和工人提供的初步证明资料（如银行流水）确定发放金额，但发包人不对金额的正确性负责，承包人有异议的，应自行与工人协商解决。</w:t>
      </w:r>
    </w:p>
    <w:p w14:paraId="5BBB542F">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4.7.6.7 承包人应当按照有关规定存储工资保证金，专项用于支付为所承包工程提供劳动的农民工被拖欠的工资。</w:t>
      </w:r>
    </w:p>
    <w:p w14:paraId="0FC30A22">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4.7.6.8 承包人与发包人或者分包人因工程数量、质量、造价等产生争议的，承包人也不得因争议不按照合同约定发放工人工资。</w:t>
      </w:r>
    </w:p>
    <w:p w14:paraId="1949755A">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4.7.6.9凡是</w:t>
      </w:r>
      <w:r>
        <w:rPr>
          <w:rFonts w:hint="eastAsia" w:ascii="宋体" w:hAnsi="Arial"/>
          <w:kern w:val="0"/>
          <w:szCs w:val="20"/>
          <w:highlight w:val="none"/>
        </w:rPr>
        <w:t>承包人</w:t>
      </w:r>
      <w:r>
        <w:rPr>
          <w:rFonts w:hint="eastAsia" w:ascii="宋体" w:hAnsi="宋体"/>
          <w:kern w:val="0"/>
          <w:szCs w:val="20"/>
          <w:highlight w:val="none"/>
        </w:rPr>
        <w:t>不按合同及有关规定按时足额支付相关款项（包括但不限于施工人员工资、分包单位合同价款、设备材料采购货款等）而出现纠纷影响到发包人或政府有关部门的，承包人除应遵守本合同其它条款的约定外，还必须优先服从发包人的以下措施和指令：</w:t>
      </w:r>
    </w:p>
    <w:p w14:paraId="0E4FDD10">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①承包人须在接到发包人通知后1小时内将工人领回；</w:t>
      </w:r>
    </w:p>
    <w:p w14:paraId="5E936D48">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②发包人有权要求承包人携带现金前往发包人处或政府有关部门，现场支付所拖欠的工人工资或分包单位合同价款；</w:t>
      </w:r>
    </w:p>
    <w:p w14:paraId="789B5B59">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③发包人有权立即采取提取履约保函、扣除工程进度款等方式，向施工人员或分包单位支付其所拖欠的工人工资或分包单位合同价款；</w:t>
      </w:r>
    </w:p>
    <w:p w14:paraId="1804F014">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④承包人法定代表人或项目负责人须在接到发包人通知后1小时内前往发包人处当面汇报对工人投诉或集体上访事件的处理方案；</w:t>
      </w:r>
    </w:p>
    <w:p w14:paraId="7C3B9AC8">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⑤承包人须在发生投诉或集体上访事件后3日内向发包人出具对事件的书面检查报告；</w:t>
      </w:r>
    </w:p>
    <w:p w14:paraId="1B320F14">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⑥发包人有权上报省、市、区主管部门</w:t>
      </w:r>
    </w:p>
    <w:p w14:paraId="48EAC55D">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4.7.6.10 承包人应在施工现场醒目位置设立维权信息告示牌，明确标示发包人、施工总承包企业及所在项目部、分包企业、行业监管部门等基本信息；明确标示劳动用工相关法律法规、当地最低工资标准、工资支付日期等信息；明确标示属地行业监管部门投诉举报电话和劳动争议调解仲裁、劳动保障监察投诉举报电话等信息，实现所有施工场地全覆盖。</w:t>
      </w:r>
    </w:p>
    <w:p w14:paraId="6CBF5D33">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4.7.6.11 承包人应无条件遵守《保障农民工工资支付条例》及当地关于农民工工资支付的要求，配合发包人办理相关事宜，包括设立工资保证金、设立农民工工资专用账户、按时足额支付工人工资、不得影响发包人施工许可证办理及施工进度等。因承包人未执行国家、地方相关保障农民工工资支付的规定（包括但不限于拒不通过农民工工资专用账户支付农民工工资），给发包人造成的一切经济损失与法律后果（包括但不限于行政部门对发包人的罚款、行政部门要求项目停工产生的停工损失、</w:t>
      </w:r>
      <w:r>
        <w:rPr>
          <w:rFonts w:hint="eastAsia" w:ascii="宋体" w:hAnsi="宋体"/>
          <w:color w:val="000000"/>
          <w:kern w:val="0"/>
          <w:szCs w:val="20"/>
          <w:highlight w:val="none"/>
        </w:rPr>
        <w:t>行政部门</w:t>
      </w:r>
      <w:r>
        <w:rPr>
          <w:rFonts w:hint="eastAsia" w:ascii="宋体" w:hAnsi="宋体"/>
          <w:color w:val="000000"/>
          <w:kern w:val="0"/>
          <w:szCs w:val="20"/>
          <w:highlight w:val="none"/>
          <w:u w:val="none"/>
        </w:rPr>
        <w:t>或司法机关</w:t>
      </w:r>
      <w:r>
        <w:rPr>
          <w:rFonts w:hint="eastAsia" w:ascii="宋体" w:hAnsi="宋体"/>
          <w:color w:val="000000"/>
          <w:kern w:val="0"/>
          <w:szCs w:val="20"/>
          <w:highlight w:val="none"/>
        </w:rPr>
        <w:t>要求</w:t>
      </w:r>
      <w:r>
        <w:rPr>
          <w:rFonts w:hint="eastAsia" w:ascii="宋体" w:hAnsi="宋体"/>
          <w:color w:val="000000"/>
          <w:kern w:val="0"/>
          <w:szCs w:val="20"/>
          <w:highlight w:val="none"/>
          <w:u w:val="none"/>
        </w:rPr>
        <w:t>或判令</w:t>
      </w:r>
      <w:r>
        <w:rPr>
          <w:rFonts w:hint="eastAsia" w:ascii="宋体" w:hAnsi="宋体"/>
          <w:color w:val="000000"/>
          <w:kern w:val="0"/>
          <w:szCs w:val="20"/>
          <w:highlight w:val="none"/>
        </w:rPr>
        <w:t>发包人垫付劳动者报酬等</w:t>
      </w:r>
      <w:r>
        <w:rPr>
          <w:rFonts w:hint="eastAsia" w:ascii="宋体" w:hAnsi="宋体"/>
          <w:kern w:val="0"/>
          <w:szCs w:val="20"/>
          <w:highlight w:val="none"/>
        </w:rPr>
        <w:t>），均由承包人承担，并按照本专用合同条款相关约定承担违约责任。</w:t>
      </w:r>
    </w:p>
    <w:p w14:paraId="3AB98B76">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4.7.6.12特别强调：任何情况下，承包人不得因延迟或推迟支付工人的工资而引发社会矛盾，从而影响发包人的经营、工程进展。</w:t>
      </w:r>
    </w:p>
    <w:p w14:paraId="332C6843">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4.7.6.13</w:t>
      </w:r>
      <w:r>
        <w:rPr>
          <w:rFonts w:hint="eastAsia" w:ascii="宋体" w:hAnsi="Arial"/>
          <w:kern w:val="0"/>
          <w:szCs w:val="20"/>
          <w:highlight w:val="none"/>
        </w:rPr>
        <w:t>发包人</w:t>
      </w:r>
      <w:r>
        <w:rPr>
          <w:rFonts w:hint="eastAsia" w:ascii="宋体" w:hAnsi="宋体"/>
          <w:kern w:val="0"/>
          <w:szCs w:val="20"/>
          <w:highlight w:val="none"/>
        </w:rPr>
        <w:t>支付至承包人设立的工人工资支付专用账户款项视为向承包人支付了相应金额的工程进度款。</w:t>
      </w:r>
    </w:p>
    <w:p w14:paraId="7DA021B8">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4.9.承包人现场查勘</w:t>
      </w:r>
    </w:p>
    <w:p w14:paraId="350C1395">
      <w:pPr>
        <w:numPr>
          <w:ilvl w:val="2"/>
          <w:numId w:val="0"/>
        </w:numPr>
        <w:adjustRightInd w:val="0"/>
        <w:snapToGrid w:val="0"/>
        <w:spacing w:line="360" w:lineRule="auto"/>
        <w:ind w:firstLine="420" w:firstLineChars="200"/>
        <w:jc w:val="left"/>
        <w:outlineLvl w:val="2"/>
        <w:rPr>
          <w:rFonts w:ascii="宋体" w:hAnsi="宋体"/>
          <w:snapToGrid w:val="0"/>
          <w:kern w:val="0"/>
          <w:szCs w:val="20"/>
          <w:highlight w:val="none"/>
        </w:rPr>
      </w:pPr>
      <w:r>
        <w:rPr>
          <w:rFonts w:hint="eastAsia" w:ascii="宋体" w:hAnsi="宋体"/>
          <w:snapToGrid w:val="0"/>
          <w:kern w:val="0"/>
          <w:szCs w:val="20"/>
          <w:highlight w:val="none"/>
        </w:rPr>
        <w:t>4.9.3.</w:t>
      </w:r>
      <w:r>
        <w:rPr>
          <w:rFonts w:hint="eastAsia" w:ascii="宋体" w:hAnsi="宋体"/>
          <w:snapToGrid w:val="0"/>
          <w:kern w:val="0"/>
          <w:szCs w:val="20"/>
          <w:highlight w:val="none"/>
        </w:rPr>
        <w:tab/>
      </w:r>
      <w:r>
        <w:rPr>
          <w:rFonts w:hint="eastAsia" w:ascii="宋体" w:hAnsi="宋体"/>
          <w:snapToGrid w:val="0"/>
          <w:kern w:val="0"/>
          <w:szCs w:val="20"/>
          <w:highlight w:val="none"/>
        </w:rPr>
        <w:t>发包人应提供施工场地的地质勘探资料、地下管网线路、地下构筑物资料、现场水文气象资料。承包人应对其阅读上述有关资料后所作出的解释和推断负责。如因承包人原因造成损坏，由承包人负责维修并承担费用。</w:t>
      </w:r>
    </w:p>
    <w:p w14:paraId="4D915DA6">
      <w:pPr>
        <w:numPr>
          <w:ilvl w:val="2"/>
          <w:numId w:val="0"/>
        </w:numPr>
        <w:adjustRightInd w:val="0"/>
        <w:snapToGrid w:val="0"/>
        <w:spacing w:line="360" w:lineRule="auto"/>
        <w:ind w:firstLine="420" w:firstLineChars="200"/>
        <w:jc w:val="left"/>
        <w:outlineLvl w:val="2"/>
        <w:rPr>
          <w:rFonts w:ascii="宋体" w:hAnsi="宋体"/>
          <w:snapToGrid w:val="0"/>
          <w:kern w:val="0"/>
          <w:szCs w:val="20"/>
          <w:highlight w:val="none"/>
          <w:u w:val="single"/>
        </w:rPr>
      </w:pPr>
      <w:r>
        <w:rPr>
          <w:rFonts w:hint="eastAsia" w:ascii="宋体" w:hAnsi="宋体"/>
          <w:snapToGrid w:val="0"/>
          <w:kern w:val="0"/>
          <w:szCs w:val="20"/>
          <w:highlight w:val="none"/>
        </w:rPr>
        <w:t>4.9.4.</w:t>
      </w:r>
      <w:r>
        <w:rPr>
          <w:rFonts w:hint="eastAsia" w:ascii="宋体" w:hAnsi="宋体"/>
          <w:snapToGrid w:val="0"/>
          <w:kern w:val="0"/>
          <w:szCs w:val="20"/>
          <w:highlight w:val="none"/>
        </w:rPr>
        <w:tab/>
      </w:r>
      <w:r>
        <w:rPr>
          <w:rFonts w:hint="eastAsia" w:ascii="Times New Roman" w:hAnsi="Times New Roman"/>
          <w:szCs w:val="24"/>
          <w:highlight w:val="none"/>
        </w:rPr>
        <w:t>承包人</w:t>
      </w:r>
      <w:r>
        <w:rPr>
          <w:rFonts w:hint="eastAsia" w:ascii="宋体" w:hAnsi="Arial"/>
          <w:kern w:val="0"/>
          <w:szCs w:val="20"/>
          <w:highlight w:val="none"/>
        </w:rPr>
        <w:t>确认</w:t>
      </w:r>
      <w:r>
        <w:rPr>
          <w:rFonts w:hint="eastAsia" w:ascii="Times New Roman" w:hAnsi="Times New Roman"/>
          <w:szCs w:val="24"/>
          <w:highlight w:val="none"/>
        </w:rPr>
        <w:t>已在投标时对施工场地和周围环境进行查勘，收集有关地质、水文、建（构）筑物、管线、气象、交通条件、风俗习惯、环境敏感因素等以及其他为完成合同工作有关的全部资料，发现任何问题均已在投标答疑前书面通知发包人，并按照答疑回复在投标报价中充分考虑了施工场地现状条件。承包人一经投标报价，即视为承包人已在充分了解施工场地现状条件并接受风险的基础上承包工程。因承包人未能充分查勘、了解前述情况或未能充分估计前述情况的，承包人自行承担由此增加的费用及（或）延误的工期。</w:t>
      </w:r>
    </w:p>
    <w:p w14:paraId="27D0D034">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4.11.遵守法律</w:t>
      </w:r>
    </w:p>
    <w:p w14:paraId="60A404FA">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承包人在</w:t>
      </w:r>
      <w:r>
        <w:rPr>
          <w:rFonts w:hint="eastAsia" w:ascii="宋体" w:hAnsi="Arial"/>
          <w:kern w:val="0"/>
          <w:szCs w:val="20"/>
          <w:highlight w:val="none"/>
        </w:rPr>
        <w:t>履行</w:t>
      </w:r>
      <w:r>
        <w:rPr>
          <w:rFonts w:hint="eastAsia" w:ascii="Times New Roman" w:hAnsi="Times New Roman"/>
          <w:szCs w:val="24"/>
          <w:highlight w:val="none"/>
        </w:rPr>
        <w:t>合同期间应遵守法律，并保证发包人免于承担因承包人违反法律而引起的任何责任。遵守国家、省、市有关社会信用体系建设工作的法律法规和部门规章，严格执行信用承诺制度，违背信用承诺约定时，承担违约责任，并依法承担相应法律责任。承包人在本工程项目中存在下列行为的，将被拒绝参与发包人及其集团系内后续工程项目的投标，拒绝投标时限由发包人视承包人违法、违规严重程度确定：</w:t>
      </w:r>
    </w:p>
    <w:p w14:paraId="2E07DEF7">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①将中标工程转包或者违法分包的；</w:t>
      </w:r>
    </w:p>
    <w:p w14:paraId="00CF5B46">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②在中标工程中不执行质量、安全生产等相关规定，造成严重质量或安全事故的；</w:t>
      </w:r>
    </w:p>
    <w:p w14:paraId="7E447A3E">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③存在围标或串标情形的；</w:t>
      </w:r>
    </w:p>
    <w:p w14:paraId="6DDD3E04">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④存在弄虚作假骗取中标情形的；</w:t>
      </w:r>
    </w:p>
    <w:p w14:paraId="53544260">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⑤存在因过错行为被生效法律文书认定承担违约或侵权责任的。</w:t>
      </w:r>
    </w:p>
    <w:p w14:paraId="3660B55D">
      <w:pPr>
        <w:keepNext/>
        <w:keepLines/>
        <w:numPr>
          <w:ilvl w:val="0"/>
          <w:numId w:val="4"/>
        </w:numPr>
        <w:adjustRightInd w:val="0"/>
        <w:snapToGrid w:val="0"/>
        <w:spacing w:line="360" w:lineRule="auto"/>
        <w:outlineLvl w:val="0"/>
        <w:rPr>
          <w:rFonts w:ascii="宋体" w:hAnsi="宋体"/>
          <w:b/>
          <w:bCs/>
          <w:kern w:val="44"/>
          <w:sz w:val="28"/>
          <w:szCs w:val="44"/>
          <w:highlight w:val="none"/>
        </w:rPr>
      </w:pPr>
      <w:bookmarkStart w:id="176" w:name="_Toc23334"/>
      <w:bookmarkStart w:id="177" w:name="_Toc17084"/>
      <w:bookmarkStart w:id="178" w:name="_Toc24739"/>
      <w:bookmarkStart w:id="179" w:name="_Toc350865207"/>
      <w:bookmarkStart w:id="180" w:name="_Toc167701755"/>
      <w:bookmarkStart w:id="181" w:name="_Toc11088"/>
      <w:bookmarkStart w:id="182" w:name="_Toc350865569"/>
      <w:bookmarkStart w:id="183" w:name="_Toc5210"/>
      <w:bookmarkStart w:id="184" w:name="_Toc21876"/>
      <w:bookmarkStart w:id="185" w:name="_Toc427331240"/>
      <w:bookmarkStart w:id="186" w:name="_Toc13748"/>
      <w:bookmarkStart w:id="187" w:name="_Toc167975579"/>
      <w:bookmarkStart w:id="188" w:name="_Toc28748"/>
      <w:bookmarkStart w:id="189" w:name="_Toc6725"/>
      <w:bookmarkStart w:id="190" w:name="_Toc15267"/>
      <w:bookmarkStart w:id="191" w:name="_Toc167701654"/>
      <w:bookmarkStart w:id="192" w:name="_Toc21448"/>
      <w:bookmarkStart w:id="193" w:name="_Toc21317"/>
      <w:bookmarkStart w:id="194" w:name="_Toc25564"/>
      <w:bookmarkStart w:id="195" w:name="_Toc20034"/>
      <w:bookmarkStart w:id="196" w:name="_Toc27358"/>
      <w:bookmarkStart w:id="197" w:name="_Toc19070"/>
      <w:bookmarkStart w:id="198" w:name="_Toc28091"/>
      <w:bookmarkStart w:id="199" w:name="_Toc19628"/>
      <w:bookmarkStart w:id="200" w:name="_Toc5189"/>
      <w:bookmarkStart w:id="201" w:name="_Toc3831"/>
      <w:r>
        <w:rPr>
          <w:rFonts w:hint="eastAsia" w:ascii="宋体" w:hAnsi="宋体"/>
          <w:b/>
          <w:bCs/>
          <w:kern w:val="44"/>
          <w:sz w:val="28"/>
          <w:szCs w:val="44"/>
          <w:highlight w:val="none"/>
        </w:rPr>
        <w:t>材料和工程设备</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13F95C24">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5.1. 承包人提供的材料和工程设备</w:t>
      </w:r>
    </w:p>
    <w:p w14:paraId="530CEF85">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5.1.1. 本工程材料设备推荐品牌范围一览表（承包人进场后</w:t>
      </w:r>
      <w:r>
        <w:rPr>
          <w:rFonts w:hint="eastAsia" w:ascii="宋体" w:hAnsi="宋体"/>
          <w:kern w:val="0"/>
          <w:szCs w:val="20"/>
          <w:highlight w:val="none"/>
          <w:u w:val="none"/>
        </w:rPr>
        <w:t>30天</w:t>
      </w:r>
      <w:r>
        <w:rPr>
          <w:rFonts w:hint="eastAsia" w:ascii="宋体" w:hAnsi="宋体"/>
          <w:kern w:val="0"/>
          <w:szCs w:val="20"/>
          <w:highlight w:val="none"/>
        </w:rPr>
        <w:t>内须完成材料设备品牌、系列型号的报审工作，</w:t>
      </w:r>
      <w:r>
        <w:rPr>
          <w:rFonts w:hint="eastAsia" w:ascii="Arial" w:hAnsi="Arial" w:cs="Arial"/>
          <w:kern w:val="0"/>
          <w:szCs w:val="21"/>
          <w:highlight w:val="none"/>
        </w:rPr>
        <w:t>包括：清单内主材、设备，合同约定品牌的材料设备，有技术文件约定参数的材料设备，其他需要报审的材料设备。</w:t>
      </w:r>
      <w:r>
        <w:rPr>
          <w:rFonts w:hint="eastAsia" w:ascii="宋体" w:hAnsi="宋体"/>
          <w:kern w:val="0"/>
          <w:szCs w:val="20"/>
          <w:highlight w:val="none"/>
        </w:rPr>
        <w:t>）：详见合同附件</w:t>
      </w:r>
      <w:r>
        <w:rPr>
          <w:rFonts w:hint="eastAsia" w:ascii="宋体" w:hAnsi="宋体"/>
          <w:kern w:val="0"/>
          <w:szCs w:val="20"/>
          <w:highlight w:val="none"/>
          <w:lang w:val="en-US" w:eastAsia="zh-CN"/>
        </w:rPr>
        <w:t>3</w:t>
      </w:r>
      <w:r>
        <w:rPr>
          <w:rFonts w:hint="eastAsia" w:ascii="宋体" w:hAnsi="宋体"/>
          <w:kern w:val="0"/>
          <w:szCs w:val="20"/>
          <w:highlight w:val="none"/>
        </w:rPr>
        <w:t>(备注:具体条件和采购合同模式根据实际情况而定,并在一览表中注明)。如承包人使用“或相当于的品牌”，须报发包人最终书面确认后方可使用，如发包人认为该品牌不属于“或相当于的品牌”的，发包人有权要求承包人按合同材料设各品牌推荐表确定最终选用品牌，且相关费用将不再增加。承包人应在品牌报审同时完成以下计划申报工作：《材料设备进场计划》（含甲供）、《材料设备排产计划》（含甲供）。</w:t>
      </w:r>
    </w:p>
    <w:p w14:paraId="6C905DE0">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5.1.2. 发包人对承包人提供材料和工程设备的另行约定为：对于投标书中已承诺并经发包人确认的材料（设备），经总监理工程师和发包人核实，在施工当时已停产或施工当时有生产但市场上的数量不能满足施工需要的，若招标时发包人已提供参考品牌的，由发包人在推荐品牌中选择与投标书中已承诺材料同一档次或高一档次的品牌材料(设备)，材料或设备价格按原投标书中的材料（设备）单价；若承包人使用推荐品牌表以外的同档次或高一档次的经发包人认可的品牌材料(设备),价格按原投标单价下浮30%计价；若招标时发包人未明确参考品牌的，承包人须采购发包人认可的与其投标书承诺品牌同一档次的材料（设备），价格按原投标单价；若招标时发包人未明确参考品牌的，且承包人在其投标书中亦未对相关材料（设备）品牌进行承诺的，须采购满足相关技术要求且发包人认可的材料（设备），价格按原投标单价。</w:t>
      </w:r>
    </w:p>
    <w:p w14:paraId="535C2B09">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5.1.3.承包人提供的材料和工程设备必须符合合同文件的要求及国家有关规范、标准、有关职能部门规定的要求。</w:t>
      </w:r>
    </w:p>
    <w:p w14:paraId="196D6791">
      <w:pPr>
        <w:numPr>
          <w:ilvl w:val="2"/>
          <w:numId w:val="0"/>
        </w:numPr>
        <w:adjustRightInd w:val="0"/>
        <w:snapToGrid w:val="0"/>
        <w:spacing w:line="360" w:lineRule="auto"/>
        <w:ind w:firstLine="420" w:firstLineChars="200"/>
        <w:jc w:val="left"/>
        <w:outlineLvl w:val="2"/>
        <w:rPr>
          <w:rFonts w:ascii="宋体" w:hAnsi="宋体"/>
          <w:kern w:val="0"/>
          <w:szCs w:val="20"/>
          <w:highlight w:val="none"/>
          <w:u w:val="none"/>
        </w:rPr>
      </w:pPr>
      <w:r>
        <w:rPr>
          <w:rFonts w:hint="eastAsia" w:ascii="宋体" w:hAnsi="宋体"/>
          <w:kern w:val="0"/>
          <w:szCs w:val="20"/>
          <w:highlight w:val="none"/>
        </w:rPr>
        <w:t>5.1.4. 承包人自行采购的材料设备，</w:t>
      </w:r>
      <w:r>
        <w:rPr>
          <w:rFonts w:hint="eastAsia" w:ascii="宋体" w:hAnsi="宋体"/>
          <w:kern w:val="0"/>
          <w:szCs w:val="20"/>
          <w:highlight w:val="none"/>
          <w:u w:val="none"/>
        </w:rPr>
        <w:t xml:space="preserve">订货前至少10天（属监造设备的订货前至少15天）， 应完成向监理人及发包人提供相关的材料、设备文件（包括但不限于品牌、产地、规格、等级、技术性能指标检测检验报告等证明材料、设备满足图纸及技术文件要求，且与发包人推荐品牌相当档次的文件、资料）报发包人审批同意后方可采购；并对需要封样的产品进行三方封样, 作为进场验收和施工复核的依据。承包人所购材料设备必须是原厂、正品、全新的产品。 </w:t>
      </w:r>
    </w:p>
    <w:p w14:paraId="30DBFD17">
      <w:pPr>
        <w:numPr>
          <w:ilvl w:val="2"/>
          <w:numId w:val="0"/>
        </w:numPr>
        <w:adjustRightInd w:val="0"/>
        <w:snapToGrid w:val="0"/>
        <w:spacing w:line="360" w:lineRule="auto"/>
        <w:ind w:firstLine="420" w:firstLineChars="200"/>
        <w:jc w:val="left"/>
        <w:outlineLvl w:val="2"/>
        <w:rPr>
          <w:rFonts w:ascii="Times New Roman" w:hAnsi="Times New Roman"/>
          <w:szCs w:val="24"/>
          <w:highlight w:val="none"/>
          <w:u w:val="single"/>
        </w:rPr>
      </w:pPr>
      <w:r>
        <w:rPr>
          <w:rFonts w:hint="eastAsia" w:ascii="Times New Roman" w:hAnsi="Times New Roman"/>
          <w:szCs w:val="24"/>
          <w:highlight w:val="none"/>
          <w:u w:val="none"/>
        </w:rPr>
        <w:t>材料、设备所配套申报的生产及加工厂家、代理商需要满足招标文件中相关要求，并配合发包人进行相关考察，考察结果不能满足项目需求的，发包人有权拒绝使用该项产品。材料、设备进场前7天需要向发包人提供承包人或其经发包人审批的分包人与相关厂家、授权代理商签订的供货合同、出厂合格证、各种产品质量认证证书、出厂试验报告、型式试验报告、第三方检测报告、相关保证函、厂家联系方式、验证方式、厂家确认的出货单等相关正规渠道出货证明，进口材料设备还需要提供报关单、原产地证明、商检证明文件，甲供材料还需签署：《材料设备收货单》、《材料设备领料单》。授权代理商须提供项目授权或年度授权证明。材料、设备、辅材的采购不得由劳务分包代购。材料、设备未附相关采购合同的，进度款中发包人不予支付相关材料、设备费用。</w:t>
      </w:r>
    </w:p>
    <w:p w14:paraId="24F3824F">
      <w:pPr>
        <w:adjustRightInd w:val="0"/>
        <w:snapToGrid w:val="0"/>
        <w:spacing w:line="360" w:lineRule="auto"/>
        <w:ind w:firstLine="420" w:firstLineChars="200"/>
        <w:rPr>
          <w:rFonts w:ascii="Times New Roman" w:hAnsi="Times New Roman"/>
          <w:szCs w:val="24"/>
          <w:highlight w:val="none"/>
          <w:u w:val="none"/>
        </w:rPr>
      </w:pPr>
      <w:r>
        <w:rPr>
          <w:rFonts w:hint="eastAsia" w:ascii="Times New Roman" w:hAnsi="Times New Roman"/>
          <w:szCs w:val="24"/>
          <w:highlight w:val="none"/>
          <w:u w:val="none"/>
        </w:rPr>
        <w:t xml:space="preserve">承包人需要根据发包人要求制定材料设备的进场计划并与厂家制定材料设备排产计划和监造大纲。按监造大纲组织到厂监造。需监造的材料设备： </w:t>
      </w:r>
      <w:r>
        <w:rPr>
          <w:highlight w:val="none"/>
          <w:u w:val="none"/>
        </w:rPr>
        <w:t>/</w:t>
      </w:r>
      <w:r>
        <w:rPr>
          <w:rFonts w:hint="eastAsia"/>
          <w:highlight w:val="none"/>
          <w:u w:val="none"/>
        </w:rPr>
        <w:t xml:space="preserve"> </w:t>
      </w:r>
      <w:r>
        <w:rPr>
          <w:rFonts w:hint="eastAsia" w:ascii="Times New Roman" w:hAnsi="Times New Roman"/>
          <w:szCs w:val="24"/>
          <w:highlight w:val="none"/>
          <w:u w:val="none"/>
        </w:rPr>
        <w:t>。监造材料设备的相关费用由承包人承担。</w:t>
      </w:r>
    </w:p>
    <w:p w14:paraId="5A0C51CE">
      <w:pPr>
        <w:adjustRightInd w:val="0"/>
        <w:snapToGrid w:val="0"/>
        <w:spacing w:line="360" w:lineRule="auto"/>
        <w:ind w:firstLine="420" w:firstLineChars="200"/>
        <w:rPr>
          <w:rFonts w:ascii="Times New Roman" w:hAnsi="宋体"/>
          <w:szCs w:val="24"/>
          <w:highlight w:val="none"/>
          <w:u w:val="none"/>
        </w:rPr>
      </w:pPr>
      <w:r>
        <w:rPr>
          <w:rFonts w:hint="eastAsia" w:ascii="Times New Roman" w:hAnsi="宋体"/>
          <w:szCs w:val="24"/>
          <w:highlight w:val="none"/>
          <w:u w:val="none"/>
        </w:rPr>
        <w:t>发包人有权对合同附件</w:t>
      </w:r>
      <w:r>
        <w:rPr>
          <w:rFonts w:hint="eastAsia" w:ascii="Times New Roman" w:hAnsi="宋体"/>
          <w:szCs w:val="24"/>
          <w:highlight w:val="none"/>
          <w:u w:val="none"/>
          <w:lang w:val="en-US" w:eastAsia="zh-CN"/>
        </w:rPr>
        <w:t>3</w:t>
      </w:r>
      <w:r>
        <w:rPr>
          <w:rFonts w:hint="eastAsia" w:ascii="Times New Roman" w:hAnsi="宋体"/>
          <w:szCs w:val="24"/>
          <w:highlight w:val="none"/>
          <w:u w:val="none"/>
        </w:rPr>
        <w:t>的部分品牌进行更换或取消，对新增的材料设备品牌价格由双方协商确定。</w:t>
      </w:r>
    </w:p>
    <w:p w14:paraId="396F3D4B">
      <w:pPr>
        <w:adjustRightInd w:val="0"/>
        <w:snapToGrid w:val="0"/>
        <w:spacing w:line="360" w:lineRule="auto"/>
        <w:ind w:firstLine="420" w:firstLineChars="200"/>
        <w:rPr>
          <w:rFonts w:ascii="Times New Roman" w:hAnsi="Times New Roman"/>
          <w:szCs w:val="24"/>
          <w:highlight w:val="none"/>
          <w:u w:val="none"/>
        </w:rPr>
      </w:pPr>
      <w:r>
        <w:rPr>
          <w:rFonts w:hint="eastAsia" w:ascii="Times New Roman" w:hAnsi="Times New Roman"/>
          <w:szCs w:val="24"/>
          <w:highlight w:val="none"/>
          <w:u w:val="none"/>
        </w:rPr>
        <w:t>对于垄断性（消防、电力、防雷、市政给水、排污、环保、燃气、网络通讯等）部门要求验收的材料，承包人必须使用在工程所在地有相关工程业绩的材料并提交相关工程业绩的证明。</w:t>
      </w:r>
    </w:p>
    <w:p w14:paraId="6DDCB2D1">
      <w:pPr>
        <w:adjustRightInd w:val="0"/>
        <w:snapToGrid w:val="0"/>
        <w:spacing w:line="360" w:lineRule="auto"/>
        <w:ind w:firstLine="420" w:firstLineChars="200"/>
        <w:rPr>
          <w:rFonts w:ascii="Times New Roman" w:hAnsi="Times New Roman"/>
          <w:szCs w:val="24"/>
          <w:highlight w:val="none"/>
          <w:u w:val="single"/>
        </w:rPr>
      </w:pPr>
      <w:r>
        <w:rPr>
          <w:rFonts w:hint="eastAsia" w:ascii="Times New Roman" w:hAnsi="Times New Roman"/>
          <w:szCs w:val="24"/>
          <w:highlight w:val="none"/>
          <w:u w:val="none"/>
        </w:rPr>
        <w:t>5.1.6.</w:t>
      </w:r>
      <w:r>
        <w:rPr>
          <w:rFonts w:hint="eastAsia" w:ascii="Times New Roman" w:hAnsi="Times New Roman"/>
          <w:szCs w:val="24"/>
          <w:highlight w:val="none"/>
          <w:u w:val="none"/>
        </w:rPr>
        <w:tab/>
      </w:r>
      <w:r>
        <w:rPr>
          <w:rFonts w:hint="eastAsia" w:ascii="Times New Roman" w:hAnsi="Times New Roman"/>
          <w:szCs w:val="24"/>
          <w:highlight w:val="none"/>
          <w:u w:val="none"/>
        </w:rPr>
        <w:tab/>
      </w:r>
      <w:r>
        <w:rPr>
          <w:rFonts w:hint="eastAsia" w:ascii="Times New Roman" w:hAnsi="Times New Roman"/>
          <w:szCs w:val="24"/>
          <w:highlight w:val="none"/>
          <w:u w:val="none"/>
        </w:rPr>
        <w:t>承包人需在材料和工程设备到场前7天准备资料及相关材料报送监理人、发包人，审核通过后方能进场，并在到场时进行验收清点。</w:t>
      </w:r>
    </w:p>
    <w:p w14:paraId="5460002A">
      <w:pPr>
        <w:adjustRightInd w:val="0"/>
        <w:snapToGrid w:val="0"/>
        <w:spacing w:line="360" w:lineRule="auto"/>
        <w:ind w:firstLine="420" w:firstLineChars="200"/>
        <w:rPr>
          <w:rFonts w:ascii="Times New Roman" w:hAnsi="Times New Roman"/>
          <w:szCs w:val="24"/>
          <w:highlight w:val="none"/>
        </w:rPr>
      </w:pPr>
      <w:r>
        <w:rPr>
          <w:rFonts w:hint="eastAsia" w:ascii="宋体" w:hAnsi="宋体"/>
          <w:szCs w:val="24"/>
          <w:highlight w:val="none"/>
        </w:rPr>
        <w:t>5.1.8. 检测</w:t>
      </w:r>
      <w:r>
        <w:rPr>
          <w:rFonts w:hint="eastAsia" w:ascii="Times New Roman" w:hAnsi="Times New Roman"/>
          <w:szCs w:val="24"/>
          <w:highlight w:val="none"/>
          <w:u w:val="none"/>
        </w:rPr>
        <w:t>费用</w:t>
      </w:r>
      <w:r>
        <w:rPr>
          <w:rFonts w:hint="eastAsia" w:ascii="宋体" w:hAnsi="宋体"/>
          <w:szCs w:val="24"/>
          <w:highlight w:val="none"/>
        </w:rPr>
        <w:t>承</w:t>
      </w:r>
      <w:r>
        <w:rPr>
          <w:rFonts w:hint="eastAsia" w:ascii="Times New Roman" w:hAnsi="Times New Roman"/>
          <w:szCs w:val="24"/>
          <w:highlight w:val="none"/>
        </w:rPr>
        <w:t>担方式：</w:t>
      </w:r>
    </w:p>
    <w:p w14:paraId="107B5AA1">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Arial"/>
          <w:color w:val="000000"/>
          <w:kern w:val="0"/>
          <w:szCs w:val="21"/>
          <w:highlight w:val="none"/>
        </w:rPr>
        <w:t>本合同工程相关的第三方检测由发包人另行委托，不在本合同范围内。发包人只承担相应的检测费，其他一切相关费用及工作均由承包人承担且已经包含在本合同价款内（包括但不限于：需提供检测所需的材料、设备、配件、构件、部品、试件等所有用品，并承担相关用品的损耗及检测配合的相关费用）。</w:t>
      </w:r>
      <w:r>
        <w:rPr>
          <w:rFonts w:hint="eastAsia" w:ascii="宋体" w:hAnsi="宋体"/>
          <w:kern w:val="0"/>
          <w:szCs w:val="20"/>
          <w:highlight w:val="none"/>
        </w:rPr>
        <w:t>除根据政策要求的第三方检测和监理相关检测外，根据工程实际情况，发包人对有疑问、高价值、对效果有重大影响、易产生不合格品的材料设备有权实施抽检，计划内的抽检不得提出工期索赔。检验的结果证明该项材料、设备不符合合同要求的，因此增加的费用（或）工期延误由承包人承担；检验结果证明该项材料、设备符合合同要求的，由发包人承担因此增加的费用。</w:t>
      </w:r>
      <w:r>
        <w:rPr>
          <w:rFonts w:hint="eastAsia" w:ascii="宋体" w:hAnsi="Arial"/>
          <w:kern w:val="0"/>
          <w:szCs w:val="20"/>
          <w:highlight w:val="none"/>
        </w:rPr>
        <w:t>各项检查中已经出现不合格品的材料、设备整改后需要加倍抽检或全检，承包人承担全额费用，工期不予顺延。不论是否通过发包人、监理单位的抽查、验收，监理单位及发包人对材料、设备的检验、抽查意见均不免除承包人提供的材料设备不符合合同约定的责任。</w:t>
      </w:r>
    </w:p>
    <w:p w14:paraId="69F9C893">
      <w:pPr>
        <w:adjustRightInd w:val="0"/>
        <w:snapToGrid w:val="0"/>
        <w:spacing w:line="360" w:lineRule="auto"/>
        <w:ind w:firstLine="420" w:firstLineChars="200"/>
        <w:rPr>
          <w:rFonts w:ascii="Times New Roman" w:hAnsi="Times New Roman"/>
          <w:szCs w:val="24"/>
          <w:highlight w:val="none"/>
        </w:rPr>
      </w:pPr>
      <w:r>
        <w:rPr>
          <w:rFonts w:hint="eastAsia" w:ascii="Times New Roman" w:hAnsi="宋体"/>
          <w:szCs w:val="24"/>
          <w:highlight w:val="none"/>
        </w:rPr>
        <w:t>5.1.9. 承包人采购和（或）使用不符合设计和合同要求的</w:t>
      </w:r>
      <w:r>
        <w:rPr>
          <w:rFonts w:hint="eastAsia" w:ascii="Times New Roman" w:hAnsi="Times New Roman"/>
          <w:szCs w:val="24"/>
          <w:highlight w:val="none"/>
        </w:rPr>
        <w:t>材料、设备（或元件）或未按合同约定报发包人审批同意</w:t>
      </w:r>
      <w:r>
        <w:rPr>
          <w:rFonts w:hint="eastAsia" w:ascii="Times New Roman" w:hAnsi="宋体"/>
          <w:szCs w:val="24"/>
          <w:highlight w:val="none"/>
        </w:rPr>
        <w:t>时，应按该批材料、设备</w:t>
      </w:r>
      <w:r>
        <w:rPr>
          <w:rFonts w:hint="eastAsia" w:ascii="Times New Roman" w:hAnsi="Times New Roman"/>
          <w:szCs w:val="24"/>
          <w:highlight w:val="none"/>
        </w:rPr>
        <w:t>（或元件）</w:t>
      </w:r>
      <w:r>
        <w:rPr>
          <w:rFonts w:hint="eastAsia" w:ascii="Times New Roman" w:hAnsi="宋体"/>
          <w:szCs w:val="24"/>
          <w:highlight w:val="none"/>
        </w:rPr>
        <w:t>的“数量</w:t>
      </w:r>
      <w:r>
        <w:rPr>
          <w:rFonts w:hint="eastAsia" w:ascii="Times New Roman" w:hAnsi="Times New Roman"/>
          <w:szCs w:val="24"/>
          <w:highlight w:val="none"/>
        </w:rPr>
        <w:t>×分项清单价”20％支付违约金。发包人有权要求承包人拆除、退场或重新采购，并承担由此发生的费用，工期不予顺延。若发包人同意验收的，承包人应支付上述违约金并采取以下处理方法：若该批材料、设备（或元件）市场价低于合同材料、设备（或元件）价格的，则按照材料、设备（或元件）市场价计价；若该批材料、设备（或元件）市场价高于合同材料、设备（或元件）价格的，则按合同材料、设备（或元件）价格计价。若该批材料、设备（或元件）应使用招标时发包人已提供的参考品牌，而该批材料、设备（或元件）使用了发包人</w:t>
      </w:r>
      <w:r>
        <w:rPr>
          <w:rFonts w:hint="eastAsia" w:ascii="Times New Roman" w:hAnsi="宋体"/>
          <w:szCs w:val="24"/>
          <w:highlight w:val="none"/>
        </w:rPr>
        <w:t>推荐品牌表以外的品牌的,则材料、设备（或元件）计价在上述计价规则的基础上再下浮30%。</w:t>
      </w:r>
    </w:p>
    <w:p w14:paraId="42BF161B">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若承包人将假冒伪劣材料设备用于本工程，则每发生一例，发包人有权要求承包人承担相当于该批材料价款2倍的违约金，违约金不低于一般违约责任。该款项直接从工程进度款及工程结算款中扣除，无需经承包人同意。承包人并应无条件负责修复、拆除并将所购材料设备退场，并承担由此产生的一切费用及责任，由此延误的工期由承包人承担责任。</w:t>
      </w:r>
    </w:p>
    <w:p w14:paraId="43B2F4C7">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 xml:space="preserve">如发生5.1.9约定情形或发包人有证据证明有极大可能会发生此款约定情形的，发包人有权将该部分材料设备改为甲供，由此造成的发包人损失以及延误的工期均由承包人承担责任。 </w:t>
      </w:r>
    </w:p>
    <w:p w14:paraId="5B3E5980">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5.2.发包人提供的材料和工程设备</w:t>
      </w:r>
    </w:p>
    <w:p w14:paraId="12AAB2F9">
      <w:pPr>
        <w:numPr>
          <w:ilvl w:val="1"/>
          <w:numId w:val="0"/>
        </w:numPr>
        <w:adjustRightInd w:val="0"/>
        <w:snapToGrid w:val="0"/>
        <w:spacing w:line="360" w:lineRule="auto"/>
        <w:ind w:firstLine="420" w:firstLineChars="200"/>
        <w:jc w:val="left"/>
        <w:outlineLvl w:val="1"/>
        <w:rPr>
          <w:rFonts w:ascii="宋体" w:hAnsi="宋体"/>
          <w:kern w:val="0"/>
          <w:szCs w:val="20"/>
          <w:highlight w:val="none"/>
        </w:rPr>
      </w:pPr>
      <w:r>
        <w:rPr>
          <w:rFonts w:hint="eastAsia" w:ascii="宋体" w:hAnsi="宋体"/>
          <w:kern w:val="0"/>
          <w:szCs w:val="20"/>
          <w:highlight w:val="none"/>
        </w:rPr>
        <w:t>本合同无发包人提供的材料和设备。</w:t>
      </w:r>
    </w:p>
    <w:p w14:paraId="2AF89EED">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5.4禁止使用不合格的材料和工程设备</w:t>
      </w:r>
    </w:p>
    <w:p w14:paraId="4B685ACF">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5.4.1.监理人有权拒绝承包人提供的不合格材料或工程设备，并要求承包人立即进行更换。监理人应在更换后再次进行检查和检验，由此增加的费用和（或）工期延误由承包人承担，如果因此给发包人造成损失，承包人应当全额赔偿。</w:t>
      </w:r>
    </w:p>
    <w:p w14:paraId="106BCB04">
      <w:pPr>
        <w:keepNext/>
        <w:keepLines/>
        <w:numPr>
          <w:ilvl w:val="0"/>
          <w:numId w:val="4"/>
        </w:numPr>
        <w:adjustRightInd w:val="0"/>
        <w:snapToGrid w:val="0"/>
        <w:spacing w:line="360" w:lineRule="auto"/>
        <w:outlineLvl w:val="0"/>
        <w:rPr>
          <w:rFonts w:ascii="宋体" w:hAnsi="宋体"/>
          <w:b/>
          <w:bCs/>
          <w:kern w:val="44"/>
          <w:sz w:val="28"/>
          <w:szCs w:val="44"/>
          <w:highlight w:val="none"/>
        </w:rPr>
      </w:pPr>
      <w:bookmarkStart w:id="202" w:name="_Toc6993"/>
      <w:bookmarkStart w:id="203" w:name="_Toc25685"/>
      <w:bookmarkStart w:id="204" w:name="_Toc27441"/>
      <w:bookmarkStart w:id="205" w:name="_Toc15351"/>
      <w:bookmarkStart w:id="206" w:name="_Toc183"/>
      <w:bookmarkStart w:id="207" w:name="_Toc16783"/>
      <w:bookmarkStart w:id="208" w:name="_Toc3178"/>
      <w:bookmarkStart w:id="209" w:name="_Toc5851"/>
      <w:bookmarkStart w:id="210" w:name="_Toc17916"/>
      <w:bookmarkStart w:id="211" w:name="_Toc350865208"/>
      <w:bookmarkStart w:id="212" w:name="_Toc167975580"/>
      <w:bookmarkStart w:id="213" w:name="_Toc11943"/>
      <w:bookmarkStart w:id="214" w:name="_Toc167701756"/>
      <w:bookmarkStart w:id="215" w:name="_Toc167701655"/>
      <w:bookmarkStart w:id="216" w:name="_Toc6969"/>
      <w:bookmarkStart w:id="217" w:name="_Toc427331241"/>
      <w:bookmarkStart w:id="218" w:name="_Toc2506"/>
      <w:bookmarkStart w:id="219" w:name="_Toc350865570"/>
      <w:bookmarkStart w:id="220" w:name="_Toc31249"/>
      <w:bookmarkStart w:id="221" w:name="_Toc17546"/>
      <w:bookmarkStart w:id="222" w:name="_Toc26284"/>
      <w:bookmarkStart w:id="223" w:name="_Toc5485"/>
      <w:bookmarkStart w:id="224" w:name="_Toc22237"/>
      <w:bookmarkStart w:id="225" w:name="_Toc5239"/>
      <w:bookmarkStart w:id="226" w:name="_Toc9240"/>
      <w:bookmarkStart w:id="227" w:name="_Toc32262"/>
      <w:r>
        <w:rPr>
          <w:rFonts w:hint="eastAsia" w:ascii="宋体" w:hAnsi="宋体"/>
          <w:b/>
          <w:bCs/>
          <w:kern w:val="44"/>
          <w:sz w:val="28"/>
          <w:szCs w:val="44"/>
          <w:highlight w:val="none"/>
        </w:rPr>
        <w:t>施工设备和临时设施</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61B8FE52">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6.1. 承包人提供的施工设备和临时设施</w:t>
      </w:r>
    </w:p>
    <w:p w14:paraId="039A7FEF">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6.1.1.</w:t>
      </w:r>
      <w:r>
        <w:rPr>
          <w:rFonts w:hint="eastAsia" w:ascii="宋体" w:hAnsi="宋体"/>
          <w:kern w:val="0"/>
          <w:szCs w:val="20"/>
          <w:highlight w:val="none"/>
        </w:rPr>
        <w:tab/>
      </w:r>
      <w:r>
        <w:rPr>
          <w:rFonts w:hint="eastAsia" w:ascii="宋体" w:hAnsi="宋体"/>
          <w:kern w:val="0"/>
          <w:szCs w:val="20"/>
          <w:highlight w:val="none"/>
        </w:rPr>
        <w:t>承包人应按合同进度计划的要求，及时配置施工设备和修建临时设施。承包人应自行承担修建和拆除（发包人明确指令无需拆除的除外）临时设施的费用。进入施工场地的承包人设备需经监理人核查后才能投入使用。承包人更换合同约定的承包人设备的，应报监理人批准。</w:t>
      </w:r>
    </w:p>
    <w:p w14:paraId="28A0AF23">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6.1.2. 承包人提供的施工设备或临时设施：承包人提供的施工设备或临时设施不得低于承包人投标文件中明确的数量、规格及投入时间等承诺标准；如投标承诺中提供的施工设备或临时设施无法满足按约定的时间、质量标准等完成本合同工程的要求，承包人应自行增加、完善投入的施工设备和临时设施；如发包人认为承包人投入的施工设备或临时设施不足，已影响到工程进度、安全、质量，发包人有权要求承包人在</w:t>
      </w:r>
      <w:r>
        <w:rPr>
          <w:rFonts w:ascii="宋体" w:hAnsi="宋体"/>
          <w:kern w:val="0"/>
          <w:szCs w:val="20"/>
          <w:highlight w:val="none"/>
        </w:rPr>
        <w:t>48小时内增加及完善投入的施工设备和临时设施</w:t>
      </w:r>
      <w:r>
        <w:rPr>
          <w:rFonts w:hint="eastAsia" w:ascii="宋体" w:hAnsi="宋体"/>
          <w:kern w:val="0"/>
          <w:szCs w:val="20"/>
          <w:highlight w:val="none"/>
        </w:rPr>
        <w:t>。</w:t>
      </w:r>
    </w:p>
    <w:p w14:paraId="4DD69E51">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6.1.3 承包人须承担因场地不足引致的工作增加的费用，包括但不限于：因场地不足所需增加的额外场地租用、材料转运；因场地不足引致的材料、设备、设施的堆放、转运、二次运输；办公用房等临设的租用，工人于工地外的住宿安排及交通安排措施。</w:t>
      </w:r>
    </w:p>
    <w:p w14:paraId="74C9B5B0">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6.1.4.</w:t>
      </w:r>
      <w:r>
        <w:rPr>
          <w:rFonts w:hint="eastAsia" w:ascii="宋体" w:hAnsi="宋体"/>
          <w:kern w:val="0"/>
          <w:szCs w:val="20"/>
          <w:highlight w:val="none"/>
        </w:rPr>
        <w:t>承包人</w:t>
      </w:r>
      <w:r>
        <w:rPr>
          <w:rFonts w:hint="eastAsia" w:ascii="宋体" w:hAnsi="Arial"/>
          <w:kern w:val="0"/>
          <w:szCs w:val="20"/>
          <w:highlight w:val="none"/>
        </w:rPr>
        <w:t>施工所需的临时设施应全部在拟建工程占地范围内布置，发包人不提供额外的施工用地。如果承包人出于任何正当理由，要求临时占用任何额外的施工用地，应至少提前90天向监理人和发包人提出报告及可行方案，请求发包人协助以获得其所需之用地，报告应阐明所需额外用地的理由。发包人认为承包人所提出的所需额外用地的理由合理充分可行的，有权决定是否协助承包人获得其所需的临时用地，但所有的费用都应有承包人承担。发包人不承诺保证获得或提供承包人要求的任何临时用地。</w:t>
      </w:r>
    </w:p>
    <w:p w14:paraId="2B9D994E">
      <w:pPr>
        <w:numPr>
          <w:ilvl w:val="2"/>
          <w:numId w:val="0"/>
        </w:numPr>
        <w:adjustRightInd w:val="0"/>
        <w:snapToGrid w:val="0"/>
        <w:spacing w:line="360" w:lineRule="auto"/>
        <w:ind w:firstLine="420" w:firstLineChars="200"/>
        <w:jc w:val="left"/>
        <w:outlineLvl w:val="2"/>
        <w:rPr>
          <w:rFonts w:ascii="宋体" w:hAnsi="Arial"/>
          <w:strike/>
          <w:kern w:val="0"/>
          <w:szCs w:val="20"/>
          <w:highlight w:val="none"/>
        </w:rPr>
      </w:pPr>
      <w:r>
        <w:rPr>
          <w:rFonts w:hint="eastAsia" w:ascii="宋体" w:hAnsi="Arial"/>
          <w:kern w:val="0"/>
          <w:szCs w:val="20"/>
          <w:highlight w:val="none"/>
        </w:rPr>
        <w:t xml:space="preserve">6.1.5. </w:t>
      </w:r>
      <w:r>
        <w:rPr>
          <w:rFonts w:hint="eastAsia" w:ascii="宋体" w:hAnsi="宋体"/>
          <w:kern w:val="0"/>
          <w:szCs w:val="20"/>
          <w:highlight w:val="none"/>
        </w:rPr>
        <w:t>承包人</w:t>
      </w:r>
      <w:r>
        <w:rPr>
          <w:rFonts w:hint="eastAsia" w:ascii="宋体" w:hAnsi="Arial"/>
          <w:kern w:val="0"/>
          <w:szCs w:val="20"/>
          <w:highlight w:val="none"/>
        </w:rPr>
        <w:t>的施工人员住宿安排：承包人的施工人员住宿由承包人自行于工地范围外解决并自行考虑住宿费用。本工程场地不能保证场地内材料存放与加工布置需求，承包人应根据现场踏勘情况及施工组织需求综合自行考虑所连带发生的相关费用。</w:t>
      </w:r>
    </w:p>
    <w:p w14:paraId="0BC00280">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6.2. 发包人提供的施工设备和临时设施</w:t>
      </w:r>
    </w:p>
    <w:p w14:paraId="579CBA87">
      <w:pPr>
        <w:numPr>
          <w:ilvl w:val="2"/>
          <w:numId w:val="0"/>
        </w:numPr>
        <w:adjustRightInd w:val="0"/>
        <w:snapToGrid w:val="0"/>
        <w:spacing w:line="360" w:lineRule="auto"/>
        <w:ind w:firstLine="420" w:firstLineChars="200"/>
        <w:jc w:val="left"/>
        <w:outlineLvl w:val="2"/>
        <w:rPr>
          <w:rFonts w:ascii="宋体" w:hAnsi="宋体"/>
          <w:kern w:val="0"/>
          <w:szCs w:val="20"/>
          <w:highlight w:val="none"/>
          <w:u w:val="single"/>
        </w:rPr>
      </w:pPr>
      <w:r>
        <w:rPr>
          <w:rFonts w:hint="eastAsia" w:ascii="宋体" w:hAnsi="宋体"/>
          <w:kern w:val="0"/>
          <w:szCs w:val="20"/>
          <w:highlight w:val="none"/>
        </w:rPr>
        <w:t>6.2.1. 发包人提供的施工设备或临时设施：</w:t>
      </w:r>
      <w:r>
        <w:rPr>
          <w:rFonts w:hint="eastAsia" w:ascii="宋体" w:hAnsi="宋体"/>
          <w:kern w:val="0"/>
          <w:szCs w:val="20"/>
          <w:highlight w:val="none"/>
          <w:u w:val="single"/>
        </w:rPr>
        <w:t>详见总承包合同附件《总承包管理与配合服务管理要求》。</w:t>
      </w:r>
    </w:p>
    <w:p w14:paraId="72B125DC">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6.3.</w:t>
      </w:r>
      <w:r>
        <w:rPr>
          <w:rFonts w:hint="eastAsia" w:ascii="宋体" w:hAnsi="宋体"/>
          <w:b/>
          <w:bCs/>
          <w:kern w:val="0"/>
          <w:szCs w:val="21"/>
          <w:highlight w:val="none"/>
        </w:rPr>
        <w:tab/>
      </w:r>
      <w:r>
        <w:rPr>
          <w:rFonts w:hint="eastAsia" w:ascii="宋体" w:hAnsi="宋体"/>
          <w:b/>
          <w:bCs/>
          <w:kern w:val="0"/>
          <w:szCs w:val="21"/>
          <w:highlight w:val="none"/>
        </w:rPr>
        <w:t>要求承包人增加或更换施工设备</w:t>
      </w:r>
    </w:p>
    <w:p w14:paraId="4ED70327">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6.3.1.</w:t>
      </w:r>
      <w:r>
        <w:rPr>
          <w:rFonts w:hint="eastAsia" w:ascii="宋体" w:hAnsi="宋体"/>
          <w:kern w:val="0"/>
          <w:szCs w:val="20"/>
          <w:highlight w:val="none"/>
        </w:rPr>
        <w:tab/>
      </w:r>
      <w:r>
        <w:rPr>
          <w:rFonts w:hint="eastAsia" w:ascii="宋体" w:hAnsi="宋体"/>
          <w:kern w:val="0"/>
          <w:szCs w:val="20"/>
          <w:highlight w:val="none"/>
        </w:rPr>
        <w:tab/>
      </w:r>
      <w:r>
        <w:rPr>
          <w:rFonts w:hint="eastAsia" w:ascii="宋体" w:hAnsi="宋体"/>
          <w:kern w:val="0"/>
          <w:szCs w:val="20"/>
          <w:highlight w:val="none"/>
        </w:rPr>
        <w:t>承包人使用的施工设备不能满足合同进度计划和（或）质量要求时，监理人有权要求承包人增加或更换施工设备，承包人应及时增加或更换，由此增加的费用和（或）工期延误由承包人承担，如果因此给发包人造成损失，承包人应当全额赔偿。</w:t>
      </w:r>
    </w:p>
    <w:p w14:paraId="7A9CBB9D">
      <w:pPr>
        <w:keepNext/>
        <w:keepLines/>
        <w:numPr>
          <w:ilvl w:val="0"/>
          <w:numId w:val="4"/>
        </w:numPr>
        <w:adjustRightInd w:val="0"/>
        <w:snapToGrid w:val="0"/>
        <w:spacing w:line="360" w:lineRule="auto"/>
        <w:outlineLvl w:val="0"/>
        <w:rPr>
          <w:rFonts w:ascii="宋体" w:hAnsi="宋体"/>
          <w:b/>
          <w:bCs/>
          <w:kern w:val="44"/>
          <w:sz w:val="28"/>
          <w:szCs w:val="44"/>
          <w:highlight w:val="none"/>
        </w:rPr>
      </w:pPr>
      <w:bookmarkStart w:id="228" w:name="_Toc12482"/>
      <w:bookmarkStart w:id="229" w:name="_Toc20316"/>
      <w:bookmarkStart w:id="230" w:name="_Toc16750"/>
      <w:bookmarkStart w:id="231" w:name="_Toc167701757"/>
      <w:bookmarkStart w:id="232" w:name="_Toc14477"/>
      <w:bookmarkStart w:id="233" w:name="_Toc167975581"/>
      <w:bookmarkStart w:id="234" w:name="_Toc1935"/>
      <w:bookmarkStart w:id="235" w:name="_Toc28423"/>
      <w:bookmarkStart w:id="236" w:name="_Toc25836"/>
      <w:bookmarkStart w:id="237" w:name="_Toc27929"/>
      <w:bookmarkStart w:id="238" w:name="_Toc23598"/>
      <w:bookmarkStart w:id="239" w:name="_Toc21020"/>
      <w:bookmarkStart w:id="240" w:name="_Toc12856"/>
      <w:bookmarkStart w:id="241" w:name="_Toc427331242"/>
      <w:bookmarkStart w:id="242" w:name="_Toc10904"/>
      <w:bookmarkStart w:id="243" w:name="_Toc2156"/>
      <w:bookmarkStart w:id="244" w:name="_Toc167701656"/>
      <w:bookmarkStart w:id="245" w:name="_Toc26990"/>
      <w:bookmarkStart w:id="246" w:name="_Toc24370"/>
      <w:bookmarkStart w:id="247" w:name="_Toc30224"/>
      <w:bookmarkStart w:id="248" w:name="_Toc26177"/>
      <w:bookmarkStart w:id="249" w:name="_Toc350865571"/>
      <w:bookmarkStart w:id="250" w:name="_Toc29203"/>
      <w:bookmarkStart w:id="251" w:name="_Toc11034"/>
      <w:bookmarkStart w:id="252" w:name="_Toc350865209"/>
      <w:bookmarkStart w:id="253" w:name="_Toc1605"/>
      <w:r>
        <w:rPr>
          <w:rFonts w:hint="eastAsia" w:ascii="宋体" w:hAnsi="宋体"/>
          <w:b/>
          <w:bCs/>
          <w:kern w:val="44"/>
          <w:sz w:val="28"/>
          <w:szCs w:val="44"/>
          <w:highlight w:val="none"/>
        </w:rPr>
        <w:t>交通运输</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1F91E0B">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7.2. 场外交通</w:t>
      </w:r>
    </w:p>
    <w:p w14:paraId="6AA2A6C9">
      <w:pPr>
        <w:numPr>
          <w:ilvl w:val="2"/>
          <w:numId w:val="0"/>
        </w:numPr>
        <w:adjustRightInd w:val="0"/>
        <w:snapToGrid w:val="0"/>
        <w:spacing w:line="360" w:lineRule="auto"/>
        <w:ind w:firstLine="420" w:firstLineChars="200"/>
        <w:jc w:val="left"/>
        <w:outlineLvl w:val="2"/>
        <w:rPr>
          <w:rFonts w:ascii="宋体" w:hAnsi="宋体"/>
          <w:szCs w:val="24"/>
          <w:highlight w:val="none"/>
          <w:u w:val="none"/>
        </w:rPr>
      </w:pPr>
      <w:r>
        <w:rPr>
          <w:rFonts w:hint="eastAsia" w:ascii="宋体" w:hAnsi="宋体"/>
          <w:szCs w:val="24"/>
          <w:highlight w:val="none"/>
          <w:u w:val="none"/>
        </w:rPr>
        <w:t>7.2.2.因</w:t>
      </w:r>
      <w:r>
        <w:rPr>
          <w:rFonts w:hint="eastAsia" w:ascii="宋体" w:hAnsi="宋体"/>
          <w:kern w:val="0"/>
          <w:szCs w:val="20"/>
          <w:highlight w:val="none"/>
          <w:u w:val="none"/>
        </w:rPr>
        <w:t>承包人</w:t>
      </w:r>
      <w:r>
        <w:rPr>
          <w:rFonts w:hint="eastAsia" w:ascii="宋体" w:hAnsi="宋体"/>
          <w:szCs w:val="24"/>
          <w:highlight w:val="none"/>
          <w:u w:val="none"/>
        </w:rPr>
        <w:t>施工措施配置需求导致场外临时道路用地范围内的绿化迁移、地面附着物拆迁、管线迁改等工作（如需），相关费用由承包人自行承担。</w:t>
      </w:r>
    </w:p>
    <w:p w14:paraId="7D5397B3">
      <w:pPr>
        <w:keepNext/>
        <w:keepLines/>
        <w:numPr>
          <w:ilvl w:val="0"/>
          <w:numId w:val="4"/>
        </w:numPr>
        <w:adjustRightInd w:val="0"/>
        <w:snapToGrid w:val="0"/>
        <w:spacing w:line="360" w:lineRule="auto"/>
        <w:outlineLvl w:val="0"/>
        <w:rPr>
          <w:rFonts w:ascii="宋体" w:hAnsi="宋体"/>
          <w:b/>
          <w:bCs/>
          <w:kern w:val="44"/>
          <w:sz w:val="28"/>
          <w:szCs w:val="44"/>
          <w:highlight w:val="none"/>
        </w:rPr>
      </w:pPr>
      <w:bookmarkStart w:id="254" w:name="_Toc22046"/>
      <w:bookmarkStart w:id="255" w:name="_Toc11789"/>
      <w:bookmarkStart w:id="256" w:name="_Toc20065"/>
      <w:bookmarkStart w:id="257" w:name="_Toc31971"/>
      <w:bookmarkStart w:id="258" w:name="_Toc18061"/>
      <w:bookmarkStart w:id="259" w:name="_Toc11433"/>
      <w:bookmarkStart w:id="260" w:name="_Toc350865572"/>
      <w:bookmarkStart w:id="261" w:name="_Toc21555"/>
      <w:bookmarkStart w:id="262" w:name="_Toc31545"/>
      <w:bookmarkStart w:id="263" w:name="_Toc427331243"/>
      <w:bookmarkStart w:id="264" w:name="_Toc167701657"/>
      <w:bookmarkStart w:id="265" w:name="_Toc15741"/>
      <w:bookmarkStart w:id="266" w:name="_Toc29816"/>
      <w:bookmarkStart w:id="267" w:name="_Toc22437"/>
      <w:bookmarkStart w:id="268" w:name="_Toc31348"/>
      <w:bookmarkStart w:id="269" w:name="_Toc8679"/>
      <w:bookmarkStart w:id="270" w:name="_Toc23088"/>
      <w:bookmarkStart w:id="271" w:name="_Toc17309"/>
      <w:bookmarkStart w:id="272" w:name="_Toc167701758"/>
      <w:bookmarkStart w:id="273" w:name="_Toc21197"/>
      <w:bookmarkStart w:id="274" w:name="_Toc32143"/>
      <w:bookmarkStart w:id="275" w:name="_Toc30770"/>
      <w:bookmarkStart w:id="276" w:name="_Toc25603"/>
      <w:bookmarkStart w:id="277" w:name="_Toc350865210"/>
      <w:bookmarkStart w:id="278" w:name="_Toc167975582"/>
      <w:bookmarkStart w:id="279" w:name="_Toc32264"/>
      <w:r>
        <w:rPr>
          <w:rFonts w:hint="eastAsia" w:ascii="宋体" w:hAnsi="宋体"/>
          <w:b/>
          <w:bCs/>
          <w:kern w:val="44"/>
          <w:sz w:val="28"/>
          <w:szCs w:val="44"/>
          <w:highlight w:val="none"/>
        </w:rPr>
        <w:t>测量放线</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E331F09">
      <w:pPr>
        <w:keepNext/>
        <w:keepLines/>
        <w:numPr>
          <w:ilvl w:val="0"/>
          <w:numId w:val="4"/>
        </w:numPr>
        <w:adjustRightInd w:val="0"/>
        <w:snapToGrid w:val="0"/>
        <w:spacing w:line="360" w:lineRule="auto"/>
        <w:outlineLvl w:val="0"/>
        <w:rPr>
          <w:rFonts w:ascii="宋体" w:hAnsi="宋体"/>
          <w:b/>
          <w:bCs/>
          <w:kern w:val="44"/>
          <w:sz w:val="28"/>
          <w:szCs w:val="44"/>
          <w:highlight w:val="none"/>
        </w:rPr>
      </w:pPr>
      <w:bookmarkStart w:id="280" w:name="_Toc5296"/>
      <w:bookmarkStart w:id="281" w:name="_Toc167701759"/>
      <w:bookmarkStart w:id="282" w:name="_Toc2676"/>
      <w:bookmarkStart w:id="283" w:name="_Toc12712"/>
      <w:bookmarkStart w:id="284" w:name="_Toc27209"/>
      <w:bookmarkStart w:id="285" w:name="_Toc25267"/>
      <w:bookmarkStart w:id="286" w:name="_Toc19930"/>
      <w:bookmarkStart w:id="287" w:name="_Toc350865211"/>
      <w:bookmarkStart w:id="288" w:name="_Toc26354"/>
      <w:bookmarkStart w:id="289" w:name="_Toc167975583"/>
      <w:bookmarkStart w:id="290" w:name="_Toc29753"/>
      <w:bookmarkStart w:id="291" w:name="_Toc2140"/>
      <w:bookmarkStart w:id="292" w:name="_Toc6784"/>
      <w:bookmarkStart w:id="293" w:name="_Toc350865573"/>
      <w:bookmarkStart w:id="294" w:name="_Toc13193"/>
      <w:bookmarkStart w:id="295" w:name="_Toc13709"/>
      <w:bookmarkStart w:id="296" w:name="_Toc29850"/>
      <w:bookmarkStart w:id="297" w:name="_Toc24137"/>
      <w:bookmarkStart w:id="298" w:name="_Toc3542"/>
      <w:bookmarkStart w:id="299" w:name="_Toc23031"/>
      <w:bookmarkStart w:id="300" w:name="_Toc32030"/>
      <w:bookmarkStart w:id="301" w:name="_Toc427331244"/>
      <w:bookmarkStart w:id="302" w:name="_Toc20934"/>
      <w:bookmarkStart w:id="303" w:name="_Toc167701658"/>
      <w:bookmarkStart w:id="304" w:name="_Toc7720"/>
      <w:bookmarkStart w:id="305" w:name="_Toc26442"/>
      <w:r>
        <w:rPr>
          <w:rFonts w:hint="eastAsia" w:ascii="宋体" w:hAnsi="宋体"/>
          <w:b/>
          <w:bCs/>
          <w:kern w:val="44"/>
          <w:sz w:val="28"/>
          <w:szCs w:val="44"/>
          <w:highlight w:val="none"/>
        </w:rPr>
        <w:t>施工安全、治安保卫和环境保护</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0C16996D">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9.1.</w:t>
      </w:r>
      <w:r>
        <w:rPr>
          <w:rFonts w:hint="eastAsia" w:ascii="宋体" w:hAnsi="宋体"/>
          <w:b/>
          <w:bCs/>
          <w:kern w:val="0"/>
          <w:szCs w:val="21"/>
          <w:highlight w:val="none"/>
        </w:rPr>
        <w:tab/>
      </w:r>
      <w:r>
        <w:rPr>
          <w:rFonts w:hint="eastAsia" w:ascii="宋体" w:hAnsi="宋体"/>
          <w:b/>
          <w:bCs/>
          <w:kern w:val="0"/>
          <w:szCs w:val="21"/>
          <w:highlight w:val="none"/>
        </w:rPr>
        <w:t>承包人的施工安全责任</w:t>
      </w:r>
    </w:p>
    <w:p w14:paraId="221E3414">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9.1.1.</w:t>
      </w:r>
      <w:r>
        <w:rPr>
          <w:rFonts w:hint="eastAsia" w:ascii="宋体" w:hAnsi="宋体"/>
          <w:kern w:val="0"/>
          <w:szCs w:val="20"/>
          <w:highlight w:val="none"/>
        </w:rPr>
        <w:tab/>
      </w:r>
      <w:r>
        <w:rPr>
          <w:rFonts w:hint="eastAsia" w:ascii="宋体" w:hAnsi="宋体"/>
          <w:kern w:val="0"/>
          <w:szCs w:val="20"/>
          <w:highlight w:val="none"/>
        </w:rPr>
        <w:tab/>
      </w:r>
      <w:r>
        <w:rPr>
          <w:rFonts w:hint="eastAsia" w:ascii="宋体" w:hAnsi="宋体"/>
          <w:kern w:val="0"/>
          <w:szCs w:val="20"/>
          <w:highlight w:val="none"/>
        </w:rPr>
        <w:t>承包人应遵守工程建设安全生产有关管理规定，严格按安全标准组织施工，并随时接受相关安全检查人员依法实施的监督检查，采取必要的安全防护措施，消除事故隐患。由于承包人安全措施不力造成事故的责任和因此发生的费用，由承包人承担。</w:t>
      </w:r>
    </w:p>
    <w:p w14:paraId="2F213B98">
      <w:pPr>
        <w:numPr>
          <w:ilvl w:val="2"/>
          <w:numId w:val="0"/>
        </w:numPr>
        <w:adjustRightInd w:val="0"/>
        <w:snapToGrid w:val="0"/>
        <w:spacing w:line="360" w:lineRule="auto"/>
        <w:ind w:firstLine="420" w:firstLineChars="200"/>
        <w:jc w:val="left"/>
        <w:outlineLvl w:val="2"/>
        <w:rPr>
          <w:rFonts w:ascii="宋体" w:hAnsi="宋体"/>
          <w:kern w:val="0"/>
          <w:szCs w:val="20"/>
          <w:highlight w:val="none"/>
          <w:u w:val="single"/>
        </w:rPr>
      </w:pPr>
      <w:r>
        <w:rPr>
          <w:rFonts w:hint="eastAsia" w:ascii="宋体" w:hAnsi="宋体"/>
          <w:kern w:val="0"/>
          <w:szCs w:val="20"/>
          <w:highlight w:val="none"/>
        </w:rPr>
        <w:t>9.1.2. 通用条款9.1.2补充：承包人向监理人及发包人报送施工安全措施计划的期限：</w:t>
      </w:r>
      <w:r>
        <w:rPr>
          <w:rFonts w:hint="eastAsia" w:ascii="宋体" w:hAnsi="宋体"/>
          <w:kern w:val="0"/>
          <w:szCs w:val="20"/>
          <w:highlight w:val="none"/>
          <w:u w:val="single"/>
        </w:rPr>
        <w:t>进场后3天内。</w:t>
      </w:r>
    </w:p>
    <w:p w14:paraId="780598B6">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9.1.11. 承包人须对工地内分包人施工安全进行统一管理，因安全管理疏忽而引致的损失及罚款由承包人负责。承包人须在中标后提交安全施工管理方案及专责人员的名称和资历报发包人审批。</w:t>
      </w:r>
    </w:p>
    <w:p w14:paraId="529AE0EE">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9.1.12. 安全作业环境及安全施工措施所需费用，已包含在承包人的合同暂定总价中，该费用按费率包干，除非合同另有约定，不因安全作业环境及安全施工措施内容的变动而变动。</w:t>
      </w:r>
    </w:p>
    <w:p w14:paraId="79A4216D">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宋体" w:hAnsi="宋体"/>
          <w:kern w:val="0"/>
          <w:szCs w:val="20"/>
          <w:highlight w:val="none"/>
        </w:rPr>
        <w:t>9.1.13</w:t>
      </w:r>
      <w:r>
        <w:rPr>
          <w:rFonts w:hint="eastAsia" w:ascii="Times New Roman" w:hAnsi="Times New Roman"/>
          <w:szCs w:val="24"/>
          <w:highlight w:val="none"/>
        </w:rPr>
        <w:t xml:space="preserve"> 承包人应当加强对台风、暴雨、洪水、雷暴等自然灾害的预防。对于因自然灾害可能导致事故灾难的隐患，应当按照有关法律、法规、标准的要求排查治理，采取可靠的预防措施，制定应急预案。在接到有关自然灾害预报时，应当及时发出预警通知;发生自然灾害可能危及人员安全的情况时，应当采取撤离人员、停止作业、加强监测等安全措施，并及时向当地人民政府及其有关部门报告。如承包人未及时采取上述预防措施和安全措施的，造成的损失及扩大损失由承包人承担。</w:t>
      </w:r>
    </w:p>
    <w:p w14:paraId="0B41ED20">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9.1.14发包人有权对本项目每月开展不少于一次的项目现场检查，对检查发现的承包人（含其分包人）安全生产违规行为进行扣分。</w:t>
      </w:r>
    </w:p>
    <w:p w14:paraId="04E287AB">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9.1.15承包人（含其分包人）违规扣分以项目为单位按年度进行累计，计分周期为每年1月1日至12月31日，每年12月31日24:00当年度累计扣分自动归零。</w:t>
      </w:r>
    </w:p>
    <w:p w14:paraId="2F445611">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9.1.16承包人（含其分包人）违规扣分情况通过广东粤海控股集团有限公司（发包人上级单位）统一管理，即时统计按月发布。</w:t>
      </w:r>
    </w:p>
    <w:p w14:paraId="71DE3322">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9.1.17若</w:t>
      </w:r>
      <w:r>
        <w:rPr>
          <w:rFonts w:hint="eastAsia" w:ascii="宋体" w:hAnsi="宋体"/>
          <w:kern w:val="0"/>
          <w:szCs w:val="20"/>
          <w:highlight w:val="none"/>
        </w:rPr>
        <w:t>承包人</w:t>
      </w:r>
      <w:r>
        <w:rPr>
          <w:rFonts w:hint="eastAsia" w:ascii="Times New Roman" w:hAnsi="Times New Roman"/>
          <w:szCs w:val="24"/>
          <w:highlight w:val="none"/>
        </w:rPr>
        <w:t>（含其分包人）承接的某项目累计扣分N≥12分，发生事故的，将拒绝其参与集团及其附属公司工程项目的投标。</w:t>
      </w:r>
    </w:p>
    <w:p w14:paraId="7905DB75">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9.1.18承包人安全生产违规扣分的管理要求详见附件</w:t>
      </w:r>
      <w:r>
        <w:rPr>
          <w:rFonts w:hint="eastAsia" w:ascii="Times New Roman" w:hAnsi="Times New Roman"/>
          <w:szCs w:val="24"/>
          <w:highlight w:val="none"/>
          <w:lang w:val="en-US" w:eastAsia="zh-CN"/>
        </w:rPr>
        <w:t>10</w:t>
      </w:r>
      <w:r>
        <w:rPr>
          <w:rFonts w:hint="eastAsia" w:ascii="Times New Roman" w:hAnsi="Times New Roman"/>
          <w:szCs w:val="24"/>
          <w:highlight w:val="none"/>
        </w:rPr>
        <w:t>中《安全生产不良行为扣分条款》。</w:t>
      </w:r>
    </w:p>
    <w:p w14:paraId="27AC1D28">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9.3 环境保护</w:t>
      </w:r>
    </w:p>
    <w:p w14:paraId="3BB7B68A">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9.3.5承包人应按照当地政府要求，完善各项环境保护措施，相关费用已</w:t>
      </w:r>
      <w:r>
        <w:rPr>
          <w:rFonts w:hint="eastAsia" w:ascii="Times New Roman" w:hAnsi="宋体"/>
          <w:szCs w:val="24"/>
          <w:highlight w:val="none"/>
        </w:rPr>
        <w:t>包含在暂定合同总价、措施费及相关工作的综合单价中，不再另行计取</w:t>
      </w:r>
      <w:r>
        <w:rPr>
          <w:rFonts w:hint="eastAsia" w:ascii="Times New Roman" w:hAnsi="Times New Roman"/>
          <w:szCs w:val="24"/>
          <w:highlight w:val="none"/>
        </w:rPr>
        <w:t>。</w:t>
      </w:r>
    </w:p>
    <w:p w14:paraId="20BB18D2">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9.5安全文明施工防护措施</w:t>
      </w:r>
    </w:p>
    <w:p w14:paraId="1C1FBC69">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9.5.1承包人的安全文明施工防护措施除满足国家、规章、规范及当地相关政府主管部门要求外，还需满足以下要求：</w:t>
      </w:r>
    </w:p>
    <w:p w14:paraId="6E4F95EA">
      <w:pPr>
        <w:adjustRightInd w:val="0"/>
        <w:snapToGrid w:val="0"/>
        <w:spacing w:line="360" w:lineRule="auto"/>
        <w:ind w:firstLine="420" w:firstLineChars="200"/>
        <w:rPr>
          <w:rFonts w:ascii="宋体" w:hAnsi="宋体"/>
          <w:szCs w:val="24"/>
          <w:highlight w:val="none"/>
        </w:rPr>
      </w:pPr>
      <w:r>
        <w:rPr>
          <w:rFonts w:hint="eastAsia" w:ascii="宋体" w:hAnsi="宋体"/>
          <w:szCs w:val="24"/>
          <w:highlight w:val="none"/>
        </w:rPr>
        <w:t>1）承包人必须满足发包人集团公司对现场文明施工的基本要求</w:t>
      </w:r>
    </w:p>
    <w:p w14:paraId="582BB00A">
      <w:pPr>
        <w:adjustRightInd w:val="0"/>
        <w:snapToGrid w:val="0"/>
        <w:spacing w:line="360" w:lineRule="auto"/>
        <w:ind w:firstLine="420" w:firstLineChars="200"/>
        <w:rPr>
          <w:rFonts w:ascii="宋体" w:hAnsi="宋体"/>
          <w:szCs w:val="24"/>
          <w:highlight w:val="none"/>
        </w:rPr>
      </w:pPr>
      <w:r>
        <w:rPr>
          <w:rFonts w:hint="eastAsia" w:ascii="宋体" w:hAnsi="宋体"/>
          <w:szCs w:val="24"/>
          <w:highlight w:val="none"/>
        </w:rPr>
        <w:fldChar w:fldCharType="begin"/>
      </w:r>
      <w:r>
        <w:rPr>
          <w:rFonts w:hint="eastAsia" w:ascii="宋体" w:hAnsi="宋体"/>
          <w:szCs w:val="24"/>
          <w:highlight w:val="none"/>
        </w:rPr>
        <w:instrText xml:space="preserve"> = 1 \* GB3 \* MERGEFORMAT </w:instrText>
      </w:r>
      <w:r>
        <w:rPr>
          <w:rFonts w:hint="eastAsia" w:ascii="宋体" w:hAnsi="宋体"/>
          <w:szCs w:val="24"/>
          <w:highlight w:val="none"/>
        </w:rPr>
        <w:fldChar w:fldCharType="separate"/>
      </w:r>
      <w:r>
        <w:rPr>
          <w:rFonts w:hint="eastAsia" w:ascii="宋体" w:hAnsi="宋体" w:cs="宋体"/>
          <w:szCs w:val="24"/>
          <w:highlight w:val="none"/>
        </w:rPr>
        <w:t>①</w:t>
      </w:r>
      <w:r>
        <w:rPr>
          <w:rFonts w:hint="eastAsia" w:ascii="宋体" w:hAnsi="宋体"/>
          <w:szCs w:val="24"/>
          <w:highlight w:val="none"/>
        </w:rPr>
        <w:fldChar w:fldCharType="end"/>
      </w:r>
      <w:r>
        <w:rPr>
          <w:rFonts w:hint="eastAsia" w:ascii="宋体" w:hAnsi="宋体"/>
          <w:szCs w:val="24"/>
          <w:highlight w:val="none"/>
        </w:rPr>
        <w:t>进入施工现场必须佩戴好个人防护用品，应正确佩戴安全帽，扣好帽带。所有人员必须穿反光背心，各单位反光背心应统一，并应标识所属公司名称。</w:t>
      </w:r>
    </w:p>
    <w:p w14:paraId="4F0BADE7">
      <w:pPr>
        <w:adjustRightInd w:val="0"/>
        <w:snapToGrid w:val="0"/>
        <w:spacing w:line="360" w:lineRule="auto"/>
        <w:ind w:firstLine="420" w:firstLineChars="200"/>
        <w:rPr>
          <w:rFonts w:ascii="宋体" w:hAnsi="宋体"/>
          <w:szCs w:val="24"/>
          <w:highlight w:val="none"/>
        </w:rPr>
      </w:pPr>
      <w:r>
        <w:rPr>
          <w:rFonts w:hint="eastAsia" w:ascii="宋体" w:hAnsi="宋体"/>
          <w:szCs w:val="24"/>
          <w:highlight w:val="none"/>
        </w:rPr>
        <w:fldChar w:fldCharType="begin"/>
      </w:r>
      <w:r>
        <w:rPr>
          <w:rFonts w:hint="eastAsia" w:ascii="宋体" w:hAnsi="宋体"/>
          <w:szCs w:val="24"/>
          <w:highlight w:val="none"/>
        </w:rPr>
        <w:instrText xml:space="preserve"> = 2 \* GB3 \* MERGEFORMAT </w:instrText>
      </w:r>
      <w:r>
        <w:rPr>
          <w:rFonts w:hint="eastAsia" w:ascii="宋体" w:hAnsi="宋体"/>
          <w:szCs w:val="24"/>
          <w:highlight w:val="none"/>
        </w:rPr>
        <w:fldChar w:fldCharType="separate"/>
      </w:r>
      <w:r>
        <w:rPr>
          <w:rFonts w:hint="eastAsia" w:ascii="宋体" w:hAnsi="宋体" w:cs="宋体"/>
          <w:szCs w:val="24"/>
          <w:highlight w:val="none"/>
        </w:rPr>
        <w:t>②</w:t>
      </w:r>
      <w:r>
        <w:rPr>
          <w:rFonts w:hint="eastAsia" w:ascii="宋体" w:hAnsi="宋体"/>
          <w:szCs w:val="24"/>
          <w:highlight w:val="none"/>
        </w:rPr>
        <w:fldChar w:fldCharType="end"/>
      </w:r>
      <w:r>
        <w:rPr>
          <w:rFonts w:hint="eastAsia" w:ascii="宋体" w:hAnsi="宋体"/>
          <w:szCs w:val="24"/>
          <w:highlight w:val="none"/>
        </w:rPr>
        <w:t>材料堆放要整齐，摆放有序，并挂设标示牌，各类材料存放按以下原则：管材存放搭架子，线材存放设钩子，板材存放码垛子，零散物品用箱子（袋子），仓库使用货架子。</w:t>
      </w:r>
    </w:p>
    <w:p w14:paraId="1A3D704D">
      <w:pPr>
        <w:adjustRightInd w:val="0"/>
        <w:snapToGrid w:val="0"/>
        <w:spacing w:line="360" w:lineRule="auto"/>
        <w:ind w:firstLine="420" w:firstLineChars="200"/>
        <w:rPr>
          <w:rFonts w:ascii="宋体" w:hAnsi="宋体"/>
          <w:szCs w:val="24"/>
          <w:highlight w:val="none"/>
        </w:rPr>
      </w:pPr>
      <w:r>
        <w:rPr>
          <w:rFonts w:hint="eastAsia" w:ascii="宋体" w:hAnsi="宋体"/>
          <w:szCs w:val="24"/>
          <w:highlight w:val="none"/>
        </w:rPr>
        <w:fldChar w:fldCharType="begin"/>
      </w:r>
      <w:r>
        <w:rPr>
          <w:rFonts w:hint="eastAsia" w:ascii="宋体" w:hAnsi="宋体"/>
          <w:szCs w:val="24"/>
          <w:highlight w:val="none"/>
        </w:rPr>
        <w:instrText xml:space="preserve"> = 3 \* GB3 \* MERGEFORMAT </w:instrText>
      </w:r>
      <w:r>
        <w:rPr>
          <w:rFonts w:hint="eastAsia" w:ascii="宋体" w:hAnsi="宋体"/>
          <w:szCs w:val="24"/>
          <w:highlight w:val="none"/>
        </w:rPr>
        <w:fldChar w:fldCharType="separate"/>
      </w:r>
      <w:r>
        <w:rPr>
          <w:rFonts w:hint="eastAsia" w:ascii="宋体" w:hAnsi="宋体" w:cs="宋体"/>
          <w:szCs w:val="24"/>
          <w:highlight w:val="none"/>
        </w:rPr>
        <w:t>③</w:t>
      </w:r>
      <w:r>
        <w:rPr>
          <w:rFonts w:hint="eastAsia" w:ascii="宋体" w:hAnsi="宋体"/>
          <w:szCs w:val="24"/>
          <w:highlight w:val="none"/>
        </w:rPr>
        <w:fldChar w:fldCharType="end"/>
      </w:r>
      <w:r>
        <w:rPr>
          <w:rFonts w:hint="eastAsia" w:ascii="宋体" w:hAnsi="宋体"/>
          <w:szCs w:val="24"/>
          <w:highlight w:val="none"/>
        </w:rPr>
        <w:t>施工现场应做到工完场清，施工人员每次作业完毕后，及时清理现场垃圾，保证工地卫生清洁。</w:t>
      </w:r>
    </w:p>
    <w:p w14:paraId="5940AD85">
      <w:pPr>
        <w:adjustRightInd w:val="0"/>
        <w:snapToGrid w:val="0"/>
        <w:spacing w:line="360" w:lineRule="auto"/>
        <w:ind w:firstLine="420" w:firstLineChars="200"/>
        <w:rPr>
          <w:rFonts w:ascii="宋体" w:hAnsi="宋体"/>
          <w:szCs w:val="24"/>
          <w:highlight w:val="none"/>
        </w:rPr>
      </w:pPr>
      <w:r>
        <w:rPr>
          <w:rFonts w:hint="eastAsia" w:ascii="宋体" w:hAnsi="宋体"/>
          <w:szCs w:val="24"/>
          <w:highlight w:val="none"/>
        </w:rPr>
        <w:fldChar w:fldCharType="begin"/>
      </w:r>
      <w:r>
        <w:rPr>
          <w:rFonts w:hint="eastAsia" w:ascii="宋体" w:hAnsi="宋体"/>
          <w:szCs w:val="24"/>
          <w:highlight w:val="none"/>
        </w:rPr>
        <w:instrText xml:space="preserve"> = 4 \* GB3 \* MERGEFORMAT </w:instrText>
      </w:r>
      <w:r>
        <w:rPr>
          <w:rFonts w:hint="eastAsia" w:ascii="宋体" w:hAnsi="宋体"/>
          <w:szCs w:val="24"/>
          <w:highlight w:val="none"/>
        </w:rPr>
        <w:fldChar w:fldCharType="separate"/>
      </w:r>
      <w:r>
        <w:rPr>
          <w:rFonts w:hint="eastAsia" w:ascii="宋体" w:hAnsi="宋体" w:cs="宋体"/>
          <w:szCs w:val="24"/>
          <w:highlight w:val="none"/>
        </w:rPr>
        <w:t>④</w:t>
      </w:r>
      <w:r>
        <w:rPr>
          <w:rFonts w:hint="eastAsia" w:ascii="宋体" w:hAnsi="宋体"/>
          <w:szCs w:val="24"/>
          <w:highlight w:val="none"/>
        </w:rPr>
        <w:fldChar w:fldCharType="end"/>
      </w:r>
      <w:r>
        <w:rPr>
          <w:rFonts w:hint="eastAsia" w:ascii="宋体" w:hAnsi="宋体"/>
          <w:szCs w:val="24"/>
          <w:highlight w:val="none"/>
        </w:rPr>
        <w:t>施工现场应设置消防器材架，存放灭火器、消防水桶、消防铲、消防斧等消防用具。危险化学品应分类单独存放，存放室应符合通风防爆等要求。</w:t>
      </w:r>
    </w:p>
    <w:p w14:paraId="6566B7C6">
      <w:pPr>
        <w:adjustRightInd w:val="0"/>
        <w:snapToGrid w:val="0"/>
        <w:spacing w:line="360" w:lineRule="auto"/>
        <w:ind w:firstLine="420" w:firstLineChars="200"/>
        <w:rPr>
          <w:rFonts w:ascii="宋体" w:hAnsi="宋体"/>
          <w:szCs w:val="24"/>
          <w:highlight w:val="none"/>
        </w:rPr>
      </w:pPr>
      <w:r>
        <w:rPr>
          <w:rFonts w:hint="eastAsia" w:ascii="宋体" w:hAnsi="宋体"/>
          <w:szCs w:val="24"/>
          <w:highlight w:val="none"/>
        </w:rPr>
        <w:t>2）承包人在自身及各分包人施工方案时应有相应的措施，保证施工通道有显著标志、无建筑垃圾、有良好的采光或照明、易于行走、安全措施可靠，承包人应每天巡视检查，对于不符合要求需要整改的内容发文给相关单位或部门要求立即做出整改。</w:t>
      </w:r>
    </w:p>
    <w:p w14:paraId="4A1E1340">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9.5.2</w:t>
      </w:r>
      <w:r>
        <w:rPr>
          <w:rFonts w:hint="eastAsia" w:ascii="宋体" w:hAnsi="宋体"/>
          <w:kern w:val="0"/>
          <w:szCs w:val="20"/>
          <w:highlight w:val="none"/>
        </w:rPr>
        <w:t>承包人</w:t>
      </w:r>
      <w:r>
        <w:rPr>
          <w:rFonts w:hint="eastAsia" w:ascii="宋体" w:hAnsi="宋体"/>
          <w:szCs w:val="24"/>
          <w:highlight w:val="none"/>
        </w:rPr>
        <w:t>应严格遵守国家及地方政府颁发的安全施工、文明施工等规范、条例。发包人和监理单位的现场施工管理规定是本合同的组成部分，承包人有义务遵守。承包人施工用设施的搭设应报监理批准。</w:t>
      </w:r>
    </w:p>
    <w:p w14:paraId="294BB06A">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9.5.3承包人现场办公室应配置安全、完好的办公设备，包括复印机、电脑、打印机、传真机等。</w:t>
      </w:r>
    </w:p>
    <w:p w14:paraId="02D88418">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9.5.4施工期间，所有机械、工具、材料等应堆放整齐，场地平整，并按发包人和监理要求做好场地硬化施工、保持</w:t>
      </w:r>
      <w:r>
        <w:rPr>
          <w:rFonts w:hint="eastAsia" w:ascii="宋体" w:hAnsi="宋体"/>
          <w:kern w:val="0"/>
          <w:szCs w:val="20"/>
          <w:highlight w:val="none"/>
        </w:rPr>
        <w:t>道路</w:t>
      </w:r>
      <w:r>
        <w:rPr>
          <w:rFonts w:hint="eastAsia" w:ascii="宋体" w:hAnsi="宋体"/>
          <w:szCs w:val="24"/>
          <w:highlight w:val="none"/>
        </w:rPr>
        <w:t>坚实畅通，及时清除余土及建筑垃圾并做到工完场清。工程建设中每个楼层的多余材料、建筑垃圾必须通过井架或垃圾槽运输到地面，严禁从高空直接向下抛物，所有安全文明施工防护措施标注必须符合发包人要求；安全文明施工防护措施费已包含在投标报价的</w:t>
      </w:r>
      <w:r>
        <w:rPr>
          <w:rFonts w:hint="eastAsia" w:ascii="宋体" w:hAnsi="宋体" w:eastAsia="宋体" w:cs="宋体"/>
          <w:color w:val="auto"/>
          <w:highlight w:val="none"/>
          <w:u w:val="none"/>
          <w:lang w:val="en-US" w:eastAsia="zh-CN"/>
        </w:rPr>
        <w:t>安全生产措施费、文明施工措施费、环境保护措施费</w:t>
      </w:r>
      <w:r>
        <w:rPr>
          <w:rFonts w:hint="eastAsia" w:ascii="宋体" w:hAnsi="宋体" w:cs="宋体"/>
          <w:color w:val="auto"/>
          <w:highlight w:val="none"/>
          <w:u w:val="none"/>
          <w:lang w:val="en-US" w:eastAsia="zh-CN"/>
        </w:rPr>
        <w:t>、</w:t>
      </w:r>
      <w:r>
        <w:rPr>
          <w:rFonts w:hint="eastAsia" w:ascii="宋体" w:hAnsi="宋体" w:eastAsia="宋体" w:cs="宋体"/>
          <w:color w:val="auto"/>
          <w:highlight w:val="none"/>
          <w:u w:val="none"/>
          <w:lang w:val="en-US" w:eastAsia="zh-CN"/>
        </w:rPr>
        <w:t>临时设施措施费</w:t>
      </w:r>
      <w:r>
        <w:rPr>
          <w:rFonts w:hint="eastAsia" w:ascii="宋体" w:hAnsi="宋体"/>
          <w:szCs w:val="24"/>
          <w:highlight w:val="none"/>
        </w:rPr>
        <w:t>中，应按政府主管部门及发包人要求，专款专用。</w:t>
      </w:r>
    </w:p>
    <w:p w14:paraId="661ECD7B">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9.5.5施工用设备及场地要求具体包括不限于以下内容：</w:t>
      </w:r>
    </w:p>
    <w:p w14:paraId="52B31CB5">
      <w:pPr>
        <w:adjustRightInd w:val="0"/>
        <w:snapToGrid w:val="0"/>
        <w:spacing w:line="360" w:lineRule="auto"/>
        <w:ind w:firstLine="420" w:firstLineChars="200"/>
        <w:rPr>
          <w:rFonts w:ascii="宋体" w:hAnsi="宋体"/>
          <w:szCs w:val="24"/>
          <w:highlight w:val="none"/>
        </w:rPr>
      </w:pPr>
      <w:r>
        <w:rPr>
          <w:rFonts w:hint="eastAsia" w:ascii="宋体" w:hAnsi="宋体"/>
          <w:szCs w:val="24"/>
          <w:highlight w:val="none"/>
        </w:rPr>
        <w:t>1）对于发包人或监理下发的安全文明整改通知单，承包人必须无条件予以整改并达到发包人验收要求。</w:t>
      </w:r>
    </w:p>
    <w:p w14:paraId="60130A24">
      <w:pPr>
        <w:adjustRightInd w:val="0"/>
        <w:snapToGrid w:val="0"/>
        <w:spacing w:line="360" w:lineRule="auto"/>
        <w:ind w:firstLine="420" w:firstLineChars="200"/>
        <w:rPr>
          <w:rFonts w:ascii="宋体" w:hAnsi="宋体"/>
          <w:szCs w:val="24"/>
          <w:highlight w:val="none"/>
        </w:rPr>
      </w:pPr>
      <w:r>
        <w:rPr>
          <w:rFonts w:hint="eastAsia" w:ascii="宋体" w:hAnsi="宋体"/>
          <w:szCs w:val="24"/>
          <w:highlight w:val="none"/>
        </w:rPr>
        <w:t>2）承包人全体现场施工人员用餐必需到指定食堂或者划分的指定区域。</w:t>
      </w:r>
    </w:p>
    <w:p w14:paraId="72E61FB7">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9.5.6承包人应遵守国家有关环境保护、卫生监督的法律，按照合同约定采取有效措施，保证施工场地达到环境保护、卫生部门的管理要求，为现场所有人员提供并维护干净卫生的生活设施，并在颁发合同工程接收证书后的10天内，清理现场，运走全部施工设备、剩余材料和垃圾，保持施工场地和合同工程的清洁整齐。否则，发包人可自行处理或委托第三方处理留下的物品，所得金额在扣除由此发生的清理处置费用之后，将余额退还给承包人。</w:t>
      </w:r>
    </w:p>
    <w:p w14:paraId="6CE93290">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9.5.7承包人的现场安全文明管理除应满足当地政府主管部门及相关规章、规范要求外，还应满足发包人的管理要求，具体详见总承包合同附件《项目工程施工现场管理办法》及本协议附件1</w:t>
      </w:r>
      <w:r>
        <w:rPr>
          <w:rFonts w:hint="eastAsia" w:ascii="宋体" w:hAnsi="宋体"/>
          <w:szCs w:val="24"/>
          <w:highlight w:val="none"/>
          <w:lang w:val="en-US" w:eastAsia="zh-CN"/>
        </w:rPr>
        <w:t>4</w:t>
      </w:r>
      <w:r>
        <w:rPr>
          <w:rFonts w:hint="eastAsia" w:ascii="宋体" w:hAnsi="宋体"/>
          <w:szCs w:val="24"/>
          <w:highlight w:val="none"/>
        </w:rPr>
        <w:t>《粤海置地建设工程安全文明施工标准</w:t>
      </w:r>
      <w:r>
        <w:rPr>
          <w:rFonts w:hint="eastAsia" w:ascii="宋体" w:hAnsi="宋体"/>
          <w:szCs w:val="24"/>
          <w:highlight w:val="none"/>
          <w:lang w:val="en-US" w:eastAsia="zh-CN"/>
        </w:rPr>
        <w:t>化</w:t>
      </w:r>
      <w:r>
        <w:rPr>
          <w:rFonts w:hint="eastAsia" w:ascii="宋体" w:hAnsi="宋体"/>
          <w:szCs w:val="24"/>
          <w:highlight w:val="none"/>
        </w:rPr>
        <w:t>图册》，除指定由发包人负责的，其余均由承包人负责。</w:t>
      </w:r>
    </w:p>
    <w:p w14:paraId="034666ED">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 xml:space="preserve">9.6安全管理机构及人员配备要求 </w:t>
      </w:r>
    </w:p>
    <w:p w14:paraId="45C98E57">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9.6.1承包人应当组建项目安全生产领导小组，设立项目安全生产管理机构。</w:t>
      </w:r>
    </w:p>
    <w:p w14:paraId="49D83154">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9.6.2承包人必须达到《建筑施工企业安全生产管理机构设置及专职安全生产管理人员配备办法》要求，配备足够专职安全生产管理人员。如人员空缺，承包人应按本合同专用条款22.1约定支付违约金。</w:t>
      </w:r>
    </w:p>
    <w:p w14:paraId="78FEAFF5">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9.6.3如</w:t>
      </w:r>
      <w:r>
        <w:rPr>
          <w:rFonts w:hint="eastAsia" w:ascii="宋体" w:hAnsi="宋体"/>
          <w:kern w:val="0"/>
          <w:szCs w:val="20"/>
          <w:highlight w:val="none"/>
        </w:rPr>
        <w:t>专职</w:t>
      </w:r>
      <w:r>
        <w:rPr>
          <w:rFonts w:hint="eastAsia" w:ascii="宋体" w:hAnsi="宋体"/>
          <w:szCs w:val="24"/>
          <w:highlight w:val="none"/>
        </w:rPr>
        <w:t>安全生产管理人员缺少相应资格证书或不能达到安全管理要求的岗位能力，发包人有权要求更换安全管理人员，承包方必须无条件执行；否则视同人员空缺，承包人应按本合同专用条款22.1约定支付违约金。</w:t>
      </w:r>
    </w:p>
    <w:p w14:paraId="7CB9886F">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9.7施工准备阶段的安全生产工作</w:t>
      </w:r>
    </w:p>
    <w:p w14:paraId="479063F9">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9.7.1严格</w:t>
      </w:r>
      <w:r>
        <w:rPr>
          <w:rFonts w:hint="eastAsia" w:ascii="宋体" w:hAnsi="宋体"/>
          <w:kern w:val="0"/>
          <w:szCs w:val="20"/>
          <w:highlight w:val="none"/>
        </w:rPr>
        <w:t>贯彻</w:t>
      </w:r>
      <w:r>
        <w:rPr>
          <w:rFonts w:hint="eastAsia" w:ascii="宋体" w:hAnsi="宋体"/>
          <w:szCs w:val="24"/>
          <w:highlight w:val="none"/>
        </w:rPr>
        <w:t>住建部令37号《危险性较大的分部分项工程安全管理规定》要求，施工前必须编制施工组织设计（方案）、专项工程施工方案和安全生产保证措施；组织专家评审危险性较大的专项工程施工方案，评审未通过的不得进入施工阶段。承包人应在进场后28天内向监理单位提交《工程安全策划》，并由监理单位审核后提交至发包人。</w:t>
      </w:r>
    </w:p>
    <w:p w14:paraId="0C08E575">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9.7.2建立健全工程安全生产责任制度、安全生产保证体系，根据工程施工特点，配备相应职业资格等级及</w:t>
      </w:r>
      <w:r>
        <w:rPr>
          <w:rFonts w:hint="eastAsia" w:ascii="宋体" w:hAnsi="宋体"/>
          <w:kern w:val="0"/>
          <w:szCs w:val="20"/>
          <w:highlight w:val="none"/>
        </w:rPr>
        <w:t>数量</w:t>
      </w:r>
      <w:r>
        <w:rPr>
          <w:rFonts w:hint="eastAsia" w:ascii="宋体" w:hAnsi="宋体"/>
          <w:szCs w:val="24"/>
          <w:highlight w:val="none"/>
        </w:rPr>
        <w:t>的专职安全管理人员。</w:t>
      </w:r>
    </w:p>
    <w:p w14:paraId="7532BE4E">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9.7.3</w:t>
      </w:r>
      <w:r>
        <w:rPr>
          <w:rFonts w:hint="eastAsia" w:ascii="宋体" w:hAnsi="宋体"/>
          <w:kern w:val="0"/>
          <w:szCs w:val="20"/>
          <w:highlight w:val="none"/>
        </w:rPr>
        <w:t>结合</w:t>
      </w:r>
      <w:r>
        <w:rPr>
          <w:rFonts w:hint="eastAsia" w:ascii="宋体" w:hAnsi="宋体"/>
          <w:szCs w:val="24"/>
          <w:highlight w:val="none"/>
        </w:rPr>
        <w:t>风险特点，编制与工程相适应的生产安全事故应急救援预案，落实救援器材、设备的储备，配备足够的应急救援机构人员；开展应急管理，组织应急演练，提高作业人员应急处置能力。</w:t>
      </w:r>
    </w:p>
    <w:p w14:paraId="692228C4">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9.7.4</w:t>
      </w:r>
      <w:r>
        <w:rPr>
          <w:rFonts w:hint="eastAsia" w:ascii="宋体" w:hAnsi="宋体"/>
          <w:kern w:val="0"/>
          <w:szCs w:val="20"/>
          <w:highlight w:val="none"/>
        </w:rPr>
        <w:t>制定</w:t>
      </w:r>
      <w:r>
        <w:rPr>
          <w:rFonts w:hint="eastAsia" w:ascii="宋体" w:hAnsi="宋体"/>
          <w:szCs w:val="24"/>
          <w:highlight w:val="none"/>
        </w:rPr>
        <w:t>工程的安全生产、文明施工措施费使用计划和相关保证措施，配置施工安全防护用具、用品。</w:t>
      </w:r>
    </w:p>
    <w:p w14:paraId="5FE501DB">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9.7.5需</w:t>
      </w:r>
      <w:r>
        <w:rPr>
          <w:rFonts w:hint="eastAsia" w:ascii="宋体" w:hAnsi="宋体"/>
          <w:kern w:val="0"/>
          <w:szCs w:val="20"/>
          <w:highlight w:val="none"/>
        </w:rPr>
        <w:t>承包人</w:t>
      </w:r>
      <w:r>
        <w:rPr>
          <w:rFonts w:hint="eastAsia" w:ascii="宋体" w:hAnsi="宋体"/>
          <w:szCs w:val="24"/>
          <w:highlight w:val="none"/>
        </w:rPr>
        <w:t>按规定办理的有关施工场地交通、环境保护、施工噪音、安全文明施工防护措施等手续：承包人应在签订本合同之日起30个日历天内或发包人另行通知的时间内，负责按法律、法规和规章及有关部门要求办理完成为履行本工程施工所需的所有场地交通、环境保护、施工噪音、安全生产措施、文明施工措施、环境保护措施、临时设施措施、夜间施工、泥浆及污水排放、安全生产管理、质量安全监督、渣土运输等相关手续，并由承包人承担所有费用，该等费用已包含在暂定合同总价、措施费及相关工作的综合单价中，不再另行计取。若因上述手续未及时办理影响施工或造成政府部门处罚，工期不予延长，发包人不给予任何费用补偿，由此给发包人带来的损失由承包人承担。</w:t>
      </w:r>
    </w:p>
    <w:p w14:paraId="6819A62A">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9.8施工实施阶段的安全生产工作</w:t>
      </w:r>
    </w:p>
    <w:p w14:paraId="4FF950B3">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9.8.1严格按照发包人审查认可的施工组织设计（方案）、专项工程施工方案和安全生产保证措施组织施工；严格执行安全生产、文明施工措施费的使用计划，单列措施费台账，确保安全生产措施费用根据项目实际进展的有效投入。</w:t>
      </w:r>
    </w:p>
    <w:p w14:paraId="7951EDDD">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9.8.2所有</w:t>
      </w:r>
      <w:r>
        <w:rPr>
          <w:rFonts w:hint="eastAsia" w:ascii="宋体" w:hAnsi="宋体"/>
          <w:kern w:val="0"/>
          <w:szCs w:val="20"/>
          <w:highlight w:val="none"/>
        </w:rPr>
        <w:t>进入</w:t>
      </w:r>
      <w:r>
        <w:rPr>
          <w:rFonts w:hint="eastAsia" w:ascii="宋体" w:hAnsi="宋体"/>
          <w:szCs w:val="24"/>
          <w:highlight w:val="none"/>
        </w:rPr>
        <w:t>施工现场的作业人员，必须经过安全生产教育培训，未经教育培训或者教育培训考核不合格的人员，不得上岗作业；工程施工前，承包方负责工程管理的技术人员应当对有关安全施工的技术要求向施工作业班组、作业人员作出详细说明，并由双方签字确认；工程所采用的新技术、新工艺、新设备、新材料，应当对作业人员进行相应的安全生产教育培训；电工、金属焊接(切割)工、垂直运输机械作业人员、安装拆卸工、起重信号工、登高架设高处作业人员等特种作业人员，必须按照国家有关规定经过专门的安全作业培训，并取得特种作业操作资格证书后，方可上岗作业；对现场从事危险作业的人员办理意外伤害保险；不得在尚未竣工的建筑物内设置员工集体宿舍。</w:t>
      </w:r>
    </w:p>
    <w:p w14:paraId="7D69DF9D">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9.8.3对所承担工程进行定期和专项安全检查，并做好隐患排查治理，保存好安全检查记录；同时必须强化重点风险作业过程安全管控，尤其是动火作业、起重吊装、高处作业、基坑施工、施工用电、脚手架工程等方面。</w:t>
      </w:r>
    </w:p>
    <w:p w14:paraId="1EB457E5">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9.8.4对</w:t>
      </w:r>
      <w:r>
        <w:rPr>
          <w:rFonts w:hint="eastAsia" w:ascii="宋体" w:hAnsi="宋体"/>
          <w:kern w:val="0"/>
          <w:szCs w:val="20"/>
          <w:highlight w:val="none"/>
        </w:rPr>
        <w:t>进入</w:t>
      </w:r>
      <w:r>
        <w:rPr>
          <w:rFonts w:hint="eastAsia" w:ascii="宋体" w:hAnsi="宋体"/>
          <w:szCs w:val="24"/>
          <w:highlight w:val="none"/>
        </w:rPr>
        <w:t>现场的安全防护用具、用品、机械设备、施工机具及配件等，必须核查其生产、检验（测）等相应证书，无生产、检验（测）合格记录等相应证书的不得使用，并做好日常检查、维修和保养以及相应记录资料归档工作；在使用施工起重机械、垂直升降机械设施前，必须依法组织进行登记验收，验收合格后方可使用。</w:t>
      </w:r>
    </w:p>
    <w:p w14:paraId="50F4C9CF">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9.8.5在工程现场入口处、施工起重机械、临时用电设施、脚手架、出入通道口、楼梯口、电梯井口、孔洞口、基坑边沿、易燃物以及有害危险气体和液体存放处等危险部位，必须设置明显的安全警示标志。</w:t>
      </w:r>
    </w:p>
    <w:p w14:paraId="451AECD8">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9.8.6根据</w:t>
      </w:r>
      <w:r>
        <w:rPr>
          <w:rFonts w:hint="eastAsia" w:ascii="宋体" w:hAnsi="宋体"/>
          <w:kern w:val="0"/>
          <w:szCs w:val="20"/>
          <w:highlight w:val="none"/>
        </w:rPr>
        <w:t>不同</w:t>
      </w:r>
      <w:r>
        <w:rPr>
          <w:rFonts w:hint="eastAsia" w:ascii="宋体" w:hAnsi="宋体"/>
          <w:szCs w:val="24"/>
          <w:highlight w:val="none"/>
        </w:rPr>
        <w:t>施工阶段和周围环境及季节、气候的变化，在施工现场必须采取相应的安全施工措施。</w:t>
      </w:r>
    </w:p>
    <w:p w14:paraId="4DF3430A">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9.8.7</w:t>
      </w:r>
      <w:r>
        <w:rPr>
          <w:rFonts w:hint="eastAsia" w:ascii="宋体" w:hAnsi="宋体"/>
          <w:kern w:val="0"/>
          <w:szCs w:val="20"/>
          <w:highlight w:val="none"/>
        </w:rPr>
        <w:t>工程施工</w:t>
      </w:r>
      <w:r>
        <w:rPr>
          <w:rFonts w:hint="eastAsia" w:ascii="宋体" w:hAnsi="宋体"/>
          <w:szCs w:val="24"/>
          <w:highlight w:val="none"/>
        </w:rPr>
        <w:t>需要实施分包的分部工程和劳务作业，承包人必须分包给具有相应资质、安全条件的专业承包企业和劳务分包企业，在签订分包合同中应当明确各自的安全生产方面的权利、义务，并进行施工安全生产交底。</w:t>
      </w:r>
    </w:p>
    <w:p w14:paraId="2280A63C">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9.8.8保证安全设施、环保设施、消防设施、劳动安全卫生设施及设备的质量和安装质量，确保通过验收。</w:t>
      </w:r>
    </w:p>
    <w:p w14:paraId="6BD79275">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9.9合同安全管理专篇</w:t>
      </w:r>
    </w:p>
    <w:p w14:paraId="4A5F790D">
      <w:pPr>
        <w:numPr>
          <w:ilvl w:val="2"/>
          <w:numId w:val="0"/>
        </w:numPr>
        <w:adjustRightInd w:val="0"/>
        <w:snapToGrid w:val="0"/>
        <w:spacing w:line="360" w:lineRule="auto"/>
        <w:ind w:firstLine="420" w:firstLineChars="200"/>
        <w:jc w:val="left"/>
        <w:outlineLvl w:val="2"/>
        <w:rPr>
          <w:rFonts w:ascii="宋体" w:hAnsi="宋体"/>
          <w:szCs w:val="24"/>
          <w:highlight w:val="none"/>
        </w:rPr>
      </w:pPr>
      <w:r>
        <w:rPr>
          <w:rFonts w:hint="eastAsia" w:ascii="宋体" w:hAnsi="宋体"/>
          <w:szCs w:val="24"/>
          <w:highlight w:val="none"/>
        </w:rPr>
        <w:t>除以上施工安全、治安保卫、环境保护相关要求外，承包人应按总承包合同附件《安全管理专篇》严格落实安全生产管理要求。若本合同第9.1~9.8款施工安全、治安保护和环境保护的相关约定与总承包合同附件的《合同安全管理专篇》、《安全管理协议书》约定有重复的，以从严约定为准执行，若两者约定有冲突或不一致的，以总承包合同附件的《合同安全管理专篇》及《安全管理协议书》约定为准执行。</w:t>
      </w:r>
    </w:p>
    <w:p w14:paraId="12F4BCDF">
      <w:pPr>
        <w:keepNext/>
        <w:keepLines/>
        <w:numPr>
          <w:ilvl w:val="0"/>
          <w:numId w:val="4"/>
        </w:numPr>
        <w:adjustRightInd w:val="0"/>
        <w:snapToGrid w:val="0"/>
        <w:spacing w:line="360" w:lineRule="auto"/>
        <w:outlineLvl w:val="0"/>
        <w:rPr>
          <w:rFonts w:ascii="宋体" w:hAnsi="宋体"/>
          <w:b/>
          <w:bCs/>
          <w:kern w:val="44"/>
          <w:sz w:val="28"/>
          <w:szCs w:val="44"/>
          <w:highlight w:val="none"/>
        </w:rPr>
      </w:pPr>
      <w:r>
        <w:rPr>
          <w:rFonts w:hint="eastAsia" w:ascii="宋体" w:hAnsi="宋体"/>
          <w:b/>
          <w:bCs/>
          <w:kern w:val="44"/>
          <w:sz w:val="28"/>
          <w:szCs w:val="44"/>
          <w:highlight w:val="none"/>
        </w:rPr>
        <w:tab/>
      </w:r>
      <w:bookmarkStart w:id="306" w:name="_Toc1541"/>
      <w:bookmarkStart w:id="307" w:name="_Toc167701659"/>
      <w:bookmarkStart w:id="308" w:name="_Toc5185"/>
      <w:bookmarkStart w:id="309" w:name="_Toc29906"/>
      <w:bookmarkStart w:id="310" w:name="_Toc2299"/>
      <w:bookmarkStart w:id="311" w:name="_Toc23854"/>
      <w:bookmarkStart w:id="312" w:name="_Toc4150"/>
      <w:bookmarkStart w:id="313" w:name="_Toc167975584"/>
      <w:bookmarkStart w:id="314" w:name="_Toc2644"/>
      <w:bookmarkStart w:id="315" w:name="_Toc19527"/>
      <w:bookmarkStart w:id="316" w:name="_Toc17957"/>
      <w:bookmarkStart w:id="317" w:name="_Toc427331245"/>
      <w:bookmarkStart w:id="318" w:name="_Toc14338"/>
      <w:bookmarkStart w:id="319" w:name="_Toc350865212"/>
      <w:bookmarkStart w:id="320" w:name="_Toc3561"/>
      <w:bookmarkStart w:id="321" w:name="_Toc167701760"/>
      <w:bookmarkStart w:id="322" w:name="_Toc25689"/>
      <w:bookmarkStart w:id="323" w:name="_Toc13688"/>
      <w:bookmarkStart w:id="324" w:name="_Toc27225"/>
      <w:bookmarkStart w:id="325" w:name="_Toc350865574"/>
      <w:bookmarkStart w:id="326" w:name="_Toc20612"/>
      <w:bookmarkStart w:id="327" w:name="_Toc13475"/>
      <w:bookmarkStart w:id="328" w:name="_Toc31830"/>
      <w:bookmarkStart w:id="329" w:name="_Toc14975"/>
      <w:bookmarkStart w:id="330" w:name="_Toc14307"/>
      <w:bookmarkStart w:id="331" w:name="_Toc10173"/>
      <w:r>
        <w:rPr>
          <w:rFonts w:hint="eastAsia" w:ascii="宋体" w:hAnsi="宋体"/>
          <w:b/>
          <w:bCs/>
          <w:kern w:val="44"/>
          <w:sz w:val="28"/>
          <w:szCs w:val="44"/>
          <w:highlight w:val="none"/>
        </w:rPr>
        <w:t>进度计划</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5B2690BF">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10.1.合同进度计划</w:t>
      </w:r>
    </w:p>
    <w:p w14:paraId="73D15854">
      <w:pPr>
        <w:numPr>
          <w:ilvl w:val="2"/>
          <w:numId w:val="0"/>
        </w:numPr>
        <w:adjustRightInd w:val="0"/>
        <w:snapToGrid w:val="0"/>
        <w:spacing w:line="360" w:lineRule="auto"/>
        <w:ind w:firstLine="420" w:firstLineChars="200"/>
        <w:jc w:val="left"/>
        <w:outlineLvl w:val="2"/>
        <w:rPr>
          <w:rFonts w:ascii="宋体" w:hAnsi="宋体"/>
          <w:kern w:val="0"/>
          <w:szCs w:val="20"/>
          <w:highlight w:val="none"/>
          <w:u w:val="single"/>
        </w:rPr>
      </w:pPr>
      <w:r>
        <w:rPr>
          <w:rFonts w:hint="eastAsia" w:ascii="宋体" w:hAnsi="宋体"/>
          <w:kern w:val="0"/>
          <w:szCs w:val="20"/>
          <w:highlight w:val="none"/>
        </w:rPr>
        <w:t>10.1.1.承包人向发包人提供的计划、报表名称及提交时间：</w:t>
      </w:r>
      <w:r>
        <w:rPr>
          <w:rFonts w:hint="eastAsia" w:ascii="宋体" w:hAnsi="宋体"/>
          <w:kern w:val="0"/>
          <w:szCs w:val="20"/>
          <w:highlight w:val="none"/>
          <w:u w:val="none"/>
        </w:rPr>
        <w:t>开工前一周按发包人、监理人要求提供施工组织计划及总进度计划、设备材料需求总计划（包括向发包人报批品牌系列、样板，采购供货合同签订，进场及施工安装）等资料。</w:t>
      </w:r>
    </w:p>
    <w:p w14:paraId="66F1CB44">
      <w:pPr>
        <w:numPr>
          <w:ilvl w:val="2"/>
          <w:numId w:val="0"/>
        </w:numPr>
        <w:adjustRightInd w:val="0"/>
        <w:snapToGrid w:val="0"/>
        <w:spacing w:line="360" w:lineRule="auto"/>
        <w:ind w:firstLine="420" w:firstLineChars="200"/>
        <w:jc w:val="left"/>
        <w:outlineLvl w:val="2"/>
        <w:rPr>
          <w:rFonts w:hint="eastAsia" w:ascii="宋体" w:hAnsi="宋体"/>
          <w:kern w:val="0"/>
          <w:szCs w:val="20"/>
          <w:highlight w:val="none"/>
        </w:rPr>
      </w:pPr>
      <w:r>
        <w:rPr>
          <w:rFonts w:hint="eastAsia" w:ascii="宋体" w:hAnsi="宋体"/>
          <w:kern w:val="0"/>
          <w:szCs w:val="20"/>
          <w:highlight w:val="none"/>
        </w:rPr>
        <w:t>10.1.2.合同实施过程中发包人控制的工期节点时间及违约金如下表：</w:t>
      </w:r>
    </w:p>
    <w:tbl>
      <w:tblPr>
        <w:tblStyle w:val="41"/>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638"/>
        <w:gridCol w:w="1203"/>
        <w:gridCol w:w="2986"/>
        <w:gridCol w:w="1200"/>
        <w:gridCol w:w="1145"/>
        <w:gridCol w:w="1132"/>
        <w:gridCol w:w="1023"/>
      </w:tblGrid>
      <w:tr w14:paraId="748E6F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wAfter w:w="226" w:type="dxa"/>
          <w:trHeight w:val="467" w:hRule="atLeast"/>
        </w:trPr>
        <w:tc>
          <w:tcPr>
            <w:tcW w:w="638" w:type="dxa"/>
            <w:tcBorders>
              <w:bottom w:val="single" w:color="auto" w:sz="4" w:space="0"/>
              <w:right w:val="single" w:color="auto" w:sz="4" w:space="0"/>
            </w:tcBorders>
            <w:noWrap/>
            <w:vAlign w:val="center"/>
          </w:tcPr>
          <w:p w14:paraId="094A7644">
            <w:pPr>
              <w:widowControl/>
              <w:jc w:val="center"/>
              <w:rPr>
                <w:rFonts w:ascii="仿宋" w:hAnsi="仿宋" w:eastAsia="仿宋"/>
                <w:b/>
                <w:bCs/>
                <w:color w:val="000000"/>
                <w:kern w:val="0"/>
                <w:szCs w:val="21"/>
                <w:highlight w:val="none"/>
              </w:rPr>
            </w:pPr>
            <w:r>
              <w:rPr>
                <w:rFonts w:hint="eastAsia" w:ascii="仿宋" w:hAnsi="仿宋" w:eastAsia="仿宋"/>
                <w:b/>
                <w:bCs/>
                <w:color w:val="000000"/>
                <w:kern w:val="0"/>
                <w:szCs w:val="21"/>
                <w:highlight w:val="none"/>
              </w:rPr>
              <w:t>序号</w:t>
            </w:r>
          </w:p>
        </w:tc>
        <w:tc>
          <w:tcPr>
            <w:tcW w:w="4189" w:type="dxa"/>
            <w:gridSpan w:val="2"/>
            <w:tcBorders>
              <w:left w:val="nil"/>
              <w:bottom w:val="single" w:color="auto" w:sz="4" w:space="0"/>
              <w:right w:val="single" w:color="auto" w:sz="4" w:space="0"/>
            </w:tcBorders>
            <w:noWrap/>
            <w:vAlign w:val="center"/>
          </w:tcPr>
          <w:p w14:paraId="2B79837C">
            <w:pPr>
              <w:widowControl/>
              <w:jc w:val="center"/>
              <w:rPr>
                <w:rFonts w:ascii="仿宋" w:hAnsi="仿宋" w:eastAsia="仿宋"/>
                <w:b/>
                <w:bCs/>
                <w:color w:val="000000"/>
                <w:kern w:val="0"/>
                <w:szCs w:val="21"/>
                <w:highlight w:val="none"/>
              </w:rPr>
            </w:pPr>
            <w:r>
              <w:rPr>
                <w:rFonts w:hint="eastAsia" w:ascii="仿宋" w:hAnsi="仿宋" w:eastAsia="仿宋"/>
                <w:b/>
                <w:bCs/>
                <w:color w:val="000000"/>
                <w:kern w:val="0"/>
                <w:szCs w:val="21"/>
                <w:highlight w:val="none"/>
              </w:rPr>
              <w:t>工作事项</w:t>
            </w:r>
          </w:p>
        </w:tc>
        <w:tc>
          <w:tcPr>
            <w:tcW w:w="1200" w:type="dxa"/>
            <w:tcBorders>
              <w:left w:val="nil"/>
              <w:bottom w:val="single" w:color="auto" w:sz="4" w:space="0"/>
              <w:right w:val="single" w:color="auto" w:sz="4" w:space="0"/>
            </w:tcBorders>
            <w:vAlign w:val="center"/>
          </w:tcPr>
          <w:p w14:paraId="49125138">
            <w:pPr>
              <w:widowControl/>
              <w:jc w:val="center"/>
              <w:rPr>
                <w:rFonts w:ascii="仿宋" w:hAnsi="仿宋" w:eastAsia="仿宋"/>
                <w:b/>
                <w:bCs/>
                <w:color w:val="000000"/>
                <w:kern w:val="0"/>
                <w:szCs w:val="21"/>
                <w:highlight w:val="none"/>
              </w:rPr>
            </w:pPr>
            <w:r>
              <w:rPr>
                <w:rFonts w:hint="eastAsia" w:ascii="仿宋" w:hAnsi="仿宋" w:eastAsia="仿宋"/>
                <w:b/>
                <w:bCs/>
                <w:color w:val="000000"/>
                <w:kern w:val="0"/>
                <w:szCs w:val="21"/>
                <w:highlight w:val="none"/>
              </w:rPr>
              <w:t>开始时间</w:t>
            </w:r>
          </w:p>
        </w:tc>
        <w:tc>
          <w:tcPr>
            <w:tcW w:w="1145" w:type="dxa"/>
            <w:tcBorders>
              <w:left w:val="nil"/>
              <w:bottom w:val="single" w:color="auto" w:sz="4" w:space="0"/>
              <w:right w:val="single" w:color="auto" w:sz="4" w:space="0"/>
            </w:tcBorders>
            <w:vAlign w:val="center"/>
          </w:tcPr>
          <w:p w14:paraId="7CB51699">
            <w:pPr>
              <w:widowControl/>
              <w:jc w:val="center"/>
              <w:rPr>
                <w:rFonts w:ascii="仿宋" w:hAnsi="仿宋" w:eastAsia="仿宋"/>
                <w:b/>
                <w:bCs/>
                <w:color w:val="000000"/>
                <w:kern w:val="0"/>
                <w:szCs w:val="21"/>
                <w:highlight w:val="none"/>
              </w:rPr>
            </w:pPr>
            <w:r>
              <w:rPr>
                <w:rFonts w:hint="eastAsia" w:ascii="仿宋" w:hAnsi="仿宋" w:eastAsia="仿宋"/>
                <w:b/>
                <w:bCs/>
                <w:color w:val="000000"/>
                <w:kern w:val="0"/>
                <w:szCs w:val="21"/>
                <w:highlight w:val="none"/>
              </w:rPr>
              <w:t>完成时间</w:t>
            </w:r>
          </w:p>
        </w:tc>
        <w:tc>
          <w:tcPr>
            <w:tcW w:w="1132" w:type="dxa"/>
            <w:tcBorders>
              <w:left w:val="nil"/>
              <w:bottom w:val="single" w:color="auto" w:sz="4" w:space="0"/>
              <w:right w:val="single" w:color="auto" w:sz="4" w:space="0"/>
            </w:tcBorders>
            <w:vAlign w:val="center"/>
          </w:tcPr>
          <w:p w14:paraId="65E9DEFC">
            <w:pPr>
              <w:widowControl/>
              <w:jc w:val="center"/>
              <w:rPr>
                <w:rFonts w:ascii="仿宋" w:hAnsi="仿宋" w:eastAsia="仿宋"/>
                <w:b/>
                <w:bCs/>
                <w:color w:val="000000"/>
                <w:kern w:val="0"/>
                <w:szCs w:val="21"/>
                <w:highlight w:val="none"/>
              </w:rPr>
            </w:pPr>
            <w:r>
              <w:rPr>
                <w:rFonts w:hint="eastAsia" w:ascii="仿宋" w:hAnsi="仿宋" w:eastAsia="仿宋"/>
                <w:b/>
                <w:bCs/>
                <w:color w:val="000000"/>
                <w:kern w:val="0"/>
                <w:szCs w:val="21"/>
                <w:highlight w:val="none"/>
              </w:rPr>
              <w:t>工期（天）</w:t>
            </w:r>
          </w:p>
        </w:tc>
        <w:tc>
          <w:tcPr>
            <w:tcW w:w="1023" w:type="dxa"/>
            <w:tcBorders>
              <w:left w:val="nil"/>
              <w:bottom w:val="single" w:color="auto" w:sz="4" w:space="0"/>
            </w:tcBorders>
            <w:vAlign w:val="center"/>
          </w:tcPr>
          <w:p w14:paraId="39DE669F">
            <w:pPr>
              <w:widowControl/>
              <w:jc w:val="center"/>
              <w:rPr>
                <w:rFonts w:ascii="仿宋" w:hAnsi="仿宋" w:eastAsia="仿宋"/>
                <w:b/>
                <w:bCs/>
                <w:color w:val="000000"/>
                <w:kern w:val="0"/>
                <w:szCs w:val="21"/>
                <w:highlight w:val="none"/>
              </w:rPr>
            </w:pPr>
            <w:r>
              <w:rPr>
                <w:rFonts w:hint="eastAsia" w:ascii="仿宋" w:hAnsi="仿宋" w:eastAsia="仿宋"/>
                <w:b/>
                <w:bCs/>
                <w:color w:val="000000"/>
                <w:kern w:val="0"/>
                <w:szCs w:val="21"/>
                <w:highlight w:val="none"/>
              </w:rPr>
              <w:t>备注</w:t>
            </w:r>
          </w:p>
        </w:tc>
      </w:tr>
      <w:tr w14:paraId="721F8E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wAfter w:w="226" w:type="dxa"/>
          <w:trHeight w:val="413" w:hRule="atLeast"/>
        </w:trPr>
        <w:tc>
          <w:tcPr>
            <w:tcW w:w="638" w:type="dxa"/>
            <w:tcBorders>
              <w:top w:val="single" w:color="auto" w:sz="4" w:space="0"/>
              <w:bottom w:val="single" w:color="auto" w:sz="4" w:space="0"/>
              <w:right w:val="single" w:color="auto" w:sz="4" w:space="0"/>
            </w:tcBorders>
            <w:noWrap/>
            <w:vAlign w:val="center"/>
          </w:tcPr>
          <w:p w14:paraId="0283D61B">
            <w:pPr>
              <w:widowControl/>
              <w:jc w:val="center"/>
              <w:rPr>
                <w:rFonts w:ascii="仿宋" w:hAnsi="仿宋" w:eastAsia="仿宋"/>
                <w:b w:val="0"/>
                <w:bCs/>
                <w:color w:val="000000"/>
                <w:kern w:val="0"/>
                <w:szCs w:val="21"/>
                <w:highlight w:val="none"/>
              </w:rPr>
            </w:pPr>
            <w:r>
              <w:rPr>
                <w:rFonts w:hint="eastAsia" w:ascii="仿宋" w:hAnsi="仿宋" w:eastAsia="仿宋"/>
                <w:b w:val="0"/>
                <w:bCs/>
                <w:color w:val="000000"/>
                <w:kern w:val="0"/>
                <w:szCs w:val="21"/>
                <w:highlight w:val="none"/>
              </w:rPr>
              <w:t>1</w:t>
            </w:r>
          </w:p>
        </w:tc>
        <w:tc>
          <w:tcPr>
            <w:tcW w:w="4189" w:type="dxa"/>
            <w:gridSpan w:val="2"/>
            <w:tcBorders>
              <w:top w:val="single" w:color="auto" w:sz="4" w:space="0"/>
              <w:left w:val="single" w:color="auto" w:sz="4" w:space="0"/>
              <w:bottom w:val="single" w:color="auto" w:sz="4" w:space="0"/>
              <w:right w:val="single" w:color="auto" w:sz="4" w:space="0"/>
            </w:tcBorders>
            <w:vAlign w:val="center"/>
          </w:tcPr>
          <w:p w14:paraId="1B36F2F9">
            <w:pPr>
              <w:widowControl/>
              <w:jc w:val="center"/>
              <w:rPr>
                <w:rFonts w:ascii="仿宋" w:hAnsi="仿宋" w:eastAsia="仿宋"/>
                <w:b w:val="0"/>
                <w:bCs/>
                <w:color w:val="000000"/>
                <w:kern w:val="0"/>
                <w:szCs w:val="21"/>
                <w:highlight w:val="none"/>
              </w:rPr>
            </w:pPr>
            <w:r>
              <w:rPr>
                <w:rFonts w:hint="eastAsia" w:ascii="仿宋" w:hAnsi="仿宋" w:eastAsia="仿宋"/>
                <w:b w:val="0"/>
                <w:bCs/>
                <w:color w:val="000000"/>
                <w:kern w:val="0"/>
                <w:szCs w:val="21"/>
                <w:highlight w:val="none"/>
              </w:rPr>
              <w:t>图纸深化</w:t>
            </w:r>
          </w:p>
        </w:tc>
        <w:tc>
          <w:tcPr>
            <w:tcW w:w="1200" w:type="dxa"/>
            <w:vMerge w:val="restart"/>
            <w:tcBorders>
              <w:top w:val="single" w:color="auto" w:sz="4" w:space="0"/>
              <w:left w:val="nil"/>
              <w:right w:val="single" w:color="auto" w:sz="4" w:space="0"/>
            </w:tcBorders>
            <w:vAlign w:val="center"/>
          </w:tcPr>
          <w:p w14:paraId="259EDFEB">
            <w:pPr>
              <w:jc w:val="center"/>
              <w:rPr>
                <w:rFonts w:hint="eastAsia" w:ascii="仿宋" w:hAnsi="仿宋" w:eastAsia="仿宋"/>
                <w:b w:val="0"/>
                <w:bCs/>
                <w:color w:val="000000"/>
                <w:kern w:val="0"/>
                <w:szCs w:val="21"/>
                <w:highlight w:val="none"/>
                <w:lang w:val="en-US" w:eastAsia="zh-CN"/>
              </w:rPr>
            </w:pPr>
            <w:r>
              <w:rPr>
                <w:rFonts w:hint="eastAsia" w:ascii="仿宋" w:hAnsi="仿宋" w:eastAsia="仿宋"/>
                <w:b w:val="0"/>
                <w:bCs/>
                <w:color w:val="000000"/>
                <w:kern w:val="0"/>
                <w:szCs w:val="21"/>
                <w:highlight w:val="none"/>
                <w:lang w:val="en-US" w:eastAsia="zh-CN"/>
              </w:rPr>
              <w:t>A</w:t>
            </w:r>
          </w:p>
        </w:tc>
        <w:tc>
          <w:tcPr>
            <w:tcW w:w="1145" w:type="dxa"/>
            <w:tcBorders>
              <w:top w:val="single" w:color="auto" w:sz="4" w:space="0"/>
              <w:left w:val="nil"/>
              <w:bottom w:val="single" w:color="auto" w:sz="4" w:space="0"/>
              <w:right w:val="single" w:color="auto" w:sz="4" w:space="0"/>
            </w:tcBorders>
            <w:vAlign w:val="center"/>
          </w:tcPr>
          <w:p w14:paraId="6E1DB6CE">
            <w:pPr>
              <w:jc w:val="center"/>
              <w:rPr>
                <w:rFonts w:ascii="仿宋" w:hAnsi="仿宋" w:eastAsia="仿宋"/>
                <w:b w:val="0"/>
                <w:bCs/>
                <w:color w:val="000000"/>
                <w:kern w:val="0"/>
                <w:szCs w:val="21"/>
                <w:highlight w:val="none"/>
              </w:rPr>
            </w:pPr>
            <w:r>
              <w:rPr>
                <w:rFonts w:ascii="仿宋" w:hAnsi="仿宋" w:eastAsia="仿宋"/>
                <w:b w:val="0"/>
                <w:bCs/>
                <w:kern w:val="0"/>
                <w:szCs w:val="21"/>
                <w:highlight w:val="none"/>
              </w:rPr>
              <w:t>A</w:t>
            </w:r>
            <w:r>
              <w:rPr>
                <w:rFonts w:ascii="仿宋" w:hAnsi="仿宋" w:eastAsia="仿宋"/>
                <w:b w:val="0"/>
                <w:bCs/>
                <w:color w:val="000000"/>
                <w:kern w:val="0"/>
                <w:szCs w:val="21"/>
                <w:highlight w:val="none"/>
              </w:rPr>
              <w:t>+</w:t>
            </w:r>
            <w:r>
              <w:rPr>
                <w:rFonts w:hint="eastAsia" w:ascii="仿宋" w:hAnsi="仿宋" w:eastAsia="仿宋"/>
                <w:b w:val="0"/>
                <w:bCs/>
                <w:color w:val="000000"/>
                <w:kern w:val="0"/>
                <w:szCs w:val="21"/>
                <w:highlight w:val="none"/>
                <w:lang w:val="en-US" w:eastAsia="zh-CN"/>
              </w:rPr>
              <w:t>3</w:t>
            </w:r>
            <w:r>
              <w:rPr>
                <w:rFonts w:hint="eastAsia" w:ascii="仿宋" w:hAnsi="仿宋" w:eastAsia="仿宋"/>
                <w:b w:val="0"/>
                <w:bCs/>
                <w:color w:val="000000"/>
                <w:kern w:val="0"/>
                <w:szCs w:val="21"/>
                <w:highlight w:val="none"/>
              </w:rPr>
              <w:t>0</w:t>
            </w:r>
          </w:p>
        </w:tc>
        <w:tc>
          <w:tcPr>
            <w:tcW w:w="1132" w:type="dxa"/>
            <w:tcBorders>
              <w:top w:val="single" w:color="auto" w:sz="4" w:space="0"/>
              <w:left w:val="nil"/>
              <w:bottom w:val="single" w:color="auto" w:sz="4" w:space="0"/>
              <w:right w:val="single" w:color="auto" w:sz="4" w:space="0"/>
            </w:tcBorders>
            <w:vAlign w:val="center"/>
          </w:tcPr>
          <w:p w14:paraId="3200BA70">
            <w:pPr>
              <w:widowControl/>
              <w:jc w:val="center"/>
              <w:rPr>
                <w:rFonts w:ascii="仿宋" w:hAnsi="仿宋" w:eastAsia="仿宋"/>
                <w:b w:val="0"/>
                <w:bCs/>
                <w:color w:val="000000"/>
                <w:kern w:val="0"/>
                <w:szCs w:val="21"/>
                <w:highlight w:val="none"/>
              </w:rPr>
            </w:pPr>
            <w:r>
              <w:rPr>
                <w:rFonts w:hint="eastAsia" w:ascii="仿宋" w:hAnsi="仿宋" w:eastAsia="仿宋"/>
                <w:b w:val="0"/>
                <w:bCs/>
                <w:color w:val="000000"/>
                <w:kern w:val="0"/>
                <w:szCs w:val="21"/>
                <w:highlight w:val="none"/>
                <w:lang w:val="en-US" w:eastAsia="zh-CN"/>
              </w:rPr>
              <w:t>3</w:t>
            </w:r>
            <w:r>
              <w:rPr>
                <w:rFonts w:hint="eastAsia" w:ascii="仿宋" w:hAnsi="仿宋" w:eastAsia="仿宋"/>
                <w:b w:val="0"/>
                <w:bCs/>
                <w:color w:val="000000"/>
                <w:kern w:val="0"/>
                <w:szCs w:val="21"/>
                <w:highlight w:val="none"/>
              </w:rPr>
              <w:t>0</w:t>
            </w:r>
            <w:r>
              <w:rPr>
                <w:rFonts w:ascii="仿宋" w:hAnsi="仿宋" w:eastAsia="仿宋"/>
                <w:b w:val="0"/>
                <w:bCs/>
                <w:color w:val="000000"/>
                <w:kern w:val="0"/>
                <w:szCs w:val="21"/>
                <w:highlight w:val="none"/>
              </w:rPr>
              <w:t xml:space="preserve"> </w:t>
            </w:r>
          </w:p>
        </w:tc>
        <w:tc>
          <w:tcPr>
            <w:tcW w:w="1023" w:type="dxa"/>
            <w:vMerge w:val="restart"/>
            <w:tcBorders>
              <w:top w:val="single" w:color="auto" w:sz="4" w:space="0"/>
              <w:left w:val="nil"/>
            </w:tcBorders>
            <w:vAlign w:val="center"/>
          </w:tcPr>
          <w:p w14:paraId="7B063768">
            <w:pPr>
              <w:widowControl/>
              <w:jc w:val="left"/>
              <w:rPr>
                <w:rFonts w:ascii="仿宋" w:hAnsi="仿宋" w:eastAsia="仿宋"/>
                <w:b/>
                <w:color w:val="000000"/>
                <w:kern w:val="0"/>
                <w:szCs w:val="21"/>
                <w:highlight w:val="none"/>
              </w:rPr>
            </w:pPr>
            <w:r>
              <w:rPr>
                <w:rFonts w:hint="eastAsia" w:hAnsi="宋体" w:eastAsia="仿宋_GB2312"/>
                <w:b/>
                <w:kern w:val="0"/>
                <w:sz w:val="20"/>
                <w:szCs w:val="32"/>
                <w:highlight w:val="none"/>
              </w:rPr>
              <w:t>A为书面通知开工时间，暂定2025年</w:t>
            </w:r>
            <w:r>
              <w:rPr>
                <w:rFonts w:hint="eastAsia" w:hAnsi="宋体" w:eastAsia="仿宋_GB2312"/>
                <w:b/>
                <w:kern w:val="0"/>
                <w:sz w:val="20"/>
                <w:szCs w:val="32"/>
                <w:highlight w:val="none"/>
                <w:lang w:val="en-US" w:eastAsia="zh-CN"/>
              </w:rPr>
              <w:t>9</w:t>
            </w:r>
            <w:r>
              <w:rPr>
                <w:rFonts w:hint="eastAsia" w:hAnsi="宋体" w:eastAsia="仿宋_GB2312"/>
                <w:b/>
                <w:kern w:val="0"/>
                <w:sz w:val="20"/>
                <w:szCs w:val="32"/>
                <w:highlight w:val="none"/>
              </w:rPr>
              <w:t>月</w:t>
            </w:r>
            <w:r>
              <w:rPr>
                <w:rFonts w:hint="eastAsia" w:hAnsi="宋体" w:eastAsia="仿宋_GB2312"/>
                <w:b/>
                <w:kern w:val="0"/>
                <w:sz w:val="20"/>
                <w:szCs w:val="32"/>
                <w:highlight w:val="none"/>
                <w:lang w:val="en-US" w:eastAsia="zh-CN"/>
              </w:rPr>
              <w:t>20</w:t>
            </w:r>
            <w:r>
              <w:rPr>
                <w:rFonts w:hint="eastAsia" w:hAnsi="宋体" w:eastAsia="仿宋_GB2312"/>
                <w:b/>
                <w:kern w:val="0"/>
                <w:sz w:val="20"/>
                <w:szCs w:val="32"/>
                <w:highlight w:val="none"/>
              </w:rPr>
              <w:t>日，具体以发包人下发的书面通知为准。</w:t>
            </w:r>
          </w:p>
        </w:tc>
      </w:tr>
      <w:tr w14:paraId="0CD3BCB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wAfter w:w="226" w:type="dxa"/>
          <w:trHeight w:val="410" w:hRule="atLeast"/>
        </w:trPr>
        <w:tc>
          <w:tcPr>
            <w:tcW w:w="638" w:type="dxa"/>
            <w:tcBorders>
              <w:top w:val="nil"/>
              <w:bottom w:val="single" w:color="auto" w:sz="4" w:space="0"/>
              <w:right w:val="single" w:color="auto" w:sz="4" w:space="0"/>
            </w:tcBorders>
            <w:noWrap/>
            <w:vAlign w:val="center"/>
          </w:tcPr>
          <w:p w14:paraId="685A5872">
            <w:pPr>
              <w:widowControl/>
              <w:jc w:val="center"/>
              <w:rPr>
                <w:rFonts w:ascii="仿宋" w:hAnsi="仿宋" w:eastAsia="仿宋"/>
                <w:b w:val="0"/>
                <w:bCs/>
                <w:color w:val="000000"/>
                <w:kern w:val="0"/>
                <w:szCs w:val="21"/>
                <w:highlight w:val="none"/>
              </w:rPr>
            </w:pPr>
            <w:r>
              <w:rPr>
                <w:rFonts w:hint="eastAsia" w:ascii="仿宋" w:hAnsi="仿宋" w:eastAsia="仿宋"/>
                <w:b w:val="0"/>
                <w:bCs/>
                <w:color w:val="000000"/>
                <w:kern w:val="0"/>
                <w:szCs w:val="21"/>
                <w:highlight w:val="none"/>
              </w:rPr>
              <w:t>2</w:t>
            </w:r>
          </w:p>
        </w:tc>
        <w:tc>
          <w:tcPr>
            <w:tcW w:w="4189" w:type="dxa"/>
            <w:gridSpan w:val="2"/>
            <w:tcBorders>
              <w:top w:val="single" w:color="auto" w:sz="4" w:space="0"/>
              <w:left w:val="single" w:color="auto" w:sz="4" w:space="0"/>
              <w:bottom w:val="single" w:color="auto" w:sz="4" w:space="0"/>
              <w:right w:val="single" w:color="auto" w:sz="4" w:space="0"/>
            </w:tcBorders>
            <w:vAlign w:val="center"/>
          </w:tcPr>
          <w:p w14:paraId="1EC33FB5">
            <w:pPr>
              <w:widowControl/>
              <w:jc w:val="center"/>
              <w:rPr>
                <w:rFonts w:ascii="仿宋" w:hAnsi="仿宋" w:eastAsia="仿宋"/>
                <w:b w:val="0"/>
                <w:bCs/>
                <w:color w:val="000000"/>
                <w:kern w:val="0"/>
                <w:szCs w:val="21"/>
                <w:highlight w:val="none"/>
              </w:rPr>
            </w:pPr>
            <w:r>
              <w:rPr>
                <w:rFonts w:hint="eastAsia" w:ascii="仿宋" w:hAnsi="仿宋" w:eastAsia="仿宋"/>
                <w:b w:val="0"/>
                <w:bCs/>
                <w:color w:val="000000"/>
                <w:kern w:val="0"/>
                <w:szCs w:val="21"/>
                <w:highlight w:val="none"/>
              </w:rPr>
              <w:t>材料定版</w:t>
            </w:r>
          </w:p>
        </w:tc>
        <w:tc>
          <w:tcPr>
            <w:tcW w:w="1200" w:type="dxa"/>
            <w:vMerge w:val="continue"/>
            <w:tcBorders>
              <w:left w:val="nil"/>
              <w:right w:val="single" w:color="auto" w:sz="4" w:space="0"/>
            </w:tcBorders>
            <w:vAlign w:val="center"/>
          </w:tcPr>
          <w:p w14:paraId="1D3E4031">
            <w:pPr>
              <w:widowControl/>
              <w:jc w:val="center"/>
              <w:rPr>
                <w:rFonts w:ascii="仿宋" w:hAnsi="仿宋" w:eastAsia="仿宋"/>
                <w:b w:val="0"/>
                <w:bCs/>
                <w:color w:val="000000"/>
                <w:kern w:val="0"/>
                <w:szCs w:val="21"/>
                <w:highlight w:val="none"/>
              </w:rPr>
            </w:pPr>
          </w:p>
        </w:tc>
        <w:tc>
          <w:tcPr>
            <w:tcW w:w="1145" w:type="dxa"/>
            <w:tcBorders>
              <w:top w:val="nil"/>
              <w:left w:val="nil"/>
              <w:bottom w:val="single" w:color="auto" w:sz="4" w:space="0"/>
              <w:right w:val="single" w:color="auto" w:sz="4" w:space="0"/>
            </w:tcBorders>
            <w:vAlign w:val="center"/>
          </w:tcPr>
          <w:p w14:paraId="282F2678">
            <w:pPr>
              <w:widowControl/>
              <w:jc w:val="center"/>
              <w:rPr>
                <w:rFonts w:ascii="仿宋" w:hAnsi="仿宋" w:eastAsia="仿宋"/>
                <w:b w:val="0"/>
                <w:bCs/>
                <w:color w:val="000000"/>
                <w:kern w:val="0"/>
                <w:szCs w:val="21"/>
                <w:highlight w:val="none"/>
              </w:rPr>
            </w:pPr>
            <w:r>
              <w:rPr>
                <w:rFonts w:ascii="仿宋" w:hAnsi="仿宋" w:eastAsia="仿宋"/>
                <w:b w:val="0"/>
                <w:bCs/>
                <w:kern w:val="0"/>
                <w:szCs w:val="21"/>
                <w:highlight w:val="none"/>
              </w:rPr>
              <w:t>A</w:t>
            </w:r>
            <w:r>
              <w:rPr>
                <w:rFonts w:hint="eastAsia" w:ascii="仿宋" w:hAnsi="仿宋" w:eastAsia="仿宋"/>
                <w:b w:val="0"/>
                <w:bCs/>
                <w:color w:val="000000"/>
                <w:kern w:val="0"/>
                <w:szCs w:val="21"/>
                <w:highlight w:val="none"/>
              </w:rPr>
              <w:t>+50</w:t>
            </w:r>
          </w:p>
        </w:tc>
        <w:tc>
          <w:tcPr>
            <w:tcW w:w="1132" w:type="dxa"/>
            <w:tcBorders>
              <w:top w:val="nil"/>
              <w:left w:val="nil"/>
              <w:bottom w:val="single" w:color="auto" w:sz="4" w:space="0"/>
              <w:right w:val="single" w:color="auto" w:sz="4" w:space="0"/>
            </w:tcBorders>
            <w:vAlign w:val="center"/>
          </w:tcPr>
          <w:p w14:paraId="2F3FFE31">
            <w:pPr>
              <w:widowControl/>
              <w:jc w:val="center"/>
              <w:rPr>
                <w:rFonts w:ascii="仿宋" w:hAnsi="仿宋" w:eastAsia="仿宋"/>
                <w:b w:val="0"/>
                <w:bCs/>
                <w:color w:val="000000"/>
                <w:kern w:val="0"/>
                <w:szCs w:val="21"/>
                <w:highlight w:val="none"/>
              </w:rPr>
            </w:pPr>
            <w:r>
              <w:rPr>
                <w:rFonts w:hint="eastAsia" w:ascii="仿宋" w:hAnsi="仿宋" w:eastAsia="仿宋"/>
                <w:b w:val="0"/>
                <w:bCs/>
                <w:color w:val="000000"/>
                <w:kern w:val="0"/>
                <w:szCs w:val="21"/>
                <w:highlight w:val="none"/>
              </w:rPr>
              <w:t>50</w:t>
            </w:r>
            <w:r>
              <w:rPr>
                <w:rFonts w:ascii="仿宋" w:hAnsi="仿宋" w:eastAsia="仿宋"/>
                <w:b w:val="0"/>
                <w:bCs/>
                <w:color w:val="000000"/>
                <w:kern w:val="0"/>
                <w:szCs w:val="21"/>
                <w:highlight w:val="none"/>
              </w:rPr>
              <w:t xml:space="preserve"> </w:t>
            </w:r>
          </w:p>
        </w:tc>
        <w:tc>
          <w:tcPr>
            <w:tcW w:w="1023" w:type="dxa"/>
            <w:vMerge w:val="continue"/>
            <w:tcBorders>
              <w:left w:val="nil"/>
            </w:tcBorders>
            <w:vAlign w:val="center"/>
          </w:tcPr>
          <w:p w14:paraId="6D4D23C5">
            <w:pPr>
              <w:jc w:val="left"/>
              <w:rPr>
                <w:rFonts w:ascii="仿宋" w:hAnsi="仿宋" w:eastAsia="仿宋"/>
                <w:b/>
                <w:color w:val="000000"/>
                <w:kern w:val="0"/>
                <w:szCs w:val="21"/>
                <w:highlight w:val="none"/>
              </w:rPr>
            </w:pPr>
          </w:p>
        </w:tc>
      </w:tr>
      <w:tr w14:paraId="700378C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wAfter w:w="226" w:type="dxa"/>
          <w:trHeight w:val="456" w:hRule="atLeast"/>
        </w:trPr>
        <w:tc>
          <w:tcPr>
            <w:tcW w:w="638" w:type="dxa"/>
            <w:tcBorders>
              <w:top w:val="nil"/>
              <w:bottom w:val="single" w:color="auto" w:sz="4" w:space="0"/>
              <w:right w:val="single" w:color="auto" w:sz="4" w:space="0"/>
            </w:tcBorders>
            <w:noWrap/>
            <w:vAlign w:val="center"/>
          </w:tcPr>
          <w:p w14:paraId="0249A3A8">
            <w:pPr>
              <w:widowControl/>
              <w:jc w:val="center"/>
              <w:rPr>
                <w:rFonts w:ascii="仿宋" w:hAnsi="仿宋" w:eastAsia="仿宋"/>
                <w:b w:val="0"/>
                <w:bCs/>
                <w:color w:val="000000"/>
                <w:kern w:val="0"/>
                <w:szCs w:val="21"/>
                <w:highlight w:val="none"/>
              </w:rPr>
            </w:pPr>
            <w:r>
              <w:rPr>
                <w:rFonts w:hint="eastAsia" w:ascii="仿宋" w:hAnsi="仿宋" w:eastAsia="仿宋"/>
                <w:b w:val="0"/>
                <w:bCs/>
                <w:color w:val="000000"/>
                <w:kern w:val="0"/>
                <w:szCs w:val="21"/>
                <w:highlight w:val="none"/>
              </w:rPr>
              <w:t>3</w:t>
            </w:r>
          </w:p>
        </w:tc>
        <w:tc>
          <w:tcPr>
            <w:tcW w:w="4189" w:type="dxa"/>
            <w:gridSpan w:val="2"/>
            <w:tcBorders>
              <w:top w:val="single" w:color="auto" w:sz="4" w:space="0"/>
              <w:left w:val="single" w:color="auto" w:sz="4" w:space="0"/>
              <w:bottom w:val="single" w:color="auto" w:sz="4" w:space="0"/>
              <w:right w:val="single" w:color="auto" w:sz="4" w:space="0"/>
            </w:tcBorders>
            <w:vAlign w:val="center"/>
          </w:tcPr>
          <w:p w14:paraId="1D5CB09E">
            <w:pPr>
              <w:widowControl/>
              <w:jc w:val="center"/>
              <w:rPr>
                <w:rFonts w:ascii="仿宋" w:hAnsi="仿宋" w:eastAsia="仿宋"/>
                <w:b w:val="0"/>
                <w:bCs/>
                <w:color w:val="000000"/>
                <w:kern w:val="0"/>
                <w:szCs w:val="21"/>
                <w:highlight w:val="none"/>
              </w:rPr>
            </w:pPr>
            <w:r>
              <w:rPr>
                <w:rFonts w:hint="eastAsia" w:ascii="仿宋" w:hAnsi="仿宋" w:eastAsia="仿宋"/>
                <w:b w:val="0"/>
                <w:bCs/>
                <w:color w:val="000000"/>
                <w:kern w:val="0"/>
                <w:szCs w:val="21"/>
                <w:highlight w:val="none"/>
              </w:rPr>
              <w:t>视觉样板（VMU）</w:t>
            </w:r>
          </w:p>
        </w:tc>
        <w:tc>
          <w:tcPr>
            <w:tcW w:w="1200" w:type="dxa"/>
            <w:vMerge w:val="continue"/>
            <w:tcBorders>
              <w:left w:val="nil"/>
              <w:right w:val="single" w:color="auto" w:sz="4" w:space="0"/>
            </w:tcBorders>
            <w:vAlign w:val="center"/>
          </w:tcPr>
          <w:p w14:paraId="282EFEB9">
            <w:pPr>
              <w:jc w:val="center"/>
              <w:rPr>
                <w:rFonts w:ascii="仿宋" w:hAnsi="仿宋" w:eastAsia="仿宋"/>
                <w:b w:val="0"/>
                <w:bCs/>
                <w:color w:val="000000"/>
                <w:kern w:val="0"/>
                <w:szCs w:val="21"/>
                <w:highlight w:val="none"/>
              </w:rPr>
            </w:pPr>
          </w:p>
        </w:tc>
        <w:tc>
          <w:tcPr>
            <w:tcW w:w="1145" w:type="dxa"/>
            <w:tcBorders>
              <w:top w:val="nil"/>
              <w:left w:val="nil"/>
              <w:bottom w:val="single" w:color="auto" w:sz="4" w:space="0"/>
              <w:right w:val="single" w:color="auto" w:sz="4" w:space="0"/>
            </w:tcBorders>
            <w:vAlign w:val="center"/>
          </w:tcPr>
          <w:p w14:paraId="00E9A5B9">
            <w:pPr>
              <w:jc w:val="center"/>
              <w:rPr>
                <w:rFonts w:ascii="仿宋" w:hAnsi="仿宋" w:eastAsia="仿宋"/>
                <w:b w:val="0"/>
                <w:bCs/>
                <w:color w:val="000000"/>
                <w:kern w:val="0"/>
                <w:szCs w:val="21"/>
                <w:highlight w:val="none"/>
              </w:rPr>
            </w:pPr>
            <w:r>
              <w:rPr>
                <w:rFonts w:ascii="仿宋" w:hAnsi="仿宋" w:eastAsia="仿宋"/>
                <w:b w:val="0"/>
                <w:bCs/>
                <w:kern w:val="0"/>
                <w:szCs w:val="21"/>
                <w:highlight w:val="none"/>
              </w:rPr>
              <w:t>A</w:t>
            </w:r>
            <w:r>
              <w:rPr>
                <w:rFonts w:ascii="仿宋" w:hAnsi="仿宋" w:eastAsia="仿宋"/>
                <w:b w:val="0"/>
                <w:bCs/>
                <w:color w:val="000000"/>
                <w:kern w:val="0"/>
                <w:szCs w:val="21"/>
                <w:highlight w:val="none"/>
              </w:rPr>
              <w:t>+</w:t>
            </w:r>
            <w:r>
              <w:rPr>
                <w:rFonts w:hint="eastAsia" w:ascii="仿宋" w:hAnsi="仿宋" w:eastAsia="仿宋"/>
                <w:b w:val="0"/>
                <w:bCs/>
                <w:color w:val="000000"/>
                <w:kern w:val="0"/>
                <w:szCs w:val="21"/>
                <w:highlight w:val="none"/>
                <w:lang w:val="en-US" w:eastAsia="zh-CN"/>
              </w:rPr>
              <w:t>8</w:t>
            </w:r>
            <w:r>
              <w:rPr>
                <w:rFonts w:hint="eastAsia" w:ascii="仿宋" w:hAnsi="仿宋" w:eastAsia="仿宋"/>
                <w:b w:val="0"/>
                <w:bCs/>
                <w:color w:val="000000"/>
                <w:kern w:val="0"/>
                <w:szCs w:val="21"/>
                <w:highlight w:val="none"/>
              </w:rPr>
              <w:t>0</w:t>
            </w:r>
          </w:p>
        </w:tc>
        <w:tc>
          <w:tcPr>
            <w:tcW w:w="1132" w:type="dxa"/>
            <w:tcBorders>
              <w:top w:val="nil"/>
              <w:left w:val="nil"/>
              <w:bottom w:val="single" w:color="auto" w:sz="4" w:space="0"/>
              <w:right w:val="single" w:color="auto" w:sz="4" w:space="0"/>
            </w:tcBorders>
            <w:vAlign w:val="center"/>
          </w:tcPr>
          <w:p w14:paraId="145D7358">
            <w:pPr>
              <w:widowControl/>
              <w:jc w:val="center"/>
              <w:rPr>
                <w:rFonts w:ascii="仿宋" w:hAnsi="仿宋" w:eastAsia="仿宋"/>
                <w:b w:val="0"/>
                <w:bCs/>
                <w:color w:val="000000"/>
                <w:kern w:val="0"/>
                <w:szCs w:val="21"/>
                <w:highlight w:val="none"/>
              </w:rPr>
            </w:pPr>
            <w:r>
              <w:rPr>
                <w:rFonts w:hint="eastAsia" w:ascii="仿宋" w:hAnsi="仿宋" w:eastAsia="仿宋"/>
                <w:b w:val="0"/>
                <w:bCs/>
                <w:color w:val="000000"/>
                <w:kern w:val="0"/>
                <w:szCs w:val="21"/>
                <w:highlight w:val="none"/>
                <w:lang w:val="en-US" w:eastAsia="zh-CN"/>
              </w:rPr>
              <w:t>8</w:t>
            </w:r>
            <w:r>
              <w:rPr>
                <w:rFonts w:hint="eastAsia" w:ascii="仿宋" w:hAnsi="仿宋" w:eastAsia="仿宋"/>
                <w:b w:val="0"/>
                <w:bCs/>
                <w:color w:val="000000"/>
                <w:kern w:val="0"/>
                <w:szCs w:val="21"/>
                <w:highlight w:val="none"/>
              </w:rPr>
              <w:t>0</w:t>
            </w:r>
          </w:p>
        </w:tc>
        <w:tc>
          <w:tcPr>
            <w:tcW w:w="1023" w:type="dxa"/>
            <w:vMerge w:val="continue"/>
            <w:tcBorders>
              <w:left w:val="nil"/>
            </w:tcBorders>
            <w:vAlign w:val="center"/>
          </w:tcPr>
          <w:p w14:paraId="70488907">
            <w:pPr>
              <w:jc w:val="left"/>
              <w:rPr>
                <w:rFonts w:ascii="仿宋" w:hAnsi="仿宋" w:eastAsia="仿宋"/>
                <w:b/>
                <w:color w:val="000000"/>
                <w:kern w:val="0"/>
                <w:szCs w:val="21"/>
                <w:highlight w:val="none"/>
              </w:rPr>
            </w:pPr>
          </w:p>
        </w:tc>
      </w:tr>
      <w:tr w14:paraId="6341D18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wAfter w:w="226" w:type="dxa"/>
          <w:trHeight w:val="444" w:hRule="atLeast"/>
        </w:trPr>
        <w:tc>
          <w:tcPr>
            <w:tcW w:w="638" w:type="dxa"/>
            <w:tcBorders>
              <w:top w:val="single" w:color="auto" w:sz="4" w:space="0"/>
              <w:bottom w:val="single" w:color="auto" w:sz="4" w:space="0"/>
              <w:right w:val="single" w:color="auto" w:sz="4" w:space="0"/>
            </w:tcBorders>
            <w:noWrap/>
            <w:vAlign w:val="center"/>
          </w:tcPr>
          <w:p w14:paraId="02CA5AF6">
            <w:pPr>
              <w:widowControl/>
              <w:jc w:val="center"/>
              <w:rPr>
                <w:rFonts w:ascii="仿宋" w:hAnsi="仿宋" w:eastAsia="仿宋"/>
                <w:color w:val="000000"/>
                <w:kern w:val="0"/>
                <w:szCs w:val="21"/>
                <w:highlight w:val="none"/>
              </w:rPr>
            </w:pPr>
            <w:r>
              <w:rPr>
                <w:rFonts w:hint="eastAsia" w:ascii="仿宋" w:hAnsi="仿宋" w:eastAsia="仿宋"/>
                <w:color w:val="000000"/>
                <w:kern w:val="0"/>
                <w:szCs w:val="21"/>
                <w:highlight w:val="none"/>
              </w:rPr>
              <w:t>4</w:t>
            </w:r>
          </w:p>
        </w:tc>
        <w:tc>
          <w:tcPr>
            <w:tcW w:w="1203" w:type="dxa"/>
            <w:vMerge w:val="restart"/>
            <w:tcBorders>
              <w:top w:val="single" w:color="auto" w:sz="4" w:space="0"/>
              <w:left w:val="single" w:color="auto" w:sz="4" w:space="0"/>
              <w:right w:val="single" w:color="auto" w:sz="4" w:space="0"/>
            </w:tcBorders>
            <w:vAlign w:val="center"/>
          </w:tcPr>
          <w:p w14:paraId="01D3F617">
            <w:pPr>
              <w:widowControl/>
              <w:jc w:val="center"/>
              <w:rPr>
                <w:rFonts w:hint="eastAsia" w:ascii="仿宋" w:hAnsi="仿宋" w:eastAsia="仿宋"/>
                <w:b/>
                <w:color w:val="000000"/>
                <w:kern w:val="0"/>
                <w:szCs w:val="21"/>
                <w:highlight w:val="none"/>
                <w:lang w:eastAsia="zh-CN"/>
              </w:rPr>
            </w:pPr>
            <w:r>
              <w:rPr>
                <w:rFonts w:hint="eastAsia" w:ascii="仿宋" w:hAnsi="仿宋" w:eastAsia="仿宋"/>
                <w:color w:val="000000"/>
                <w:kern w:val="0"/>
                <w:szCs w:val="21"/>
                <w:highlight w:val="none"/>
                <w:lang w:val="en-US" w:eastAsia="zh-CN"/>
              </w:rPr>
              <w:t>完工</w:t>
            </w:r>
          </w:p>
        </w:tc>
        <w:tc>
          <w:tcPr>
            <w:tcW w:w="2986" w:type="dxa"/>
            <w:tcBorders>
              <w:top w:val="single" w:color="auto" w:sz="4" w:space="0"/>
              <w:left w:val="nil"/>
              <w:bottom w:val="single" w:color="auto" w:sz="4" w:space="0"/>
              <w:right w:val="single" w:color="auto" w:sz="4" w:space="0"/>
            </w:tcBorders>
            <w:vAlign w:val="center"/>
          </w:tcPr>
          <w:p w14:paraId="132B1F93">
            <w:pPr>
              <w:widowControl/>
              <w:jc w:val="center"/>
              <w:rPr>
                <w:rFonts w:ascii="仿宋" w:hAnsi="仿宋" w:eastAsia="仿宋"/>
                <w:b/>
                <w:color w:val="000000"/>
                <w:kern w:val="0"/>
                <w:szCs w:val="21"/>
                <w:highlight w:val="none"/>
              </w:rPr>
            </w:pPr>
            <w:r>
              <w:rPr>
                <w:rFonts w:hint="eastAsia" w:ascii="仿宋" w:hAnsi="仿宋" w:eastAsia="仿宋"/>
                <w:kern w:val="0"/>
                <w:sz w:val="20"/>
                <w:highlight w:val="none"/>
              </w:rPr>
              <w:t>首层大堂</w:t>
            </w:r>
            <w:r>
              <w:rPr>
                <w:rFonts w:hint="eastAsia" w:ascii="仿宋" w:hAnsi="仿宋" w:eastAsia="仿宋"/>
                <w:kern w:val="0"/>
                <w:sz w:val="20"/>
                <w:highlight w:val="none"/>
                <w:lang w:eastAsia="zh-CN"/>
              </w:rPr>
              <w:t>、</w:t>
            </w:r>
            <w:r>
              <w:rPr>
                <w:rFonts w:hint="eastAsia" w:ascii="仿宋" w:hAnsi="仿宋" w:eastAsia="仿宋"/>
                <w:kern w:val="0"/>
                <w:sz w:val="20"/>
                <w:highlight w:val="none"/>
              </w:rPr>
              <w:t>38F样板房</w:t>
            </w:r>
          </w:p>
        </w:tc>
        <w:tc>
          <w:tcPr>
            <w:tcW w:w="1200" w:type="dxa"/>
            <w:vMerge w:val="continue"/>
            <w:tcBorders>
              <w:left w:val="nil"/>
              <w:right w:val="single" w:color="auto" w:sz="4" w:space="0"/>
            </w:tcBorders>
            <w:vAlign w:val="center"/>
          </w:tcPr>
          <w:p w14:paraId="4E9BDDA1">
            <w:pPr>
              <w:jc w:val="center"/>
              <w:rPr>
                <w:rFonts w:ascii="仿宋" w:hAnsi="仿宋" w:eastAsia="仿宋"/>
                <w:b/>
                <w:color w:val="FF0000"/>
                <w:kern w:val="0"/>
                <w:szCs w:val="21"/>
                <w:highlight w:val="none"/>
              </w:rPr>
            </w:pPr>
          </w:p>
        </w:tc>
        <w:tc>
          <w:tcPr>
            <w:tcW w:w="1145" w:type="dxa"/>
            <w:tcBorders>
              <w:top w:val="single" w:color="auto" w:sz="4" w:space="0"/>
              <w:left w:val="nil"/>
              <w:bottom w:val="single" w:color="auto" w:sz="4" w:space="0"/>
              <w:right w:val="single" w:color="auto" w:sz="4" w:space="0"/>
            </w:tcBorders>
            <w:vAlign w:val="center"/>
          </w:tcPr>
          <w:p w14:paraId="7B2A0CB8">
            <w:pPr>
              <w:jc w:val="center"/>
              <w:rPr>
                <w:rFonts w:ascii="仿宋" w:hAnsi="仿宋" w:eastAsia="仿宋"/>
                <w:b/>
                <w:color w:val="FF0000"/>
                <w:kern w:val="0"/>
                <w:szCs w:val="21"/>
                <w:highlight w:val="none"/>
              </w:rPr>
            </w:pPr>
            <w:r>
              <w:rPr>
                <w:rFonts w:hint="eastAsia" w:ascii="仿宋" w:hAnsi="仿宋" w:eastAsia="仿宋"/>
                <w:kern w:val="0"/>
                <w:szCs w:val="21"/>
                <w:highlight w:val="none"/>
              </w:rPr>
              <w:t>A+</w:t>
            </w:r>
            <w:r>
              <w:rPr>
                <w:rFonts w:hint="eastAsia" w:ascii="仿宋" w:hAnsi="仿宋" w:eastAsia="仿宋"/>
                <w:kern w:val="0"/>
                <w:szCs w:val="21"/>
                <w:highlight w:val="none"/>
                <w:lang w:eastAsia="zh-CN"/>
              </w:rPr>
              <w:t>3</w:t>
            </w:r>
            <w:r>
              <w:rPr>
                <w:rFonts w:hint="eastAsia" w:ascii="仿宋" w:hAnsi="仿宋" w:eastAsia="仿宋"/>
                <w:kern w:val="0"/>
                <w:szCs w:val="21"/>
                <w:highlight w:val="none"/>
              </w:rPr>
              <w:t>75</w:t>
            </w:r>
          </w:p>
        </w:tc>
        <w:tc>
          <w:tcPr>
            <w:tcW w:w="1132" w:type="dxa"/>
            <w:tcBorders>
              <w:top w:val="single" w:color="auto" w:sz="4" w:space="0"/>
              <w:left w:val="nil"/>
              <w:bottom w:val="single" w:color="auto" w:sz="4" w:space="0"/>
              <w:right w:val="single" w:color="auto" w:sz="4" w:space="0"/>
            </w:tcBorders>
            <w:vAlign w:val="center"/>
          </w:tcPr>
          <w:p w14:paraId="3F39C1EF">
            <w:pPr>
              <w:widowControl/>
              <w:jc w:val="center"/>
              <w:rPr>
                <w:rFonts w:hint="default" w:ascii="仿宋" w:hAnsi="仿宋" w:eastAsia="仿宋"/>
                <w:b/>
                <w:color w:val="000000"/>
                <w:kern w:val="0"/>
                <w:szCs w:val="21"/>
                <w:highlight w:val="none"/>
              </w:rPr>
            </w:pPr>
            <w:r>
              <w:rPr>
                <w:rFonts w:hint="eastAsia" w:ascii="仿宋" w:hAnsi="仿宋" w:eastAsia="仿宋"/>
                <w:kern w:val="0"/>
                <w:szCs w:val="21"/>
                <w:highlight w:val="none"/>
                <w:lang w:eastAsia="zh-CN"/>
              </w:rPr>
              <w:t>3</w:t>
            </w:r>
            <w:r>
              <w:rPr>
                <w:rFonts w:hint="eastAsia" w:ascii="仿宋" w:hAnsi="仿宋" w:eastAsia="仿宋"/>
                <w:kern w:val="0"/>
                <w:szCs w:val="21"/>
                <w:highlight w:val="none"/>
                <w:lang w:val="en-US" w:eastAsia="zh-CN"/>
              </w:rPr>
              <w:t>75</w:t>
            </w:r>
          </w:p>
        </w:tc>
        <w:tc>
          <w:tcPr>
            <w:tcW w:w="1023" w:type="dxa"/>
            <w:vMerge w:val="continue"/>
            <w:tcBorders>
              <w:left w:val="nil"/>
            </w:tcBorders>
            <w:vAlign w:val="center"/>
          </w:tcPr>
          <w:p w14:paraId="0A5739B6">
            <w:pPr>
              <w:widowControl/>
              <w:jc w:val="left"/>
              <w:rPr>
                <w:rFonts w:ascii="仿宋" w:hAnsi="仿宋" w:eastAsia="仿宋"/>
                <w:b/>
                <w:color w:val="000000"/>
                <w:kern w:val="0"/>
                <w:szCs w:val="21"/>
                <w:highlight w:val="none"/>
              </w:rPr>
            </w:pPr>
          </w:p>
        </w:tc>
      </w:tr>
      <w:tr w14:paraId="5AD0954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wAfter w:w="226" w:type="dxa"/>
          <w:trHeight w:val="444" w:hRule="atLeast"/>
        </w:trPr>
        <w:tc>
          <w:tcPr>
            <w:tcW w:w="638" w:type="dxa"/>
            <w:tcBorders>
              <w:top w:val="single" w:color="auto" w:sz="4" w:space="0"/>
              <w:bottom w:val="single" w:color="auto" w:sz="4" w:space="0"/>
              <w:right w:val="single" w:color="auto" w:sz="4" w:space="0"/>
            </w:tcBorders>
            <w:noWrap/>
            <w:vAlign w:val="center"/>
          </w:tcPr>
          <w:p w14:paraId="226FC1E9">
            <w:pPr>
              <w:widowControl/>
              <w:jc w:val="center"/>
              <w:rPr>
                <w:rFonts w:ascii="仿宋" w:hAnsi="仿宋" w:eastAsia="仿宋"/>
                <w:color w:val="000000"/>
                <w:kern w:val="0"/>
                <w:szCs w:val="21"/>
                <w:highlight w:val="none"/>
              </w:rPr>
            </w:pPr>
            <w:r>
              <w:rPr>
                <w:rFonts w:hint="eastAsia" w:ascii="仿宋" w:hAnsi="仿宋" w:eastAsia="仿宋"/>
                <w:color w:val="000000"/>
                <w:kern w:val="0"/>
                <w:szCs w:val="21"/>
                <w:highlight w:val="none"/>
              </w:rPr>
              <w:t>5</w:t>
            </w:r>
          </w:p>
        </w:tc>
        <w:tc>
          <w:tcPr>
            <w:tcW w:w="1203" w:type="dxa"/>
            <w:vMerge w:val="continue"/>
            <w:tcBorders>
              <w:left w:val="single" w:color="auto" w:sz="4" w:space="0"/>
              <w:right w:val="single" w:color="auto" w:sz="4" w:space="0"/>
            </w:tcBorders>
            <w:vAlign w:val="center"/>
          </w:tcPr>
          <w:p w14:paraId="0457AD08">
            <w:pPr>
              <w:widowControl/>
              <w:jc w:val="center"/>
              <w:rPr>
                <w:rFonts w:ascii="仿宋" w:hAnsi="仿宋" w:eastAsia="仿宋"/>
                <w:b/>
                <w:color w:val="000000"/>
                <w:kern w:val="0"/>
                <w:szCs w:val="21"/>
                <w:highlight w:val="none"/>
              </w:rPr>
            </w:pPr>
          </w:p>
        </w:tc>
        <w:tc>
          <w:tcPr>
            <w:tcW w:w="2986" w:type="dxa"/>
            <w:tcBorders>
              <w:top w:val="single" w:color="auto" w:sz="4" w:space="0"/>
              <w:left w:val="nil"/>
              <w:bottom w:val="single" w:color="auto" w:sz="4" w:space="0"/>
              <w:right w:val="single" w:color="auto" w:sz="4" w:space="0"/>
            </w:tcBorders>
            <w:vAlign w:val="center"/>
          </w:tcPr>
          <w:p w14:paraId="6E9FB92A">
            <w:pPr>
              <w:widowControl/>
              <w:jc w:val="center"/>
              <w:rPr>
                <w:rFonts w:ascii="仿宋" w:hAnsi="仿宋" w:eastAsia="仿宋"/>
                <w:b/>
                <w:color w:val="000000"/>
                <w:kern w:val="0"/>
                <w:szCs w:val="21"/>
                <w:highlight w:val="none"/>
              </w:rPr>
            </w:pPr>
            <w:r>
              <w:rPr>
                <w:rFonts w:hint="eastAsia" w:ascii="仿宋" w:hAnsi="仿宋" w:eastAsia="仿宋"/>
                <w:kern w:val="0"/>
                <w:sz w:val="20"/>
                <w:highlight w:val="none"/>
              </w:rPr>
              <w:t>T2幕墙</w:t>
            </w:r>
            <w:r>
              <w:rPr>
                <w:rFonts w:hint="eastAsia" w:ascii="仿宋" w:hAnsi="仿宋" w:eastAsia="仿宋"/>
                <w:kern w:val="0"/>
                <w:sz w:val="20"/>
                <w:highlight w:val="none"/>
                <w:lang w:val="en-US" w:eastAsia="zh-CN"/>
              </w:rPr>
              <w:t>及裙楼</w:t>
            </w:r>
            <w:r>
              <w:rPr>
                <w:rFonts w:hint="eastAsia" w:ascii="仿宋" w:hAnsi="仿宋" w:eastAsia="仿宋"/>
                <w:kern w:val="0"/>
                <w:sz w:val="20"/>
                <w:highlight w:val="none"/>
              </w:rPr>
              <w:t>（含泛光照明）</w:t>
            </w:r>
          </w:p>
        </w:tc>
        <w:tc>
          <w:tcPr>
            <w:tcW w:w="1200" w:type="dxa"/>
            <w:vMerge w:val="continue"/>
            <w:tcBorders>
              <w:left w:val="nil"/>
              <w:right w:val="single" w:color="auto" w:sz="4" w:space="0"/>
            </w:tcBorders>
            <w:vAlign w:val="center"/>
          </w:tcPr>
          <w:p w14:paraId="0D8DFBDC">
            <w:pPr>
              <w:jc w:val="center"/>
              <w:rPr>
                <w:rFonts w:ascii="仿宋" w:hAnsi="仿宋" w:eastAsia="仿宋"/>
                <w:b/>
                <w:color w:val="FF0000"/>
                <w:kern w:val="0"/>
                <w:szCs w:val="21"/>
                <w:highlight w:val="none"/>
              </w:rPr>
            </w:pPr>
          </w:p>
        </w:tc>
        <w:tc>
          <w:tcPr>
            <w:tcW w:w="1145" w:type="dxa"/>
            <w:tcBorders>
              <w:top w:val="single" w:color="auto" w:sz="4" w:space="0"/>
              <w:left w:val="nil"/>
              <w:bottom w:val="single" w:color="auto" w:sz="4" w:space="0"/>
              <w:right w:val="single" w:color="auto" w:sz="4" w:space="0"/>
            </w:tcBorders>
            <w:vAlign w:val="center"/>
          </w:tcPr>
          <w:p w14:paraId="4CFD7DCE">
            <w:pPr>
              <w:jc w:val="center"/>
              <w:rPr>
                <w:rFonts w:hint="default" w:ascii="仿宋" w:hAnsi="仿宋" w:eastAsia="仿宋"/>
                <w:b/>
                <w:color w:val="FF0000"/>
                <w:kern w:val="0"/>
                <w:szCs w:val="21"/>
                <w:highlight w:val="none"/>
                <w:lang w:val="en-US"/>
              </w:rPr>
            </w:pPr>
            <w:r>
              <w:rPr>
                <w:rFonts w:hint="eastAsia" w:ascii="仿宋" w:hAnsi="仿宋" w:eastAsia="仿宋"/>
                <w:kern w:val="0"/>
                <w:szCs w:val="21"/>
                <w:highlight w:val="none"/>
              </w:rPr>
              <w:t>A+</w:t>
            </w:r>
            <w:r>
              <w:rPr>
                <w:rFonts w:hint="eastAsia" w:ascii="仿宋" w:hAnsi="仿宋" w:eastAsia="仿宋"/>
                <w:kern w:val="0"/>
                <w:szCs w:val="21"/>
                <w:highlight w:val="none"/>
                <w:lang w:val="en-US" w:eastAsia="zh-CN"/>
              </w:rPr>
              <w:t>648</w:t>
            </w:r>
          </w:p>
        </w:tc>
        <w:tc>
          <w:tcPr>
            <w:tcW w:w="1132" w:type="dxa"/>
            <w:tcBorders>
              <w:top w:val="single" w:color="auto" w:sz="4" w:space="0"/>
              <w:left w:val="nil"/>
              <w:bottom w:val="single" w:color="auto" w:sz="4" w:space="0"/>
              <w:right w:val="single" w:color="auto" w:sz="4" w:space="0"/>
            </w:tcBorders>
            <w:vAlign w:val="center"/>
          </w:tcPr>
          <w:p w14:paraId="27397F15">
            <w:pPr>
              <w:widowControl/>
              <w:jc w:val="center"/>
              <w:rPr>
                <w:rFonts w:hint="default" w:ascii="仿宋" w:hAnsi="仿宋" w:eastAsia="仿宋"/>
                <w:b/>
                <w:color w:val="000000"/>
                <w:kern w:val="0"/>
                <w:szCs w:val="21"/>
                <w:highlight w:val="none"/>
                <w:lang w:val="en-US"/>
              </w:rPr>
            </w:pPr>
            <w:r>
              <w:rPr>
                <w:rFonts w:hint="eastAsia" w:ascii="仿宋" w:hAnsi="仿宋" w:eastAsia="仿宋"/>
                <w:kern w:val="0"/>
                <w:szCs w:val="21"/>
                <w:highlight w:val="none"/>
                <w:lang w:val="en-US" w:eastAsia="zh-CN"/>
              </w:rPr>
              <w:t>648</w:t>
            </w:r>
          </w:p>
        </w:tc>
        <w:tc>
          <w:tcPr>
            <w:tcW w:w="1023" w:type="dxa"/>
            <w:vMerge w:val="continue"/>
            <w:tcBorders>
              <w:left w:val="nil"/>
            </w:tcBorders>
            <w:vAlign w:val="center"/>
          </w:tcPr>
          <w:p w14:paraId="4000DE12">
            <w:pPr>
              <w:widowControl/>
              <w:jc w:val="left"/>
              <w:rPr>
                <w:rFonts w:ascii="仿宋" w:hAnsi="仿宋" w:eastAsia="仿宋"/>
                <w:b/>
                <w:color w:val="000000"/>
                <w:kern w:val="0"/>
                <w:szCs w:val="21"/>
                <w:highlight w:val="none"/>
              </w:rPr>
            </w:pPr>
          </w:p>
        </w:tc>
      </w:tr>
      <w:tr w14:paraId="01B0A14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wAfter w:w="226" w:type="dxa"/>
          <w:trHeight w:val="444" w:hRule="atLeast"/>
        </w:trPr>
        <w:tc>
          <w:tcPr>
            <w:tcW w:w="638" w:type="dxa"/>
            <w:tcBorders>
              <w:top w:val="single" w:color="auto" w:sz="4" w:space="0"/>
              <w:bottom w:val="single" w:color="auto" w:sz="4" w:space="0"/>
              <w:right w:val="single" w:color="auto" w:sz="4" w:space="0"/>
            </w:tcBorders>
            <w:noWrap/>
            <w:vAlign w:val="center"/>
          </w:tcPr>
          <w:p w14:paraId="46FF6FE4">
            <w:pPr>
              <w:widowControl/>
              <w:jc w:val="center"/>
              <w:rPr>
                <w:rFonts w:ascii="仿宋" w:hAnsi="仿宋" w:eastAsia="仿宋"/>
                <w:color w:val="000000"/>
                <w:kern w:val="0"/>
                <w:szCs w:val="21"/>
                <w:highlight w:val="none"/>
              </w:rPr>
            </w:pPr>
            <w:r>
              <w:rPr>
                <w:rFonts w:hint="eastAsia" w:ascii="仿宋" w:hAnsi="仿宋" w:eastAsia="仿宋"/>
                <w:color w:val="000000"/>
                <w:kern w:val="0"/>
                <w:szCs w:val="21"/>
                <w:highlight w:val="none"/>
              </w:rPr>
              <w:t>6</w:t>
            </w:r>
          </w:p>
        </w:tc>
        <w:tc>
          <w:tcPr>
            <w:tcW w:w="1203" w:type="dxa"/>
            <w:vMerge w:val="continue"/>
            <w:tcBorders>
              <w:left w:val="single" w:color="auto" w:sz="4" w:space="0"/>
              <w:right w:val="single" w:color="auto" w:sz="4" w:space="0"/>
            </w:tcBorders>
            <w:vAlign w:val="center"/>
          </w:tcPr>
          <w:p w14:paraId="294C4B7C">
            <w:pPr>
              <w:widowControl/>
              <w:jc w:val="center"/>
              <w:rPr>
                <w:rFonts w:ascii="仿宋" w:hAnsi="仿宋" w:eastAsia="仿宋"/>
                <w:b/>
                <w:color w:val="000000"/>
                <w:kern w:val="0"/>
                <w:szCs w:val="21"/>
                <w:highlight w:val="none"/>
              </w:rPr>
            </w:pPr>
          </w:p>
        </w:tc>
        <w:tc>
          <w:tcPr>
            <w:tcW w:w="2986" w:type="dxa"/>
            <w:tcBorders>
              <w:top w:val="single" w:color="auto" w:sz="4" w:space="0"/>
              <w:left w:val="nil"/>
              <w:bottom w:val="single" w:color="auto" w:sz="4" w:space="0"/>
              <w:right w:val="single" w:color="auto" w:sz="4" w:space="0"/>
            </w:tcBorders>
            <w:vAlign w:val="center"/>
          </w:tcPr>
          <w:p w14:paraId="50987428">
            <w:pPr>
              <w:widowControl/>
              <w:jc w:val="center"/>
              <w:rPr>
                <w:rFonts w:ascii="仿宋" w:hAnsi="仿宋" w:eastAsia="仿宋"/>
                <w:b/>
                <w:color w:val="000000"/>
                <w:kern w:val="0"/>
                <w:szCs w:val="21"/>
                <w:highlight w:val="none"/>
              </w:rPr>
            </w:pPr>
            <w:r>
              <w:rPr>
                <w:rFonts w:hint="eastAsia" w:ascii="仿宋" w:hAnsi="仿宋" w:eastAsia="仿宋"/>
                <w:kern w:val="0"/>
                <w:sz w:val="20"/>
                <w:highlight w:val="none"/>
              </w:rPr>
              <w:t>T3-T6栋泛光照明</w:t>
            </w:r>
          </w:p>
        </w:tc>
        <w:tc>
          <w:tcPr>
            <w:tcW w:w="1200" w:type="dxa"/>
            <w:vMerge w:val="continue"/>
            <w:tcBorders>
              <w:left w:val="nil"/>
              <w:right w:val="single" w:color="auto" w:sz="4" w:space="0"/>
            </w:tcBorders>
            <w:vAlign w:val="center"/>
          </w:tcPr>
          <w:p w14:paraId="2EA7ECDA">
            <w:pPr>
              <w:jc w:val="center"/>
              <w:rPr>
                <w:rFonts w:ascii="仿宋" w:hAnsi="仿宋" w:eastAsia="仿宋"/>
                <w:b/>
                <w:color w:val="FF0000"/>
                <w:kern w:val="0"/>
                <w:szCs w:val="21"/>
                <w:highlight w:val="none"/>
              </w:rPr>
            </w:pPr>
          </w:p>
        </w:tc>
        <w:tc>
          <w:tcPr>
            <w:tcW w:w="1145" w:type="dxa"/>
            <w:tcBorders>
              <w:top w:val="single" w:color="auto" w:sz="4" w:space="0"/>
              <w:left w:val="nil"/>
              <w:bottom w:val="single" w:color="auto" w:sz="4" w:space="0"/>
              <w:right w:val="single" w:color="auto" w:sz="4" w:space="0"/>
            </w:tcBorders>
            <w:vAlign w:val="center"/>
          </w:tcPr>
          <w:p w14:paraId="39DE513F">
            <w:pPr>
              <w:jc w:val="center"/>
              <w:rPr>
                <w:rFonts w:hint="default" w:ascii="仿宋" w:hAnsi="仿宋" w:eastAsia="仿宋"/>
                <w:b/>
                <w:color w:val="FF0000"/>
                <w:kern w:val="0"/>
                <w:szCs w:val="21"/>
                <w:highlight w:val="none"/>
                <w:lang w:val="en-US" w:eastAsia="zh-CN"/>
              </w:rPr>
            </w:pPr>
            <w:r>
              <w:rPr>
                <w:rFonts w:hint="eastAsia" w:ascii="仿宋" w:hAnsi="仿宋" w:eastAsia="仿宋"/>
                <w:kern w:val="0"/>
                <w:sz w:val="20"/>
                <w:highlight w:val="none"/>
              </w:rPr>
              <w:t>A+</w:t>
            </w:r>
            <w:r>
              <w:rPr>
                <w:rFonts w:hint="eastAsia" w:ascii="仿宋" w:hAnsi="仿宋" w:eastAsia="仿宋"/>
                <w:kern w:val="0"/>
                <w:sz w:val="20"/>
                <w:highlight w:val="none"/>
                <w:lang w:val="en-US" w:eastAsia="zh-CN"/>
              </w:rPr>
              <w:t>133</w:t>
            </w:r>
          </w:p>
        </w:tc>
        <w:tc>
          <w:tcPr>
            <w:tcW w:w="1132" w:type="dxa"/>
            <w:tcBorders>
              <w:top w:val="single" w:color="auto" w:sz="4" w:space="0"/>
              <w:left w:val="nil"/>
              <w:bottom w:val="single" w:color="auto" w:sz="4" w:space="0"/>
              <w:right w:val="single" w:color="auto" w:sz="4" w:space="0"/>
            </w:tcBorders>
            <w:vAlign w:val="center"/>
          </w:tcPr>
          <w:p w14:paraId="38DA9788">
            <w:pPr>
              <w:widowControl/>
              <w:jc w:val="center"/>
              <w:rPr>
                <w:rFonts w:hint="default" w:ascii="仿宋" w:hAnsi="仿宋" w:eastAsia="仿宋"/>
                <w:b/>
                <w:color w:val="000000"/>
                <w:kern w:val="0"/>
                <w:szCs w:val="21"/>
                <w:highlight w:val="none"/>
                <w:lang w:val="en-US" w:eastAsia="zh-CN"/>
              </w:rPr>
            </w:pPr>
            <w:r>
              <w:rPr>
                <w:rFonts w:hint="eastAsia" w:ascii="仿宋" w:hAnsi="仿宋" w:eastAsia="仿宋"/>
                <w:kern w:val="0"/>
                <w:sz w:val="20"/>
                <w:highlight w:val="none"/>
                <w:lang w:val="en-US" w:eastAsia="zh-CN"/>
              </w:rPr>
              <w:t>133</w:t>
            </w:r>
          </w:p>
        </w:tc>
        <w:tc>
          <w:tcPr>
            <w:tcW w:w="1023" w:type="dxa"/>
            <w:vMerge w:val="continue"/>
            <w:tcBorders>
              <w:left w:val="nil"/>
            </w:tcBorders>
            <w:vAlign w:val="center"/>
          </w:tcPr>
          <w:p w14:paraId="57154B22">
            <w:pPr>
              <w:widowControl/>
              <w:jc w:val="left"/>
              <w:rPr>
                <w:rFonts w:ascii="仿宋" w:hAnsi="仿宋" w:eastAsia="仿宋"/>
                <w:b/>
                <w:color w:val="000000"/>
                <w:kern w:val="0"/>
                <w:szCs w:val="21"/>
                <w:highlight w:val="none"/>
              </w:rPr>
            </w:pPr>
          </w:p>
        </w:tc>
      </w:tr>
      <w:tr w14:paraId="4EEA5D4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wAfter w:w="226" w:type="dxa"/>
          <w:trHeight w:val="444" w:hRule="atLeast"/>
        </w:trPr>
        <w:tc>
          <w:tcPr>
            <w:tcW w:w="638" w:type="dxa"/>
            <w:tcBorders>
              <w:top w:val="single" w:color="auto" w:sz="4" w:space="0"/>
              <w:bottom w:val="single" w:color="auto" w:sz="4" w:space="0"/>
              <w:right w:val="single" w:color="auto" w:sz="4" w:space="0"/>
            </w:tcBorders>
            <w:noWrap/>
            <w:vAlign w:val="center"/>
          </w:tcPr>
          <w:p w14:paraId="1DC95C82">
            <w:pPr>
              <w:widowControl/>
              <w:jc w:val="center"/>
              <w:rPr>
                <w:rFonts w:ascii="仿宋" w:hAnsi="仿宋" w:eastAsia="仿宋"/>
                <w:color w:val="000000"/>
                <w:kern w:val="0"/>
                <w:szCs w:val="21"/>
                <w:highlight w:val="none"/>
              </w:rPr>
            </w:pPr>
            <w:r>
              <w:rPr>
                <w:rFonts w:hint="eastAsia" w:ascii="仿宋" w:hAnsi="仿宋" w:eastAsia="仿宋"/>
                <w:color w:val="000000"/>
                <w:kern w:val="0"/>
                <w:szCs w:val="21"/>
                <w:highlight w:val="none"/>
              </w:rPr>
              <w:t>7</w:t>
            </w:r>
          </w:p>
        </w:tc>
        <w:tc>
          <w:tcPr>
            <w:tcW w:w="1203" w:type="dxa"/>
            <w:vMerge w:val="continue"/>
            <w:tcBorders>
              <w:left w:val="single" w:color="auto" w:sz="4" w:space="0"/>
              <w:right w:val="single" w:color="auto" w:sz="4" w:space="0"/>
            </w:tcBorders>
            <w:vAlign w:val="center"/>
          </w:tcPr>
          <w:p w14:paraId="27F7FE63">
            <w:pPr>
              <w:widowControl/>
              <w:jc w:val="center"/>
              <w:rPr>
                <w:rFonts w:ascii="仿宋" w:hAnsi="仿宋" w:eastAsia="仿宋"/>
                <w:b/>
                <w:color w:val="000000"/>
                <w:kern w:val="0"/>
                <w:szCs w:val="21"/>
                <w:highlight w:val="none"/>
              </w:rPr>
            </w:pPr>
          </w:p>
        </w:tc>
        <w:tc>
          <w:tcPr>
            <w:tcW w:w="2986" w:type="dxa"/>
            <w:tcBorders>
              <w:top w:val="single" w:color="auto" w:sz="4" w:space="0"/>
              <w:left w:val="nil"/>
              <w:bottom w:val="single" w:color="auto" w:sz="4" w:space="0"/>
              <w:right w:val="single" w:color="auto" w:sz="4" w:space="0"/>
            </w:tcBorders>
            <w:vAlign w:val="center"/>
          </w:tcPr>
          <w:p w14:paraId="125EA60D">
            <w:pPr>
              <w:widowControl/>
              <w:jc w:val="center"/>
              <w:rPr>
                <w:rFonts w:ascii="仿宋" w:hAnsi="仿宋" w:eastAsia="仿宋"/>
                <w:b/>
                <w:color w:val="000000"/>
                <w:kern w:val="0"/>
                <w:szCs w:val="21"/>
                <w:highlight w:val="none"/>
              </w:rPr>
            </w:pPr>
            <w:r>
              <w:rPr>
                <w:rFonts w:hint="eastAsia" w:ascii="仿宋" w:hAnsi="仿宋" w:eastAsia="仿宋"/>
                <w:kern w:val="0"/>
                <w:sz w:val="20"/>
                <w:highlight w:val="none"/>
              </w:rPr>
              <w:t>T1-1栋泛光照明</w:t>
            </w:r>
          </w:p>
        </w:tc>
        <w:tc>
          <w:tcPr>
            <w:tcW w:w="1200" w:type="dxa"/>
            <w:vMerge w:val="continue"/>
            <w:tcBorders>
              <w:left w:val="nil"/>
              <w:right w:val="single" w:color="auto" w:sz="4" w:space="0"/>
            </w:tcBorders>
            <w:vAlign w:val="center"/>
          </w:tcPr>
          <w:p w14:paraId="412FB61A">
            <w:pPr>
              <w:jc w:val="center"/>
              <w:rPr>
                <w:rFonts w:ascii="仿宋" w:hAnsi="仿宋" w:eastAsia="仿宋"/>
                <w:b/>
                <w:color w:val="FF0000"/>
                <w:kern w:val="0"/>
                <w:szCs w:val="21"/>
                <w:highlight w:val="none"/>
              </w:rPr>
            </w:pPr>
          </w:p>
        </w:tc>
        <w:tc>
          <w:tcPr>
            <w:tcW w:w="1145" w:type="dxa"/>
            <w:tcBorders>
              <w:top w:val="single" w:color="auto" w:sz="4" w:space="0"/>
              <w:left w:val="nil"/>
              <w:bottom w:val="single" w:color="auto" w:sz="4" w:space="0"/>
              <w:right w:val="single" w:color="auto" w:sz="4" w:space="0"/>
            </w:tcBorders>
            <w:vAlign w:val="center"/>
          </w:tcPr>
          <w:p w14:paraId="7ABB9922">
            <w:pPr>
              <w:jc w:val="center"/>
              <w:rPr>
                <w:rFonts w:hint="default" w:ascii="仿宋" w:hAnsi="仿宋" w:eastAsia="仿宋"/>
                <w:b/>
                <w:color w:val="FF0000"/>
                <w:kern w:val="0"/>
                <w:szCs w:val="21"/>
                <w:highlight w:val="none"/>
                <w:lang w:val="en-US" w:eastAsia="zh-CN"/>
              </w:rPr>
            </w:pPr>
            <w:r>
              <w:rPr>
                <w:rFonts w:hint="eastAsia" w:ascii="仿宋" w:hAnsi="仿宋" w:eastAsia="仿宋"/>
                <w:kern w:val="0"/>
                <w:sz w:val="20"/>
                <w:highlight w:val="none"/>
              </w:rPr>
              <w:t>A+</w:t>
            </w:r>
            <w:r>
              <w:rPr>
                <w:rFonts w:hint="eastAsia" w:ascii="仿宋" w:hAnsi="仿宋" w:eastAsia="仿宋"/>
                <w:kern w:val="0"/>
                <w:sz w:val="20"/>
                <w:highlight w:val="none"/>
                <w:lang w:eastAsia="zh-CN"/>
              </w:rPr>
              <w:t>8</w:t>
            </w:r>
            <w:r>
              <w:rPr>
                <w:rFonts w:hint="eastAsia" w:ascii="仿宋" w:hAnsi="仿宋" w:eastAsia="仿宋"/>
                <w:kern w:val="0"/>
                <w:sz w:val="20"/>
                <w:highlight w:val="none"/>
                <w:lang w:val="en-US" w:eastAsia="zh-CN"/>
              </w:rPr>
              <w:t>01</w:t>
            </w:r>
          </w:p>
        </w:tc>
        <w:tc>
          <w:tcPr>
            <w:tcW w:w="1132" w:type="dxa"/>
            <w:tcBorders>
              <w:top w:val="single" w:color="auto" w:sz="4" w:space="0"/>
              <w:left w:val="nil"/>
              <w:bottom w:val="single" w:color="auto" w:sz="4" w:space="0"/>
              <w:right w:val="single" w:color="auto" w:sz="4" w:space="0"/>
            </w:tcBorders>
            <w:vAlign w:val="center"/>
          </w:tcPr>
          <w:p w14:paraId="138B1ECA">
            <w:pPr>
              <w:widowControl/>
              <w:jc w:val="center"/>
              <w:rPr>
                <w:rFonts w:hint="default" w:ascii="仿宋" w:hAnsi="仿宋" w:eastAsia="仿宋"/>
                <w:b/>
                <w:color w:val="000000"/>
                <w:kern w:val="0"/>
                <w:szCs w:val="21"/>
                <w:highlight w:val="none"/>
                <w:lang w:val="en-US" w:eastAsia="zh-CN"/>
              </w:rPr>
            </w:pPr>
            <w:r>
              <w:rPr>
                <w:rFonts w:hint="eastAsia" w:ascii="仿宋" w:hAnsi="仿宋" w:eastAsia="仿宋"/>
                <w:kern w:val="0"/>
                <w:sz w:val="20"/>
                <w:highlight w:val="none"/>
                <w:lang w:eastAsia="zh-CN"/>
              </w:rPr>
              <w:t>8</w:t>
            </w:r>
            <w:r>
              <w:rPr>
                <w:rFonts w:hint="eastAsia" w:ascii="仿宋" w:hAnsi="仿宋" w:eastAsia="仿宋"/>
                <w:kern w:val="0"/>
                <w:sz w:val="20"/>
                <w:highlight w:val="none"/>
                <w:lang w:val="en-US" w:eastAsia="zh-CN"/>
              </w:rPr>
              <w:t>01</w:t>
            </w:r>
          </w:p>
        </w:tc>
        <w:tc>
          <w:tcPr>
            <w:tcW w:w="1023" w:type="dxa"/>
            <w:vMerge w:val="continue"/>
            <w:tcBorders>
              <w:left w:val="nil"/>
            </w:tcBorders>
            <w:vAlign w:val="center"/>
          </w:tcPr>
          <w:p w14:paraId="24A5FEE5">
            <w:pPr>
              <w:widowControl/>
              <w:jc w:val="left"/>
              <w:rPr>
                <w:rFonts w:ascii="仿宋" w:hAnsi="仿宋" w:eastAsia="仿宋"/>
                <w:b/>
                <w:color w:val="000000"/>
                <w:kern w:val="0"/>
                <w:szCs w:val="21"/>
                <w:highlight w:val="none"/>
              </w:rPr>
            </w:pPr>
          </w:p>
        </w:tc>
      </w:tr>
      <w:tr w14:paraId="4386640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wAfter w:w="226" w:type="dxa"/>
          <w:trHeight w:val="444" w:hRule="atLeast"/>
        </w:trPr>
        <w:tc>
          <w:tcPr>
            <w:tcW w:w="638" w:type="dxa"/>
            <w:tcBorders>
              <w:top w:val="single" w:color="auto" w:sz="4" w:space="0"/>
              <w:bottom w:val="single" w:color="auto" w:sz="4" w:space="0"/>
              <w:right w:val="single" w:color="auto" w:sz="4" w:space="0"/>
            </w:tcBorders>
            <w:noWrap/>
            <w:vAlign w:val="center"/>
          </w:tcPr>
          <w:p w14:paraId="7293DA97">
            <w:pPr>
              <w:widowControl/>
              <w:jc w:val="center"/>
              <w:rPr>
                <w:rFonts w:hint="eastAsia" w:ascii="仿宋" w:hAnsi="仿宋" w:eastAsia="仿宋"/>
                <w:color w:val="000000"/>
                <w:kern w:val="0"/>
                <w:szCs w:val="21"/>
                <w:highlight w:val="none"/>
                <w:lang w:val="en-US" w:eastAsia="zh-CN"/>
              </w:rPr>
            </w:pPr>
            <w:r>
              <w:rPr>
                <w:rFonts w:hint="eastAsia" w:ascii="仿宋" w:hAnsi="仿宋" w:eastAsia="仿宋"/>
                <w:color w:val="000000"/>
                <w:kern w:val="0"/>
                <w:szCs w:val="21"/>
                <w:highlight w:val="none"/>
                <w:lang w:val="en-US" w:eastAsia="zh-CN"/>
              </w:rPr>
              <w:t>8</w:t>
            </w:r>
          </w:p>
        </w:tc>
        <w:tc>
          <w:tcPr>
            <w:tcW w:w="1203" w:type="dxa"/>
            <w:vMerge w:val="continue"/>
            <w:tcBorders>
              <w:left w:val="single" w:color="auto" w:sz="4" w:space="0"/>
              <w:bottom w:val="single" w:color="auto" w:sz="4" w:space="0"/>
              <w:right w:val="single" w:color="auto" w:sz="4" w:space="0"/>
            </w:tcBorders>
            <w:vAlign w:val="center"/>
          </w:tcPr>
          <w:p w14:paraId="1FFB0318">
            <w:pPr>
              <w:widowControl/>
              <w:jc w:val="center"/>
              <w:rPr>
                <w:rFonts w:hint="eastAsia" w:ascii="仿宋" w:hAnsi="仿宋" w:eastAsia="仿宋"/>
                <w:kern w:val="0"/>
                <w:sz w:val="20"/>
                <w:highlight w:val="none"/>
              </w:rPr>
            </w:pPr>
          </w:p>
        </w:tc>
        <w:tc>
          <w:tcPr>
            <w:tcW w:w="2986" w:type="dxa"/>
            <w:tcBorders>
              <w:top w:val="single" w:color="auto" w:sz="4" w:space="0"/>
              <w:left w:val="nil"/>
              <w:bottom w:val="single" w:color="auto" w:sz="4" w:space="0"/>
              <w:right w:val="single" w:color="auto" w:sz="4" w:space="0"/>
            </w:tcBorders>
            <w:vAlign w:val="center"/>
          </w:tcPr>
          <w:p w14:paraId="2CABB4B2">
            <w:pPr>
              <w:widowControl/>
              <w:jc w:val="center"/>
              <w:rPr>
                <w:rFonts w:hint="eastAsia" w:ascii="仿宋" w:hAnsi="仿宋" w:eastAsia="仿宋"/>
                <w:kern w:val="0"/>
                <w:sz w:val="20"/>
                <w:highlight w:val="none"/>
              </w:rPr>
            </w:pPr>
            <w:r>
              <w:rPr>
                <w:rFonts w:hint="eastAsia" w:ascii="仿宋" w:hAnsi="仿宋" w:eastAsia="仿宋"/>
                <w:kern w:val="0"/>
                <w:sz w:val="20"/>
                <w:highlight w:val="none"/>
              </w:rPr>
              <w:t>T1-2栋泛光照明</w:t>
            </w:r>
          </w:p>
        </w:tc>
        <w:tc>
          <w:tcPr>
            <w:tcW w:w="1200" w:type="dxa"/>
            <w:vMerge w:val="continue"/>
            <w:tcBorders>
              <w:left w:val="nil"/>
              <w:right w:val="single" w:color="auto" w:sz="4" w:space="0"/>
            </w:tcBorders>
            <w:vAlign w:val="center"/>
          </w:tcPr>
          <w:p w14:paraId="75D3DAE6">
            <w:pPr>
              <w:jc w:val="center"/>
              <w:rPr>
                <w:rFonts w:hint="eastAsia" w:ascii="仿宋" w:hAnsi="仿宋" w:eastAsia="仿宋"/>
                <w:kern w:val="0"/>
                <w:sz w:val="20"/>
                <w:highlight w:val="none"/>
                <w:lang w:val="en-US" w:eastAsia="zh-CN"/>
              </w:rPr>
            </w:pPr>
          </w:p>
        </w:tc>
        <w:tc>
          <w:tcPr>
            <w:tcW w:w="1145" w:type="dxa"/>
            <w:tcBorders>
              <w:top w:val="single" w:color="auto" w:sz="4" w:space="0"/>
              <w:left w:val="nil"/>
              <w:bottom w:val="single" w:color="auto" w:sz="4" w:space="0"/>
              <w:right w:val="single" w:color="auto" w:sz="4" w:space="0"/>
            </w:tcBorders>
            <w:vAlign w:val="center"/>
          </w:tcPr>
          <w:p w14:paraId="7928CD47">
            <w:pPr>
              <w:jc w:val="center"/>
              <w:rPr>
                <w:rFonts w:hint="default" w:ascii="仿宋" w:hAnsi="仿宋" w:eastAsia="仿宋"/>
                <w:kern w:val="0"/>
                <w:sz w:val="20"/>
                <w:highlight w:val="none"/>
                <w:lang w:val="en-US" w:eastAsia="zh-CN"/>
              </w:rPr>
            </w:pPr>
            <w:r>
              <w:rPr>
                <w:rFonts w:hint="eastAsia" w:ascii="仿宋" w:hAnsi="仿宋" w:eastAsia="仿宋"/>
                <w:kern w:val="0"/>
                <w:sz w:val="20"/>
                <w:highlight w:val="none"/>
              </w:rPr>
              <w:t>A+</w:t>
            </w:r>
            <w:r>
              <w:rPr>
                <w:rFonts w:hint="eastAsia" w:ascii="仿宋" w:hAnsi="仿宋" w:eastAsia="仿宋"/>
                <w:kern w:val="0"/>
                <w:sz w:val="20"/>
                <w:highlight w:val="none"/>
                <w:lang w:val="en-US" w:eastAsia="zh-CN"/>
              </w:rPr>
              <w:t>498</w:t>
            </w:r>
          </w:p>
        </w:tc>
        <w:tc>
          <w:tcPr>
            <w:tcW w:w="1132" w:type="dxa"/>
            <w:tcBorders>
              <w:top w:val="single" w:color="auto" w:sz="4" w:space="0"/>
              <w:left w:val="nil"/>
              <w:bottom w:val="single" w:color="auto" w:sz="4" w:space="0"/>
              <w:right w:val="single" w:color="auto" w:sz="4" w:space="0"/>
            </w:tcBorders>
            <w:vAlign w:val="center"/>
          </w:tcPr>
          <w:p w14:paraId="02641381">
            <w:pPr>
              <w:widowControl/>
              <w:jc w:val="center"/>
              <w:rPr>
                <w:rFonts w:hint="default" w:ascii="仿宋" w:hAnsi="仿宋" w:eastAsia="仿宋"/>
                <w:kern w:val="0"/>
                <w:sz w:val="20"/>
                <w:highlight w:val="none"/>
                <w:lang w:val="en-US" w:eastAsia="zh-CN"/>
              </w:rPr>
            </w:pPr>
            <w:r>
              <w:rPr>
                <w:rFonts w:hint="eastAsia" w:ascii="仿宋" w:hAnsi="仿宋" w:eastAsia="仿宋"/>
                <w:kern w:val="0"/>
                <w:sz w:val="20"/>
                <w:highlight w:val="none"/>
                <w:lang w:val="en-US" w:eastAsia="zh-CN"/>
              </w:rPr>
              <w:t>498</w:t>
            </w:r>
          </w:p>
        </w:tc>
        <w:tc>
          <w:tcPr>
            <w:tcW w:w="1023" w:type="dxa"/>
            <w:vMerge w:val="continue"/>
            <w:tcBorders>
              <w:left w:val="nil"/>
            </w:tcBorders>
            <w:vAlign w:val="center"/>
          </w:tcPr>
          <w:p w14:paraId="26EAD1EF">
            <w:pPr>
              <w:widowControl/>
              <w:jc w:val="left"/>
              <w:rPr>
                <w:rFonts w:ascii="仿宋" w:hAnsi="仿宋" w:eastAsia="仿宋"/>
                <w:b/>
                <w:color w:val="000000"/>
                <w:kern w:val="0"/>
                <w:szCs w:val="21"/>
                <w:highlight w:val="none"/>
              </w:rPr>
            </w:pPr>
          </w:p>
        </w:tc>
      </w:tr>
      <w:tr w14:paraId="0807BE1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wAfter w:w="226" w:type="dxa"/>
          <w:trHeight w:val="444" w:hRule="atLeast"/>
        </w:trPr>
        <w:tc>
          <w:tcPr>
            <w:tcW w:w="638" w:type="dxa"/>
            <w:tcBorders>
              <w:top w:val="single" w:color="auto" w:sz="4" w:space="0"/>
              <w:bottom w:val="single" w:color="auto" w:sz="4" w:space="0"/>
              <w:right w:val="single" w:color="auto" w:sz="4" w:space="0"/>
            </w:tcBorders>
            <w:noWrap/>
            <w:vAlign w:val="center"/>
          </w:tcPr>
          <w:p w14:paraId="40897DB4">
            <w:pPr>
              <w:widowControl/>
              <w:jc w:val="center"/>
              <w:rPr>
                <w:rFonts w:hint="eastAsia" w:ascii="仿宋" w:hAnsi="仿宋" w:eastAsia="仿宋"/>
                <w:color w:val="000000"/>
                <w:kern w:val="0"/>
                <w:szCs w:val="21"/>
                <w:highlight w:val="none"/>
                <w:lang w:eastAsia="zh-CN"/>
              </w:rPr>
            </w:pPr>
            <w:r>
              <w:rPr>
                <w:rFonts w:hint="eastAsia" w:ascii="仿宋" w:hAnsi="仿宋" w:eastAsia="仿宋"/>
                <w:color w:val="000000"/>
                <w:kern w:val="0"/>
                <w:szCs w:val="21"/>
                <w:highlight w:val="none"/>
                <w:lang w:val="en-US" w:eastAsia="zh-CN"/>
              </w:rPr>
              <w:t>9</w:t>
            </w:r>
          </w:p>
        </w:tc>
        <w:tc>
          <w:tcPr>
            <w:tcW w:w="1203" w:type="dxa"/>
            <w:tcBorders>
              <w:top w:val="single" w:color="auto" w:sz="4" w:space="0"/>
              <w:left w:val="nil"/>
              <w:bottom w:val="single" w:color="auto" w:sz="4" w:space="0"/>
              <w:right w:val="single" w:color="auto" w:sz="4" w:space="0"/>
            </w:tcBorders>
            <w:vAlign w:val="center"/>
          </w:tcPr>
          <w:p w14:paraId="21BECC46">
            <w:pPr>
              <w:widowControl/>
              <w:jc w:val="center"/>
              <w:rPr>
                <w:rFonts w:ascii="仿宋" w:hAnsi="仿宋" w:eastAsia="仿宋"/>
                <w:b/>
                <w:color w:val="000000"/>
                <w:kern w:val="0"/>
                <w:szCs w:val="21"/>
                <w:highlight w:val="none"/>
              </w:rPr>
            </w:pPr>
            <w:r>
              <w:rPr>
                <w:rFonts w:hint="eastAsia" w:ascii="仿宋" w:hAnsi="仿宋" w:eastAsia="仿宋"/>
                <w:kern w:val="0"/>
                <w:sz w:val="20"/>
                <w:highlight w:val="none"/>
              </w:rPr>
              <w:t>质量验收(幕墙)</w:t>
            </w:r>
          </w:p>
        </w:tc>
        <w:tc>
          <w:tcPr>
            <w:tcW w:w="2986" w:type="dxa"/>
            <w:tcBorders>
              <w:top w:val="single" w:color="auto" w:sz="4" w:space="0"/>
              <w:left w:val="nil"/>
              <w:bottom w:val="single" w:color="auto" w:sz="4" w:space="0"/>
              <w:right w:val="single" w:color="auto" w:sz="4" w:space="0"/>
            </w:tcBorders>
            <w:vAlign w:val="center"/>
          </w:tcPr>
          <w:p w14:paraId="1BE41E3A">
            <w:pPr>
              <w:widowControl/>
              <w:jc w:val="center"/>
              <w:rPr>
                <w:rFonts w:ascii="仿宋" w:hAnsi="仿宋" w:eastAsia="仿宋"/>
                <w:b/>
                <w:color w:val="000000"/>
                <w:kern w:val="0"/>
                <w:szCs w:val="21"/>
                <w:highlight w:val="none"/>
              </w:rPr>
            </w:pPr>
            <w:r>
              <w:rPr>
                <w:rFonts w:hint="eastAsia" w:ascii="仿宋" w:hAnsi="仿宋" w:eastAsia="仿宋"/>
                <w:kern w:val="0"/>
                <w:sz w:val="20"/>
                <w:highlight w:val="none"/>
                <w:lang w:eastAsia="zh-CN"/>
              </w:rPr>
              <w:t>T</w:t>
            </w:r>
            <w:r>
              <w:rPr>
                <w:rFonts w:hint="eastAsia" w:ascii="仿宋" w:hAnsi="仿宋" w:eastAsia="仿宋"/>
                <w:kern w:val="0"/>
                <w:sz w:val="20"/>
                <w:highlight w:val="none"/>
                <w:lang w:val="en-US" w:eastAsia="zh-CN"/>
              </w:rPr>
              <w:t>2栋</w:t>
            </w:r>
            <w:r>
              <w:rPr>
                <w:rFonts w:hint="eastAsia" w:ascii="仿宋" w:hAnsi="仿宋" w:eastAsia="仿宋"/>
                <w:kern w:val="0"/>
                <w:sz w:val="20"/>
                <w:highlight w:val="none"/>
              </w:rPr>
              <w:t>（含裙楼）</w:t>
            </w:r>
          </w:p>
        </w:tc>
        <w:tc>
          <w:tcPr>
            <w:tcW w:w="1200" w:type="dxa"/>
            <w:vMerge w:val="continue"/>
            <w:tcBorders>
              <w:left w:val="single" w:color="auto" w:sz="4" w:space="0"/>
              <w:bottom w:val="single" w:color="auto" w:sz="4" w:space="0"/>
              <w:right w:val="single" w:color="auto" w:sz="4" w:space="0"/>
            </w:tcBorders>
            <w:vAlign w:val="center"/>
          </w:tcPr>
          <w:p w14:paraId="225A4438">
            <w:pPr>
              <w:jc w:val="center"/>
              <w:rPr>
                <w:rFonts w:ascii="仿宋" w:hAnsi="仿宋" w:eastAsia="仿宋"/>
                <w:b/>
                <w:color w:val="FF0000"/>
                <w:kern w:val="0"/>
                <w:szCs w:val="21"/>
                <w:highlight w:val="none"/>
              </w:rPr>
            </w:pPr>
          </w:p>
        </w:tc>
        <w:tc>
          <w:tcPr>
            <w:tcW w:w="1145" w:type="dxa"/>
            <w:tcBorders>
              <w:top w:val="single" w:color="auto" w:sz="4" w:space="0"/>
              <w:left w:val="nil"/>
              <w:bottom w:val="single" w:color="auto" w:sz="4" w:space="0"/>
              <w:right w:val="single" w:color="auto" w:sz="4" w:space="0"/>
            </w:tcBorders>
            <w:vAlign w:val="center"/>
          </w:tcPr>
          <w:p w14:paraId="41B4D8C0">
            <w:pPr>
              <w:jc w:val="center"/>
              <w:rPr>
                <w:rFonts w:hint="default" w:ascii="仿宋" w:hAnsi="仿宋" w:eastAsia="仿宋"/>
                <w:b/>
                <w:color w:val="FF0000"/>
                <w:kern w:val="0"/>
                <w:szCs w:val="21"/>
                <w:highlight w:val="none"/>
                <w:lang w:val="en-US"/>
              </w:rPr>
            </w:pPr>
            <w:r>
              <w:rPr>
                <w:rFonts w:hint="eastAsia" w:ascii="仿宋" w:hAnsi="仿宋" w:eastAsia="仿宋"/>
                <w:kern w:val="0"/>
                <w:sz w:val="20"/>
                <w:highlight w:val="none"/>
              </w:rPr>
              <w:t>A+</w:t>
            </w:r>
            <w:r>
              <w:rPr>
                <w:rFonts w:hint="eastAsia" w:ascii="仿宋" w:hAnsi="仿宋" w:eastAsia="仿宋"/>
                <w:kern w:val="0"/>
                <w:sz w:val="20"/>
                <w:highlight w:val="none"/>
                <w:lang w:val="en-US" w:eastAsia="zh-CN"/>
              </w:rPr>
              <w:t>740</w:t>
            </w:r>
          </w:p>
        </w:tc>
        <w:tc>
          <w:tcPr>
            <w:tcW w:w="1132" w:type="dxa"/>
            <w:tcBorders>
              <w:top w:val="single" w:color="auto" w:sz="4" w:space="0"/>
              <w:left w:val="nil"/>
              <w:bottom w:val="single" w:color="auto" w:sz="4" w:space="0"/>
              <w:right w:val="single" w:color="auto" w:sz="4" w:space="0"/>
            </w:tcBorders>
            <w:vAlign w:val="center"/>
          </w:tcPr>
          <w:p w14:paraId="44D069CC">
            <w:pPr>
              <w:widowControl/>
              <w:jc w:val="center"/>
              <w:rPr>
                <w:rFonts w:hint="default" w:ascii="仿宋" w:hAnsi="仿宋" w:eastAsia="仿宋"/>
                <w:b/>
                <w:color w:val="000000"/>
                <w:kern w:val="0"/>
                <w:szCs w:val="21"/>
                <w:highlight w:val="none"/>
                <w:lang w:val="en-US"/>
              </w:rPr>
            </w:pPr>
            <w:r>
              <w:rPr>
                <w:rFonts w:hint="eastAsia" w:ascii="仿宋" w:hAnsi="仿宋" w:eastAsia="仿宋"/>
                <w:kern w:val="0"/>
                <w:sz w:val="20"/>
                <w:highlight w:val="none"/>
                <w:lang w:val="en-US" w:eastAsia="zh-CN"/>
              </w:rPr>
              <w:t>740</w:t>
            </w:r>
          </w:p>
        </w:tc>
        <w:tc>
          <w:tcPr>
            <w:tcW w:w="1023" w:type="dxa"/>
            <w:vMerge w:val="continue"/>
            <w:tcBorders>
              <w:left w:val="single" w:color="auto" w:sz="4" w:space="0"/>
              <w:bottom w:val="single" w:color="auto" w:sz="4" w:space="0"/>
            </w:tcBorders>
            <w:vAlign w:val="center"/>
          </w:tcPr>
          <w:p w14:paraId="68774875">
            <w:pPr>
              <w:widowControl/>
              <w:jc w:val="left"/>
              <w:rPr>
                <w:rFonts w:ascii="仿宋" w:hAnsi="仿宋" w:eastAsia="仿宋"/>
                <w:b/>
                <w:color w:val="000000"/>
                <w:kern w:val="0"/>
                <w:szCs w:val="21"/>
                <w:highlight w:val="none"/>
              </w:rPr>
            </w:pPr>
          </w:p>
        </w:tc>
      </w:tr>
    </w:tbl>
    <w:p w14:paraId="6CB41DFE">
      <w:pPr>
        <w:numPr>
          <w:ilvl w:val="2"/>
          <w:numId w:val="0"/>
        </w:numPr>
        <w:adjustRightInd w:val="0"/>
        <w:snapToGrid w:val="0"/>
        <w:spacing w:before="120" w:beforeLines="50" w:line="360" w:lineRule="auto"/>
        <w:ind w:firstLine="420" w:firstLineChars="200"/>
        <w:jc w:val="left"/>
        <w:outlineLvl w:val="2"/>
        <w:rPr>
          <w:rFonts w:ascii="Times New Roman" w:hAnsi="宋体"/>
          <w:szCs w:val="24"/>
          <w:highlight w:val="none"/>
        </w:rPr>
      </w:pPr>
      <w:r>
        <w:rPr>
          <w:rFonts w:hint="eastAsia" w:ascii="Times New Roman" w:hAnsi="宋体"/>
          <w:szCs w:val="24"/>
          <w:highlight w:val="none"/>
        </w:rPr>
        <w:t>10.1.3.</w:t>
      </w:r>
      <w:r>
        <w:rPr>
          <w:rFonts w:hint="eastAsia" w:ascii="Times New Roman" w:hAnsi="宋体"/>
          <w:szCs w:val="24"/>
          <w:highlight w:val="none"/>
        </w:rPr>
        <w:tab/>
      </w:r>
      <w:r>
        <w:rPr>
          <w:rFonts w:hint="eastAsia" w:ascii="Times New Roman" w:hAnsi="宋体"/>
          <w:szCs w:val="24"/>
          <w:highlight w:val="none"/>
        </w:rPr>
        <w:t>承包人必须按发包人和监理人确认的进度计划组织施工，接受发包人和监理人对进度的检查、监督。工程实际进度与经确认的进度计划不符时，承包人应按发包人和监理人的要求提出改进措施，经发包人和监理人确认后执行。因承包人的原因导致实际进度与进度计划不符，承包人无权就改进措施提出追加任何费用，还应向发包人支付节点工期逾期违约金。</w:t>
      </w:r>
    </w:p>
    <w:p w14:paraId="1C19B21F">
      <w:pPr>
        <w:numPr>
          <w:ilvl w:val="2"/>
          <w:numId w:val="0"/>
        </w:numPr>
        <w:adjustRightInd w:val="0"/>
        <w:snapToGrid w:val="0"/>
        <w:spacing w:line="360" w:lineRule="auto"/>
        <w:ind w:firstLine="420" w:firstLineChars="200"/>
        <w:jc w:val="left"/>
        <w:outlineLvl w:val="2"/>
        <w:rPr>
          <w:rFonts w:ascii="Times New Roman" w:hAnsi="宋体"/>
          <w:szCs w:val="24"/>
          <w:highlight w:val="none"/>
        </w:rPr>
      </w:pPr>
      <w:r>
        <w:rPr>
          <w:rFonts w:hint="eastAsia" w:ascii="Times New Roman" w:hAnsi="宋体"/>
          <w:szCs w:val="24"/>
          <w:highlight w:val="none"/>
        </w:rPr>
        <w:t xml:space="preserve">10.1.4. </w:t>
      </w:r>
      <w:r>
        <w:rPr>
          <w:rFonts w:hint="eastAsia" w:ascii="宋体" w:hAnsi="宋体"/>
          <w:kern w:val="0"/>
          <w:szCs w:val="20"/>
          <w:highlight w:val="none"/>
        </w:rPr>
        <w:t>承包人每月25日前分别向发包人及监理人提供详细的上月20日至当月20日已完工程量报表（含材料进场记录</w:t>
      </w:r>
      <w:r>
        <w:rPr>
          <w:rFonts w:hint="eastAsia" w:ascii="Times New Roman" w:hAnsi="宋体"/>
          <w:szCs w:val="24"/>
          <w:highlight w:val="none"/>
        </w:rPr>
        <w:t>等报表资料、设计变更及工程签证）及下月施工进度计划。</w:t>
      </w:r>
    </w:p>
    <w:p w14:paraId="2EACE4F9">
      <w:pPr>
        <w:numPr>
          <w:ilvl w:val="2"/>
          <w:numId w:val="0"/>
        </w:numPr>
        <w:adjustRightInd w:val="0"/>
        <w:snapToGrid w:val="0"/>
        <w:spacing w:line="360" w:lineRule="auto"/>
        <w:ind w:firstLine="420" w:firstLineChars="200"/>
        <w:jc w:val="left"/>
        <w:outlineLvl w:val="2"/>
        <w:rPr>
          <w:rFonts w:hint="eastAsia" w:ascii="Times New Roman" w:hAnsi="宋体"/>
          <w:szCs w:val="24"/>
          <w:highlight w:val="none"/>
        </w:rPr>
      </w:pPr>
      <w:r>
        <w:rPr>
          <w:rFonts w:hint="eastAsia" w:ascii="Times New Roman" w:hAnsi="宋体"/>
          <w:szCs w:val="24"/>
          <w:highlight w:val="none"/>
        </w:rPr>
        <w:t>10.1.8.</w:t>
      </w:r>
      <w:r>
        <w:rPr>
          <w:rFonts w:hint="eastAsia" w:ascii="Times New Roman" w:hAnsi="宋体"/>
          <w:szCs w:val="24"/>
          <w:highlight w:val="none"/>
        </w:rPr>
        <w:tab/>
      </w:r>
      <w:r>
        <w:rPr>
          <w:rFonts w:hint="eastAsia" w:ascii="Times New Roman" w:hAnsi="宋体"/>
          <w:szCs w:val="24"/>
          <w:highlight w:val="none"/>
        </w:rPr>
        <w:t>如发包人代表或监理人认为工程的进度滞后于原定的施工计划，不能按工期完成时，发包人代表或监理人有权通知承包人采取适当的、必要的措施，在保证工程质量的前提下加快工程进度以便按时完工。如因承包人原因导致的进度滞后，承包人采取这种措施无权另收费用。</w:t>
      </w:r>
    </w:p>
    <w:p w14:paraId="1599CD97">
      <w:pPr>
        <w:numPr>
          <w:ilvl w:val="2"/>
          <w:numId w:val="0"/>
        </w:numPr>
        <w:adjustRightInd w:val="0"/>
        <w:snapToGrid w:val="0"/>
        <w:spacing w:line="360" w:lineRule="auto"/>
        <w:ind w:firstLine="422" w:firstLineChars="200"/>
        <w:jc w:val="left"/>
        <w:outlineLvl w:val="2"/>
        <w:rPr>
          <w:rFonts w:ascii="宋体" w:hAnsi="宋体"/>
          <w:b/>
          <w:bCs/>
          <w:kern w:val="0"/>
          <w:szCs w:val="32"/>
          <w:highlight w:val="none"/>
        </w:rPr>
      </w:pPr>
      <w:r>
        <w:rPr>
          <w:rFonts w:hint="eastAsia" w:ascii="宋体" w:hAnsi="宋体"/>
          <w:b/>
          <w:bCs/>
          <w:kern w:val="0"/>
          <w:szCs w:val="32"/>
          <w:highlight w:val="none"/>
        </w:rPr>
        <w:t>10.2.合同进度计划的修订</w:t>
      </w:r>
    </w:p>
    <w:p w14:paraId="18FFE519">
      <w:pPr>
        <w:numPr>
          <w:ilvl w:val="2"/>
          <w:numId w:val="0"/>
        </w:numPr>
        <w:adjustRightInd w:val="0"/>
        <w:snapToGrid w:val="0"/>
        <w:spacing w:line="360" w:lineRule="auto"/>
        <w:ind w:firstLine="420" w:firstLineChars="200"/>
        <w:jc w:val="left"/>
        <w:outlineLvl w:val="2"/>
        <w:rPr>
          <w:rFonts w:ascii="Times New Roman" w:hAnsi="宋体"/>
          <w:szCs w:val="24"/>
          <w:highlight w:val="none"/>
        </w:rPr>
      </w:pPr>
      <w:r>
        <w:rPr>
          <w:rFonts w:hint="eastAsia" w:ascii="Times New Roman" w:hAnsi="宋体"/>
          <w:szCs w:val="24"/>
          <w:highlight w:val="none"/>
        </w:rPr>
        <w:t>10.2.1.</w:t>
      </w:r>
      <w:r>
        <w:rPr>
          <w:rFonts w:hint="eastAsia" w:ascii="Times New Roman" w:hAnsi="宋体"/>
          <w:szCs w:val="24"/>
          <w:highlight w:val="none"/>
        </w:rPr>
        <w:tab/>
      </w:r>
      <w:r>
        <w:rPr>
          <w:rFonts w:hint="eastAsia" w:ascii="Times New Roman" w:hAnsi="宋体"/>
          <w:szCs w:val="24"/>
          <w:highlight w:val="none"/>
        </w:rPr>
        <w:t>不论何种原因造成工程的实际进度与第10.1款的合同进度计划不符时，承包人可以向监理人提交修订合同进度计划的申请报告，并附有关措施和相关资料，报监理人审批；发包人认为本工程或其中任何部分工程进度滞后而不能按预定工期完工，有权向承包人发出修订工程进度计划的书面指令。承包人应在接到发包人指令后的七（7）天内将修订后的进度计划提交给发包人。修改后的工程进度计划，仍应保证本合同工程在合同约定的工期内完成。同时承包人应加大投入，确保工程能在合同约定的工期内完成。如承包人未能在此时限内提交修订后的进度计划或未采取有效措施，发包人有权单方面解除合同，或将未完工程的全部或一部分另行安排给其他有能力的承包商，承包人必须无条件服从，由此产生的费用由承包人承担，发包人有权从应支付给承包人的任何款项中予以扣除，且不免除承包人应负的责任和义务。监理人也可以直接向承包人作出修订合同进度计划的指示，承包人应按该指示修订合同进度计划，报监理人审批，监理人在批复前应获得发包人同意。</w:t>
      </w:r>
    </w:p>
    <w:p w14:paraId="24257172">
      <w:pPr>
        <w:spacing w:line="360" w:lineRule="auto"/>
        <w:rPr>
          <w:rFonts w:ascii="Times New Roman" w:hAnsi="Times New Roman"/>
          <w:szCs w:val="24"/>
          <w:highlight w:val="none"/>
        </w:rPr>
      </w:pPr>
      <w:r>
        <w:rPr>
          <w:rFonts w:hint="eastAsia" w:ascii="宋体" w:hAnsi="宋体"/>
          <w:b/>
          <w:bCs/>
          <w:kern w:val="0"/>
          <w:szCs w:val="32"/>
          <w:highlight w:val="none"/>
        </w:rPr>
        <w:t>10.3计划管理</w:t>
      </w:r>
    </w:p>
    <w:p w14:paraId="311D28A0">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10.3.1施工计划的提交：承包人中标后</w:t>
      </w:r>
      <w:r>
        <w:rPr>
          <w:rFonts w:hint="eastAsia" w:ascii="Times New Roman" w:hAnsi="Times New Roman"/>
          <w:szCs w:val="24"/>
          <w:highlight w:val="none"/>
          <w:u w:val="single"/>
        </w:rPr>
        <w:t>14</w:t>
      </w:r>
      <w:r>
        <w:rPr>
          <w:rFonts w:hint="eastAsia" w:ascii="Times New Roman" w:hAnsi="Times New Roman"/>
          <w:szCs w:val="24"/>
          <w:highlight w:val="none"/>
        </w:rPr>
        <w:t>天内应提交满足以下要求的项目施工计划至监理单位及发包人审核。</w:t>
      </w:r>
    </w:p>
    <w:p w14:paraId="798A4618">
      <w:pPr>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1）施工计划各节点均不得超出投标版本计划；</w:t>
      </w:r>
    </w:p>
    <w:p w14:paraId="3E89D24F">
      <w:pPr>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2）施工计划中各期计划必须包含专用条款10.1.2表内的关键施工节点；</w:t>
      </w:r>
    </w:p>
    <w:p w14:paraId="283DDEDC">
      <w:pPr>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3）施工计划应加盖承包人用章；</w:t>
      </w:r>
    </w:p>
    <w:p w14:paraId="5365D826">
      <w:pPr>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4）不得超出招标文件中对工期的要求；</w:t>
      </w:r>
    </w:p>
    <w:p w14:paraId="23138FE4">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10.3.2承包人有责任根据现场工作的开展进度更新及/或重新编制进度计划和施工组织设计,承包人应在七日内书面将修改后的新计划报发包人和监理审阅备案，特殊情况下承包人可向发包人申请适当延期。</w:t>
      </w:r>
    </w:p>
    <w:p w14:paraId="4BB71A29">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10.3.3承包人应按时提供月度及周工程施工计划及报表，该部分计划和报表应包括工程量清单、工程造价、施工进度、质量状况，以及人力安排、增加人力的来源、各种材料、设备的用量和消耗等，同时根据发包人和监理的要求提供周计划。月计划须于上一月的25日前提供下一个月的月计划和上一个月的月度报告；周计划须在每周工程例会前一天下午16:00之前报送发包人和监理单位。</w:t>
      </w:r>
    </w:p>
    <w:p w14:paraId="0DBB581A">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10.3.4</w:t>
      </w:r>
      <w:r>
        <w:rPr>
          <w:rFonts w:hint="eastAsia" w:ascii="Times New Roman" w:hAnsi="宋体"/>
          <w:szCs w:val="24"/>
          <w:highlight w:val="none"/>
        </w:rPr>
        <w:t>承包人</w:t>
      </w:r>
      <w:r>
        <w:rPr>
          <w:rFonts w:hint="eastAsia" w:ascii="Times New Roman" w:hAnsi="Times New Roman"/>
          <w:szCs w:val="24"/>
          <w:highlight w:val="none"/>
        </w:rPr>
        <w:t>所报的施工总进度计划又称三级进度或合同进度，应当较为详细、完整并符合发包人的工程总进度计划（即二级进度）。该进度计划应包括发包人另行发包的专业工程的进退场时间、预埋预配时间、配合时间、竣工时间、各分项工程的开始、完（竣）工和验收时间等。</w:t>
      </w:r>
    </w:p>
    <w:p w14:paraId="3C03E073">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10.3.5承包人应当按照本合同约定的竣工日期竣工。为确保工程的顺利进行,发包人可以合理调整施工的顺序和非关键路径的工期安排。</w:t>
      </w:r>
    </w:p>
    <w:p w14:paraId="27B571A1">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10.3.6除非</w:t>
      </w:r>
      <w:r>
        <w:rPr>
          <w:rFonts w:hint="eastAsia" w:ascii="Times New Roman" w:hAnsi="宋体"/>
          <w:szCs w:val="24"/>
          <w:highlight w:val="none"/>
        </w:rPr>
        <w:t>合同</w:t>
      </w:r>
      <w:r>
        <w:rPr>
          <w:rFonts w:hint="eastAsia" w:ascii="Times New Roman" w:hAnsi="Times New Roman"/>
          <w:szCs w:val="24"/>
          <w:highlight w:val="none"/>
        </w:rPr>
        <w:t>已有其他约定，否则承包人承诺不以现场及周边环境、政府和行业的检查及管理、节假日、法定假日、农忙、人员短缺等为由提出各种形式的工期和费用的索赔。</w:t>
      </w:r>
    </w:p>
    <w:p w14:paraId="605D9DE4">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10.3.7在</w:t>
      </w:r>
      <w:r>
        <w:rPr>
          <w:rFonts w:hint="eastAsia" w:ascii="Times New Roman" w:hAnsi="宋体"/>
          <w:szCs w:val="24"/>
          <w:highlight w:val="none"/>
        </w:rPr>
        <w:t>合同期</w:t>
      </w:r>
      <w:r>
        <w:rPr>
          <w:rFonts w:hint="eastAsia" w:ascii="Times New Roman" w:hAnsi="Times New Roman"/>
          <w:szCs w:val="24"/>
          <w:highlight w:val="none"/>
        </w:rPr>
        <w:t>内，承包人应按合同和发包人的要求提交发包人所需要的全部资料和文件，包括但不限于承包人的施工组织设计、施工总进度计划、资金需求和工程产值计划、劳动力需求计划、专业工程承包人进退场和配合计划、发包人资料的需求计划。材料设备的供货和配合计划、专项进度计划、质量保证大纲和手册、施工机械进退场计划等。</w:t>
      </w:r>
    </w:p>
    <w:p w14:paraId="71352C8B">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10.3.8</w:t>
      </w:r>
      <w:r>
        <w:rPr>
          <w:rFonts w:hint="eastAsia" w:ascii="Times New Roman" w:hAnsi="宋体"/>
          <w:szCs w:val="24"/>
          <w:highlight w:val="none"/>
        </w:rPr>
        <w:t>承包人</w:t>
      </w:r>
      <w:r>
        <w:rPr>
          <w:rFonts w:hint="eastAsia" w:ascii="Times New Roman" w:hAnsi="Times New Roman"/>
          <w:szCs w:val="24"/>
          <w:highlight w:val="none"/>
        </w:rPr>
        <w:t>的总体施工进度由承包人协调平衡，以满足发包人和监理对整个施工过程中阶段性工期的控制要求，对此承包人负有不可推卸的责任。承包人在编制所有工程施工计划时，应充分考虑发包人直接发包工程的其他专业工程承包人提出的工期计划，特别对于相关专业、部位和工序的施工顺序应合理安排进度，确保承包人和其他各专业工程承包人都能按计划有序地完成各自的工程施工任务。因其他专业工程承包人的原因造成工程工期延误和质量问题，由其他专业工程承包人负责，属承包人的职责部分的由承包人负责。</w:t>
      </w:r>
    </w:p>
    <w:p w14:paraId="6B481F8D">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10.3.9不论是何原因（包括设计、施工、发包人和监理指令等），导致承包人所报计划需重新制订或部分调整修改，承包人应在该原因发生后七日内以书面形式将修改后的新计划报发包人和监理审阅备案，特殊情况下承包人可向发包人申请适当延期。如承包人不能按时提供最新的计划，由此引起的一切后果由承包人负责。</w:t>
      </w:r>
    </w:p>
    <w:p w14:paraId="50FFB22B">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10.3.10每周</w:t>
      </w:r>
      <w:r>
        <w:rPr>
          <w:rFonts w:hint="eastAsia" w:ascii="Times New Roman" w:hAnsi="宋体"/>
          <w:szCs w:val="24"/>
          <w:highlight w:val="none"/>
        </w:rPr>
        <w:t>工程</w:t>
      </w:r>
      <w:r>
        <w:rPr>
          <w:rFonts w:hint="eastAsia" w:ascii="Times New Roman" w:hAnsi="Times New Roman"/>
          <w:szCs w:val="24"/>
          <w:highlight w:val="none"/>
        </w:rPr>
        <w:t>例会前一天向发包人和监理报送周报，包括上周计划和完成情况、对未完工作的情况说明和拟采取的措施（包括拟采取措施、最终完成时间）、本周计划和其他事项等。</w:t>
      </w:r>
    </w:p>
    <w:p w14:paraId="7D7BBB9C">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10.3.11</w:t>
      </w:r>
      <w:r>
        <w:rPr>
          <w:rFonts w:hint="eastAsia" w:ascii="Times New Roman" w:hAnsi="宋体"/>
          <w:szCs w:val="24"/>
          <w:highlight w:val="none"/>
        </w:rPr>
        <w:t>承包人</w:t>
      </w:r>
      <w:r>
        <w:rPr>
          <w:rFonts w:hint="eastAsia" w:ascii="Times New Roman" w:hAnsi="Times New Roman"/>
          <w:szCs w:val="24"/>
          <w:highlight w:val="none"/>
        </w:rPr>
        <w:t>在制定以上条款所述的计划时应充分考虑各专业的预留、预埋、预配、进场准备、现场配合及招标周期等问题。</w:t>
      </w:r>
    </w:p>
    <w:p w14:paraId="5461F456">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10.3.12</w:t>
      </w:r>
      <w:r>
        <w:rPr>
          <w:rFonts w:hint="eastAsia" w:ascii="Times New Roman" w:hAnsi="宋体"/>
          <w:szCs w:val="24"/>
          <w:highlight w:val="none"/>
        </w:rPr>
        <w:t>承包人</w:t>
      </w:r>
      <w:r>
        <w:rPr>
          <w:rFonts w:hint="eastAsia" w:ascii="Times New Roman" w:hAnsi="Times New Roman"/>
          <w:szCs w:val="24"/>
          <w:highlight w:val="none"/>
        </w:rPr>
        <w:t>提交的施工机械进退场计划应包括施工机械的名称、数量、已使用的年限、折旧总年限、规格型号、主要的性能、进退场的时间、目前的状态、来源、合同期内的维修保养计划等内容。</w:t>
      </w:r>
    </w:p>
    <w:p w14:paraId="7583F9D6">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10.3.13发包人和监理对承包人所提交的所有进度计划、施工组织设计、施工方案的批准和认可，不视为对本合同工期、质量、安全、价格等约定的调整，均不应减轻或免除承包人应承担的责任和义务。</w:t>
      </w:r>
    </w:p>
    <w:p w14:paraId="34E63D0F">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10.3.14承包人</w:t>
      </w:r>
      <w:r>
        <w:rPr>
          <w:rFonts w:hint="eastAsia" w:ascii="Times New Roman" w:hAnsi="宋体"/>
          <w:szCs w:val="24"/>
          <w:highlight w:val="none"/>
        </w:rPr>
        <w:t>实际</w:t>
      </w:r>
      <w:r>
        <w:rPr>
          <w:rFonts w:hint="eastAsia" w:ascii="Times New Roman" w:hAnsi="Times New Roman"/>
          <w:szCs w:val="24"/>
          <w:highlight w:val="none"/>
        </w:rPr>
        <w:t>提交给发包人和监理的所有计划和报表以及文件等的时间，均以发包人或监理的书面签收为准，如果承包人不能按合同要求及时提供合同规定的各项计划和报表及工程资料（发包人书面认可的特殊情况下的延期除外）或虽提供但不符合合同要求，需一日内上报、修正完毕。</w:t>
      </w:r>
    </w:p>
    <w:p w14:paraId="186CB9E5">
      <w:pPr>
        <w:keepNext/>
        <w:keepLines/>
        <w:numPr>
          <w:ilvl w:val="0"/>
          <w:numId w:val="4"/>
        </w:numPr>
        <w:adjustRightInd w:val="0"/>
        <w:snapToGrid w:val="0"/>
        <w:spacing w:line="360" w:lineRule="auto"/>
        <w:outlineLvl w:val="0"/>
        <w:rPr>
          <w:rFonts w:ascii="宋体" w:hAnsi="宋体"/>
          <w:b/>
          <w:bCs/>
          <w:kern w:val="44"/>
          <w:sz w:val="28"/>
          <w:szCs w:val="44"/>
          <w:highlight w:val="none"/>
        </w:rPr>
      </w:pPr>
      <w:r>
        <w:rPr>
          <w:rFonts w:hint="eastAsia" w:ascii="宋体" w:hAnsi="宋体"/>
          <w:b/>
          <w:bCs/>
          <w:kern w:val="44"/>
          <w:sz w:val="28"/>
          <w:szCs w:val="44"/>
          <w:highlight w:val="none"/>
        </w:rPr>
        <w:tab/>
      </w:r>
      <w:bookmarkStart w:id="332" w:name="_Toc21580"/>
      <w:bookmarkStart w:id="333" w:name="_Toc4023"/>
      <w:bookmarkStart w:id="334" w:name="_Toc8278"/>
      <w:bookmarkStart w:id="335" w:name="_Toc12749"/>
      <w:bookmarkStart w:id="336" w:name="_Toc167975585"/>
      <w:bookmarkStart w:id="337" w:name="_Toc16828"/>
      <w:bookmarkStart w:id="338" w:name="_Toc28595"/>
      <w:bookmarkStart w:id="339" w:name="_Toc20755"/>
      <w:bookmarkStart w:id="340" w:name="_Toc350865575"/>
      <w:bookmarkStart w:id="341" w:name="_Toc17097"/>
      <w:bookmarkStart w:id="342" w:name="_Toc23277"/>
      <w:bookmarkStart w:id="343" w:name="_Toc350865213"/>
      <w:bookmarkStart w:id="344" w:name="_Toc427331246"/>
      <w:bookmarkStart w:id="345" w:name="_Toc3234"/>
      <w:bookmarkStart w:id="346" w:name="_Toc22081"/>
      <w:bookmarkStart w:id="347" w:name="_Toc167701761"/>
      <w:bookmarkStart w:id="348" w:name="_Toc1749"/>
      <w:bookmarkStart w:id="349" w:name="_Toc5987"/>
      <w:bookmarkStart w:id="350" w:name="_Toc15766"/>
      <w:bookmarkStart w:id="351" w:name="_Toc24239"/>
      <w:bookmarkStart w:id="352" w:name="_Toc167701660"/>
      <w:bookmarkStart w:id="353" w:name="_Toc20292"/>
      <w:bookmarkStart w:id="354" w:name="_Toc26879"/>
      <w:bookmarkStart w:id="355" w:name="_Toc28025"/>
      <w:bookmarkStart w:id="356" w:name="_Toc9319"/>
      <w:bookmarkStart w:id="357" w:name="_Toc6822"/>
      <w:r>
        <w:rPr>
          <w:rFonts w:hint="eastAsia" w:ascii="宋体" w:hAnsi="宋体"/>
          <w:b/>
          <w:bCs/>
          <w:kern w:val="44"/>
          <w:sz w:val="28"/>
          <w:szCs w:val="44"/>
          <w:highlight w:val="none"/>
        </w:rPr>
        <w:t>开工和竣工</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547279DB">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11.1.</w:t>
      </w:r>
      <w:r>
        <w:rPr>
          <w:rFonts w:hint="eastAsia" w:ascii="宋体" w:hAnsi="宋体"/>
          <w:b/>
          <w:bCs/>
          <w:kern w:val="0"/>
          <w:szCs w:val="21"/>
          <w:highlight w:val="none"/>
        </w:rPr>
        <w:tab/>
      </w:r>
      <w:r>
        <w:rPr>
          <w:rFonts w:hint="eastAsia" w:ascii="宋体" w:hAnsi="宋体"/>
          <w:b/>
          <w:bCs/>
          <w:kern w:val="0"/>
          <w:szCs w:val="21"/>
          <w:highlight w:val="none"/>
        </w:rPr>
        <w:t>开工</w:t>
      </w:r>
    </w:p>
    <w:p w14:paraId="2C774D36">
      <w:pPr>
        <w:numPr>
          <w:ilvl w:val="2"/>
          <w:numId w:val="0"/>
        </w:numPr>
        <w:adjustRightInd w:val="0"/>
        <w:snapToGrid w:val="0"/>
        <w:spacing w:line="360" w:lineRule="auto"/>
        <w:ind w:firstLine="420" w:firstLineChars="200"/>
        <w:jc w:val="left"/>
        <w:outlineLvl w:val="2"/>
        <w:rPr>
          <w:rFonts w:ascii="宋体" w:hAnsi="宋体"/>
          <w:kern w:val="0"/>
          <w:highlight w:val="none"/>
        </w:rPr>
      </w:pPr>
      <w:r>
        <w:rPr>
          <w:rFonts w:hint="eastAsia" w:ascii="宋体" w:hAnsi="宋体"/>
          <w:kern w:val="0"/>
          <w:highlight w:val="none"/>
        </w:rPr>
        <w:t>通用条款11.1.3修改为：承包人不能按时开工的，应当不迟于发包人要求的开工日期前7天，以书面形式向发包人和监理单位提出延期开工的理由和要求。发包人和监理单位应当在接到延期开工申请后的48小时内以书面形式答复承包人。发包人和监理单位在接到延期开工申请后48小时内不答复，视为不同意承包人要求，工期不相应顺延。发包人和监理单位不同意延期要求或承包人未在规定时间内提出延期开工要求，工期不予顺延。</w:t>
      </w:r>
    </w:p>
    <w:p w14:paraId="201ACA1E">
      <w:pPr>
        <w:numPr>
          <w:ilvl w:val="2"/>
          <w:numId w:val="0"/>
        </w:numPr>
        <w:adjustRightInd w:val="0"/>
        <w:snapToGrid w:val="0"/>
        <w:spacing w:line="360" w:lineRule="auto"/>
        <w:ind w:firstLine="420" w:firstLineChars="200"/>
        <w:jc w:val="left"/>
        <w:outlineLvl w:val="2"/>
        <w:rPr>
          <w:rFonts w:ascii="宋体" w:hAnsi="宋体"/>
          <w:kern w:val="0"/>
          <w:highlight w:val="none"/>
        </w:rPr>
      </w:pPr>
      <w:r>
        <w:rPr>
          <w:rFonts w:hint="eastAsia" w:ascii="宋体" w:hAnsi="宋体"/>
          <w:kern w:val="0"/>
          <w:highlight w:val="none"/>
        </w:rPr>
        <w:t>11.1.4 承包人的人员、设备必须按照合同及经监理人和发包人确认的时间表进场，承包人不得拖延、调换或减少。若监理单位认为合同规定的进场机械、材料和劳动力不能满足施工进度要求，有权指令承包人增加设备、材料和劳动力投入，承包人不得拒绝。承包人不按照合同约定的人员、设备按时进场，发包人有权要求不满足合同要求的人员、设备退场，由此造成的工期、费用损失，由承包人负责。</w:t>
      </w:r>
    </w:p>
    <w:p w14:paraId="02EEC2D6">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11.3. 发包人的工期延误</w:t>
      </w:r>
    </w:p>
    <w:p w14:paraId="544F0716">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11.3.1. 通用条款11.3.1条修订为：因以下原因导致承包人在施工关键线路（按承包人提交并经发包人、监理人确认的施工计划中的关键线路）上造成工期单次延误7天以上的，经发包人书面确认后，工期相应顺延但不增加因延期而产生的费用（本合同另有约定的除外）：</w:t>
      </w:r>
    </w:p>
    <w:p w14:paraId="25E95859">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1）发包人未按合同专用条款约定提供施工图纸、开工条件（包括未按合同约定提供施工现场、施工条件、基础资料、许可、批准等开工条件及征地拆迁补偿等问题），致使关键线路施工造成延期；</w:t>
      </w:r>
    </w:p>
    <w:p w14:paraId="31ABC2F1">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2）发包人未按合同约定时间要求及时向承包人提供施工所需工程指令、批准等文件，致使关键线路施工造成延期的（发包人未及时回复工程审核价等文件的，承包人不得以核价为理由停工或拖延施工）；</w:t>
      </w:r>
    </w:p>
    <w:p w14:paraId="7BEF5D3C">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3）发包人供应的材料设备未按双方约定的时间及时进场或交验时发现缺陷需更换，致使关键线路施工造成延期的；</w:t>
      </w:r>
    </w:p>
    <w:p w14:paraId="3244D3D7">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4）发包人提出的设计变更导致关键线路施工造成延期的；</w:t>
      </w:r>
    </w:p>
    <w:p w14:paraId="785474DC">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5）发包人提出增加合同承包范围从而导致合同工期确需延长的；</w:t>
      </w:r>
    </w:p>
    <w:p w14:paraId="37FFF382">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6）发包人同意工期顺延的其他情形。</w:t>
      </w:r>
    </w:p>
    <w:p w14:paraId="60A870E5">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承包人在上述情况发生后7个日历天内，应就工期顺延或延长以书面形式向监理单位、发包人提出延期报告，并提供相关佐证资料。监理单位在收到承包人报告后原则上7个日历天内应出具审核意见报发包人审批，发包人收到监理单位意见后7个日历天内予以确认；监理单位、发包人在约定时间内未予以确认的，不视为默认同意顺延工期，保留根据后续情况综合判定的权利。监理单位或发包人在审核过程中提出需补充资料的，承包人应如期补充相关资料。如承包人未在上述时间内提出工期顺延报告，视为工期不受影响；承包人不得以发包人未确认工期顺延为由消极怠工或停工，否则所产生的后果自行承担，且应按本合同约定承担违约责任，同时赔偿发包人因此所发生的损失。</w:t>
      </w:r>
    </w:p>
    <w:p w14:paraId="1E758742">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11.4. 异常恶劣的气候条件</w:t>
      </w:r>
    </w:p>
    <w:p w14:paraId="69704B37">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11.4.1. 异常</w:t>
      </w:r>
      <w:r>
        <w:rPr>
          <w:rFonts w:hint="eastAsia" w:ascii="Times New Roman" w:hAnsi="宋体"/>
          <w:szCs w:val="24"/>
          <w:highlight w:val="none"/>
        </w:rPr>
        <w:t>恶劣</w:t>
      </w:r>
      <w:r>
        <w:rPr>
          <w:rFonts w:hint="eastAsia" w:ascii="宋体" w:hAnsi="宋体"/>
          <w:kern w:val="0"/>
          <w:szCs w:val="20"/>
          <w:highlight w:val="none"/>
        </w:rPr>
        <w:t>的气候条件是指: 24小时内（午夜至午夜）当地气象局记录显示降雨量150 mm或以上或8级及以上的大风。</w:t>
      </w:r>
    </w:p>
    <w:p w14:paraId="7DE00BE2">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因异常恶劣气候条件确需顺延工期的，承包人应在该情形发生后7个日历天内，就工期顺延以书面形式向监理单位、发包人提出延期报告，并提供相关佐证资料；若承包人未在上述时间内提出工期顺延报告，视为工期不受影响。</w:t>
      </w:r>
    </w:p>
    <w:p w14:paraId="3AF73431">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11.5. 承包人的工期延误</w:t>
      </w:r>
    </w:p>
    <w:p w14:paraId="4AEB7B95">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11.5.1. 对承包人工期延误的其他约定：</w:t>
      </w:r>
    </w:p>
    <w:p w14:paraId="3B51A726">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1）如因承包人责任造成实际施工进度出现滞后5天（含）及以上的，承包人需承诺保证连续施工，并做到“有工作面则有人”、“材料等工作面”、“工人等工作面”的状态，追加滞后工作；且应相应完善抢工期间的安全措施等投入。</w:t>
      </w:r>
    </w:p>
    <w:p w14:paraId="61F81056">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 xml:space="preserve">承包人原因导致工期滞后而需增加的所有费用由承包人自行承担，每延期一天，承包人须按专用条款22.1.9.2向发包人支付违约金，如因此而影响其他专业工程承包人施工进度的，其他专业工程承包人的工期等索赔由承包人承担，发包人因此而产生的损失由承包人承担。 </w:t>
      </w:r>
    </w:p>
    <w:p w14:paraId="163460B1">
      <w:pPr>
        <w:adjustRightInd w:val="0"/>
        <w:snapToGrid w:val="0"/>
        <w:spacing w:line="360" w:lineRule="auto"/>
        <w:ind w:firstLine="420" w:firstLineChars="200"/>
        <w:rPr>
          <w:rFonts w:ascii="宋体" w:hAnsi="宋体"/>
          <w:szCs w:val="24"/>
          <w:highlight w:val="none"/>
        </w:rPr>
      </w:pPr>
      <w:r>
        <w:rPr>
          <w:rFonts w:hint="eastAsia" w:ascii="Times New Roman" w:hAnsi="Times New Roman"/>
          <w:szCs w:val="24"/>
          <w:highlight w:val="none"/>
        </w:rPr>
        <w:t>2）如因承包人责任造成实际施工进度严重滞后于合同规定的控制节点超过60天（含60天），发包人有权单方面解除合同或将承包人所承包的部分工程委托给第三方单位负责施工，由此造成的一切损失均由承包人负责。同时</w:t>
      </w:r>
      <w:r>
        <w:rPr>
          <w:rFonts w:hint="default" w:ascii="Times New Roman" w:hAnsi="Times New Roman"/>
          <w:szCs w:val="24"/>
          <w:highlight w:val="none"/>
          <w:lang w:val="en-US"/>
        </w:rPr>
        <w:t>承</w:t>
      </w:r>
      <w:r>
        <w:rPr>
          <w:rFonts w:hint="eastAsia" w:ascii="Times New Roman" w:hAnsi="Times New Roman"/>
          <w:szCs w:val="24"/>
          <w:highlight w:val="none"/>
        </w:rPr>
        <w:t>包人须按专用条款22.1.9.2向</w:t>
      </w:r>
      <w:r>
        <w:rPr>
          <w:rFonts w:hint="eastAsia" w:ascii="Times New Roman" w:hAnsi="Times New Roman"/>
          <w:szCs w:val="24"/>
          <w:highlight w:val="none"/>
          <w:lang w:val="en-US" w:eastAsia="zh-CN"/>
        </w:rPr>
        <w:t>发</w:t>
      </w:r>
      <w:r>
        <w:rPr>
          <w:rFonts w:hint="eastAsia" w:ascii="Times New Roman" w:hAnsi="Times New Roman"/>
          <w:szCs w:val="24"/>
          <w:highlight w:val="none"/>
        </w:rPr>
        <w:t>包人支付违约金。</w:t>
      </w:r>
    </w:p>
    <w:p w14:paraId="4DA58832">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11.6. 工期提前</w:t>
      </w:r>
    </w:p>
    <w:p w14:paraId="0B24C724">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 xml:space="preserve">11.6.1. 工期提前的具体奖惩约定：如发包人未要求提前竣工验收，承包人的实际竣工日期比合同工期提前时，发包人无须支付赶工措施费等任何费用。    </w:t>
      </w:r>
    </w:p>
    <w:p w14:paraId="5887B5B9">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11.6.2 发包人有权要求对之前确定的部分关键节点的工期进行调整，承包人需根据发包人调整要求对原施工计划进行相应调整并积极组织实施。发包人要求压缩合同工期的，承包人应调配其系统内资源全力积极配合，并编制科学、安全、有效、可行的赶工组织措施报监理单位及发包人审批，同时根据赶工措施合理申报赶工措施费用。承包人按发包人要求赶工的，所需增加的赶工费用由双方协商确定，并签署补充协议确定赶工工期、赶工费用、对应费用支付方式等，如双方就赶工费金额暂未达成一致的，承包人承诺不得以此为由暂停施工或拒绝赶工；若赶工费用在施工过程中已部分支付但最终赶工目标并未实现的，则发包人须在工程款支付时将已支付的赶工费用扣回，且承包人应承担对应违约责任，具体违约金额应在补充协议中明确约定。</w:t>
      </w:r>
    </w:p>
    <w:p w14:paraId="1BE1CBA6">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11.7. 以销定产的工期调整</w:t>
      </w:r>
    </w:p>
    <w:p w14:paraId="5ABAF533">
      <w:pPr>
        <w:numPr>
          <w:ilvl w:val="2"/>
          <w:numId w:val="0"/>
        </w:numPr>
        <w:adjustRightInd w:val="0"/>
        <w:snapToGrid w:val="0"/>
        <w:spacing w:line="360" w:lineRule="auto"/>
        <w:ind w:firstLine="420" w:firstLineChars="200"/>
        <w:jc w:val="left"/>
        <w:outlineLvl w:val="2"/>
        <w:rPr>
          <w:rFonts w:ascii="Times New Roman" w:hAnsi="宋体"/>
          <w:szCs w:val="24"/>
          <w:highlight w:val="none"/>
        </w:rPr>
      </w:pPr>
      <w:r>
        <w:rPr>
          <w:rFonts w:hint="eastAsia" w:ascii="Times New Roman" w:hAnsi="宋体"/>
          <w:szCs w:val="24"/>
          <w:highlight w:val="none"/>
        </w:rPr>
        <w:t>根据项目整体销售安排调整，发包人有权要求对之前确定的工期节点进行调整（提前或顺延），承包人需根据发包人调整要求对原施工计划进行相应调整并积极组织实施。工期节点提前或顺延60天内的（含60天），承包人不得向发包人主张任何损失索赔或费用补偿；若工期节点提前或顺延超过60天的，从第61天起计算相应的提前或顺延工期，相关费用由双方协商解决，最终以发包人书面批复意见为准。</w:t>
      </w:r>
    </w:p>
    <w:p w14:paraId="7D22F228">
      <w:pPr>
        <w:keepNext/>
        <w:keepLines/>
        <w:numPr>
          <w:ilvl w:val="0"/>
          <w:numId w:val="4"/>
        </w:numPr>
        <w:adjustRightInd w:val="0"/>
        <w:snapToGrid w:val="0"/>
        <w:spacing w:line="360" w:lineRule="auto"/>
        <w:outlineLvl w:val="0"/>
        <w:rPr>
          <w:rFonts w:ascii="宋体" w:hAnsi="宋体"/>
          <w:b/>
          <w:bCs/>
          <w:kern w:val="44"/>
          <w:sz w:val="28"/>
          <w:szCs w:val="44"/>
          <w:highlight w:val="none"/>
        </w:rPr>
      </w:pPr>
      <w:r>
        <w:rPr>
          <w:rFonts w:hint="eastAsia" w:ascii="宋体" w:hAnsi="宋体"/>
          <w:b/>
          <w:bCs/>
          <w:kern w:val="44"/>
          <w:sz w:val="28"/>
          <w:szCs w:val="44"/>
          <w:highlight w:val="none"/>
        </w:rPr>
        <w:tab/>
      </w:r>
      <w:bookmarkStart w:id="358" w:name="_Toc19167"/>
      <w:bookmarkStart w:id="359" w:name="_Toc21868"/>
      <w:bookmarkStart w:id="360" w:name="_Toc19455"/>
      <w:bookmarkStart w:id="361" w:name="_Toc5740"/>
      <w:bookmarkStart w:id="362" w:name="_Toc167701762"/>
      <w:bookmarkStart w:id="363" w:name="_Toc13612"/>
      <w:bookmarkStart w:id="364" w:name="_Toc24212"/>
      <w:bookmarkStart w:id="365" w:name="_Toc13008"/>
      <w:bookmarkStart w:id="366" w:name="_Toc427331247"/>
      <w:bookmarkStart w:id="367" w:name="_Toc350865214"/>
      <w:bookmarkStart w:id="368" w:name="_Toc25058"/>
      <w:bookmarkStart w:id="369" w:name="_Toc22766"/>
      <w:bookmarkStart w:id="370" w:name="_Toc27942"/>
      <w:bookmarkStart w:id="371" w:name="_Toc350865576"/>
      <w:bookmarkStart w:id="372" w:name="_Toc24314"/>
      <w:bookmarkStart w:id="373" w:name="_Toc17188"/>
      <w:bookmarkStart w:id="374" w:name="_Toc21320"/>
      <w:bookmarkStart w:id="375" w:name="_Toc9605"/>
      <w:bookmarkStart w:id="376" w:name="_Toc7370"/>
      <w:bookmarkStart w:id="377" w:name="_Toc167701661"/>
      <w:bookmarkStart w:id="378" w:name="_Toc21121"/>
      <w:bookmarkStart w:id="379" w:name="_Toc12803"/>
      <w:bookmarkStart w:id="380" w:name="_Toc1658"/>
      <w:bookmarkStart w:id="381" w:name="_Toc4664"/>
      <w:bookmarkStart w:id="382" w:name="_Toc29362"/>
      <w:bookmarkStart w:id="383" w:name="_Toc167975586"/>
      <w:r>
        <w:rPr>
          <w:rFonts w:hint="eastAsia" w:ascii="宋体" w:hAnsi="宋体"/>
          <w:b/>
          <w:bCs/>
          <w:kern w:val="44"/>
          <w:sz w:val="28"/>
          <w:szCs w:val="44"/>
          <w:highlight w:val="none"/>
        </w:rPr>
        <w:t>暂停施工</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5A20D02F">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12.2. 发包人暂停施工的责任</w:t>
      </w:r>
    </w:p>
    <w:p w14:paraId="0D39A482">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12.2.1.工程实施过程中，如因发包人原因引起的工程全面暂停施工，如果累计在60天之内，工期相应顺延，但承包人不得因此向发包人提出任何费用的索赔或补偿要求；如暂停时间超过60天的，双方应对工期延长、责任认定和费用承担等进行协商并达成补充协议，但承包人不得因未达成补充协议而拒绝复工。</w:t>
      </w:r>
    </w:p>
    <w:p w14:paraId="37F7A479">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 xml:space="preserve">12.2.2 </w:t>
      </w:r>
      <w:r>
        <w:rPr>
          <w:rFonts w:hint="eastAsia" w:ascii="Times New Roman" w:hAnsi="宋体"/>
          <w:szCs w:val="24"/>
          <w:highlight w:val="none"/>
        </w:rPr>
        <w:t>发包人</w:t>
      </w:r>
      <w:r>
        <w:rPr>
          <w:rFonts w:hint="eastAsia" w:ascii="宋体" w:hAnsi="宋体"/>
          <w:kern w:val="0"/>
          <w:szCs w:val="20"/>
          <w:highlight w:val="none"/>
        </w:rPr>
        <w:t>按政府通知要求（包括但不限于大气污染防治、重大会议重大社会活动等）暂停施工的，若全面暂停施工（以“天”为单位）时间连续在两个月内的（含60天），总工期不予顺延，承包人不得以暂停施工为由向发包人主张任何损失索赔或费用补偿；若全面暂停施工时间超过两个月的，按停工的第61天起计算相应的顺延工期，承包人因暂停施工导致的停工费用或损失由承发包双方另行协商解决。</w:t>
      </w:r>
    </w:p>
    <w:p w14:paraId="0D5C9DAD">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因暂停施工确需顺延工期、计算停工费用损失的，承包人应在复工后7个日历天内，就工期顺延、费用损失以书面形式向监理单位、发包人提出申请报告，并提供相关佐证资料；若承包人未在上述时间内提出申请报告的，视为工期不受影响，不发生停工费用损失。是否因暂停施工而顺延工期、补偿费用，最终以发包人书面批复意见为准。</w:t>
      </w:r>
    </w:p>
    <w:p w14:paraId="44A00911">
      <w:pPr>
        <w:numPr>
          <w:ilvl w:val="2"/>
          <w:numId w:val="0"/>
        </w:numPr>
        <w:adjustRightInd w:val="0"/>
        <w:snapToGrid w:val="0"/>
        <w:spacing w:line="360" w:lineRule="auto"/>
        <w:jc w:val="left"/>
        <w:outlineLvl w:val="2"/>
        <w:rPr>
          <w:rFonts w:ascii="宋体" w:hAnsi="宋体"/>
          <w:b/>
          <w:bCs/>
          <w:kern w:val="0"/>
          <w:szCs w:val="32"/>
          <w:highlight w:val="none"/>
        </w:rPr>
      </w:pPr>
      <w:r>
        <w:rPr>
          <w:rFonts w:hint="eastAsia" w:ascii="宋体" w:hAnsi="宋体"/>
          <w:b/>
          <w:bCs/>
          <w:kern w:val="0"/>
          <w:szCs w:val="32"/>
          <w:highlight w:val="none"/>
        </w:rPr>
        <w:t>12.3.</w:t>
      </w:r>
      <w:r>
        <w:rPr>
          <w:rFonts w:hint="eastAsia" w:ascii="宋体" w:hAnsi="宋体"/>
          <w:b/>
          <w:bCs/>
          <w:kern w:val="0"/>
          <w:szCs w:val="32"/>
          <w:highlight w:val="none"/>
        </w:rPr>
        <w:tab/>
      </w:r>
      <w:r>
        <w:rPr>
          <w:rFonts w:hint="eastAsia" w:ascii="宋体" w:hAnsi="宋体"/>
          <w:b/>
          <w:bCs/>
          <w:kern w:val="0"/>
          <w:szCs w:val="32"/>
          <w:highlight w:val="none"/>
        </w:rPr>
        <w:t>监理单位暂停施工指示</w:t>
      </w:r>
    </w:p>
    <w:p w14:paraId="6B222FD7">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12.3.3 凡出现下列情形之一的，经发包人同意，监理单位有权通知承包人暂停施工并限期整改，由此发生的全部费用由承包人承担，工期不予顺延：</w:t>
      </w:r>
    </w:p>
    <w:p w14:paraId="62651449">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（1）承包人不遵守有关安全文明生产规定的；</w:t>
      </w:r>
    </w:p>
    <w:p w14:paraId="0360F9D9">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（2）出现重大质量事故或安全事故的；</w:t>
      </w:r>
    </w:p>
    <w:p w14:paraId="4C713E73">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（3）存在安全隐患，未按安监部门、监理单位或发包人的要求及时进行整改的；</w:t>
      </w:r>
    </w:p>
    <w:p w14:paraId="05658F83">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（4）工程存在质量问题经发包人或监理单位提出后未在规定期限内按要求完成整改的；</w:t>
      </w:r>
    </w:p>
    <w:p w14:paraId="19C84150">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（5）因噪音或污染等方面问题而被有关部门罚款或勒令停工且未及时整改的；</w:t>
      </w:r>
    </w:p>
    <w:p w14:paraId="277AB96F">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（6）承包人使用的材料或设备有质量问题的；</w:t>
      </w:r>
    </w:p>
    <w:p w14:paraId="296F4FCB">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（7）擅自采用未经监理单位及发包人认可的材料或设备的；</w:t>
      </w:r>
    </w:p>
    <w:p w14:paraId="5E098710">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（8）不执行或拖延执行发包人或监理单位的指令；或有执行不力、敷衍应付、曲解指令等情况或执行情况难以达到合同目的的；</w:t>
      </w:r>
    </w:p>
    <w:p w14:paraId="3F528D79">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（9）未经监理单位验收检验而进行下一道工序作业的；</w:t>
      </w:r>
    </w:p>
    <w:p w14:paraId="5F7F9E50">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（10）图纸未经批准而擅自施工或未按图纸施工的；</w:t>
      </w:r>
    </w:p>
    <w:p w14:paraId="5C8AD9F3">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（11）擅自变更设计图纸的；</w:t>
      </w:r>
    </w:p>
    <w:p w14:paraId="222FA3A1">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（12）承包人违反合同或法律法规规章规定的其他情形。</w:t>
      </w:r>
    </w:p>
    <w:p w14:paraId="48A3E606">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若承包人拒绝整改或未能在限期内妥善完成整改的，属于拒不执行监理单位指令，承担一般违约责任。</w:t>
      </w:r>
    </w:p>
    <w:p w14:paraId="1AF667C6">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12.4.暂停施工后的复工</w:t>
      </w:r>
    </w:p>
    <w:p w14:paraId="78AC05C0">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12.4.2.</w:t>
      </w:r>
      <w:r>
        <w:rPr>
          <w:rFonts w:hint="eastAsia" w:ascii="宋体" w:hAnsi="宋体"/>
          <w:kern w:val="0"/>
          <w:szCs w:val="20"/>
          <w:highlight w:val="none"/>
        </w:rPr>
        <w:tab/>
      </w:r>
      <w:r>
        <w:rPr>
          <w:rFonts w:hint="eastAsia" w:ascii="宋体" w:hAnsi="宋体"/>
          <w:kern w:val="0"/>
          <w:szCs w:val="20"/>
          <w:highlight w:val="none"/>
        </w:rPr>
        <w:t>监理人发出复工通知后，监理人应和承包人一起对受到暂停施工影响的工程、材料和工程设备进行检查。承包人负责修复在暂停施工期间发生在工程、材料和工程设备上的任何损蚀、缺陷或损失，有关费用承担的约定见通用条款12.1</w:t>
      </w:r>
      <w:r>
        <w:rPr>
          <w:rFonts w:hint="eastAsia" w:ascii="宋体" w:hAnsi="宋体"/>
          <w:kern w:val="0"/>
          <w:szCs w:val="20"/>
          <w:highlight w:val="none"/>
          <w:lang w:val="en-US" w:eastAsia="zh-CN"/>
        </w:rPr>
        <w:t>条</w:t>
      </w:r>
      <w:r>
        <w:rPr>
          <w:rFonts w:hint="eastAsia" w:ascii="宋体" w:hAnsi="宋体"/>
          <w:kern w:val="0"/>
          <w:szCs w:val="20"/>
          <w:highlight w:val="none"/>
        </w:rPr>
        <w:t>及专用条款12.2条的约定。</w:t>
      </w:r>
    </w:p>
    <w:p w14:paraId="1B1E8941">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12.4.4.由于发包人责任引起的暂停施工，监理人经发包人同意后发出暂停施工指示后56天内未向承包人发出复工通知，承包人可向监理人和发包人提交书面通知，要求监理人和发包人在收到书面通知后28天内准许已暂停施工的工程或其中一部分工程继续施工。监理单位和发包人在收到书面通知后28天内未予回复的，视为不予准许继续施工。如果发包人准许已暂停施工的工程或其中一部分工程恢复施工，则承包人应合理安排人员组织恢复施工。</w:t>
      </w:r>
    </w:p>
    <w:p w14:paraId="391B3F75">
      <w:pPr>
        <w:keepNext/>
        <w:keepLines/>
        <w:numPr>
          <w:ilvl w:val="0"/>
          <w:numId w:val="4"/>
        </w:numPr>
        <w:adjustRightInd w:val="0"/>
        <w:snapToGrid w:val="0"/>
        <w:spacing w:line="360" w:lineRule="auto"/>
        <w:outlineLvl w:val="0"/>
        <w:rPr>
          <w:rFonts w:ascii="宋体" w:hAnsi="宋体"/>
          <w:b/>
          <w:bCs/>
          <w:kern w:val="44"/>
          <w:sz w:val="28"/>
          <w:szCs w:val="44"/>
          <w:highlight w:val="none"/>
        </w:rPr>
      </w:pPr>
      <w:bookmarkStart w:id="384" w:name="_Toc17670"/>
      <w:bookmarkStart w:id="385" w:name="_Toc427331248"/>
      <w:bookmarkStart w:id="386" w:name="_Toc19017"/>
      <w:bookmarkStart w:id="387" w:name="_Toc350865577"/>
      <w:bookmarkStart w:id="388" w:name="_Toc350865215"/>
      <w:bookmarkStart w:id="389" w:name="_Toc28501"/>
      <w:bookmarkStart w:id="390" w:name="_Toc14729"/>
      <w:bookmarkStart w:id="391" w:name="_Toc710"/>
      <w:bookmarkStart w:id="392" w:name="_Toc18171"/>
      <w:bookmarkStart w:id="393" w:name="_Toc13855"/>
      <w:bookmarkStart w:id="394" w:name="_Toc7848"/>
      <w:bookmarkStart w:id="395" w:name="_Toc8530"/>
      <w:bookmarkStart w:id="396" w:name="_Toc14300"/>
      <w:bookmarkStart w:id="397" w:name="_Toc27651"/>
      <w:bookmarkStart w:id="398" w:name="_Toc167701763"/>
      <w:bookmarkStart w:id="399" w:name="_Toc10970"/>
      <w:bookmarkStart w:id="400" w:name="_Toc28145"/>
      <w:bookmarkStart w:id="401" w:name="_Toc3074"/>
      <w:bookmarkStart w:id="402" w:name="_Toc3221"/>
      <w:bookmarkStart w:id="403" w:name="_Toc14889"/>
      <w:bookmarkStart w:id="404" w:name="_Toc16608"/>
      <w:bookmarkStart w:id="405" w:name="_Toc12115"/>
      <w:bookmarkStart w:id="406" w:name="_Toc23491"/>
      <w:bookmarkStart w:id="407" w:name="_Toc1697"/>
      <w:bookmarkStart w:id="408" w:name="_Toc167975587"/>
      <w:bookmarkStart w:id="409" w:name="_Toc167701662"/>
      <w:r>
        <w:rPr>
          <w:rFonts w:hint="eastAsia" w:ascii="宋体" w:hAnsi="宋体"/>
          <w:b/>
          <w:bCs/>
          <w:kern w:val="44"/>
          <w:sz w:val="28"/>
          <w:szCs w:val="44"/>
          <w:highlight w:val="none"/>
        </w:rPr>
        <w:t>工程质量</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53D654FF">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13.1. 工程质量要求</w:t>
      </w:r>
    </w:p>
    <w:p w14:paraId="7FCE1421">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13.1.2.工程质量必须达到合同约定的质量标准。若工程质量不满足合同要求的，承包人必须按发包人和监理单位指定的期限对不合格工程返工、修复或采取发包人认可的其他补救措施，使之达到合同和法定标准要求。</w:t>
      </w:r>
    </w:p>
    <w:p w14:paraId="0F92667E">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13.1.3.承包人在施工过程中，因质量问题需对已完工程进行整改、返工的，产生的费用由承包人全部负责。若承包人有违反质量评定标准的质量问题，视情节轻重，每次（项）须承担一般违约责任，同时亦不免除、也不减轻承包人对不合格工程进行整改、返工的责任。</w:t>
      </w:r>
    </w:p>
    <w:p w14:paraId="750E7656">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13.1.4.承包人未按发包人审定的施工方案、施工工艺进行施工的，每次（项）须承担一般违约责任，同时亦不免除、也不减轻承包人对不合格施工方案、施工工艺的整改责任。</w:t>
      </w:r>
    </w:p>
    <w:p w14:paraId="1619C2A2">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13.1.5.承包人对监理通知指出的质量问题未按时整改并回复，承包人应限期整改完成并向发包人承担一般违约责任。</w:t>
      </w:r>
    </w:p>
    <w:p w14:paraId="49C87000">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13.1.6.因承包人原因出现质量问题影响其他分包施工的，承包人应限期整改完成并向发包人承担一般违约责任且专业工程因此而提出的索赔应由</w:t>
      </w:r>
      <w:r>
        <w:rPr>
          <w:rFonts w:hint="eastAsia" w:ascii="宋体" w:hAnsi="宋体"/>
          <w:kern w:val="0"/>
          <w:szCs w:val="20"/>
          <w:highlight w:val="none"/>
          <w:lang w:val="en-US" w:eastAsia="zh-CN"/>
        </w:rPr>
        <w:t>承</w:t>
      </w:r>
      <w:r>
        <w:rPr>
          <w:rFonts w:hint="eastAsia" w:ascii="宋体" w:hAnsi="宋体"/>
          <w:kern w:val="0"/>
          <w:szCs w:val="20"/>
          <w:highlight w:val="none"/>
        </w:rPr>
        <w:t>包人承担。</w:t>
      </w:r>
    </w:p>
    <w:p w14:paraId="5BA99F3F">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13.1.7.工程施工期间和缺陷责任期内，由于承包人责任出现质量问题、安全事故或者其他原因，使发包人或项目受到报纸、电视等媒体的曝光或政府有关主管部门的通报批评的，每出现一次，承包人应向发包人承担重大违约责任。</w:t>
      </w:r>
    </w:p>
    <w:p w14:paraId="3015A49A">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13.1.8.承包人未经报验，擅自进行下道工序施工的，承包人应拆除擅自施工的部位，并向发包人承担一般违约责任。</w:t>
      </w:r>
    </w:p>
    <w:p w14:paraId="3E81507C">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13.1.9.承包人需在接收发包人指令15天内提供合理的施工样板送样并报送深化设计图纸（包括但不限于所有影响使用、外露展示效果等的材料设备）计划并严格按计划执行，如因样板无法满足效果、质量要求而造成的反复送样不得作为计划延迟原因。如因样板送样延迟导致的工期及其他损失由承包人自行承担。样板需由发包人确认后用于施工，如因承包人采用未经发包人确认的样板、材料、设备施工导致的一切损失均由承包人自行承担。</w:t>
      </w:r>
    </w:p>
    <w:p w14:paraId="4A478693">
      <w:pPr>
        <w:numPr>
          <w:ilvl w:val="2"/>
          <w:numId w:val="0"/>
        </w:numPr>
        <w:adjustRightInd w:val="0"/>
        <w:snapToGrid w:val="0"/>
        <w:spacing w:line="360" w:lineRule="auto"/>
        <w:ind w:firstLine="420" w:firstLineChars="200"/>
        <w:jc w:val="left"/>
        <w:outlineLvl w:val="2"/>
        <w:rPr>
          <w:rFonts w:hint="eastAsia" w:ascii="Times New Roman" w:hAnsi="Times New Roman"/>
          <w:szCs w:val="24"/>
          <w:highlight w:val="none"/>
        </w:rPr>
      </w:pPr>
      <w:r>
        <w:rPr>
          <w:rFonts w:hint="eastAsia" w:ascii="Times New Roman" w:hAnsi="Times New Roman"/>
          <w:szCs w:val="24"/>
          <w:highlight w:val="none"/>
        </w:rPr>
        <w:t>13.1.10.</w:t>
      </w:r>
      <w:r>
        <w:rPr>
          <w:rFonts w:hint="eastAsia" w:ascii="Times New Roman" w:hAnsi="Times New Roman"/>
          <w:szCs w:val="24"/>
          <w:highlight w:val="none"/>
          <w:lang w:val="en-US" w:eastAsia="zh-CN"/>
        </w:rPr>
        <w:t>承</w:t>
      </w:r>
      <w:r>
        <w:rPr>
          <w:rFonts w:hint="eastAsia" w:ascii="Times New Roman" w:hAnsi="Times New Roman"/>
          <w:szCs w:val="24"/>
          <w:highlight w:val="none"/>
        </w:rPr>
        <w:t>包人应于中标后15天内与发包人确定幕墙VMU样板段范围，</w:t>
      </w:r>
      <w:r>
        <w:rPr>
          <w:rFonts w:hint="eastAsia" w:ascii="Times New Roman" w:hAnsi="Times New Roman"/>
          <w:szCs w:val="24"/>
          <w:highlight w:val="none"/>
          <w:lang w:val="en-US" w:eastAsia="zh-CN"/>
        </w:rPr>
        <w:t>承</w:t>
      </w:r>
      <w:r>
        <w:rPr>
          <w:rFonts w:hint="eastAsia" w:ascii="Times New Roman" w:hAnsi="Times New Roman"/>
          <w:szCs w:val="24"/>
          <w:highlight w:val="none"/>
        </w:rPr>
        <w:t>包人应及时报送幕墙VMU样板段施工计划并严格按计划完成。幕墙VMU样板段需通过工程质量及设计效果验收，按要求整改至验收通过，整改意见不视为变更。如幕墙VMU样板段严重不满足发包人要求或整改多次后无法通过验收，</w:t>
      </w:r>
      <w:r>
        <w:rPr>
          <w:rFonts w:hint="eastAsia" w:ascii="Times New Roman" w:hAnsi="Times New Roman"/>
          <w:szCs w:val="24"/>
          <w:highlight w:val="none"/>
          <w:lang w:val="en-US" w:eastAsia="zh-CN"/>
        </w:rPr>
        <w:t>发</w:t>
      </w:r>
      <w:r>
        <w:rPr>
          <w:rFonts w:hint="eastAsia" w:ascii="Times New Roman" w:hAnsi="Times New Roman"/>
          <w:szCs w:val="24"/>
          <w:highlight w:val="none"/>
        </w:rPr>
        <w:t>包人有权无条件解除本合同，已产生的工程费用由</w:t>
      </w:r>
      <w:r>
        <w:rPr>
          <w:rFonts w:hint="eastAsia" w:ascii="Times New Roman" w:hAnsi="Times New Roman"/>
          <w:szCs w:val="24"/>
          <w:highlight w:val="none"/>
          <w:lang w:val="en-US" w:eastAsia="zh-CN"/>
        </w:rPr>
        <w:t>承</w:t>
      </w:r>
      <w:r>
        <w:rPr>
          <w:rFonts w:hint="eastAsia" w:ascii="Times New Roman" w:hAnsi="Times New Roman"/>
          <w:szCs w:val="24"/>
          <w:highlight w:val="none"/>
        </w:rPr>
        <w:t>包人自行承担。</w:t>
      </w:r>
    </w:p>
    <w:p w14:paraId="3DCFA95C">
      <w:pPr>
        <w:numPr>
          <w:ilvl w:val="2"/>
          <w:numId w:val="0"/>
        </w:numPr>
        <w:adjustRightInd w:val="0"/>
        <w:snapToGrid w:val="0"/>
        <w:spacing w:line="360" w:lineRule="auto"/>
        <w:ind w:firstLine="420" w:firstLineChars="200"/>
        <w:jc w:val="left"/>
        <w:outlineLvl w:val="2"/>
        <w:rPr>
          <w:rFonts w:hint="eastAsia" w:ascii="Times New Roman" w:hAnsi="Times New Roman"/>
          <w:szCs w:val="24"/>
          <w:highlight w:val="none"/>
        </w:rPr>
      </w:pPr>
      <w:r>
        <w:rPr>
          <w:rFonts w:hint="eastAsia" w:ascii="Times New Roman" w:hAnsi="Times New Roman"/>
          <w:szCs w:val="24"/>
          <w:highlight w:val="none"/>
        </w:rPr>
        <w:t>13.1.11.</w:t>
      </w:r>
      <w:r>
        <w:rPr>
          <w:rFonts w:hint="eastAsia" w:ascii="Times New Roman" w:hAnsi="Times New Roman"/>
          <w:szCs w:val="24"/>
          <w:highlight w:val="none"/>
          <w:lang w:val="en-US" w:eastAsia="zh-CN"/>
        </w:rPr>
        <w:t>承</w:t>
      </w:r>
      <w:r>
        <w:rPr>
          <w:rFonts w:hint="eastAsia" w:ascii="Times New Roman" w:hAnsi="Times New Roman"/>
          <w:szCs w:val="24"/>
          <w:highlight w:val="none"/>
        </w:rPr>
        <w:t>包人应于中标后15天内与发包人确定幕墙施工段的划分范围，</w:t>
      </w:r>
      <w:r>
        <w:rPr>
          <w:rFonts w:hint="eastAsia" w:ascii="Times New Roman" w:hAnsi="Times New Roman"/>
          <w:szCs w:val="24"/>
          <w:highlight w:val="none"/>
          <w:lang w:val="en-US" w:eastAsia="zh-CN"/>
        </w:rPr>
        <w:t>承</w:t>
      </w:r>
      <w:r>
        <w:rPr>
          <w:rFonts w:hint="eastAsia" w:ascii="Times New Roman" w:hAnsi="Times New Roman"/>
          <w:szCs w:val="24"/>
          <w:highlight w:val="none"/>
        </w:rPr>
        <w:t>包人应及时报送各施工段的施工计划，计划一经发包人认可需严格按计划完成。</w:t>
      </w:r>
      <w:r>
        <w:rPr>
          <w:rFonts w:hint="eastAsia" w:ascii="Times New Roman" w:hAnsi="Times New Roman"/>
          <w:szCs w:val="24"/>
          <w:highlight w:val="none"/>
          <w:lang w:val="en-US" w:eastAsia="zh-CN"/>
        </w:rPr>
        <w:t>承</w:t>
      </w:r>
      <w:r>
        <w:rPr>
          <w:rFonts w:hint="eastAsia" w:ascii="Times New Roman" w:hAnsi="Times New Roman"/>
          <w:szCs w:val="24"/>
          <w:highlight w:val="none"/>
        </w:rPr>
        <w:t>包人承诺：幕墙第一施工段如果因质量、安全或施工进度不满足发包人要求，或经整改仍无法满足发包人的要求的，</w:t>
      </w:r>
      <w:r>
        <w:rPr>
          <w:rFonts w:hint="eastAsia" w:ascii="Times New Roman" w:hAnsi="Times New Roman"/>
          <w:szCs w:val="24"/>
          <w:highlight w:val="none"/>
          <w:lang w:val="en-US" w:eastAsia="zh-CN"/>
        </w:rPr>
        <w:t>承</w:t>
      </w:r>
      <w:r>
        <w:rPr>
          <w:rFonts w:hint="eastAsia" w:ascii="Times New Roman" w:hAnsi="Times New Roman"/>
          <w:szCs w:val="24"/>
          <w:highlight w:val="none"/>
        </w:rPr>
        <w:t>包人自行放弃后续施工段施工范围；由</w:t>
      </w:r>
      <w:r>
        <w:rPr>
          <w:rFonts w:hint="eastAsia" w:ascii="Times New Roman" w:hAnsi="Times New Roman"/>
          <w:szCs w:val="24"/>
          <w:highlight w:val="none"/>
          <w:lang w:val="en-US" w:eastAsia="zh-CN"/>
        </w:rPr>
        <w:t>发</w:t>
      </w:r>
      <w:r>
        <w:rPr>
          <w:rFonts w:hint="eastAsia" w:ascii="Times New Roman" w:hAnsi="Times New Roman"/>
          <w:szCs w:val="24"/>
          <w:highlight w:val="none"/>
        </w:rPr>
        <w:t>包人决定已施工部分是否继续由</w:t>
      </w:r>
      <w:r>
        <w:rPr>
          <w:rFonts w:hint="eastAsia" w:ascii="Times New Roman" w:hAnsi="Times New Roman"/>
          <w:szCs w:val="24"/>
          <w:highlight w:val="none"/>
          <w:lang w:val="en-US" w:eastAsia="zh-CN"/>
        </w:rPr>
        <w:t>承</w:t>
      </w:r>
      <w:r>
        <w:rPr>
          <w:rFonts w:hint="eastAsia" w:ascii="Times New Roman" w:hAnsi="Times New Roman"/>
          <w:szCs w:val="24"/>
          <w:highlight w:val="none"/>
        </w:rPr>
        <w:t>包人施工，如</w:t>
      </w:r>
      <w:r>
        <w:rPr>
          <w:rFonts w:hint="eastAsia" w:ascii="Times New Roman" w:hAnsi="Times New Roman"/>
          <w:szCs w:val="24"/>
          <w:highlight w:val="none"/>
          <w:lang w:val="en-US" w:eastAsia="zh-CN"/>
        </w:rPr>
        <w:t>发</w:t>
      </w:r>
      <w:r>
        <w:rPr>
          <w:rFonts w:hint="eastAsia" w:ascii="Times New Roman" w:hAnsi="Times New Roman"/>
          <w:szCs w:val="24"/>
          <w:highlight w:val="none"/>
        </w:rPr>
        <w:t>包人决定已施工部分继续由</w:t>
      </w:r>
      <w:r>
        <w:rPr>
          <w:rFonts w:hint="eastAsia" w:ascii="Times New Roman" w:hAnsi="Times New Roman"/>
          <w:szCs w:val="24"/>
          <w:highlight w:val="none"/>
          <w:lang w:val="en-US" w:eastAsia="zh-CN"/>
        </w:rPr>
        <w:t>承</w:t>
      </w:r>
      <w:r>
        <w:rPr>
          <w:rFonts w:hint="eastAsia" w:ascii="Times New Roman" w:hAnsi="Times New Roman"/>
          <w:szCs w:val="24"/>
          <w:highlight w:val="none"/>
        </w:rPr>
        <w:t>包人施工的，最后结算按合同工程量清单结算；如</w:t>
      </w:r>
      <w:r>
        <w:rPr>
          <w:rFonts w:hint="eastAsia" w:ascii="Times New Roman" w:hAnsi="Times New Roman"/>
          <w:szCs w:val="24"/>
          <w:highlight w:val="none"/>
          <w:lang w:val="en-US" w:eastAsia="zh-CN"/>
        </w:rPr>
        <w:t>发</w:t>
      </w:r>
      <w:r>
        <w:rPr>
          <w:rFonts w:hint="eastAsia" w:ascii="Times New Roman" w:hAnsi="Times New Roman"/>
          <w:szCs w:val="24"/>
          <w:highlight w:val="none"/>
        </w:rPr>
        <w:t>包人决定已施工部分不由</w:t>
      </w:r>
      <w:r>
        <w:rPr>
          <w:rFonts w:hint="eastAsia" w:ascii="Times New Roman" w:hAnsi="Times New Roman"/>
          <w:szCs w:val="24"/>
          <w:highlight w:val="none"/>
          <w:lang w:val="en-US" w:eastAsia="zh-CN"/>
        </w:rPr>
        <w:t>承</w:t>
      </w:r>
      <w:r>
        <w:rPr>
          <w:rFonts w:hint="eastAsia" w:ascii="Times New Roman" w:hAnsi="Times New Roman"/>
          <w:szCs w:val="24"/>
          <w:highlight w:val="none"/>
        </w:rPr>
        <w:t>包人继续施工的，在明确后7天内</w:t>
      </w:r>
      <w:r>
        <w:rPr>
          <w:rFonts w:hint="eastAsia" w:ascii="Times New Roman" w:hAnsi="Times New Roman"/>
          <w:szCs w:val="24"/>
          <w:highlight w:val="none"/>
          <w:lang w:val="en-US" w:eastAsia="zh-CN"/>
        </w:rPr>
        <w:t>承</w:t>
      </w:r>
      <w:r>
        <w:rPr>
          <w:rFonts w:hint="eastAsia" w:ascii="Times New Roman" w:hAnsi="Times New Roman"/>
          <w:szCs w:val="24"/>
          <w:highlight w:val="none"/>
        </w:rPr>
        <w:t>包人无条件全员撤场，已产生的工程费用（含安全投入费用）按合同单价计取，临建费、管理费、保险费等非工程直接费用由</w:t>
      </w:r>
      <w:r>
        <w:rPr>
          <w:rFonts w:hint="eastAsia" w:ascii="Times New Roman" w:hAnsi="Times New Roman"/>
          <w:szCs w:val="24"/>
          <w:highlight w:val="none"/>
          <w:lang w:val="en-US" w:eastAsia="zh-CN"/>
        </w:rPr>
        <w:t>承</w:t>
      </w:r>
      <w:r>
        <w:rPr>
          <w:rFonts w:hint="eastAsia" w:ascii="Times New Roman" w:hAnsi="Times New Roman"/>
          <w:szCs w:val="24"/>
          <w:highlight w:val="none"/>
        </w:rPr>
        <w:t>包人自行承担。</w:t>
      </w:r>
    </w:p>
    <w:p w14:paraId="4B62C907">
      <w:pPr>
        <w:numPr>
          <w:ilvl w:val="2"/>
          <w:numId w:val="0"/>
        </w:numPr>
        <w:adjustRightInd w:val="0"/>
        <w:snapToGrid w:val="0"/>
        <w:spacing w:line="360" w:lineRule="auto"/>
        <w:ind w:firstLine="420" w:firstLineChars="200"/>
        <w:jc w:val="left"/>
        <w:outlineLvl w:val="2"/>
        <w:rPr>
          <w:rFonts w:ascii="Times New Roman" w:hAnsi="宋体"/>
          <w:szCs w:val="24"/>
          <w:highlight w:val="none"/>
        </w:rPr>
      </w:pPr>
      <w:r>
        <w:rPr>
          <w:rFonts w:hint="eastAsia" w:ascii="Times New Roman" w:hAnsi="Times New Roman"/>
          <w:szCs w:val="24"/>
          <w:highlight w:val="none"/>
        </w:rPr>
        <w:t>13.1.12. 在发包人上级单位粤海置地集团组织的第三方工程评估中，</w:t>
      </w:r>
      <w:r>
        <w:rPr>
          <w:rFonts w:hint="eastAsia" w:ascii="Times New Roman" w:hAnsi="Times New Roman"/>
          <w:szCs w:val="24"/>
          <w:highlight w:val="none"/>
          <w:lang w:val="en-US" w:eastAsia="zh-CN"/>
        </w:rPr>
        <w:t>承</w:t>
      </w:r>
      <w:r>
        <w:rPr>
          <w:rFonts w:hint="eastAsia" w:ascii="Times New Roman" w:hAnsi="Times New Roman"/>
          <w:szCs w:val="24"/>
          <w:highlight w:val="none"/>
        </w:rPr>
        <w:t>包人须无条件配合</w:t>
      </w:r>
      <w:r>
        <w:rPr>
          <w:rFonts w:hint="eastAsia" w:ascii="Times New Roman" w:hAnsi="Times New Roman"/>
          <w:szCs w:val="24"/>
          <w:highlight w:val="none"/>
          <w:lang w:val="en-US" w:eastAsia="zh-CN"/>
        </w:rPr>
        <w:t>发</w:t>
      </w:r>
      <w:r>
        <w:rPr>
          <w:rFonts w:hint="eastAsia" w:ascii="Times New Roman" w:hAnsi="Times New Roman"/>
          <w:szCs w:val="24"/>
          <w:highlight w:val="none"/>
        </w:rPr>
        <w:t>包人完成“管理行为”、“安全生产”、“文明施工”、“安全管理行为”、“实测实量”、“质量风险”等评估内容所必须完成的工作</w:t>
      </w:r>
      <w:r>
        <w:rPr>
          <w:rFonts w:hint="eastAsia" w:ascii="Times New Roman" w:hAnsi="宋体"/>
          <w:szCs w:val="24"/>
          <w:highlight w:val="none"/>
        </w:rPr>
        <w:t>。</w:t>
      </w:r>
    </w:p>
    <w:p w14:paraId="73ED8F56">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13.5.</w:t>
      </w:r>
      <w:r>
        <w:rPr>
          <w:rFonts w:hint="eastAsia" w:ascii="宋体" w:hAnsi="宋体"/>
          <w:b/>
          <w:bCs/>
          <w:kern w:val="0"/>
          <w:szCs w:val="21"/>
          <w:highlight w:val="none"/>
        </w:rPr>
        <w:tab/>
      </w:r>
      <w:r>
        <w:rPr>
          <w:rFonts w:hint="eastAsia" w:ascii="宋体" w:hAnsi="宋体"/>
          <w:b/>
          <w:bCs/>
          <w:kern w:val="0"/>
          <w:szCs w:val="21"/>
          <w:highlight w:val="none"/>
        </w:rPr>
        <w:t>工程隐蔽部位覆盖前的检查</w:t>
      </w:r>
    </w:p>
    <w:p w14:paraId="6E132589">
      <w:pPr>
        <w:numPr>
          <w:ilvl w:val="2"/>
          <w:numId w:val="0"/>
        </w:numPr>
        <w:adjustRightInd w:val="0"/>
        <w:snapToGrid w:val="0"/>
        <w:spacing w:line="360" w:lineRule="auto"/>
        <w:ind w:firstLine="420" w:firstLineChars="200"/>
        <w:jc w:val="left"/>
        <w:outlineLvl w:val="2"/>
        <w:rPr>
          <w:rFonts w:ascii="宋体" w:hAnsi="宋体"/>
          <w:kern w:val="0"/>
          <w:szCs w:val="20"/>
          <w:highlight w:val="none"/>
          <w:u w:val="none"/>
        </w:rPr>
      </w:pPr>
      <w:r>
        <w:rPr>
          <w:rFonts w:hint="eastAsia" w:ascii="宋体" w:hAnsi="宋体"/>
          <w:kern w:val="0"/>
          <w:szCs w:val="20"/>
          <w:highlight w:val="none"/>
          <w:u w:val="none"/>
        </w:rPr>
        <w:t>13.5.1.</w:t>
      </w:r>
      <w:r>
        <w:rPr>
          <w:rFonts w:hint="eastAsia" w:ascii="宋体" w:hAnsi="宋体"/>
          <w:kern w:val="0"/>
          <w:szCs w:val="20"/>
          <w:highlight w:val="none"/>
          <w:u w:val="none"/>
        </w:rPr>
        <w:tab/>
      </w:r>
      <w:r>
        <w:rPr>
          <w:rFonts w:hint="eastAsia" w:ascii="宋体" w:hAnsi="宋体"/>
          <w:kern w:val="0"/>
          <w:szCs w:val="20"/>
          <w:highlight w:val="none"/>
          <w:u w:val="none"/>
        </w:rPr>
        <w:t>通知监理人检查</w:t>
      </w:r>
    </w:p>
    <w:p w14:paraId="2D48A17A">
      <w:pPr>
        <w:numPr>
          <w:ilvl w:val="2"/>
          <w:numId w:val="0"/>
        </w:numPr>
        <w:adjustRightInd w:val="0"/>
        <w:snapToGrid w:val="0"/>
        <w:spacing w:line="360" w:lineRule="auto"/>
        <w:ind w:firstLine="420" w:firstLineChars="200"/>
        <w:jc w:val="left"/>
        <w:outlineLvl w:val="2"/>
        <w:rPr>
          <w:rFonts w:ascii="宋体" w:hAnsi="宋体"/>
          <w:kern w:val="0"/>
          <w:szCs w:val="20"/>
          <w:highlight w:val="none"/>
          <w:u w:val="none"/>
        </w:rPr>
      </w:pPr>
      <w:r>
        <w:rPr>
          <w:rFonts w:hint="eastAsia" w:ascii="宋体" w:hAnsi="宋体"/>
          <w:kern w:val="0"/>
          <w:szCs w:val="20"/>
          <w:highlight w:val="none"/>
          <w:u w:val="none"/>
        </w:rPr>
        <w:t>经承包人自检确认的工程隐蔽部位具备覆盖条件后，承包人应通知监理人在约定的期限内检查并通知发包人到场。除专用合同条款另有规定外，承包人应在共同检查前48小时书面通知发包人和监理人。承包人的通知应附有自检记录和必要的检查资料。监理人应按时到场检查并通知发包人到场，经发包人、监理人共同检查确认质量符合隐蔽要求，并在检查记录上签字后，承包人才能进行覆盖。如发包人或监理人检查确认质量不合格的，承包人应在监理人指示的时间内完成修复，并通知监理人重新检查。</w:t>
      </w:r>
    </w:p>
    <w:p w14:paraId="74180E93">
      <w:pPr>
        <w:numPr>
          <w:ilvl w:val="2"/>
          <w:numId w:val="0"/>
        </w:numPr>
        <w:adjustRightInd w:val="0"/>
        <w:snapToGrid w:val="0"/>
        <w:spacing w:line="360" w:lineRule="auto"/>
        <w:ind w:firstLine="420" w:firstLineChars="200"/>
        <w:jc w:val="left"/>
        <w:outlineLvl w:val="2"/>
        <w:rPr>
          <w:rFonts w:ascii="宋体" w:hAnsi="宋体"/>
          <w:kern w:val="0"/>
          <w:szCs w:val="20"/>
          <w:highlight w:val="none"/>
          <w:u w:val="none"/>
        </w:rPr>
      </w:pPr>
      <w:r>
        <w:rPr>
          <w:rFonts w:hint="eastAsia" w:ascii="宋体" w:hAnsi="宋体"/>
          <w:kern w:val="0"/>
          <w:szCs w:val="20"/>
          <w:highlight w:val="none"/>
          <w:u w:val="none"/>
        </w:rPr>
        <w:t>13.5.4.</w:t>
      </w:r>
      <w:r>
        <w:rPr>
          <w:rFonts w:hint="eastAsia" w:ascii="宋体" w:hAnsi="宋体"/>
          <w:kern w:val="0"/>
          <w:szCs w:val="20"/>
          <w:highlight w:val="none"/>
          <w:u w:val="none"/>
        </w:rPr>
        <w:tab/>
      </w:r>
      <w:r>
        <w:rPr>
          <w:rFonts w:hint="eastAsia" w:ascii="宋体" w:hAnsi="宋体"/>
          <w:kern w:val="0"/>
          <w:szCs w:val="20"/>
          <w:highlight w:val="none"/>
          <w:u w:val="none"/>
        </w:rPr>
        <w:t>承包人私自</w:t>
      </w:r>
      <w:r>
        <w:rPr>
          <w:rFonts w:hint="eastAsia" w:ascii="宋体" w:hAnsi="宋体"/>
          <w:kern w:val="0"/>
          <w:szCs w:val="20"/>
          <w:highlight w:val="none"/>
        </w:rPr>
        <w:t>覆盖</w:t>
      </w:r>
    </w:p>
    <w:p w14:paraId="06A5C6A4">
      <w:pPr>
        <w:numPr>
          <w:ilvl w:val="2"/>
          <w:numId w:val="0"/>
        </w:numPr>
        <w:adjustRightInd w:val="0"/>
        <w:snapToGrid w:val="0"/>
        <w:spacing w:line="360" w:lineRule="auto"/>
        <w:ind w:firstLine="420" w:firstLineChars="200"/>
        <w:jc w:val="left"/>
        <w:outlineLvl w:val="2"/>
        <w:rPr>
          <w:rFonts w:ascii="宋体" w:hAnsi="宋体"/>
          <w:kern w:val="0"/>
          <w:szCs w:val="20"/>
          <w:highlight w:val="none"/>
          <w:u w:val="none"/>
        </w:rPr>
      </w:pPr>
      <w:r>
        <w:rPr>
          <w:rFonts w:hint="eastAsia" w:ascii="宋体" w:hAnsi="宋体"/>
          <w:kern w:val="0"/>
          <w:szCs w:val="20"/>
          <w:highlight w:val="none"/>
          <w:u w:val="none"/>
        </w:rPr>
        <w:t>承包人未通知监理人到场检查，私自将工程隐蔽部位覆盖的，监理人有权指示承包人钻孔探测或揭开检查，由此增加的费用和（或）工期延误由承包人承担，如果因此给发包人造成损失，承包人应当全额赔偿。</w:t>
      </w:r>
    </w:p>
    <w:p w14:paraId="39C4829D">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13.6.</w:t>
      </w:r>
      <w:r>
        <w:rPr>
          <w:rFonts w:hint="eastAsia" w:ascii="宋体" w:hAnsi="宋体"/>
          <w:b/>
          <w:bCs/>
          <w:kern w:val="0"/>
          <w:szCs w:val="21"/>
          <w:highlight w:val="none"/>
        </w:rPr>
        <w:tab/>
      </w:r>
      <w:r>
        <w:rPr>
          <w:rFonts w:hint="eastAsia" w:ascii="宋体" w:hAnsi="宋体"/>
          <w:b/>
          <w:bCs/>
          <w:kern w:val="0"/>
          <w:szCs w:val="21"/>
          <w:highlight w:val="none"/>
        </w:rPr>
        <w:t>清除不合格工程</w:t>
      </w:r>
    </w:p>
    <w:p w14:paraId="08D67320">
      <w:pPr>
        <w:numPr>
          <w:ilvl w:val="2"/>
          <w:numId w:val="0"/>
        </w:numPr>
        <w:adjustRightInd w:val="0"/>
        <w:snapToGrid w:val="0"/>
        <w:spacing w:line="360" w:lineRule="auto"/>
        <w:ind w:firstLine="420" w:firstLineChars="200"/>
        <w:jc w:val="left"/>
        <w:outlineLvl w:val="2"/>
        <w:rPr>
          <w:rFonts w:ascii="宋体" w:hAnsi="宋体"/>
          <w:kern w:val="0"/>
          <w:szCs w:val="20"/>
          <w:highlight w:val="none"/>
          <w:u w:val="none"/>
        </w:rPr>
      </w:pPr>
      <w:r>
        <w:rPr>
          <w:rFonts w:hint="eastAsia" w:ascii="宋体" w:hAnsi="宋体"/>
          <w:kern w:val="0"/>
          <w:szCs w:val="20"/>
          <w:highlight w:val="none"/>
          <w:u w:val="none"/>
        </w:rPr>
        <w:t>13.6.1.</w:t>
      </w:r>
      <w:r>
        <w:rPr>
          <w:rFonts w:hint="eastAsia" w:ascii="宋体" w:hAnsi="宋体"/>
          <w:kern w:val="0"/>
          <w:szCs w:val="20"/>
          <w:highlight w:val="none"/>
          <w:u w:val="none"/>
        </w:rPr>
        <w:tab/>
      </w:r>
      <w:r>
        <w:rPr>
          <w:rFonts w:hint="eastAsia" w:ascii="宋体" w:hAnsi="宋体"/>
          <w:kern w:val="0"/>
          <w:szCs w:val="20"/>
          <w:highlight w:val="none"/>
          <w:u w:val="none"/>
        </w:rPr>
        <w:tab/>
      </w:r>
      <w:r>
        <w:rPr>
          <w:rFonts w:hint="eastAsia" w:ascii="宋体" w:hAnsi="宋体"/>
          <w:kern w:val="0"/>
          <w:szCs w:val="20"/>
          <w:highlight w:val="none"/>
          <w:u w:val="none"/>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如果因此给发包人造成损失，承包人应当全额赔偿。</w:t>
      </w:r>
    </w:p>
    <w:p w14:paraId="79620E2D">
      <w:pPr>
        <w:keepNext/>
        <w:keepLines/>
        <w:numPr>
          <w:ilvl w:val="0"/>
          <w:numId w:val="4"/>
        </w:numPr>
        <w:adjustRightInd w:val="0"/>
        <w:snapToGrid w:val="0"/>
        <w:spacing w:line="360" w:lineRule="auto"/>
        <w:outlineLvl w:val="0"/>
        <w:rPr>
          <w:rFonts w:ascii="宋体" w:hAnsi="宋体"/>
          <w:b/>
          <w:bCs/>
          <w:kern w:val="44"/>
          <w:szCs w:val="21"/>
          <w:highlight w:val="none"/>
        </w:rPr>
      </w:pPr>
      <w:r>
        <w:rPr>
          <w:rFonts w:hint="eastAsia" w:ascii="宋体" w:hAnsi="宋体"/>
          <w:b/>
          <w:bCs/>
          <w:kern w:val="44"/>
          <w:sz w:val="28"/>
          <w:szCs w:val="44"/>
          <w:highlight w:val="none"/>
        </w:rPr>
        <w:tab/>
      </w:r>
      <w:bookmarkStart w:id="410" w:name="_Toc31385"/>
      <w:bookmarkStart w:id="411" w:name="_Toc23633"/>
      <w:bookmarkStart w:id="412" w:name="_Toc23435"/>
      <w:bookmarkStart w:id="413" w:name="_Toc167701764"/>
      <w:bookmarkStart w:id="414" w:name="_Toc167975588"/>
      <w:bookmarkStart w:id="415" w:name="_Toc28036"/>
      <w:bookmarkStart w:id="416" w:name="_Toc350865216"/>
      <w:bookmarkStart w:id="417" w:name="_Toc32740"/>
      <w:bookmarkStart w:id="418" w:name="_Toc350865578"/>
      <w:bookmarkStart w:id="419" w:name="_Toc22394"/>
      <w:bookmarkStart w:id="420" w:name="_Toc4218"/>
      <w:bookmarkStart w:id="421" w:name="_Toc13454"/>
      <w:bookmarkStart w:id="422" w:name="_Toc167701663"/>
      <w:bookmarkStart w:id="423" w:name="_Toc27662"/>
      <w:bookmarkStart w:id="424" w:name="_Toc1906"/>
      <w:bookmarkStart w:id="425" w:name="_Toc27052"/>
      <w:bookmarkStart w:id="426" w:name="_Toc26090"/>
      <w:bookmarkStart w:id="427" w:name="_Toc23743"/>
      <w:bookmarkStart w:id="428" w:name="_Toc573"/>
      <w:bookmarkStart w:id="429" w:name="_Toc427331249"/>
      <w:bookmarkStart w:id="430" w:name="_Toc8902"/>
      <w:bookmarkStart w:id="431" w:name="_Toc29779"/>
      <w:bookmarkStart w:id="432" w:name="_Toc8326"/>
      <w:bookmarkStart w:id="433" w:name="_Toc26980"/>
      <w:bookmarkStart w:id="434" w:name="_Toc3766"/>
      <w:bookmarkStart w:id="435" w:name="_Toc15244"/>
      <w:r>
        <w:rPr>
          <w:rFonts w:hint="eastAsia" w:ascii="宋体" w:hAnsi="宋体"/>
          <w:b/>
          <w:bCs/>
          <w:kern w:val="44"/>
          <w:szCs w:val="21"/>
          <w:highlight w:val="none"/>
        </w:rPr>
        <w:t>试验和检验</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1C06A928">
      <w:pPr>
        <w:numPr>
          <w:ilvl w:val="2"/>
          <w:numId w:val="0"/>
        </w:numPr>
        <w:adjustRightInd w:val="0"/>
        <w:snapToGrid w:val="0"/>
        <w:spacing w:line="360" w:lineRule="auto"/>
        <w:ind w:firstLine="420" w:firstLineChars="200"/>
        <w:jc w:val="left"/>
        <w:outlineLvl w:val="2"/>
        <w:rPr>
          <w:rFonts w:ascii="宋体" w:hAnsi="宋体"/>
          <w:kern w:val="0"/>
          <w:szCs w:val="20"/>
          <w:highlight w:val="none"/>
          <w:u w:val="none"/>
        </w:rPr>
      </w:pPr>
      <w:r>
        <w:rPr>
          <w:rFonts w:hint="eastAsia" w:ascii="宋体" w:hAnsi="宋体"/>
          <w:kern w:val="0"/>
          <w:szCs w:val="20"/>
          <w:highlight w:val="none"/>
          <w:u w:val="none"/>
        </w:rPr>
        <w:t>14.1.4</w:t>
      </w:r>
      <w:r>
        <w:rPr>
          <w:rFonts w:hint="eastAsia" w:ascii="Times New Roman" w:hAnsi="宋体"/>
          <w:szCs w:val="24"/>
          <w:highlight w:val="none"/>
          <w:u w:val="none"/>
        </w:rPr>
        <w:t>发包人</w:t>
      </w:r>
      <w:r>
        <w:rPr>
          <w:rFonts w:hint="eastAsia" w:ascii="宋体" w:hAnsi="宋体"/>
          <w:kern w:val="0"/>
          <w:szCs w:val="20"/>
          <w:highlight w:val="none"/>
          <w:u w:val="none"/>
        </w:rPr>
        <w:t>抽检：除根据政策要求的第三方检测和监理相关检测外，根据工程实际情况，发包人对有疑问、高价值、对效果有重大影响、易产生不合格品的材料设备有权实施抽检，承包人对发包人抽检清单内的抽检不得提出工期索赔。检验的结果证明该项材料、设备不符合合同要求的，因此增加的费用和（或）工期延误由承包人承担，如果因此给发包人造成损失，承包人应当全额赔偿；检验结果证明该项材料、设备符合合同要求的，由发包人承担本次抽检的检验费用，工期不予顺延。</w:t>
      </w:r>
    </w:p>
    <w:p w14:paraId="20BB8373">
      <w:pPr>
        <w:numPr>
          <w:ilvl w:val="2"/>
          <w:numId w:val="0"/>
        </w:numPr>
        <w:adjustRightInd w:val="0"/>
        <w:snapToGrid w:val="0"/>
        <w:spacing w:line="360" w:lineRule="auto"/>
        <w:jc w:val="left"/>
        <w:outlineLvl w:val="2"/>
        <w:rPr>
          <w:rFonts w:ascii="宋体" w:hAnsi="宋体"/>
          <w:b/>
          <w:bCs/>
          <w:kern w:val="0"/>
          <w:szCs w:val="20"/>
          <w:highlight w:val="none"/>
        </w:rPr>
      </w:pPr>
      <w:r>
        <w:rPr>
          <w:rFonts w:hint="eastAsia" w:ascii="宋体" w:hAnsi="宋体"/>
          <w:b/>
          <w:bCs/>
          <w:kern w:val="0"/>
          <w:szCs w:val="20"/>
          <w:highlight w:val="none"/>
        </w:rPr>
        <w:t>14.4.</w:t>
      </w:r>
      <w:r>
        <w:rPr>
          <w:rFonts w:hint="eastAsia" w:ascii="宋体" w:hAnsi="宋体"/>
          <w:b/>
          <w:bCs/>
          <w:kern w:val="0"/>
          <w:szCs w:val="20"/>
          <w:highlight w:val="none"/>
        </w:rPr>
        <w:tab/>
      </w:r>
      <w:r>
        <w:rPr>
          <w:rFonts w:hint="eastAsia" w:ascii="宋体" w:hAnsi="宋体"/>
          <w:b/>
          <w:bCs/>
          <w:kern w:val="0"/>
          <w:szCs w:val="20"/>
          <w:highlight w:val="none"/>
        </w:rPr>
        <w:t>发包人提供的材料和工程设备的试验和检验</w:t>
      </w:r>
    </w:p>
    <w:p w14:paraId="7BC4B07E">
      <w:pPr>
        <w:numPr>
          <w:ilvl w:val="2"/>
          <w:numId w:val="0"/>
        </w:numPr>
        <w:adjustRightInd w:val="0"/>
        <w:snapToGrid w:val="0"/>
        <w:spacing w:line="360" w:lineRule="auto"/>
        <w:ind w:firstLine="420" w:firstLineChars="200"/>
        <w:jc w:val="left"/>
        <w:outlineLvl w:val="2"/>
        <w:rPr>
          <w:rFonts w:ascii="宋体" w:hAnsi="宋体"/>
          <w:kern w:val="0"/>
          <w:szCs w:val="20"/>
          <w:highlight w:val="none"/>
          <w:u w:val="none"/>
        </w:rPr>
      </w:pPr>
      <w:r>
        <w:rPr>
          <w:rFonts w:hint="eastAsia" w:ascii="宋体" w:hAnsi="宋体"/>
          <w:kern w:val="0"/>
          <w:szCs w:val="20"/>
          <w:highlight w:val="none"/>
          <w:u w:val="none"/>
        </w:rPr>
        <w:t>14.4.1.</w:t>
      </w:r>
      <w:r>
        <w:rPr>
          <w:rFonts w:hint="eastAsia" w:ascii="宋体" w:hAnsi="宋体"/>
          <w:kern w:val="0"/>
          <w:szCs w:val="20"/>
          <w:highlight w:val="none"/>
          <w:u w:val="none"/>
        </w:rPr>
        <w:tab/>
      </w:r>
      <w:r>
        <w:rPr>
          <w:rFonts w:hint="eastAsia" w:ascii="宋体" w:hAnsi="宋体"/>
          <w:kern w:val="0"/>
          <w:szCs w:val="20"/>
          <w:highlight w:val="none"/>
          <w:u w:val="none"/>
        </w:rPr>
        <w:t>发包人提供的材料和工程设备到货后，发包人、监理人及承包人共同验收时，由发包人负责提供该材料和工程设备的合格证明及其他国家规范标准要求的必要产品质量证明文件及检验试验合格证明文件。承包人需对发包人提供的材料设备质量证明文件进行核查，以确保其满足工程规范和合同质量要求。若承包人对发包人所供材料和工程设备质量、安全及性能等提出质疑要求重新检验试验时，由发包人、监理人与承包人共同进行。重新试验和检验的结果证明该项材料和工程设备的质量、安全及性能不符合合同及规范标准要求的，由此增加的费用和延误的工期由发包人承担，如果因此给承包人造成损失，发包人应当全额赔偿；重新试验和检验的结果证明该项材料设备的质量、安全及性能符合合同及规范标准要求的，由承包人承担由此增加的费用和延误的工期，如果因此给发包人造成损失，承包人应当全额赔偿。</w:t>
      </w:r>
    </w:p>
    <w:p w14:paraId="1E682BBC">
      <w:pPr>
        <w:keepNext/>
        <w:keepLines/>
        <w:numPr>
          <w:ilvl w:val="0"/>
          <w:numId w:val="4"/>
        </w:numPr>
        <w:adjustRightInd w:val="0"/>
        <w:snapToGrid w:val="0"/>
        <w:spacing w:line="360" w:lineRule="auto"/>
        <w:outlineLvl w:val="0"/>
        <w:rPr>
          <w:rFonts w:ascii="宋体" w:hAnsi="宋体"/>
          <w:b/>
          <w:bCs/>
          <w:kern w:val="44"/>
          <w:sz w:val="28"/>
          <w:szCs w:val="44"/>
          <w:highlight w:val="none"/>
        </w:rPr>
      </w:pPr>
      <w:r>
        <w:rPr>
          <w:rFonts w:hint="eastAsia" w:ascii="宋体" w:hAnsi="宋体"/>
          <w:b/>
          <w:bCs/>
          <w:kern w:val="44"/>
          <w:sz w:val="28"/>
          <w:szCs w:val="44"/>
          <w:highlight w:val="none"/>
        </w:rPr>
        <w:tab/>
      </w:r>
      <w:bookmarkStart w:id="436" w:name="_Toc5528"/>
      <w:bookmarkStart w:id="437" w:name="_Toc24697"/>
      <w:bookmarkStart w:id="438" w:name="_Toc427331250"/>
      <w:bookmarkStart w:id="439" w:name="_Toc7421"/>
      <w:bookmarkStart w:id="440" w:name="_Toc1475"/>
      <w:bookmarkStart w:id="441" w:name="_Toc25863"/>
      <w:bookmarkStart w:id="442" w:name="_Toc350865217"/>
      <w:bookmarkStart w:id="443" w:name="_Toc6307"/>
      <w:bookmarkStart w:id="444" w:name="_Toc10771"/>
      <w:bookmarkStart w:id="445" w:name="_Toc5551"/>
      <w:bookmarkStart w:id="446" w:name="_Toc24866"/>
      <w:bookmarkStart w:id="447" w:name="_Toc30261"/>
      <w:bookmarkStart w:id="448" w:name="_Toc167975589"/>
      <w:bookmarkStart w:id="449" w:name="_Toc167701765"/>
      <w:bookmarkStart w:id="450" w:name="_Toc27575"/>
      <w:bookmarkStart w:id="451" w:name="_Toc12851"/>
      <w:bookmarkStart w:id="452" w:name="_Toc167701664"/>
      <w:bookmarkStart w:id="453" w:name="_Toc27924"/>
      <w:bookmarkStart w:id="454" w:name="_Toc350865579"/>
      <w:bookmarkStart w:id="455" w:name="_Toc202"/>
      <w:bookmarkStart w:id="456" w:name="_Toc10687"/>
      <w:bookmarkStart w:id="457" w:name="_Toc20704"/>
      <w:bookmarkStart w:id="458" w:name="_Toc19006"/>
      <w:bookmarkStart w:id="459" w:name="_Toc32514"/>
      <w:bookmarkStart w:id="460" w:name="_Toc28364"/>
      <w:bookmarkStart w:id="461" w:name="_Toc23017"/>
      <w:r>
        <w:rPr>
          <w:rFonts w:hint="eastAsia" w:ascii="宋体" w:hAnsi="宋体"/>
          <w:b/>
          <w:bCs/>
          <w:kern w:val="44"/>
          <w:sz w:val="28"/>
          <w:szCs w:val="44"/>
          <w:highlight w:val="none"/>
        </w:rPr>
        <w:t>变更</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543D1765">
      <w:pPr>
        <w:numPr>
          <w:ilvl w:val="2"/>
          <w:numId w:val="0"/>
        </w:numPr>
        <w:adjustRightInd w:val="0"/>
        <w:snapToGrid w:val="0"/>
        <w:spacing w:line="360" w:lineRule="auto"/>
        <w:jc w:val="left"/>
        <w:outlineLvl w:val="2"/>
        <w:rPr>
          <w:rFonts w:ascii="宋体" w:hAnsi="Arial"/>
          <w:kern w:val="0"/>
          <w:szCs w:val="20"/>
          <w:highlight w:val="none"/>
        </w:rPr>
      </w:pPr>
      <w:r>
        <w:rPr>
          <w:rFonts w:hint="eastAsia" w:ascii="宋体" w:hAnsi="宋体"/>
          <w:b/>
          <w:bCs/>
          <w:kern w:val="0"/>
          <w:szCs w:val="20"/>
          <w:highlight w:val="none"/>
        </w:rPr>
        <w:t>15.1变更程序</w:t>
      </w:r>
    </w:p>
    <w:p w14:paraId="338F637B">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15.1.1.</w:t>
      </w:r>
      <w:r>
        <w:rPr>
          <w:rFonts w:hint="eastAsia" w:ascii="宋体" w:hAnsi="Arial"/>
          <w:kern w:val="0"/>
          <w:szCs w:val="20"/>
          <w:highlight w:val="none"/>
        </w:rPr>
        <w:tab/>
      </w:r>
      <w:r>
        <w:rPr>
          <w:rFonts w:hint="eastAsia" w:ascii="宋体" w:hAnsi="Arial"/>
          <w:kern w:val="0"/>
          <w:szCs w:val="20"/>
          <w:highlight w:val="none"/>
        </w:rPr>
        <w:t>施工中发包人需对原工程进行变更时，应提前以书面形式向承包人发出变更通知，并提供变更的相应图纸和（或）说明。承包人应当按照发包人发出的变更通知及有关要求实施变更。承包人不得以指示所涉及的费用未确定为由不执行或拖延执行。当接到发包人的指示后三（3）天内，承包人仍未开始执行有关的工作（按工程实际情况不可能立即执行的除外），发包人可雇用第三人代为执行，承包人应承担发包人雇佣第三人所造成的价差，并承担一切由此引起的费用的15%，作为向发包人支付的管理费，同时需按专用条款的约定承担违约责任。发包人可从应支付或将会支付给承包人的款项中扣回或当作债务向承包人追讨。</w:t>
      </w:r>
    </w:p>
    <w:p w14:paraId="22B0720E">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15.1.4.通用</w:t>
      </w:r>
      <w:r>
        <w:rPr>
          <w:rFonts w:hint="eastAsia" w:ascii="Times New Roman" w:hAnsi="宋体"/>
          <w:szCs w:val="24"/>
          <w:highlight w:val="none"/>
        </w:rPr>
        <w:t>条款</w:t>
      </w:r>
      <w:r>
        <w:rPr>
          <w:rFonts w:hint="eastAsia" w:ascii="宋体" w:hAnsi="Arial"/>
          <w:kern w:val="0"/>
          <w:szCs w:val="20"/>
          <w:highlight w:val="none"/>
        </w:rPr>
        <w:t>第15.1.4条修订为：如承包人未经发包人和监理单位同意而擅自超出合同文件的要求进行施工，或者擅自变更承包范围内施工内容的，则无论本工程是否通过了竣工验收，均不视为变更且发包人不支付该等擅自施工所发生的费用，由此增加的费用和延误的工期均由承包人承担。如果因此给发包人造成损失，承包人应当全额赔偿。</w:t>
      </w:r>
    </w:p>
    <w:p w14:paraId="634144C6">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15.1.5.</w:t>
      </w:r>
      <w:r>
        <w:rPr>
          <w:rFonts w:hint="eastAsia" w:ascii="宋体" w:hAnsi="Arial"/>
          <w:kern w:val="0"/>
          <w:szCs w:val="20"/>
          <w:highlight w:val="none"/>
        </w:rPr>
        <w:tab/>
      </w:r>
      <w:r>
        <w:rPr>
          <w:rFonts w:hint="eastAsia" w:ascii="宋体" w:hAnsi="Arial"/>
          <w:kern w:val="0"/>
          <w:szCs w:val="20"/>
          <w:highlight w:val="none"/>
        </w:rPr>
        <w:t>承包人采用或更改任何施工方案、施工工序、施工措施、施工工艺的，均不构成签证变更，由承包人承担由此增加的费用和延误的工期，即便发包人对前述方案、工序、措施和工艺进行了签证，也只是对技术的确认，发包人不因此而承担任何费用及工期延误的责任，如果因此给发包人造成损失，承包人应当全额赔偿。</w:t>
      </w:r>
    </w:p>
    <w:p w14:paraId="5817EC3B">
      <w:pPr>
        <w:numPr>
          <w:ilvl w:val="2"/>
          <w:numId w:val="0"/>
        </w:numPr>
        <w:adjustRightInd w:val="0"/>
        <w:snapToGrid w:val="0"/>
        <w:spacing w:line="360" w:lineRule="auto"/>
        <w:ind w:firstLine="420" w:firstLineChars="200"/>
        <w:jc w:val="left"/>
        <w:outlineLvl w:val="2"/>
        <w:rPr>
          <w:rFonts w:ascii="宋体" w:hAnsi="宋体"/>
          <w:kern w:val="0"/>
          <w:szCs w:val="20"/>
          <w:highlight w:val="none"/>
          <w:u w:val="single"/>
        </w:rPr>
      </w:pPr>
      <w:r>
        <w:rPr>
          <w:rFonts w:hint="eastAsia" w:ascii="宋体" w:hAnsi="宋体"/>
          <w:kern w:val="0"/>
          <w:szCs w:val="20"/>
          <w:highlight w:val="none"/>
        </w:rPr>
        <w:t>15.1.7.</w:t>
      </w:r>
      <w:r>
        <w:rPr>
          <w:rFonts w:hint="eastAsia" w:ascii="宋体" w:hAnsi="Arial"/>
          <w:kern w:val="0"/>
          <w:szCs w:val="20"/>
          <w:highlight w:val="none"/>
        </w:rPr>
        <w:t>通用条款第15.1.7条修订为：</w:t>
      </w:r>
      <w:r>
        <w:rPr>
          <w:rFonts w:hint="eastAsia" w:ascii="宋体" w:hAnsi="宋体"/>
          <w:kern w:val="0"/>
          <w:szCs w:val="20"/>
          <w:highlight w:val="none"/>
        </w:rPr>
        <w:t>设计人提出的设计变更，必须经发包人书面批准后，承包人才能按图进行施工，如设计变更未经发包人批准承包人安排施工，所需费用由承包人承担，且发包人有权提出拆除及恢复，承包人承担由此造成的费用；如设计变更未经发包人批准承包人安排施工，且设计变更不合理，其施工费用、恢复费用、延误工期及由此造成的损失由承包人承担，同时承包人每次须承担一般违约责任。</w:t>
      </w:r>
    </w:p>
    <w:p w14:paraId="2091D943">
      <w:pPr>
        <w:numPr>
          <w:ilvl w:val="1"/>
          <w:numId w:val="0"/>
        </w:numPr>
        <w:adjustRightInd w:val="0"/>
        <w:snapToGrid w:val="0"/>
        <w:spacing w:line="360" w:lineRule="auto"/>
        <w:jc w:val="left"/>
        <w:outlineLvl w:val="1"/>
        <w:rPr>
          <w:rFonts w:ascii="宋体" w:hAnsi="宋体"/>
          <w:b/>
          <w:kern w:val="0"/>
          <w:szCs w:val="21"/>
          <w:highlight w:val="none"/>
        </w:rPr>
      </w:pPr>
      <w:r>
        <w:rPr>
          <w:rFonts w:hint="eastAsia" w:ascii="宋体" w:hAnsi="宋体"/>
          <w:b/>
          <w:kern w:val="0"/>
          <w:szCs w:val="21"/>
          <w:highlight w:val="none"/>
        </w:rPr>
        <w:t>15.2. 招标合同清单项以外的价款的确定</w:t>
      </w:r>
    </w:p>
    <w:p w14:paraId="2156222F">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招标合同清单项以外的变更、签证工程、新增工程及其他工程包括但不限于：由于设计需要或项目建设实际需要，会引致招标工程量清单内数量发生变化、或招标工程量清单内项目的局部内容发生变化、或新增了工程量清单内没有的项目；原设计没有而由发包人批准设计变更产生的工程项目及经监理人和发包人现场签证确认的工程项目；合同所确定的工程内容以外，非施工单位原因造成而施工过程中实际发生且需支付工程费用的，并经监理人和发包人确认的工程实际内容；工程项目实施期间和结算时，招标文件工程量清单中漏列而施工图纸或竣工图纸中有显示或由监理人和发包人确认的工程项目等。</w:t>
      </w:r>
    </w:p>
    <w:p w14:paraId="1E4D1BE6">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15.2.1上述项目引致超出招标合同清单的部分严格按照以下先后顺序确定价格：</w:t>
      </w:r>
    </w:p>
    <w:p w14:paraId="753EB8B9">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15.2.1.1合同工程量清单中有相同适用项目的，则采用该项目综合单价（但发包人认为综合单价明显不合理的除外）；合同工程量清单中相同适用项目有多个的，取最有利于发包人的相同适用项目综合单价（但发包人认为综合单价明显不合理的除外）。若合同单价合理，不论工程量怎样增加或减少，综合单价都不予调整，本合同另有约定的除外。若变更图纸的节点图对玻璃面积、型材重量等影响材料含量的方面进行变更，则对应的清单材料含量应按15.2.1.2条第（5）款调整。</w:t>
      </w:r>
    </w:p>
    <w:p w14:paraId="7B20147E">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15.2.1.2合同工程量清单中无相同适用项目、只有类似适用项目的，则按类似项目的综合单价对相应子目、消耗量、材料设备价格等进行调整换算，原管理费、利润计价方式保持不变（但发包人认为综合单价明显不合理的除外）。换算方法如下：</w:t>
      </w:r>
    </w:p>
    <w:p w14:paraId="76B732F0">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(1)</w:t>
      </w:r>
      <w:r>
        <w:rPr>
          <w:rFonts w:hint="eastAsia" w:ascii="宋体" w:hAnsi="宋体"/>
          <w:bCs/>
          <w:snapToGrid w:val="0"/>
          <w:kern w:val="0"/>
          <w:szCs w:val="28"/>
          <w:highlight w:val="none"/>
          <w:u w:val="none"/>
        </w:rPr>
        <w:tab/>
      </w:r>
      <w:r>
        <w:rPr>
          <w:rFonts w:hint="eastAsia" w:ascii="宋体" w:hAnsi="宋体"/>
          <w:bCs/>
          <w:snapToGrid w:val="0"/>
          <w:kern w:val="0"/>
          <w:szCs w:val="28"/>
          <w:highlight w:val="none"/>
          <w:u w:val="none"/>
        </w:rPr>
        <w:t>只是主要材料和主要设备发生变更时，只调整该材料和设备价格，其他单价组成部分均不予调整，材料设备价格按照本条第（4）点的约定执行；</w:t>
      </w:r>
    </w:p>
    <w:p w14:paraId="5175CD0F">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(2)</w:t>
      </w:r>
      <w:r>
        <w:rPr>
          <w:rFonts w:hint="eastAsia" w:ascii="宋体" w:hAnsi="宋体"/>
          <w:bCs/>
          <w:snapToGrid w:val="0"/>
          <w:kern w:val="0"/>
          <w:szCs w:val="28"/>
          <w:highlight w:val="none"/>
          <w:u w:val="none"/>
        </w:rPr>
        <w:tab/>
      </w:r>
      <w:r>
        <w:rPr>
          <w:rFonts w:hint="eastAsia" w:ascii="宋体" w:hAnsi="宋体"/>
          <w:bCs/>
          <w:snapToGrid w:val="0"/>
          <w:kern w:val="0"/>
          <w:szCs w:val="28"/>
          <w:highlight w:val="none"/>
          <w:u w:val="none"/>
        </w:rPr>
        <w:t>工程量清单报价表中已有类似项目的综合单价，只是个别工作内容增加或调整的，按原单价分析表套取新工作内容，只在类似综合单价基础上调整该新工作内容价差，原管理费、利润计价方式保持不变；</w:t>
      </w:r>
    </w:p>
    <w:p w14:paraId="230BE455">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(3)</w:t>
      </w:r>
      <w:r>
        <w:rPr>
          <w:rFonts w:hint="eastAsia" w:ascii="宋体" w:hAnsi="宋体"/>
          <w:bCs/>
          <w:snapToGrid w:val="0"/>
          <w:kern w:val="0"/>
          <w:szCs w:val="28"/>
          <w:highlight w:val="none"/>
          <w:u w:val="none"/>
        </w:rPr>
        <w:tab/>
      </w:r>
      <w:r>
        <w:rPr>
          <w:rFonts w:hint="eastAsia" w:ascii="宋体" w:hAnsi="宋体"/>
          <w:bCs/>
          <w:snapToGrid w:val="0"/>
          <w:kern w:val="0"/>
          <w:szCs w:val="28"/>
          <w:highlight w:val="none"/>
          <w:u w:val="none"/>
        </w:rPr>
        <w:t>如果工程量清单报价表中类似项目的综合单价有两个或两个以上，则以按上述换算方法得出的最有利于发包人的换算结果作为最终综合单价（但发包人认为综合单价明显不合理的除外）；</w:t>
      </w:r>
    </w:p>
    <w:p w14:paraId="63279E70">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(4)</w:t>
      </w:r>
      <w:r>
        <w:rPr>
          <w:rFonts w:hint="eastAsia" w:ascii="宋体" w:hAnsi="宋体"/>
          <w:bCs/>
          <w:snapToGrid w:val="0"/>
          <w:kern w:val="0"/>
          <w:szCs w:val="28"/>
          <w:highlight w:val="none"/>
          <w:u w:val="none"/>
        </w:rPr>
        <w:tab/>
      </w:r>
      <w:r>
        <w:rPr>
          <w:rFonts w:hint="eastAsia" w:ascii="宋体" w:hAnsi="宋体"/>
          <w:bCs/>
          <w:snapToGrid w:val="0"/>
          <w:kern w:val="0"/>
          <w:szCs w:val="28"/>
          <w:highlight w:val="none"/>
          <w:u w:val="none"/>
        </w:rPr>
        <w:t>材料设备价格的确定方式及优先次序（发包人认为合同材料价格不合理的除外）：</w:t>
      </w:r>
    </w:p>
    <w:p w14:paraId="0EB1A497">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①合同中有适用或类似的材料：a）合同中有适用的价格按已有价格计入；b）合同中没有适用材料、有相同类型但规格（或型号、标号等）不同的材料，参照合同已有最接近规格（或型号、标号等）材料的价格，采用插值法换算新增主材价格。按换算结果与相同时期市场价之间，取最有利于发包人的换算结果作为最终综合单价；c）合同中没有适用及相同类型材料，但有类似材料的，按类似材料价格乘以相应浮动率（即：相应浮动率=该新增材料在2025年4月《广州地区建设工程常用材料税前综合价格》/类似材料在2025年4月《广州地区建设工程常用材料税前综合价格》*100%）进行换算，按换算结果与相同时期市场价之间，取最有利于发包人的换算结果作为最终综合单价；</w:t>
      </w:r>
    </w:p>
    <w:p w14:paraId="0861F180">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②合同中没有适用或类似的材料，执行工程造价管理机构在本工程发布的2025年4月《广州地区建设工程常用材料税前综合价格》下浮10%；</w:t>
      </w:r>
    </w:p>
    <w:p w14:paraId="594B0FFD">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③合同中没有适用或类似的材料，且2025年4月《广州地区建设工程常用材料税前综合价格》没有的主材及设备单价，由发包人、监理单位、承包人结合市场价共同协商确定，本项【即：第③点】协商价格不适用于本合同专用条款第16条相关价格调整的约定。</w:t>
      </w:r>
    </w:p>
    <w:p w14:paraId="6AB7E26B">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5）若变更图纸的节点图对玻璃面积、型材重量等影响材料含量的方面进行变更，则清单内对应材料的变更后含量=中标清单对应的材料含量/按招标图纸计算的材料含量*按变更图纸计算的材料含量（注：中标清单对应的材料含量/按招标图纸计算的材料含量的计算结果若大于1，则按1计算）。</w:t>
      </w:r>
    </w:p>
    <w:p w14:paraId="3C564B67">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15.2.1.3合同工程量清单报价中没有相同或类似适用项目的，或者合同工程量清单报价中有相同或类似适用项目，但发包人认为综合单价明显不合理的，按以下原则计价：</w:t>
      </w:r>
    </w:p>
    <w:p w14:paraId="14ED1F36">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1）合同工程量清单报价中有相同或类似适用项目，但发包人认为综合单价明显不合理的，按《房屋建筑与装饰工程工程量计算规范（2013）》、《房屋建筑安装工程工程量计算规范（2013）》、《市政工程工程量计算规范（2013）》、《园林绿化工程工程量计算规范（2013）》，执行《广东省建筑与装饰工程综合定额》（2018年）、《广东省安装工程综合定额》（2018年）、《广东省市政工程综合定额》（2018年）、《广东省园林绿化工程综合定额》（2018年）、《广东省建设工程施工机具台班费用编制规则（2018）》等相关定额标准及工程造价管理机构发布的2025年4月《广州地区建设工程常用材料税前综合价格》材料设备参考价格编制综合单价并下浮10%作为不含税综合单价，如主材在《广州地区建设工程常用材料税前综合价格》中无信息价时，由发包人、监理单位、承包人结合市场价共同协商确定，此部分材料价格不参与下浮。</w:t>
      </w:r>
    </w:p>
    <w:p w14:paraId="0D6C21C1">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2）合同工程量清单没有相同或类似、无相关定额以及2025年4月《广州地区建设工程常用材料税前综合价格》没有的材料、设备单价，由发包人、监理单位、承包人结合市场价共同协商确定，本项【即：第（2）条】协商价格不适用于本合同专用条款第16条相关价格调整的约定。</w:t>
      </w:r>
    </w:p>
    <w:p w14:paraId="2BA30FED">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15.2.2在发包人未回复具体的审核价前，</w:t>
      </w:r>
      <w:r>
        <w:rPr>
          <w:rFonts w:hint="eastAsia" w:ascii="宋体" w:hAnsi="宋体"/>
          <w:bCs/>
          <w:snapToGrid w:val="0"/>
          <w:kern w:val="0"/>
          <w:szCs w:val="28"/>
          <w:highlight w:val="none"/>
          <w:u w:val="none"/>
          <w:lang w:eastAsia="zh-CN"/>
        </w:rPr>
        <w:t>承</w:t>
      </w:r>
      <w:r>
        <w:rPr>
          <w:rFonts w:hint="eastAsia" w:ascii="宋体" w:hAnsi="宋体"/>
          <w:bCs/>
          <w:snapToGrid w:val="0"/>
          <w:kern w:val="0"/>
          <w:szCs w:val="28"/>
          <w:highlight w:val="none"/>
          <w:u w:val="none"/>
        </w:rPr>
        <w:t>包人不得以任何理由作为停工或拖延施工为借口，若由此导致的工期延误，由</w:t>
      </w:r>
      <w:r>
        <w:rPr>
          <w:rFonts w:hint="eastAsia" w:ascii="宋体" w:hAnsi="宋体"/>
          <w:bCs/>
          <w:snapToGrid w:val="0"/>
          <w:kern w:val="0"/>
          <w:szCs w:val="28"/>
          <w:highlight w:val="none"/>
          <w:u w:val="none"/>
          <w:lang w:eastAsia="zh-CN"/>
        </w:rPr>
        <w:t>承</w:t>
      </w:r>
      <w:r>
        <w:rPr>
          <w:rFonts w:hint="eastAsia" w:ascii="宋体" w:hAnsi="宋体"/>
          <w:bCs/>
          <w:snapToGrid w:val="0"/>
          <w:kern w:val="0"/>
          <w:szCs w:val="28"/>
          <w:highlight w:val="none"/>
          <w:u w:val="none"/>
        </w:rPr>
        <w:t>包人自行承担。</w:t>
      </w:r>
    </w:p>
    <w:p w14:paraId="7127F638">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15.2.3变更、签证工程和新增工程除按本条款计取分部分项外，仅另行计取安全生产措施费和税金，其余相关费用均视为已包含在原合同价款内，不再另行计取。除以下条件外，本合同暂定价款中总价包干措施费不得调整：</w:t>
      </w:r>
    </w:p>
    <w:p w14:paraId="15CFB35A">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1）基于本合同承包范围，当单纯性调整整项施工内容，据实整项扣除该项对应的措施费用。</w:t>
      </w:r>
    </w:p>
    <w:p w14:paraId="44FFD523">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2）发包人书面审批同意的其他可调整总价包干措施费的情形。</w:t>
      </w:r>
    </w:p>
    <w:p w14:paraId="4977602F">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15.2.4. 对于变更价款确定的其他约定</w:t>
      </w:r>
    </w:p>
    <w:p w14:paraId="197D8FBB">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1）</w:t>
      </w:r>
      <w:r>
        <w:rPr>
          <w:rFonts w:hint="eastAsia" w:ascii="宋体" w:hAnsi="宋体"/>
          <w:bCs/>
          <w:snapToGrid w:val="0"/>
          <w:kern w:val="0"/>
          <w:szCs w:val="28"/>
          <w:highlight w:val="none"/>
          <w:u w:val="none"/>
          <w:lang w:eastAsia="zh-CN"/>
        </w:rPr>
        <w:t>承</w:t>
      </w:r>
      <w:r>
        <w:rPr>
          <w:rFonts w:hint="eastAsia" w:ascii="宋体" w:hAnsi="宋体"/>
          <w:bCs/>
          <w:snapToGrid w:val="0"/>
          <w:kern w:val="0"/>
          <w:szCs w:val="28"/>
          <w:highlight w:val="none"/>
          <w:u w:val="none"/>
        </w:rPr>
        <w:t>包人递交的关于任何变更的估价或报价应包括相应变更的工程量计算；计算书应具有充分的可追溯性，用于计算的原始数字仅能来源于有关设计人确认的图纸、发包人确认的签证、招投标文件的技术说明中的约定；计算书应注明计算所依据的图纸、签证或其他文件的编号、发生的区段位置（轴线和标高）、构件或房间号等索引信息，且应写明算术运算的过程，以便监理人及发包人能方便和快捷地根据合同文件进行追溯校核；变更工程量计算书和报价书的格式需经过监理人及发包人的审批。如果监理人或发包人要求，</w:t>
      </w:r>
      <w:r>
        <w:rPr>
          <w:rFonts w:hint="eastAsia" w:ascii="宋体" w:hAnsi="宋体"/>
          <w:bCs/>
          <w:snapToGrid w:val="0"/>
          <w:kern w:val="0"/>
          <w:szCs w:val="28"/>
          <w:highlight w:val="none"/>
          <w:u w:val="none"/>
          <w:lang w:eastAsia="zh-CN"/>
        </w:rPr>
        <w:t>承</w:t>
      </w:r>
      <w:r>
        <w:rPr>
          <w:rFonts w:hint="eastAsia" w:ascii="宋体" w:hAnsi="宋体"/>
          <w:bCs/>
          <w:snapToGrid w:val="0"/>
          <w:kern w:val="0"/>
          <w:szCs w:val="28"/>
          <w:highlight w:val="none"/>
          <w:u w:val="none"/>
        </w:rPr>
        <w:t>包人应确保其工程量计算人员在要求的任何合理时间就其工程量计算的过程、计算书和价格组成明细等向监理人或发包人作必要解释，以确保变更计量和计价工作的及时性和准确性。</w:t>
      </w:r>
    </w:p>
    <w:p w14:paraId="3FA49214">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2）经监理人和发包人确认增加的工程变更价款作为追加合同价款，施工完成且完成核价后，按工程进度款的付款比例与工程款同期支付。</w:t>
      </w:r>
    </w:p>
    <w:p w14:paraId="7384A3F3">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3）</w:t>
      </w:r>
      <w:r>
        <w:rPr>
          <w:rFonts w:hint="eastAsia" w:ascii="宋体" w:hAnsi="宋体"/>
          <w:bCs/>
          <w:snapToGrid w:val="0"/>
          <w:kern w:val="0"/>
          <w:szCs w:val="28"/>
          <w:highlight w:val="none"/>
          <w:u w:val="none"/>
          <w:lang w:eastAsia="zh-CN"/>
        </w:rPr>
        <w:t>承</w:t>
      </w:r>
      <w:r>
        <w:rPr>
          <w:rFonts w:hint="eastAsia" w:ascii="宋体" w:hAnsi="宋体"/>
          <w:bCs/>
          <w:snapToGrid w:val="0"/>
          <w:kern w:val="0"/>
          <w:szCs w:val="28"/>
          <w:highlight w:val="none"/>
          <w:u w:val="none"/>
        </w:rPr>
        <w:t>包人对图纸的不明确部分做出的任何澄清、明确和确认（除设计技术漏项外）不属于变更，发包人不再增补任何费用。</w:t>
      </w:r>
    </w:p>
    <w:p w14:paraId="1E08CBDD">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4）深化设计内容不属于变更。</w:t>
      </w:r>
    </w:p>
    <w:p w14:paraId="6775E3EE">
      <w:pPr>
        <w:adjustRightInd w:val="0"/>
        <w:snapToGrid w:val="0"/>
        <w:spacing w:line="360" w:lineRule="auto"/>
        <w:ind w:firstLine="420" w:firstLineChars="200"/>
        <w:jc w:val="left"/>
        <w:outlineLvl w:val="3"/>
        <w:rPr>
          <w:rFonts w:hint="eastAsia" w:ascii="宋体" w:hAnsi="宋体"/>
          <w:bCs/>
          <w:snapToGrid w:val="0"/>
          <w:kern w:val="0"/>
          <w:szCs w:val="28"/>
          <w:highlight w:val="none"/>
          <w:u w:val="none"/>
        </w:rPr>
      </w:pPr>
      <w:r>
        <w:rPr>
          <w:rFonts w:hint="eastAsia" w:ascii="宋体" w:hAnsi="宋体"/>
          <w:bCs/>
          <w:snapToGrid w:val="0"/>
          <w:kern w:val="0"/>
          <w:szCs w:val="28"/>
          <w:highlight w:val="none"/>
          <w:u w:val="none"/>
        </w:rPr>
        <w:t>5）工程签证的资料要求：工程签证申报资料包括具有发包人签字盖章的《工程指令单》、《工程签证申请表》、《工程签证现场收方单》、《工程签证确认表》（须附上竣工图及验收单（如有））等。签证资料需体现签证原因、内容、数量、部位、日期、费用等，并附相应的图纸、会议纪要、工程音像资料、工程量计算书、费用计算书等支持材料，如资料不全，工程造价增加的视为分包人放弃此项权利，工程造价减少的按实结算扣除。</w:t>
      </w:r>
    </w:p>
    <w:p w14:paraId="7EE251BD">
      <w:pPr>
        <w:adjustRightInd w:val="0"/>
        <w:snapToGrid w:val="0"/>
        <w:spacing w:line="360" w:lineRule="auto"/>
        <w:ind w:firstLine="420" w:firstLineChars="200"/>
        <w:jc w:val="left"/>
        <w:rPr>
          <w:rFonts w:ascii="Times New Roman" w:hAnsi="Times New Roman"/>
          <w:szCs w:val="24"/>
          <w:highlight w:val="none"/>
          <w:u w:val="none"/>
        </w:rPr>
      </w:pPr>
      <w:r>
        <w:rPr>
          <w:rFonts w:hint="eastAsia" w:ascii="宋体" w:hAnsi="宋体"/>
          <w:bCs/>
          <w:snapToGrid w:val="0"/>
          <w:kern w:val="0"/>
          <w:szCs w:val="28"/>
          <w:highlight w:val="none"/>
          <w:u w:val="none"/>
        </w:rPr>
        <w:t>6）工程签证的时限要求：施工中发生的应由发包人承担责任的签证，</w:t>
      </w:r>
      <w:r>
        <w:rPr>
          <w:rFonts w:hint="eastAsia" w:ascii="宋体" w:hAnsi="宋体"/>
          <w:bCs/>
          <w:snapToGrid w:val="0"/>
          <w:kern w:val="0"/>
          <w:szCs w:val="28"/>
          <w:highlight w:val="none"/>
          <w:u w:val="none"/>
          <w:lang w:eastAsia="zh-CN"/>
        </w:rPr>
        <w:t>承</w:t>
      </w:r>
      <w:r>
        <w:rPr>
          <w:rFonts w:hint="eastAsia" w:ascii="宋体" w:hAnsi="宋体"/>
          <w:bCs/>
          <w:snapToGrid w:val="0"/>
          <w:kern w:val="0"/>
          <w:szCs w:val="28"/>
          <w:highlight w:val="none"/>
          <w:u w:val="none"/>
        </w:rPr>
        <w:t>包人应在工程签证执行前提出工程签证申请，经监理人和发包人签章同意后实施，并报一式伍份签证单原件交发包人备案。签证手续不完整的，发包人不予认可，不能作为结算依据；对不能做到事前控制，同时又必须立即执行，而且延缓实施会造成更大损失的紧急的工程签证，项目以书面通知或指令的形式指示施工单位现场实施。项目公司在施工开始后，把完成签章手续后的《工程签证申请表》补发给施工单位；对于引起合同金额减少的工程签证，</w:t>
      </w:r>
      <w:r>
        <w:rPr>
          <w:rFonts w:hint="eastAsia" w:ascii="宋体" w:hAnsi="宋体"/>
          <w:bCs/>
          <w:snapToGrid w:val="0"/>
          <w:kern w:val="0"/>
          <w:szCs w:val="28"/>
          <w:highlight w:val="none"/>
          <w:u w:val="none"/>
          <w:lang w:eastAsia="zh-CN"/>
        </w:rPr>
        <w:t>承</w:t>
      </w:r>
      <w:r>
        <w:rPr>
          <w:rFonts w:hint="eastAsia" w:ascii="宋体" w:hAnsi="宋体"/>
          <w:bCs/>
          <w:snapToGrid w:val="0"/>
          <w:kern w:val="0"/>
          <w:szCs w:val="28"/>
          <w:highlight w:val="none"/>
          <w:u w:val="none"/>
        </w:rPr>
        <w:t>包人未按要求上报的，除按核定价扣减造价外，另外</w:t>
      </w:r>
      <w:r>
        <w:rPr>
          <w:rFonts w:hint="eastAsia" w:ascii="宋体" w:hAnsi="宋体"/>
          <w:bCs/>
          <w:snapToGrid w:val="0"/>
          <w:kern w:val="0"/>
          <w:szCs w:val="28"/>
          <w:highlight w:val="none"/>
          <w:u w:val="none"/>
          <w:lang w:eastAsia="zh-CN"/>
        </w:rPr>
        <w:t>承</w:t>
      </w:r>
      <w:r>
        <w:rPr>
          <w:rFonts w:hint="eastAsia" w:ascii="宋体" w:hAnsi="宋体"/>
          <w:bCs/>
          <w:snapToGrid w:val="0"/>
          <w:kern w:val="0"/>
          <w:szCs w:val="28"/>
          <w:highlight w:val="none"/>
          <w:u w:val="none"/>
        </w:rPr>
        <w:t>包人须承担该部分造价的10%作为违约金并从</w:t>
      </w:r>
      <w:r>
        <w:rPr>
          <w:rFonts w:hint="eastAsia" w:ascii="宋体" w:hAnsi="宋体"/>
          <w:bCs/>
          <w:snapToGrid w:val="0"/>
          <w:kern w:val="0"/>
          <w:szCs w:val="28"/>
          <w:highlight w:val="none"/>
          <w:u w:val="none"/>
          <w:lang w:eastAsia="zh-CN"/>
        </w:rPr>
        <w:t>承</w:t>
      </w:r>
      <w:r>
        <w:rPr>
          <w:rFonts w:hint="eastAsia" w:ascii="宋体" w:hAnsi="宋体"/>
          <w:bCs/>
          <w:snapToGrid w:val="0"/>
          <w:kern w:val="0"/>
          <w:szCs w:val="28"/>
          <w:highlight w:val="none"/>
          <w:u w:val="none"/>
        </w:rPr>
        <w:t>包人的结算款中扣除。签证事件完成后，</w:t>
      </w:r>
      <w:r>
        <w:rPr>
          <w:rFonts w:hint="eastAsia" w:ascii="宋体" w:hAnsi="宋体"/>
          <w:bCs/>
          <w:snapToGrid w:val="0"/>
          <w:kern w:val="0"/>
          <w:szCs w:val="28"/>
          <w:highlight w:val="none"/>
          <w:u w:val="none"/>
          <w:lang w:eastAsia="zh-CN"/>
        </w:rPr>
        <w:t>承</w:t>
      </w:r>
      <w:r>
        <w:rPr>
          <w:rFonts w:hint="eastAsia" w:ascii="宋体" w:hAnsi="宋体"/>
          <w:bCs/>
          <w:snapToGrid w:val="0"/>
          <w:kern w:val="0"/>
          <w:szCs w:val="28"/>
          <w:highlight w:val="none"/>
          <w:u w:val="none"/>
        </w:rPr>
        <w:t>包人应在2天内通知现场监理，由监理、发包人工程安全部人员进行施工情况的检查、验收（属于隐蔽工程的，应在部位隐蔽前进行工程量的现场确认），并及时填写《工程签证现场收方单》；</w:t>
      </w:r>
      <w:r>
        <w:rPr>
          <w:rFonts w:hint="eastAsia" w:ascii="宋体" w:hAnsi="宋体"/>
          <w:bCs/>
          <w:snapToGrid w:val="0"/>
          <w:kern w:val="0"/>
          <w:szCs w:val="28"/>
          <w:highlight w:val="none"/>
          <w:u w:val="none"/>
          <w:lang w:eastAsia="zh-CN"/>
        </w:rPr>
        <w:t>承</w:t>
      </w:r>
      <w:r>
        <w:rPr>
          <w:rFonts w:hint="eastAsia" w:ascii="宋体" w:hAnsi="宋体"/>
          <w:bCs/>
          <w:snapToGrid w:val="0"/>
          <w:kern w:val="0"/>
          <w:szCs w:val="28"/>
          <w:highlight w:val="none"/>
          <w:u w:val="none"/>
        </w:rPr>
        <w:t>包人必须在施工完成及验收后15天内向监理单位提供《工程签证确认表》并附完善的支持材料；另，</w:t>
      </w:r>
      <w:r>
        <w:rPr>
          <w:rFonts w:hint="eastAsia" w:ascii="宋体" w:hAnsi="宋体"/>
          <w:bCs/>
          <w:snapToGrid w:val="0"/>
          <w:kern w:val="0"/>
          <w:szCs w:val="28"/>
          <w:highlight w:val="none"/>
          <w:u w:val="none"/>
          <w:lang w:eastAsia="zh-CN"/>
        </w:rPr>
        <w:t>承</w:t>
      </w:r>
      <w:r>
        <w:rPr>
          <w:rFonts w:hint="eastAsia" w:ascii="宋体" w:hAnsi="宋体"/>
          <w:bCs/>
          <w:snapToGrid w:val="0"/>
          <w:kern w:val="0"/>
          <w:szCs w:val="28"/>
          <w:highlight w:val="none"/>
          <w:u w:val="none"/>
        </w:rPr>
        <w:t>包人须在收到变更签证资料后20天内按要求提交《工程核价申请单》及成本核价资料</w:t>
      </w:r>
      <w:r>
        <w:rPr>
          <w:rFonts w:hint="eastAsia" w:ascii="Times New Roman" w:hAnsi="Times New Roman"/>
          <w:szCs w:val="24"/>
          <w:highlight w:val="none"/>
          <w:u w:val="none"/>
        </w:rPr>
        <w:t>。</w:t>
      </w:r>
    </w:p>
    <w:p w14:paraId="399604A4">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15.3. 承包人的合理化建议</w:t>
      </w:r>
    </w:p>
    <w:p w14:paraId="37666852">
      <w:pPr>
        <w:adjustRightInd w:val="0"/>
        <w:snapToGrid w:val="0"/>
        <w:spacing w:line="360" w:lineRule="auto"/>
        <w:ind w:firstLine="420" w:firstLineChars="200"/>
        <w:jc w:val="left"/>
        <w:rPr>
          <w:rFonts w:ascii="Times New Roman" w:hAnsi="Times New Roman"/>
          <w:szCs w:val="24"/>
          <w:highlight w:val="none"/>
        </w:rPr>
      </w:pPr>
      <w:r>
        <w:rPr>
          <w:rFonts w:hint="eastAsia" w:ascii="Times New Roman" w:hAnsi="Times New Roman"/>
          <w:szCs w:val="24"/>
          <w:highlight w:val="none"/>
        </w:rPr>
        <w:t>15.3.3. 承包人提出的合理化建议：</w:t>
      </w:r>
    </w:p>
    <w:p w14:paraId="78AE2EC6">
      <w:pPr>
        <w:adjustRightInd w:val="0"/>
        <w:snapToGrid w:val="0"/>
        <w:spacing w:line="360" w:lineRule="auto"/>
        <w:ind w:firstLine="420" w:firstLineChars="200"/>
        <w:jc w:val="left"/>
        <w:rPr>
          <w:rFonts w:ascii="Times New Roman" w:hAnsi="Times New Roman"/>
          <w:szCs w:val="24"/>
          <w:highlight w:val="none"/>
        </w:rPr>
      </w:pPr>
      <w:r>
        <w:rPr>
          <w:rFonts w:hint="eastAsia" w:ascii="Times New Roman" w:hAnsi="Times New Roman"/>
          <w:szCs w:val="24"/>
          <w:highlight w:val="none"/>
        </w:rPr>
        <w:t>1）经发包人组织评审，承包人的合理化建议能有效缩短合同工期且承包人不因此向发包人主张增加本合同价款的，应优先考虑采纳。</w:t>
      </w:r>
    </w:p>
    <w:p w14:paraId="21450D56">
      <w:pPr>
        <w:adjustRightInd w:val="0"/>
        <w:snapToGrid w:val="0"/>
        <w:spacing w:line="360" w:lineRule="auto"/>
        <w:ind w:firstLine="420" w:firstLineChars="200"/>
        <w:jc w:val="left"/>
        <w:rPr>
          <w:rFonts w:ascii="Times New Roman" w:hAnsi="Times New Roman"/>
          <w:szCs w:val="24"/>
          <w:highlight w:val="none"/>
        </w:rPr>
      </w:pPr>
      <w:r>
        <w:rPr>
          <w:rFonts w:hint="eastAsia" w:ascii="Times New Roman" w:hAnsi="Times New Roman"/>
          <w:szCs w:val="24"/>
          <w:highlight w:val="none"/>
        </w:rPr>
        <w:t>2）经发包人组织评审，承包人的合理化建议能有效缩短合同工期且降低发包人投资成本的，应优先考虑采纳。</w:t>
      </w:r>
    </w:p>
    <w:p w14:paraId="085D0D55">
      <w:pPr>
        <w:adjustRightInd w:val="0"/>
        <w:snapToGrid w:val="0"/>
        <w:spacing w:line="360" w:lineRule="auto"/>
        <w:ind w:firstLine="420" w:firstLineChars="200"/>
        <w:jc w:val="left"/>
        <w:rPr>
          <w:rFonts w:ascii="Times New Roman" w:hAnsi="Times New Roman"/>
          <w:strike/>
          <w:szCs w:val="24"/>
          <w:highlight w:val="none"/>
        </w:rPr>
      </w:pPr>
      <w:r>
        <w:rPr>
          <w:rFonts w:hint="eastAsia" w:ascii="Times New Roman" w:hAnsi="Times New Roman"/>
          <w:szCs w:val="24"/>
          <w:highlight w:val="none"/>
        </w:rPr>
        <w:t>3）承包人提出的合理化建议对发包人投资收益影响因素，应分别从本合同工期、质量、安全、成本等多维度综合考虑，并结合优化建议对建设项目全专业、全过程（施工、预售、竣工、移交、销售或运营维保等）的影响，进行科学、客观的综合评定；仅对某分部分项工程、单一专业工程、特定建设阶段进行的评定结果不能作为投资收益依据；承包人有义务在提出合理化建议时，同时按以上要求提交合理化建议对项目建设的影响分析报告。</w:t>
      </w:r>
    </w:p>
    <w:p w14:paraId="1C408A50">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15.4. 不予办理变更或签证的情形</w:t>
      </w:r>
    </w:p>
    <w:p w14:paraId="609678A9">
      <w:pPr>
        <w:adjustRightInd w:val="0"/>
        <w:snapToGrid w:val="0"/>
        <w:spacing w:line="360" w:lineRule="auto"/>
        <w:ind w:firstLine="420" w:firstLineChars="200"/>
        <w:jc w:val="left"/>
        <w:rPr>
          <w:rFonts w:ascii="Times New Roman" w:hAnsi="Times New Roman"/>
          <w:szCs w:val="24"/>
          <w:highlight w:val="none"/>
        </w:rPr>
      </w:pPr>
      <w:r>
        <w:rPr>
          <w:rFonts w:hint="eastAsia" w:ascii="Times New Roman" w:hAnsi="Times New Roman"/>
          <w:szCs w:val="24"/>
          <w:highlight w:val="none"/>
        </w:rPr>
        <w:t>下列情形的工作内容不予办理变更或签证：</w:t>
      </w:r>
    </w:p>
    <w:p w14:paraId="344373A1">
      <w:pPr>
        <w:adjustRightInd w:val="0"/>
        <w:snapToGrid w:val="0"/>
        <w:spacing w:line="360" w:lineRule="auto"/>
        <w:ind w:firstLine="420" w:firstLineChars="200"/>
        <w:jc w:val="left"/>
        <w:rPr>
          <w:rFonts w:ascii="Times New Roman" w:hAnsi="Times New Roman"/>
          <w:szCs w:val="24"/>
          <w:highlight w:val="none"/>
        </w:rPr>
      </w:pPr>
      <w:r>
        <w:rPr>
          <w:rFonts w:hint="eastAsia" w:ascii="Times New Roman" w:hAnsi="Times New Roman"/>
          <w:szCs w:val="24"/>
          <w:highlight w:val="none"/>
        </w:rPr>
        <w:t>1）招标文件及施工合同约定或已包括在合同价款内应由承包人自行承担的；</w:t>
      </w:r>
    </w:p>
    <w:p w14:paraId="0C39910E">
      <w:pPr>
        <w:adjustRightInd w:val="0"/>
        <w:snapToGrid w:val="0"/>
        <w:spacing w:line="360" w:lineRule="auto"/>
        <w:ind w:firstLine="420" w:firstLineChars="200"/>
        <w:jc w:val="left"/>
        <w:rPr>
          <w:rFonts w:ascii="Times New Roman" w:hAnsi="Times New Roman"/>
          <w:szCs w:val="24"/>
          <w:highlight w:val="none"/>
        </w:rPr>
      </w:pPr>
      <w:r>
        <w:rPr>
          <w:rFonts w:hint="eastAsia" w:ascii="Times New Roman" w:hAnsi="Times New Roman"/>
          <w:szCs w:val="24"/>
          <w:highlight w:val="none"/>
        </w:rPr>
        <w:t>2）承包人在投标文件中承诺自行承担的或投标时应预见的风险；</w:t>
      </w:r>
    </w:p>
    <w:p w14:paraId="1F6E087E">
      <w:pPr>
        <w:adjustRightInd w:val="0"/>
        <w:snapToGrid w:val="0"/>
        <w:spacing w:line="360" w:lineRule="auto"/>
        <w:ind w:firstLine="420" w:firstLineChars="200"/>
        <w:jc w:val="left"/>
        <w:rPr>
          <w:rFonts w:ascii="Times New Roman" w:hAnsi="Times New Roman"/>
          <w:szCs w:val="24"/>
          <w:highlight w:val="none"/>
        </w:rPr>
      </w:pPr>
      <w:r>
        <w:rPr>
          <w:rFonts w:hint="eastAsia" w:ascii="Times New Roman" w:hAnsi="Times New Roman"/>
          <w:szCs w:val="24"/>
          <w:highlight w:val="none"/>
        </w:rPr>
        <w:t>3）非发包人原因，承包人为了便于组织施工需采取的技术措施的变更或临时工程的变更；</w:t>
      </w:r>
    </w:p>
    <w:p w14:paraId="30074332">
      <w:pPr>
        <w:adjustRightInd w:val="0"/>
        <w:snapToGrid w:val="0"/>
        <w:spacing w:line="360" w:lineRule="auto"/>
        <w:ind w:firstLine="420" w:firstLineChars="200"/>
        <w:jc w:val="left"/>
        <w:rPr>
          <w:rFonts w:ascii="Times New Roman" w:hAnsi="Times New Roman"/>
          <w:szCs w:val="24"/>
          <w:highlight w:val="none"/>
        </w:rPr>
      </w:pPr>
      <w:r>
        <w:rPr>
          <w:rFonts w:hint="eastAsia" w:ascii="Times New Roman" w:hAnsi="Times New Roman"/>
          <w:szCs w:val="24"/>
          <w:highlight w:val="none"/>
        </w:rPr>
        <w:t>4）非发包人原因，承包人为了施工安全、避免干扰等原因需采取技术措施的变更或临时工程的变更；</w:t>
      </w:r>
    </w:p>
    <w:p w14:paraId="1025F70C">
      <w:pPr>
        <w:adjustRightInd w:val="0"/>
        <w:snapToGrid w:val="0"/>
        <w:spacing w:line="360" w:lineRule="auto"/>
        <w:ind w:firstLine="420" w:firstLineChars="200"/>
        <w:jc w:val="left"/>
        <w:rPr>
          <w:rFonts w:ascii="Times New Roman" w:hAnsi="Times New Roman"/>
          <w:szCs w:val="24"/>
          <w:highlight w:val="none"/>
        </w:rPr>
      </w:pPr>
      <w:r>
        <w:rPr>
          <w:rFonts w:hint="eastAsia" w:ascii="Times New Roman" w:hAnsi="Times New Roman"/>
          <w:szCs w:val="24"/>
          <w:highlight w:val="none"/>
        </w:rPr>
        <w:t>5）由承包人责任造成的工程量增加；</w:t>
      </w:r>
    </w:p>
    <w:p w14:paraId="4ED728A7">
      <w:pPr>
        <w:adjustRightInd w:val="0"/>
        <w:snapToGrid w:val="0"/>
        <w:spacing w:line="360" w:lineRule="auto"/>
        <w:ind w:firstLine="420" w:firstLineChars="200"/>
        <w:jc w:val="left"/>
        <w:rPr>
          <w:rFonts w:ascii="Times New Roman" w:hAnsi="Times New Roman"/>
          <w:szCs w:val="24"/>
          <w:highlight w:val="none"/>
        </w:rPr>
      </w:pPr>
      <w:r>
        <w:rPr>
          <w:rFonts w:hint="eastAsia" w:ascii="Times New Roman" w:hAnsi="Times New Roman"/>
          <w:szCs w:val="24"/>
          <w:highlight w:val="none"/>
        </w:rPr>
        <w:t>6）法律、法规、规章规定不能办理的。</w:t>
      </w:r>
    </w:p>
    <w:p w14:paraId="1CE7AC6C">
      <w:pPr>
        <w:keepNext/>
        <w:keepLines/>
        <w:numPr>
          <w:ilvl w:val="0"/>
          <w:numId w:val="4"/>
        </w:numPr>
        <w:adjustRightInd w:val="0"/>
        <w:snapToGrid w:val="0"/>
        <w:spacing w:line="360" w:lineRule="auto"/>
        <w:outlineLvl w:val="0"/>
        <w:rPr>
          <w:rFonts w:ascii="宋体" w:hAnsi="宋体"/>
          <w:b/>
          <w:bCs/>
          <w:kern w:val="44"/>
          <w:sz w:val="28"/>
          <w:szCs w:val="44"/>
          <w:highlight w:val="none"/>
        </w:rPr>
      </w:pPr>
      <w:bookmarkStart w:id="462" w:name="_Toc350865580"/>
      <w:bookmarkStart w:id="463" w:name="_Toc15757"/>
      <w:bookmarkStart w:id="464" w:name="_Toc27537"/>
      <w:bookmarkStart w:id="465" w:name="_Toc350865218"/>
      <w:bookmarkStart w:id="466" w:name="_Toc6977"/>
      <w:bookmarkStart w:id="467" w:name="_Toc3952"/>
      <w:bookmarkStart w:id="468" w:name="_Toc167975590"/>
      <w:bookmarkStart w:id="469" w:name="_Toc25835"/>
      <w:bookmarkStart w:id="470" w:name="_Toc27366"/>
      <w:bookmarkStart w:id="471" w:name="_Toc28072"/>
      <w:bookmarkStart w:id="472" w:name="_Toc427331251"/>
      <w:bookmarkStart w:id="473" w:name="_Toc10322"/>
      <w:bookmarkStart w:id="474" w:name="_Toc3521"/>
      <w:bookmarkStart w:id="475" w:name="_Toc24240"/>
      <w:bookmarkStart w:id="476" w:name="_Toc3232"/>
      <w:bookmarkStart w:id="477" w:name="_Toc10975"/>
      <w:bookmarkStart w:id="478" w:name="_Toc167701665"/>
      <w:bookmarkStart w:id="479" w:name="_Toc6542"/>
      <w:bookmarkStart w:id="480" w:name="_Toc24548"/>
      <w:bookmarkStart w:id="481" w:name="_Toc17484"/>
      <w:bookmarkStart w:id="482" w:name="_Toc18374"/>
      <w:bookmarkStart w:id="483" w:name="_Toc15548"/>
      <w:bookmarkStart w:id="484" w:name="_Toc28638"/>
      <w:bookmarkStart w:id="485" w:name="_Toc167701766"/>
      <w:bookmarkStart w:id="486" w:name="_Toc20103"/>
      <w:bookmarkStart w:id="487" w:name="_Toc7134"/>
      <w:r>
        <w:rPr>
          <w:rFonts w:hint="eastAsia" w:ascii="宋体" w:hAnsi="宋体"/>
          <w:b/>
          <w:bCs/>
          <w:kern w:val="44"/>
          <w:sz w:val="28"/>
          <w:szCs w:val="44"/>
          <w:highlight w:val="none"/>
        </w:rPr>
        <w:t>价格调整</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0E2EAD56">
      <w:pPr>
        <w:numPr>
          <w:ilvl w:val="1"/>
          <w:numId w:val="0"/>
        </w:numPr>
        <w:autoSpaceDE/>
        <w:autoSpaceDN/>
        <w:adjustRightInd w:val="0"/>
        <w:snapToGrid w:val="0"/>
        <w:spacing w:line="360" w:lineRule="auto"/>
        <w:ind w:firstLine="0" w:firstLineChars="0"/>
        <w:jc w:val="left"/>
        <w:outlineLvl w:val="1"/>
        <w:rPr>
          <w:rFonts w:ascii="宋体" w:hAnsi="宋体" w:cs="宋体"/>
          <w:szCs w:val="24"/>
          <w:highlight w:val="none"/>
        </w:rPr>
      </w:pPr>
      <w:r>
        <w:rPr>
          <w:rFonts w:hint="eastAsia" w:ascii="宋体" w:hAnsi="宋体"/>
          <w:b/>
          <w:bCs/>
          <w:kern w:val="0"/>
          <w:szCs w:val="21"/>
          <w:highlight w:val="none"/>
        </w:rPr>
        <w:t>16.1物价波动引起的价格调整</w:t>
      </w:r>
    </w:p>
    <w:p w14:paraId="4282B4E7">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16.1.1允许调整价格的材料：</w:t>
      </w:r>
    </w:p>
    <w:p w14:paraId="522C7730">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玻璃：仅“玻璃”可调差，表面处理及加工制作等费用（LOW-E镀膜增加费、中空处理、夹胶处理、暖边处理、充氩气、单面磨砂等）均不做调整。</w:t>
      </w:r>
    </w:p>
    <w:p w14:paraId="40228A3E">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铝型材：仅“铝锭”可调差，加工、制作、喷涂等费用均不予调差。</w:t>
      </w:r>
    </w:p>
    <w:p w14:paraId="4A07A344">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szCs w:val="24"/>
          <w:highlight w:val="none"/>
        </w:rPr>
        <w:t>铝板：仅“铝单板”可调差，加工、制作、喷涂等费用均不予调差。（备注：仿石合金钢板、蜂窝铝板不在调差范围内）</w:t>
      </w:r>
    </w:p>
    <w:p w14:paraId="7E1C9328">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其他材料、人工及机械等的涨跌风险费用已包含在本合同暂定价款内，不因物价涨跌因素而调整合同价款。调整价差仅计取增值税税金，不计管理费、利润等；投标报价时采用独立费计价方式的子目（即未按定额计价标准套用对应定额的子目），不适用以下调价方法。</w:t>
      </w:r>
    </w:p>
    <w:p w14:paraId="09D491E9">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16.1.2. 价格调整幅度及风险分担：</w:t>
      </w:r>
    </w:p>
    <w:p w14:paraId="3E5C55FD">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当施工期信息价与基准价相比，涨跌幅度在±5%（含本数）以内时，价格涨跌风险</w:t>
      </w:r>
      <w:r>
        <w:rPr>
          <w:rFonts w:hint="eastAsia" w:ascii="Times New Roman" w:hAnsi="Times New Roman"/>
          <w:kern w:val="2"/>
          <w:szCs w:val="24"/>
          <w:highlight w:val="none"/>
          <w:lang w:eastAsia="zh-CN"/>
        </w:rPr>
        <w:t>发承</w:t>
      </w:r>
      <w:r>
        <w:rPr>
          <w:rFonts w:hint="eastAsia" w:ascii="Times New Roman" w:hAnsi="Times New Roman" w:eastAsia="宋体"/>
          <w:kern w:val="2"/>
          <w:szCs w:val="24"/>
          <w:highlight w:val="none"/>
        </w:rPr>
        <w:t>包双方各自承担，合同价格不予调整；当涨跌幅度在±5%（不含本数）以外时，超过±5%的价格涨跌风险由</w:t>
      </w:r>
      <w:r>
        <w:rPr>
          <w:rFonts w:hint="eastAsia" w:ascii="Times New Roman" w:hAnsi="Times New Roman"/>
          <w:kern w:val="2"/>
          <w:szCs w:val="24"/>
          <w:highlight w:val="none"/>
          <w:lang w:eastAsia="zh-CN"/>
        </w:rPr>
        <w:t>发</w:t>
      </w:r>
      <w:r>
        <w:rPr>
          <w:rFonts w:hint="eastAsia" w:ascii="Times New Roman" w:hAnsi="Times New Roman" w:eastAsia="宋体"/>
          <w:kern w:val="2"/>
          <w:szCs w:val="24"/>
          <w:highlight w:val="none"/>
        </w:rPr>
        <w:t>包人承担。合同价格调整额按专用条款16.1.4价格调整公式计算。</w:t>
      </w:r>
    </w:p>
    <w:p w14:paraId="34820908">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16.1.3.价格调整方法</w:t>
      </w:r>
    </w:p>
    <w:p w14:paraId="06258BFA">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（1）信息价、基准期、基准价、施工期信息价及价格调整基数</w:t>
      </w:r>
    </w:p>
    <w:p w14:paraId="07A21D0B">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 xml:space="preserve">  信息价：本合同中的“信息价”是指广州市建设工程造价管理站发布的“**年**月份广州建设工程价格信息及有关计价办法的通知”中的材料税前综合价格，其中“玻璃”、“铝板”按照中“广州地区建设工程常用材料税前综合价格”中对应的材料税前综合价格，“铝锭”按照“广州市部分原材料、材料市场价格信息”中的材料税前综合价格。</w:t>
      </w:r>
    </w:p>
    <w:p w14:paraId="46FA7E25">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基准期：为</w:t>
      </w:r>
      <w:r>
        <w:rPr>
          <w:rFonts w:hint="eastAsia" w:ascii="Times New Roman" w:hAnsi="Times New Roman"/>
          <w:szCs w:val="24"/>
          <w:highlight w:val="none"/>
        </w:rPr>
        <w:t>2025年4</w:t>
      </w:r>
      <w:r>
        <w:rPr>
          <w:rFonts w:hint="eastAsia" w:ascii="Times New Roman" w:hAnsi="Times New Roman" w:eastAsia="宋体"/>
          <w:kern w:val="2"/>
          <w:szCs w:val="24"/>
          <w:highlight w:val="none"/>
        </w:rPr>
        <w:t>月，当信息价按季度发布的，基准期相应调整为季度。</w:t>
      </w:r>
    </w:p>
    <w:p w14:paraId="62FB29BC">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基准价：基准价为调价材料基准期的不含税信息价。</w:t>
      </w:r>
    </w:p>
    <w:p w14:paraId="6968118A">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施工期信息价：调价材料施工期的不含税信息价，施工期跨调价周期的取各调价周期的不含税信息价的算术平均价格。</w:t>
      </w:r>
    </w:p>
    <w:p w14:paraId="7FBBC36F">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调价材料的价格调整基数：取可调差材料对应的基准期的不含税信息价。</w:t>
      </w:r>
    </w:p>
    <w:p w14:paraId="49AFB564">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（2）调价材料工程量的计量原则：玻璃、铝型材、铝板的调差工程量以清单工程量及合同清单中对应</w:t>
      </w:r>
      <w:r>
        <w:rPr>
          <w:rFonts w:hint="eastAsia" w:ascii="Times New Roman" w:hAnsi="Times New Roman"/>
          <w:kern w:val="2"/>
          <w:szCs w:val="24"/>
          <w:highlight w:val="none"/>
          <w:lang w:val="en-US" w:eastAsia="zh-CN"/>
        </w:rPr>
        <w:t>子目</w:t>
      </w:r>
      <w:r>
        <w:rPr>
          <w:rFonts w:hint="eastAsia" w:ascii="Times New Roman" w:hAnsi="Times New Roman" w:eastAsia="宋体"/>
          <w:kern w:val="2"/>
          <w:szCs w:val="24"/>
          <w:highlight w:val="none"/>
        </w:rPr>
        <w:t>的消耗量为计算基础，如按合同清单消耗量计算的调差工程量超出按图纸计算的理论消耗量（含按18广东定额计算的损耗），则按理论消耗量计算。</w:t>
      </w:r>
    </w:p>
    <w:p w14:paraId="5053257A">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价格调整计量区间内各调价周期汇总工程量与经发包人确认的竣工结算工程量有差异的，差异工程量执行实际竣工前最后一个价格调整计量周期的价格涨跌幅调整标准，在竣工结算时一并调整。</w:t>
      </w:r>
    </w:p>
    <w:p w14:paraId="229DB96D">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16.1.4 价格调整公式：</w:t>
      </w:r>
    </w:p>
    <w:p w14:paraId="558AEE14">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（1）玻璃按如下方式调差</w:t>
      </w:r>
    </w:p>
    <w:p w14:paraId="730BEC59">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涨价时：调整价差=【（施工期信息价-基准价）/基准价-5%】×价格调整基数×调价材料工程量×（1+增值税税率）</w:t>
      </w:r>
    </w:p>
    <w:p w14:paraId="472BB610">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降价时：调整价差=【（施工期信息价-基准价）/基准价+5%】×价格调整基数×调价材料工程量×（1+增值税税率）</w:t>
      </w:r>
    </w:p>
    <w:p w14:paraId="2FE0CF37">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备注：玻璃价格调整按各种厚度的玻璃不含税信息价计取（中空、夹胶玻璃的各层玻璃分别调差），</w:t>
      </w:r>
    </w:p>
    <w:p w14:paraId="314AC951">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例如：调价材料“8超白钢化双银Low-E+12AR+8超白钢化（中空玻璃）”涨价时，材料调差计算方式如下：</w:t>
      </w:r>
    </w:p>
    <w:p w14:paraId="7129A96F">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施工期信息价：钢化玻璃8mm白玻A</w:t>
      </w:r>
    </w:p>
    <w:p w14:paraId="393D6676">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基准价：钢化玻璃8mm白玻B</w:t>
      </w:r>
    </w:p>
    <w:p w14:paraId="633991C6">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价格调整基数：即钢化玻璃8mm白玻的基准价B</w:t>
      </w:r>
    </w:p>
    <w:p w14:paraId="5CBAAE09">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调价材料工程量：即按合同专用条款16.1.3（2）计算的工程量C</w:t>
      </w:r>
    </w:p>
    <w:p w14:paraId="01328F91">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szCs w:val="24"/>
          <w:highlight w:val="none"/>
        </w:rPr>
        <w:t>则调整价差=【（A-B）/B-5%】×B×C×（1+增值税税率）*2</w:t>
      </w:r>
    </w:p>
    <w:p w14:paraId="23F72A8A">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（2）铝型材按如下方式调差</w:t>
      </w:r>
    </w:p>
    <w:p w14:paraId="348B5C3F">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涨价时：调整价差=【（施工期信息价-基准价）/基准价-5%】×价格调整基数×调价材料工程量×（1+增值税税率）</w:t>
      </w:r>
    </w:p>
    <w:p w14:paraId="6976A5F6">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降价时：调整价差=【（施工期信息价-基准价）/基准价+5%】×价格调整基数×调价材料工程量×（1+增值税税率）</w:t>
      </w:r>
    </w:p>
    <w:p w14:paraId="6526E2FD">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备注：铝型材价格调整基数按铝锭不含税信息价计取，涨跌幅根据信息价中“铝锭A00”施工期信息价及基准价的价差计取。</w:t>
      </w:r>
    </w:p>
    <w:p w14:paraId="58A8E3C7">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（3）铝板按如下方式调差</w:t>
      </w:r>
    </w:p>
    <w:p w14:paraId="6765D3F4">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涨价时：调整价差=【（施工期信息价-基准价）/基准价-5%】×价格调整基数×调价材料工程量×（1+增值税税率）</w:t>
      </w:r>
    </w:p>
    <w:p w14:paraId="7E695573">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降价时：调整价差=【（施工期信息价-基准价）/基准价+5%】×价格调整基数×调价材料工程量×（1+增值税税率）</w:t>
      </w:r>
    </w:p>
    <w:p w14:paraId="38894D56">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备注：铝板价格调整基数按铝单板不含税信息价计取，涨跌幅根据信息价中“铝单板3mm” 施工期信息价及基准价的价差计取。若信息价中无对应厚度，则按差值换算，举例：4mm铝板不含税材料价=3mm铝板不含税信息价+（3mm铝板不含税信息价-2mm铝板不含税信息价），2.5mm铝板不含税材料价=2mm铝板不含税信息价+（3mm铝板不含税信息价-2mm铝板不含税信息价）/2。</w:t>
      </w:r>
    </w:p>
    <w:p w14:paraId="75AB8831">
      <w:pPr>
        <w:adjustRightInd w:val="0"/>
        <w:snapToGrid w:val="0"/>
        <w:spacing w:line="360" w:lineRule="auto"/>
        <w:ind w:firstLine="420" w:firstLineChars="200"/>
        <w:jc w:val="left"/>
        <w:rPr>
          <w:rFonts w:hint="eastAsia" w:ascii="Times New Roman" w:hAnsi="Times New Roman" w:eastAsia="宋体"/>
          <w:kern w:val="2"/>
          <w:szCs w:val="24"/>
          <w:highlight w:val="none"/>
        </w:rPr>
      </w:pPr>
      <w:r>
        <w:rPr>
          <w:rFonts w:hint="eastAsia" w:ascii="Times New Roman" w:hAnsi="Times New Roman" w:eastAsia="宋体"/>
          <w:kern w:val="2"/>
          <w:szCs w:val="24"/>
          <w:highlight w:val="none"/>
        </w:rPr>
        <w:t xml:space="preserve">16.1.5 </w:t>
      </w:r>
      <w:r>
        <w:rPr>
          <w:rFonts w:hint="eastAsia" w:ascii="Times New Roman" w:hAnsi="Times New Roman"/>
          <w:kern w:val="2"/>
          <w:szCs w:val="24"/>
          <w:highlight w:val="none"/>
          <w:lang w:eastAsia="zh-CN"/>
        </w:rPr>
        <w:t>承</w:t>
      </w:r>
      <w:r>
        <w:rPr>
          <w:rFonts w:hint="eastAsia" w:ascii="Times New Roman" w:hAnsi="Times New Roman" w:eastAsia="宋体"/>
          <w:kern w:val="2"/>
          <w:szCs w:val="24"/>
          <w:highlight w:val="none"/>
        </w:rPr>
        <w:t>包人原因导致的暂停施工、工期延误期间施工项目物价波动引起的全部涨价风险费用由</w:t>
      </w:r>
      <w:r>
        <w:rPr>
          <w:rFonts w:hint="eastAsia" w:ascii="Times New Roman" w:hAnsi="Times New Roman"/>
          <w:kern w:val="2"/>
          <w:szCs w:val="24"/>
          <w:highlight w:val="none"/>
          <w:lang w:eastAsia="zh-CN"/>
        </w:rPr>
        <w:t>承</w:t>
      </w:r>
      <w:r>
        <w:rPr>
          <w:rFonts w:hint="eastAsia" w:ascii="Times New Roman" w:hAnsi="Times New Roman" w:eastAsia="宋体"/>
          <w:kern w:val="2"/>
          <w:szCs w:val="24"/>
          <w:highlight w:val="none"/>
        </w:rPr>
        <w:t>包人自行承担，合同价格不予调整；该期间的全部跌价收益归承包人所有，据实调整合同价格。</w:t>
      </w:r>
    </w:p>
    <w:p w14:paraId="4777ACE4">
      <w:pPr>
        <w:numPr>
          <w:ilvl w:val="-1"/>
          <w:numId w:val="0"/>
        </w:numPr>
        <w:adjustRightInd w:val="0"/>
        <w:snapToGrid w:val="0"/>
        <w:spacing w:line="360" w:lineRule="auto"/>
        <w:ind w:firstLine="420" w:firstLineChars="200"/>
        <w:jc w:val="left"/>
        <w:outlineLvl w:val="9"/>
        <w:rPr>
          <w:rFonts w:ascii="宋体" w:hAnsi="宋体"/>
          <w:b w:val="0"/>
          <w:bCs w:val="0"/>
          <w:kern w:val="0"/>
          <w:szCs w:val="21"/>
          <w:highlight w:val="none"/>
        </w:rPr>
      </w:pPr>
      <w:r>
        <w:rPr>
          <w:rFonts w:hint="eastAsia" w:ascii="Times New Roman" w:hAnsi="Times New Roman" w:eastAsia="宋体"/>
          <w:kern w:val="2"/>
          <w:szCs w:val="24"/>
          <w:highlight w:val="none"/>
        </w:rPr>
        <w:t>16.1.6 其他约定事项：/。</w:t>
      </w:r>
    </w:p>
    <w:p w14:paraId="535B273E">
      <w:pPr>
        <w:numPr>
          <w:ilvl w:val="1"/>
          <w:numId w:val="0"/>
        </w:numPr>
        <w:adjustRightInd w:val="0"/>
        <w:snapToGrid w:val="0"/>
        <w:spacing w:line="360" w:lineRule="auto"/>
        <w:jc w:val="left"/>
        <w:outlineLvl w:val="1"/>
        <w:rPr>
          <w:rFonts w:ascii="宋体" w:hAnsi="宋体"/>
          <w:b/>
          <w:bCs/>
          <w:kern w:val="0"/>
          <w:szCs w:val="21"/>
          <w:highlight w:val="none"/>
        </w:rPr>
      </w:pPr>
      <w:r>
        <w:rPr>
          <w:rFonts w:ascii="宋体" w:hAnsi="宋体"/>
          <w:b/>
          <w:bCs/>
          <w:kern w:val="0"/>
          <w:szCs w:val="21"/>
          <w:highlight w:val="none"/>
        </w:rPr>
        <w:t>16.2</w:t>
      </w:r>
      <w:r>
        <w:rPr>
          <w:rFonts w:hint="eastAsia" w:ascii="宋体" w:hAnsi="宋体"/>
          <w:b/>
          <w:bCs/>
          <w:kern w:val="0"/>
          <w:szCs w:val="21"/>
          <w:highlight w:val="none"/>
        </w:rPr>
        <w:t>价格不予调整的情形</w:t>
      </w:r>
    </w:p>
    <w:p w14:paraId="3F13850B">
      <w:pPr>
        <w:adjustRightInd w:val="0"/>
        <w:snapToGrid w:val="0"/>
        <w:spacing w:line="360" w:lineRule="auto"/>
        <w:ind w:firstLine="420" w:firstLineChars="200"/>
        <w:jc w:val="left"/>
        <w:rPr>
          <w:rFonts w:ascii="宋体" w:hAnsi="宋体"/>
          <w:szCs w:val="24"/>
          <w:highlight w:val="none"/>
          <w:u w:val="none"/>
        </w:rPr>
      </w:pPr>
      <w:r>
        <w:rPr>
          <w:rFonts w:ascii="宋体" w:hAnsi="宋体"/>
          <w:snapToGrid w:val="0"/>
          <w:kern w:val="0"/>
          <w:szCs w:val="20"/>
          <w:highlight w:val="none"/>
          <w:u w:val="none"/>
        </w:rPr>
        <w:t xml:space="preserve">16.2.1. </w:t>
      </w:r>
      <w:r>
        <w:rPr>
          <w:rFonts w:hint="eastAsia" w:ascii="宋体" w:hAnsi="宋体"/>
          <w:snapToGrid w:val="0"/>
          <w:kern w:val="0"/>
          <w:szCs w:val="20"/>
          <w:highlight w:val="none"/>
          <w:u w:val="none"/>
        </w:rPr>
        <w:t>承包人在投标报价时及签订本合同前已对本工程的全部招标文件、工程所在地周围环境、交通道路、现场地质资料、周围地下管网等情况详细研究，投标报价中已按招标文件和合同条款及施工组织设计中的工程承包范围、质量标准、工期、付款条件、标段临设要求、安全维护、文明施工措施（承包人应考虑按发包人要求搭建/租用办公区临设、现场通道围档、楼体及现场</w:t>
      </w:r>
      <w:r>
        <w:rPr>
          <w:rFonts w:ascii="宋体" w:hAnsi="宋体"/>
          <w:snapToGrid w:val="0"/>
          <w:kern w:val="0"/>
          <w:szCs w:val="20"/>
          <w:highlight w:val="none"/>
          <w:u w:val="none"/>
        </w:rPr>
        <w:t>CI</w:t>
      </w:r>
      <w:r>
        <w:rPr>
          <w:rFonts w:hint="eastAsia" w:ascii="宋体" w:hAnsi="宋体"/>
          <w:snapToGrid w:val="0"/>
          <w:kern w:val="0"/>
          <w:szCs w:val="20"/>
          <w:highlight w:val="none"/>
          <w:u w:val="none"/>
        </w:rPr>
        <w:t>等）等要求充分考虑了人工、材料、机械、包装运输、施工技术、成品保护、甲供材料保管、设备调试、检验试验、验收、样品、管理、利润，并已考虑垃圾排放（包括建筑垃圾）、冬雨季气候条件、费用、除甲供外的其他材料价格风险（调差材料除外）等因素。</w:t>
      </w:r>
    </w:p>
    <w:p w14:paraId="78B4BF51">
      <w:pPr>
        <w:adjustRightInd w:val="0"/>
        <w:snapToGrid w:val="0"/>
        <w:spacing w:line="360" w:lineRule="auto"/>
        <w:ind w:firstLine="420" w:firstLineChars="200"/>
        <w:jc w:val="left"/>
        <w:rPr>
          <w:rFonts w:ascii="宋体" w:hAnsi="宋体"/>
          <w:szCs w:val="24"/>
          <w:highlight w:val="none"/>
          <w:u w:val="none"/>
        </w:rPr>
      </w:pPr>
      <w:r>
        <w:rPr>
          <w:rFonts w:ascii="宋体" w:hAnsi="宋体"/>
          <w:snapToGrid w:val="0"/>
          <w:kern w:val="0"/>
          <w:szCs w:val="20"/>
          <w:highlight w:val="none"/>
          <w:u w:val="none"/>
        </w:rPr>
        <w:t xml:space="preserve">16.2.2. </w:t>
      </w:r>
      <w:r>
        <w:rPr>
          <w:rFonts w:hint="eastAsia" w:ascii="宋体" w:hAnsi="宋体"/>
          <w:snapToGrid w:val="0"/>
          <w:kern w:val="0"/>
          <w:szCs w:val="20"/>
          <w:highlight w:val="none"/>
          <w:u w:val="none"/>
        </w:rPr>
        <w:t>投标报价中单价及小计、合计、总计、汇总金额的各种计算错误均为承包人风险，当价格有多种可能的解释时，应按照有利发包人的解释。任何基于承包人对合同暂定总价的组价不当（包括但不限于工作内容理解的偏差、工料耗量水平的确定、生产要素市场价格的判断、取费等）或差错均视为承包人采取投标技巧将相关费用包含在合同综合单价及暂定总价中，结算时不作调整（合同另有约定的除外）。基于发包人组价不当或差错造成的对发包人不利的情形，发包人有权做出合理调整。由于总承包人现场实际预留的孔洞与图纸不符而导致承包人发生打凿和修补，该部分产生的费用按合同关于工程签证的相关约定予以确认及计量。</w:t>
      </w:r>
    </w:p>
    <w:p w14:paraId="10846E6F">
      <w:pPr>
        <w:adjustRightInd w:val="0"/>
        <w:snapToGrid w:val="0"/>
        <w:spacing w:line="360" w:lineRule="auto"/>
        <w:ind w:firstLine="420" w:firstLineChars="200"/>
        <w:jc w:val="left"/>
        <w:rPr>
          <w:rFonts w:ascii="宋体" w:hAnsi="宋体"/>
          <w:szCs w:val="24"/>
          <w:highlight w:val="none"/>
          <w:u w:val="none"/>
        </w:rPr>
      </w:pPr>
      <w:r>
        <w:rPr>
          <w:rFonts w:ascii="宋体" w:hAnsi="宋体"/>
          <w:snapToGrid w:val="0"/>
          <w:kern w:val="0"/>
          <w:szCs w:val="20"/>
          <w:highlight w:val="none"/>
          <w:u w:val="none"/>
        </w:rPr>
        <w:t xml:space="preserve">16.2.3. </w:t>
      </w:r>
      <w:r>
        <w:rPr>
          <w:rFonts w:hint="eastAsia" w:ascii="宋体" w:hAnsi="宋体"/>
          <w:snapToGrid w:val="0"/>
          <w:kern w:val="0"/>
          <w:szCs w:val="20"/>
          <w:highlight w:val="none"/>
          <w:u w:val="none"/>
        </w:rPr>
        <w:t>因承包人的成员、雇员、分包人及进入施工现场的其它各方发生的各种事故、异常事件、人身伤害等给承包人造成的任何支出和损失均为承包人风险，承包人不应以此向发包人要求变更合同暂定总价或增加任何费用。</w:t>
      </w:r>
    </w:p>
    <w:p w14:paraId="50A46817">
      <w:pPr>
        <w:adjustRightInd w:val="0"/>
        <w:snapToGrid w:val="0"/>
        <w:spacing w:line="360" w:lineRule="auto"/>
        <w:ind w:firstLine="420" w:firstLineChars="200"/>
        <w:jc w:val="left"/>
        <w:rPr>
          <w:rFonts w:ascii="宋体" w:hAnsi="宋体"/>
          <w:szCs w:val="24"/>
          <w:highlight w:val="none"/>
          <w:u w:val="none"/>
        </w:rPr>
      </w:pPr>
      <w:r>
        <w:rPr>
          <w:rFonts w:ascii="宋体" w:hAnsi="宋体"/>
          <w:snapToGrid w:val="0"/>
          <w:kern w:val="0"/>
          <w:szCs w:val="20"/>
          <w:highlight w:val="none"/>
          <w:u w:val="none"/>
        </w:rPr>
        <w:t xml:space="preserve">16.2.4. </w:t>
      </w:r>
      <w:r>
        <w:rPr>
          <w:rFonts w:hint="eastAsia" w:ascii="宋体" w:hAnsi="宋体"/>
          <w:snapToGrid w:val="0"/>
          <w:kern w:val="0"/>
          <w:szCs w:val="20"/>
          <w:highlight w:val="none"/>
          <w:u w:val="none"/>
        </w:rPr>
        <w:t>除非发生合同规定的不可抗力事件外，因气候变化或施工现场内外环境、交通组织、交叉施工等原因使承包人增加支出或造成的损失，由承包人承担，承包人不得以此向发包人要求增加费用。</w:t>
      </w:r>
    </w:p>
    <w:p w14:paraId="2A34F8D5">
      <w:pPr>
        <w:adjustRightInd w:val="0"/>
        <w:snapToGrid w:val="0"/>
        <w:spacing w:line="360" w:lineRule="auto"/>
        <w:ind w:firstLine="420" w:firstLineChars="200"/>
        <w:jc w:val="left"/>
        <w:rPr>
          <w:rFonts w:ascii="宋体" w:hAnsi="宋体"/>
          <w:szCs w:val="24"/>
          <w:highlight w:val="none"/>
          <w:u w:val="none"/>
        </w:rPr>
      </w:pPr>
      <w:r>
        <w:rPr>
          <w:rFonts w:ascii="宋体" w:hAnsi="宋体"/>
          <w:snapToGrid w:val="0"/>
          <w:kern w:val="0"/>
          <w:szCs w:val="20"/>
          <w:highlight w:val="none"/>
          <w:u w:val="none"/>
        </w:rPr>
        <w:t xml:space="preserve">16.2.5. </w:t>
      </w:r>
      <w:r>
        <w:rPr>
          <w:rFonts w:hint="eastAsia" w:ascii="宋体" w:hAnsi="宋体"/>
          <w:snapToGrid w:val="0"/>
          <w:kern w:val="0"/>
          <w:szCs w:val="20"/>
          <w:highlight w:val="none"/>
          <w:u w:val="none"/>
        </w:rPr>
        <w:t>由承包人负责完成的图纸深化设计、施工组织设计等存在缺陷造成的任何支出，由承包人承担，即使此类内容已经获得发包人的审批。</w:t>
      </w:r>
    </w:p>
    <w:p w14:paraId="676A5B8B">
      <w:pPr>
        <w:adjustRightInd w:val="0"/>
        <w:snapToGrid w:val="0"/>
        <w:spacing w:line="360" w:lineRule="auto"/>
        <w:ind w:firstLine="420" w:firstLineChars="200"/>
        <w:jc w:val="left"/>
        <w:rPr>
          <w:rFonts w:ascii="宋体" w:hAnsi="宋体"/>
          <w:szCs w:val="24"/>
          <w:highlight w:val="none"/>
          <w:u w:val="none"/>
        </w:rPr>
      </w:pPr>
      <w:r>
        <w:rPr>
          <w:rFonts w:ascii="宋体" w:hAnsi="宋体"/>
          <w:snapToGrid w:val="0"/>
          <w:kern w:val="0"/>
          <w:szCs w:val="20"/>
          <w:highlight w:val="none"/>
          <w:u w:val="none"/>
        </w:rPr>
        <w:t xml:space="preserve">16.2.6. </w:t>
      </w:r>
      <w:r>
        <w:rPr>
          <w:rFonts w:hint="eastAsia" w:ascii="宋体" w:hAnsi="宋体"/>
          <w:snapToGrid w:val="0"/>
          <w:kern w:val="0"/>
          <w:szCs w:val="20"/>
          <w:highlight w:val="none"/>
          <w:u w:val="none"/>
        </w:rPr>
        <w:t>发包人提供暂估价（含暂估材料、工程设备价）与实际价格的差价只计取税金，不再计取其它任何费用。暂估价和实际价格的计价口径应一致。</w:t>
      </w:r>
    </w:p>
    <w:p w14:paraId="459558A4">
      <w:pPr>
        <w:adjustRightInd w:val="0"/>
        <w:snapToGrid w:val="0"/>
        <w:spacing w:line="360" w:lineRule="auto"/>
        <w:ind w:firstLine="420" w:firstLineChars="200"/>
        <w:jc w:val="left"/>
        <w:rPr>
          <w:rFonts w:ascii="宋体" w:hAnsi="宋体"/>
          <w:szCs w:val="24"/>
          <w:highlight w:val="none"/>
          <w:u w:val="none"/>
        </w:rPr>
      </w:pPr>
      <w:r>
        <w:rPr>
          <w:rFonts w:ascii="宋体" w:hAnsi="宋体"/>
          <w:snapToGrid w:val="0"/>
          <w:kern w:val="0"/>
          <w:szCs w:val="20"/>
          <w:highlight w:val="none"/>
          <w:u w:val="none"/>
        </w:rPr>
        <w:t xml:space="preserve">16.2.7. </w:t>
      </w:r>
      <w:r>
        <w:rPr>
          <w:rFonts w:hint="eastAsia" w:ascii="宋体" w:hAnsi="宋体"/>
          <w:snapToGrid w:val="0"/>
          <w:kern w:val="0"/>
          <w:szCs w:val="20"/>
          <w:highlight w:val="none"/>
          <w:u w:val="none"/>
        </w:rPr>
        <w:t>风险费用包括在工程量清单所列各项目的综合单价及报价中，不得调整。</w:t>
      </w:r>
    </w:p>
    <w:p w14:paraId="7982232C">
      <w:pPr>
        <w:adjustRightInd w:val="0"/>
        <w:snapToGrid w:val="0"/>
        <w:spacing w:line="360" w:lineRule="auto"/>
        <w:ind w:firstLine="420" w:firstLineChars="200"/>
        <w:jc w:val="left"/>
        <w:rPr>
          <w:rFonts w:ascii="宋体" w:hAnsi="宋体"/>
          <w:szCs w:val="24"/>
          <w:highlight w:val="none"/>
          <w:u w:val="none"/>
        </w:rPr>
      </w:pPr>
      <w:r>
        <w:rPr>
          <w:rFonts w:ascii="宋体" w:hAnsi="宋体"/>
          <w:szCs w:val="24"/>
          <w:highlight w:val="none"/>
          <w:u w:val="none"/>
        </w:rPr>
        <w:t>16.</w:t>
      </w:r>
      <w:r>
        <w:rPr>
          <w:rFonts w:hint="eastAsia" w:ascii="宋体" w:hAnsi="宋体"/>
          <w:szCs w:val="24"/>
          <w:highlight w:val="none"/>
          <w:u w:val="none"/>
        </w:rPr>
        <w:t>2</w:t>
      </w:r>
      <w:r>
        <w:rPr>
          <w:rFonts w:ascii="宋体" w:hAnsi="宋体"/>
          <w:szCs w:val="24"/>
          <w:highlight w:val="none"/>
          <w:u w:val="none"/>
        </w:rPr>
        <w:t>.</w:t>
      </w:r>
      <w:r>
        <w:rPr>
          <w:rFonts w:hint="eastAsia" w:ascii="宋体" w:hAnsi="宋体"/>
          <w:szCs w:val="24"/>
          <w:highlight w:val="none"/>
          <w:u w:val="none"/>
        </w:rPr>
        <w:t>8.由于承包人原因导致工期延误的，所延误时段内物价上涨的风险全部由承包人承担，不予调整；如物价下跌，则仍按合同约定计算及扣回相应价款。</w:t>
      </w:r>
    </w:p>
    <w:p w14:paraId="00523377">
      <w:pPr>
        <w:adjustRightInd w:val="0"/>
        <w:snapToGrid w:val="0"/>
        <w:spacing w:line="360" w:lineRule="auto"/>
        <w:ind w:firstLine="420" w:firstLineChars="200"/>
        <w:jc w:val="left"/>
        <w:rPr>
          <w:rFonts w:ascii="宋体" w:hAnsi="宋体"/>
          <w:szCs w:val="24"/>
          <w:highlight w:val="none"/>
          <w:u w:val="none"/>
        </w:rPr>
      </w:pPr>
      <w:r>
        <w:rPr>
          <w:rFonts w:ascii="宋体" w:hAnsi="宋体"/>
          <w:szCs w:val="24"/>
          <w:highlight w:val="none"/>
          <w:u w:val="none"/>
        </w:rPr>
        <w:t>16.</w:t>
      </w:r>
      <w:r>
        <w:rPr>
          <w:rFonts w:hint="eastAsia" w:ascii="宋体" w:hAnsi="宋体"/>
          <w:szCs w:val="24"/>
          <w:highlight w:val="none"/>
          <w:u w:val="none"/>
        </w:rPr>
        <w:t>2</w:t>
      </w:r>
      <w:r>
        <w:rPr>
          <w:rFonts w:ascii="宋体" w:hAnsi="宋体"/>
          <w:szCs w:val="24"/>
          <w:highlight w:val="none"/>
          <w:u w:val="none"/>
        </w:rPr>
        <w:t>.</w:t>
      </w:r>
      <w:r>
        <w:rPr>
          <w:rFonts w:hint="eastAsia" w:ascii="宋体" w:hAnsi="宋体"/>
          <w:szCs w:val="24"/>
          <w:highlight w:val="none"/>
          <w:u w:val="none"/>
        </w:rPr>
        <w:t>9.合同约定的调差范围外的其它材料、设备不再调整价差。</w:t>
      </w:r>
    </w:p>
    <w:p w14:paraId="15571388">
      <w:pPr>
        <w:numPr>
          <w:ilvl w:val="1"/>
          <w:numId w:val="0"/>
        </w:numPr>
        <w:adjustRightInd w:val="0"/>
        <w:snapToGrid w:val="0"/>
        <w:spacing w:line="360" w:lineRule="auto"/>
        <w:jc w:val="left"/>
        <w:outlineLvl w:val="1"/>
        <w:rPr>
          <w:rFonts w:ascii="宋体" w:hAnsi="宋体"/>
          <w:b/>
          <w:bCs/>
          <w:kern w:val="0"/>
          <w:szCs w:val="21"/>
          <w:highlight w:val="none"/>
        </w:rPr>
      </w:pPr>
      <w:r>
        <w:rPr>
          <w:rFonts w:ascii="宋体" w:hAnsi="宋体"/>
          <w:b/>
          <w:bCs/>
          <w:kern w:val="0"/>
          <w:szCs w:val="21"/>
          <w:highlight w:val="none"/>
        </w:rPr>
        <w:t xml:space="preserve">16.3. </w:t>
      </w:r>
      <w:r>
        <w:rPr>
          <w:rFonts w:hint="eastAsia" w:ascii="宋体" w:hAnsi="宋体"/>
          <w:b/>
          <w:bCs/>
          <w:kern w:val="0"/>
          <w:szCs w:val="21"/>
          <w:highlight w:val="none"/>
        </w:rPr>
        <w:t>价格调整的补充说明</w:t>
      </w:r>
    </w:p>
    <w:p w14:paraId="70209DE1">
      <w:pPr>
        <w:adjustRightInd w:val="0"/>
        <w:snapToGrid w:val="0"/>
        <w:spacing w:line="360" w:lineRule="auto"/>
        <w:ind w:firstLine="420" w:firstLineChars="200"/>
        <w:jc w:val="left"/>
        <w:rPr>
          <w:rFonts w:ascii="宋体" w:hAnsi="宋体"/>
          <w:szCs w:val="24"/>
          <w:highlight w:val="none"/>
        </w:rPr>
      </w:pPr>
      <w:r>
        <w:rPr>
          <w:rFonts w:hint="eastAsia" w:ascii="宋体" w:hAnsi="宋体"/>
          <w:szCs w:val="24"/>
          <w:highlight w:val="none"/>
        </w:rPr>
        <w:t>16.3.1 投标清单的不平衡报价</w:t>
      </w:r>
    </w:p>
    <w:p w14:paraId="492104CD">
      <w:pPr>
        <w:adjustRightInd w:val="0"/>
        <w:snapToGrid w:val="0"/>
        <w:spacing w:line="360" w:lineRule="auto"/>
        <w:ind w:firstLine="420" w:firstLineChars="200"/>
        <w:jc w:val="left"/>
        <w:rPr>
          <w:rFonts w:ascii="宋体" w:hAnsi="宋体"/>
          <w:szCs w:val="24"/>
          <w:highlight w:val="none"/>
        </w:rPr>
      </w:pPr>
      <w:r>
        <w:rPr>
          <w:rFonts w:hint="eastAsia" w:ascii="宋体" w:hAnsi="宋体"/>
          <w:szCs w:val="24"/>
          <w:highlight w:val="none"/>
        </w:rPr>
        <w:t>合同履约期间不平衡报价清单项目的综合单价按如下方式执行：</w:t>
      </w:r>
    </w:p>
    <w:p w14:paraId="40A8121B">
      <w:pPr>
        <w:adjustRightInd w:val="0"/>
        <w:snapToGrid w:val="0"/>
        <w:spacing w:line="360" w:lineRule="auto"/>
        <w:ind w:firstLine="420" w:firstLineChars="200"/>
        <w:jc w:val="left"/>
        <w:rPr>
          <w:rFonts w:ascii="宋体" w:hAnsi="宋体"/>
          <w:szCs w:val="24"/>
          <w:highlight w:val="none"/>
        </w:rPr>
      </w:pPr>
      <w:r>
        <w:rPr>
          <w:rFonts w:hint="eastAsia" w:ascii="宋体" w:hAnsi="宋体"/>
          <w:szCs w:val="24"/>
          <w:highlight w:val="none"/>
        </w:rPr>
        <w:t>（1）合同履约期不平衡报价的认定标准</w:t>
      </w:r>
    </w:p>
    <w:p w14:paraId="7A59E5F3">
      <w:pPr>
        <w:adjustRightInd w:val="0"/>
        <w:snapToGrid w:val="0"/>
        <w:spacing w:line="360" w:lineRule="auto"/>
        <w:ind w:firstLine="420" w:firstLineChars="200"/>
        <w:jc w:val="left"/>
        <w:rPr>
          <w:rFonts w:ascii="Times New Roman" w:hAnsi="Times New Roman"/>
          <w:szCs w:val="24"/>
          <w:highlight w:val="none"/>
        </w:rPr>
      </w:pPr>
      <w:r>
        <w:rPr>
          <w:rFonts w:hint="eastAsia" w:ascii="Times New Roman" w:hAnsi="Times New Roman"/>
          <w:szCs w:val="24"/>
          <w:highlight w:val="none"/>
        </w:rPr>
        <w:t>合同履约期不平衡报价指【中标人投标清单的综合单价】与【按2013清单规范及相应工程计价规范编制的对应清单项目综合单价（注，即招标控制价的对应清单项目综合单价）*（1-中标人的净下浮率）后的价格】对比，超出±15%的中标人清单项目综合单价，或招标人有对标证据或合理解释证明明显高于或低于市场合理价格的中标人清单项目综合单价。{注，中标人的净下浮率=[1-（中标金额-不可竞争费）/（招标控制价-不可竞争费）]*100%}</w:t>
      </w:r>
    </w:p>
    <w:p w14:paraId="3559221A">
      <w:pPr>
        <w:adjustRightInd w:val="0"/>
        <w:snapToGrid w:val="0"/>
        <w:spacing w:line="360" w:lineRule="auto"/>
        <w:ind w:firstLine="420" w:firstLineChars="200"/>
        <w:jc w:val="left"/>
        <w:rPr>
          <w:rFonts w:ascii="Times New Roman" w:hAnsi="Times New Roman"/>
          <w:szCs w:val="24"/>
          <w:highlight w:val="none"/>
        </w:rPr>
      </w:pPr>
      <w:r>
        <w:rPr>
          <w:rFonts w:hint="eastAsia" w:ascii="Times New Roman" w:hAnsi="Times New Roman"/>
          <w:szCs w:val="24"/>
          <w:highlight w:val="none"/>
        </w:rPr>
        <w:t>（2）合同履约期不平衡报价的修正原则</w:t>
      </w:r>
    </w:p>
    <w:p w14:paraId="321E77E2">
      <w:pPr>
        <w:adjustRightInd w:val="0"/>
        <w:snapToGrid w:val="0"/>
        <w:spacing w:line="360" w:lineRule="auto"/>
        <w:ind w:firstLine="420" w:firstLineChars="200"/>
        <w:jc w:val="left"/>
        <w:rPr>
          <w:rFonts w:ascii="Times New Roman" w:hAnsi="Times New Roman"/>
          <w:szCs w:val="24"/>
          <w:highlight w:val="none"/>
        </w:rPr>
      </w:pPr>
      <w:r>
        <w:rPr>
          <w:rFonts w:hint="eastAsia" w:ascii="Times New Roman" w:hAnsi="Times New Roman"/>
          <w:szCs w:val="24"/>
          <w:highlight w:val="none"/>
        </w:rPr>
        <w:t>招标控制价的对应清单子目综合单价*（1-中标人的净下浮率）为不平衡报价修订后的综合单价；若发包人认为招标控制价的清单子目综合单价有明显不合理的，则按专用条款15.2相关约定对不平衡报价进行修正。</w:t>
      </w:r>
    </w:p>
    <w:p w14:paraId="50B02FE0">
      <w:pPr>
        <w:adjustRightInd w:val="0"/>
        <w:snapToGrid w:val="0"/>
        <w:spacing w:line="360" w:lineRule="auto"/>
        <w:ind w:firstLine="420" w:firstLineChars="200"/>
        <w:jc w:val="left"/>
        <w:rPr>
          <w:rFonts w:ascii="Times New Roman" w:hAnsi="Times New Roman"/>
          <w:szCs w:val="24"/>
          <w:highlight w:val="none"/>
          <w:u w:val="none"/>
        </w:rPr>
      </w:pPr>
      <w:r>
        <w:rPr>
          <w:rFonts w:hint="eastAsia" w:ascii="Times New Roman" w:hAnsi="Times New Roman"/>
          <w:szCs w:val="24"/>
          <w:highlight w:val="none"/>
          <w:u w:val="none"/>
        </w:rPr>
        <w:t>（3）合同履约期不平衡报价的执行</w:t>
      </w:r>
    </w:p>
    <w:p w14:paraId="700E61AF">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当不平衡报价清单项目的履约实际工程量（以最终结算工程量为准）与对应招标清单工程量相比</w:t>
      </w:r>
      <w:r>
        <w:rPr>
          <w:rFonts w:hint="eastAsia" w:ascii="Times New Roman" w:hAnsi="Times New Roman" w:eastAsia="宋体"/>
          <w:bCs w:val="0"/>
          <w:kern w:val="2"/>
          <w:szCs w:val="24"/>
          <w:highlight w:val="none"/>
          <w:lang w:eastAsia="zh-CN"/>
        </w:rPr>
        <w:t>，</w:t>
      </w:r>
      <w:r>
        <w:rPr>
          <w:rFonts w:hint="eastAsia" w:ascii="Times New Roman" w:hAnsi="Times New Roman" w:eastAsia="宋体"/>
          <w:bCs w:val="0"/>
          <w:kern w:val="2"/>
          <w:szCs w:val="24"/>
          <w:highlight w:val="none"/>
          <w:lang w:val="en-US" w:eastAsia="zh-CN"/>
        </w:rPr>
        <w:t>超出</w:t>
      </w:r>
      <w:r>
        <w:rPr>
          <w:rFonts w:hint="eastAsia" w:ascii="Times New Roman" w:hAnsi="Times New Roman" w:eastAsia="宋体"/>
          <w:bCs w:val="0"/>
          <w:kern w:val="2"/>
          <w:szCs w:val="24"/>
          <w:highlight w:val="none"/>
        </w:rPr>
        <w:t>±5%时，</w:t>
      </w:r>
      <w:r>
        <w:rPr>
          <w:rFonts w:hint="eastAsia" w:ascii="Times New Roman" w:hAnsi="Times New Roman" w:eastAsia="宋体"/>
          <w:bCs w:val="0"/>
          <w:kern w:val="2"/>
          <w:szCs w:val="24"/>
          <w:highlight w:val="none"/>
          <w:lang w:val="en-US" w:eastAsia="zh-CN"/>
        </w:rPr>
        <w:t>超出</w:t>
      </w:r>
      <w:r>
        <w:rPr>
          <w:rFonts w:hint="eastAsia" w:ascii="Times New Roman" w:hAnsi="Times New Roman" w:eastAsia="宋体"/>
          <w:bCs w:val="0"/>
          <w:kern w:val="2"/>
          <w:szCs w:val="24"/>
          <w:highlight w:val="none"/>
        </w:rPr>
        <w:t>部分的综合单价按照如下四种情形确认是否执行修正价：</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2340"/>
        <w:gridCol w:w="3571"/>
        <w:gridCol w:w="2866"/>
      </w:tblGrid>
      <w:tr w14:paraId="0C63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tcPr>
          <w:p w14:paraId="20B3AF17">
            <w:pPr>
              <w:adjustRightInd w:val="0"/>
              <w:snapToGrid w:val="0"/>
              <w:spacing w:line="360" w:lineRule="auto"/>
              <w:ind w:firstLine="0" w:firstLineChars="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序号</w:t>
            </w:r>
          </w:p>
        </w:tc>
        <w:tc>
          <w:tcPr>
            <w:tcW w:w="2340" w:type="dxa"/>
          </w:tcPr>
          <w:p w14:paraId="6D264CFD">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不平衡报价情况</w:t>
            </w:r>
          </w:p>
        </w:tc>
        <w:tc>
          <w:tcPr>
            <w:tcW w:w="3571" w:type="dxa"/>
          </w:tcPr>
          <w:p w14:paraId="0EBB0043">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结算工程量与招标清单的差异</w:t>
            </w:r>
          </w:p>
        </w:tc>
        <w:tc>
          <w:tcPr>
            <w:tcW w:w="2866" w:type="dxa"/>
          </w:tcPr>
          <w:p w14:paraId="4D450251">
            <w:pPr>
              <w:adjustRightInd w:val="0"/>
              <w:snapToGrid w:val="0"/>
              <w:spacing w:line="360" w:lineRule="auto"/>
              <w:ind w:firstLine="0" w:firstLineChars="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是否执行修正价（合理价）</w:t>
            </w:r>
          </w:p>
        </w:tc>
      </w:tr>
      <w:tr w14:paraId="37D6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7" w:type="dxa"/>
          </w:tcPr>
          <w:p w14:paraId="0660E308">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1</w:t>
            </w:r>
          </w:p>
        </w:tc>
        <w:tc>
          <w:tcPr>
            <w:tcW w:w="2340" w:type="dxa"/>
          </w:tcPr>
          <w:p w14:paraId="66A66484">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报价偏高</w:t>
            </w:r>
          </w:p>
        </w:tc>
        <w:tc>
          <w:tcPr>
            <w:tcW w:w="3571" w:type="dxa"/>
          </w:tcPr>
          <w:p w14:paraId="72C8CEAB">
            <w:pPr>
              <w:adjustRightInd w:val="0"/>
              <w:snapToGrid w:val="0"/>
              <w:spacing w:line="360" w:lineRule="auto"/>
              <w:ind w:firstLine="420" w:firstLineChars="200"/>
              <w:jc w:val="left"/>
              <w:rPr>
                <w:rFonts w:hint="eastAsia" w:ascii="Times New Roman" w:hAnsi="Times New Roman" w:eastAsia="宋体"/>
                <w:bCs w:val="0"/>
                <w:kern w:val="2"/>
                <w:szCs w:val="24"/>
                <w:highlight w:val="none"/>
                <w:lang w:val="en-US" w:eastAsia="zh-CN"/>
              </w:rPr>
            </w:pPr>
            <w:r>
              <w:rPr>
                <w:rFonts w:hint="eastAsia" w:ascii="Times New Roman" w:hAnsi="Times New Roman" w:eastAsia="宋体"/>
                <w:bCs w:val="0"/>
                <w:kern w:val="2"/>
                <w:szCs w:val="24"/>
                <w:highlight w:val="none"/>
              </w:rPr>
              <w:t>结算工程量大于招标清单</w:t>
            </w:r>
            <w:r>
              <w:rPr>
                <w:rFonts w:hint="eastAsia" w:ascii="Times New Roman" w:hAnsi="Times New Roman" w:eastAsia="宋体"/>
                <w:bCs w:val="0"/>
                <w:kern w:val="2"/>
                <w:szCs w:val="24"/>
                <w:highlight w:val="none"/>
                <w:lang w:val="en-US" w:eastAsia="zh-CN"/>
              </w:rPr>
              <w:t>*1.05</w:t>
            </w:r>
          </w:p>
        </w:tc>
        <w:tc>
          <w:tcPr>
            <w:tcW w:w="2866" w:type="dxa"/>
          </w:tcPr>
          <w:p w14:paraId="600A8A02">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是</w:t>
            </w:r>
          </w:p>
        </w:tc>
      </w:tr>
      <w:tr w14:paraId="7F4D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tcPr>
          <w:p w14:paraId="064F503A">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2</w:t>
            </w:r>
          </w:p>
        </w:tc>
        <w:tc>
          <w:tcPr>
            <w:tcW w:w="2340" w:type="dxa"/>
          </w:tcPr>
          <w:p w14:paraId="71A65F45">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报价偏高</w:t>
            </w:r>
          </w:p>
        </w:tc>
        <w:tc>
          <w:tcPr>
            <w:tcW w:w="3571" w:type="dxa"/>
          </w:tcPr>
          <w:p w14:paraId="39A6F6EB">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结算工程量小于招标清单</w:t>
            </w:r>
            <w:r>
              <w:rPr>
                <w:rFonts w:hint="eastAsia" w:ascii="Times New Roman" w:hAnsi="Times New Roman" w:eastAsia="宋体"/>
                <w:bCs w:val="0"/>
                <w:kern w:val="2"/>
                <w:szCs w:val="24"/>
                <w:highlight w:val="none"/>
                <w:lang w:val="en-US" w:eastAsia="zh-CN"/>
              </w:rPr>
              <w:t>*0.95</w:t>
            </w:r>
          </w:p>
        </w:tc>
        <w:tc>
          <w:tcPr>
            <w:tcW w:w="2866" w:type="dxa"/>
          </w:tcPr>
          <w:p w14:paraId="37CFCBE4">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否</w:t>
            </w:r>
          </w:p>
        </w:tc>
      </w:tr>
      <w:tr w14:paraId="4BFB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tcPr>
          <w:p w14:paraId="1BCE0BFE">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3</w:t>
            </w:r>
          </w:p>
        </w:tc>
        <w:tc>
          <w:tcPr>
            <w:tcW w:w="2340" w:type="dxa"/>
          </w:tcPr>
          <w:p w14:paraId="34A69916">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报价偏低</w:t>
            </w:r>
          </w:p>
        </w:tc>
        <w:tc>
          <w:tcPr>
            <w:tcW w:w="3571" w:type="dxa"/>
          </w:tcPr>
          <w:p w14:paraId="113ED896">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结算工程量大于招标清单</w:t>
            </w:r>
            <w:r>
              <w:rPr>
                <w:rFonts w:hint="eastAsia" w:ascii="Times New Roman" w:hAnsi="Times New Roman" w:eastAsia="宋体"/>
                <w:bCs w:val="0"/>
                <w:kern w:val="2"/>
                <w:szCs w:val="24"/>
                <w:highlight w:val="none"/>
                <w:lang w:val="en-US" w:eastAsia="zh-CN"/>
              </w:rPr>
              <w:t>*1.05</w:t>
            </w:r>
          </w:p>
        </w:tc>
        <w:tc>
          <w:tcPr>
            <w:tcW w:w="2866" w:type="dxa"/>
          </w:tcPr>
          <w:p w14:paraId="79C83602">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否</w:t>
            </w:r>
          </w:p>
        </w:tc>
      </w:tr>
      <w:tr w14:paraId="41DD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tcPr>
          <w:p w14:paraId="267B6CEF">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4</w:t>
            </w:r>
          </w:p>
        </w:tc>
        <w:tc>
          <w:tcPr>
            <w:tcW w:w="2340" w:type="dxa"/>
          </w:tcPr>
          <w:p w14:paraId="2F7A5C97">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报价偏低</w:t>
            </w:r>
          </w:p>
        </w:tc>
        <w:tc>
          <w:tcPr>
            <w:tcW w:w="3571" w:type="dxa"/>
          </w:tcPr>
          <w:p w14:paraId="44948108">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结算工程量小于招标清单</w:t>
            </w:r>
            <w:r>
              <w:rPr>
                <w:rFonts w:hint="eastAsia" w:ascii="Times New Roman" w:hAnsi="Times New Roman" w:eastAsia="宋体"/>
                <w:bCs w:val="0"/>
                <w:kern w:val="2"/>
                <w:szCs w:val="24"/>
                <w:highlight w:val="none"/>
                <w:lang w:val="en-US" w:eastAsia="zh-CN"/>
              </w:rPr>
              <w:t>*0.95</w:t>
            </w:r>
          </w:p>
        </w:tc>
        <w:tc>
          <w:tcPr>
            <w:tcW w:w="2866" w:type="dxa"/>
          </w:tcPr>
          <w:p w14:paraId="5FAB1592">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是</w:t>
            </w:r>
          </w:p>
        </w:tc>
      </w:tr>
    </w:tbl>
    <w:p w14:paraId="3F041A48">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备注：</w:t>
      </w:r>
      <w:r>
        <w:rPr>
          <w:rFonts w:hint="eastAsia" w:ascii="Times New Roman" w:hAnsi="Times New Roman" w:eastAsia="宋体"/>
          <w:kern w:val="2"/>
          <w:szCs w:val="24"/>
          <w:highlight w:val="none"/>
        </w:rPr>
        <w:t>修正</w:t>
      </w:r>
      <w:r>
        <w:rPr>
          <w:rFonts w:hint="eastAsia" w:ascii="Times New Roman" w:hAnsi="Times New Roman" w:eastAsia="宋体"/>
          <w:bCs w:val="0"/>
          <w:kern w:val="2"/>
          <w:szCs w:val="24"/>
          <w:highlight w:val="none"/>
        </w:rPr>
        <w:t>价（合理价）即为按照上述条款（2）修正后的合理价格。</w:t>
      </w:r>
    </w:p>
    <w:p w14:paraId="3060DC37">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执行修正价格的结算公式：</w:t>
      </w:r>
    </w:p>
    <w:p w14:paraId="08D58AB9">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结算工程量大于投标工程量*1.05时，执行修正价格的结算公式:结算总价=投标工程量*1.05*投标单价+(结算工程量-投标工程量*1.05)*结算修正单价</w:t>
      </w:r>
    </w:p>
    <w:p w14:paraId="7274E2B0">
      <w:pPr>
        <w:adjustRightInd w:val="0"/>
        <w:snapToGrid w:val="0"/>
        <w:spacing w:line="360" w:lineRule="auto"/>
        <w:ind w:firstLine="420" w:firstLineChars="200"/>
        <w:jc w:val="left"/>
        <w:rPr>
          <w:rFonts w:hint="eastAsia" w:ascii="Times New Roman" w:hAnsi="Times New Roman" w:eastAsia="宋体"/>
          <w:bCs w:val="0"/>
          <w:kern w:val="2"/>
          <w:szCs w:val="24"/>
          <w:highlight w:val="none"/>
        </w:rPr>
      </w:pPr>
      <w:r>
        <w:rPr>
          <w:rFonts w:hint="eastAsia" w:ascii="Times New Roman" w:hAnsi="Times New Roman" w:eastAsia="宋体"/>
          <w:bCs w:val="0"/>
          <w:kern w:val="2"/>
          <w:szCs w:val="24"/>
          <w:highlight w:val="none"/>
        </w:rPr>
        <w:t>结算工程量小于投标工程量*0.95时，执行修正价格的结算公式:结算总价=投标工程量*0.95*投标单价+(结算工程量-投标工程量*0.95)*结算修正单价</w:t>
      </w:r>
    </w:p>
    <w:p w14:paraId="0FA8E5B0">
      <w:pPr>
        <w:adjustRightInd w:val="0"/>
        <w:snapToGrid w:val="0"/>
        <w:spacing w:line="360" w:lineRule="auto"/>
        <w:ind w:firstLine="420" w:firstLineChars="200"/>
        <w:jc w:val="left"/>
        <w:rPr>
          <w:rFonts w:ascii="宋体" w:hAnsi="宋体"/>
          <w:b/>
          <w:bCs/>
          <w:snapToGrid w:val="0"/>
          <w:kern w:val="0"/>
          <w:szCs w:val="20"/>
          <w:highlight w:val="none"/>
          <w:u w:val="none"/>
        </w:rPr>
      </w:pPr>
      <w:r>
        <w:rPr>
          <w:rFonts w:hint="eastAsia" w:ascii="Times New Roman" w:hAnsi="Times New Roman" w:eastAsia="宋体"/>
          <w:kern w:val="2"/>
          <w:szCs w:val="24"/>
          <w:highlight w:val="none"/>
        </w:rPr>
        <w:t>不执行修正价格的结算公式：结算总价=结算工程量*投标单价</w:t>
      </w:r>
    </w:p>
    <w:p w14:paraId="37067CF7">
      <w:pPr>
        <w:keepNext/>
        <w:keepLines/>
        <w:numPr>
          <w:ilvl w:val="0"/>
          <w:numId w:val="4"/>
        </w:numPr>
        <w:adjustRightInd w:val="0"/>
        <w:snapToGrid w:val="0"/>
        <w:spacing w:line="360" w:lineRule="auto"/>
        <w:outlineLvl w:val="0"/>
        <w:rPr>
          <w:rFonts w:ascii="宋体" w:hAnsi="宋体"/>
          <w:b/>
          <w:bCs/>
          <w:kern w:val="44"/>
          <w:sz w:val="28"/>
          <w:szCs w:val="44"/>
          <w:highlight w:val="none"/>
        </w:rPr>
      </w:pPr>
      <w:bookmarkStart w:id="488" w:name="_Toc18688"/>
      <w:bookmarkStart w:id="489" w:name="_Toc30735"/>
      <w:bookmarkStart w:id="490" w:name="_Toc350865219"/>
      <w:bookmarkStart w:id="491" w:name="_Toc2858"/>
      <w:bookmarkStart w:id="492" w:name="_Toc19667"/>
      <w:bookmarkStart w:id="493" w:name="_Toc15921"/>
      <w:bookmarkStart w:id="494" w:name="_Toc15580"/>
      <w:bookmarkStart w:id="495" w:name="_Toc26639"/>
      <w:bookmarkStart w:id="496" w:name="_Toc167975591"/>
      <w:bookmarkStart w:id="497" w:name="_Toc167701767"/>
      <w:bookmarkStart w:id="498" w:name="_Toc32215"/>
      <w:bookmarkStart w:id="499" w:name="_Toc6699"/>
      <w:bookmarkStart w:id="500" w:name="_Toc167701666"/>
      <w:bookmarkStart w:id="501" w:name="_Toc15928"/>
      <w:bookmarkStart w:id="502" w:name="_Toc15525"/>
      <w:bookmarkStart w:id="503" w:name="_Toc23195"/>
      <w:bookmarkStart w:id="504" w:name="_Toc22378"/>
      <w:bookmarkStart w:id="505" w:name="_Toc16871"/>
      <w:bookmarkStart w:id="506" w:name="_Toc350865581"/>
      <w:bookmarkStart w:id="507" w:name="_Toc427331252"/>
      <w:bookmarkStart w:id="508" w:name="_Toc12099"/>
      <w:bookmarkStart w:id="509" w:name="_Toc5329"/>
      <w:bookmarkStart w:id="510" w:name="_Toc9503"/>
      <w:bookmarkStart w:id="511" w:name="_Toc7008"/>
      <w:bookmarkStart w:id="512" w:name="_Toc14079"/>
      <w:bookmarkStart w:id="513" w:name="_Toc832"/>
      <w:r>
        <w:rPr>
          <w:rFonts w:hint="eastAsia" w:ascii="宋体" w:hAnsi="宋体"/>
          <w:b/>
          <w:bCs/>
          <w:kern w:val="44"/>
          <w:sz w:val="28"/>
          <w:szCs w:val="44"/>
          <w:highlight w:val="none"/>
        </w:rPr>
        <w:t>计量与支付</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2ED68C39">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17.1. 计量</w:t>
      </w:r>
    </w:p>
    <w:p w14:paraId="48FA0ADB">
      <w:pPr>
        <w:spacing w:line="360" w:lineRule="auto"/>
        <w:ind w:firstLine="420" w:firstLineChars="200"/>
        <w:rPr>
          <w:rFonts w:ascii="宋体" w:hAnsi="宋体"/>
          <w:kern w:val="0"/>
          <w:szCs w:val="20"/>
          <w:highlight w:val="none"/>
          <w:u w:val="none"/>
        </w:rPr>
      </w:pPr>
      <w:r>
        <w:rPr>
          <w:rFonts w:hint="eastAsia" w:ascii="宋体" w:hAnsi="宋体"/>
          <w:kern w:val="0"/>
          <w:szCs w:val="20"/>
          <w:highlight w:val="none"/>
          <w:u w:val="none"/>
        </w:rPr>
        <w:t>17.1.1.承包人向发包人提交已完工程量报告的时间：满足每期支付节点之日起3天内，承包人向监理人和发包人提交当期完成工程量统计报表、已完工程造价明细资料、付款申请及附件资料等，并列明当期完成工程量对应的进度款。</w:t>
      </w:r>
    </w:p>
    <w:p w14:paraId="4ECDFCFB">
      <w:pPr>
        <w:spacing w:line="360" w:lineRule="auto"/>
        <w:ind w:firstLine="420" w:firstLineChars="200"/>
        <w:rPr>
          <w:rFonts w:ascii="宋体" w:hAnsi="宋体"/>
          <w:snapToGrid w:val="0"/>
          <w:kern w:val="0"/>
          <w:szCs w:val="20"/>
          <w:highlight w:val="none"/>
          <w:u w:val="none"/>
        </w:rPr>
      </w:pPr>
      <w:r>
        <w:rPr>
          <w:rFonts w:hint="eastAsia" w:ascii="宋体" w:hAnsi="宋体"/>
          <w:snapToGrid w:val="0"/>
          <w:kern w:val="0"/>
          <w:szCs w:val="20"/>
          <w:highlight w:val="none"/>
          <w:u w:val="none"/>
        </w:rPr>
        <w:t>17.1.4.工程量确定方式（按以下先后顺序执行）</w:t>
      </w:r>
    </w:p>
    <w:p w14:paraId="064EBD5A">
      <w:pPr>
        <w:adjustRightInd w:val="0"/>
        <w:snapToGrid w:val="0"/>
        <w:spacing w:line="360" w:lineRule="auto"/>
        <w:ind w:firstLine="420" w:firstLineChars="200"/>
        <w:jc w:val="left"/>
        <w:outlineLvl w:val="3"/>
        <w:rPr>
          <w:rFonts w:ascii="宋体" w:hAnsi="宋体"/>
          <w:kern w:val="0"/>
          <w:szCs w:val="20"/>
          <w:highlight w:val="none"/>
          <w:u w:val="none"/>
        </w:rPr>
      </w:pPr>
      <w:r>
        <w:rPr>
          <w:rFonts w:hint="eastAsia" w:ascii="宋体" w:hAnsi="宋体"/>
          <w:kern w:val="0"/>
          <w:szCs w:val="20"/>
          <w:highlight w:val="none"/>
          <w:u w:val="none"/>
        </w:rPr>
        <w:t>（1） 按本工程招标文件中的“工程量清单编制说明”的相关规定执行；</w:t>
      </w:r>
    </w:p>
    <w:p w14:paraId="664E40D4">
      <w:pPr>
        <w:adjustRightInd w:val="0"/>
        <w:snapToGrid w:val="0"/>
        <w:spacing w:line="360" w:lineRule="auto"/>
        <w:ind w:firstLine="420" w:firstLineChars="200"/>
        <w:jc w:val="left"/>
        <w:outlineLvl w:val="3"/>
        <w:rPr>
          <w:rFonts w:ascii="宋体" w:hAnsi="宋体"/>
          <w:kern w:val="0"/>
          <w:szCs w:val="20"/>
          <w:highlight w:val="none"/>
          <w:u w:val="none"/>
        </w:rPr>
      </w:pPr>
      <w:r>
        <w:rPr>
          <w:rFonts w:hint="eastAsia" w:ascii="宋体" w:hAnsi="宋体"/>
          <w:kern w:val="0"/>
          <w:szCs w:val="20"/>
          <w:highlight w:val="none"/>
          <w:u w:val="none"/>
        </w:rPr>
        <w:t>（2） 按</w:t>
      </w:r>
      <w:r>
        <w:rPr>
          <w:rFonts w:hint="eastAsia" w:ascii="宋体" w:hAnsi="宋体"/>
          <w:bCs/>
          <w:kern w:val="0"/>
          <w:szCs w:val="20"/>
          <w:highlight w:val="none"/>
          <w:u w:val="none"/>
        </w:rPr>
        <w:t>《房屋建筑与装饰工程工程量计算规范（2013）》、《房屋建筑安装工程工程量计算规范（2013）》、《市政工程工程量计算规范（2013）》、《园林绿化工程工程量计算规范（2013）》的相关规定执行；</w:t>
      </w:r>
    </w:p>
    <w:p w14:paraId="635E86D1">
      <w:pPr>
        <w:adjustRightInd w:val="0"/>
        <w:snapToGrid w:val="0"/>
        <w:spacing w:line="360" w:lineRule="auto"/>
        <w:ind w:firstLine="420" w:firstLineChars="200"/>
        <w:jc w:val="left"/>
        <w:outlineLvl w:val="3"/>
        <w:rPr>
          <w:rFonts w:ascii="宋体" w:hAnsi="宋体"/>
          <w:kern w:val="0"/>
          <w:szCs w:val="20"/>
          <w:highlight w:val="none"/>
          <w:u w:val="none"/>
        </w:rPr>
      </w:pPr>
      <w:r>
        <w:rPr>
          <w:rFonts w:hint="eastAsia" w:ascii="宋体" w:hAnsi="宋体"/>
          <w:kern w:val="0"/>
          <w:szCs w:val="20"/>
          <w:highlight w:val="none"/>
          <w:u w:val="none"/>
        </w:rPr>
        <w:t>（3） 按《建设工程工程量清单计价规范GB50500- 2013》的相关规定执行；</w:t>
      </w:r>
    </w:p>
    <w:p w14:paraId="03F4CB85">
      <w:pPr>
        <w:adjustRightInd w:val="0"/>
        <w:snapToGrid w:val="0"/>
        <w:spacing w:line="360" w:lineRule="auto"/>
        <w:ind w:firstLine="420" w:firstLineChars="200"/>
        <w:jc w:val="left"/>
        <w:outlineLvl w:val="3"/>
        <w:rPr>
          <w:rFonts w:ascii="宋体" w:hAnsi="宋体"/>
          <w:kern w:val="0"/>
          <w:szCs w:val="20"/>
          <w:highlight w:val="none"/>
          <w:u w:val="none"/>
        </w:rPr>
      </w:pPr>
      <w:r>
        <w:rPr>
          <w:rFonts w:hint="eastAsia" w:ascii="宋体" w:hAnsi="宋体"/>
          <w:kern w:val="0"/>
          <w:szCs w:val="20"/>
          <w:highlight w:val="none"/>
          <w:u w:val="none"/>
        </w:rPr>
        <w:t>（4） 按发包人与承包人协商确定的计算办法执行。</w:t>
      </w:r>
    </w:p>
    <w:p w14:paraId="3FBD9AB9">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17.2.</w:t>
      </w:r>
      <w:r>
        <w:rPr>
          <w:rFonts w:hint="eastAsia" w:ascii="宋体" w:hAnsi="宋体"/>
          <w:b/>
          <w:bCs/>
          <w:kern w:val="0"/>
          <w:szCs w:val="21"/>
          <w:highlight w:val="none"/>
        </w:rPr>
        <w:tab/>
      </w:r>
      <w:r>
        <w:rPr>
          <w:rFonts w:hint="eastAsia" w:ascii="宋体" w:hAnsi="宋体"/>
          <w:b/>
          <w:bCs/>
          <w:kern w:val="0"/>
          <w:szCs w:val="21"/>
          <w:highlight w:val="none"/>
        </w:rPr>
        <w:t>工程价款</w:t>
      </w:r>
    </w:p>
    <w:p w14:paraId="3BAB9F14">
      <w:pPr>
        <w:spacing w:line="360" w:lineRule="auto"/>
        <w:ind w:firstLine="420" w:firstLineChars="200"/>
        <w:rPr>
          <w:rFonts w:ascii="宋体" w:hAnsi="宋体"/>
          <w:kern w:val="0"/>
          <w:szCs w:val="20"/>
          <w:highlight w:val="none"/>
        </w:rPr>
      </w:pPr>
      <w:r>
        <w:rPr>
          <w:rFonts w:hint="eastAsia" w:ascii="宋体" w:hAnsi="宋体"/>
          <w:kern w:val="0"/>
          <w:szCs w:val="20"/>
          <w:highlight w:val="none"/>
        </w:rPr>
        <w:t xml:space="preserve">17.2.1. </w:t>
      </w:r>
      <w:r>
        <w:rPr>
          <w:rFonts w:hint="eastAsia" w:ascii="宋体" w:hAnsi="Arial"/>
          <w:color w:val="000000"/>
          <w:kern w:val="0"/>
          <w:szCs w:val="20"/>
          <w:highlight w:val="none"/>
        </w:rPr>
        <w:t>本合同采用工程量清单计价模式，暂定总价；分部分项工程采用固定综合单价包干；措施项目费【除按系数计算的安全生产措施费采用费率包干外】采用固定总价包干；其他项目费采用固定总价包干；安全生产措施费如按合同计算的费率超出定额规定的费率时，进度支付和结算按定额规定的费率计算；如按合同计算的费率低于定额规定的费率时，则按合同计算的费率计算，合同另有约定可调整的除外</w:t>
      </w:r>
      <w:r>
        <w:rPr>
          <w:rFonts w:hint="eastAsia" w:ascii="宋体" w:hAnsi="宋体"/>
          <w:kern w:val="0"/>
          <w:szCs w:val="20"/>
          <w:highlight w:val="none"/>
        </w:rPr>
        <w:t>。</w:t>
      </w:r>
    </w:p>
    <w:p w14:paraId="326EF0EC">
      <w:pPr>
        <w:adjustRightInd w:val="0"/>
        <w:snapToGrid w:val="0"/>
        <w:spacing w:line="360" w:lineRule="auto"/>
        <w:ind w:firstLine="420" w:firstLineChars="200"/>
        <w:rPr>
          <w:rFonts w:ascii="Times New Roman" w:hAnsi="Times New Roman"/>
          <w:szCs w:val="24"/>
          <w:highlight w:val="none"/>
        </w:rPr>
      </w:pPr>
      <w:r>
        <w:rPr>
          <w:rFonts w:hint="eastAsia" w:ascii="宋体" w:hAnsi="宋体"/>
          <w:snapToGrid w:val="0"/>
          <w:kern w:val="0"/>
          <w:szCs w:val="20"/>
          <w:highlight w:val="none"/>
        </w:rPr>
        <w:t>2）工程量清单的计价基础：</w:t>
      </w:r>
    </w:p>
    <w:p w14:paraId="4FDCAD4F">
      <w:pPr>
        <w:spacing w:line="360" w:lineRule="auto"/>
        <w:ind w:firstLine="420" w:firstLineChars="200"/>
        <w:rPr>
          <w:rFonts w:ascii="宋体" w:hAnsi="宋体"/>
          <w:snapToGrid w:val="0"/>
          <w:kern w:val="0"/>
          <w:szCs w:val="20"/>
          <w:highlight w:val="none"/>
        </w:rPr>
      </w:pPr>
      <w:r>
        <w:rPr>
          <w:rFonts w:hint="eastAsia" w:ascii="宋体" w:hAnsi="宋体"/>
          <w:snapToGrid w:val="0"/>
          <w:kern w:val="0"/>
          <w:szCs w:val="20"/>
          <w:highlight w:val="none"/>
        </w:rPr>
        <w:t>a)</w:t>
      </w:r>
      <w:r>
        <w:rPr>
          <w:rFonts w:hint="eastAsia" w:ascii="宋体" w:hAnsi="宋体"/>
          <w:snapToGrid w:val="0"/>
          <w:kern w:val="0"/>
          <w:szCs w:val="20"/>
          <w:highlight w:val="none"/>
        </w:rPr>
        <w:tab/>
      </w:r>
      <w:r>
        <w:rPr>
          <w:rFonts w:hint="eastAsia" w:ascii="宋体" w:hAnsi="宋体"/>
          <w:snapToGrid w:val="0"/>
          <w:kern w:val="0"/>
          <w:szCs w:val="20"/>
          <w:highlight w:val="none"/>
        </w:rPr>
        <w:t>包含在合同内的工程的内容以合同图纸或合同规范、技术要求为准。工程量清单所说明的只作为解释或补充之用。</w:t>
      </w:r>
    </w:p>
    <w:p w14:paraId="04E64622">
      <w:pPr>
        <w:spacing w:line="360" w:lineRule="auto"/>
        <w:ind w:firstLine="420" w:firstLineChars="200"/>
        <w:rPr>
          <w:rFonts w:ascii="宋体" w:hAnsi="宋体"/>
          <w:snapToGrid w:val="0"/>
          <w:kern w:val="0"/>
          <w:szCs w:val="20"/>
          <w:highlight w:val="none"/>
        </w:rPr>
      </w:pPr>
      <w:r>
        <w:rPr>
          <w:rFonts w:hint="eastAsia" w:ascii="宋体" w:hAnsi="宋体"/>
          <w:snapToGrid w:val="0"/>
          <w:kern w:val="0"/>
          <w:szCs w:val="20"/>
          <w:highlight w:val="none"/>
        </w:rPr>
        <w:t>b)</w:t>
      </w:r>
      <w:r>
        <w:rPr>
          <w:rFonts w:hint="eastAsia" w:ascii="宋体" w:hAnsi="宋体"/>
          <w:snapToGrid w:val="0"/>
          <w:kern w:val="0"/>
          <w:szCs w:val="20"/>
          <w:highlight w:val="none"/>
        </w:rPr>
        <w:tab/>
      </w:r>
      <w:r>
        <w:rPr>
          <w:rFonts w:hint="eastAsia" w:ascii="宋体" w:hAnsi="宋体" w:cs="宋体"/>
          <w:kern w:val="0"/>
          <w:szCs w:val="21"/>
          <w:highlight w:val="none"/>
        </w:rPr>
        <w:t>工程量清单</w:t>
      </w:r>
      <w:r>
        <w:rPr>
          <w:rFonts w:hint="eastAsia" w:ascii="宋体" w:hAnsi="宋体"/>
          <w:snapToGrid w:val="0"/>
          <w:kern w:val="0"/>
          <w:szCs w:val="20"/>
          <w:highlight w:val="none"/>
        </w:rPr>
        <w:t>以图纸为基础进行计算，结算时按经发包人认可的实际施工的竣工图作为计算基础。</w:t>
      </w:r>
    </w:p>
    <w:p w14:paraId="26A514C3">
      <w:pPr>
        <w:spacing w:line="360" w:lineRule="auto"/>
        <w:ind w:firstLine="420" w:firstLineChars="200"/>
        <w:rPr>
          <w:rFonts w:ascii="Times New Roman" w:hAnsi="Times New Roman"/>
          <w:szCs w:val="24"/>
          <w:highlight w:val="none"/>
        </w:rPr>
      </w:pPr>
      <w:r>
        <w:rPr>
          <w:rFonts w:hint="eastAsia" w:ascii="宋体" w:hAnsi="宋体"/>
          <w:snapToGrid w:val="0"/>
          <w:kern w:val="0"/>
          <w:szCs w:val="20"/>
          <w:highlight w:val="none"/>
        </w:rPr>
        <w:t>c)</w:t>
      </w:r>
      <w:r>
        <w:rPr>
          <w:rFonts w:hint="eastAsia" w:ascii="宋体" w:hAnsi="宋体"/>
          <w:snapToGrid w:val="0"/>
          <w:kern w:val="0"/>
          <w:szCs w:val="20"/>
          <w:highlight w:val="none"/>
        </w:rPr>
        <w:tab/>
      </w:r>
      <w:r>
        <w:rPr>
          <w:rFonts w:hint="eastAsia" w:ascii="Times New Roman" w:hAnsi="Arial"/>
          <w:bCs/>
          <w:szCs w:val="20"/>
          <w:highlight w:val="none"/>
        </w:rPr>
        <w:t>承包人</w:t>
      </w:r>
      <w:r>
        <w:rPr>
          <w:rFonts w:hint="eastAsia" w:ascii="宋体" w:hAnsi="宋体"/>
          <w:snapToGrid w:val="0"/>
          <w:kern w:val="0"/>
          <w:szCs w:val="20"/>
          <w:highlight w:val="none"/>
        </w:rPr>
        <w:t>不能只根据工程量清单所述数量及尺寸而不参考图纸或不进行实地量度而订购物料或进行施工。</w:t>
      </w:r>
      <w:r>
        <w:rPr>
          <w:rFonts w:hint="eastAsia" w:ascii="Times New Roman" w:hAnsi="Arial"/>
          <w:bCs/>
          <w:szCs w:val="20"/>
          <w:highlight w:val="none"/>
        </w:rPr>
        <w:t>承包人</w:t>
      </w:r>
      <w:r>
        <w:rPr>
          <w:rFonts w:hint="eastAsia" w:ascii="宋体" w:hAnsi="宋体"/>
          <w:snapToGrid w:val="0"/>
          <w:kern w:val="0"/>
          <w:szCs w:val="20"/>
          <w:highlight w:val="none"/>
        </w:rPr>
        <w:t>因不采取这些步骤而引致错误或物料或工作浪费或不足的，须自行承担其损失和责任。</w:t>
      </w:r>
    </w:p>
    <w:p w14:paraId="765C8407">
      <w:pPr>
        <w:spacing w:line="360" w:lineRule="auto"/>
        <w:ind w:firstLine="420" w:firstLineChars="200"/>
        <w:rPr>
          <w:rFonts w:ascii="宋体" w:hAnsi="宋体"/>
          <w:snapToGrid w:val="0"/>
          <w:kern w:val="0"/>
          <w:szCs w:val="20"/>
          <w:highlight w:val="none"/>
        </w:rPr>
      </w:pPr>
      <w:r>
        <w:rPr>
          <w:rFonts w:hint="eastAsia" w:ascii="宋体" w:hAnsi="宋体"/>
          <w:snapToGrid w:val="0"/>
          <w:kern w:val="0"/>
          <w:szCs w:val="20"/>
          <w:highlight w:val="none"/>
        </w:rPr>
        <w:t>d</w:t>
      </w:r>
      <w:r>
        <w:rPr>
          <w:rFonts w:ascii="宋体" w:hAnsi="宋体"/>
          <w:snapToGrid w:val="0"/>
          <w:kern w:val="0"/>
          <w:szCs w:val="20"/>
          <w:highlight w:val="none"/>
        </w:rPr>
        <w:t>)</w:t>
      </w:r>
      <w:r>
        <w:rPr>
          <w:rFonts w:ascii="宋体" w:hAnsi="宋体" w:cs="宋体"/>
          <w:kern w:val="0"/>
          <w:szCs w:val="21"/>
          <w:highlight w:val="none"/>
        </w:rPr>
        <w:t>工程量清单</w:t>
      </w:r>
      <w:r>
        <w:rPr>
          <w:rFonts w:ascii="宋体" w:hAnsi="宋体"/>
          <w:snapToGrid w:val="0"/>
          <w:kern w:val="0"/>
          <w:szCs w:val="20"/>
          <w:highlight w:val="none"/>
        </w:rPr>
        <w:t>编制说明以发包人提供的招标文件为准。</w:t>
      </w:r>
    </w:p>
    <w:p w14:paraId="2D3869ED">
      <w:pPr>
        <w:adjustRightInd w:val="0"/>
        <w:snapToGrid w:val="0"/>
        <w:spacing w:line="360" w:lineRule="auto"/>
        <w:ind w:firstLine="420" w:firstLineChars="200"/>
        <w:rPr>
          <w:rFonts w:ascii="宋体" w:hAnsi="宋体"/>
          <w:snapToGrid w:val="0"/>
          <w:kern w:val="0"/>
          <w:szCs w:val="20"/>
          <w:highlight w:val="none"/>
        </w:rPr>
      </w:pPr>
      <w:r>
        <w:rPr>
          <w:rFonts w:hint="eastAsia" w:ascii="宋体" w:hAnsi="宋体"/>
          <w:snapToGrid w:val="0"/>
          <w:kern w:val="0"/>
          <w:szCs w:val="20"/>
          <w:highlight w:val="none"/>
        </w:rPr>
        <w:t>4） 风险费用的计算方法：已包含在综合单价中，包括但不限于的风险范围如下：</w:t>
      </w:r>
    </w:p>
    <w:p w14:paraId="60D08E6A">
      <w:pPr>
        <w:numPr>
          <w:ilvl w:val="0"/>
          <w:numId w:val="6"/>
        </w:numPr>
        <w:adjustRightInd w:val="0"/>
        <w:snapToGrid w:val="0"/>
        <w:spacing w:line="360" w:lineRule="auto"/>
        <w:ind w:left="0" w:firstLine="420" w:firstLineChars="200"/>
        <w:rPr>
          <w:rFonts w:ascii="宋体" w:hAnsi="宋体"/>
          <w:snapToGrid w:val="0"/>
          <w:kern w:val="0"/>
          <w:szCs w:val="24"/>
          <w:highlight w:val="none"/>
        </w:rPr>
      </w:pPr>
      <w:r>
        <w:rPr>
          <w:rFonts w:hint="eastAsia" w:ascii="宋体" w:hAnsi="宋体"/>
          <w:snapToGrid w:val="0"/>
          <w:kern w:val="0"/>
          <w:szCs w:val="24"/>
          <w:highlight w:val="none"/>
        </w:rPr>
        <w:t>人工费、材料费、机械费、设备的市场价格变化（合同另有明确约定的除外）；</w:t>
      </w:r>
    </w:p>
    <w:p w14:paraId="514028E5">
      <w:pPr>
        <w:numPr>
          <w:ilvl w:val="0"/>
          <w:numId w:val="6"/>
        </w:numPr>
        <w:adjustRightInd w:val="0"/>
        <w:snapToGrid w:val="0"/>
        <w:spacing w:line="360" w:lineRule="auto"/>
        <w:ind w:left="0" w:firstLine="420" w:firstLineChars="200"/>
        <w:rPr>
          <w:rFonts w:ascii="宋体" w:hAnsi="宋体"/>
          <w:snapToGrid w:val="0"/>
          <w:kern w:val="0"/>
          <w:szCs w:val="24"/>
          <w:highlight w:val="none"/>
        </w:rPr>
      </w:pPr>
      <w:r>
        <w:rPr>
          <w:rFonts w:hint="eastAsia" w:ascii="宋体" w:hAnsi="宋体"/>
          <w:snapToGrid w:val="0"/>
          <w:kern w:val="0"/>
          <w:szCs w:val="24"/>
          <w:highlight w:val="none"/>
        </w:rPr>
        <w:t>包括但不限于利率、汇率或相关法律法规政策的调整；</w:t>
      </w:r>
    </w:p>
    <w:p w14:paraId="754ECECA">
      <w:pPr>
        <w:numPr>
          <w:ilvl w:val="0"/>
          <w:numId w:val="6"/>
        </w:numPr>
        <w:adjustRightInd w:val="0"/>
        <w:snapToGrid w:val="0"/>
        <w:spacing w:line="360" w:lineRule="auto"/>
        <w:ind w:left="0" w:firstLine="420" w:firstLineChars="200"/>
        <w:rPr>
          <w:rFonts w:ascii="宋体" w:hAnsi="宋体"/>
          <w:snapToGrid w:val="0"/>
          <w:kern w:val="0"/>
          <w:szCs w:val="24"/>
          <w:highlight w:val="none"/>
        </w:rPr>
      </w:pPr>
      <w:r>
        <w:rPr>
          <w:rFonts w:hint="eastAsia" w:ascii="宋体" w:hAnsi="宋体"/>
          <w:snapToGrid w:val="0"/>
          <w:kern w:val="0"/>
          <w:szCs w:val="24"/>
          <w:highlight w:val="none"/>
        </w:rPr>
        <w:t>承包商、施工单位通常可以预料的风险；</w:t>
      </w:r>
    </w:p>
    <w:p w14:paraId="1FA4CF7C">
      <w:pPr>
        <w:numPr>
          <w:ilvl w:val="0"/>
          <w:numId w:val="6"/>
        </w:numPr>
        <w:adjustRightInd w:val="0"/>
        <w:snapToGrid w:val="0"/>
        <w:spacing w:line="360" w:lineRule="auto"/>
        <w:ind w:left="0" w:firstLine="420" w:firstLineChars="200"/>
        <w:rPr>
          <w:rFonts w:ascii="宋体" w:hAnsi="宋体"/>
          <w:snapToGrid w:val="0"/>
          <w:kern w:val="0"/>
          <w:szCs w:val="24"/>
          <w:highlight w:val="none"/>
        </w:rPr>
      </w:pPr>
      <w:r>
        <w:rPr>
          <w:rFonts w:hint="eastAsia" w:ascii="宋体" w:hAnsi="宋体"/>
          <w:snapToGrid w:val="0"/>
          <w:kern w:val="0"/>
          <w:szCs w:val="24"/>
          <w:highlight w:val="none"/>
        </w:rPr>
        <w:t>图纸虽未明确表示但按国家或地方规范必须实施的内容；</w:t>
      </w:r>
    </w:p>
    <w:p w14:paraId="739EBCA2">
      <w:pPr>
        <w:numPr>
          <w:ilvl w:val="0"/>
          <w:numId w:val="6"/>
        </w:numPr>
        <w:adjustRightInd w:val="0"/>
        <w:snapToGrid w:val="0"/>
        <w:spacing w:line="360" w:lineRule="auto"/>
        <w:ind w:left="0" w:firstLine="420" w:firstLineChars="200"/>
        <w:rPr>
          <w:rFonts w:ascii="宋体" w:hAnsi="宋体"/>
          <w:snapToGrid w:val="0"/>
          <w:kern w:val="0"/>
          <w:szCs w:val="24"/>
          <w:highlight w:val="none"/>
        </w:rPr>
      </w:pPr>
      <w:r>
        <w:rPr>
          <w:rFonts w:hint="eastAsia" w:ascii="宋体" w:hAnsi="宋体"/>
          <w:snapToGrid w:val="0"/>
          <w:kern w:val="0"/>
          <w:szCs w:val="24"/>
          <w:highlight w:val="none"/>
        </w:rPr>
        <w:t>承包人投标时漏报的但属于发包人要求做的内容。</w:t>
      </w:r>
    </w:p>
    <w:p w14:paraId="7ABBDDCD">
      <w:pPr>
        <w:adjustRightInd w:val="0"/>
        <w:snapToGrid w:val="0"/>
        <w:spacing w:line="360" w:lineRule="auto"/>
        <w:ind w:firstLine="420" w:firstLineChars="200"/>
        <w:rPr>
          <w:rFonts w:ascii="宋体" w:hAnsi="宋体"/>
          <w:snapToGrid w:val="0"/>
          <w:kern w:val="0"/>
          <w:szCs w:val="20"/>
          <w:highlight w:val="none"/>
        </w:rPr>
      </w:pPr>
      <w:r>
        <w:rPr>
          <w:rFonts w:hint="eastAsia" w:ascii="宋体" w:hAnsi="宋体"/>
          <w:snapToGrid w:val="0"/>
          <w:kern w:val="0"/>
          <w:szCs w:val="20"/>
          <w:highlight w:val="none"/>
        </w:rPr>
        <w:t>6） 双方约定其他可调整合同暂定总价的情况：</w:t>
      </w:r>
    </w:p>
    <w:p w14:paraId="67E3FBE1">
      <w:pPr>
        <w:adjustRightInd w:val="0"/>
        <w:snapToGrid w:val="0"/>
        <w:spacing w:line="360" w:lineRule="auto"/>
        <w:ind w:firstLine="420" w:firstLineChars="200"/>
        <w:rPr>
          <w:rFonts w:ascii="宋体" w:hAnsi="宋体"/>
          <w:szCs w:val="24"/>
          <w:highlight w:val="none"/>
        </w:rPr>
      </w:pPr>
      <w:r>
        <w:rPr>
          <w:rFonts w:hint="eastAsia" w:ascii="宋体" w:hAnsi="宋体"/>
          <w:szCs w:val="24"/>
          <w:highlight w:val="none"/>
        </w:rPr>
        <w:t>① 合同图纸与已标价的工程量清单不一致的；</w:t>
      </w:r>
    </w:p>
    <w:p w14:paraId="4825056C">
      <w:pPr>
        <w:numPr>
          <w:ilvl w:val="0"/>
          <w:numId w:val="7"/>
        </w:numPr>
        <w:adjustRightInd w:val="0"/>
        <w:snapToGrid w:val="0"/>
        <w:spacing w:line="360" w:lineRule="auto"/>
        <w:ind w:left="0" w:firstLine="420" w:firstLineChars="200"/>
        <w:rPr>
          <w:rFonts w:ascii="宋体" w:hAnsi="宋体"/>
          <w:szCs w:val="24"/>
          <w:highlight w:val="none"/>
        </w:rPr>
      </w:pPr>
      <w:r>
        <w:rPr>
          <w:rFonts w:hint="eastAsia" w:ascii="宋体" w:hAnsi="宋体"/>
          <w:snapToGrid w:val="0"/>
          <w:kern w:val="0"/>
          <w:szCs w:val="24"/>
          <w:highlight w:val="none"/>
        </w:rPr>
        <w:t>经设计人确认且发包人同意的设计变更</w:t>
      </w:r>
      <w:r>
        <w:rPr>
          <w:rFonts w:hint="eastAsia" w:ascii="宋体" w:hAnsi="宋体"/>
          <w:szCs w:val="24"/>
          <w:highlight w:val="none"/>
        </w:rPr>
        <w:t>；</w:t>
      </w:r>
    </w:p>
    <w:p w14:paraId="105DEA79">
      <w:pPr>
        <w:numPr>
          <w:ilvl w:val="0"/>
          <w:numId w:val="7"/>
        </w:numPr>
        <w:adjustRightInd w:val="0"/>
        <w:snapToGrid w:val="0"/>
        <w:spacing w:line="360" w:lineRule="auto"/>
        <w:ind w:left="0" w:firstLine="420" w:firstLineChars="200"/>
        <w:rPr>
          <w:rFonts w:ascii="宋体" w:hAnsi="宋体"/>
          <w:snapToGrid w:val="0"/>
          <w:kern w:val="0"/>
          <w:szCs w:val="24"/>
          <w:highlight w:val="none"/>
        </w:rPr>
      </w:pPr>
      <w:r>
        <w:rPr>
          <w:rFonts w:hint="eastAsia" w:ascii="宋体" w:hAnsi="宋体"/>
          <w:snapToGrid w:val="0"/>
          <w:kern w:val="0"/>
          <w:szCs w:val="24"/>
          <w:highlight w:val="none"/>
        </w:rPr>
        <w:t>经发包人确认的签证；</w:t>
      </w:r>
    </w:p>
    <w:p w14:paraId="02A33B51">
      <w:pPr>
        <w:numPr>
          <w:ilvl w:val="0"/>
          <w:numId w:val="7"/>
        </w:numPr>
        <w:adjustRightInd w:val="0"/>
        <w:snapToGrid w:val="0"/>
        <w:spacing w:line="360" w:lineRule="auto"/>
        <w:ind w:left="0" w:firstLine="420" w:firstLineChars="200"/>
        <w:rPr>
          <w:rFonts w:ascii="宋体" w:hAnsi="宋体"/>
          <w:snapToGrid w:val="0"/>
          <w:kern w:val="0"/>
          <w:szCs w:val="24"/>
          <w:highlight w:val="none"/>
        </w:rPr>
      </w:pPr>
      <w:r>
        <w:rPr>
          <w:rFonts w:hint="eastAsia" w:ascii="宋体" w:hAnsi="宋体"/>
          <w:snapToGrid w:val="0"/>
          <w:kern w:val="0"/>
          <w:szCs w:val="24"/>
          <w:highlight w:val="none"/>
        </w:rPr>
        <w:t>专用条款第16条所约定的价格调整情形；</w:t>
      </w:r>
    </w:p>
    <w:p w14:paraId="1CA94E9F">
      <w:pPr>
        <w:numPr>
          <w:ilvl w:val="0"/>
          <w:numId w:val="7"/>
        </w:numPr>
        <w:adjustRightInd w:val="0"/>
        <w:snapToGrid w:val="0"/>
        <w:spacing w:line="360" w:lineRule="auto"/>
        <w:ind w:left="0" w:firstLine="420" w:firstLineChars="200"/>
        <w:rPr>
          <w:rFonts w:ascii="宋体" w:hAnsi="宋体"/>
          <w:snapToGrid w:val="0"/>
          <w:kern w:val="0"/>
          <w:szCs w:val="24"/>
          <w:highlight w:val="none"/>
        </w:rPr>
      </w:pPr>
      <w:r>
        <w:rPr>
          <w:rFonts w:hint="eastAsia" w:ascii="宋体" w:hAnsi="宋体"/>
          <w:snapToGrid w:val="0"/>
          <w:kern w:val="0"/>
          <w:szCs w:val="24"/>
          <w:highlight w:val="none"/>
        </w:rPr>
        <w:t>有双方在合同中约定可调整合同价款的其他情形。</w:t>
      </w:r>
    </w:p>
    <w:p w14:paraId="24331850">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 xml:space="preserve">7）在本合同工程范围内同样的清单编号、同样的项目特征描述出现不同的综合单价，按最低的综合单价执行。 </w:t>
      </w:r>
    </w:p>
    <w:p w14:paraId="5E98F884">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8）发包人向承包人提供有关项目现场的资料，仅供承包人设计和报价时参考，承包人已仔细研究有关资料，并了解场地附近的有关情况，合同价款已包含了实际施工中可能发生的风险（包括但不限于现场情况与踏勘结果的差距；工程施工对附近场地、建筑物、构筑物的影响和处理影响所发生的费用；各种罚款包括对本合同工程施工方工程施工手续不全的罚款；物价调整（合同约定的材料除外）；政策变化（税金调整除外）等）。</w:t>
      </w:r>
    </w:p>
    <w:p w14:paraId="7B5896BF">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9)承包人在签署本合同前已仔细核对合同图纸，并深刻消化、领会和接受了合同图纸的设计意图。合同文件中（含合同图纸之间、合同图纸与标准、规范及工程技术要求之间或合同文件之间）如有矛盾、缺陷或错误之处，应理解为矛盾、缺陷或错误之处的解决已综合考虑在合同价款和工期内。</w:t>
      </w:r>
    </w:p>
    <w:p w14:paraId="6A9D9AF5">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10)按国家及地方政府规定由承包人缴纳的各种税款及费用已包含在合同价款内，由承包人自行向税务等部门缴纳，发包人不负代付代缴义务。但发包人认为有必要代付代缴时，有权从支付给承包人的任何费用中予以扣除代付代缴的费用。</w:t>
      </w:r>
    </w:p>
    <w:p w14:paraId="72E6CEC9">
      <w:pPr>
        <w:adjustRightInd w:val="0"/>
        <w:snapToGrid w:val="0"/>
        <w:spacing w:line="360" w:lineRule="auto"/>
        <w:ind w:firstLine="420" w:firstLineChars="200"/>
        <w:jc w:val="left"/>
        <w:outlineLvl w:val="3"/>
        <w:rPr>
          <w:rFonts w:ascii="宋体" w:hAnsi="宋体"/>
          <w:kern w:val="0"/>
          <w:szCs w:val="24"/>
          <w:highlight w:val="none"/>
        </w:rPr>
      </w:pPr>
      <w:r>
        <w:rPr>
          <w:rFonts w:hint="eastAsia" w:ascii="宋体" w:hAnsi="宋体"/>
          <w:kern w:val="0"/>
          <w:szCs w:val="24"/>
          <w:highlight w:val="none"/>
        </w:rPr>
        <w:t>17.2.2 工程款支付方式（本条款仅适用于自行施工部分，暂估价工程、服务、材料和工程设备详见其分包合同）</w:t>
      </w:r>
    </w:p>
    <w:p w14:paraId="62372A28">
      <w:pPr>
        <w:adjustRightInd w:val="0"/>
        <w:snapToGrid w:val="0"/>
        <w:spacing w:line="360" w:lineRule="auto"/>
        <w:ind w:firstLine="420" w:firstLineChars="200"/>
        <w:jc w:val="left"/>
        <w:outlineLvl w:val="3"/>
        <w:rPr>
          <w:rFonts w:ascii="宋体" w:hAnsi="宋体"/>
          <w:kern w:val="0"/>
          <w:szCs w:val="24"/>
          <w:highlight w:val="none"/>
        </w:rPr>
      </w:pPr>
      <w:r>
        <w:rPr>
          <w:rFonts w:hint="eastAsia" w:ascii="宋体" w:hAnsi="宋体"/>
          <w:kern w:val="0"/>
          <w:szCs w:val="24"/>
          <w:highlight w:val="none"/>
        </w:rPr>
        <w:t>1）合同每期含税应付工程款50%采用现金支付；50%非现金支付，账期为6个月。</w:t>
      </w:r>
    </w:p>
    <w:p w14:paraId="3BE8719A">
      <w:pPr>
        <w:adjustRightInd w:val="0"/>
        <w:snapToGrid w:val="0"/>
        <w:spacing w:line="360" w:lineRule="auto"/>
        <w:ind w:firstLine="420" w:firstLineChars="200"/>
        <w:jc w:val="left"/>
        <w:outlineLvl w:val="3"/>
        <w:rPr>
          <w:rFonts w:ascii="宋体" w:hAnsi="宋体"/>
          <w:kern w:val="0"/>
          <w:szCs w:val="24"/>
          <w:highlight w:val="none"/>
        </w:rPr>
      </w:pPr>
      <w:r>
        <w:rPr>
          <w:rFonts w:hint="eastAsia" w:ascii="宋体" w:hAnsi="宋体"/>
          <w:kern w:val="0"/>
          <w:szCs w:val="24"/>
          <w:highlight w:val="none"/>
        </w:rPr>
        <w:t>2）采用非现金支付，承包人在签收、登记或确认发包人开具的商业汇票（包括银行承兑汇票、财务公司承兑汇票和商业承兑汇票）、供应链票据/凭证时，视同已完成非现金支付部分合同款付款，发包人对应的应付合同款转为应履行相应商业汇票、供应链票据/凭证项下的兑付义务；承包人在商业汇票、供应链票据/凭证到期前进行贴现的，所有贴现相关费用由承包人自行承担；承包人将上述账期内对应的应收账款转让给保理公司进行保理融资的，由承包人与保理公司另行签署保理融资协议或合同，所有保理相关费用由承包人自行承担。</w:t>
      </w:r>
    </w:p>
    <w:p w14:paraId="24C9013C">
      <w:pPr>
        <w:adjustRightInd w:val="0"/>
        <w:snapToGrid w:val="0"/>
        <w:spacing w:line="360" w:lineRule="auto"/>
        <w:ind w:firstLine="420" w:firstLineChars="200"/>
        <w:jc w:val="left"/>
        <w:outlineLvl w:val="3"/>
        <w:rPr>
          <w:rFonts w:ascii="宋体" w:hAnsi="宋体"/>
          <w:kern w:val="0"/>
          <w:szCs w:val="24"/>
          <w:highlight w:val="none"/>
        </w:rPr>
      </w:pPr>
      <w:r>
        <w:rPr>
          <w:rFonts w:hint="eastAsia" w:ascii="宋体" w:hAnsi="宋体"/>
          <w:kern w:val="0"/>
          <w:szCs w:val="24"/>
          <w:highlight w:val="none"/>
        </w:rPr>
        <w:t>3）在发包人向承包人付款（含非现金支付部分）前，承包人须向发包人提供经发包人审核同意的足额增值税专用发票；发包人采用非现金支付方式的，承包人同意无条件配合办理开具商业承兑汇票、供应链票据/凭证等支付工作的相关手续，否则视同承包人违约，发包人可延后办理对应非现金付款手续且不承担任何责任。</w:t>
      </w:r>
    </w:p>
    <w:p w14:paraId="1007B66F">
      <w:pPr>
        <w:adjustRightInd w:val="0"/>
        <w:snapToGrid w:val="0"/>
        <w:spacing w:line="360" w:lineRule="auto"/>
        <w:ind w:firstLine="420" w:firstLineChars="200"/>
        <w:jc w:val="left"/>
        <w:outlineLvl w:val="3"/>
        <w:rPr>
          <w:rFonts w:ascii="宋体" w:hAnsi="宋体"/>
          <w:kern w:val="0"/>
          <w:szCs w:val="24"/>
          <w:highlight w:val="none"/>
        </w:rPr>
      </w:pPr>
      <w:r>
        <w:rPr>
          <w:rFonts w:hint="eastAsia" w:ascii="宋体" w:hAnsi="宋体"/>
          <w:kern w:val="0"/>
          <w:szCs w:val="24"/>
          <w:highlight w:val="none"/>
        </w:rPr>
        <w:t>4）支付每期应付合同款时，对本工程50%的非现金支付合同价款：如发包人选择使用现金支付方式向承包人支付的，承包人无条件同意 ，按该50%非现金支付合同价款的97.5%支付该期应付工程款的非现金支付部分，并确认该期应付工程款的50%非现金支付部分已按现金支付方式足额支付。</w:t>
      </w:r>
    </w:p>
    <w:p w14:paraId="65CD7CC8">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17.3.</w:t>
      </w:r>
      <w:r>
        <w:rPr>
          <w:rFonts w:hint="eastAsia" w:ascii="宋体" w:hAnsi="宋体"/>
          <w:b/>
          <w:bCs/>
          <w:kern w:val="0"/>
          <w:szCs w:val="21"/>
          <w:highlight w:val="none"/>
        </w:rPr>
        <w:tab/>
      </w:r>
      <w:r>
        <w:rPr>
          <w:rFonts w:hint="eastAsia" w:ascii="宋体" w:hAnsi="宋体"/>
          <w:b/>
          <w:bCs/>
          <w:kern w:val="0"/>
          <w:szCs w:val="21"/>
          <w:highlight w:val="none"/>
        </w:rPr>
        <w:t>总承包服务费</w:t>
      </w:r>
    </w:p>
    <w:p w14:paraId="2DCDA9CD">
      <w:pPr>
        <w:adjustRightInd w:val="0"/>
        <w:snapToGrid w:val="0"/>
        <w:spacing w:line="360" w:lineRule="auto"/>
        <w:ind w:firstLine="420" w:firstLineChars="200"/>
        <w:jc w:val="left"/>
        <w:outlineLvl w:val="3"/>
        <w:rPr>
          <w:rFonts w:ascii="宋体" w:hAnsi="宋体"/>
          <w:snapToGrid w:val="0"/>
          <w:kern w:val="0"/>
          <w:szCs w:val="20"/>
          <w:highlight w:val="none"/>
        </w:rPr>
      </w:pPr>
      <w:r>
        <w:rPr>
          <w:rFonts w:hint="eastAsia" w:ascii="宋体" w:hAnsi="宋体"/>
          <w:snapToGrid w:val="0"/>
          <w:kern w:val="0"/>
          <w:szCs w:val="20"/>
          <w:highlight w:val="none"/>
        </w:rPr>
        <w:t>17.3.1.</w:t>
      </w:r>
      <w:r>
        <w:rPr>
          <w:rFonts w:hint="eastAsia" w:ascii="宋体" w:hAnsi="宋体"/>
          <w:snapToGrid w:val="0"/>
          <w:kern w:val="0"/>
          <w:szCs w:val="20"/>
          <w:highlight w:val="none"/>
        </w:rPr>
        <w:tab/>
      </w:r>
      <w:r>
        <w:rPr>
          <w:rFonts w:hint="eastAsia" w:ascii="宋体" w:hAnsi="宋体"/>
          <w:snapToGrid w:val="0"/>
          <w:kern w:val="0"/>
          <w:szCs w:val="20"/>
          <w:highlight w:val="none"/>
        </w:rPr>
        <w:t>总承包服务费对应的总包服务、管理、配合工作内容详见总承包合同附件《总承包管理与配合服务管理要求》。</w:t>
      </w:r>
    </w:p>
    <w:p w14:paraId="28AD010F">
      <w:pPr>
        <w:adjustRightInd w:val="0"/>
        <w:snapToGrid w:val="0"/>
        <w:spacing w:line="360" w:lineRule="auto"/>
        <w:ind w:firstLine="420" w:firstLineChars="200"/>
        <w:jc w:val="left"/>
        <w:outlineLvl w:val="3"/>
        <w:rPr>
          <w:rFonts w:ascii="宋体" w:hAnsi="宋体"/>
          <w:snapToGrid w:val="0"/>
          <w:kern w:val="0"/>
          <w:szCs w:val="20"/>
          <w:highlight w:val="none"/>
        </w:rPr>
      </w:pPr>
      <w:r>
        <w:rPr>
          <w:rFonts w:hint="eastAsia" w:ascii="宋体" w:hAnsi="宋体"/>
          <w:snapToGrid w:val="0"/>
          <w:kern w:val="0"/>
          <w:szCs w:val="20"/>
          <w:highlight w:val="none"/>
        </w:rPr>
        <w:t>17.3.2.</w:t>
      </w:r>
      <w:r>
        <w:rPr>
          <w:rFonts w:hint="eastAsia" w:ascii="宋体" w:hAnsi="宋体"/>
          <w:snapToGrid w:val="0"/>
          <w:kern w:val="0"/>
          <w:szCs w:val="20"/>
          <w:highlight w:val="none"/>
        </w:rPr>
        <w:tab/>
      </w:r>
      <w:r>
        <w:rPr>
          <w:rFonts w:hint="eastAsia" w:ascii="宋体" w:hAnsi="宋体"/>
          <w:snapToGrid w:val="0"/>
          <w:kern w:val="0"/>
          <w:szCs w:val="20"/>
          <w:highlight w:val="none"/>
        </w:rPr>
        <w:t>与《总承包管理与配合服务管理要求》相对应的总承包服务费已由发包人统一向总承包人支付。</w:t>
      </w:r>
    </w:p>
    <w:p w14:paraId="200BF073">
      <w:pPr>
        <w:numPr>
          <w:ilvl w:val="2"/>
          <w:numId w:val="0"/>
        </w:numPr>
        <w:adjustRightInd w:val="0"/>
        <w:snapToGrid w:val="0"/>
        <w:spacing w:line="360" w:lineRule="auto"/>
        <w:jc w:val="left"/>
        <w:outlineLvl w:val="2"/>
        <w:rPr>
          <w:rFonts w:ascii="宋体" w:hAnsi="Arial"/>
          <w:b/>
          <w:kern w:val="0"/>
          <w:szCs w:val="20"/>
          <w:highlight w:val="none"/>
        </w:rPr>
      </w:pPr>
      <w:r>
        <w:rPr>
          <w:rFonts w:hint="eastAsia" w:ascii="宋体" w:hAnsi="Arial"/>
          <w:b/>
          <w:kern w:val="0"/>
          <w:szCs w:val="20"/>
          <w:highlight w:val="none"/>
        </w:rPr>
        <w:t>17.4.</w:t>
      </w:r>
      <w:r>
        <w:rPr>
          <w:rFonts w:hint="eastAsia" w:ascii="宋体" w:hAnsi="Arial"/>
          <w:b/>
          <w:kern w:val="0"/>
          <w:szCs w:val="20"/>
          <w:highlight w:val="none"/>
        </w:rPr>
        <w:tab/>
      </w:r>
      <w:r>
        <w:rPr>
          <w:rFonts w:hint="eastAsia" w:ascii="宋体" w:hAnsi="Arial"/>
          <w:b/>
          <w:kern w:val="0"/>
          <w:szCs w:val="20"/>
          <w:highlight w:val="none"/>
        </w:rPr>
        <w:t>预付款</w:t>
      </w:r>
    </w:p>
    <w:p w14:paraId="3496A48F">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本工程不设预付款。</w:t>
      </w:r>
    </w:p>
    <w:p w14:paraId="42760357">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17.5.</w:t>
      </w:r>
      <w:r>
        <w:rPr>
          <w:rFonts w:hint="eastAsia" w:ascii="宋体" w:hAnsi="宋体"/>
          <w:b/>
          <w:bCs/>
          <w:kern w:val="0"/>
          <w:szCs w:val="21"/>
          <w:highlight w:val="none"/>
        </w:rPr>
        <w:tab/>
      </w:r>
      <w:r>
        <w:rPr>
          <w:rFonts w:hint="eastAsia" w:ascii="宋体" w:hAnsi="宋体"/>
          <w:b/>
          <w:bCs/>
          <w:kern w:val="0"/>
          <w:szCs w:val="21"/>
          <w:highlight w:val="none"/>
        </w:rPr>
        <w:t>工程进度付款</w:t>
      </w:r>
    </w:p>
    <w:p w14:paraId="75BFE286">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17.5.2.工程进度款支付按照形象进度方式支付。</w:t>
      </w:r>
    </w:p>
    <w:p w14:paraId="1C760A76">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1）安全文明施工费支付方式：在本工程开工日起计第28天内，且承包人已向发包人提交满足本工程要求的安全生产措施</w:t>
      </w:r>
      <w:r>
        <w:rPr>
          <w:rFonts w:hint="eastAsia"/>
          <w:strike w:val="0"/>
          <w:color w:val="auto"/>
          <w:highlight w:val="none"/>
        </w:rPr>
        <w:t>、文明施工措施、环境保护措施</w:t>
      </w:r>
      <w:r>
        <w:rPr>
          <w:rFonts w:hint="eastAsia"/>
          <w:strike w:val="0"/>
          <w:color w:val="auto"/>
          <w:highlight w:val="none"/>
          <w:lang w:val="en-US" w:eastAsia="zh-CN"/>
        </w:rPr>
        <w:t>、</w:t>
      </w:r>
      <w:r>
        <w:rPr>
          <w:rFonts w:hint="eastAsia"/>
          <w:strike w:val="0"/>
          <w:color w:val="auto"/>
          <w:highlight w:val="none"/>
        </w:rPr>
        <w:t>临时设施措施</w:t>
      </w:r>
      <w:r>
        <w:rPr>
          <w:rFonts w:hint="eastAsia" w:ascii="宋体" w:hAnsi="宋体"/>
          <w:bCs/>
          <w:kern w:val="0"/>
          <w:szCs w:val="28"/>
          <w:highlight w:val="none"/>
        </w:rPr>
        <w:t>方案与计划后，承包人可向发包人申请预付安全生产措施费</w:t>
      </w:r>
      <w:r>
        <w:rPr>
          <w:rFonts w:hint="eastAsia"/>
          <w:strike w:val="0"/>
          <w:color w:val="auto"/>
          <w:highlight w:val="none"/>
        </w:rPr>
        <w:t>、文明施工措施费、环境保护措施费</w:t>
      </w:r>
      <w:r>
        <w:rPr>
          <w:rFonts w:hint="eastAsia"/>
          <w:strike w:val="0"/>
          <w:color w:val="auto"/>
          <w:highlight w:val="none"/>
          <w:lang w:val="en-US" w:eastAsia="zh-CN"/>
        </w:rPr>
        <w:t>、</w:t>
      </w:r>
      <w:r>
        <w:rPr>
          <w:rFonts w:hint="eastAsia"/>
          <w:strike w:val="0"/>
          <w:color w:val="auto"/>
          <w:highlight w:val="none"/>
        </w:rPr>
        <w:t>临时设施措施费</w:t>
      </w:r>
      <w:r>
        <w:rPr>
          <w:rFonts w:hint="eastAsia" w:ascii="宋体" w:hAnsi="宋体"/>
          <w:bCs/>
          <w:kern w:val="0"/>
          <w:szCs w:val="28"/>
          <w:highlight w:val="none"/>
        </w:rPr>
        <w:t>。经发包人审核满足支付条件后30天内，向承包人支付至安全生产措施费</w:t>
      </w:r>
      <w:r>
        <w:rPr>
          <w:rFonts w:hint="eastAsia"/>
          <w:strike w:val="0"/>
          <w:color w:val="auto"/>
          <w:highlight w:val="none"/>
        </w:rPr>
        <w:t>、文明施工措施费、环境保护措施费</w:t>
      </w:r>
      <w:r>
        <w:rPr>
          <w:rFonts w:hint="eastAsia"/>
          <w:strike w:val="0"/>
          <w:color w:val="auto"/>
          <w:highlight w:val="none"/>
          <w:lang w:val="en-US" w:eastAsia="zh-CN"/>
        </w:rPr>
        <w:t>、</w:t>
      </w:r>
      <w:r>
        <w:rPr>
          <w:rFonts w:hint="eastAsia"/>
          <w:strike w:val="0"/>
          <w:color w:val="auto"/>
          <w:highlight w:val="none"/>
        </w:rPr>
        <w:t>临时设施措施费</w:t>
      </w:r>
      <w:r>
        <w:rPr>
          <w:rFonts w:hint="eastAsia" w:ascii="宋体" w:hAnsi="宋体"/>
          <w:bCs/>
          <w:kern w:val="0"/>
          <w:szCs w:val="28"/>
          <w:highlight w:val="none"/>
        </w:rPr>
        <w:t>总额的</w:t>
      </w:r>
      <w:r>
        <w:rPr>
          <w:rFonts w:hint="eastAsia" w:ascii="宋体" w:hAnsi="宋体"/>
          <w:bCs/>
          <w:kern w:val="0"/>
          <w:szCs w:val="28"/>
          <w:highlight w:val="none"/>
          <w:lang w:val="en-US" w:eastAsia="zh-CN"/>
        </w:rPr>
        <w:t>3</w:t>
      </w:r>
      <w:r>
        <w:rPr>
          <w:rFonts w:hint="eastAsia" w:ascii="宋体" w:hAnsi="宋体"/>
          <w:bCs/>
          <w:kern w:val="0"/>
          <w:szCs w:val="28"/>
          <w:highlight w:val="none"/>
        </w:rPr>
        <w:t>0%，同时扣减应扣款项。该预付款项从发包人支付第一期工程进度款时逐步扣回，每次回扣标准为当期已完工且合格工程估值中的对应安全生产措施费</w:t>
      </w:r>
      <w:r>
        <w:rPr>
          <w:rFonts w:hint="eastAsia"/>
          <w:strike w:val="0"/>
          <w:color w:val="auto"/>
          <w:highlight w:val="none"/>
        </w:rPr>
        <w:t>、文明施工措施费、环境保护措施费</w:t>
      </w:r>
      <w:r>
        <w:rPr>
          <w:rFonts w:hint="eastAsia"/>
          <w:strike w:val="0"/>
          <w:color w:val="auto"/>
          <w:highlight w:val="none"/>
          <w:lang w:val="en-US" w:eastAsia="zh-CN"/>
        </w:rPr>
        <w:t>、</w:t>
      </w:r>
      <w:r>
        <w:rPr>
          <w:rFonts w:hint="eastAsia"/>
          <w:strike w:val="0"/>
          <w:color w:val="auto"/>
          <w:highlight w:val="none"/>
        </w:rPr>
        <w:t>临时设施措施费</w:t>
      </w:r>
      <w:r>
        <w:rPr>
          <w:rFonts w:hint="eastAsia" w:ascii="宋体" w:hAnsi="宋体"/>
          <w:bCs/>
          <w:kern w:val="0"/>
          <w:szCs w:val="28"/>
          <w:highlight w:val="none"/>
        </w:rPr>
        <w:t>，直至预付款项全部扣回为止。自该预付款全部扣回之日起，安全生产措施费</w:t>
      </w:r>
      <w:r>
        <w:rPr>
          <w:rFonts w:hint="eastAsia" w:ascii="宋体" w:hAnsi="宋体"/>
          <w:bCs/>
          <w:kern w:val="0"/>
          <w:szCs w:val="28"/>
          <w:highlight w:val="none"/>
          <w:lang w:eastAsia="zh-CN"/>
        </w:rPr>
        <w:t>、</w:t>
      </w:r>
      <w:r>
        <w:rPr>
          <w:rFonts w:hint="eastAsia"/>
          <w:strike w:val="0"/>
          <w:color w:val="auto"/>
          <w:highlight w:val="none"/>
        </w:rPr>
        <w:t>文明施工措施费、环境保护措施费</w:t>
      </w:r>
      <w:r>
        <w:rPr>
          <w:rFonts w:hint="eastAsia"/>
          <w:strike w:val="0"/>
          <w:color w:val="auto"/>
          <w:highlight w:val="none"/>
          <w:lang w:val="en-US" w:eastAsia="zh-CN"/>
        </w:rPr>
        <w:t>、</w:t>
      </w:r>
      <w:r>
        <w:rPr>
          <w:rFonts w:hint="eastAsia"/>
          <w:strike w:val="0"/>
          <w:color w:val="auto"/>
          <w:highlight w:val="none"/>
        </w:rPr>
        <w:t>临时设施措施费</w:t>
      </w:r>
      <w:r>
        <w:rPr>
          <w:rFonts w:hint="eastAsia" w:ascii="宋体" w:hAnsi="宋体"/>
          <w:bCs/>
          <w:kern w:val="0"/>
          <w:szCs w:val="28"/>
          <w:highlight w:val="none"/>
        </w:rPr>
        <w:t>以当期工程进度完成的工程量为基础进行计算并随进度款同期、同比例支付。</w:t>
      </w:r>
    </w:p>
    <w:p w14:paraId="578C738E">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承包人应建立安全生产措施费</w:t>
      </w:r>
      <w:r>
        <w:rPr>
          <w:rFonts w:hint="eastAsia" w:ascii="宋体" w:hAnsi="宋体"/>
          <w:bCs/>
          <w:strike w:val="0"/>
          <w:kern w:val="0"/>
          <w:szCs w:val="28"/>
          <w:highlight w:val="none"/>
        </w:rPr>
        <w:t>、文明施工措施费、环境保护措施费、临时设施措施费</w:t>
      </w:r>
      <w:r>
        <w:rPr>
          <w:rFonts w:hint="eastAsia" w:ascii="宋体" w:hAnsi="宋体"/>
          <w:bCs/>
          <w:kern w:val="0"/>
          <w:szCs w:val="28"/>
          <w:highlight w:val="none"/>
        </w:rPr>
        <w:t>账户，确保专款专用，在财务管理中单独列出安全防护、文明施工措施费清单；发包人有权对建设工程安全防护、文明施工措施的组织实施进行现场监督检查。</w:t>
      </w:r>
    </w:p>
    <w:p w14:paraId="59711D50">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2）工程进度款按如下节点分期支付：</w:t>
      </w:r>
    </w:p>
    <w:p w14:paraId="1AA341B2">
      <w:pPr>
        <w:spacing w:line="360" w:lineRule="auto"/>
        <w:ind w:firstLine="420" w:firstLineChars="200"/>
        <w:rPr>
          <w:rFonts w:ascii="宋体" w:hAnsi="宋体"/>
          <w:bCs/>
          <w:kern w:val="0"/>
          <w:szCs w:val="28"/>
          <w:highlight w:val="none"/>
        </w:rPr>
      </w:pPr>
      <w:r>
        <w:rPr>
          <w:rFonts w:hint="eastAsia" w:ascii="宋体" w:hAnsi="宋体"/>
          <w:bCs/>
          <w:kern w:val="0"/>
          <w:szCs w:val="28"/>
          <w:highlight w:val="none"/>
          <w:lang w:val="en-US" w:eastAsia="zh-CN"/>
        </w:rPr>
        <w:t>①</w:t>
      </w:r>
      <w:r>
        <w:rPr>
          <w:rFonts w:hint="eastAsia" w:ascii="宋体" w:hAnsi="宋体"/>
          <w:bCs/>
          <w:kern w:val="0"/>
          <w:szCs w:val="28"/>
          <w:highlight w:val="none"/>
        </w:rPr>
        <w:t>本合同工人工资的比例为    %（按中标通知书载明的人工费金额/签约合同价格（需扣除暂列金额、暂估价）计算所得比例，如中标通知书载明的人工费金额与清单中累计人工费金额不一致时，以较高者为准，且工人工资比例不得低于3%，如比例低于3%，则按3%）。工人工资费用由发包人支付至承包人工人工资支付专用账户（承包人按月考核工人工作量并编制工期支付表，经工人本人签字确认后。承包人根据工资支付表，通过工人工资账户直接将工资支付到工人本人的银行账户），其余部分款项发包人支付至协议书所注明的承包人银行账户。本合同条款中有关工人工资的约定与穗建筑【2020】431号不一致的，以穗建筑【2020】431号文为准，具体实施细节由发包人、承包人后续另行协商约定。如后续政府颁发有关工人工资的新要求，则以政府最新要求为准。</w:t>
      </w:r>
    </w:p>
    <w:p w14:paraId="55E42398">
      <w:pPr>
        <w:spacing w:line="360" w:lineRule="auto"/>
        <w:ind w:firstLine="420" w:firstLineChars="200"/>
        <w:rPr>
          <w:rFonts w:hint="eastAsia" w:ascii="宋体" w:hAnsi="宋体"/>
          <w:bCs/>
          <w:kern w:val="0"/>
          <w:szCs w:val="28"/>
          <w:highlight w:val="none"/>
        </w:rPr>
      </w:pPr>
      <w:r>
        <w:rPr>
          <w:rFonts w:hint="eastAsia" w:ascii="宋体" w:hAnsi="宋体"/>
          <w:bCs/>
          <w:kern w:val="0"/>
          <w:szCs w:val="28"/>
          <w:highlight w:val="none"/>
          <w:lang w:val="en-US" w:eastAsia="zh-CN"/>
        </w:rPr>
        <w:t>②</w:t>
      </w:r>
      <w:r>
        <w:rPr>
          <w:rFonts w:hint="eastAsia" w:ascii="宋体" w:hAnsi="宋体"/>
          <w:bCs/>
          <w:kern w:val="0"/>
          <w:szCs w:val="28"/>
          <w:highlight w:val="none"/>
        </w:rPr>
        <w:t>工程进度款每月支付一次（工程进度款含工人工资）,每月25日前由承包人向发包人提出书面支付申请，经发包人审核，确认无误后，发包人</w:t>
      </w:r>
      <w:r>
        <w:rPr>
          <w:rFonts w:hint="eastAsia" w:ascii="宋体" w:hAnsi="宋体"/>
          <w:bCs/>
          <w:kern w:val="0"/>
          <w:szCs w:val="28"/>
          <w:highlight w:val="none"/>
          <w:lang w:val="en-US" w:eastAsia="zh-CN"/>
        </w:rPr>
        <w:t>按</w:t>
      </w:r>
      <w:r>
        <w:rPr>
          <w:rFonts w:hint="eastAsia" w:ascii="宋体" w:hAnsi="宋体"/>
          <w:bCs/>
          <w:kern w:val="0"/>
          <w:szCs w:val="28"/>
          <w:highlight w:val="none"/>
        </w:rPr>
        <w:t xml:space="preserve">承包人支付上月内已完成合格工程量估算价值的 </w:t>
      </w:r>
      <w:r>
        <w:rPr>
          <w:rFonts w:hint="eastAsia" w:ascii="宋体" w:hAnsi="宋体"/>
          <w:bCs/>
          <w:kern w:val="0"/>
          <w:szCs w:val="28"/>
          <w:highlight w:val="none"/>
          <w:lang w:val="en-US" w:eastAsia="zh-CN"/>
        </w:rPr>
        <w:t>85</w:t>
      </w:r>
      <w:r>
        <w:rPr>
          <w:rFonts w:hint="eastAsia" w:ascii="宋体" w:hAnsi="宋体"/>
          <w:bCs/>
          <w:kern w:val="0"/>
          <w:szCs w:val="28"/>
          <w:highlight w:val="none"/>
        </w:rPr>
        <w:t>%</w:t>
      </w:r>
      <w:r>
        <w:rPr>
          <w:rFonts w:hint="eastAsia" w:ascii="宋体" w:hAnsi="宋体"/>
          <w:bCs/>
          <w:kern w:val="0"/>
          <w:szCs w:val="28"/>
          <w:highlight w:val="none"/>
          <w:lang w:val="en-US" w:eastAsia="zh-CN"/>
        </w:rPr>
        <w:t>确认应付，其中80%为工程进度款向承包人支付，5%为承包人抵房款</w:t>
      </w:r>
      <w:r>
        <w:rPr>
          <w:rFonts w:hint="eastAsia" w:ascii="宋体" w:hAnsi="宋体"/>
          <w:bCs/>
          <w:kern w:val="0"/>
          <w:szCs w:val="28"/>
          <w:highlight w:val="none"/>
        </w:rPr>
        <w:t>，同时扣除其他应扣款项（包括安全生产措施费</w:t>
      </w:r>
      <w:r>
        <w:rPr>
          <w:rFonts w:hint="eastAsia"/>
          <w:strike w:val="0"/>
          <w:color w:val="auto"/>
          <w:highlight w:val="none"/>
        </w:rPr>
        <w:t>、文明施工措施费、环境保护措施费</w:t>
      </w:r>
      <w:r>
        <w:rPr>
          <w:rFonts w:hint="eastAsia"/>
          <w:strike w:val="0"/>
          <w:color w:val="auto"/>
          <w:highlight w:val="none"/>
          <w:lang w:val="en-US" w:eastAsia="zh-CN"/>
        </w:rPr>
        <w:t>、</w:t>
      </w:r>
      <w:r>
        <w:rPr>
          <w:rFonts w:hint="eastAsia"/>
          <w:strike w:val="0"/>
          <w:color w:val="auto"/>
          <w:highlight w:val="none"/>
        </w:rPr>
        <w:t>临时设施措施费</w:t>
      </w:r>
      <w:r>
        <w:rPr>
          <w:rFonts w:hint="eastAsia" w:ascii="宋体" w:hAnsi="宋体"/>
          <w:bCs/>
          <w:kern w:val="0"/>
          <w:szCs w:val="28"/>
          <w:highlight w:val="none"/>
        </w:rPr>
        <w:t>）。</w:t>
      </w:r>
    </w:p>
    <w:p w14:paraId="43751F37">
      <w:pPr>
        <w:adjustRightInd w:val="0"/>
        <w:snapToGrid w:val="0"/>
        <w:spacing w:line="360" w:lineRule="auto"/>
        <w:ind w:firstLine="420" w:firstLineChars="200"/>
        <w:jc w:val="left"/>
        <w:outlineLvl w:val="3"/>
        <w:rPr>
          <w:rFonts w:ascii="宋体" w:hAnsi="宋体"/>
          <w:bCs/>
          <w:kern w:val="0"/>
          <w:szCs w:val="28"/>
          <w:highlight w:val="none"/>
        </w:rPr>
      </w:pPr>
      <w:r>
        <w:rPr>
          <w:rFonts w:hint="eastAsia"/>
          <w:color w:val="auto"/>
          <w:highlight w:val="none"/>
          <w:lang w:val="en-US" w:eastAsia="zh-CN"/>
        </w:rPr>
        <w:t>③</w:t>
      </w:r>
      <w:r>
        <w:rPr>
          <w:rFonts w:hint="eastAsia" w:ascii="宋体" w:hAnsi="宋体"/>
          <w:bCs/>
          <w:kern w:val="0"/>
          <w:szCs w:val="28"/>
          <w:highlight w:val="none"/>
        </w:rPr>
        <w:t>工程进度付款审批期限为28天，自承包人向发包人书面提出付款申请或经发包人要求后重新提出付款申请并附齐相关证明之日起计。发包人将在此期限内发出批准证书通知承包人本期应得款项,承包人应根据发包人审核确认的应付工程进度款金额的100%向发包人开具合规增值税专用发票，发包人在收到承包人提供的增值税专用发票后28天内支付工程款。双方对付款金额有异议的，发包人将在该期限内先支付已确认部分的款项。承包人应及时报送工程验收资料，资料不完整的视作该项工作未完成，进度款中不予确认。</w:t>
      </w:r>
    </w:p>
    <w:p w14:paraId="18257417">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lang w:val="en-US" w:eastAsia="zh-CN"/>
        </w:rPr>
        <w:t>④</w:t>
      </w:r>
      <w:r>
        <w:rPr>
          <w:rFonts w:hint="eastAsia" w:ascii="宋体" w:hAnsi="宋体"/>
          <w:bCs/>
          <w:kern w:val="0"/>
          <w:szCs w:val="28"/>
          <w:highlight w:val="none"/>
        </w:rPr>
        <w:t>现场签证和设计变更费用支付： 施工完成且已核价完成的现场签证和设计变更的增减费用，发包人在随后最近一期进度款中按已完成工程量估算价值的8</w:t>
      </w:r>
      <w:r>
        <w:rPr>
          <w:rFonts w:hint="eastAsia" w:ascii="宋体" w:hAnsi="宋体"/>
          <w:bCs/>
          <w:kern w:val="0"/>
          <w:szCs w:val="28"/>
          <w:highlight w:val="none"/>
          <w:lang w:val="en-US" w:eastAsia="zh-CN"/>
        </w:rPr>
        <w:t>5</w:t>
      </w:r>
      <w:r>
        <w:rPr>
          <w:rFonts w:hint="eastAsia" w:ascii="宋体" w:hAnsi="宋体"/>
          <w:bCs/>
          <w:kern w:val="0"/>
          <w:szCs w:val="28"/>
          <w:highlight w:val="none"/>
        </w:rPr>
        <w:t>%支付或扣回，但累计变更、签证工程价款超出合同价款10%，则暂停支付。</w:t>
      </w:r>
    </w:p>
    <w:p w14:paraId="52CD5333">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lang w:val="en-US" w:eastAsia="zh-CN"/>
        </w:rPr>
        <w:t>⑤</w:t>
      </w:r>
      <w:r>
        <w:rPr>
          <w:rFonts w:hint="eastAsia" w:ascii="宋体" w:hAnsi="宋体"/>
          <w:bCs/>
          <w:kern w:val="0"/>
          <w:szCs w:val="28"/>
          <w:highlight w:val="none"/>
        </w:rPr>
        <w:t>本合同工程竣工验收合格，并按第三方查验全部完成整改且承包人移交全部工程、全部设备、器械、材料及其他物品全部搬离施工场地，</w:t>
      </w:r>
      <w:r>
        <w:rPr>
          <w:rFonts w:hint="eastAsia" w:ascii="宋体" w:hAnsi="Arial"/>
          <w:kern w:val="0"/>
          <w:szCs w:val="20"/>
          <w:highlight w:val="none"/>
        </w:rPr>
        <w:t>承包人</w:t>
      </w:r>
      <w:r>
        <w:rPr>
          <w:rFonts w:hint="eastAsia" w:ascii="宋体" w:hAnsi="宋体"/>
          <w:bCs/>
          <w:kern w:val="0"/>
          <w:szCs w:val="28"/>
          <w:highlight w:val="none"/>
        </w:rPr>
        <w:t>提交全部竣工资料后，且提供应付工程款金额的100%的合规增值税专用发票后30天内，累计支付至经发包人确认的已完成合格工程量估算价值的</w:t>
      </w:r>
      <w:r>
        <w:rPr>
          <w:rFonts w:hint="eastAsia" w:ascii="宋体" w:hAnsi="宋体"/>
          <w:bCs/>
          <w:kern w:val="0"/>
          <w:szCs w:val="28"/>
          <w:highlight w:val="none"/>
          <w:lang w:val="en-US" w:eastAsia="zh-CN"/>
        </w:rPr>
        <w:t>90</w:t>
      </w:r>
      <w:r>
        <w:rPr>
          <w:rFonts w:hint="eastAsia" w:ascii="宋体" w:hAnsi="宋体"/>
          <w:b/>
          <w:bCs/>
          <w:kern w:val="0"/>
          <w:szCs w:val="28"/>
          <w:highlight w:val="none"/>
        </w:rPr>
        <w:t>%</w:t>
      </w:r>
      <w:r>
        <w:rPr>
          <w:rFonts w:hint="eastAsia" w:ascii="宋体" w:hAnsi="宋体"/>
          <w:bCs/>
          <w:kern w:val="0"/>
          <w:szCs w:val="28"/>
          <w:highlight w:val="none"/>
        </w:rPr>
        <w:t>。</w:t>
      </w:r>
    </w:p>
    <w:p w14:paraId="2AB7201D">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lang w:val="en-US" w:eastAsia="zh-CN"/>
        </w:rPr>
        <w:t>⑥</w:t>
      </w:r>
      <w:r>
        <w:rPr>
          <w:rFonts w:hint="eastAsia" w:ascii="宋体" w:hAnsi="宋体"/>
          <w:bCs/>
          <w:kern w:val="0"/>
          <w:szCs w:val="28"/>
          <w:highlight w:val="none"/>
        </w:rPr>
        <w:t>双方已确认工程竣工结算且本合同工程竣工验收合格、承包人移交工程、移交全部工程备案资料和办妥备案、办理完毕结算，且承包人向发包人提供结算价款对应的正规增值税专用发票后30天内，发包人向承包人支付至本合同工程结算总价的97 %，质量保证金为本合同工程结算总价的3%。根据本合同附件</w:t>
      </w:r>
      <w:r>
        <w:rPr>
          <w:rFonts w:hint="eastAsia" w:ascii="宋体" w:hAnsi="宋体"/>
          <w:bCs/>
          <w:kern w:val="0"/>
          <w:szCs w:val="28"/>
          <w:highlight w:val="none"/>
          <w:lang w:val="en-US" w:eastAsia="zh-CN"/>
        </w:rPr>
        <w:t>7</w:t>
      </w:r>
      <w:r>
        <w:rPr>
          <w:rFonts w:hint="eastAsia" w:ascii="宋体" w:hAnsi="宋体"/>
          <w:bCs/>
          <w:kern w:val="0"/>
          <w:szCs w:val="28"/>
          <w:highlight w:val="none"/>
        </w:rPr>
        <w:t>《工程质量保修书》约定无息支付，同时扣除应扣款项 。</w:t>
      </w:r>
    </w:p>
    <w:p w14:paraId="4BE5DC3B">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lang w:val="en-US" w:eastAsia="zh-CN"/>
        </w:rPr>
        <w:t>⑦</w:t>
      </w:r>
      <w:r>
        <w:rPr>
          <w:rFonts w:hint="eastAsia" w:ascii="宋体" w:hAnsi="宋体"/>
          <w:bCs/>
          <w:kern w:val="0"/>
          <w:szCs w:val="28"/>
          <w:highlight w:val="none"/>
        </w:rPr>
        <w:t>承包人应及时报送工程验收资料。资料不完整的视作该项工作未完成，进度款中不予确认。</w:t>
      </w:r>
    </w:p>
    <w:p w14:paraId="3078D52E">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17.5.3.</w:t>
      </w:r>
      <w:r>
        <w:rPr>
          <w:rFonts w:hint="eastAsia" w:ascii="宋体" w:hAnsi="宋体"/>
          <w:kern w:val="0"/>
          <w:szCs w:val="20"/>
          <w:highlight w:val="none"/>
        </w:rPr>
        <w:tab/>
      </w:r>
      <w:r>
        <w:rPr>
          <w:rFonts w:hint="eastAsia" w:ascii="宋体" w:hAnsi="宋体"/>
          <w:kern w:val="0"/>
          <w:szCs w:val="20"/>
          <w:highlight w:val="none"/>
        </w:rPr>
        <w:t>如发包人未能按规定期限付款，则随后的60天视为宽限期。在宽限期内，承包人不得行使任何追讨的权利，且发包人无需向承包人承担逾期付款的违约责任。</w:t>
      </w:r>
    </w:p>
    <w:p w14:paraId="023664F2">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17.5.6.</w:t>
      </w:r>
      <w:r>
        <w:rPr>
          <w:rFonts w:hint="eastAsia" w:ascii="宋体" w:hAnsi="宋体"/>
          <w:kern w:val="0"/>
          <w:szCs w:val="20"/>
          <w:highlight w:val="none"/>
        </w:rPr>
        <w:tab/>
      </w:r>
      <w:r>
        <w:rPr>
          <w:rFonts w:hint="eastAsia" w:ascii="宋体" w:hAnsi="宋体"/>
          <w:kern w:val="0"/>
          <w:szCs w:val="20"/>
          <w:highlight w:val="none"/>
        </w:rPr>
        <w:t>双方确认，承包人在每次申请进度款时，均应提供《形象进度确认单》（或进度确认文件），由监理及甲方复核。如监理方或者甲方复核进度需承包提供过程验收资料的，应予以配合。否则，发包人有权拒绝支付进度款，承包人不得据此延迟工期，由此产生的损失由承包人自行承担。</w:t>
      </w:r>
    </w:p>
    <w:p w14:paraId="6EB8DD13">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17.5.7.</w:t>
      </w:r>
      <w:r>
        <w:rPr>
          <w:rFonts w:hint="eastAsia" w:ascii="宋体" w:hAnsi="宋体"/>
          <w:kern w:val="0"/>
          <w:szCs w:val="20"/>
          <w:highlight w:val="none"/>
        </w:rPr>
        <w:tab/>
      </w:r>
      <w:r>
        <w:rPr>
          <w:rFonts w:hint="eastAsia" w:ascii="宋体" w:hAnsi="宋体"/>
          <w:kern w:val="0"/>
          <w:szCs w:val="20"/>
          <w:highlight w:val="none"/>
        </w:rPr>
        <w:t>发包人有权在付款中扣除如下任何款项：</w:t>
      </w:r>
    </w:p>
    <w:p w14:paraId="0B2D977B">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4）承包人原因造成的损失由承包人负责按期复原、整改，不能按期复原、整改的按损失金额在工程款中抵扣。</w:t>
      </w:r>
    </w:p>
    <w:p w14:paraId="4BFC82C6">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17.5.9.在发包人支付预付款及支付工程进度款的7个工作日前，承包人应向发包人开具至少与收款金额一致的正规增值税专用发票；在支付工程结算款时，承包人应向发包人开具累计金额为竣工结算总价（含税价）100%的正规增值税专用发票；发票由承包人按发包人要求提供，发票未足额提供给发包人前或不按发包人的要求提供的，发包人有权拒付工程款，发包人不因此承担违约责任。上述增值税专用发票必须符合国家《增值税专用发票使用规定》的相关要求，如承包人开具的增值税专用发票是无效或虚假发票，或者发生延迟开具增值税专用发票的情况，承包人应负责赔偿发包人因为承包人开具虚假发票或延迟开具发票所造成的一切损失或损害（包括但不限于税金、附加费、罚金、滞纳金等）。同时，</w:t>
      </w:r>
      <w:r>
        <w:rPr>
          <w:rFonts w:hint="eastAsia" w:ascii="宋体" w:hAnsi="宋体"/>
          <w:kern w:val="0"/>
          <w:szCs w:val="20"/>
          <w:highlight w:val="none"/>
          <w:lang w:val="en-US" w:eastAsia="zh-CN"/>
        </w:rPr>
        <w:t>承</w:t>
      </w:r>
      <w:r>
        <w:rPr>
          <w:rFonts w:hint="eastAsia" w:ascii="宋体" w:hAnsi="宋体"/>
          <w:kern w:val="0"/>
          <w:szCs w:val="20"/>
          <w:highlight w:val="none"/>
        </w:rPr>
        <w:t>包人开具的纸质增值税纸质专用发票在送达发包人前如发生丢失、灭失或被盗等情况，导致相应票据未顺利送达发包人的，</w:t>
      </w:r>
      <w:r>
        <w:rPr>
          <w:rFonts w:hint="eastAsia" w:ascii="宋体" w:hAnsi="宋体"/>
          <w:kern w:val="0"/>
          <w:szCs w:val="20"/>
          <w:highlight w:val="none"/>
          <w:lang w:val="en-US" w:eastAsia="zh-CN"/>
        </w:rPr>
        <w:t>承</w:t>
      </w:r>
      <w:r>
        <w:rPr>
          <w:rFonts w:hint="eastAsia" w:ascii="宋体" w:hAnsi="宋体"/>
          <w:kern w:val="0"/>
          <w:szCs w:val="20"/>
          <w:highlight w:val="none"/>
        </w:rPr>
        <w:t>包人应重新开具增值税发票，</w:t>
      </w:r>
      <w:r>
        <w:rPr>
          <w:rFonts w:hint="eastAsia" w:ascii="宋体" w:hAnsi="宋体"/>
          <w:kern w:val="0"/>
          <w:szCs w:val="20"/>
          <w:highlight w:val="none"/>
          <w:lang w:val="en-US" w:eastAsia="zh-CN"/>
        </w:rPr>
        <w:t>承</w:t>
      </w:r>
      <w:r>
        <w:rPr>
          <w:rFonts w:hint="eastAsia" w:ascii="宋体" w:hAnsi="宋体"/>
          <w:kern w:val="0"/>
          <w:szCs w:val="20"/>
          <w:highlight w:val="none"/>
        </w:rPr>
        <w:t>包人开具的纸质增值税专用发票送达并经</w:t>
      </w:r>
      <w:r>
        <w:rPr>
          <w:rFonts w:hint="eastAsia" w:ascii="宋体" w:hAnsi="宋体"/>
          <w:kern w:val="0"/>
          <w:szCs w:val="20"/>
          <w:highlight w:val="none"/>
          <w:lang w:val="en-US" w:eastAsia="zh-CN"/>
        </w:rPr>
        <w:t>发</w:t>
      </w:r>
      <w:r>
        <w:rPr>
          <w:rFonts w:hint="eastAsia" w:ascii="宋体" w:hAnsi="宋体"/>
          <w:kern w:val="0"/>
          <w:szCs w:val="20"/>
          <w:highlight w:val="none"/>
        </w:rPr>
        <w:t>包人签收后，若发生丢失，</w:t>
      </w:r>
      <w:r>
        <w:rPr>
          <w:rFonts w:hint="eastAsia" w:ascii="宋体" w:hAnsi="宋体"/>
          <w:kern w:val="0"/>
          <w:szCs w:val="20"/>
          <w:highlight w:val="none"/>
          <w:lang w:val="en-US" w:eastAsia="zh-CN"/>
        </w:rPr>
        <w:t>承</w:t>
      </w:r>
      <w:r>
        <w:rPr>
          <w:rFonts w:hint="eastAsia" w:ascii="宋体" w:hAnsi="宋体"/>
          <w:kern w:val="0"/>
          <w:szCs w:val="20"/>
          <w:highlight w:val="none"/>
        </w:rPr>
        <w:t>包人应积极协助</w:t>
      </w:r>
      <w:r>
        <w:rPr>
          <w:rFonts w:hint="eastAsia" w:ascii="宋体" w:hAnsi="宋体"/>
          <w:kern w:val="0"/>
          <w:szCs w:val="20"/>
          <w:highlight w:val="none"/>
          <w:lang w:val="en-US" w:eastAsia="zh-CN"/>
        </w:rPr>
        <w:t>发</w:t>
      </w:r>
      <w:r>
        <w:rPr>
          <w:rFonts w:hint="eastAsia" w:ascii="宋体" w:hAnsi="宋体"/>
          <w:kern w:val="0"/>
          <w:szCs w:val="20"/>
          <w:highlight w:val="none"/>
        </w:rPr>
        <w:t>包人，按照相关税收法规和规定及主管税务机关的要求提供相应资料。</w:t>
      </w:r>
    </w:p>
    <w:p w14:paraId="14392231">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17.5.10.承包人应将发包人按合同约定支付给承包人的各项价款专用于本合同工程，存于承包人设立的工程款监管账户，由发包人、承包人和开户银行签订《建设资金三方监管协议》，共同委托开户银行监管，并接受发包人监管，任何情况下承包人不得进行资金归集，不得通过权益转让、质押、设置担保功能等任何其他方式使用监管账户的资金。工程款监管账户原则在发包人或工程所在地经发包人认可的银行开立。工程进度款专用监管账户的具体要求详合同附件</w:t>
      </w:r>
      <w:r>
        <w:rPr>
          <w:rFonts w:hint="eastAsia" w:ascii="宋体" w:hAnsi="宋体"/>
          <w:kern w:val="0"/>
          <w:szCs w:val="20"/>
          <w:highlight w:val="none"/>
          <w:lang w:val="en-US" w:eastAsia="zh-CN"/>
        </w:rPr>
        <w:t>9</w:t>
      </w:r>
      <w:r>
        <w:rPr>
          <w:rFonts w:hint="eastAsia" w:ascii="宋体" w:hAnsi="宋体"/>
          <w:kern w:val="0"/>
          <w:szCs w:val="20"/>
          <w:highlight w:val="none"/>
        </w:rPr>
        <w:t>。</w:t>
      </w:r>
    </w:p>
    <w:p w14:paraId="4EF1A43F">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17.6.</w:t>
      </w:r>
      <w:r>
        <w:rPr>
          <w:rFonts w:hint="eastAsia" w:ascii="宋体" w:hAnsi="宋体"/>
          <w:b/>
          <w:bCs/>
          <w:kern w:val="0"/>
          <w:szCs w:val="21"/>
          <w:highlight w:val="none"/>
        </w:rPr>
        <w:tab/>
      </w:r>
      <w:r>
        <w:rPr>
          <w:rFonts w:hint="eastAsia" w:ascii="宋体" w:hAnsi="宋体"/>
          <w:b/>
          <w:bCs/>
          <w:kern w:val="0"/>
          <w:szCs w:val="21"/>
          <w:highlight w:val="none"/>
        </w:rPr>
        <w:t>质量保证金</w:t>
      </w:r>
    </w:p>
    <w:p w14:paraId="24D0FB80">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17.6.1. 质量保证金的预留与退还</w:t>
      </w:r>
    </w:p>
    <w:p w14:paraId="3D9DC1B8">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1）结算完成后，且缺陷责任期满、承包人已全部完成缺陷修复责任时，承包人向发包人申请到期应返还承包人剩余的质量保证金金额，发包人应在 30天内会同承包人按照合同、保修书约定的内容和相关法律法规规章核实承包人是否完成缺陷修复、整改责任。如无异议，发包人应当在核实后将剩余保证金返还承包人。质量保证金的返还具体详见专用条款19.2.1及合同附件</w:t>
      </w:r>
      <w:r>
        <w:rPr>
          <w:rFonts w:hint="eastAsia" w:ascii="宋体" w:hAnsi="宋体"/>
          <w:bCs/>
          <w:kern w:val="0"/>
          <w:szCs w:val="28"/>
          <w:highlight w:val="none"/>
          <w:lang w:val="en-US" w:eastAsia="zh-CN"/>
        </w:rPr>
        <w:t>7</w:t>
      </w:r>
      <w:r>
        <w:rPr>
          <w:rFonts w:hint="eastAsia" w:ascii="宋体" w:hAnsi="宋体"/>
          <w:bCs/>
          <w:kern w:val="0"/>
          <w:szCs w:val="28"/>
          <w:highlight w:val="none"/>
        </w:rPr>
        <w:t>《工程质量保修书》。</w:t>
      </w:r>
    </w:p>
    <w:p w14:paraId="0405DBD2">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 xml:space="preserve">2）质量保证金不计利息。 </w:t>
      </w:r>
    </w:p>
    <w:p w14:paraId="2913706E">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3) 发包人向承包人支付质量保证金余额前，承包人应承担所有缺陷责任导致的扣款，发包人凭扣款收据执行质量保证金扣款，否则，发包人有权拒付质量保证金余额，发包人不因此承担违约责任。</w:t>
      </w:r>
    </w:p>
    <w:p w14:paraId="649EF6E8">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17.7.</w:t>
      </w:r>
      <w:r>
        <w:rPr>
          <w:rFonts w:hint="eastAsia" w:ascii="宋体" w:hAnsi="宋体"/>
          <w:b/>
          <w:bCs/>
          <w:kern w:val="0"/>
          <w:szCs w:val="21"/>
          <w:highlight w:val="none"/>
        </w:rPr>
        <w:tab/>
      </w:r>
      <w:r>
        <w:rPr>
          <w:rFonts w:hint="eastAsia" w:ascii="宋体" w:hAnsi="宋体"/>
          <w:b/>
          <w:bCs/>
          <w:kern w:val="0"/>
          <w:szCs w:val="21"/>
          <w:highlight w:val="none"/>
        </w:rPr>
        <w:t>工程结算</w:t>
      </w:r>
    </w:p>
    <w:p w14:paraId="00E90F21">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17.7.1 结算书提交时间改为“竣工验收合格后</w:t>
      </w:r>
      <w:r>
        <w:rPr>
          <w:rFonts w:hint="eastAsia" w:ascii="宋体" w:hAnsi="宋体"/>
          <w:kern w:val="0"/>
          <w:szCs w:val="20"/>
          <w:highlight w:val="none"/>
          <w:u w:val="single"/>
          <w:lang w:val="en-US" w:eastAsia="zh-CN"/>
        </w:rPr>
        <w:t>270</w:t>
      </w:r>
      <w:r>
        <w:rPr>
          <w:rFonts w:hint="eastAsia" w:ascii="宋体" w:hAnsi="宋体"/>
          <w:kern w:val="0"/>
          <w:szCs w:val="20"/>
          <w:highlight w:val="none"/>
        </w:rPr>
        <w:t>天内，承包人向发包人递交结算书及相关文件。结算书及相关资料约定如下：</w:t>
      </w:r>
    </w:p>
    <w:p w14:paraId="0A8FD464">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1）合同文件（含补充协议或合同），可以为双方盖章文本的复印件；</w:t>
      </w:r>
    </w:p>
    <w:p w14:paraId="22C0897E">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2）竣工图纸；</w:t>
      </w:r>
    </w:p>
    <w:p w14:paraId="604B688E">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3）承包人申报且经发包人审批的设计变更及其附件全套资料（包括设计变更通知单、工程指令单（设计变更实施指令）等）；</w:t>
      </w:r>
    </w:p>
    <w:p w14:paraId="22C4F8D5">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4）承包人申报且经发包人审批的现场签证及其附件全套资料（包括工程指令单、实施前现场签证申请、完工后现场签证确认、工程签证核价单等）；</w:t>
      </w:r>
    </w:p>
    <w:p w14:paraId="69EA455D">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5）发包人发出的进场通知书或发包人确认的开工报告，或其他能证明实际开工日期的有效文件；停、复工报告等；</w:t>
      </w:r>
    </w:p>
    <w:p w14:paraId="1CFB4301">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6）监理、发包人等确认的竣工报告、竣工验收记录，须能证明实际竣工验收合格日期；</w:t>
      </w:r>
    </w:p>
    <w:p w14:paraId="20B9CFF0">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7）甩项竣工验收协议或清单（若有），须能证明甩项验收内容，能清晰区分甩项验收与竣工验收的界面，可计量计价等；</w:t>
      </w:r>
    </w:p>
    <w:p w14:paraId="4880D4B4">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8）甲供材料设备的进场验收单、领料单（三方盖章）或退料单、领料单台账等；</w:t>
      </w:r>
    </w:p>
    <w:p w14:paraId="1139F3A5">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9）增值税税率调整的佐证资料；</w:t>
      </w:r>
    </w:p>
    <w:p w14:paraId="65DBD9A5">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10）奖励或违约处罚证明资料，包括但不限于工期、进度、质量、安全、人员管理等；</w:t>
      </w:r>
    </w:p>
    <w:p w14:paraId="6FCDD74E">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11）涉及结算价款的索赔资料；索赔资料须真实、经监理与发包人书面确认事实、满足计量计价要求等；</w:t>
      </w:r>
    </w:p>
    <w:p w14:paraId="608F4296">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12）涉及结算价款的其他资料（包括经发包人、造价咨询公司共同签名盖章确认的工程核价文件）；</w:t>
      </w:r>
    </w:p>
    <w:p w14:paraId="65AAC840">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13）工程竣工结算申请报审表（包括竣工结算授权委托书和竣工结算工作承诺书）；</w:t>
      </w:r>
    </w:p>
    <w:p w14:paraId="5C82EEAA">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14）工程结算书、工程量计算书等；</w:t>
      </w:r>
    </w:p>
    <w:p w14:paraId="6A1B9280">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15）实际已付款汇总表；</w:t>
      </w:r>
    </w:p>
    <w:p w14:paraId="59D69B9A">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16）结算编制说明（应包括的内容：编制依据、编制思路、编制原则、结算额与合同额的对比及差异分析、其他需特别说明的事项等）；</w:t>
      </w:r>
    </w:p>
    <w:p w14:paraId="05A458C2">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17）所提供的竣工结算资料应编制总资料目录及各分项资料目录，目录中应注明对应资料的册数、张数及资料名称；各类资料应分别装箱、装盒、装订成册。承包人提交全套结算资料的同时附对应电子版资料（刻光盘或U盘），图纸应提供CAD电子版本，计量计价使用专业软件的，应同时提供对应软件的电子版本。</w:t>
      </w:r>
    </w:p>
    <w:p w14:paraId="6C403D4A">
      <w:pPr>
        <w:adjustRightInd w:val="0"/>
        <w:snapToGrid w:val="0"/>
        <w:spacing w:line="360" w:lineRule="auto"/>
        <w:ind w:firstLine="420" w:firstLineChars="200"/>
        <w:jc w:val="left"/>
        <w:outlineLvl w:val="3"/>
        <w:rPr>
          <w:rFonts w:ascii="宋体" w:hAnsi="宋体"/>
          <w:bCs/>
          <w:kern w:val="0"/>
          <w:szCs w:val="28"/>
          <w:highlight w:val="none"/>
          <w:u w:val="none"/>
        </w:rPr>
      </w:pPr>
      <w:r>
        <w:rPr>
          <w:rFonts w:hint="eastAsia" w:ascii="宋体" w:hAnsi="宋体"/>
          <w:bCs/>
          <w:kern w:val="0"/>
          <w:szCs w:val="28"/>
          <w:highlight w:val="none"/>
          <w:u w:val="none"/>
        </w:rPr>
        <w:t>18）其它相关结算资料（包括但不限于财务对账表）。</w:t>
      </w:r>
    </w:p>
    <w:p w14:paraId="3FF97044">
      <w:pPr>
        <w:numPr>
          <w:ilvl w:val="2"/>
          <w:numId w:val="0"/>
        </w:numPr>
        <w:adjustRightInd w:val="0"/>
        <w:snapToGrid w:val="0"/>
        <w:spacing w:line="360" w:lineRule="auto"/>
        <w:ind w:firstLine="420" w:firstLineChars="200"/>
        <w:jc w:val="left"/>
        <w:outlineLvl w:val="2"/>
        <w:rPr>
          <w:rFonts w:ascii="宋体" w:hAnsi="宋体"/>
          <w:kern w:val="0"/>
          <w:szCs w:val="20"/>
          <w:highlight w:val="none"/>
          <w:u w:val="none"/>
        </w:rPr>
      </w:pPr>
      <w:r>
        <w:rPr>
          <w:rFonts w:hint="eastAsia" w:ascii="宋体" w:hAnsi="宋体"/>
          <w:kern w:val="0"/>
          <w:szCs w:val="20"/>
          <w:highlight w:val="none"/>
          <w:u w:val="none"/>
        </w:rPr>
        <w:t>19）结算资料目录应将整套报送结算资料按顺序编写页码进行填写、整理，以便双方查阅、核对。</w:t>
      </w:r>
    </w:p>
    <w:p w14:paraId="42F4B34C">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17.7.2自完整、有效的结算书收到之日起</w:t>
      </w:r>
      <w:r>
        <w:rPr>
          <w:rFonts w:hint="eastAsia" w:ascii="宋体" w:hAnsi="宋体"/>
          <w:kern w:val="0"/>
          <w:szCs w:val="20"/>
          <w:highlight w:val="none"/>
          <w:u w:val="single"/>
          <w:lang w:val="en-US" w:eastAsia="zh-CN"/>
        </w:rPr>
        <w:t>360</w:t>
      </w:r>
      <w:r>
        <w:rPr>
          <w:rFonts w:hint="eastAsia" w:ascii="宋体" w:hAnsi="宋体"/>
          <w:kern w:val="0"/>
          <w:szCs w:val="20"/>
          <w:highlight w:val="none"/>
        </w:rPr>
        <w:t>天内，发包人对结算书进行审核，给予确认或提出修改意见，并将审核结果通知承包人。承包人确认同意的，则发包人报上级管理单位审定；如承包人不同意的，双方针对争议部分进行核对和协商；经核对协商不能解决的争议部分，按本合同关于争议的约定处理。发包人与承包人就结算问题进行的沟通、协商、确认仅为协商过程性的行为。最终审核结果以发包人上级管理单位正式出具的审核意见为准。除非发包人法定代表人签字并加盖发包人公章，任何形式的文件以及任何人的行为都不能视为发包人对结算的认可。</w:t>
      </w:r>
    </w:p>
    <w:p w14:paraId="68C4E76D">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17.7.7. 对于工程结算的其他约定：</w:t>
      </w:r>
    </w:p>
    <w:p w14:paraId="4676146E">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1）在发包人</w:t>
      </w:r>
      <w:r>
        <w:rPr>
          <w:rFonts w:hint="eastAsia" w:ascii="宋体" w:hAnsi="宋体"/>
          <w:kern w:val="0"/>
          <w:szCs w:val="20"/>
          <w:highlight w:val="none"/>
          <w:lang w:eastAsia="zh-CN"/>
        </w:rPr>
        <w:t>、</w:t>
      </w:r>
      <w:r>
        <w:rPr>
          <w:rFonts w:hint="eastAsia" w:ascii="宋体" w:hAnsi="宋体"/>
          <w:kern w:val="0"/>
          <w:szCs w:val="20"/>
          <w:highlight w:val="none"/>
        </w:rPr>
        <w:t>承包人就结算金额达成一致或生效裁判文书确定前，发包人对争议部分的支付义务不能确定，因此也无支付义务。只有在双方就结算金额达成一致或生效裁判文书确定发包人的支付义务后，发包人才有按照双方达成的一致或生效裁判文书支付结算款的义务，并在未按双方达成的一致或生效裁判文书确定的支付时间支付结算款时，才开始承担逾期支付的违约金或承担其他违约责任。</w:t>
      </w:r>
    </w:p>
    <w:p w14:paraId="32297822">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2）凡是涉及到工程造价增减的设计变更、工程签证均必须有发包人签字并盖章方为有效。</w:t>
      </w:r>
    </w:p>
    <w:p w14:paraId="60270D32">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3）设计变更、工程签证及现场签证按照相应规定执行。</w:t>
      </w:r>
    </w:p>
    <w:p w14:paraId="7540D87C">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4）承包人违约金、水电费（如有甲方代缴水电费）、赔偿金等相应扣款项，由发包人办理扣款单，在工程进度款或结算款中扣除。发包人凭收款收据及其他资料进行上述扣款。扣除部分不影响承包人应向发包人开具的发票数额。</w:t>
      </w:r>
    </w:p>
    <w:p w14:paraId="3C70879D">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5）按国家规定由承包人交纳的各种税收、劳动保险费及其他费用已包含在本工程价款内，由承包人负责向税收等部门交纳。</w:t>
      </w:r>
    </w:p>
    <w:p w14:paraId="2B7AD284">
      <w:pPr>
        <w:adjustRightInd w:val="0"/>
        <w:snapToGrid w:val="0"/>
        <w:spacing w:line="360" w:lineRule="auto"/>
        <w:ind w:firstLine="420" w:firstLineChars="200"/>
        <w:jc w:val="left"/>
        <w:outlineLvl w:val="3"/>
        <w:rPr>
          <w:rFonts w:ascii="宋体" w:hAnsi="宋体"/>
          <w:kern w:val="0"/>
          <w:szCs w:val="20"/>
          <w:highlight w:val="none"/>
        </w:rPr>
      </w:pPr>
      <w:r>
        <w:rPr>
          <w:rFonts w:hint="eastAsia" w:ascii="宋体" w:hAnsi="宋体"/>
          <w:kern w:val="0"/>
          <w:szCs w:val="20"/>
          <w:highlight w:val="none"/>
        </w:rPr>
        <w:t>6）在与造价咨询人进行结算核对过程中，承包人不得向造价咨询人人员请客送礼、赠送钱物，发现一次，承包人须向发包人承担严重违约责任。</w:t>
      </w:r>
    </w:p>
    <w:p w14:paraId="149DCD05">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kern w:val="0"/>
          <w:szCs w:val="20"/>
          <w:highlight w:val="none"/>
        </w:rPr>
        <w:t>7）发包人与监理单位收到承包人的竣工结算申请单后，在合同约定期限内未完成审核、审批且未提出异议的，不视为监理人、发包人同意承包人提交的竣工结算申请单。承包人可以催告监理人、发包人在合同约定的审核、审批期限届满后 30 天内答复意见，监理人、发包人认为承包人未依据合同约定提交完整结算申请文件的，应在该期限内提出意见。承包人应在监理人、发包人限定的期限内补充、修改结算申请文件。除非发包人以书面形式表示认可或接受，否则发包人和监理单位的任何作为与不作为，包括要求承包人补充资料、不同意的表示、质疑、要求协商的会议、要求签订与承包人提出的报告不一致的协议或备忘录等，均视为对承包人申请单的不认可。本合同其他条款与此约定不一致的，以本条款约定为准。</w:t>
      </w:r>
    </w:p>
    <w:p w14:paraId="216FF1C3">
      <w:pPr>
        <w:adjustRightInd w:val="0"/>
        <w:snapToGrid w:val="0"/>
        <w:spacing w:line="360" w:lineRule="auto"/>
        <w:ind w:firstLine="420" w:firstLineChars="200"/>
        <w:jc w:val="left"/>
        <w:outlineLvl w:val="3"/>
        <w:rPr>
          <w:rFonts w:ascii="宋体" w:hAnsi="宋体"/>
          <w:bCs/>
          <w:kern w:val="0"/>
          <w:szCs w:val="20"/>
          <w:highlight w:val="none"/>
        </w:rPr>
      </w:pPr>
      <w:r>
        <w:rPr>
          <w:rFonts w:hint="eastAsia" w:ascii="宋体" w:hAnsi="宋体"/>
          <w:bCs/>
          <w:kern w:val="0"/>
          <w:szCs w:val="20"/>
          <w:highlight w:val="none"/>
        </w:rPr>
        <w:t>8）发包人</w:t>
      </w:r>
      <w:r>
        <w:rPr>
          <w:rFonts w:hint="eastAsia" w:ascii="宋体" w:hAnsi="宋体"/>
          <w:kern w:val="0"/>
          <w:szCs w:val="20"/>
          <w:highlight w:val="none"/>
        </w:rPr>
        <w:t>委托第三</w:t>
      </w:r>
      <w:r>
        <w:rPr>
          <w:rFonts w:hint="eastAsia" w:ascii="宋体" w:hAnsi="宋体"/>
          <w:bCs/>
          <w:kern w:val="0"/>
          <w:szCs w:val="20"/>
          <w:highlight w:val="none"/>
        </w:rPr>
        <w:t>方机构审核竣工结算的，承包人应积极配合第三方造价咨询机构开展结算审核工作，因承包人提供资料不积极或者不准确、不完整造成的审核责任由承包人承担。发包人委托第三方机构审核完工结算的，最终结算金额仍以发包人书面确认为准。</w:t>
      </w:r>
    </w:p>
    <w:p w14:paraId="11E63AC9">
      <w:pPr>
        <w:adjustRightInd w:val="0"/>
        <w:snapToGrid w:val="0"/>
        <w:spacing w:line="360" w:lineRule="auto"/>
        <w:ind w:left="420"/>
        <w:jc w:val="left"/>
        <w:outlineLvl w:val="3"/>
        <w:rPr>
          <w:rFonts w:ascii="宋体" w:hAnsi="宋体"/>
          <w:bCs/>
          <w:kern w:val="0"/>
          <w:szCs w:val="20"/>
          <w:highlight w:val="none"/>
        </w:rPr>
      </w:pPr>
      <w:r>
        <w:rPr>
          <w:rFonts w:hint="eastAsia" w:ascii="宋体" w:hAnsi="宋体"/>
          <w:bCs/>
          <w:kern w:val="0"/>
          <w:szCs w:val="20"/>
          <w:highlight w:val="none"/>
        </w:rPr>
        <w:t>9）本工程竣工结算方式：</w:t>
      </w:r>
    </w:p>
    <w:p w14:paraId="5CD0746C">
      <w:pPr>
        <w:adjustRightInd w:val="0"/>
        <w:snapToGrid w:val="0"/>
        <w:spacing w:line="360" w:lineRule="auto"/>
        <w:ind w:left="420"/>
        <w:jc w:val="left"/>
        <w:outlineLvl w:val="3"/>
        <w:rPr>
          <w:rFonts w:ascii="宋体" w:hAnsi="宋体"/>
          <w:bCs/>
          <w:kern w:val="0"/>
          <w:szCs w:val="20"/>
          <w:highlight w:val="none"/>
        </w:rPr>
      </w:pPr>
      <w:r>
        <w:rPr>
          <w:rFonts w:hint="eastAsia" w:ascii="宋体" w:hAnsi="宋体" w:eastAsia="宋体"/>
          <w:b w:val="0"/>
          <w:bCs/>
          <w:color w:val="auto"/>
          <w:kern w:val="0"/>
          <w:szCs w:val="20"/>
          <w:highlight w:val="none"/>
        </w:rPr>
        <w:t>竣工结算=竣工图（含设计变更）+签证+索赔+其他</w:t>
      </w:r>
      <w:r>
        <w:rPr>
          <w:rFonts w:hint="eastAsia" w:ascii="宋体" w:hAnsi="宋体"/>
          <w:bCs/>
          <w:color w:val="auto"/>
          <w:kern w:val="0"/>
          <w:szCs w:val="20"/>
          <w:highlight w:val="none"/>
        </w:rPr>
        <w:t>；</w:t>
      </w:r>
    </w:p>
    <w:p w14:paraId="79A05594">
      <w:pPr>
        <w:adjustRightInd w:val="0"/>
        <w:snapToGrid w:val="0"/>
        <w:spacing w:line="360" w:lineRule="auto"/>
        <w:ind w:firstLine="420" w:firstLineChars="200"/>
        <w:jc w:val="left"/>
        <w:outlineLvl w:val="3"/>
        <w:rPr>
          <w:rFonts w:ascii="宋体" w:hAnsi="宋体"/>
          <w:bCs/>
          <w:kern w:val="0"/>
          <w:szCs w:val="20"/>
          <w:highlight w:val="none"/>
        </w:rPr>
      </w:pPr>
      <w:r>
        <w:rPr>
          <w:rFonts w:hint="eastAsia" w:ascii="宋体" w:hAnsi="宋体"/>
          <w:bCs/>
          <w:kern w:val="0"/>
          <w:szCs w:val="20"/>
          <w:highlight w:val="none"/>
        </w:rPr>
        <w:t>10）双方人员应每次对数前都在工作签到表上签名，签到表应注明当天双方办理结算的具体工作时间、内容、范围等事项，作为双方到场办理结算的现场工作记录。双方结算人员办理结算对数时应友好合作，对经核对确认无异议的数据和资料应当共同签字确认。如有异议，应当场提出，当场核对，当场记录争议的具体内容。如承包人对所核对的数据和资料没有书面提出异议，又不签字认可，发包人可以单方签名并在经过双方核对的文件资料上注明具体情况，将当天工作签到表和核对后的资料寄发给承包人，该资料即作为双方共同对数后确认的结算资料。对于双方意见分歧的书面记录，经双方对数人员共同核对清楚并签字确认后，上报领导协商解决。任何人员不得因意见分歧而发生争执、对骂，甚至侮辱、殴打对方。如发生上述事件，受害方有权向侵权方索赔，由侵权方承担一切法律责任。承包人在结算期间，不按照发包人要求的时间或期限与发包人对数的，或者经过双方共同对数但承包人不签字对数结果的，或者推翻经过双方共同确认的对数成果的，发包人办理结算的时间向后顺延，期间不支付剩余工程款</w:t>
      </w:r>
      <w:r>
        <w:rPr>
          <w:rFonts w:hint="eastAsia" w:ascii="宋体" w:hAnsi="宋体"/>
          <w:bCs/>
          <w:kern w:val="0"/>
          <w:szCs w:val="20"/>
          <w:highlight w:val="none"/>
          <w:lang w:eastAsia="zh-CN"/>
        </w:rPr>
        <w:t>，由承包人承担结算延误的违约责任</w:t>
      </w:r>
      <w:r>
        <w:rPr>
          <w:rFonts w:hint="eastAsia" w:ascii="宋体" w:hAnsi="宋体"/>
          <w:bCs/>
          <w:kern w:val="0"/>
          <w:szCs w:val="20"/>
          <w:highlight w:val="none"/>
        </w:rPr>
        <w:t>。</w:t>
      </w:r>
    </w:p>
    <w:p w14:paraId="2203D0FB">
      <w:pPr>
        <w:adjustRightInd w:val="0"/>
        <w:snapToGrid w:val="0"/>
        <w:spacing w:line="360" w:lineRule="auto"/>
        <w:ind w:firstLine="420" w:firstLineChars="200"/>
        <w:jc w:val="left"/>
        <w:outlineLvl w:val="3"/>
        <w:rPr>
          <w:rFonts w:ascii="宋体" w:hAnsi="宋体"/>
          <w:bCs/>
          <w:kern w:val="0"/>
          <w:szCs w:val="20"/>
          <w:highlight w:val="none"/>
        </w:rPr>
      </w:pPr>
      <w:r>
        <w:rPr>
          <w:rFonts w:hint="eastAsia" w:ascii="宋体" w:hAnsi="宋体"/>
          <w:bCs/>
          <w:kern w:val="0"/>
          <w:szCs w:val="20"/>
          <w:highlight w:val="none"/>
        </w:rPr>
        <w:t>11）</w:t>
      </w:r>
      <w:r>
        <w:rPr>
          <w:rFonts w:hint="eastAsia" w:ascii="宋体" w:hAnsi="宋体"/>
          <w:kern w:val="0"/>
          <w:szCs w:val="20"/>
          <w:highlight w:val="none"/>
        </w:rPr>
        <w:t>承包人</w:t>
      </w:r>
      <w:r>
        <w:rPr>
          <w:rFonts w:hint="eastAsia" w:ascii="宋体" w:hAnsi="宋体"/>
          <w:bCs/>
          <w:kern w:val="0"/>
          <w:szCs w:val="20"/>
          <w:highlight w:val="none"/>
        </w:rPr>
        <w:t>拒不配合分段结算、过程结算、竣工结算的，发包人有权进行单方面结算或委托第三方中介机构结算。结算结果送达承包人后15天内承包人未向发包人反馈结算书面确认信息的，视为承包人已默认并同意结算结果。</w:t>
      </w:r>
    </w:p>
    <w:p w14:paraId="6358151C">
      <w:pPr>
        <w:adjustRightInd w:val="0"/>
        <w:snapToGrid w:val="0"/>
        <w:spacing w:line="360" w:lineRule="auto"/>
        <w:ind w:firstLine="420" w:firstLineChars="200"/>
        <w:jc w:val="left"/>
        <w:outlineLvl w:val="3"/>
        <w:rPr>
          <w:rFonts w:ascii="宋体" w:hAnsi="Arial"/>
          <w:kern w:val="0"/>
          <w:szCs w:val="20"/>
          <w:highlight w:val="none"/>
        </w:rPr>
      </w:pPr>
      <w:r>
        <w:rPr>
          <w:rFonts w:ascii="宋体" w:hAnsi="Arial"/>
          <w:kern w:val="0"/>
          <w:szCs w:val="20"/>
          <w:highlight w:val="none"/>
        </w:rPr>
        <w:t>1</w:t>
      </w:r>
      <w:r>
        <w:rPr>
          <w:rFonts w:hint="eastAsia" w:ascii="宋体" w:hAnsi="Arial"/>
          <w:kern w:val="0"/>
          <w:szCs w:val="20"/>
          <w:highlight w:val="none"/>
        </w:rPr>
        <w:t>2</w:t>
      </w:r>
      <w:r>
        <w:rPr>
          <w:rFonts w:ascii="宋体" w:hAnsi="Arial"/>
          <w:kern w:val="0"/>
          <w:szCs w:val="20"/>
          <w:highlight w:val="none"/>
        </w:rPr>
        <w:t>）承包人申报预（结）算时不得高估冒算，承包人预（结）算的送审价高出发包人审定价的，承包人应承担违约责任，由发包人按以下差额定率分段累进计算方式在预（结）算款项中以违约金形式扣除：</w:t>
      </w:r>
    </w:p>
    <w:p w14:paraId="14AC4046">
      <w:pPr>
        <w:numPr>
          <w:ilvl w:val="2"/>
          <w:numId w:val="0"/>
        </w:numPr>
        <w:adjustRightInd w:val="0"/>
        <w:snapToGrid w:val="0"/>
        <w:spacing w:line="360" w:lineRule="auto"/>
        <w:ind w:firstLine="420" w:firstLineChars="200"/>
        <w:jc w:val="left"/>
        <w:outlineLvl w:val="2"/>
        <w:rPr>
          <w:rFonts w:hint="eastAsia" w:ascii="宋体" w:hAnsi="宋体" w:cs="宋体"/>
          <w:kern w:val="0"/>
          <w:szCs w:val="20"/>
          <w:highlight w:val="none"/>
        </w:rPr>
      </w:pPr>
      <w:r>
        <w:rPr>
          <w:rFonts w:hint="eastAsia" w:ascii="宋体" w:hAnsi="宋体" w:cs="宋体"/>
          <w:kern w:val="0"/>
          <w:szCs w:val="20"/>
          <w:highlight w:val="none"/>
        </w:rPr>
        <w:t>结算价超报率=（</w:t>
      </w:r>
      <w:r>
        <w:rPr>
          <w:rFonts w:hint="eastAsia" w:ascii="宋体" w:hAnsi="宋体" w:cs="宋体"/>
          <w:kern w:val="0"/>
          <w:szCs w:val="20"/>
          <w:highlight w:val="none"/>
          <w:lang w:val="en-US" w:eastAsia="zh-CN"/>
        </w:rPr>
        <w:t>承</w:t>
      </w:r>
      <w:r>
        <w:rPr>
          <w:rFonts w:hint="eastAsia" w:ascii="宋体" w:hAnsi="宋体" w:cs="宋体"/>
          <w:kern w:val="0"/>
          <w:szCs w:val="20"/>
          <w:highlight w:val="none"/>
        </w:rPr>
        <w:t>包人结算送审造价－发包人结算审定价）/</w:t>
      </w:r>
      <w:r>
        <w:rPr>
          <w:rFonts w:hint="eastAsia" w:ascii="宋体" w:hAnsi="宋体" w:cs="宋体"/>
          <w:kern w:val="0"/>
          <w:szCs w:val="20"/>
          <w:highlight w:val="none"/>
          <w:lang w:eastAsia="zh-CN"/>
        </w:rPr>
        <w:t>承</w:t>
      </w:r>
      <w:r>
        <w:rPr>
          <w:rFonts w:hint="eastAsia" w:ascii="宋体" w:hAnsi="宋体" w:cs="宋体"/>
          <w:kern w:val="0"/>
          <w:szCs w:val="20"/>
          <w:highlight w:val="none"/>
        </w:rPr>
        <w:t>包人结算审定价</w:t>
      </w:r>
    </w:p>
    <w:p w14:paraId="5247C2E0">
      <w:pPr>
        <w:numPr>
          <w:ilvl w:val="2"/>
          <w:numId w:val="0"/>
        </w:numPr>
        <w:adjustRightInd w:val="0"/>
        <w:snapToGrid w:val="0"/>
        <w:spacing w:line="360" w:lineRule="auto"/>
        <w:ind w:firstLine="420" w:firstLineChars="200"/>
        <w:jc w:val="left"/>
        <w:outlineLvl w:val="2"/>
        <w:rPr>
          <w:rFonts w:hint="eastAsia" w:ascii="宋体" w:hAnsi="宋体" w:cs="宋体"/>
          <w:kern w:val="0"/>
          <w:szCs w:val="20"/>
          <w:highlight w:val="none"/>
        </w:rPr>
      </w:pPr>
      <w:r>
        <w:rPr>
          <w:rFonts w:hint="eastAsia" w:ascii="宋体" w:hAnsi="宋体" w:cs="宋体"/>
          <w:kern w:val="0"/>
          <w:szCs w:val="20"/>
          <w:highlight w:val="none"/>
        </w:rPr>
        <w:t>①</w:t>
      </w:r>
      <w:r>
        <w:rPr>
          <w:rFonts w:hint="eastAsia" w:ascii="宋体" w:hAnsi="宋体" w:cs="宋体"/>
          <w:kern w:val="0"/>
          <w:szCs w:val="20"/>
          <w:highlight w:val="none"/>
          <w:lang w:eastAsia="zh-CN"/>
        </w:rPr>
        <w:t>承</w:t>
      </w:r>
      <w:r>
        <w:rPr>
          <w:rFonts w:hint="eastAsia" w:ascii="宋体" w:hAnsi="宋体" w:cs="宋体"/>
          <w:kern w:val="0"/>
          <w:szCs w:val="20"/>
          <w:highlight w:val="none"/>
        </w:rPr>
        <w:t>包人结算价超报率在10%（不含本数）~20%（含本数）时：</w:t>
      </w:r>
    </w:p>
    <w:p w14:paraId="55ABDE69">
      <w:pPr>
        <w:numPr>
          <w:ilvl w:val="2"/>
          <w:numId w:val="0"/>
        </w:numPr>
        <w:adjustRightInd w:val="0"/>
        <w:snapToGrid w:val="0"/>
        <w:spacing w:line="360" w:lineRule="auto"/>
        <w:ind w:firstLine="420" w:firstLineChars="200"/>
        <w:jc w:val="left"/>
        <w:outlineLvl w:val="2"/>
        <w:rPr>
          <w:rFonts w:hint="eastAsia" w:ascii="宋体" w:hAnsi="宋体" w:cs="宋体"/>
          <w:kern w:val="0"/>
          <w:szCs w:val="20"/>
          <w:highlight w:val="none"/>
        </w:rPr>
      </w:pPr>
      <w:r>
        <w:rPr>
          <w:rFonts w:hint="eastAsia" w:ascii="宋体" w:hAnsi="宋体" w:cs="宋体"/>
          <w:kern w:val="0"/>
          <w:szCs w:val="20"/>
          <w:highlight w:val="none"/>
        </w:rPr>
        <w:t>违约金＝(</w:t>
      </w:r>
      <w:r>
        <w:rPr>
          <w:rFonts w:hint="eastAsia" w:ascii="宋体" w:hAnsi="宋体" w:cs="宋体"/>
          <w:kern w:val="0"/>
          <w:szCs w:val="20"/>
          <w:highlight w:val="none"/>
          <w:lang w:eastAsia="zh-CN"/>
        </w:rPr>
        <w:t>承</w:t>
      </w:r>
      <w:r>
        <w:rPr>
          <w:rFonts w:hint="eastAsia" w:ascii="宋体" w:hAnsi="宋体" w:cs="宋体"/>
          <w:kern w:val="0"/>
          <w:szCs w:val="20"/>
          <w:highlight w:val="none"/>
        </w:rPr>
        <w:t>包人结算送审造价－发包人结算审定价×1.1)×5%。</w:t>
      </w:r>
    </w:p>
    <w:p w14:paraId="54BBDBAD">
      <w:pPr>
        <w:numPr>
          <w:ilvl w:val="2"/>
          <w:numId w:val="0"/>
        </w:numPr>
        <w:adjustRightInd w:val="0"/>
        <w:snapToGrid w:val="0"/>
        <w:spacing w:line="360" w:lineRule="auto"/>
        <w:ind w:firstLine="420" w:firstLineChars="200"/>
        <w:jc w:val="left"/>
        <w:outlineLvl w:val="2"/>
        <w:rPr>
          <w:rFonts w:hint="eastAsia" w:ascii="宋体" w:hAnsi="宋体" w:cs="宋体"/>
          <w:kern w:val="0"/>
          <w:szCs w:val="20"/>
          <w:highlight w:val="none"/>
        </w:rPr>
      </w:pPr>
      <w:r>
        <w:rPr>
          <w:rFonts w:hint="eastAsia" w:ascii="宋体" w:hAnsi="宋体" w:cs="宋体"/>
          <w:kern w:val="0"/>
          <w:szCs w:val="20"/>
          <w:highlight w:val="none"/>
        </w:rPr>
        <w:t>②</w:t>
      </w:r>
      <w:r>
        <w:rPr>
          <w:rFonts w:hint="eastAsia" w:ascii="宋体" w:hAnsi="宋体" w:cs="宋体"/>
          <w:kern w:val="0"/>
          <w:szCs w:val="20"/>
          <w:highlight w:val="none"/>
          <w:lang w:eastAsia="zh-CN"/>
        </w:rPr>
        <w:t>承</w:t>
      </w:r>
      <w:r>
        <w:rPr>
          <w:rFonts w:hint="eastAsia" w:ascii="宋体" w:hAnsi="宋体" w:cs="宋体"/>
          <w:kern w:val="0"/>
          <w:szCs w:val="20"/>
          <w:highlight w:val="none"/>
        </w:rPr>
        <w:t>包人结算价超报率在20%以上时：</w:t>
      </w:r>
    </w:p>
    <w:p w14:paraId="3A96326E">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宋体" w:cs="宋体"/>
          <w:kern w:val="0"/>
          <w:szCs w:val="20"/>
          <w:highlight w:val="none"/>
        </w:rPr>
        <w:t>违约金＝发包人结算审定价×0.1×5%+(</w:t>
      </w:r>
      <w:r>
        <w:rPr>
          <w:rFonts w:hint="eastAsia" w:ascii="宋体" w:hAnsi="宋体" w:cs="宋体"/>
          <w:kern w:val="0"/>
          <w:szCs w:val="20"/>
          <w:highlight w:val="none"/>
          <w:lang w:eastAsia="zh-CN"/>
        </w:rPr>
        <w:t>承</w:t>
      </w:r>
      <w:r>
        <w:rPr>
          <w:rFonts w:hint="eastAsia" w:ascii="宋体" w:hAnsi="宋体" w:cs="宋体"/>
          <w:kern w:val="0"/>
          <w:szCs w:val="20"/>
          <w:highlight w:val="none"/>
        </w:rPr>
        <w:t>包人结算送审造价－发包人结算审定价×1.2)×10%。</w:t>
      </w:r>
    </w:p>
    <w:p w14:paraId="0CF6DBF5">
      <w:pPr>
        <w:keepNext/>
        <w:keepLines/>
        <w:numPr>
          <w:ilvl w:val="0"/>
          <w:numId w:val="4"/>
        </w:numPr>
        <w:adjustRightInd w:val="0"/>
        <w:snapToGrid w:val="0"/>
        <w:spacing w:line="360" w:lineRule="auto"/>
        <w:outlineLvl w:val="0"/>
        <w:rPr>
          <w:rFonts w:ascii="宋体" w:hAnsi="宋体"/>
          <w:b/>
          <w:bCs/>
          <w:kern w:val="44"/>
          <w:sz w:val="28"/>
          <w:szCs w:val="44"/>
          <w:highlight w:val="none"/>
        </w:rPr>
      </w:pPr>
      <w:r>
        <w:rPr>
          <w:rFonts w:hint="eastAsia" w:ascii="宋体" w:hAnsi="宋体"/>
          <w:b/>
          <w:bCs/>
          <w:kern w:val="44"/>
          <w:sz w:val="28"/>
          <w:szCs w:val="44"/>
          <w:highlight w:val="none"/>
        </w:rPr>
        <w:tab/>
      </w:r>
      <w:bookmarkStart w:id="514" w:name="_Toc14501"/>
      <w:bookmarkStart w:id="515" w:name="_Toc24538"/>
      <w:bookmarkStart w:id="516" w:name="_Toc26462"/>
      <w:bookmarkStart w:id="517" w:name="_Toc1619"/>
      <w:bookmarkStart w:id="518" w:name="_Toc167701667"/>
      <w:bookmarkStart w:id="519" w:name="_Toc350865220"/>
      <w:bookmarkStart w:id="520" w:name="_Toc30566"/>
      <w:bookmarkStart w:id="521" w:name="_Toc3435"/>
      <w:bookmarkStart w:id="522" w:name="_Toc19515"/>
      <w:bookmarkStart w:id="523" w:name="_Toc28176"/>
      <w:bookmarkStart w:id="524" w:name="_Toc31215"/>
      <w:bookmarkStart w:id="525" w:name="_Toc1374"/>
      <w:bookmarkStart w:id="526" w:name="_Toc9212"/>
      <w:bookmarkStart w:id="527" w:name="_Toc167975592"/>
      <w:bookmarkStart w:id="528" w:name="_Toc14688"/>
      <w:bookmarkStart w:id="529" w:name="_Toc10440"/>
      <w:bookmarkStart w:id="530" w:name="_Toc12378"/>
      <w:bookmarkStart w:id="531" w:name="_Toc427331253"/>
      <w:bookmarkStart w:id="532" w:name="_Toc30989"/>
      <w:bookmarkStart w:id="533" w:name="_Toc448"/>
      <w:bookmarkStart w:id="534" w:name="_Toc350865582"/>
      <w:bookmarkStart w:id="535" w:name="_Toc26541"/>
      <w:bookmarkStart w:id="536" w:name="_Toc7150"/>
      <w:bookmarkStart w:id="537" w:name="_Toc167701768"/>
      <w:bookmarkStart w:id="538" w:name="_Toc26926"/>
      <w:bookmarkStart w:id="539" w:name="_Toc32366"/>
      <w:r>
        <w:rPr>
          <w:rFonts w:hint="eastAsia" w:ascii="宋体" w:hAnsi="宋体"/>
          <w:b/>
          <w:bCs/>
          <w:kern w:val="44"/>
          <w:sz w:val="28"/>
          <w:szCs w:val="44"/>
          <w:highlight w:val="none"/>
        </w:rPr>
        <w:t>竣工验收</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2DE426E1">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18.3. 验收</w:t>
      </w:r>
    </w:p>
    <w:p w14:paraId="0BBBCAD3">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18.3.2. 通用条款第18.3.2修订为：工程竣工验收包括整体工程竣工验收（指按照相关规定，在政府主管部门立项的项目在竣工备案前须完成的整体工程竣工验收，包括总承包施工范围及专用工程施工范围）与专业承包工程竣工验收（指本合同约定的承包人施工范围内的工程项目竣工验收）。本合同竣工验收通常指专业承包工程竣工验收。</w:t>
      </w:r>
    </w:p>
    <w:p w14:paraId="25FD2D78">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竣工验收前承包人应组织自检并根据检查结果整改合格后，向监理人提出书面竣工验收申请。经监理人组织承包人、发包人、设计人等验收合格后，参验单位签发并盖章确认的工程竣工验收通过并合格证明文件，并在规定时间内向发包人或发包人指定的第三方办理工程移交手续。</w:t>
      </w:r>
    </w:p>
    <w:p w14:paraId="49C7A8AD">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发包人验收后同意接收工程但提出整修和完善要求的，按甩项竣工验收处理。需整修和完善的具体内容应在竣工验收的相关资料内载明，并明确整修完成期限，承包人须按期整修和完善。甩项验收工作内容完成后，承包人向监理人申报查验，经监理人组织相关单位复查达到要求的，经发包人同意后，发包人、监理人、承包人等参验单位书面确认并签发甩项竣工验收通过并合格的证明文件。</w:t>
      </w:r>
    </w:p>
    <w:p w14:paraId="2B95D12D">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18.3.7.  竣工验收资料要求如下：</w:t>
      </w:r>
    </w:p>
    <w:p w14:paraId="13A64B1A">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1) 承包人在申请工程验收（含工程竣工验收、甩项竣工验收和单位工程验收）之前，应提前</w:t>
      </w:r>
      <w:r>
        <w:rPr>
          <w:rFonts w:hint="eastAsia" w:ascii="宋体" w:hAnsi="宋体"/>
          <w:bCs/>
          <w:kern w:val="0"/>
          <w:szCs w:val="28"/>
          <w:highlight w:val="none"/>
          <w:lang w:val="en-US" w:eastAsia="zh-CN"/>
        </w:rPr>
        <w:t>7</w:t>
      </w:r>
      <w:r>
        <w:rPr>
          <w:rFonts w:hint="eastAsia" w:ascii="宋体" w:hAnsi="宋体"/>
          <w:bCs/>
          <w:kern w:val="0"/>
          <w:szCs w:val="28"/>
          <w:highlight w:val="none"/>
        </w:rPr>
        <w:t>天以上按照任何有关管理机构的要求以及政府关于档案管理的规定进行整理和装订全套竣工资料（含竣工图，竣工图编制必须同时符合规划、消防、环保等有关部门的相关要求）并保证其正确性、有效性和完整性，并在申请时将竣工资料和竣工图纸提交给发包人。</w:t>
      </w:r>
    </w:p>
    <w:p w14:paraId="4A84955F">
      <w:pPr>
        <w:adjustRightInd w:val="0"/>
        <w:snapToGrid w:val="0"/>
        <w:spacing w:line="360" w:lineRule="auto"/>
        <w:ind w:left="420"/>
        <w:jc w:val="left"/>
        <w:outlineLvl w:val="3"/>
        <w:rPr>
          <w:rFonts w:ascii="宋体" w:hAnsi="宋体"/>
          <w:bCs/>
          <w:kern w:val="0"/>
          <w:szCs w:val="28"/>
          <w:highlight w:val="none"/>
        </w:rPr>
      </w:pPr>
      <w:r>
        <w:rPr>
          <w:rFonts w:hint="eastAsia" w:ascii="宋体" w:hAnsi="宋体"/>
          <w:bCs/>
          <w:kern w:val="0"/>
          <w:szCs w:val="28"/>
          <w:highlight w:val="none"/>
        </w:rPr>
        <w:t>2） 竣工验收资料的份数：陆份。</w:t>
      </w:r>
    </w:p>
    <w:p w14:paraId="7C14CC69">
      <w:pPr>
        <w:adjustRightInd w:val="0"/>
        <w:snapToGrid w:val="0"/>
        <w:spacing w:line="360" w:lineRule="auto"/>
        <w:ind w:left="420"/>
        <w:jc w:val="left"/>
        <w:outlineLvl w:val="3"/>
        <w:rPr>
          <w:rFonts w:ascii="宋体" w:hAnsi="宋体"/>
          <w:bCs/>
          <w:kern w:val="0"/>
          <w:szCs w:val="28"/>
          <w:highlight w:val="none"/>
        </w:rPr>
      </w:pPr>
      <w:r>
        <w:rPr>
          <w:rFonts w:hint="eastAsia" w:ascii="宋体" w:hAnsi="宋体"/>
          <w:bCs/>
          <w:kern w:val="0"/>
          <w:szCs w:val="28"/>
          <w:highlight w:val="none"/>
        </w:rPr>
        <w:t>竣工验收资料的费用支付方式：</w:t>
      </w:r>
      <w:r>
        <w:rPr>
          <w:rFonts w:hint="eastAsia" w:ascii="宋体" w:hAnsi="宋体"/>
          <w:kern w:val="0"/>
          <w:szCs w:val="20"/>
          <w:highlight w:val="none"/>
        </w:rPr>
        <w:t>已包含在合同价款中，发包人无需另行支付</w:t>
      </w:r>
      <w:r>
        <w:rPr>
          <w:rFonts w:hint="eastAsia" w:ascii="宋体" w:hAnsi="宋体"/>
          <w:bCs/>
          <w:kern w:val="0"/>
          <w:szCs w:val="28"/>
          <w:highlight w:val="none"/>
        </w:rPr>
        <w:t>。</w:t>
      </w:r>
    </w:p>
    <w:p w14:paraId="05184847">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3） 承包人延迟提供符合以上规定的竣工图纸及竣工资料的，每延迟1天，须向发包人支付相当于合同暂定总价万分之五的违约金。</w:t>
      </w:r>
    </w:p>
    <w:p w14:paraId="3577D16A">
      <w:pPr>
        <w:adjustRightInd w:val="0"/>
        <w:snapToGrid w:val="0"/>
        <w:spacing w:line="360" w:lineRule="auto"/>
        <w:ind w:firstLine="420" w:firstLineChars="200"/>
        <w:jc w:val="left"/>
        <w:outlineLvl w:val="3"/>
        <w:rPr>
          <w:rFonts w:ascii="宋体" w:hAnsi="宋体"/>
          <w:bCs/>
          <w:kern w:val="0"/>
          <w:szCs w:val="28"/>
          <w:highlight w:val="none"/>
        </w:rPr>
      </w:pPr>
      <w:r>
        <w:rPr>
          <w:rFonts w:hint="eastAsia" w:ascii="宋体" w:hAnsi="宋体"/>
          <w:bCs/>
          <w:kern w:val="0"/>
          <w:szCs w:val="28"/>
          <w:highlight w:val="none"/>
        </w:rPr>
        <w:t>18.3.8.</w:t>
      </w:r>
      <w:r>
        <w:rPr>
          <w:rFonts w:hint="eastAsia" w:ascii="宋体" w:hAnsi="宋体"/>
          <w:bCs/>
          <w:kern w:val="0"/>
          <w:szCs w:val="28"/>
          <w:highlight w:val="none"/>
        </w:rPr>
        <w:tab/>
      </w:r>
      <w:r>
        <w:rPr>
          <w:rFonts w:hint="eastAsia" w:ascii="宋体" w:hAnsi="宋体"/>
          <w:bCs/>
          <w:kern w:val="0"/>
          <w:szCs w:val="28"/>
          <w:highlight w:val="none"/>
        </w:rPr>
        <w:t>除非合同中另有约定，所有竣工、验收资料（含竣工图纸）的准备、编制、整理和装订的费用均由承包人承担，该等费用已经包含在暂定合同总价、措施费及相关工作的综合单价中，发包人不再为此另行支付。</w:t>
      </w:r>
    </w:p>
    <w:p w14:paraId="443A26B0">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18.4. 施工期运行</w:t>
      </w:r>
    </w:p>
    <w:p w14:paraId="70676FA0">
      <w:pPr>
        <w:numPr>
          <w:ilvl w:val="2"/>
          <w:numId w:val="0"/>
        </w:numPr>
        <w:adjustRightInd w:val="0"/>
        <w:snapToGrid w:val="0"/>
        <w:spacing w:line="360" w:lineRule="auto"/>
        <w:ind w:firstLine="420" w:firstLineChars="200"/>
        <w:jc w:val="left"/>
        <w:outlineLvl w:val="2"/>
        <w:rPr>
          <w:rFonts w:ascii="宋体" w:hAnsi="宋体"/>
          <w:kern w:val="0"/>
          <w:szCs w:val="20"/>
          <w:highlight w:val="none"/>
          <w:u w:val="single"/>
        </w:rPr>
      </w:pPr>
      <w:r>
        <w:rPr>
          <w:rFonts w:hint="eastAsia" w:ascii="宋体" w:hAnsi="宋体"/>
          <w:kern w:val="0"/>
          <w:szCs w:val="20"/>
          <w:highlight w:val="none"/>
        </w:rPr>
        <w:t>18.4.1. 需要施工期运行的单位工程或设备安装工程：</w:t>
      </w:r>
      <w:r>
        <w:rPr>
          <w:rFonts w:hint="eastAsia" w:ascii="宋体" w:hAnsi="宋体"/>
          <w:kern w:val="0"/>
          <w:szCs w:val="20"/>
          <w:highlight w:val="none"/>
          <w:u w:val="single"/>
        </w:rPr>
        <w:t xml:space="preserve">  无  。</w:t>
      </w:r>
    </w:p>
    <w:p w14:paraId="028DC386">
      <w:pPr>
        <w:numPr>
          <w:ilvl w:val="2"/>
          <w:numId w:val="0"/>
        </w:numPr>
        <w:adjustRightInd w:val="0"/>
        <w:snapToGrid w:val="0"/>
        <w:spacing w:line="360" w:lineRule="auto"/>
        <w:ind w:firstLine="420" w:firstLineChars="200"/>
        <w:jc w:val="left"/>
        <w:outlineLvl w:val="2"/>
        <w:rPr>
          <w:rFonts w:ascii="宋体" w:hAnsi="宋体"/>
          <w:kern w:val="0"/>
          <w:szCs w:val="20"/>
          <w:highlight w:val="none"/>
          <w:u w:val="none"/>
        </w:rPr>
      </w:pPr>
      <w:r>
        <w:rPr>
          <w:rFonts w:hint="eastAsia" w:ascii="宋体" w:hAnsi="宋体"/>
          <w:kern w:val="0"/>
          <w:szCs w:val="20"/>
          <w:highlight w:val="none"/>
          <w:u w:val="none"/>
        </w:rPr>
        <w:t>18.4.3.</w:t>
      </w:r>
      <w:r>
        <w:rPr>
          <w:rFonts w:hint="eastAsia" w:ascii="宋体" w:hAnsi="宋体"/>
          <w:kern w:val="0"/>
          <w:szCs w:val="20"/>
          <w:highlight w:val="none"/>
          <w:u w:val="none"/>
        </w:rPr>
        <w:tab/>
      </w:r>
      <w:r>
        <w:rPr>
          <w:rFonts w:hint="eastAsia" w:ascii="宋体" w:hAnsi="宋体"/>
          <w:kern w:val="0"/>
          <w:szCs w:val="20"/>
          <w:highlight w:val="none"/>
          <w:u w:val="none"/>
        </w:rPr>
        <w:t>若合同文件说明部分工程包含调试，则承包人须负责按合同文件规定对该部分工程进行调试，并依法安排当地政府有关部门对整体安装的现状调试直至验收合格并发予运行/转准字或批文，有关费用已包含在暂定合同总价、措施费及相关工作的综合单价中，不再另行计取。</w:t>
      </w:r>
    </w:p>
    <w:p w14:paraId="0C4FB8AF">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18.5. 试运行</w:t>
      </w:r>
    </w:p>
    <w:p w14:paraId="53D662D4">
      <w:pPr>
        <w:numPr>
          <w:ilvl w:val="2"/>
          <w:numId w:val="0"/>
        </w:numPr>
        <w:adjustRightInd w:val="0"/>
        <w:snapToGrid w:val="0"/>
        <w:spacing w:line="360" w:lineRule="auto"/>
        <w:ind w:firstLine="420" w:firstLineChars="200"/>
        <w:jc w:val="left"/>
        <w:outlineLvl w:val="2"/>
        <w:rPr>
          <w:rFonts w:ascii="宋体" w:hAnsi="宋体"/>
          <w:kern w:val="0"/>
          <w:szCs w:val="20"/>
          <w:highlight w:val="none"/>
          <w:u w:val="single"/>
        </w:rPr>
      </w:pPr>
      <w:r>
        <w:rPr>
          <w:rFonts w:hint="eastAsia" w:ascii="宋体" w:hAnsi="宋体"/>
          <w:kern w:val="0"/>
          <w:szCs w:val="20"/>
          <w:highlight w:val="none"/>
        </w:rPr>
        <w:t>18.5.1. 需要试运行的单位工程或设备安装工程（包括但不限于）：</w:t>
      </w:r>
      <w:r>
        <w:rPr>
          <w:rFonts w:hint="eastAsia" w:ascii="宋体" w:hAnsi="宋体"/>
          <w:kern w:val="0"/>
          <w:szCs w:val="20"/>
          <w:highlight w:val="none"/>
          <w:u w:val="single"/>
        </w:rPr>
        <w:t xml:space="preserve">  无 。</w:t>
      </w:r>
    </w:p>
    <w:p w14:paraId="3EA28C10">
      <w:pPr>
        <w:numPr>
          <w:ilvl w:val="2"/>
          <w:numId w:val="0"/>
        </w:numPr>
        <w:adjustRightInd w:val="0"/>
        <w:snapToGrid w:val="0"/>
        <w:spacing w:line="360" w:lineRule="auto"/>
        <w:ind w:firstLine="420" w:firstLineChars="200"/>
        <w:jc w:val="left"/>
        <w:outlineLvl w:val="2"/>
        <w:rPr>
          <w:rFonts w:ascii="宋体" w:hAnsi="宋体"/>
          <w:snapToGrid w:val="0"/>
          <w:kern w:val="0"/>
          <w:szCs w:val="20"/>
          <w:highlight w:val="none"/>
        </w:rPr>
      </w:pPr>
      <w:r>
        <w:rPr>
          <w:rFonts w:hint="eastAsia" w:ascii="宋体" w:hAnsi="宋体"/>
          <w:snapToGrid w:val="0"/>
          <w:kern w:val="0"/>
          <w:szCs w:val="20"/>
          <w:highlight w:val="none"/>
        </w:rPr>
        <w:t>18.5.3. 试</w:t>
      </w:r>
      <w:r>
        <w:rPr>
          <w:rFonts w:hint="eastAsia" w:ascii="宋体" w:hAnsi="宋体"/>
          <w:kern w:val="0"/>
          <w:szCs w:val="20"/>
          <w:highlight w:val="none"/>
        </w:rPr>
        <w:t>运行</w:t>
      </w:r>
      <w:r>
        <w:rPr>
          <w:rFonts w:hint="eastAsia" w:ascii="宋体" w:hAnsi="宋体"/>
          <w:snapToGrid w:val="0"/>
          <w:kern w:val="0"/>
          <w:szCs w:val="20"/>
          <w:highlight w:val="none"/>
        </w:rPr>
        <w:t>全部费用（包括但不限于水、电、汽费用，原材料费、人工费、检测费等）已</w:t>
      </w:r>
      <w:r>
        <w:rPr>
          <w:rFonts w:hint="eastAsia" w:ascii="Times New Roman" w:hAnsi="Times New Roman"/>
          <w:szCs w:val="24"/>
          <w:highlight w:val="none"/>
        </w:rPr>
        <w:t>包含在暂定合同总价、措施费及相关工作的综合单价中</w:t>
      </w:r>
      <w:r>
        <w:rPr>
          <w:rFonts w:hint="eastAsia" w:ascii="宋体" w:hAnsi="宋体"/>
          <w:snapToGrid w:val="0"/>
          <w:kern w:val="0"/>
          <w:szCs w:val="20"/>
          <w:highlight w:val="none"/>
        </w:rPr>
        <w:t>，由承包人承担，不再另行计取。</w:t>
      </w:r>
    </w:p>
    <w:p w14:paraId="7DCF93EF">
      <w:pPr>
        <w:numPr>
          <w:ilvl w:val="2"/>
          <w:numId w:val="0"/>
        </w:numPr>
        <w:adjustRightInd w:val="0"/>
        <w:snapToGrid w:val="0"/>
        <w:spacing w:line="360" w:lineRule="auto"/>
        <w:ind w:firstLine="420" w:firstLineChars="200"/>
        <w:jc w:val="left"/>
        <w:outlineLvl w:val="2"/>
        <w:rPr>
          <w:rFonts w:ascii="宋体" w:hAnsi="宋体"/>
          <w:snapToGrid w:val="0"/>
          <w:kern w:val="0"/>
          <w:szCs w:val="20"/>
          <w:highlight w:val="none"/>
        </w:rPr>
      </w:pPr>
      <w:r>
        <w:rPr>
          <w:rFonts w:hint="eastAsia" w:ascii="宋体" w:hAnsi="宋体"/>
          <w:snapToGrid w:val="0"/>
          <w:kern w:val="0"/>
          <w:szCs w:val="20"/>
          <w:highlight w:val="none"/>
        </w:rPr>
        <w:t>18.5.4. 试</w:t>
      </w:r>
      <w:r>
        <w:rPr>
          <w:rFonts w:hint="eastAsia" w:ascii="宋体" w:hAnsi="宋体"/>
          <w:kern w:val="0"/>
          <w:szCs w:val="20"/>
          <w:highlight w:val="none"/>
        </w:rPr>
        <w:t>运行</w:t>
      </w:r>
      <w:r>
        <w:rPr>
          <w:rFonts w:hint="eastAsia" w:ascii="宋体" w:hAnsi="宋体"/>
          <w:snapToGrid w:val="0"/>
          <w:kern w:val="0"/>
          <w:szCs w:val="20"/>
          <w:highlight w:val="none"/>
        </w:rPr>
        <w:t>的内容、范围及试运行时间具体要求：</w:t>
      </w:r>
      <w:r>
        <w:rPr>
          <w:rFonts w:hint="eastAsia" w:ascii="宋体" w:hAnsi="宋体"/>
          <w:snapToGrid w:val="0"/>
          <w:kern w:val="0"/>
          <w:szCs w:val="20"/>
          <w:highlight w:val="none"/>
          <w:u w:val="single"/>
        </w:rPr>
        <w:t xml:space="preserve">  </w:t>
      </w:r>
      <w:r>
        <w:rPr>
          <w:rFonts w:hint="eastAsia" w:ascii="宋体" w:hAnsi="宋体"/>
          <w:kern w:val="0"/>
          <w:szCs w:val="20"/>
          <w:highlight w:val="none"/>
          <w:u w:val="single"/>
        </w:rPr>
        <w:t>无</w:t>
      </w:r>
      <w:r>
        <w:rPr>
          <w:rFonts w:hint="eastAsia" w:ascii="宋体" w:hAnsi="宋体"/>
          <w:snapToGrid w:val="0"/>
          <w:kern w:val="0"/>
          <w:szCs w:val="20"/>
          <w:highlight w:val="none"/>
          <w:u w:val="single"/>
        </w:rPr>
        <w:t xml:space="preserve">  。</w:t>
      </w:r>
      <w:r>
        <w:rPr>
          <w:rFonts w:hint="eastAsia" w:ascii="宋体" w:hAnsi="宋体"/>
          <w:snapToGrid w:val="0"/>
          <w:kern w:val="0"/>
          <w:szCs w:val="20"/>
          <w:highlight w:val="none"/>
        </w:rPr>
        <w:t xml:space="preserve">      </w:t>
      </w:r>
    </w:p>
    <w:p w14:paraId="317358CA">
      <w:pPr>
        <w:numPr>
          <w:ilvl w:val="2"/>
          <w:numId w:val="0"/>
        </w:numPr>
        <w:adjustRightInd w:val="0"/>
        <w:snapToGrid w:val="0"/>
        <w:spacing w:line="360" w:lineRule="auto"/>
        <w:ind w:firstLine="420" w:firstLineChars="200"/>
        <w:jc w:val="left"/>
        <w:outlineLvl w:val="2"/>
        <w:rPr>
          <w:rFonts w:ascii="宋体" w:hAnsi="宋体"/>
          <w:snapToGrid w:val="0"/>
          <w:kern w:val="0"/>
          <w:szCs w:val="20"/>
          <w:highlight w:val="none"/>
        </w:rPr>
      </w:pPr>
      <w:r>
        <w:rPr>
          <w:rFonts w:hint="eastAsia" w:ascii="宋体" w:hAnsi="宋体"/>
          <w:snapToGrid w:val="0"/>
          <w:kern w:val="0"/>
          <w:szCs w:val="20"/>
          <w:highlight w:val="none"/>
        </w:rPr>
        <w:t>18.5.5. 试</w:t>
      </w:r>
      <w:r>
        <w:rPr>
          <w:rFonts w:hint="eastAsia" w:ascii="宋体" w:hAnsi="宋体"/>
          <w:kern w:val="0"/>
          <w:szCs w:val="20"/>
          <w:highlight w:val="none"/>
        </w:rPr>
        <w:t>运行</w:t>
      </w:r>
      <w:r>
        <w:rPr>
          <w:rFonts w:hint="eastAsia" w:ascii="宋体" w:hAnsi="宋体"/>
          <w:snapToGrid w:val="0"/>
          <w:kern w:val="0"/>
          <w:szCs w:val="20"/>
          <w:highlight w:val="none"/>
        </w:rPr>
        <w:t xml:space="preserve">达不到验收要求的，按下列规定处理： </w:t>
      </w:r>
    </w:p>
    <w:p w14:paraId="6EF7F4B9">
      <w:pPr>
        <w:numPr>
          <w:ilvl w:val="2"/>
          <w:numId w:val="0"/>
        </w:numPr>
        <w:adjustRightInd w:val="0"/>
        <w:snapToGrid w:val="0"/>
        <w:spacing w:line="360" w:lineRule="auto"/>
        <w:ind w:firstLine="420" w:firstLineChars="200"/>
        <w:jc w:val="left"/>
        <w:outlineLvl w:val="2"/>
        <w:rPr>
          <w:rFonts w:ascii="宋体" w:hAnsi="宋体"/>
          <w:snapToGrid w:val="0"/>
          <w:kern w:val="0"/>
          <w:szCs w:val="20"/>
          <w:highlight w:val="none"/>
        </w:rPr>
      </w:pPr>
      <w:r>
        <w:rPr>
          <w:rFonts w:hint="eastAsia" w:ascii="宋体" w:hAnsi="宋体"/>
          <w:snapToGrid w:val="0"/>
          <w:kern w:val="0"/>
          <w:szCs w:val="20"/>
          <w:highlight w:val="none"/>
        </w:rPr>
        <w:t>a.由于</w:t>
      </w:r>
      <w:r>
        <w:rPr>
          <w:rFonts w:hint="eastAsia" w:ascii="宋体" w:hAnsi="宋体"/>
          <w:kern w:val="0"/>
          <w:szCs w:val="20"/>
          <w:highlight w:val="none"/>
        </w:rPr>
        <w:t>设计</w:t>
      </w:r>
      <w:r>
        <w:rPr>
          <w:rFonts w:hint="eastAsia" w:ascii="宋体" w:hAnsi="宋体"/>
          <w:snapToGrid w:val="0"/>
          <w:kern w:val="0"/>
          <w:szCs w:val="20"/>
          <w:highlight w:val="none"/>
        </w:rPr>
        <w:t>原因试运行达不到验收要求，发包人应要求设计单位修改设计，承包人按修改后的设计重新安装。发包人承担修改设计、拆除及重新安装的全部费用，工期相应顺延。</w:t>
      </w:r>
    </w:p>
    <w:p w14:paraId="51F63CFD">
      <w:pPr>
        <w:numPr>
          <w:ilvl w:val="2"/>
          <w:numId w:val="0"/>
        </w:numPr>
        <w:adjustRightInd w:val="0"/>
        <w:snapToGrid w:val="0"/>
        <w:spacing w:line="360" w:lineRule="auto"/>
        <w:ind w:firstLine="420" w:firstLineChars="200"/>
        <w:jc w:val="left"/>
        <w:outlineLvl w:val="2"/>
        <w:rPr>
          <w:rFonts w:ascii="宋体" w:hAnsi="宋体"/>
          <w:snapToGrid w:val="0"/>
          <w:kern w:val="0"/>
          <w:szCs w:val="20"/>
          <w:highlight w:val="none"/>
        </w:rPr>
      </w:pPr>
      <w:r>
        <w:rPr>
          <w:rFonts w:hint="eastAsia" w:ascii="宋体" w:hAnsi="宋体"/>
          <w:snapToGrid w:val="0"/>
          <w:kern w:val="0"/>
          <w:szCs w:val="20"/>
          <w:highlight w:val="none"/>
        </w:rPr>
        <w:t>b.由于设备制造质量原因试运行达不到验收要求，由该责任方负责重新购置或修理，承包人负责拆除和重新安装。设备由承包人采购的，由承包人承担修理或重新采购、拆除及重新安装的费用，工期不予顺延；设备由发包人供应的，发包人承担上述各项费用，并列入合同价款，工期相应顺延。</w:t>
      </w:r>
    </w:p>
    <w:p w14:paraId="7E3850B7">
      <w:pPr>
        <w:numPr>
          <w:ilvl w:val="2"/>
          <w:numId w:val="0"/>
        </w:numPr>
        <w:adjustRightInd w:val="0"/>
        <w:snapToGrid w:val="0"/>
        <w:spacing w:line="360" w:lineRule="auto"/>
        <w:ind w:firstLine="420" w:firstLineChars="200"/>
        <w:jc w:val="left"/>
        <w:outlineLvl w:val="2"/>
        <w:rPr>
          <w:rFonts w:ascii="宋体" w:hAnsi="宋体"/>
          <w:snapToGrid w:val="0"/>
          <w:kern w:val="0"/>
          <w:szCs w:val="20"/>
          <w:highlight w:val="none"/>
        </w:rPr>
      </w:pPr>
      <w:r>
        <w:rPr>
          <w:rFonts w:hint="eastAsia" w:ascii="宋体" w:hAnsi="宋体"/>
          <w:snapToGrid w:val="0"/>
          <w:kern w:val="0"/>
          <w:szCs w:val="20"/>
          <w:highlight w:val="none"/>
        </w:rPr>
        <w:t>c.由于承包人施工原因试运行达不到验收要求，承包人按监理工程师要求重新安装和试运行，并承担拆除、重新安装和重新试运行的费用，工期不予顺延。</w:t>
      </w:r>
    </w:p>
    <w:p w14:paraId="023C32A8">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18.7. 施工队伍的撤离</w:t>
      </w:r>
    </w:p>
    <w:p w14:paraId="2CC6FCC6">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宋体"/>
          <w:kern w:val="0"/>
          <w:szCs w:val="20"/>
          <w:highlight w:val="none"/>
        </w:rPr>
        <w:t>18.7.1. 施工队伍撤离的时间为本合同工程竣工验收通过后</w:t>
      </w:r>
      <w:r>
        <w:rPr>
          <w:rFonts w:hint="eastAsia" w:ascii="宋体" w:hAnsi="宋体"/>
          <w:kern w:val="0"/>
          <w:szCs w:val="20"/>
          <w:highlight w:val="none"/>
          <w:u w:val="single"/>
        </w:rPr>
        <w:t>15</w:t>
      </w:r>
      <w:r>
        <w:rPr>
          <w:rFonts w:hint="eastAsia" w:ascii="宋体" w:hAnsi="宋体"/>
          <w:kern w:val="0"/>
          <w:szCs w:val="20"/>
          <w:highlight w:val="none"/>
        </w:rPr>
        <w:t>天内。</w:t>
      </w:r>
    </w:p>
    <w:p w14:paraId="5F6DEDF7">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18.7.2 承包人不得因与发包人的工程款纠纷、其他纠纷或其他任何原因占据现场，拒绝撤离。</w:t>
      </w:r>
    </w:p>
    <w:p w14:paraId="20CF055E">
      <w:pPr>
        <w:keepNext/>
        <w:keepLines/>
        <w:numPr>
          <w:ilvl w:val="0"/>
          <w:numId w:val="4"/>
        </w:numPr>
        <w:adjustRightInd w:val="0"/>
        <w:snapToGrid w:val="0"/>
        <w:spacing w:line="360" w:lineRule="auto"/>
        <w:outlineLvl w:val="0"/>
        <w:rPr>
          <w:rFonts w:ascii="宋体" w:hAnsi="宋体"/>
          <w:b/>
          <w:bCs/>
          <w:kern w:val="44"/>
          <w:sz w:val="28"/>
          <w:szCs w:val="44"/>
          <w:highlight w:val="none"/>
        </w:rPr>
      </w:pPr>
      <w:r>
        <w:rPr>
          <w:rFonts w:hint="eastAsia" w:ascii="宋体" w:hAnsi="宋体"/>
          <w:b/>
          <w:bCs/>
          <w:kern w:val="44"/>
          <w:sz w:val="28"/>
          <w:szCs w:val="44"/>
          <w:highlight w:val="none"/>
        </w:rPr>
        <w:tab/>
      </w:r>
      <w:bookmarkStart w:id="540" w:name="_Toc167975593"/>
      <w:bookmarkStart w:id="541" w:name="_Toc9724"/>
      <w:bookmarkStart w:id="542" w:name="_Toc11983"/>
      <w:bookmarkStart w:id="543" w:name="_Toc12671"/>
      <w:bookmarkStart w:id="544" w:name="_Toc7779"/>
      <w:bookmarkStart w:id="545" w:name="_Toc32161"/>
      <w:bookmarkStart w:id="546" w:name="_Toc6399"/>
      <w:bookmarkStart w:id="547" w:name="_Toc24151"/>
      <w:bookmarkStart w:id="548" w:name="_Toc5468"/>
      <w:bookmarkStart w:id="549" w:name="_Toc5847"/>
      <w:bookmarkStart w:id="550" w:name="_Toc18866"/>
      <w:bookmarkStart w:id="551" w:name="_Toc7254"/>
      <w:bookmarkStart w:id="552" w:name="_Toc27314"/>
      <w:bookmarkStart w:id="553" w:name="_Toc18464"/>
      <w:bookmarkStart w:id="554" w:name="_Toc25724"/>
      <w:bookmarkStart w:id="555" w:name="_Toc23665"/>
      <w:bookmarkStart w:id="556" w:name="_Toc1223"/>
      <w:bookmarkStart w:id="557" w:name="_Toc350865583"/>
      <w:bookmarkStart w:id="558" w:name="_Toc350865221"/>
      <w:bookmarkStart w:id="559" w:name="_Toc337"/>
      <w:bookmarkStart w:id="560" w:name="_Toc5588"/>
      <w:bookmarkStart w:id="561" w:name="_Toc26672"/>
      <w:bookmarkStart w:id="562" w:name="_Toc427331254"/>
      <w:bookmarkStart w:id="563" w:name="_Toc17815"/>
      <w:bookmarkStart w:id="564" w:name="_Toc167701769"/>
      <w:bookmarkStart w:id="565" w:name="_Toc167701668"/>
      <w:r>
        <w:rPr>
          <w:rFonts w:hint="eastAsia" w:ascii="宋体" w:hAnsi="宋体"/>
          <w:b/>
          <w:bCs/>
          <w:kern w:val="44"/>
          <w:sz w:val="28"/>
          <w:szCs w:val="44"/>
          <w:highlight w:val="none"/>
        </w:rPr>
        <w:t>缺陷责任</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1A7B855E">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19.1.</w:t>
      </w:r>
      <w:r>
        <w:rPr>
          <w:rFonts w:hint="eastAsia" w:ascii="宋体" w:hAnsi="宋体"/>
          <w:b/>
          <w:bCs/>
          <w:kern w:val="0"/>
          <w:szCs w:val="21"/>
          <w:highlight w:val="none"/>
        </w:rPr>
        <w:tab/>
      </w:r>
      <w:r>
        <w:rPr>
          <w:rFonts w:hint="eastAsia" w:ascii="宋体" w:hAnsi="宋体"/>
          <w:b/>
          <w:bCs/>
          <w:kern w:val="0"/>
          <w:szCs w:val="21"/>
          <w:highlight w:val="none"/>
        </w:rPr>
        <w:t>工程保修的原则</w:t>
      </w:r>
    </w:p>
    <w:p w14:paraId="30BF3DEE">
      <w:pPr>
        <w:numPr>
          <w:ilvl w:val="1"/>
          <w:numId w:val="0"/>
        </w:numPr>
        <w:adjustRightInd w:val="0"/>
        <w:snapToGrid w:val="0"/>
        <w:spacing w:line="360" w:lineRule="auto"/>
        <w:ind w:firstLine="420" w:firstLineChars="200"/>
        <w:jc w:val="left"/>
        <w:outlineLvl w:val="1"/>
        <w:rPr>
          <w:rFonts w:hint="eastAsia" w:ascii="宋体" w:hAnsi="宋体" w:eastAsia="宋体"/>
          <w:bCs/>
          <w:kern w:val="0"/>
          <w:szCs w:val="21"/>
          <w:highlight w:val="none"/>
          <w:lang w:eastAsia="zh-CN"/>
        </w:rPr>
      </w:pPr>
      <w:r>
        <w:rPr>
          <w:rFonts w:hint="eastAsia" w:ascii="宋体" w:hAnsi="宋体"/>
          <w:bCs/>
          <w:kern w:val="0"/>
          <w:szCs w:val="21"/>
          <w:highlight w:val="none"/>
        </w:rPr>
        <w:t>在工程移交发包人后，因承包人原因产生的质量缺陷，承包人应承担质量缺陷责任和保修义务。缺陷责任期届满，承包人仍应按合同约定的工程各部位保修年限承担保修义务</w:t>
      </w:r>
      <w:r>
        <w:rPr>
          <w:rFonts w:hint="eastAsia" w:ascii="宋体" w:hAnsi="宋体"/>
          <w:bCs/>
          <w:kern w:val="0"/>
          <w:szCs w:val="21"/>
          <w:highlight w:val="none"/>
          <w:lang w:eastAsia="zh-CN"/>
        </w:rPr>
        <w:t>。</w:t>
      </w:r>
    </w:p>
    <w:p w14:paraId="7349D227">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19.2.</w:t>
      </w:r>
      <w:r>
        <w:rPr>
          <w:rFonts w:hint="eastAsia" w:ascii="宋体" w:hAnsi="宋体"/>
          <w:b/>
          <w:bCs/>
          <w:kern w:val="0"/>
          <w:szCs w:val="21"/>
          <w:highlight w:val="none"/>
        </w:rPr>
        <w:tab/>
      </w:r>
      <w:r>
        <w:rPr>
          <w:rFonts w:hint="eastAsia" w:ascii="宋体" w:hAnsi="宋体"/>
          <w:b/>
          <w:bCs/>
          <w:kern w:val="0"/>
          <w:szCs w:val="21"/>
          <w:highlight w:val="none"/>
        </w:rPr>
        <w:t>缺陷责任期</w:t>
      </w:r>
    </w:p>
    <w:p w14:paraId="6512BA12">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 xml:space="preserve">19.2.1. </w:t>
      </w:r>
      <w:r>
        <w:rPr>
          <w:rFonts w:hint="eastAsia" w:ascii="宋体" w:hAnsi="宋体"/>
          <w:kern w:val="0"/>
          <w:szCs w:val="20"/>
          <w:highlight w:val="none"/>
          <w:u w:val="none"/>
        </w:rPr>
        <w:t>本合同中的缺陷责任期为</w:t>
      </w:r>
      <w:r>
        <w:rPr>
          <w:rFonts w:hint="eastAsia" w:ascii="宋体" w:hAnsi="宋体"/>
          <w:kern w:val="0"/>
          <w:szCs w:val="20"/>
          <w:highlight w:val="none"/>
          <w:u w:val="none"/>
          <w:lang w:val="en-US" w:eastAsia="zh-CN"/>
        </w:rPr>
        <w:t>三</w:t>
      </w:r>
      <w:r>
        <w:rPr>
          <w:rFonts w:hint="eastAsia" w:ascii="宋体" w:hAnsi="宋体"/>
          <w:kern w:val="0"/>
          <w:szCs w:val="20"/>
          <w:highlight w:val="none"/>
          <w:u w:val="none"/>
        </w:rPr>
        <w:t>年，缺陷责任期自</w:t>
      </w:r>
      <w:r>
        <w:rPr>
          <w:rFonts w:hint="eastAsia" w:ascii="宋体" w:hAnsi="宋体"/>
          <w:kern w:val="0"/>
          <w:szCs w:val="20"/>
          <w:highlight w:val="none"/>
          <w:u w:val="none"/>
          <w:lang w:val="en-US" w:eastAsia="zh-CN"/>
        </w:rPr>
        <w:t>本工程</w:t>
      </w:r>
      <w:r>
        <w:rPr>
          <w:rFonts w:hint="eastAsia" w:ascii="宋体" w:hAnsi="宋体"/>
          <w:kern w:val="0"/>
          <w:szCs w:val="20"/>
          <w:highlight w:val="none"/>
          <w:u w:val="none"/>
        </w:rPr>
        <w:t>竣工验收合格之日起计算</w:t>
      </w:r>
      <w:r>
        <w:rPr>
          <w:rFonts w:hint="eastAsia" w:ascii="宋体" w:hAnsi="宋体"/>
          <w:kern w:val="0"/>
          <w:szCs w:val="20"/>
          <w:highlight w:val="none"/>
        </w:rPr>
        <w:t>，缺陷责任期、保修期、缺陷责任、保修责任及程序详细约定见附件</w:t>
      </w:r>
      <w:r>
        <w:rPr>
          <w:rFonts w:hint="eastAsia" w:ascii="宋体" w:hAnsi="宋体"/>
          <w:kern w:val="0"/>
          <w:szCs w:val="20"/>
          <w:highlight w:val="none"/>
          <w:lang w:val="en-US" w:eastAsia="zh-CN"/>
        </w:rPr>
        <w:t>7</w:t>
      </w:r>
      <w:r>
        <w:rPr>
          <w:rFonts w:hint="eastAsia" w:ascii="宋体" w:hAnsi="宋体"/>
          <w:kern w:val="0"/>
          <w:szCs w:val="20"/>
          <w:highlight w:val="none"/>
        </w:rPr>
        <w:t>《工程质量保修书》。</w:t>
      </w:r>
    </w:p>
    <w:p w14:paraId="6FA6F3D0">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19.2.2.</w:t>
      </w:r>
      <w:r>
        <w:rPr>
          <w:rFonts w:hint="eastAsia" w:ascii="宋体" w:hAnsi="宋体"/>
          <w:kern w:val="0"/>
          <w:szCs w:val="20"/>
          <w:highlight w:val="none"/>
        </w:rPr>
        <w:tab/>
      </w:r>
      <w:r>
        <w:rPr>
          <w:rFonts w:hint="eastAsia" w:ascii="宋体" w:hAnsi="宋体"/>
          <w:kern w:val="0"/>
          <w:szCs w:val="20"/>
          <w:highlight w:val="none"/>
        </w:rPr>
        <w:t>项目整体竣工验收合格后，因承包人原因导致的缺陷或损坏致使工程、单位工程或某项主要设备不能按原定目的使用的，则发包人有权要求承包人延长缺陷责任期，并应在原缺陷责任期届满前发出延长通知。</w:t>
      </w:r>
    </w:p>
    <w:p w14:paraId="25A26F32">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19.2.3.</w:t>
      </w:r>
      <w:r>
        <w:rPr>
          <w:rFonts w:hint="eastAsia" w:ascii="宋体" w:hAnsi="宋体"/>
          <w:kern w:val="0"/>
          <w:szCs w:val="20"/>
          <w:highlight w:val="none"/>
        </w:rPr>
        <w:tab/>
      </w:r>
      <w:r>
        <w:rPr>
          <w:rFonts w:hint="eastAsia" w:ascii="宋体" w:hAnsi="宋体"/>
          <w:kern w:val="0"/>
          <w:szCs w:val="20"/>
          <w:highlight w:val="none"/>
        </w:rPr>
        <w:t>任何一项缺陷或损坏修复后，经检查证明其影响了工程或工程设备的使用性能，承包人应重新进行合同约定的试验和试运行，试验和试运行的全部费用应由责任方承担。</w:t>
      </w:r>
    </w:p>
    <w:p w14:paraId="690B7393">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19.2.4.</w:t>
      </w:r>
      <w:r>
        <w:rPr>
          <w:rFonts w:hint="eastAsia" w:ascii="宋体" w:hAnsi="宋体"/>
          <w:kern w:val="0"/>
          <w:szCs w:val="20"/>
          <w:highlight w:val="none"/>
        </w:rPr>
        <w:tab/>
      </w:r>
      <w:r>
        <w:rPr>
          <w:rFonts w:hint="eastAsia" w:ascii="宋体" w:hAnsi="宋体"/>
          <w:kern w:val="0"/>
          <w:szCs w:val="20"/>
          <w:highlight w:val="none"/>
        </w:rPr>
        <w:t>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w:t>
      </w:r>
    </w:p>
    <w:p w14:paraId="24E9476B">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19.3.</w:t>
      </w:r>
      <w:r>
        <w:rPr>
          <w:rFonts w:hint="eastAsia" w:ascii="宋体" w:hAnsi="宋体"/>
          <w:b/>
          <w:bCs/>
          <w:kern w:val="0"/>
          <w:szCs w:val="21"/>
          <w:highlight w:val="none"/>
        </w:rPr>
        <w:tab/>
      </w:r>
      <w:r>
        <w:rPr>
          <w:rFonts w:hint="eastAsia" w:ascii="宋体" w:hAnsi="宋体"/>
          <w:b/>
          <w:bCs/>
          <w:kern w:val="0"/>
          <w:szCs w:val="21"/>
          <w:highlight w:val="none"/>
        </w:rPr>
        <w:t>缺陷责任程序</w:t>
      </w:r>
    </w:p>
    <w:p w14:paraId="30221BF9">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19.3.1.</w:t>
      </w:r>
      <w:r>
        <w:rPr>
          <w:rFonts w:hint="eastAsia" w:ascii="宋体" w:hAnsi="宋体"/>
          <w:kern w:val="0"/>
          <w:szCs w:val="20"/>
          <w:highlight w:val="none"/>
        </w:rPr>
        <w:tab/>
      </w:r>
      <w:r>
        <w:rPr>
          <w:rFonts w:hint="eastAsia" w:ascii="宋体" w:hAnsi="宋体"/>
          <w:kern w:val="0"/>
          <w:szCs w:val="20"/>
          <w:highlight w:val="none"/>
        </w:rPr>
        <w:t>若承包人在合理时间内未完成发包人指明的缺陷的修复工程,或经发包人证实承包人在维修期间无故拖延，则发包人有权雇佣其他机构或人士进行修复和完成剩余工程。发包人有权从本工程质量保证金中扣除应由承包人承担的费用；质量保证金不足以清偿的，承包人应按发包人的通知另行支付、补足，或从履约保函中提取。</w:t>
      </w:r>
    </w:p>
    <w:p w14:paraId="3E1D9ECB">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19.3.2.</w:t>
      </w:r>
      <w:r>
        <w:rPr>
          <w:rFonts w:hint="eastAsia" w:ascii="宋体" w:hAnsi="宋体"/>
          <w:kern w:val="0"/>
          <w:szCs w:val="20"/>
          <w:highlight w:val="none"/>
        </w:rPr>
        <w:tab/>
      </w:r>
      <w:r>
        <w:rPr>
          <w:rFonts w:hint="eastAsia" w:ascii="宋体" w:hAnsi="宋体"/>
          <w:kern w:val="0"/>
          <w:szCs w:val="20"/>
          <w:highlight w:val="none"/>
        </w:rPr>
        <w:t>缺陷责任期内承包人为缺陷修复工作需要，有权进入工程现场，但应遵守发包人的保安和保密规定。</w:t>
      </w:r>
    </w:p>
    <w:p w14:paraId="54FC9EA1">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19.3.3.</w:t>
      </w:r>
      <w:r>
        <w:rPr>
          <w:rFonts w:hint="eastAsia" w:ascii="宋体" w:hAnsi="宋体"/>
          <w:kern w:val="0"/>
          <w:szCs w:val="20"/>
          <w:highlight w:val="none"/>
        </w:rPr>
        <w:tab/>
      </w:r>
      <w:r>
        <w:rPr>
          <w:rFonts w:hint="eastAsia" w:ascii="宋体" w:hAnsi="宋体"/>
          <w:kern w:val="0"/>
          <w:szCs w:val="20"/>
          <w:highlight w:val="none"/>
        </w:rPr>
        <w:t>经承包人按照专用条款约定的期限向发包人书面提出质量保证金支付申请，发包人确认工程质量无异议，或承包人已按合同约定履行保修责任，发包人应在接到申请后30天向承包人</w:t>
      </w:r>
      <w:r>
        <w:rPr>
          <w:rFonts w:hint="eastAsia" w:ascii="宋体" w:hAnsi="宋体"/>
          <w:kern w:val="0"/>
          <w:szCs w:val="20"/>
          <w:highlight w:val="none"/>
          <w:lang w:val="en-US" w:eastAsia="zh-CN"/>
        </w:rPr>
        <w:t>退还</w:t>
      </w:r>
      <w:r>
        <w:rPr>
          <w:rFonts w:hint="eastAsia" w:ascii="宋体" w:hAnsi="宋体"/>
          <w:kern w:val="0"/>
          <w:szCs w:val="20"/>
          <w:highlight w:val="none"/>
        </w:rPr>
        <w:t>质量保证金，质量保证金不计利息。质量保证金的</w:t>
      </w:r>
      <w:r>
        <w:rPr>
          <w:rFonts w:hint="eastAsia" w:ascii="宋体" w:hAnsi="宋体"/>
          <w:kern w:val="0"/>
          <w:szCs w:val="20"/>
          <w:highlight w:val="none"/>
          <w:lang w:val="en-US" w:eastAsia="zh-CN"/>
        </w:rPr>
        <w:t>退还</w:t>
      </w:r>
      <w:r>
        <w:rPr>
          <w:rFonts w:hint="eastAsia" w:ascii="宋体" w:hAnsi="宋体"/>
          <w:kern w:val="0"/>
          <w:szCs w:val="20"/>
          <w:highlight w:val="none"/>
        </w:rPr>
        <w:t>并不表示承包人保修责任的结束，承包人仍须按照相关法律法规规章及本合同，包括但不限于专用条款的规定继续履行保修责任、质量责任。</w:t>
      </w:r>
    </w:p>
    <w:p w14:paraId="0F193B50">
      <w:pPr>
        <w:numPr>
          <w:ilvl w:val="1"/>
          <w:numId w:val="0"/>
        </w:numPr>
        <w:adjustRightInd w:val="0"/>
        <w:snapToGrid w:val="0"/>
        <w:spacing w:line="360" w:lineRule="auto"/>
        <w:jc w:val="left"/>
        <w:outlineLvl w:val="1"/>
        <w:rPr>
          <w:rFonts w:ascii="宋体" w:hAnsi="宋体"/>
          <w:b/>
          <w:kern w:val="0"/>
          <w:szCs w:val="20"/>
          <w:highlight w:val="none"/>
        </w:rPr>
      </w:pPr>
      <w:r>
        <w:rPr>
          <w:rFonts w:hint="eastAsia" w:ascii="宋体" w:hAnsi="宋体"/>
          <w:b/>
          <w:bCs/>
          <w:kern w:val="0"/>
          <w:szCs w:val="21"/>
          <w:highlight w:val="none"/>
        </w:rPr>
        <w:t>19.</w:t>
      </w:r>
      <w:r>
        <w:rPr>
          <w:rFonts w:hint="eastAsia" w:ascii="宋体" w:hAnsi="宋体"/>
          <w:b/>
          <w:kern w:val="0"/>
          <w:szCs w:val="21"/>
          <w:highlight w:val="none"/>
        </w:rPr>
        <w:t>4</w:t>
      </w:r>
      <w:r>
        <w:rPr>
          <w:rFonts w:hint="eastAsia" w:ascii="宋体" w:hAnsi="宋体"/>
          <w:b/>
          <w:bCs/>
          <w:kern w:val="0"/>
          <w:szCs w:val="21"/>
          <w:highlight w:val="none"/>
        </w:rPr>
        <w:t>.</w:t>
      </w:r>
      <w:r>
        <w:rPr>
          <w:rFonts w:hint="eastAsia" w:ascii="宋体" w:hAnsi="宋体"/>
          <w:b/>
          <w:bCs/>
          <w:kern w:val="0"/>
          <w:szCs w:val="21"/>
          <w:highlight w:val="none"/>
        </w:rPr>
        <w:tab/>
      </w:r>
      <w:r>
        <w:rPr>
          <w:rFonts w:hint="eastAsia" w:ascii="宋体" w:hAnsi="宋体"/>
          <w:b/>
          <w:kern w:val="0"/>
          <w:szCs w:val="21"/>
          <w:highlight w:val="none"/>
        </w:rPr>
        <w:t>保修</w:t>
      </w:r>
    </w:p>
    <w:p w14:paraId="6AFA6489">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19.4.1 保修责任</w:t>
      </w:r>
    </w:p>
    <w:p w14:paraId="0CF95529">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宋体" w:hAnsi="宋体"/>
          <w:kern w:val="0"/>
          <w:szCs w:val="20"/>
          <w:highlight w:val="none"/>
        </w:rPr>
        <w:t>工程保修期及具体分部分项工程的保修期以《工程质量保修书》为准，</w:t>
      </w:r>
      <w:r>
        <w:rPr>
          <w:rFonts w:hint="eastAsia" w:ascii="Times New Roman" w:hAnsi="Times New Roman"/>
          <w:szCs w:val="24"/>
          <w:highlight w:val="none"/>
        </w:rPr>
        <w:t>但不得低于法定最低保修年限。在工程保修期内，承包人应当根据有关法律规定以及合同约定承担保修责任。</w:t>
      </w:r>
    </w:p>
    <w:p w14:paraId="7A71505F">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19.4.2.</w:t>
      </w:r>
      <w:r>
        <w:rPr>
          <w:rFonts w:hint="eastAsia" w:ascii="宋体" w:hAnsi="宋体"/>
          <w:kern w:val="0"/>
          <w:szCs w:val="20"/>
          <w:highlight w:val="none"/>
        </w:rPr>
        <w:tab/>
      </w:r>
      <w:r>
        <w:rPr>
          <w:rFonts w:hint="eastAsia" w:ascii="宋体" w:hAnsi="宋体"/>
          <w:kern w:val="0"/>
          <w:szCs w:val="20"/>
          <w:highlight w:val="none"/>
        </w:rPr>
        <w:t>修复费用</w:t>
      </w:r>
    </w:p>
    <w:p w14:paraId="287DCB29">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保修期内，修复的费用按照以下约定处理：</w:t>
      </w:r>
    </w:p>
    <w:p w14:paraId="6184DC12">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w:t>
      </w:r>
      <w:r>
        <w:rPr>
          <w:rFonts w:hint="eastAsia" w:ascii="宋体" w:hAnsi="宋体"/>
          <w:kern w:val="0"/>
          <w:szCs w:val="20"/>
          <w:highlight w:val="none"/>
        </w:rPr>
        <w:tab/>
      </w:r>
      <w:r>
        <w:rPr>
          <w:rFonts w:hint="eastAsia" w:ascii="宋体" w:hAnsi="宋体"/>
          <w:kern w:val="0"/>
          <w:szCs w:val="20"/>
          <w:highlight w:val="none"/>
        </w:rPr>
        <w:t>保修期内，因承包人原因造成工程的缺陷、损坏，承包人应负责修复，并承担修复的费用以及因工程的缺陷、损坏造成的人身伤害和财产损失；</w:t>
      </w:r>
    </w:p>
    <w:p w14:paraId="66BB7267">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2)</w:t>
      </w:r>
      <w:r>
        <w:rPr>
          <w:rFonts w:hint="eastAsia" w:ascii="宋体" w:hAnsi="宋体"/>
          <w:kern w:val="0"/>
          <w:szCs w:val="20"/>
          <w:highlight w:val="none"/>
        </w:rPr>
        <w:tab/>
      </w:r>
      <w:r>
        <w:rPr>
          <w:rFonts w:hint="eastAsia" w:ascii="宋体" w:hAnsi="宋体"/>
          <w:kern w:val="0"/>
          <w:szCs w:val="20"/>
          <w:highlight w:val="none"/>
        </w:rPr>
        <w:t>保修期内，因发包人使用不当造成工程的缺陷、损坏，可以委托承包人修复，但发包人应承担修复的费用；</w:t>
      </w:r>
    </w:p>
    <w:p w14:paraId="024A3EB5">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3)</w:t>
      </w:r>
      <w:r>
        <w:rPr>
          <w:rFonts w:hint="eastAsia" w:ascii="宋体" w:hAnsi="宋体"/>
          <w:kern w:val="0"/>
          <w:szCs w:val="20"/>
          <w:highlight w:val="none"/>
        </w:rPr>
        <w:tab/>
      </w:r>
      <w:r>
        <w:rPr>
          <w:rFonts w:hint="eastAsia" w:ascii="宋体" w:hAnsi="宋体"/>
          <w:kern w:val="0"/>
          <w:szCs w:val="20"/>
          <w:highlight w:val="none"/>
        </w:rPr>
        <w:t>因其他原因造成工程的缺陷、损坏，可以委托承包人修复，发包人应承担修复的费用，因工程的缺陷、损坏造成的人身伤害和财产损失由责任方承担。</w:t>
      </w:r>
    </w:p>
    <w:p w14:paraId="29DEDCFD">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19.4.3. 修复通知</w:t>
      </w:r>
    </w:p>
    <w:p w14:paraId="36BB84AE">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 《工程质量保修书》约定的期限内到达工程现场并修复缺陷或损坏。</w:t>
      </w:r>
    </w:p>
    <w:p w14:paraId="60F6FEE9">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19.4.4.</w:t>
      </w:r>
      <w:r>
        <w:rPr>
          <w:rFonts w:hint="eastAsia" w:ascii="宋体" w:hAnsi="宋体"/>
          <w:kern w:val="0"/>
          <w:szCs w:val="20"/>
          <w:highlight w:val="none"/>
        </w:rPr>
        <w:tab/>
      </w:r>
      <w:r>
        <w:rPr>
          <w:rFonts w:hint="eastAsia" w:ascii="宋体" w:hAnsi="宋体"/>
          <w:kern w:val="0"/>
          <w:szCs w:val="20"/>
          <w:highlight w:val="none"/>
        </w:rPr>
        <w:t>未能修复</w:t>
      </w:r>
    </w:p>
    <w:p w14:paraId="28CE4013">
      <w:pPr>
        <w:numPr>
          <w:ilvl w:val="2"/>
          <w:numId w:val="0"/>
        </w:numPr>
        <w:adjustRightInd w:val="0"/>
        <w:snapToGrid w:val="0"/>
        <w:spacing w:line="360" w:lineRule="auto"/>
        <w:ind w:firstLine="420" w:firstLineChars="200"/>
        <w:jc w:val="left"/>
        <w:outlineLvl w:val="2"/>
        <w:rPr>
          <w:rFonts w:hint="eastAsia" w:ascii="宋体" w:hAnsi="宋体"/>
          <w:kern w:val="0"/>
          <w:szCs w:val="20"/>
          <w:highlight w:val="none"/>
        </w:rPr>
      </w:pPr>
      <w:r>
        <w:rPr>
          <w:rFonts w:hint="eastAsia" w:ascii="宋体" w:hAnsi="宋体"/>
          <w:kern w:val="0"/>
          <w:szCs w:val="20"/>
        </w:rPr>
        <w:t>若承包人未在发包人要求的日期前按要求完成维修工作，发包人有权委托第三方单位进场维修，具体维修方案由发包人单方面确定，承包人均须予认可。发包人在维修后将维修费用清单通过《告知函》等形式告知承包人，所产生的一切费用由承包人承担。</w:t>
      </w:r>
    </w:p>
    <w:p w14:paraId="4A33AA63">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19.4.5.</w:t>
      </w:r>
      <w:r>
        <w:rPr>
          <w:rFonts w:hint="eastAsia" w:ascii="宋体" w:hAnsi="宋体"/>
          <w:kern w:val="0"/>
          <w:szCs w:val="20"/>
          <w:highlight w:val="none"/>
        </w:rPr>
        <w:tab/>
      </w:r>
      <w:r>
        <w:rPr>
          <w:rFonts w:hint="eastAsia" w:ascii="宋体" w:hAnsi="宋体"/>
          <w:kern w:val="0"/>
          <w:szCs w:val="20"/>
          <w:highlight w:val="none"/>
        </w:rPr>
        <w:t>承包人出入权</w:t>
      </w:r>
    </w:p>
    <w:p w14:paraId="37FE3822">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3D89B89">
      <w:pPr>
        <w:keepNext/>
        <w:keepLines/>
        <w:numPr>
          <w:ilvl w:val="0"/>
          <w:numId w:val="4"/>
        </w:numPr>
        <w:adjustRightInd w:val="0"/>
        <w:snapToGrid w:val="0"/>
        <w:spacing w:line="360" w:lineRule="auto"/>
        <w:outlineLvl w:val="0"/>
        <w:rPr>
          <w:rFonts w:ascii="宋体" w:hAnsi="宋体"/>
          <w:b/>
          <w:bCs/>
          <w:kern w:val="44"/>
          <w:sz w:val="28"/>
          <w:szCs w:val="44"/>
          <w:highlight w:val="none"/>
        </w:rPr>
      </w:pPr>
      <w:r>
        <w:rPr>
          <w:rFonts w:hint="eastAsia" w:ascii="宋体" w:hAnsi="宋体"/>
          <w:b/>
          <w:bCs/>
          <w:kern w:val="44"/>
          <w:sz w:val="28"/>
          <w:szCs w:val="44"/>
          <w:highlight w:val="none"/>
        </w:rPr>
        <w:tab/>
      </w:r>
      <w:bookmarkStart w:id="566" w:name="_Toc16144"/>
      <w:bookmarkStart w:id="567" w:name="_Toc2652"/>
      <w:bookmarkStart w:id="568" w:name="_Toc25117"/>
      <w:bookmarkStart w:id="569" w:name="_Toc2236"/>
      <w:bookmarkStart w:id="570" w:name="_Toc13401"/>
      <w:bookmarkStart w:id="571" w:name="_Toc10615"/>
      <w:bookmarkStart w:id="572" w:name="_Toc29489"/>
      <w:bookmarkStart w:id="573" w:name="_Toc350865222"/>
      <w:bookmarkStart w:id="574" w:name="_Toc8079"/>
      <w:bookmarkStart w:id="575" w:name="_Toc14157"/>
      <w:bookmarkStart w:id="576" w:name="_Toc167701669"/>
      <w:bookmarkStart w:id="577" w:name="_Toc10435"/>
      <w:bookmarkStart w:id="578" w:name="_Toc831"/>
      <w:bookmarkStart w:id="579" w:name="_Toc30751"/>
      <w:bookmarkStart w:id="580" w:name="_Toc22124"/>
      <w:bookmarkStart w:id="581" w:name="_Toc21315"/>
      <w:bookmarkStart w:id="582" w:name="_Toc167701770"/>
      <w:bookmarkStart w:id="583" w:name="_Toc427331255"/>
      <w:bookmarkStart w:id="584" w:name="_Toc350865584"/>
      <w:bookmarkStart w:id="585" w:name="_Toc29757"/>
      <w:bookmarkStart w:id="586" w:name="_Toc5409"/>
      <w:bookmarkStart w:id="587" w:name="_Toc15630"/>
      <w:bookmarkStart w:id="588" w:name="_Toc29659"/>
      <w:bookmarkStart w:id="589" w:name="_Toc16910"/>
      <w:bookmarkStart w:id="590" w:name="_Toc167975594"/>
      <w:bookmarkStart w:id="591" w:name="_Toc4439"/>
      <w:r>
        <w:rPr>
          <w:rFonts w:hint="eastAsia" w:ascii="宋体" w:hAnsi="宋体"/>
          <w:b/>
          <w:bCs/>
          <w:kern w:val="44"/>
          <w:sz w:val="28"/>
          <w:szCs w:val="44"/>
          <w:highlight w:val="none"/>
        </w:rPr>
        <w:t>保险</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4EBFCCEA">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20.1. 建筑工程一切险(含第三者责任险）</w:t>
      </w:r>
    </w:p>
    <w:p w14:paraId="52F26A37">
      <w:pPr>
        <w:spacing w:line="360" w:lineRule="auto"/>
        <w:ind w:firstLine="420" w:firstLineChars="200"/>
        <w:rPr>
          <w:rFonts w:ascii="宋体" w:hAnsi="宋体"/>
          <w:snapToGrid w:val="0"/>
          <w:kern w:val="0"/>
          <w:szCs w:val="20"/>
          <w:highlight w:val="none"/>
        </w:rPr>
      </w:pPr>
      <w:r>
        <w:rPr>
          <w:rFonts w:hint="eastAsia" w:ascii="宋体" w:hAnsi="宋体"/>
          <w:kern w:val="0"/>
          <w:szCs w:val="20"/>
          <w:highlight w:val="none"/>
        </w:rPr>
        <w:t>20.1.1. 通用条款第20.1.1条中“本工程项目应投保的建筑工程一切险（含第三者责任险）的相关费用已包含在合同暂定总价中”修订为“本工程项目应投保的建筑/安装工程一切险（含第三者责任险）由承包人购买”，</w:t>
      </w:r>
      <w:r>
        <w:rPr>
          <w:rFonts w:hint="eastAsia" w:ascii="宋体" w:hAnsi="宋体"/>
          <w:snapToGrid w:val="0"/>
          <w:kern w:val="0"/>
          <w:szCs w:val="20"/>
          <w:highlight w:val="none"/>
        </w:rPr>
        <w:t>若承包人</w:t>
      </w:r>
      <w:r>
        <w:rPr>
          <w:rFonts w:hint="eastAsia" w:ascii="宋体" w:hAnsi="宋体"/>
          <w:kern w:val="0"/>
          <w:szCs w:val="20"/>
          <w:highlight w:val="none"/>
        </w:rPr>
        <w:t>认为</w:t>
      </w:r>
      <w:r>
        <w:rPr>
          <w:rFonts w:hint="eastAsia" w:ascii="宋体" w:hAnsi="宋体"/>
          <w:snapToGrid w:val="0"/>
          <w:kern w:val="0"/>
          <w:szCs w:val="20"/>
          <w:highlight w:val="none"/>
        </w:rPr>
        <w:t>所购买的保险未能保障其自身的风险时，可自费补充投保。</w:t>
      </w:r>
    </w:p>
    <w:p w14:paraId="6FA54263">
      <w:pPr>
        <w:numPr>
          <w:ilvl w:val="1"/>
          <w:numId w:val="0"/>
        </w:numPr>
        <w:adjustRightInd w:val="0"/>
        <w:snapToGrid w:val="0"/>
        <w:spacing w:line="360" w:lineRule="auto"/>
        <w:ind w:firstLine="422"/>
        <w:jc w:val="left"/>
        <w:outlineLvl w:val="1"/>
        <w:rPr>
          <w:rFonts w:ascii="宋体" w:hAnsi="宋体"/>
          <w:b/>
          <w:bCs/>
          <w:kern w:val="0"/>
          <w:szCs w:val="21"/>
          <w:highlight w:val="none"/>
        </w:rPr>
      </w:pPr>
      <w:r>
        <w:rPr>
          <w:rFonts w:hint="eastAsia" w:ascii="宋体" w:hAnsi="宋体"/>
          <w:b/>
          <w:bCs/>
          <w:kern w:val="0"/>
          <w:szCs w:val="21"/>
          <w:highlight w:val="none"/>
        </w:rPr>
        <w:t>20.2.</w:t>
      </w:r>
      <w:r>
        <w:rPr>
          <w:rFonts w:hint="eastAsia" w:ascii="宋体" w:hAnsi="宋体"/>
          <w:b/>
          <w:bCs/>
          <w:kern w:val="0"/>
          <w:szCs w:val="21"/>
          <w:highlight w:val="none"/>
        </w:rPr>
        <w:tab/>
      </w:r>
      <w:r>
        <w:rPr>
          <w:rFonts w:hint="eastAsia" w:ascii="宋体" w:hAnsi="宋体"/>
          <w:b/>
          <w:bCs/>
          <w:kern w:val="0"/>
          <w:szCs w:val="21"/>
          <w:highlight w:val="none"/>
        </w:rPr>
        <w:t>人身伤亡及财产损失责任险</w:t>
      </w:r>
    </w:p>
    <w:p w14:paraId="1490CF51">
      <w:pPr>
        <w:spacing w:line="360" w:lineRule="auto"/>
        <w:ind w:firstLine="420" w:firstLineChars="200"/>
        <w:rPr>
          <w:rFonts w:ascii="宋体" w:hAnsi="宋体"/>
          <w:snapToGrid w:val="0"/>
          <w:kern w:val="0"/>
          <w:szCs w:val="20"/>
          <w:highlight w:val="none"/>
        </w:rPr>
      </w:pPr>
      <w:r>
        <w:rPr>
          <w:rFonts w:hint="eastAsia" w:ascii="宋体" w:hAnsi="宋体"/>
          <w:snapToGrid w:val="0"/>
          <w:kern w:val="0"/>
          <w:szCs w:val="20"/>
          <w:highlight w:val="none"/>
        </w:rPr>
        <w:t>20.2.1.</w:t>
      </w:r>
      <w:r>
        <w:rPr>
          <w:rFonts w:hint="eastAsia" w:ascii="宋体" w:hAnsi="宋体"/>
          <w:snapToGrid w:val="0"/>
          <w:kern w:val="0"/>
          <w:szCs w:val="20"/>
          <w:highlight w:val="none"/>
        </w:rPr>
        <w:tab/>
      </w:r>
      <w:r>
        <w:rPr>
          <w:rFonts w:hint="eastAsia" w:ascii="宋体" w:hAnsi="宋体"/>
          <w:snapToGrid w:val="0"/>
          <w:kern w:val="0"/>
          <w:szCs w:val="20"/>
          <w:highlight w:val="none"/>
        </w:rPr>
        <w:t>承包人须对与本工程有关或本工程进行期间发生的或因本工程引致的人身伤亡、财产损失的费用、责任、损失、索偿或诉讼负责，并须保障发包人免负此类责任，除非有关伤亡是发包人或其应负责的人直接责任所引致的。若发包人因有关法律规定司法裁判、行政决定裁决或调解、和解协议或维稳需要先行承担责任或承担连带责任的，承包人应予赔偿。如果因此给发包人造成损失，承包人应当全额赔偿。</w:t>
      </w:r>
    </w:p>
    <w:p w14:paraId="1A93D6CF">
      <w:pPr>
        <w:numPr>
          <w:ilvl w:val="1"/>
          <w:numId w:val="0"/>
        </w:numPr>
        <w:adjustRightInd w:val="0"/>
        <w:snapToGrid w:val="0"/>
        <w:spacing w:line="360" w:lineRule="auto"/>
        <w:jc w:val="left"/>
        <w:outlineLvl w:val="1"/>
        <w:rPr>
          <w:rFonts w:ascii="宋体" w:hAnsi="宋体"/>
          <w:snapToGrid w:val="0"/>
          <w:kern w:val="0"/>
          <w:szCs w:val="20"/>
          <w:highlight w:val="none"/>
        </w:rPr>
      </w:pPr>
      <w:r>
        <w:rPr>
          <w:rFonts w:hint="eastAsia" w:ascii="宋体" w:hAnsi="宋体"/>
          <w:b/>
          <w:bCs/>
          <w:kern w:val="0"/>
          <w:szCs w:val="21"/>
          <w:highlight w:val="none"/>
        </w:rPr>
        <w:t>20.3 雇员赔偿保险：</w:t>
      </w:r>
    </w:p>
    <w:p w14:paraId="797EFD1D">
      <w:pPr>
        <w:numPr>
          <w:ilvl w:val="2"/>
          <w:numId w:val="0"/>
        </w:numPr>
        <w:adjustRightInd w:val="0"/>
        <w:snapToGrid w:val="0"/>
        <w:spacing w:line="360" w:lineRule="auto"/>
        <w:ind w:firstLine="420" w:firstLineChars="200"/>
        <w:jc w:val="left"/>
        <w:outlineLvl w:val="2"/>
        <w:rPr>
          <w:rFonts w:ascii="宋体" w:hAnsi="宋体"/>
          <w:snapToGrid w:val="0"/>
          <w:kern w:val="0"/>
          <w:szCs w:val="20"/>
          <w:highlight w:val="none"/>
        </w:rPr>
      </w:pPr>
      <w:r>
        <w:rPr>
          <w:rFonts w:hint="eastAsia" w:ascii="宋体" w:hAnsi="宋体"/>
          <w:snapToGrid w:val="0"/>
          <w:kern w:val="0"/>
          <w:szCs w:val="20"/>
          <w:highlight w:val="none"/>
        </w:rPr>
        <w:t>20.3.5.承包人必须为其服务于本工程的雇佣员工购买人身意外保险</w:t>
      </w:r>
    </w:p>
    <w:p w14:paraId="3758B48A">
      <w:pPr>
        <w:numPr>
          <w:ilvl w:val="2"/>
          <w:numId w:val="0"/>
        </w:numPr>
        <w:adjustRightInd w:val="0"/>
        <w:snapToGrid w:val="0"/>
        <w:spacing w:line="360" w:lineRule="auto"/>
        <w:ind w:firstLine="420" w:firstLineChars="200"/>
        <w:jc w:val="left"/>
        <w:outlineLvl w:val="2"/>
        <w:rPr>
          <w:rFonts w:ascii="宋体" w:hAnsi="宋体"/>
          <w:snapToGrid w:val="0"/>
          <w:kern w:val="0"/>
          <w:szCs w:val="20"/>
          <w:highlight w:val="none"/>
        </w:rPr>
      </w:pPr>
      <w:r>
        <w:rPr>
          <w:rFonts w:hint="eastAsia" w:ascii="宋体" w:hAnsi="宋体"/>
          <w:snapToGrid w:val="0"/>
          <w:kern w:val="0"/>
          <w:szCs w:val="20"/>
          <w:highlight w:val="none"/>
        </w:rPr>
        <w:t>承包人应在</w:t>
      </w:r>
      <w:r>
        <w:rPr>
          <w:rFonts w:hint="eastAsia" w:ascii="宋体" w:hAnsi="宋体"/>
          <w:kern w:val="0"/>
          <w:szCs w:val="20"/>
          <w:highlight w:val="none"/>
        </w:rPr>
        <w:t>工程施工</w:t>
      </w:r>
      <w:r>
        <w:rPr>
          <w:rFonts w:hint="eastAsia" w:ascii="宋体" w:hAnsi="宋体"/>
          <w:snapToGrid w:val="0"/>
          <w:kern w:val="0"/>
          <w:szCs w:val="20"/>
          <w:highlight w:val="none"/>
        </w:rPr>
        <w:t>开始直至缺陷责任期完结期间对所有其雇用的工作人员进行此类保险并持续这种保险。但对于承包人的任何分包人雇用任何人员，如果分包人已经对上述雇员进行了保险，则本条款前述的承包人保险义务即得到履行，但在必要时，承包人应要求分包人向发包人提交有关的保险单及本期保险金的支付收据。一旦发生人员伤亡事故，承包人须立即通知发包人，并以书面形式提供详细经过。</w:t>
      </w:r>
    </w:p>
    <w:p w14:paraId="62E1EE12">
      <w:pPr>
        <w:numPr>
          <w:ilvl w:val="2"/>
          <w:numId w:val="0"/>
        </w:numPr>
        <w:adjustRightInd w:val="0"/>
        <w:snapToGrid w:val="0"/>
        <w:spacing w:line="360" w:lineRule="auto"/>
        <w:ind w:firstLine="420" w:firstLineChars="200"/>
        <w:jc w:val="left"/>
        <w:outlineLvl w:val="2"/>
        <w:rPr>
          <w:rFonts w:ascii="宋体" w:hAnsi="宋体"/>
          <w:snapToGrid w:val="0"/>
          <w:kern w:val="0"/>
          <w:szCs w:val="20"/>
          <w:highlight w:val="none"/>
        </w:rPr>
      </w:pPr>
      <w:r>
        <w:rPr>
          <w:rFonts w:hint="eastAsia" w:ascii="宋体" w:hAnsi="宋体"/>
          <w:snapToGrid w:val="0"/>
          <w:kern w:val="0"/>
          <w:szCs w:val="20"/>
          <w:highlight w:val="none"/>
        </w:rPr>
        <w:t>承包人须对其雇员的意外或伤亡负全责。承包人须与受雇者签订劳动合同，并与参与本工程的所有有关人员包括其自身的施工人员、管理人员及分包人（不论是否发包人指定的）的施工及管理人员等，投保其认为必要的人身意外保险。发包人对于任何雇员的意外或伤亡，不论该人是受雇于承包人还是其分包方（不论是否发包人指定的），都不负任何法律上的赔偿责任，承包人须保障发包人免负任何有关的索偿、要求、诉讼、成本、费用和支出。</w:t>
      </w:r>
    </w:p>
    <w:p w14:paraId="3EEA9E39">
      <w:pPr>
        <w:adjustRightInd w:val="0"/>
        <w:snapToGrid w:val="0"/>
        <w:spacing w:line="360" w:lineRule="auto"/>
        <w:rPr>
          <w:rFonts w:ascii="宋体" w:hAnsi="宋体"/>
          <w:b/>
          <w:bCs/>
          <w:snapToGrid w:val="0"/>
          <w:kern w:val="0"/>
          <w:szCs w:val="20"/>
          <w:highlight w:val="none"/>
        </w:rPr>
      </w:pPr>
      <w:r>
        <w:rPr>
          <w:rFonts w:hint="eastAsia" w:ascii="宋体" w:hAnsi="宋体"/>
          <w:b/>
          <w:bCs/>
          <w:snapToGrid w:val="0"/>
          <w:kern w:val="0"/>
          <w:szCs w:val="20"/>
          <w:highlight w:val="none"/>
        </w:rPr>
        <w:t>20.4 其他保险</w:t>
      </w:r>
    </w:p>
    <w:p w14:paraId="071CC975">
      <w:pPr>
        <w:numPr>
          <w:ilvl w:val="2"/>
          <w:numId w:val="0"/>
        </w:numPr>
        <w:adjustRightInd w:val="0"/>
        <w:snapToGrid w:val="0"/>
        <w:spacing w:line="360" w:lineRule="auto"/>
        <w:ind w:firstLine="420" w:firstLineChars="200"/>
        <w:jc w:val="left"/>
        <w:outlineLvl w:val="2"/>
        <w:rPr>
          <w:rFonts w:ascii="宋体" w:hAnsi="宋体"/>
          <w:snapToGrid w:val="0"/>
          <w:kern w:val="0"/>
          <w:szCs w:val="20"/>
          <w:highlight w:val="none"/>
        </w:rPr>
      </w:pPr>
      <w:r>
        <w:rPr>
          <w:rFonts w:hint="eastAsia" w:ascii="宋体" w:hAnsi="宋体"/>
          <w:snapToGrid w:val="0"/>
          <w:kern w:val="0"/>
          <w:szCs w:val="20"/>
          <w:highlight w:val="none"/>
        </w:rPr>
        <w:t>20.4.1承包人应为本工程自费购买安全生产责任险及其认为所需的但不包含在发包人保险范围内的其他保险。承包人不得以任何理由对其未保险事项或不能向其保险公司收回的金额向发包人提出索赔。</w:t>
      </w:r>
    </w:p>
    <w:p w14:paraId="059D2278">
      <w:pPr>
        <w:adjustRightInd w:val="0"/>
        <w:snapToGrid w:val="0"/>
        <w:spacing w:line="360" w:lineRule="auto"/>
        <w:rPr>
          <w:rFonts w:ascii="宋体" w:hAnsi="宋体"/>
          <w:b/>
          <w:bCs/>
          <w:snapToGrid w:val="0"/>
          <w:kern w:val="0"/>
          <w:szCs w:val="20"/>
          <w:highlight w:val="none"/>
        </w:rPr>
      </w:pPr>
      <w:r>
        <w:rPr>
          <w:rFonts w:hint="eastAsia" w:ascii="宋体" w:hAnsi="宋体"/>
          <w:b/>
          <w:bCs/>
          <w:snapToGrid w:val="0"/>
          <w:kern w:val="0"/>
          <w:szCs w:val="20"/>
          <w:highlight w:val="none"/>
        </w:rPr>
        <w:t>20.5对各项保险的一般要求</w:t>
      </w:r>
    </w:p>
    <w:p w14:paraId="4518C822">
      <w:pPr>
        <w:numPr>
          <w:ilvl w:val="2"/>
          <w:numId w:val="0"/>
        </w:numPr>
        <w:adjustRightInd w:val="0"/>
        <w:snapToGrid w:val="0"/>
        <w:spacing w:line="360" w:lineRule="auto"/>
        <w:ind w:firstLine="420" w:firstLineChars="200"/>
        <w:jc w:val="left"/>
        <w:outlineLvl w:val="2"/>
        <w:rPr>
          <w:rFonts w:ascii="宋体" w:hAnsi="宋体"/>
          <w:snapToGrid w:val="0"/>
          <w:kern w:val="0"/>
          <w:szCs w:val="20"/>
          <w:highlight w:val="none"/>
        </w:rPr>
      </w:pPr>
      <w:r>
        <w:rPr>
          <w:rFonts w:hint="eastAsia" w:ascii="宋体" w:hAnsi="宋体"/>
          <w:snapToGrid w:val="0"/>
          <w:kern w:val="0"/>
          <w:szCs w:val="20"/>
          <w:highlight w:val="none"/>
        </w:rPr>
        <w:t>20.5.7承包人不得在其投保合同条款中加入</w:t>
      </w:r>
      <w:r>
        <w:rPr>
          <w:rFonts w:ascii="宋体" w:hAnsi="宋体"/>
          <w:snapToGrid w:val="0"/>
          <w:kern w:val="0"/>
          <w:szCs w:val="20"/>
          <w:highlight w:val="none"/>
        </w:rPr>
        <w:t>“</w:t>
      </w:r>
      <w:r>
        <w:rPr>
          <w:rFonts w:hint="eastAsia" w:ascii="宋体" w:hAnsi="宋体"/>
          <w:snapToGrid w:val="0"/>
          <w:kern w:val="0"/>
          <w:szCs w:val="20"/>
          <w:highlight w:val="none"/>
        </w:rPr>
        <w:t>其保险人有权或可以向发包人的保险人提出索赔</w:t>
      </w:r>
      <w:r>
        <w:rPr>
          <w:rFonts w:ascii="宋体" w:hAnsi="宋体"/>
          <w:snapToGrid w:val="0"/>
          <w:kern w:val="0"/>
          <w:szCs w:val="20"/>
          <w:highlight w:val="none"/>
        </w:rPr>
        <w:t>”</w:t>
      </w:r>
      <w:r>
        <w:rPr>
          <w:rFonts w:hint="eastAsia" w:ascii="宋体" w:hAnsi="宋体"/>
          <w:snapToGrid w:val="0"/>
          <w:kern w:val="0"/>
          <w:szCs w:val="20"/>
          <w:highlight w:val="none"/>
        </w:rPr>
        <w:t>的条款。</w:t>
      </w:r>
    </w:p>
    <w:p w14:paraId="2F8E5092">
      <w:pPr>
        <w:numPr>
          <w:ilvl w:val="2"/>
          <w:numId w:val="0"/>
        </w:numPr>
        <w:adjustRightInd w:val="0"/>
        <w:snapToGrid w:val="0"/>
        <w:spacing w:line="360" w:lineRule="auto"/>
        <w:ind w:firstLine="420" w:firstLineChars="200"/>
        <w:jc w:val="left"/>
        <w:outlineLvl w:val="2"/>
        <w:rPr>
          <w:rFonts w:ascii="宋体" w:hAnsi="宋体"/>
          <w:snapToGrid w:val="0"/>
          <w:kern w:val="0"/>
          <w:szCs w:val="20"/>
          <w:highlight w:val="none"/>
        </w:rPr>
      </w:pPr>
      <w:r>
        <w:rPr>
          <w:rFonts w:hint="eastAsia" w:ascii="宋体" w:hAnsi="宋体"/>
          <w:snapToGrid w:val="0"/>
          <w:kern w:val="0"/>
          <w:szCs w:val="20"/>
          <w:highlight w:val="none"/>
        </w:rPr>
        <w:t>20.5.8承包人应在工程开工前向发包人提供根据合同要求的保险投保证明，并在承包人所需保险的工作开始前提前</w:t>
      </w:r>
      <w:r>
        <w:rPr>
          <w:rFonts w:ascii="宋体" w:hAnsi="宋体"/>
          <w:snapToGrid w:val="0"/>
          <w:kern w:val="0"/>
          <w:szCs w:val="20"/>
          <w:highlight w:val="none"/>
        </w:rPr>
        <w:t>7</w:t>
      </w:r>
      <w:r>
        <w:rPr>
          <w:rFonts w:hint="eastAsia" w:ascii="宋体" w:hAnsi="宋体"/>
          <w:snapToGrid w:val="0"/>
          <w:kern w:val="0"/>
          <w:szCs w:val="20"/>
          <w:highlight w:val="none"/>
        </w:rPr>
        <w:t>天以上向发包人提交有效的保险单，保险单应与合同的条款一致，承包人投保的保险公司应经发包人批准。</w:t>
      </w:r>
    </w:p>
    <w:p w14:paraId="40A24AE7">
      <w:pPr>
        <w:numPr>
          <w:ilvl w:val="2"/>
          <w:numId w:val="0"/>
        </w:numPr>
        <w:adjustRightInd w:val="0"/>
        <w:snapToGrid w:val="0"/>
        <w:spacing w:line="360" w:lineRule="auto"/>
        <w:ind w:firstLine="420" w:firstLineChars="200"/>
        <w:jc w:val="left"/>
        <w:outlineLvl w:val="2"/>
        <w:rPr>
          <w:rFonts w:ascii="宋体" w:hAnsi="宋体"/>
          <w:snapToGrid w:val="0"/>
          <w:kern w:val="0"/>
          <w:szCs w:val="20"/>
          <w:highlight w:val="none"/>
        </w:rPr>
      </w:pPr>
      <w:r>
        <w:rPr>
          <w:rFonts w:hint="eastAsia" w:ascii="宋体" w:hAnsi="宋体"/>
          <w:snapToGrid w:val="0"/>
          <w:kern w:val="0"/>
          <w:szCs w:val="20"/>
          <w:highlight w:val="none"/>
        </w:rPr>
        <w:t>20.5.9</w:t>
      </w:r>
      <w:r>
        <w:rPr>
          <w:rFonts w:hint="eastAsia" w:ascii="宋体" w:hAnsi="宋体"/>
          <w:kern w:val="0"/>
          <w:szCs w:val="20"/>
          <w:highlight w:val="none"/>
        </w:rPr>
        <w:t>承包人</w:t>
      </w:r>
      <w:r>
        <w:rPr>
          <w:rFonts w:hint="eastAsia" w:ascii="宋体" w:hAnsi="宋体"/>
          <w:snapToGrid w:val="0"/>
          <w:kern w:val="0"/>
          <w:szCs w:val="20"/>
          <w:highlight w:val="none"/>
        </w:rPr>
        <w:t>应在施工进度、范围、性质发生变化时通知其保险人，以确保根据合同条款在所有时间内有完备的保险，由此所发生的费用，由承包人自行承担。</w:t>
      </w:r>
    </w:p>
    <w:p w14:paraId="19A309A1">
      <w:pPr>
        <w:numPr>
          <w:ilvl w:val="2"/>
          <w:numId w:val="0"/>
        </w:numPr>
        <w:adjustRightInd w:val="0"/>
        <w:snapToGrid w:val="0"/>
        <w:spacing w:line="360" w:lineRule="auto"/>
        <w:ind w:firstLine="420" w:firstLineChars="200"/>
        <w:jc w:val="left"/>
        <w:outlineLvl w:val="2"/>
        <w:rPr>
          <w:rFonts w:ascii="宋体" w:hAnsi="宋体"/>
          <w:snapToGrid w:val="0"/>
          <w:kern w:val="0"/>
          <w:szCs w:val="20"/>
          <w:highlight w:val="none"/>
        </w:rPr>
      </w:pPr>
      <w:r>
        <w:rPr>
          <w:rFonts w:hint="eastAsia" w:ascii="宋体" w:hAnsi="宋体"/>
          <w:snapToGrid w:val="0"/>
          <w:kern w:val="0"/>
          <w:szCs w:val="20"/>
          <w:highlight w:val="none"/>
        </w:rPr>
        <w:t>20.5.10如果承包人未使或未保证任何合同规定的保险生效，或未按规定的时间向发包人提供保险单，发包人在任何这种情况发生时，有权使任何这些保险生效并支付保险金，并随时从支付给或应支付给承包人的款项中扣回，或视同到期债务从承包人扣回。</w:t>
      </w:r>
    </w:p>
    <w:p w14:paraId="28BFCA6C">
      <w:pPr>
        <w:numPr>
          <w:ilvl w:val="2"/>
          <w:numId w:val="0"/>
        </w:numPr>
        <w:adjustRightInd w:val="0"/>
        <w:snapToGrid w:val="0"/>
        <w:spacing w:line="360" w:lineRule="auto"/>
        <w:ind w:firstLine="420" w:firstLineChars="200"/>
        <w:jc w:val="left"/>
        <w:outlineLvl w:val="2"/>
        <w:rPr>
          <w:rFonts w:ascii="宋体" w:hAnsi="宋体"/>
          <w:snapToGrid w:val="0"/>
          <w:kern w:val="0"/>
          <w:szCs w:val="20"/>
          <w:highlight w:val="none"/>
        </w:rPr>
      </w:pPr>
      <w:r>
        <w:rPr>
          <w:rFonts w:hint="eastAsia" w:ascii="宋体" w:hAnsi="宋体"/>
          <w:snapToGrid w:val="0"/>
          <w:kern w:val="0"/>
          <w:szCs w:val="20"/>
          <w:highlight w:val="none"/>
        </w:rPr>
        <w:t>20.5.11</w:t>
      </w:r>
      <w:r>
        <w:rPr>
          <w:rFonts w:hint="eastAsia" w:ascii="宋体" w:hAnsi="宋体"/>
          <w:kern w:val="0"/>
          <w:szCs w:val="20"/>
          <w:highlight w:val="none"/>
        </w:rPr>
        <w:t>承包人</w:t>
      </w:r>
      <w:r>
        <w:rPr>
          <w:rFonts w:hint="eastAsia" w:ascii="宋体" w:hAnsi="宋体"/>
          <w:snapToGrid w:val="0"/>
          <w:kern w:val="0"/>
          <w:szCs w:val="20"/>
          <w:highlight w:val="none"/>
        </w:rPr>
        <w:t>或发包人未能遵循根据合同生效的保险单条款给对方造成损失的，责任一方应赔偿另一方由此而造成的全部损失。但承包人投保的保险合同投保前未经发包人确认，或使发包人承担责任或费用的除外。</w:t>
      </w:r>
    </w:p>
    <w:p w14:paraId="6C66CB6A">
      <w:pPr>
        <w:numPr>
          <w:ilvl w:val="2"/>
          <w:numId w:val="0"/>
        </w:numPr>
        <w:adjustRightInd w:val="0"/>
        <w:snapToGrid w:val="0"/>
        <w:spacing w:line="360" w:lineRule="auto"/>
        <w:ind w:firstLine="420" w:firstLineChars="200"/>
        <w:jc w:val="left"/>
        <w:outlineLvl w:val="2"/>
        <w:rPr>
          <w:rFonts w:ascii="宋体" w:hAnsi="宋体"/>
          <w:snapToGrid w:val="0"/>
          <w:kern w:val="0"/>
          <w:szCs w:val="20"/>
          <w:highlight w:val="none"/>
        </w:rPr>
      </w:pPr>
      <w:r>
        <w:rPr>
          <w:rFonts w:hint="eastAsia" w:ascii="宋体" w:hAnsi="宋体"/>
          <w:snapToGrid w:val="0"/>
          <w:kern w:val="0"/>
          <w:szCs w:val="20"/>
          <w:highlight w:val="none"/>
        </w:rPr>
        <w:t>20.5.12若</w:t>
      </w:r>
      <w:r>
        <w:rPr>
          <w:rFonts w:hint="eastAsia" w:ascii="宋体" w:hAnsi="宋体"/>
          <w:kern w:val="0"/>
          <w:szCs w:val="20"/>
          <w:highlight w:val="none"/>
        </w:rPr>
        <w:t>承</w:t>
      </w:r>
      <w:r>
        <w:rPr>
          <w:rFonts w:hint="eastAsia" w:ascii="宋体" w:hAnsi="宋体"/>
          <w:snapToGrid w:val="0"/>
          <w:kern w:val="0"/>
          <w:szCs w:val="20"/>
          <w:highlight w:val="none"/>
        </w:rPr>
        <w:t>包人未能按规定购买和维持该等保险，发包人可代为投保，保险费在支付的工程款中抵扣。</w:t>
      </w:r>
    </w:p>
    <w:p w14:paraId="570D683D">
      <w:pPr>
        <w:keepNext/>
        <w:keepLines/>
        <w:numPr>
          <w:ilvl w:val="0"/>
          <w:numId w:val="4"/>
        </w:numPr>
        <w:adjustRightInd w:val="0"/>
        <w:snapToGrid w:val="0"/>
        <w:spacing w:line="360" w:lineRule="auto"/>
        <w:outlineLvl w:val="0"/>
        <w:rPr>
          <w:rFonts w:ascii="宋体" w:hAnsi="宋体"/>
          <w:b/>
          <w:bCs/>
          <w:kern w:val="44"/>
          <w:sz w:val="28"/>
          <w:szCs w:val="44"/>
          <w:highlight w:val="none"/>
        </w:rPr>
      </w:pPr>
      <w:bookmarkStart w:id="592" w:name="_Toc145"/>
      <w:bookmarkStart w:id="593" w:name="_Toc17418"/>
      <w:bookmarkStart w:id="594" w:name="_Toc20643"/>
      <w:bookmarkStart w:id="595" w:name="_Toc24011"/>
      <w:bookmarkStart w:id="596" w:name="_Toc167701670"/>
      <w:bookmarkStart w:id="597" w:name="_Toc427331256"/>
      <w:bookmarkStart w:id="598" w:name="_Toc7255"/>
      <w:bookmarkStart w:id="599" w:name="_Toc16900"/>
      <w:bookmarkStart w:id="600" w:name="_Toc19875"/>
      <w:bookmarkStart w:id="601" w:name="_Toc6264"/>
      <w:bookmarkStart w:id="602" w:name="_Toc3601"/>
      <w:bookmarkStart w:id="603" w:name="_Toc350865223"/>
      <w:bookmarkStart w:id="604" w:name="_Toc24070"/>
      <w:bookmarkStart w:id="605" w:name="_Toc10001"/>
      <w:bookmarkStart w:id="606" w:name="_Toc13313"/>
      <w:bookmarkStart w:id="607" w:name="_Toc19764"/>
      <w:bookmarkStart w:id="608" w:name="_Toc5938"/>
      <w:bookmarkStart w:id="609" w:name="_Toc10763"/>
      <w:bookmarkStart w:id="610" w:name="_Toc24986"/>
      <w:bookmarkStart w:id="611" w:name="_Toc167975595"/>
      <w:bookmarkStart w:id="612" w:name="_Toc25044"/>
      <w:bookmarkStart w:id="613" w:name="_Toc27558"/>
      <w:bookmarkStart w:id="614" w:name="_Toc20060"/>
      <w:bookmarkStart w:id="615" w:name="_Toc167701771"/>
      <w:bookmarkStart w:id="616" w:name="_Toc350865585"/>
      <w:r>
        <w:rPr>
          <w:rFonts w:hint="eastAsia" w:ascii="宋体" w:hAnsi="宋体"/>
          <w:b/>
          <w:bCs/>
          <w:kern w:val="44"/>
          <w:sz w:val="28"/>
          <w:szCs w:val="44"/>
          <w:highlight w:val="none"/>
        </w:rPr>
        <w:t>不可抗力</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3332BD4F">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21.3.2</w:t>
      </w:r>
    </w:p>
    <w:p w14:paraId="17DD7815">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1）通用条款第21.3.2条第1）款修订为：工程本身（永久工程）的损害、因工程损害导致第三者人员伤亡和财产损失以及运至施工场地用于施工的材料和待安装的设备的损害，保险公司不能理赔的部分由发包人承担；</w:t>
      </w:r>
    </w:p>
    <w:p w14:paraId="4529273F">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3）通用条款第21.3.2条第3）款修订为：发包人和承包人各自承担不可抗力情形下其人员伤亡和其他财产损失及相关费用，但因承包人保管不善导致的发包人人员伤亡和其他财产损失由承包人承担；</w:t>
      </w:r>
    </w:p>
    <w:p w14:paraId="6336D2BE">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4）通用条款第21.3.2条第4）款修订为：承包人停工损失，由承包人承担；但停工期间，承包人应发包人或监理单位要求留在施工场地的必要的管理人员与保卫人员的费用、照管工程的其他费用、因不可抗力导致工程</w:t>
      </w:r>
      <w:r>
        <w:rPr>
          <w:rFonts w:hint="eastAsia" w:ascii="宋体" w:hAnsi="宋体"/>
          <w:snapToGrid w:val="0"/>
          <w:kern w:val="0"/>
          <w:szCs w:val="20"/>
          <w:highlight w:val="none"/>
        </w:rPr>
        <w:t>本身</w:t>
      </w:r>
      <w:r>
        <w:rPr>
          <w:rFonts w:hint="eastAsia" w:ascii="Times New Roman" w:hAnsi="Times New Roman"/>
          <w:szCs w:val="24"/>
          <w:highlight w:val="none"/>
        </w:rPr>
        <w:t>所需清理及修复的费用，保险公司不能理赔的部分由发包人承担；</w:t>
      </w:r>
    </w:p>
    <w:p w14:paraId="695A6A4D">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6）属于</w:t>
      </w:r>
      <w:r>
        <w:rPr>
          <w:rFonts w:hint="eastAsia" w:ascii="宋体" w:hAnsi="宋体"/>
          <w:snapToGrid w:val="0"/>
          <w:kern w:val="0"/>
          <w:szCs w:val="20"/>
          <w:highlight w:val="none"/>
        </w:rPr>
        <w:t>承包人</w:t>
      </w:r>
      <w:r>
        <w:rPr>
          <w:rFonts w:hint="eastAsia" w:ascii="Times New Roman" w:hAnsi="Times New Roman"/>
          <w:szCs w:val="24"/>
          <w:highlight w:val="none"/>
        </w:rPr>
        <w:t>所有的临时设施、施工设备等清理及修复的费用，由承包人承担。</w:t>
      </w:r>
    </w:p>
    <w:p w14:paraId="745B13C1">
      <w:pPr>
        <w:keepNext/>
        <w:keepLines/>
        <w:numPr>
          <w:ilvl w:val="0"/>
          <w:numId w:val="4"/>
        </w:numPr>
        <w:adjustRightInd w:val="0"/>
        <w:snapToGrid w:val="0"/>
        <w:spacing w:line="360" w:lineRule="auto"/>
        <w:outlineLvl w:val="0"/>
        <w:rPr>
          <w:rFonts w:ascii="宋体" w:hAnsi="宋体"/>
          <w:b/>
          <w:bCs/>
          <w:kern w:val="44"/>
          <w:sz w:val="28"/>
          <w:szCs w:val="44"/>
          <w:highlight w:val="none"/>
        </w:rPr>
      </w:pPr>
      <w:r>
        <w:rPr>
          <w:rFonts w:hint="eastAsia" w:ascii="宋体" w:hAnsi="宋体"/>
          <w:b/>
          <w:bCs/>
          <w:kern w:val="44"/>
          <w:sz w:val="28"/>
          <w:szCs w:val="44"/>
          <w:highlight w:val="none"/>
        </w:rPr>
        <w:tab/>
      </w:r>
      <w:bookmarkStart w:id="617" w:name="_Toc1287"/>
      <w:bookmarkStart w:id="618" w:name="_Toc167701772"/>
      <w:bookmarkStart w:id="619" w:name="_Toc9754"/>
      <w:bookmarkStart w:id="620" w:name="_Toc17996"/>
      <w:bookmarkStart w:id="621" w:name="_Toc2038"/>
      <w:bookmarkStart w:id="622" w:name="_Toc15861"/>
      <w:bookmarkStart w:id="623" w:name="_Toc14709"/>
      <w:bookmarkStart w:id="624" w:name="_Toc14023"/>
      <w:bookmarkStart w:id="625" w:name="_Toc427331257"/>
      <w:bookmarkStart w:id="626" w:name="_Toc350865224"/>
      <w:bookmarkStart w:id="627" w:name="_Toc27829"/>
      <w:bookmarkStart w:id="628" w:name="_Toc3921"/>
      <w:bookmarkStart w:id="629" w:name="_Toc16516"/>
      <w:bookmarkStart w:id="630" w:name="_Toc22633"/>
      <w:bookmarkStart w:id="631" w:name="_Toc2971"/>
      <w:bookmarkStart w:id="632" w:name="_Toc10908"/>
      <w:bookmarkStart w:id="633" w:name="_Toc18641"/>
      <w:bookmarkStart w:id="634" w:name="_Toc167975596"/>
      <w:bookmarkStart w:id="635" w:name="_Toc23883"/>
      <w:bookmarkStart w:id="636" w:name="_Toc22215"/>
      <w:bookmarkStart w:id="637" w:name="_Toc24091"/>
      <w:bookmarkStart w:id="638" w:name="_Toc167701671"/>
      <w:bookmarkStart w:id="639" w:name="_Toc2537"/>
      <w:bookmarkStart w:id="640" w:name="_Toc23308"/>
      <w:bookmarkStart w:id="641" w:name="_Toc20443"/>
      <w:bookmarkStart w:id="642" w:name="_Toc350865586"/>
      <w:r>
        <w:rPr>
          <w:rFonts w:hint="eastAsia" w:ascii="宋体" w:hAnsi="宋体"/>
          <w:b/>
          <w:bCs/>
          <w:kern w:val="44"/>
          <w:sz w:val="28"/>
          <w:szCs w:val="44"/>
          <w:highlight w:val="none"/>
        </w:rPr>
        <w:t>违约</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0866BA71">
      <w:pPr>
        <w:numPr>
          <w:ilvl w:val="2"/>
          <w:numId w:val="0"/>
        </w:numPr>
        <w:adjustRightInd w:val="0"/>
        <w:snapToGrid w:val="0"/>
        <w:spacing w:line="360" w:lineRule="auto"/>
        <w:jc w:val="left"/>
        <w:outlineLvl w:val="2"/>
        <w:rPr>
          <w:rFonts w:ascii="宋体" w:hAnsi="Arial"/>
          <w:b/>
          <w:bCs/>
          <w:kern w:val="0"/>
          <w:szCs w:val="20"/>
          <w:highlight w:val="none"/>
        </w:rPr>
      </w:pPr>
      <w:r>
        <w:rPr>
          <w:rFonts w:hint="eastAsia" w:ascii="宋体" w:hAnsi="Arial"/>
          <w:b/>
          <w:bCs/>
          <w:kern w:val="0"/>
          <w:szCs w:val="20"/>
          <w:highlight w:val="none"/>
        </w:rPr>
        <w:t>22.1 承包人违约</w:t>
      </w:r>
    </w:p>
    <w:p w14:paraId="7FE14141">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22.1.1 通用</w:t>
      </w:r>
      <w:r>
        <w:rPr>
          <w:rFonts w:hint="eastAsia" w:ascii="宋体" w:hAnsi="宋体"/>
          <w:snapToGrid w:val="0"/>
          <w:kern w:val="0"/>
          <w:szCs w:val="20"/>
          <w:highlight w:val="none"/>
        </w:rPr>
        <w:t>条款</w:t>
      </w:r>
      <w:r>
        <w:rPr>
          <w:rFonts w:hint="eastAsia" w:ascii="宋体" w:hAnsi="Arial"/>
          <w:kern w:val="0"/>
          <w:szCs w:val="20"/>
          <w:highlight w:val="none"/>
        </w:rPr>
        <w:t>22.1.1修订为：承包人有任何违反本合同责任和义务的行为均构成违约，包括但不限于在履行合同过程中发生的下列情况：</w:t>
      </w:r>
    </w:p>
    <w:p w14:paraId="323FA021">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 承包人</w:t>
      </w:r>
      <w:r>
        <w:rPr>
          <w:rFonts w:hint="eastAsia" w:ascii="宋体" w:hAnsi="宋体"/>
          <w:snapToGrid w:val="0"/>
          <w:kern w:val="0"/>
          <w:szCs w:val="20"/>
          <w:highlight w:val="none"/>
        </w:rPr>
        <w:t>私自</w:t>
      </w:r>
      <w:r>
        <w:rPr>
          <w:rFonts w:hint="eastAsia" w:ascii="宋体" w:hAnsi="Arial"/>
          <w:kern w:val="0"/>
          <w:szCs w:val="20"/>
          <w:highlight w:val="none"/>
        </w:rPr>
        <w:t>将合同的全部或部分权利转让给其他人，或私自将合同的全部或部分义务转移给其他人；</w:t>
      </w:r>
    </w:p>
    <w:p w14:paraId="7A2E2280">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 承包人未经监理人批准，私自将已按合同约定进入施工场地的施工设备、临时设施或材料撤离施工场地；</w:t>
      </w:r>
    </w:p>
    <w:p w14:paraId="356EA6EC">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3) 承包人使用了不合格材料或工程设备，工程质量达不到标准要求，又拒绝清除不合格工程；</w:t>
      </w:r>
    </w:p>
    <w:p w14:paraId="4FFC50B4">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4) 承包人未能按合同进度计划及时完成合同约定的工作，已造成或预期造成工期延误；</w:t>
      </w:r>
    </w:p>
    <w:p w14:paraId="6D4B01D2">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5) 承包人无法继续履行或明确表示不履行或实质上已停止履行合同；</w:t>
      </w:r>
    </w:p>
    <w:p w14:paraId="6436304F">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6) 承包人不按合同约定履行义务的其他情况。</w:t>
      </w:r>
    </w:p>
    <w:p w14:paraId="39C7ABB5">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 xml:space="preserve">22.1.2. </w:t>
      </w:r>
    </w:p>
    <w:p w14:paraId="50E8C2E1">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 承包人发生第22.1.1第5）项约定的违约情况时，发包人可通知承包人立即解除合同，并按本合同约定及有关法律法规的规定处理。</w:t>
      </w:r>
    </w:p>
    <w:p w14:paraId="7540683E">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 承包人发生除第22.1.1第5）项约定以外的其他违约情况时，除另有约定外，监理人可向承包人发出整改通知，要求其在指定的期限内改正，同时承包人应承担其违约所引起的费用增加和（或）工期延误；如承包人未在指定期限内完成整改的，发包人有权视情况要求解除合同。</w:t>
      </w:r>
    </w:p>
    <w:p w14:paraId="45BC3D2F">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3) 监理人要求承包人停工整改的,经检查证明承包人已采取了有效措施纠正违约行为，具备复工条件的，可由监理人在取得发包人同意的情况下签发复工通知复工。</w:t>
      </w:r>
    </w:p>
    <w:p w14:paraId="45E077BD">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22.1.3承包人承担违约责任的形式：</w:t>
      </w:r>
    </w:p>
    <w:p w14:paraId="593A594C">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1）承包人的</w:t>
      </w:r>
      <w:r>
        <w:rPr>
          <w:rFonts w:hint="eastAsia" w:ascii="宋体" w:hAnsi="宋体"/>
          <w:snapToGrid w:val="0"/>
          <w:kern w:val="0"/>
          <w:szCs w:val="20"/>
          <w:highlight w:val="none"/>
        </w:rPr>
        <w:t>严重</w:t>
      </w:r>
      <w:r>
        <w:rPr>
          <w:rFonts w:hint="eastAsia" w:ascii="宋体" w:hAnsi="Arial"/>
          <w:kern w:val="0"/>
          <w:szCs w:val="20"/>
          <w:highlight w:val="none"/>
        </w:rPr>
        <w:t>违约责任：应当向发包人支付的违约金为：50万元/次（项）。</w:t>
      </w:r>
    </w:p>
    <w:p w14:paraId="30A1ECB3">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2）承包人的重大违约责任：应当向发包人支付的违约金为：30万元/次（项）。</w:t>
      </w:r>
    </w:p>
    <w:p w14:paraId="56093D4C">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3）承包人的一般违约责任：应当向发包人支付的违约金为：5万元/次（项）。</w:t>
      </w:r>
    </w:p>
    <w:p w14:paraId="5EBBC342">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 xml:space="preserve">4）因承包人违约造成发包人解除合同：承包人应当向发包人支付的违约金为：合同暂定总价的 </w:t>
      </w:r>
      <w:r>
        <w:rPr>
          <w:rFonts w:hint="eastAsia" w:ascii="宋体" w:hAnsi="Arial"/>
          <w:kern w:val="0"/>
          <w:szCs w:val="20"/>
          <w:highlight w:val="none"/>
          <w:lang w:val="en-US" w:eastAsia="zh-CN"/>
        </w:rPr>
        <w:t>10</w:t>
      </w:r>
      <w:r>
        <w:rPr>
          <w:rFonts w:hint="eastAsia" w:ascii="宋体" w:hAnsi="Arial"/>
          <w:kern w:val="0"/>
          <w:szCs w:val="20"/>
          <w:highlight w:val="none"/>
        </w:rPr>
        <w:t>%。</w:t>
      </w:r>
    </w:p>
    <w:p w14:paraId="78DA0702">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22.1.4.</w:t>
      </w:r>
      <w:r>
        <w:rPr>
          <w:rFonts w:hint="eastAsia" w:ascii="宋体" w:hAnsi="Arial"/>
          <w:kern w:val="0"/>
          <w:szCs w:val="20"/>
          <w:highlight w:val="none"/>
        </w:rPr>
        <w:tab/>
      </w:r>
      <w:r>
        <w:rPr>
          <w:rFonts w:hint="eastAsia" w:ascii="宋体" w:hAnsi="Arial"/>
          <w:kern w:val="0"/>
          <w:szCs w:val="20"/>
          <w:highlight w:val="none"/>
        </w:rPr>
        <w:t>承包人支付违约金和承担其他违约责任的方法包括但不限于：</w:t>
      </w:r>
    </w:p>
    <w:p w14:paraId="7926762B">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w:t>
      </w:r>
      <w:r>
        <w:rPr>
          <w:rFonts w:hint="eastAsia" w:ascii="宋体" w:hAnsi="Arial"/>
          <w:kern w:val="0"/>
          <w:szCs w:val="20"/>
          <w:highlight w:val="none"/>
        </w:rPr>
        <w:tab/>
      </w:r>
      <w:r>
        <w:rPr>
          <w:rFonts w:hint="eastAsia" w:ascii="宋体" w:hAnsi="Arial"/>
          <w:kern w:val="0"/>
          <w:szCs w:val="20"/>
          <w:highlight w:val="none"/>
        </w:rPr>
        <w:t>发包人有权从应支付给承包人的工程款中直接扣除。</w:t>
      </w:r>
    </w:p>
    <w:p w14:paraId="717FFD3E">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w:t>
      </w:r>
      <w:r>
        <w:rPr>
          <w:rFonts w:hint="eastAsia" w:ascii="宋体" w:hAnsi="Arial"/>
          <w:kern w:val="0"/>
          <w:szCs w:val="20"/>
          <w:highlight w:val="none"/>
        </w:rPr>
        <w:tab/>
      </w:r>
      <w:r>
        <w:rPr>
          <w:rFonts w:hint="eastAsia" w:ascii="宋体" w:hAnsi="Arial"/>
          <w:kern w:val="0"/>
          <w:szCs w:val="20"/>
          <w:highlight w:val="none"/>
        </w:rPr>
        <w:t>发包人有权向承包人所提供履约保函的银行提出扣除相应的履约保证金额或直接从质量保证金中扣除。</w:t>
      </w:r>
    </w:p>
    <w:p w14:paraId="286170D6">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3）</w:t>
      </w:r>
      <w:r>
        <w:rPr>
          <w:rFonts w:hint="eastAsia" w:ascii="宋体" w:hAnsi="Arial"/>
          <w:kern w:val="0"/>
          <w:szCs w:val="20"/>
          <w:highlight w:val="none"/>
        </w:rPr>
        <w:tab/>
      </w:r>
      <w:r>
        <w:rPr>
          <w:rFonts w:hint="eastAsia" w:ascii="宋体" w:hAnsi="Arial"/>
          <w:kern w:val="0"/>
          <w:szCs w:val="20"/>
          <w:highlight w:val="none"/>
        </w:rPr>
        <w:t>发包人通知承包人支付或向承包人追偿，承包人应直接支付。</w:t>
      </w:r>
    </w:p>
    <w:p w14:paraId="5708C90E">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4）</w:t>
      </w:r>
      <w:r>
        <w:rPr>
          <w:rFonts w:hint="eastAsia" w:ascii="宋体" w:hAnsi="Arial"/>
          <w:kern w:val="0"/>
          <w:szCs w:val="20"/>
          <w:highlight w:val="none"/>
        </w:rPr>
        <w:tab/>
      </w:r>
      <w:r>
        <w:rPr>
          <w:rFonts w:hint="eastAsia" w:ascii="宋体" w:hAnsi="Arial"/>
          <w:kern w:val="0"/>
          <w:szCs w:val="20"/>
          <w:highlight w:val="none"/>
        </w:rPr>
        <w:t>承包人所支付的违约金不足弥补发包人损失的，承包人需赔偿发包人的全部损失。</w:t>
      </w:r>
    </w:p>
    <w:p w14:paraId="1915DF49">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22.1.5.</w:t>
      </w:r>
      <w:r>
        <w:rPr>
          <w:rFonts w:hint="eastAsia" w:ascii="宋体" w:hAnsi="Arial"/>
          <w:kern w:val="0"/>
          <w:szCs w:val="20"/>
          <w:highlight w:val="none"/>
        </w:rPr>
        <w:tab/>
      </w:r>
      <w:r>
        <w:rPr>
          <w:rFonts w:hint="eastAsia" w:ascii="宋体" w:hAnsi="Arial"/>
          <w:kern w:val="0"/>
          <w:szCs w:val="20"/>
          <w:highlight w:val="none"/>
        </w:rPr>
        <w:t>除本合同另有约定外，承包人承担违约赔偿责任的范围包括但不限于发包人的直接经济损失、向第三方承担的违约责任以及发生的诉讼费、仲裁费、律师费等费用支出。</w:t>
      </w:r>
    </w:p>
    <w:p w14:paraId="7AB19E75">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22.1.6.</w:t>
      </w:r>
      <w:r>
        <w:rPr>
          <w:rFonts w:hint="eastAsia" w:ascii="宋体" w:hAnsi="Arial"/>
          <w:kern w:val="0"/>
          <w:szCs w:val="20"/>
          <w:highlight w:val="none"/>
        </w:rPr>
        <w:tab/>
      </w:r>
      <w:r>
        <w:rPr>
          <w:rFonts w:hint="eastAsia" w:ascii="宋体" w:hAnsi="Arial"/>
          <w:kern w:val="0"/>
          <w:szCs w:val="20"/>
          <w:highlight w:val="none"/>
        </w:rPr>
        <w:t>对承包人违约的整改通知</w:t>
      </w:r>
    </w:p>
    <w:p w14:paraId="054AAD64">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w:t>
      </w:r>
      <w:r>
        <w:rPr>
          <w:rFonts w:hint="eastAsia" w:ascii="宋体" w:hAnsi="Arial"/>
          <w:kern w:val="0"/>
          <w:szCs w:val="20"/>
          <w:highlight w:val="none"/>
        </w:rPr>
        <w:tab/>
      </w:r>
      <w:r>
        <w:rPr>
          <w:rFonts w:hint="eastAsia" w:ascii="宋体" w:hAnsi="Arial"/>
          <w:kern w:val="0"/>
          <w:szCs w:val="20"/>
          <w:highlight w:val="none"/>
        </w:rPr>
        <w:t>承包人发生违约，但未达到发包人可解除合同的情况时，除应承担合同约定的违约责任外，监理人还可向承包人发出整改通知，要求其在指定的期限内改正。承包人应承担其违约所引起的费用增加和（或）工期延误。</w:t>
      </w:r>
    </w:p>
    <w:p w14:paraId="4D008D8A">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w:t>
      </w:r>
      <w:r>
        <w:rPr>
          <w:rFonts w:hint="eastAsia" w:ascii="宋体" w:hAnsi="Arial"/>
          <w:kern w:val="0"/>
          <w:szCs w:val="20"/>
          <w:highlight w:val="none"/>
        </w:rPr>
        <w:tab/>
      </w:r>
      <w:r>
        <w:rPr>
          <w:rFonts w:hint="eastAsia" w:ascii="宋体" w:hAnsi="Arial"/>
          <w:kern w:val="0"/>
          <w:szCs w:val="20"/>
          <w:highlight w:val="none"/>
        </w:rPr>
        <w:t>监理人要求承包人停工整改的，经检查证明承包人已采取了有效措施纠正违约行为，具备复工条件的，可由监理人在取得发包人同意的情况下签发复工通知复工。</w:t>
      </w:r>
    </w:p>
    <w:p w14:paraId="12F59F3E">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3)</w:t>
      </w:r>
      <w:r>
        <w:rPr>
          <w:rFonts w:hint="eastAsia" w:ascii="宋体" w:hAnsi="Arial"/>
          <w:kern w:val="0"/>
          <w:szCs w:val="20"/>
          <w:highlight w:val="none"/>
        </w:rPr>
        <w:tab/>
      </w:r>
      <w:r>
        <w:rPr>
          <w:rFonts w:hint="eastAsia" w:ascii="宋体" w:hAnsi="Arial"/>
          <w:kern w:val="0"/>
          <w:szCs w:val="20"/>
          <w:highlight w:val="none"/>
        </w:rPr>
        <w:t>监理人发出整改通知28天后，承包人仍不纠正违约行为的，发包人有权向承包人发出解除合同通知。</w:t>
      </w:r>
    </w:p>
    <w:p w14:paraId="6A25710D">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22.1.7.</w:t>
      </w:r>
      <w:r>
        <w:rPr>
          <w:rFonts w:hint="eastAsia" w:ascii="宋体" w:hAnsi="Arial"/>
          <w:kern w:val="0"/>
          <w:szCs w:val="20"/>
          <w:highlight w:val="none"/>
        </w:rPr>
        <w:tab/>
      </w:r>
      <w:r>
        <w:rPr>
          <w:rFonts w:hint="eastAsia" w:ascii="宋体" w:hAnsi="Arial"/>
          <w:kern w:val="0"/>
          <w:szCs w:val="20"/>
          <w:highlight w:val="none"/>
        </w:rPr>
        <w:t>承包人违约解除合同</w:t>
      </w:r>
    </w:p>
    <w:p w14:paraId="0C20FBBC">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22.1.7.1</w:t>
      </w:r>
      <w:r>
        <w:rPr>
          <w:rFonts w:hint="eastAsia" w:ascii="宋体" w:hAnsi="Arial"/>
          <w:kern w:val="0"/>
          <w:szCs w:val="20"/>
          <w:highlight w:val="none"/>
        </w:rPr>
        <w:tab/>
      </w:r>
      <w:r>
        <w:rPr>
          <w:rFonts w:hint="eastAsia" w:ascii="宋体" w:hAnsi="Arial"/>
          <w:kern w:val="0"/>
          <w:szCs w:val="20"/>
          <w:highlight w:val="none"/>
        </w:rPr>
        <w:t>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1C5A71EF">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22.1.7.2</w:t>
      </w:r>
      <w:r>
        <w:rPr>
          <w:rFonts w:hint="eastAsia" w:ascii="宋体" w:hAnsi="Arial"/>
          <w:kern w:val="0"/>
          <w:szCs w:val="20"/>
          <w:highlight w:val="none"/>
        </w:rPr>
        <w:tab/>
      </w:r>
      <w:r>
        <w:rPr>
          <w:rFonts w:hint="eastAsia" w:ascii="宋体" w:hAnsi="Arial"/>
          <w:kern w:val="0"/>
          <w:szCs w:val="20"/>
          <w:highlight w:val="none"/>
        </w:rPr>
        <w:t>因承包人违约导致合同解除后的估价、付款和结清</w:t>
      </w:r>
    </w:p>
    <w:p w14:paraId="2AC1A46F">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w:t>
      </w:r>
      <w:r>
        <w:rPr>
          <w:rFonts w:hint="eastAsia" w:ascii="宋体" w:hAnsi="Arial"/>
          <w:kern w:val="0"/>
          <w:szCs w:val="20"/>
          <w:highlight w:val="none"/>
        </w:rPr>
        <w:tab/>
      </w:r>
      <w:r>
        <w:rPr>
          <w:rFonts w:hint="eastAsia" w:ascii="宋体" w:hAnsi="Arial"/>
          <w:kern w:val="0"/>
          <w:szCs w:val="20"/>
          <w:highlight w:val="none"/>
        </w:rPr>
        <w:t xml:space="preserve">合同解除后，发包人商定或确定承包人实际完成工作的价值，以及承包人已提供的材料、施工设备、工程设备和临时工程等的价值。 </w:t>
      </w:r>
    </w:p>
    <w:p w14:paraId="48BC85D4">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w:t>
      </w:r>
      <w:r>
        <w:rPr>
          <w:rFonts w:hint="eastAsia" w:ascii="宋体" w:hAnsi="Arial"/>
          <w:kern w:val="0"/>
          <w:szCs w:val="20"/>
          <w:highlight w:val="none"/>
        </w:rPr>
        <w:tab/>
      </w:r>
      <w:r>
        <w:rPr>
          <w:rFonts w:hint="eastAsia" w:ascii="宋体" w:hAnsi="Arial"/>
          <w:kern w:val="0"/>
          <w:szCs w:val="20"/>
          <w:highlight w:val="none"/>
        </w:rPr>
        <w:t xml:space="preserve">合同解除后，发包人有权暂停对承包人的一切付款，核清各项付款和已扣款金额，以及承包人应支付的违约金。 </w:t>
      </w:r>
    </w:p>
    <w:p w14:paraId="79D79DB2">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3)</w:t>
      </w:r>
      <w:r>
        <w:rPr>
          <w:rFonts w:hint="eastAsia" w:ascii="宋体" w:hAnsi="Arial"/>
          <w:kern w:val="0"/>
          <w:szCs w:val="20"/>
          <w:highlight w:val="none"/>
        </w:rPr>
        <w:tab/>
      </w:r>
      <w:r>
        <w:rPr>
          <w:rFonts w:hint="eastAsia" w:ascii="宋体" w:hAnsi="Arial"/>
          <w:kern w:val="0"/>
          <w:szCs w:val="20"/>
          <w:highlight w:val="none"/>
        </w:rPr>
        <w:t>发包人有权没收履约担保项下的金额，并按合同约定扣留承包人一定比例的质量保证金，承包人应当按合同约定承担缺陷保修责任，计算缺陷责任期、保修期的开始时间由双方协商确定。</w:t>
      </w:r>
    </w:p>
    <w:p w14:paraId="685F0F74">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4)</w:t>
      </w:r>
      <w:r>
        <w:rPr>
          <w:rFonts w:hint="eastAsia" w:ascii="宋体" w:hAnsi="Arial"/>
          <w:kern w:val="0"/>
          <w:szCs w:val="20"/>
          <w:highlight w:val="none"/>
        </w:rPr>
        <w:tab/>
      </w:r>
      <w:r>
        <w:rPr>
          <w:rFonts w:hint="eastAsia" w:ascii="宋体" w:hAnsi="Arial"/>
          <w:kern w:val="0"/>
          <w:szCs w:val="20"/>
          <w:highlight w:val="none"/>
        </w:rPr>
        <w:t>合同解除后，发包人应向承包人索赔由于解除合同给发包人造成的全部损失。</w:t>
      </w:r>
    </w:p>
    <w:p w14:paraId="38DC9FCE">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5)</w:t>
      </w:r>
      <w:r>
        <w:rPr>
          <w:rFonts w:hint="eastAsia" w:ascii="宋体" w:hAnsi="Arial"/>
          <w:kern w:val="0"/>
          <w:szCs w:val="20"/>
          <w:highlight w:val="none"/>
        </w:rPr>
        <w:tab/>
      </w:r>
      <w:r>
        <w:rPr>
          <w:rFonts w:hint="eastAsia" w:ascii="宋体" w:hAnsi="Arial"/>
          <w:kern w:val="0"/>
          <w:szCs w:val="20"/>
          <w:highlight w:val="none"/>
        </w:rPr>
        <w:t>发包人和承包人未能就解除合同后的结清达成一致而形成争议的，按第23条的约定办理。</w:t>
      </w:r>
    </w:p>
    <w:p w14:paraId="4593D11C">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22.1.7.3</w:t>
      </w:r>
      <w:r>
        <w:rPr>
          <w:rFonts w:hint="eastAsia" w:ascii="宋体" w:hAnsi="Arial"/>
          <w:kern w:val="0"/>
          <w:szCs w:val="20"/>
          <w:highlight w:val="none"/>
        </w:rPr>
        <w:tab/>
      </w:r>
      <w:r>
        <w:rPr>
          <w:rFonts w:hint="eastAsia" w:ascii="宋体" w:hAnsi="Arial"/>
          <w:kern w:val="0"/>
          <w:szCs w:val="20"/>
          <w:highlight w:val="none"/>
        </w:rPr>
        <w:t>协议利益的转让</w:t>
      </w:r>
    </w:p>
    <w:p w14:paraId="40C3EE63">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因承包人违约解除合同或发包人因承包人违约而解除合同的，发包人有权要求承包人将其为实施合同而签订的材料和设备的订货协议或任何服务协议利益按不高于其项下待支付价款或届时市场批发价格（以低者为准）转让给发包人或发包人指定的接替承包人，并在解除合同后的14天内，依法办理转让手续。承包人应按发包人的要求办理。</w:t>
      </w:r>
    </w:p>
    <w:p w14:paraId="231541AE">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22.1.8.</w:t>
      </w:r>
      <w:r>
        <w:rPr>
          <w:rFonts w:hint="eastAsia" w:ascii="宋体" w:hAnsi="Arial"/>
          <w:kern w:val="0"/>
          <w:szCs w:val="20"/>
          <w:highlight w:val="none"/>
        </w:rPr>
        <w:tab/>
      </w:r>
      <w:r>
        <w:rPr>
          <w:rFonts w:hint="eastAsia" w:ascii="宋体" w:hAnsi="Arial"/>
          <w:kern w:val="0"/>
          <w:szCs w:val="20"/>
          <w:highlight w:val="none"/>
        </w:rPr>
        <w:t>紧急情况下无能力或不愿进行抢救</w:t>
      </w:r>
    </w:p>
    <w:p w14:paraId="4AC3F1D6">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在工程实施期间或缺陷责任期、保修期内发生危及工程安全的事件，监理人通知承包人进行抢救，承包人声明无能力或不愿立即执行或实际执行不足的，发包人有权雇佣其他人员进行抢救。此类抢救按合同约定属于承包人义务的，由此发生的金额和（或）工期延误由承包人承担。</w:t>
      </w:r>
    </w:p>
    <w:p w14:paraId="4A4AA970">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22.1.9 承包人其他违约情况</w:t>
      </w:r>
    </w:p>
    <w:p w14:paraId="147D0BA3">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22.1.9.1.承包人人员管理方面：</w:t>
      </w:r>
    </w:p>
    <w:p w14:paraId="7EBBDC40">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1）承包人的所有管理人员均应向发包人提供不少于六个月在承包人公司的社保证明，承包人未能提供社保证明须向发包人支付每人每天1000元的违约金，直到提供社保证明为止或另派管理人员。</w:t>
      </w:r>
    </w:p>
    <w:p w14:paraId="7E19FFC5">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2）承包人项目管理部主要人员须常驻现场：项目经理、项目技术负责人、项目生产经理、质量总监、安全负责人（安全总监）、专职安全员每月在现场工作时间不得少于26天、每天工作时间不得少于8小时</w:t>
      </w:r>
      <w:r>
        <w:rPr>
          <w:rFonts w:hint="eastAsia"/>
          <w:color w:val="auto"/>
          <w:highlight w:val="none"/>
        </w:rPr>
        <w:t>（须提供打卡记录）</w:t>
      </w:r>
      <w:r>
        <w:rPr>
          <w:rFonts w:hint="eastAsia" w:ascii="宋体" w:hAnsi="Arial"/>
          <w:kern w:val="0"/>
          <w:szCs w:val="20"/>
          <w:highlight w:val="none"/>
        </w:rPr>
        <w:t>；项目管理人员离开工地需经发包人及监理人同意；若无正当理由且未经发包人及监理人同意不在工地的或出勤不满足以上要求的，发包人有权视情况按每天每人人民币5000~8000元的标准向承包人收取违约金，发包人有权将违约金在当期进度款中直接扣减；若承包人</w:t>
      </w:r>
      <w:r>
        <w:rPr>
          <w:rFonts w:hint="eastAsia" w:ascii="宋体" w:hAnsi="Arial"/>
          <w:kern w:val="0"/>
          <w:szCs w:val="20"/>
          <w:highlight w:val="none"/>
          <w:lang w:val="en-US" w:eastAsia="zh-CN"/>
        </w:rPr>
        <w:t>主要</w:t>
      </w:r>
      <w:r>
        <w:rPr>
          <w:rFonts w:hint="eastAsia" w:ascii="宋体" w:hAnsi="Arial"/>
          <w:kern w:val="0"/>
          <w:szCs w:val="20"/>
          <w:highlight w:val="none"/>
        </w:rPr>
        <w:t>管理人员无故连续3天不在工地，又无发包人可以接受的理由，则发包人有权要求承包人将其更换。</w:t>
      </w:r>
    </w:p>
    <w:p w14:paraId="6CAA09A6">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3）如承包人未按合同约定（当投标文件中人员配备高于招标文件要求时以投标文件人员配备为准，当投标文件中人员配备低于招标文件要求时以招标文件中人员配备要求为准）投入管理人员，且经发现后，承包人须在3天内补充完整，否则承包人应按5000元/人/天标准向发包人支付违约金。</w:t>
      </w:r>
    </w:p>
    <w:p w14:paraId="71E3DA8D">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4）如出现承包人工程施工期间无</w:t>
      </w:r>
      <w:r>
        <w:rPr>
          <w:rFonts w:hint="eastAsia" w:ascii="宋体" w:hAnsi="Arial"/>
          <w:kern w:val="0"/>
          <w:szCs w:val="20"/>
          <w:highlight w:val="none"/>
          <w:lang w:val="en-US" w:eastAsia="zh-CN"/>
        </w:rPr>
        <w:t>主要</w:t>
      </w:r>
      <w:r>
        <w:rPr>
          <w:rFonts w:hint="eastAsia" w:ascii="宋体" w:hAnsi="Arial"/>
          <w:kern w:val="0"/>
          <w:szCs w:val="20"/>
          <w:highlight w:val="none"/>
        </w:rPr>
        <w:t>管理人员在岗的，一经发现，承包人应按3万/次的标准向发包人支付违约金。</w:t>
      </w:r>
    </w:p>
    <w:p w14:paraId="1EC188BA">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5）经发包人和监理人审核明确的项目管理人员，不得擅自变更。开工时或施工过程中若有擅自变更，则承包人应向发包人支付的违约金，且发包人有权视情况全部或部分解除合同，违约金具体约定金额为：</w:t>
      </w:r>
    </w:p>
    <w:tbl>
      <w:tblPr>
        <w:tblStyle w:val="1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211"/>
        <w:gridCol w:w="1180"/>
        <w:gridCol w:w="1281"/>
        <w:gridCol w:w="1627"/>
        <w:gridCol w:w="1442"/>
        <w:gridCol w:w="1430"/>
      </w:tblGrid>
      <w:tr w14:paraId="13B7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3" w:type="dxa"/>
            <w:vAlign w:val="center"/>
          </w:tcPr>
          <w:p w14:paraId="38CEA437">
            <w:pPr>
              <w:numPr>
                <w:ilvl w:val="2"/>
                <w:numId w:val="0"/>
              </w:numPr>
              <w:adjustRightInd w:val="0"/>
              <w:snapToGrid w:val="0"/>
              <w:jc w:val="center"/>
              <w:outlineLvl w:val="2"/>
              <w:rPr>
                <w:rFonts w:ascii="宋体" w:hAnsi="Arial"/>
                <w:kern w:val="0"/>
                <w:szCs w:val="20"/>
                <w:highlight w:val="none"/>
              </w:rPr>
            </w:pPr>
            <w:r>
              <w:rPr>
                <w:rFonts w:hint="eastAsia" w:ascii="宋体" w:hAnsi="Arial"/>
                <w:kern w:val="0"/>
                <w:szCs w:val="20"/>
                <w:highlight w:val="none"/>
              </w:rPr>
              <w:t>岗位人员</w:t>
            </w:r>
          </w:p>
        </w:tc>
        <w:tc>
          <w:tcPr>
            <w:tcW w:w="1211" w:type="dxa"/>
            <w:vAlign w:val="center"/>
          </w:tcPr>
          <w:p w14:paraId="733BCEA7">
            <w:pPr>
              <w:numPr>
                <w:ilvl w:val="2"/>
                <w:numId w:val="0"/>
              </w:numPr>
              <w:adjustRightInd w:val="0"/>
              <w:snapToGrid w:val="0"/>
              <w:jc w:val="center"/>
              <w:outlineLvl w:val="2"/>
              <w:rPr>
                <w:rFonts w:ascii="宋体" w:hAnsi="Arial"/>
                <w:kern w:val="0"/>
                <w:szCs w:val="20"/>
                <w:highlight w:val="none"/>
              </w:rPr>
            </w:pPr>
            <w:r>
              <w:rPr>
                <w:rFonts w:hint="eastAsia" w:ascii="宋体" w:hAnsi="Arial"/>
                <w:kern w:val="0"/>
                <w:szCs w:val="20"/>
                <w:highlight w:val="none"/>
              </w:rPr>
              <w:t>项目经理</w:t>
            </w:r>
          </w:p>
        </w:tc>
        <w:tc>
          <w:tcPr>
            <w:tcW w:w="1180" w:type="dxa"/>
            <w:vAlign w:val="center"/>
          </w:tcPr>
          <w:p w14:paraId="101A0BB2">
            <w:pPr>
              <w:numPr>
                <w:ilvl w:val="2"/>
                <w:numId w:val="0"/>
              </w:numPr>
              <w:adjustRightInd w:val="0"/>
              <w:snapToGrid w:val="0"/>
              <w:jc w:val="center"/>
              <w:outlineLvl w:val="2"/>
              <w:rPr>
                <w:rFonts w:ascii="宋体" w:hAnsi="Arial"/>
                <w:kern w:val="0"/>
                <w:szCs w:val="20"/>
                <w:highlight w:val="none"/>
              </w:rPr>
            </w:pPr>
            <w:r>
              <w:rPr>
                <w:rFonts w:hint="eastAsia" w:ascii="宋体" w:hAnsi="Arial"/>
                <w:kern w:val="0"/>
                <w:szCs w:val="20"/>
                <w:highlight w:val="none"/>
              </w:rPr>
              <w:t>项目技术负责人</w:t>
            </w:r>
          </w:p>
        </w:tc>
        <w:tc>
          <w:tcPr>
            <w:tcW w:w="1281" w:type="dxa"/>
            <w:vAlign w:val="center"/>
          </w:tcPr>
          <w:p w14:paraId="6DD10DFE">
            <w:pPr>
              <w:numPr>
                <w:ilvl w:val="2"/>
                <w:numId w:val="0"/>
              </w:numPr>
              <w:adjustRightInd w:val="0"/>
              <w:snapToGrid w:val="0"/>
              <w:jc w:val="center"/>
              <w:outlineLvl w:val="2"/>
              <w:rPr>
                <w:rFonts w:ascii="宋体" w:hAnsi="Arial"/>
                <w:kern w:val="0"/>
                <w:szCs w:val="20"/>
                <w:highlight w:val="none"/>
              </w:rPr>
            </w:pPr>
            <w:r>
              <w:rPr>
                <w:rFonts w:hint="eastAsia" w:ascii="宋体" w:hAnsi="Arial"/>
                <w:kern w:val="0"/>
                <w:szCs w:val="20"/>
                <w:highlight w:val="none"/>
              </w:rPr>
              <w:t>项目生产经理</w:t>
            </w:r>
          </w:p>
        </w:tc>
        <w:tc>
          <w:tcPr>
            <w:tcW w:w="1627" w:type="dxa"/>
            <w:vAlign w:val="center"/>
          </w:tcPr>
          <w:p w14:paraId="37AB7C84">
            <w:pPr>
              <w:numPr>
                <w:ilvl w:val="2"/>
                <w:numId w:val="0"/>
              </w:numPr>
              <w:adjustRightInd w:val="0"/>
              <w:snapToGrid w:val="0"/>
              <w:jc w:val="center"/>
              <w:outlineLvl w:val="2"/>
              <w:rPr>
                <w:rFonts w:ascii="宋体" w:hAnsi="Arial"/>
                <w:kern w:val="0"/>
                <w:szCs w:val="20"/>
                <w:highlight w:val="none"/>
              </w:rPr>
            </w:pPr>
            <w:r>
              <w:rPr>
                <w:rFonts w:hint="eastAsia" w:ascii="宋体" w:hAnsi="Arial"/>
                <w:kern w:val="0"/>
                <w:szCs w:val="20"/>
                <w:highlight w:val="none"/>
              </w:rPr>
              <w:t>现场施工管理及技术人员</w:t>
            </w:r>
          </w:p>
        </w:tc>
        <w:tc>
          <w:tcPr>
            <w:tcW w:w="1442" w:type="dxa"/>
            <w:vAlign w:val="center"/>
          </w:tcPr>
          <w:p w14:paraId="270D7987">
            <w:pPr>
              <w:numPr>
                <w:ilvl w:val="2"/>
                <w:numId w:val="0"/>
              </w:numPr>
              <w:adjustRightInd w:val="0"/>
              <w:snapToGrid w:val="0"/>
              <w:jc w:val="center"/>
              <w:outlineLvl w:val="2"/>
              <w:rPr>
                <w:rFonts w:ascii="宋体" w:hAnsi="Arial"/>
                <w:kern w:val="0"/>
                <w:szCs w:val="20"/>
                <w:highlight w:val="none"/>
              </w:rPr>
            </w:pPr>
            <w:r>
              <w:rPr>
                <w:rFonts w:hint="eastAsia" w:ascii="宋体" w:hAnsi="Arial"/>
                <w:kern w:val="0"/>
                <w:szCs w:val="20"/>
                <w:highlight w:val="none"/>
              </w:rPr>
              <w:t>造价负责人</w:t>
            </w:r>
          </w:p>
        </w:tc>
        <w:tc>
          <w:tcPr>
            <w:tcW w:w="1430" w:type="dxa"/>
            <w:vAlign w:val="center"/>
          </w:tcPr>
          <w:p w14:paraId="09FA4CEF">
            <w:pPr>
              <w:numPr>
                <w:ilvl w:val="2"/>
                <w:numId w:val="0"/>
              </w:numPr>
              <w:adjustRightInd w:val="0"/>
              <w:snapToGrid w:val="0"/>
              <w:jc w:val="center"/>
              <w:outlineLvl w:val="2"/>
              <w:rPr>
                <w:rFonts w:ascii="宋体" w:hAnsi="Arial"/>
                <w:kern w:val="0"/>
                <w:szCs w:val="20"/>
                <w:highlight w:val="none"/>
              </w:rPr>
            </w:pPr>
            <w:r>
              <w:rPr>
                <w:rFonts w:hint="eastAsia" w:ascii="宋体" w:hAnsi="Arial"/>
                <w:kern w:val="0"/>
                <w:szCs w:val="20"/>
                <w:highlight w:val="none"/>
              </w:rPr>
              <w:t>安全负责人</w:t>
            </w:r>
          </w:p>
        </w:tc>
      </w:tr>
      <w:tr w14:paraId="2079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73" w:type="dxa"/>
            <w:vAlign w:val="center"/>
          </w:tcPr>
          <w:p w14:paraId="4FCC31FA">
            <w:pPr>
              <w:numPr>
                <w:ilvl w:val="2"/>
                <w:numId w:val="0"/>
              </w:numPr>
              <w:adjustRightInd w:val="0"/>
              <w:snapToGrid w:val="0"/>
              <w:jc w:val="center"/>
              <w:outlineLvl w:val="2"/>
              <w:rPr>
                <w:rFonts w:ascii="宋体" w:hAnsi="Arial"/>
                <w:kern w:val="0"/>
                <w:szCs w:val="20"/>
                <w:highlight w:val="none"/>
              </w:rPr>
            </w:pPr>
            <w:r>
              <w:rPr>
                <w:rFonts w:hint="eastAsia" w:ascii="宋体" w:hAnsi="Arial"/>
                <w:kern w:val="0"/>
                <w:szCs w:val="20"/>
                <w:highlight w:val="none"/>
              </w:rPr>
              <w:t>违约金额（元）</w:t>
            </w:r>
          </w:p>
        </w:tc>
        <w:tc>
          <w:tcPr>
            <w:tcW w:w="1211" w:type="dxa"/>
            <w:vAlign w:val="center"/>
          </w:tcPr>
          <w:p w14:paraId="55ABDD79">
            <w:pPr>
              <w:jc w:val="center"/>
              <w:rPr>
                <w:highlight w:val="none"/>
              </w:rPr>
            </w:pPr>
            <w:r>
              <w:rPr>
                <w:rFonts w:hint="eastAsia"/>
                <w:highlight w:val="none"/>
                <w:lang w:val="en-US" w:eastAsia="zh-CN"/>
              </w:rPr>
              <w:t>100</w:t>
            </w:r>
            <w:r>
              <w:rPr>
                <w:rFonts w:hint="eastAsia"/>
                <w:highlight w:val="none"/>
              </w:rPr>
              <w:t>万</w:t>
            </w:r>
          </w:p>
        </w:tc>
        <w:tc>
          <w:tcPr>
            <w:tcW w:w="1180" w:type="dxa"/>
            <w:vAlign w:val="center"/>
          </w:tcPr>
          <w:p w14:paraId="1466E12C">
            <w:pPr>
              <w:jc w:val="center"/>
              <w:rPr>
                <w:highlight w:val="none"/>
              </w:rPr>
            </w:pPr>
            <w:r>
              <w:rPr>
                <w:rFonts w:hint="eastAsia"/>
                <w:highlight w:val="none"/>
                <w:lang w:val="en-US" w:eastAsia="zh-CN"/>
              </w:rPr>
              <w:t>50</w:t>
            </w:r>
            <w:r>
              <w:rPr>
                <w:rFonts w:hint="eastAsia"/>
                <w:highlight w:val="none"/>
              </w:rPr>
              <w:t>万</w:t>
            </w:r>
          </w:p>
        </w:tc>
        <w:tc>
          <w:tcPr>
            <w:tcW w:w="1281" w:type="dxa"/>
            <w:vAlign w:val="center"/>
          </w:tcPr>
          <w:p w14:paraId="79A4CB88">
            <w:pPr>
              <w:jc w:val="center"/>
              <w:rPr>
                <w:highlight w:val="none"/>
              </w:rPr>
            </w:pPr>
            <w:r>
              <w:rPr>
                <w:rFonts w:hint="eastAsia"/>
                <w:highlight w:val="none"/>
                <w:lang w:val="en-US" w:eastAsia="zh-CN"/>
              </w:rPr>
              <w:t>50</w:t>
            </w:r>
            <w:r>
              <w:rPr>
                <w:rFonts w:hint="eastAsia"/>
                <w:highlight w:val="none"/>
              </w:rPr>
              <w:t>万</w:t>
            </w:r>
          </w:p>
        </w:tc>
        <w:tc>
          <w:tcPr>
            <w:tcW w:w="1627" w:type="dxa"/>
            <w:vAlign w:val="center"/>
          </w:tcPr>
          <w:p w14:paraId="1821A5F5">
            <w:pPr>
              <w:jc w:val="center"/>
              <w:rPr>
                <w:highlight w:val="none"/>
              </w:rPr>
            </w:pPr>
            <w:r>
              <w:rPr>
                <w:rFonts w:hint="eastAsia"/>
                <w:highlight w:val="none"/>
              </w:rPr>
              <w:t>10万</w:t>
            </w:r>
          </w:p>
        </w:tc>
        <w:tc>
          <w:tcPr>
            <w:tcW w:w="1442" w:type="dxa"/>
            <w:vAlign w:val="center"/>
          </w:tcPr>
          <w:p w14:paraId="55F67A8D">
            <w:pPr>
              <w:jc w:val="center"/>
              <w:rPr>
                <w:highlight w:val="none"/>
              </w:rPr>
            </w:pPr>
            <w:r>
              <w:rPr>
                <w:rFonts w:hint="eastAsia"/>
                <w:highlight w:val="none"/>
              </w:rPr>
              <w:t>10万</w:t>
            </w:r>
          </w:p>
        </w:tc>
        <w:tc>
          <w:tcPr>
            <w:tcW w:w="1430" w:type="dxa"/>
            <w:vAlign w:val="center"/>
          </w:tcPr>
          <w:p w14:paraId="527689EF">
            <w:pPr>
              <w:jc w:val="center"/>
              <w:rPr>
                <w:highlight w:val="none"/>
              </w:rPr>
            </w:pPr>
            <w:r>
              <w:rPr>
                <w:rFonts w:hint="eastAsia"/>
                <w:highlight w:val="none"/>
                <w:lang w:val="en-US" w:eastAsia="zh-CN"/>
              </w:rPr>
              <w:t>50</w:t>
            </w:r>
            <w:r>
              <w:rPr>
                <w:rFonts w:hint="eastAsia"/>
                <w:highlight w:val="none"/>
              </w:rPr>
              <w:t>万</w:t>
            </w:r>
          </w:p>
        </w:tc>
      </w:tr>
    </w:tbl>
    <w:p w14:paraId="6252EC41">
      <w:pPr>
        <w:spacing w:before="120" w:beforeLines="50" w:line="360" w:lineRule="auto"/>
        <w:ind w:firstLine="424" w:firstLineChars="202"/>
        <w:rPr>
          <w:rFonts w:ascii="宋体" w:hAnsi="Arial"/>
          <w:kern w:val="0"/>
          <w:szCs w:val="20"/>
          <w:highlight w:val="none"/>
        </w:rPr>
      </w:pPr>
      <w:r>
        <w:rPr>
          <w:rFonts w:hint="eastAsia" w:ascii="宋体" w:hAnsi="Arial"/>
          <w:kern w:val="0"/>
          <w:szCs w:val="20"/>
          <w:highlight w:val="none"/>
        </w:rPr>
        <w:t>承包人应确保项目管理人员在合同生效后至少半年内不发生变更，建设期内项目管理人员变更比例不得超过三分之一。如承包人项目管理人员存在重大疾病（或需长期住院 治疗的疾病）、辞职、退休等无法克服、避免的客观情形确需更换的，原则上承包人应至少提前 30 天内向监理人、发包人报送变更申请（附更换原因证明材料和更换人员的详细履历资料，属于疾病需更换的应由三甲医院出具证明），拟更换后的项目管理人员应不低于招投标文件等合同文件中资质、资历、职称、业绩等有关要求、承诺，经监理人审核、发包人同意后方能更换。承包人应确保申请材料真实、完整、合法有效，如经发包人发现变更申请存在弄虚作假等违背诚实信用原则的情形，承包需按</w:t>
      </w:r>
      <w:r>
        <w:rPr>
          <w:rFonts w:hint="eastAsia" w:ascii="宋体" w:hAnsi="Arial"/>
          <w:kern w:val="0"/>
          <w:szCs w:val="20"/>
          <w:highlight w:val="none"/>
          <w:lang w:val="en-US" w:eastAsia="zh-CN"/>
        </w:rPr>
        <w:t>250</w:t>
      </w:r>
      <w:r>
        <w:rPr>
          <w:rFonts w:hint="eastAsia" w:ascii="宋体" w:hAnsi="Arial"/>
          <w:kern w:val="0"/>
          <w:szCs w:val="20"/>
          <w:highlight w:val="none"/>
        </w:rPr>
        <w:t>万元/次向发包人支付违约金。</w:t>
      </w:r>
      <w:r>
        <w:rPr>
          <w:rFonts w:ascii="Times New Roman" w:hAnsi="Times New Roman"/>
          <w:szCs w:val="24"/>
          <w:highlight w:val="none"/>
        </w:rPr>
        <w:t>项目经理</w:t>
      </w:r>
      <w:r>
        <w:rPr>
          <w:rFonts w:hint="eastAsia" w:ascii="Times New Roman" w:hAnsi="Times New Roman"/>
          <w:szCs w:val="24"/>
          <w:highlight w:val="none"/>
        </w:rPr>
        <w:t>、</w:t>
      </w:r>
      <w:r>
        <w:rPr>
          <w:rFonts w:ascii="Times New Roman" w:hAnsi="Times New Roman"/>
          <w:szCs w:val="24"/>
          <w:highlight w:val="none"/>
        </w:rPr>
        <w:t>技术负责人、安全负责人必须按时参加工程会议，因故不能参加的应至少提前5 小时提出申请并获得</w:t>
      </w:r>
      <w:r>
        <w:rPr>
          <w:rFonts w:hint="eastAsia" w:ascii="Times New Roman" w:hAnsi="Times New Roman"/>
          <w:szCs w:val="24"/>
          <w:highlight w:val="none"/>
        </w:rPr>
        <w:t>发包人或</w:t>
      </w:r>
      <w:r>
        <w:rPr>
          <w:rFonts w:ascii="Times New Roman" w:hAnsi="Times New Roman"/>
          <w:szCs w:val="24"/>
          <w:highlight w:val="none"/>
        </w:rPr>
        <w:t>监理人批准方可缺席，</w:t>
      </w:r>
      <w:r>
        <w:rPr>
          <w:rFonts w:hint="eastAsia" w:ascii="Times New Roman" w:hAnsi="Times New Roman"/>
          <w:szCs w:val="24"/>
          <w:highlight w:val="none"/>
        </w:rPr>
        <w:t>否则</w:t>
      </w:r>
      <w:r>
        <w:rPr>
          <w:rFonts w:ascii="Times New Roman" w:hAnsi="Times New Roman"/>
          <w:szCs w:val="24"/>
          <w:highlight w:val="none"/>
        </w:rPr>
        <w:t>每人次须向发包人支付</w:t>
      </w:r>
      <w:r>
        <w:rPr>
          <w:rFonts w:hint="eastAsia" w:ascii="Times New Roman" w:hAnsi="Times New Roman"/>
          <w:szCs w:val="24"/>
          <w:highlight w:val="none"/>
        </w:rPr>
        <w:t>20</w:t>
      </w:r>
      <w:r>
        <w:rPr>
          <w:rFonts w:ascii="Times New Roman" w:hAnsi="Times New Roman"/>
          <w:szCs w:val="24"/>
          <w:highlight w:val="none"/>
        </w:rPr>
        <w:t>000元违约金。</w:t>
      </w:r>
    </w:p>
    <w:p w14:paraId="17F871BD">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6）承包人项目经理、项目技术负责人、安全负责人、造价负责人等专业知识、业务水平及管理、协调能力须能满足发包人的要求和服从发包人的管理,发包人有权撤换专业知识、业务水平及管理、协调能力差的承包人项目管理人员。若承包人拒不撤换相关人员或撤换的人员仍不合格的，承包人须向发包人支付人民币10000元/人的违约金。承包人在收到发包人有关撤换人员的书面通知后，应在7天内递交更换相关人员的相关资料，经发包人审核确认后的3日内到岗，撤换人员自接替的对应管理人员到岗后3日内调离。若承包人未及时调离撤换人员或更换后的管理人员延迟到岗、延迟递交更换人员资料的，每逾期一日，承包人须向发包人支付人民币3000元/人/天违约金。</w:t>
      </w:r>
    </w:p>
    <w:p w14:paraId="03FA99F5">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7）合同约定的施工期按日历天计算，不考虑假期，承包人根据有关规定或自行安排员工假期的，承包人应将项目部管理人员值班名单于放假前7个日历天交工程师审批，审批后需变更的，承包人应及时通知工程师补办审批手续。承包人安排放假而无人值班的，按1万元每人次每天向发包人支付违约金，造成工程进度滞后或其他质量、安全事故的，由承包人承担全部责任。</w:t>
      </w:r>
    </w:p>
    <w:p w14:paraId="1DAF9FA0">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8）承包人所投入的工程管理人员和工程技术人员应与投标文件保持一致。无论因何原因，合同期间实际投入的管理人员替换率超过合同约定管理人员比例</w:t>
      </w:r>
      <w:r>
        <w:rPr>
          <w:rFonts w:hint="eastAsia" w:ascii="宋体" w:hAnsi="Arial"/>
          <w:kern w:val="0"/>
          <w:szCs w:val="20"/>
          <w:highlight w:val="none"/>
          <w:u w:val="none"/>
        </w:rPr>
        <w:t>30</w:t>
      </w:r>
      <w:r>
        <w:rPr>
          <w:rFonts w:hint="eastAsia" w:ascii="宋体" w:hAnsi="Arial"/>
          <w:kern w:val="0"/>
          <w:szCs w:val="20"/>
          <w:highlight w:val="none"/>
        </w:rPr>
        <w:t>%的属于违约行为，发包人有权解除合同，承包人须向发包人承担违约责任，每发生一次该违约行为，承包人应向发包人支付10万元违约金。</w:t>
      </w:r>
    </w:p>
    <w:p w14:paraId="7FDBFB94">
      <w:pPr>
        <w:numPr>
          <w:ilvl w:val="2"/>
          <w:numId w:val="0"/>
        </w:numPr>
        <w:adjustRightInd w:val="0"/>
        <w:snapToGrid w:val="0"/>
        <w:spacing w:line="360" w:lineRule="auto"/>
        <w:jc w:val="left"/>
        <w:outlineLvl w:val="2"/>
        <w:rPr>
          <w:rFonts w:ascii="宋体" w:hAnsi="Arial"/>
          <w:kern w:val="0"/>
          <w:szCs w:val="20"/>
          <w:highlight w:val="none"/>
        </w:rPr>
      </w:pPr>
      <w:r>
        <w:rPr>
          <w:rFonts w:hint="eastAsia" w:ascii="宋体" w:hAnsi="Arial"/>
          <w:kern w:val="0"/>
          <w:szCs w:val="20"/>
          <w:highlight w:val="none"/>
        </w:rPr>
        <w:t>22.1.9.2.工程进度方面：</w:t>
      </w:r>
    </w:p>
    <w:p w14:paraId="2D9F43A5">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无论因何原因按照约定或法定终止、解除合同的，承包人或其分包人的施工人员、材料、设备必须在15天内清场并全部退出现场，如逾期退场或拒绝退场的，每延迟一天退场，发包人收取承包人5000元违约金。承包人拒绝清场的，应同时承担发包人委托第三方清场的费用。</w:t>
      </w:r>
    </w:p>
    <w:p w14:paraId="1230146D">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2）承包人延迟提供符合要求的竣工图纸及竣工资料的，每延迟1天，须按照3000元/天向发包人支付违约金。</w:t>
      </w:r>
    </w:p>
    <w:p w14:paraId="1BF18AF6">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3）承包人未按经审批通过的月度计划完成施工任务，发包人视影响进度的严重程度，承包人每延误一天，承包人向发包人支付2万元/天的违约金，并不免除承包人需完成的施工任务。若承包人未能于下月内完成上月原计划事项，违约金将加倍收取，以此类推。</w:t>
      </w:r>
    </w:p>
    <w:p w14:paraId="774B2112">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4）承包人原因导致逾期开工15天以内（含1</w:t>
      </w:r>
      <w:r>
        <w:rPr>
          <w:rFonts w:ascii="宋体" w:hAnsi="Arial"/>
          <w:kern w:val="0"/>
          <w:szCs w:val="20"/>
          <w:highlight w:val="none"/>
        </w:rPr>
        <w:t>5天</w:t>
      </w:r>
      <w:r>
        <w:rPr>
          <w:rFonts w:hint="eastAsia" w:ascii="宋体" w:hAnsi="Arial"/>
          <w:kern w:val="0"/>
          <w:szCs w:val="20"/>
          <w:highlight w:val="none"/>
        </w:rPr>
        <w:t>）的，每逾期一天，应向发包人偿付本工程合同暂定总价万分之五的违约金；累计逾期超过15天（不含1</w:t>
      </w:r>
      <w:r>
        <w:rPr>
          <w:rFonts w:ascii="宋体" w:hAnsi="Arial"/>
          <w:kern w:val="0"/>
          <w:szCs w:val="20"/>
          <w:highlight w:val="none"/>
        </w:rPr>
        <w:t>5天</w:t>
      </w:r>
      <w:r>
        <w:rPr>
          <w:rFonts w:hint="eastAsia" w:ascii="宋体" w:hAnsi="Arial"/>
          <w:kern w:val="0"/>
          <w:szCs w:val="20"/>
          <w:highlight w:val="none"/>
        </w:rPr>
        <w:t>）的，每逾期一天，应向发包人偿付本工程合同暂定总价万分之五的违约金，且发包人有权单方面解除合同，同时补偿因逾期开工而发生的发包人的所有损失。</w:t>
      </w:r>
    </w:p>
    <w:p w14:paraId="2A9265BC">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5）承包人原因导致工期延误引起第三方索赔的，承包人除按上述工期延误或节点延误承担违约责任外，另应承担第三方索赔及发包人全部损失。</w:t>
      </w:r>
    </w:p>
    <w:p w14:paraId="0FEDF539">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6）施工计划的提交：承包人中标后14天内应提交满足合同要求的项目施工计划至监理单位及发包人审核。如承包人未按时提交或中标后14天内提交的施工计划不满足要求，则需按照10000元/天的标准向发包人支付违约金。</w:t>
      </w:r>
    </w:p>
    <w:p w14:paraId="06FCA873">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7）承包人有责任根据现场工作的开展进度更新及/或重新编制进度计划和施工组织设计,承包人应在七日内书面将修改后的新计划报发包人和监理审阅备案，特殊情况下承包人可向发包人申请适当延期。如承包人不能按时提供最新的计划，每逾期一天，承包人向发包人支付10000元作为违约金。</w:t>
      </w:r>
    </w:p>
    <w:p w14:paraId="76213DAC">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8）承包须于上一月的25日前提供下一个月的月计划和上一个月的月度报告；周计划须在每周工程例会前一天下午16:00之前报送发包人和监理单位。承包人不按时上报分解计划及报表的，月计划每延期一天需支付违约金3000元，周计划每延期一天需支付违约金500元。所报计划无量化指标者按相应延期处罚。</w:t>
      </w:r>
    </w:p>
    <w:p w14:paraId="3064E7FD">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9）如工程发生较大调整或发包人和监理明确要求需要提交时，承包人应在七日内或按发包人和监理的要求，将最新的施工总进度计划予以提交。如承包人不能按时提供上述计划或文件，每逾期一天，承包人向发包人支付10000元作为违约金。</w:t>
      </w:r>
    </w:p>
    <w:p w14:paraId="56FE6DCF">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10）在施工过程中，承包人应根据发包人和监理的要求结合现场施工进度及各分包单位提交的施工计划，及时准确的编制出各专项阶段的专项进度计划。如承包人不能按时提供上述计划或文件，每逾期一天，承包人向发包人支付10000元作为违约金。</w:t>
      </w:r>
    </w:p>
    <w:p w14:paraId="297A25BB">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11）承包人原因导致工程不能按合同竣工日期验收合格或移交发包人的，每逾期一天，承包人应按本工程合同暂定价款的千分之一向发包人支付违约金并赔偿发包人因此所产生的损失（包括但不限于因工期延误导致发包人向小业主或其他人所支付的违约金或补偿/赔偿款等）。发包人可从应向承包人支付的进度款及结算款中扣除此项违约金及赔偿金，不足部分由承包人另行支付，此违约金及赔偿金的支付并不能解除承包人应完成工程的责任或本合同规定的其他责任。</w:t>
      </w:r>
    </w:p>
    <w:p w14:paraId="2611998D">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12）如因承包人责任造成实际施工进度严重滞后于合同规定的控制节点超过60天</w:t>
      </w:r>
      <w:r>
        <w:rPr>
          <w:rFonts w:hint="eastAsia" w:ascii="宋体" w:hAnsi="Arial"/>
          <w:kern w:val="0"/>
          <w:szCs w:val="20"/>
          <w:highlight w:val="none"/>
          <w:lang w:eastAsia="zh-CN"/>
        </w:rPr>
        <w:t>（</w:t>
      </w:r>
      <w:r>
        <w:rPr>
          <w:rFonts w:hint="eastAsia" w:ascii="宋体" w:hAnsi="Arial"/>
          <w:kern w:val="0"/>
          <w:szCs w:val="20"/>
          <w:highlight w:val="none"/>
        </w:rPr>
        <w:t>或未按发包人要求的日期前完成维修工作</w:t>
      </w:r>
      <w:r>
        <w:rPr>
          <w:rFonts w:hint="eastAsia" w:ascii="宋体" w:hAnsi="Arial"/>
          <w:kern w:val="0"/>
          <w:szCs w:val="20"/>
          <w:highlight w:val="none"/>
          <w:lang w:val="en-US" w:eastAsia="zh-CN"/>
        </w:rPr>
        <w:t>的</w:t>
      </w:r>
      <w:r>
        <w:rPr>
          <w:rFonts w:hint="eastAsia" w:ascii="宋体" w:hAnsi="Arial"/>
          <w:kern w:val="0"/>
          <w:szCs w:val="20"/>
          <w:highlight w:val="none"/>
          <w:lang w:eastAsia="zh-CN"/>
        </w:rPr>
        <w:t>）</w:t>
      </w:r>
      <w:r>
        <w:rPr>
          <w:rFonts w:hint="eastAsia" w:ascii="宋体" w:hAnsi="Arial"/>
          <w:kern w:val="0"/>
          <w:szCs w:val="20"/>
          <w:highlight w:val="none"/>
        </w:rPr>
        <w:t>，若发包人将部分工程委托给第三方单位负责施工且与第三方单位直接发生合同关系的，则应相应调减本合同承包范围及合同价款，同时承包人应按第三方单位实施该部分工程造价的20%向发包人支付违约金，同时承担工期等违约责任及发包人相关损失。发包人单方面解除合同的，承包人除应赔偿发包人及其他相关专业承包人等的所有损失外，还应向发包人支付本工程合同暂定价款</w:t>
      </w:r>
      <w:r>
        <w:rPr>
          <w:rFonts w:hint="eastAsia" w:ascii="宋体" w:hAnsi="Arial"/>
          <w:kern w:val="0"/>
          <w:szCs w:val="20"/>
          <w:highlight w:val="none"/>
          <w:lang w:val="en-US" w:eastAsia="zh-CN"/>
        </w:rPr>
        <w:t>10</w:t>
      </w:r>
      <w:r>
        <w:rPr>
          <w:rFonts w:hint="eastAsia" w:ascii="宋体" w:hAnsi="Arial"/>
          <w:kern w:val="0"/>
          <w:szCs w:val="20"/>
          <w:highlight w:val="none"/>
        </w:rPr>
        <w:t>%的违约金。</w:t>
      </w:r>
    </w:p>
    <w:p w14:paraId="109EC72D">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13）发包人要求压缩合同工期的，承包人应调配其系统内资源全力积极配合，同时根据赶工措施合理申报赶工措施费用。若承包人以赶工措施费用未确定等理由拒绝或不积极配合发包人赶工要求的，应承担违约责任；发包人视承包人违约情节严重程度，有权在工程款支付时扣减承包人5~50万元\</w:t>
      </w:r>
      <w:r>
        <w:rPr>
          <w:rFonts w:ascii="宋体" w:hAnsi="Arial"/>
          <w:kern w:val="0"/>
          <w:szCs w:val="20"/>
          <w:highlight w:val="none"/>
        </w:rPr>
        <w:t>次的违约金</w:t>
      </w:r>
      <w:r>
        <w:rPr>
          <w:rFonts w:hint="eastAsia" w:ascii="宋体" w:hAnsi="Arial"/>
          <w:kern w:val="0"/>
          <w:szCs w:val="20"/>
          <w:highlight w:val="none"/>
        </w:rPr>
        <w:t>。</w:t>
      </w:r>
    </w:p>
    <w:p w14:paraId="7127EC52">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22.1.9.3工程质量方面：</w:t>
      </w:r>
    </w:p>
    <w:p w14:paraId="44D815F0">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承包人在施工过程中，因质量问题需对已完工程进行整改、返工的，产生的费用增加由承包人全部负责。若承包人有违反质量评定标准的质量问题，或者导致发包人、监理人、建设主管部门就质量问题发出停工整改通知的，视情节轻重，每次（项）须承担1-5万元的违约金，同时亦不免除承包人对不合格工程进行整改、返工的责任、工期不予顺延。</w:t>
      </w:r>
    </w:p>
    <w:p w14:paraId="49BCEEB0">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 xml:space="preserve">2）承包人未按发包人审定的施工方案、施工工艺和图纸进行施工的，每次须承担2万元的违约金，同时亦不免除承包人对不合格施工方案、施工工艺的整改责任。  </w:t>
      </w:r>
    </w:p>
    <w:p w14:paraId="3328817A">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3）承包人对发包人指出的质量问题未按时整改并回复，承包人应限期整改完成并向发包人支付1000元/条/天的违约金。</w:t>
      </w:r>
    </w:p>
    <w:p w14:paraId="4BBFFDDF">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4）工程施工期间和缺陷责任期内，由于承包人责任出现质量问题、安全事故或者其他原因，使发包人或项目受到报纸、电视等媒体的曝光或政府有关主管部门的通报批评的，每出现一次，承包人应向发包人支付20万元违约金。</w:t>
      </w:r>
    </w:p>
    <w:p w14:paraId="272BAA3F">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5）承包人未经报验，擅自进行下道工序施工的，承包人应拆除擅自施工的部位，并向发包人支付1万元/次的违约金。</w:t>
      </w:r>
    </w:p>
    <w:p w14:paraId="6EB92E1A">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6）隐蔽工程未经发包人同意承包人私自进行隐蔽的，承包人应向发包人支付1~5万元的违约金，且承包人应无条件配合发包人进行检验，如检验不合格承包人须无条件返工直至验收合格。该等检验、返工等所发生的费用、工期延误由承包人自行承担，同时承包人应承担因此而发生的发包人与第三方单位的损失，且第三方单位的工期索赔应由承包人承担。</w:t>
      </w:r>
    </w:p>
    <w:p w14:paraId="0D8EF2DA">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7）因承包人施工质量问题造成发包人损失的，承包人应赔偿发包人一切损失，并按以下约定向发包人支付违约金：</w:t>
      </w:r>
    </w:p>
    <w:p w14:paraId="2BC8E54E">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因承包人施工质量问题造成发包人损失100万（含本数）以上的，每出现一次，承包人应向发包人支付20万元违约金；造成发包人损失50万（含本数）以上、100万以下的，每出现一次承包人应向发包人支付15万元违约金；造成发包人损失20万（含本数）以上、50万以下的，每出现一次承包人应向发包人支付10万元违约金；造成发包人损失20万以下的，每出现一次承包人应向发包人支付5万元违约金。</w:t>
      </w:r>
    </w:p>
    <w:p w14:paraId="33EC3DB1">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8）发包人在施工过程中发现承包人未按照本项目的质量控制点要求进行施工的，其中，每发现一次一类控制点的，承包人应向发包人支付5000元违约金；每发现一次二类控制点的，承包人应向发包人支付3000元违约金；每发现一次三类控制点的，承包人应向发包人支付1000元违约金。（一类控制点与主体结构安全相关，整改难度极大；二类控制点对项目整体工程质量起指导性或关键性作用；三类控制点需要按质量规范执行，对施工过程中工序、工艺进行纠偏。）</w:t>
      </w:r>
    </w:p>
    <w:p w14:paraId="6BA0A971">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9）承包人使用了不合格材料或工程设备，工程质量达不到标准要求，又拒绝清除不合格工程的，除按本合同通用条款约定执行外，每发生一次该事项承包人还需向发包人支付5万元违约金。</w:t>
      </w:r>
    </w:p>
    <w:p w14:paraId="3D81208B">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10）工程质量必须达到合同约定的质量标准。若工程质量不合格的，承包人必须按发包人和监理单位指定的期限对不合格工程返工、修复或采取发包人认可的其他补救措施，使之达到合同和法定标准要求。发包人或监理单位指定的期限届满，承包人返工、修复和（或）采取其他补救措施后重新验收仍未通过，即该部分工程仍不合格的，发包人无须支付该部分合同价款，承包人并应向发包人支付该部分质量缺陷工程对应合同造价[20]%的违约金，且发包人有权解除本合同，同时承包人应赔偿因此对发包人所造成的损失；发生以上情形时，承包人除承担违约责任外，发包人可委托第三方返工、修复和（或）采取其他补救措施，第三方所发生的费用由承包人全部承担，发包人可在应付承包人工程价款中直接扣减。发包人在确保安全等前提下让步接受该等质量缺陷工程的，视实际情况减付相应工程价款，承包人并应向发包人支付本工程中标合同价款[1]%或该部分质量缺陷工程对应合同造价[20]%的违约金（以违约金额较高者为准）。完成返工、修复和（或）采取其他补救措施、达到合同验收标准的时间比合同约定工期时间推迟的，承包人同时应按本合同相关约定向发包人支付延期竣工、延期交付工程逾期违约金。</w:t>
      </w:r>
    </w:p>
    <w:p w14:paraId="230FE7D1">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22.1.9.4安全生产措施、文明施工措施、环境保护措施、临时设施措施方面：</w:t>
      </w:r>
    </w:p>
    <w:p w14:paraId="6E8E92F7">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发生承包人施工人员或者劳务人员以非正常手段索取工程款或者聚众滋事或到党政机关、司法部门、发包人所在单位及其上级主管公司非法上访、聚众闹事、拉横幅、静坐、游行等事件的，每发生一次，承包人应向发包人支付人民币 20 万元/次 的违约金。</w:t>
      </w:r>
    </w:p>
    <w:p w14:paraId="34B902E0">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2）安全文明施工若达不到项目所在地市级建设行政主管部门安全文明验收标准或者验收后不能保持到工程移交完毕的，承包人应限期整改完成，并向发包人支付人民币 1万 元的违约金。</w:t>
      </w:r>
    </w:p>
    <w:p w14:paraId="06968357">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3）承包人违反发包人现场管理制度有关规定的，按照发包人现场管理制度的有关规定处理，并视实际情况支付违约金人民币 5000 元。</w:t>
      </w:r>
    </w:p>
    <w:p w14:paraId="18F747F9">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4）承包人对监理通知或发包人指出的安全问题未按时整改并回复，承包人应限期整改完成并向发包人支付5000元/次违约金，对严重安全隐患未及时整改的，承包人向发包人支付10000元/次的违约金，并在当月进度款中扣除。</w:t>
      </w:r>
    </w:p>
    <w:p w14:paraId="7BD84DCC">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5）承包人应保证施工场地清洁符合环境卫生管理的有关要求，做到工完场清，否则发包人有权另行委托他人清理，发生的费用由承包人双倍承担，且不低于2000元/次。</w:t>
      </w:r>
    </w:p>
    <w:p w14:paraId="697B662D">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6）对于承包人未予实施的分项安全文明措施项目，发包人将对包干安全文明措施费作相应的扣减，该费用将直接从合同总价中扣除。其他违反本规定的行为，发包人有权按照本合同的条款收取违约金。</w:t>
      </w:r>
    </w:p>
    <w:p w14:paraId="39D383C1">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7）承包人因自身原因造成重大安全事故（含工程质量事故）的，除按国家规定由行政主管部门处罚外，承包人应承担事故处理的所有责任和费用、赔偿发包人的一切损失（包括但不限于行政主管部门的罚款、工期等延误损失、第三方索赔、名誉损害、因此增加的费用支出等），还应依照下列约定承担违约责任：</w:t>
      </w:r>
    </w:p>
    <w:p w14:paraId="04D0BA0B">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①发生特别重大事故，如造成人员死亡的，承包人须向发包人支付违约金，违约金从人民币2000万元起计，死亡的人数多于30人时，每增加死亡1人，承包人除支付上述违约金外还须再向发包人支付违约金人民币100万元/人；如无造成人员死亡的，承包人除赔偿因此而给发包人造成的全部损失外，还应向发包人支付违约金人民币50万元。</w:t>
      </w:r>
    </w:p>
    <w:p w14:paraId="1F88D4AE">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②发生重大事故，如造成人员死亡的，承包人须向发包人支付违约金，违约金从人民币1000万元起计，死亡的人数多于10人时，每增加死亡1人，承包人除支付上述违约金外还须再向发包人支付违约金人民币100万元/人；如无造成人员死亡的，承包人除赔偿因此而给发包人造成的全部损失外，还应向发包人支付违约金人民币30万元。</w:t>
      </w:r>
    </w:p>
    <w:p w14:paraId="4B0E83A6">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③发生较大事故，如造成人员死亡或重伤的，承包人须向发包人支付违约金，违约金从人民币500万元起计，死亡的人数多于3人或重伤人数多于20人时，每增加死亡1人或重伤3人，承包人除支付上述违约金外还须再向发包人支付违约金人民币100万元；如无造成人员死亡或重伤的，承包人除赔偿因此而给发包人造成的全部损失外，还应向发包人支付违约金人民币20万元。</w:t>
      </w:r>
    </w:p>
    <w:p w14:paraId="0CABE901">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④发生一般事故，如造成人员死亡或重伤的，承包人须向发包人支付违约金，违约金从人民币150万元起计，死亡的人数多于1人或重伤人数多于3人时，每增加死亡1 人或重伤3人，承包人除支付上述违约金外还须再向发包人支付违约金人民币100万元；如无造成人员死亡或重伤的，承包人除赔偿因此而给发包人造成的全部损失外，还应向发包人支付违约金人民币10万元。</w:t>
      </w:r>
    </w:p>
    <w:p w14:paraId="2C1FFC5B">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发生上述安全事故，发包人视情况严重性，有权部分或全部解除合同。承包人依照上述约定支付违约金后或</w:t>
      </w:r>
      <w:r>
        <w:rPr>
          <w:rFonts w:hint="eastAsia" w:ascii="宋体" w:hAnsi="Arial"/>
          <w:kern w:val="0"/>
          <w:szCs w:val="20"/>
          <w:highlight w:val="none"/>
          <w:lang w:val="en-US" w:eastAsia="zh-CN"/>
        </w:rPr>
        <w:t>发</w:t>
      </w:r>
      <w:r>
        <w:rPr>
          <w:rFonts w:hint="eastAsia" w:ascii="宋体" w:hAnsi="Arial"/>
          <w:kern w:val="0"/>
          <w:szCs w:val="20"/>
          <w:highlight w:val="none"/>
        </w:rPr>
        <w:t>包人有权直接在未付工程款中扣除该等违约金后，所支付的违约金不足以弥补发包人损失的，承包人必须据实赔偿。</w:t>
      </w:r>
    </w:p>
    <w:p w14:paraId="27B1BD35">
      <w:pPr>
        <w:spacing w:line="360" w:lineRule="auto"/>
        <w:ind w:firstLine="424" w:firstLineChars="202"/>
        <w:rPr>
          <w:rFonts w:ascii="宋体" w:hAnsi="Arial"/>
          <w:kern w:val="0"/>
          <w:szCs w:val="20"/>
          <w:highlight w:val="none"/>
        </w:rPr>
      </w:pPr>
      <w:r>
        <w:rPr>
          <w:rFonts w:hint="eastAsia" w:ascii="宋体" w:hAnsi="Arial"/>
          <w:kern w:val="0"/>
          <w:szCs w:val="20"/>
          <w:highlight w:val="none"/>
        </w:rPr>
        <w:t>因发生生产安全事故、涉险事故或产生事故隐患，被媒体传播造成严重社会负面影响，或导致发包人及其上级单位被政府有关部门通报、约谈、批评或函告警示的，以及因施工不当被有关部门责令停工等情形对发包人造成严重不利影响的，承包人应支付违约金200万元/次。</w:t>
      </w:r>
    </w:p>
    <w:p w14:paraId="42AB7A19">
      <w:pPr>
        <w:spacing w:line="360" w:lineRule="auto"/>
        <w:ind w:firstLine="424" w:firstLineChars="202"/>
        <w:rPr>
          <w:rFonts w:ascii="宋体" w:hAnsi="Arial"/>
          <w:kern w:val="0"/>
          <w:szCs w:val="20"/>
          <w:highlight w:val="none"/>
        </w:rPr>
      </w:pPr>
      <w:r>
        <w:rPr>
          <w:rFonts w:hint="eastAsia" w:ascii="宋体" w:hAnsi="Arial"/>
          <w:kern w:val="0"/>
          <w:szCs w:val="20"/>
          <w:highlight w:val="none"/>
        </w:rPr>
        <w:t>承包人发生重大及以上生产安全事故，或发生 2 次较大 生产安全事故，或一年内发生 3 次生产安全事故，或出现本条前款情形的，发包人有权选择全部或部分解除合同。合同解除不免除承包人继续依法妥善处理已发生违约情形的责任。</w:t>
      </w:r>
    </w:p>
    <w:p w14:paraId="00765752">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8）承包人在施工作业通道的管理上达不到合同约定和发包人其他合理要求的，每次须向发包人支付人民币1000元作为违约金。</w:t>
      </w:r>
    </w:p>
    <w:p w14:paraId="56CC30BA">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9）施工期间，所有机械、工具、材料等应堆放整齐，场地平整，并按发包人和监理要求做好场地硬化施工、保持道路坚实畅通，及时清除余土及建筑垃圾并做到工完场清，否则承包人向发包人支付违约金2万元。工程建设中每个楼层的多余材料、建筑垃圾必须通过井架或垃圾槽运输到地面，严禁从高空直接向下抛物，所有安全文明施工防护措施标注必须符合发包人要求。否则，承包人每次向发包人支付违约金5000元。</w:t>
      </w:r>
    </w:p>
    <w:p w14:paraId="028D451C">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10）施工用设备及场地要求具体但包括不限于以下内容：</w:t>
      </w:r>
    </w:p>
    <w:p w14:paraId="4E8F8C88">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cs="Calibri" w:asciiTheme="minorEastAsia" w:hAnsiTheme="minorEastAsia" w:eastAsiaTheme="minorEastAsia"/>
          <w:kern w:val="0"/>
          <w:szCs w:val="20"/>
          <w:highlight w:val="none"/>
        </w:rPr>
        <w:t>①</w:t>
      </w:r>
      <w:r>
        <w:rPr>
          <w:rFonts w:hint="eastAsia" w:ascii="宋体" w:hAnsi="Arial"/>
          <w:kern w:val="0"/>
          <w:szCs w:val="20"/>
          <w:highlight w:val="none"/>
        </w:rPr>
        <w:t>对于发包人或监理下发的安全文明整改通知单，承包人必须无条件予以整改并达到发包人验收要求，否则按违约处理，发包人有权利在承包人应付工程款中直接扣除相应的违约金。</w:t>
      </w:r>
    </w:p>
    <w:p w14:paraId="791061B4">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cs="Calibri" w:asciiTheme="minorEastAsia" w:hAnsiTheme="minorEastAsia" w:eastAsiaTheme="minorEastAsia"/>
          <w:kern w:val="0"/>
          <w:szCs w:val="20"/>
          <w:highlight w:val="none"/>
        </w:rPr>
        <w:t>②</w:t>
      </w:r>
      <w:r>
        <w:rPr>
          <w:rFonts w:hint="eastAsia" w:ascii="宋体" w:hAnsi="Arial"/>
          <w:kern w:val="0"/>
          <w:szCs w:val="20"/>
          <w:highlight w:val="none"/>
        </w:rPr>
        <w:t>施工和生活照明用电线路乱接、乱拉、无插头，不符合要求的，发包人有权根据每处情节严重程度要求承包人支付违约金1000—3000元。</w:t>
      </w:r>
    </w:p>
    <w:p w14:paraId="30529EA1">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cs="Calibri" w:asciiTheme="minorEastAsia" w:hAnsiTheme="minorEastAsia" w:eastAsiaTheme="minorEastAsia"/>
          <w:kern w:val="0"/>
          <w:szCs w:val="20"/>
          <w:highlight w:val="none"/>
        </w:rPr>
        <w:t>③</w:t>
      </w:r>
      <w:r>
        <w:rPr>
          <w:rFonts w:hint="eastAsia" w:ascii="宋体" w:hAnsi="Arial"/>
          <w:kern w:val="0"/>
          <w:szCs w:val="20"/>
          <w:highlight w:val="none"/>
        </w:rPr>
        <w:t>承包人全体现场施工人员用餐必需到指定食堂或者划分的指定区域，发现违规者发包人有权根据情节严重程度要求承包人按每人每次100～500元标准支付违约金。</w:t>
      </w:r>
    </w:p>
    <w:p w14:paraId="1C3CB23C">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11）在施工现场发现有烟头的，每个烟头处罚500元，发包人有权要求承包人承担违约责任并按前述处罚金额标准支付违约金。</w:t>
      </w:r>
    </w:p>
    <w:p w14:paraId="5A630EC2">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22.1.9.5工程组织管理方面：</w:t>
      </w:r>
    </w:p>
    <w:p w14:paraId="167AA40E">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承包人违反本合同的约定，不服从发包人及监理人的管理，对发包人、监理人的指令和书面通知（具体形式包括但不限于设计变更通知、工程指令、现场签证、工程联系单、会议纪要等）公开或变相拒不执行的，发包人视情节严重程度有权要求承包人支付违约金人民币5000元至50000元，并由承包人承担由此造成的一切经济损失。情节特别严重的，发包人有权单方面部分解除合同或解除合同或有权将该部分工程另行委托第三方施工单位完成。如发包人将上述工程委托第三方施工单位施工的，承包人应按该部分工程双倍费用向发包人支付违约金 。</w:t>
      </w:r>
    </w:p>
    <w:p w14:paraId="0474DA59">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2）项目经理未经发包人同意不参加会议的，每人次须向发包人支付5000元违约金。</w:t>
      </w:r>
    </w:p>
    <w:p w14:paraId="3E5888D5">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3）如本合同工程出现施工进度、质量、投入不满足需要，严重影响施工现场推进或出现发包人认为必要的其他情形，发包人还有权视现场情况要求承包人法定代表人驻场办公，直至发包人同意退场为止，如承包人法定代表人不按要求驻场办公，承包人须向发包人支付1万元/天的违约金。</w:t>
      </w:r>
    </w:p>
    <w:p w14:paraId="53509D2A">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4）本合同实施期间，承包人必须在本工程现场派驻幕墙工程专业设计人员1人，以便于发包人、承包人及时沟通及协调，以保证承包人的深化设计（优化设计）成果文件能更好地体现发包人的建设意图；前述设计人员的资格资历需报发包人审批认可；合同签订完成后，承包人没有配置前述设计人员，承包人须向发包人支付2000元/天的违约金直至前述设计人员派驻现场为止。</w:t>
      </w:r>
    </w:p>
    <w:p w14:paraId="407BBDA2">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5）承包人不按本合同的有关约定投入现场组织管理人员、施工作业人员、施工机械设备，或者擅自变更资源投入计划或者擅自对已投入的资源进行调整的，承包人必须按照总监理工程师或者发包人的指令限期改正；承包人拒不限期改正的，发包人视情节严重程度有权要求承包人支付违约金人民币5000元（一般情况）或1万元（情节严重情况），并由承包人承担由此造成的一切经济损失。情节特别严重的，发包人有权单方面部分解除合同或解除合同。</w:t>
      </w:r>
    </w:p>
    <w:p w14:paraId="3C1A2E3C">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6）承包人出现违法分包情形的，发包人有权单方解除合同，同时承包人应向发包人承担不低于合同暂定总价</w:t>
      </w:r>
      <w:r>
        <w:rPr>
          <w:rFonts w:hint="eastAsia" w:ascii="宋体" w:hAnsi="Arial"/>
          <w:kern w:val="0"/>
          <w:szCs w:val="20"/>
          <w:highlight w:val="none"/>
          <w:lang w:val="en-US" w:eastAsia="zh-CN"/>
        </w:rPr>
        <w:t>10</w:t>
      </w:r>
      <w:r>
        <w:rPr>
          <w:rFonts w:hint="eastAsia" w:ascii="宋体" w:hAnsi="Arial"/>
          <w:kern w:val="0"/>
          <w:szCs w:val="20"/>
          <w:highlight w:val="none"/>
        </w:rPr>
        <w:t>%的违约金，如违约金不足以弥补发包人由此所遭受损失的，承包人还应承担继续赔偿的责任。</w:t>
      </w:r>
    </w:p>
    <w:p w14:paraId="00862A89">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7）</w:t>
      </w:r>
      <w:r>
        <w:rPr>
          <w:rFonts w:ascii="宋体" w:hAnsi="Arial"/>
          <w:kern w:val="0"/>
          <w:szCs w:val="20"/>
          <w:highlight w:val="none"/>
        </w:rPr>
        <w:t>承包人应在工程指令、设计变更内容完成后</w:t>
      </w:r>
      <w:r>
        <w:rPr>
          <w:rFonts w:hint="eastAsia" w:ascii="宋体" w:hAnsi="Arial"/>
          <w:kern w:val="0"/>
          <w:szCs w:val="20"/>
          <w:highlight w:val="none"/>
        </w:rPr>
        <w:t>10</w:t>
      </w:r>
      <w:r>
        <w:rPr>
          <w:rFonts w:ascii="宋体" w:hAnsi="Arial"/>
          <w:kern w:val="0"/>
          <w:szCs w:val="20"/>
          <w:highlight w:val="none"/>
        </w:rPr>
        <w:t>工作日内将签证报监理及发包人，承包人每延迟1日，按该项签证结算造价的2%承担违约</w:t>
      </w:r>
      <w:r>
        <w:rPr>
          <w:rFonts w:hint="eastAsia" w:ascii="宋体" w:hAnsi="Arial"/>
          <w:kern w:val="0"/>
          <w:szCs w:val="20"/>
          <w:highlight w:val="none"/>
        </w:rPr>
        <w:t>责任</w:t>
      </w:r>
      <w:r>
        <w:rPr>
          <w:rFonts w:ascii="宋体" w:hAnsi="Arial"/>
          <w:kern w:val="0"/>
          <w:szCs w:val="20"/>
          <w:highlight w:val="none"/>
        </w:rPr>
        <w:t>，扣完为止。</w:t>
      </w:r>
    </w:p>
    <w:p w14:paraId="50C1AF7D">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8）</w:t>
      </w:r>
      <w:r>
        <w:rPr>
          <w:rFonts w:ascii="宋体" w:hAnsi="Arial"/>
          <w:kern w:val="0"/>
          <w:szCs w:val="20"/>
          <w:highlight w:val="none"/>
        </w:rPr>
        <w:t>按照合同专用条款16.3进行不平衡报价修订，承包人须无条件配合并按修订后价格履约。若承包人拒不按修订后价格履约的，应按不平衡报价修订前与修订后合同价款差额绝对值的2倍向发包人支付违约金。</w:t>
      </w:r>
    </w:p>
    <w:p w14:paraId="76A0F0B6">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9</w:t>
      </w:r>
      <w:r>
        <w:rPr>
          <w:rFonts w:ascii="宋体" w:hAnsi="Arial"/>
          <w:kern w:val="0"/>
          <w:szCs w:val="20"/>
          <w:highlight w:val="none"/>
        </w:rPr>
        <w:t>）承包人在结算期间，不按照发包人要求的时间或期限与发包人对数的，或者经过双方共同对数但承包人不签字确认对数结果的，或者推翻经过双方共同确认的对数成果的，发包人办理结算的时间向后顺延，期间不支付剩余工程款，由承包人承担结算延误的违约责任，每发生一次承包人向发包人支付违约金5000元。</w:t>
      </w:r>
    </w:p>
    <w:p w14:paraId="2A50EBB7">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ascii="宋体" w:hAnsi="Arial"/>
          <w:kern w:val="0"/>
          <w:szCs w:val="20"/>
          <w:highlight w:val="none"/>
        </w:rPr>
        <w:t>1</w:t>
      </w:r>
      <w:r>
        <w:rPr>
          <w:rFonts w:hint="eastAsia" w:ascii="宋体" w:hAnsi="Arial"/>
          <w:kern w:val="0"/>
          <w:szCs w:val="20"/>
          <w:highlight w:val="none"/>
        </w:rPr>
        <w:t>0</w:t>
      </w:r>
      <w:r>
        <w:rPr>
          <w:rFonts w:ascii="宋体" w:hAnsi="Arial"/>
          <w:kern w:val="0"/>
          <w:szCs w:val="20"/>
          <w:highlight w:val="none"/>
        </w:rPr>
        <w:t>）承包人拒不配合分段结算、过程结算、竣工结算的，发包人有权进行单面结算或委托第三方中介机构结算。结算结果送达承包人后15天内承包人未向发包人反馈结算书面确认信息的，视为承包人已默认并同意结算结果。该等情形下，承包人需向发包人支付本合同暂定价款2%的结算编制费用，同时应向发包人按本合同暂定价款款0.5%支付违约金，且发包人有权在应付承包人的工程款中直接扣留该款项。</w:t>
      </w:r>
    </w:p>
    <w:p w14:paraId="6B2FF8DC">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11）</w:t>
      </w:r>
      <w:r>
        <w:rPr>
          <w:rFonts w:ascii="宋体" w:hAnsi="Arial"/>
          <w:kern w:val="0"/>
          <w:szCs w:val="20"/>
          <w:highlight w:val="none"/>
        </w:rPr>
        <w:t>施工队伍撤离的时间为整体工程竣工验收通过后</w:t>
      </w:r>
      <w:r>
        <w:rPr>
          <w:rFonts w:hint="eastAsia" w:ascii="宋体" w:hAnsi="Arial"/>
          <w:kern w:val="0"/>
          <w:szCs w:val="20"/>
          <w:highlight w:val="none"/>
        </w:rPr>
        <w:t>15</w:t>
      </w:r>
      <w:r>
        <w:rPr>
          <w:rFonts w:ascii="宋体" w:hAnsi="Arial"/>
          <w:kern w:val="0"/>
          <w:szCs w:val="20"/>
          <w:highlight w:val="none"/>
        </w:rPr>
        <w:t>天内。每迟延一天，承包人应向发包人支付人民币</w:t>
      </w:r>
      <w:r>
        <w:rPr>
          <w:rFonts w:hint="eastAsia" w:ascii="宋体" w:hAnsi="Arial"/>
          <w:kern w:val="0"/>
          <w:szCs w:val="20"/>
          <w:highlight w:val="none"/>
        </w:rPr>
        <w:t>2</w:t>
      </w:r>
      <w:r>
        <w:rPr>
          <w:rFonts w:ascii="宋体" w:hAnsi="Arial"/>
          <w:kern w:val="0"/>
          <w:szCs w:val="20"/>
          <w:highlight w:val="none"/>
        </w:rPr>
        <w:t>万元违约金。</w:t>
      </w:r>
    </w:p>
    <w:p w14:paraId="271A5561">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12）</w:t>
      </w:r>
      <w:r>
        <w:rPr>
          <w:rFonts w:ascii="宋体" w:hAnsi="Arial"/>
          <w:kern w:val="0"/>
          <w:szCs w:val="20"/>
          <w:highlight w:val="none"/>
        </w:rPr>
        <w:t>承包人不得因与发包人的工程款纠纷、其他纠纷或其他任何原因占据现场，拒绝撤离，否则按照迟延撤离承担违约责任。</w:t>
      </w:r>
    </w:p>
    <w:p w14:paraId="391DD548">
      <w:pPr>
        <w:numPr>
          <w:ilvl w:val="2"/>
          <w:numId w:val="0"/>
        </w:numPr>
        <w:adjustRightInd w:val="0"/>
        <w:snapToGrid w:val="0"/>
        <w:spacing w:line="360" w:lineRule="auto"/>
        <w:jc w:val="left"/>
        <w:outlineLvl w:val="2"/>
        <w:rPr>
          <w:rFonts w:ascii="宋体" w:hAnsi="Arial"/>
          <w:kern w:val="0"/>
          <w:szCs w:val="20"/>
          <w:highlight w:val="none"/>
        </w:rPr>
      </w:pPr>
      <w:r>
        <w:rPr>
          <w:rFonts w:hint="eastAsia" w:ascii="宋体" w:hAnsi="Arial"/>
          <w:kern w:val="0"/>
          <w:szCs w:val="20"/>
          <w:highlight w:val="none"/>
        </w:rPr>
        <w:t>22.1.9.6图纸深化及施工样板管理方面：</w:t>
      </w:r>
    </w:p>
    <w:p w14:paraId="7EAD0D90">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1）深化图纸应在与发包人约定时间内提供。超过约定期限，每延迟一天，应向发包人支付违约金2000元。</w:t>
      </w:r>
    </w:p>
    <w:p w14:paraId="6682BB0C">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发包人发现深化图纸深度不足并书面提出要求加强图纸深度，承包人应在收到通知7个日历天内提供满发包人足要求的图纸，每延迟一天，应向发包人支付违约金2000元；若修改后的设计文件仍未能达到发包人要求，承包人须继续修改至达到按发包人要求，并向发包人支付5000元违约金。</w:t>
      </w:r>
    </w:p>
    <w:p w14:paraId="65628DE1">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3）若因深化图自身错误、图纸深度不足（包括但不限于缺图，图纸索引不清晰等原因）而引起的变更及签证，承包人应负责整改图纸及现场，每发生一处，应向发包人支付违约金10000元。</w:t>
      </w:r>
    </w:p>
    <w:p w14:paraId="51443E83">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4）施工样板应在与发包人约定时间内提供。超过约定期限，每延迟一天，应向发包人支付违约金2000元。</w:t>
      </w:r>
    </w:p>
    <w:p w14:paraId="5D69582D">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22.1.9.7</w:t>
      </w:r>
      <w:r>
        <w:rPr>
          <w:rFonts w:hint="eastAsia"/>
          <w:color w:val="auto"/>
          <w:highlight w:val="none"/>
        </w:rPr>
        <w:t>工</w:t>
      </w:r>
      <w:r>
        <w:rPr>
          <w:rFonts w:hint="eastAsia"/>
          <w:color w:val="auto"/>
          <w:highlight w:val="none"/>
          <w:lang w:val="en-US" w:eastAsia="zh-CN"/>
        </w:rPr>
        <w:t>程款（含工人工资）</w:t>
      </w:r>
      <w:r>
        <w:rPr>
          <w:rFonts w:hint="eastAsia" w:ascii="宋体" w:hAnsi="Arial"/>
          <w:kern w:val="0"/>
          <w:szCs w:val="20"/>
          <w:highlight w:val="none"/>
        </w:rPr>
        <w:t>管理方面：</w:t>
      </w:r>
    </w:p>
    <w:p w14:paraId="4A80DBBB">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凡是承包人不按合同及有关规定按时足额支付相关款项（包括但不限于施工人员工资、分包单位合同价款、设备材料采购货款、劳务费、安全责任事故赔偿等）的，承包人应在发包人要求的时间内予以处理的，如承包人不予处理，可能或者已经影响工程进度或工程正常运行，或出于维稳需要，发包人有权直接向工程相关第三方支付，并从承包人的工程款中直接扣减，承包人无条件认可发包人垫付的金额，并须向发包人支付垫付金额20%或5000元/次的违约金或以垫付金额为基数计收利息（自垫付之日起，承包人应按全国银行间同业拆借中心公布的贷款市场报价利率（一年期 LPR）的4倍），违约金</w:t>
      </w:r>
      <w:r>
        <w:rPr>
          <w:rFonts w:ascii="宋体" w:hAnsi="Arial"/>
          <w:kern w:val="0"/>
          <w:szCs w:val="20"/>
          <w:highlight w:val="none"/>
        </w:rPr>
        <w:t>、利息</w:t>
      </w:r>
      <w:r>
        <w:rPr>
          <w:rFonts w:hint="eastAsia" w:ascii="宋体" w:hAnsi="Arial"/>
          <w:kern w:val="0"/>
          <w:szCs w:val="20"/>
          <w:highlight w:val="none"/>
        </w:rPr>
        <w:t>按三者中较高者为准。如承包人剩余的款项不足以支付发包人所垫付的工资和相应的违约金\利息（按全国银行间同业拆借中心公布的贷款市场报价利率（一年期LPR）的4 倍计）或损失的，应以承包人财产承担，发包人可按照农民工签字确认的拖欠工资总额，直接向法院申请对承包人的财产包括房产、汽车、现金、银行账户及其他资产等采取冻结、扣押、强制划拨、先予执行、先行给付等法律手段予以抵偿。</w:t>
      </w:r>
    </w:p>
    <w:p w14:paraId="6712F3D5">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2）如果因承包人延迟或推迟支付工人工资导致本工程发生下列事件：</w:t>
      </w:r>
    </w:p>
    <w:p w14:paraId="7F694DBB">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cs="Calibri"/>
          <w:kern w:val="0"/>
          <w:szCs w:val="20"/>
          <w:highlight w:val="none"/>
        </w:rPr>
        <w:fldChar w:fldCharType="begin"/>
      </w:r>
      <w:r>
        <w:rPr>
          <w:rFonts w:cs="Calibri"/>
          <w:kern w:val="0"/>
          <w:szCs w:val="20"/>
          <w:highlight w:val="none"/>
        </w:rPr>
        <w:instrText xml:space="preserve"> = 1 \* GB3 \* MERGEFORMAT </w:instrText>
      </w:r>
      <w:r>
        <w:rPr>
          <w:rFonts w:cs="Calibri"/>
          <w:kern w:val="0"/>
          <w:szCs w:val="20"/>
          <w:highlight w:val="none"/>
        </w:rPr>
        <w:fldChar w:fldCharType="separate"/>
      </w:r>
      <w:r>
        <w:rPr>
          <w:rFonts w:hint="eastAsia" w:ascii="宋体" w:hAnsi="宋体" w:cs="宋体"/>
          <w:kern w:val="0"/>
          <w:szCs w:val="20"/>
          <w:highlight w:val="none"/>
        </w:rPr>
        <w:t>①</w:t>
      </w:r>
      <w:r>
        <w:rPr>
          <w:rFonts w:cs="Calibri"/>
          <w:kern w:val="0"/>
          <w:szCs w:val="20"/>
          <w:highlight w:val="none"/>
        </w:rPr>
        <w:fldChar w:fldCharType="end"/>
      </w:r>
      <w:r>
        <w:rPr>
          <w:rFonts w:hint="eastAsia" w:ascii="宋体" w:hAnsi="Arial"/>
          <w:kern w:val="0"/>
          <w:szCs w:val="20"/>
          <w:highlight w:val="none"/>
        </w:rPr>
        <w:t>承包人的工人直接向发包人要求支付工人工资的；</w:t>
      </w:r>
    </w:p>
    <w:p w14:paraId="599C2518">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cs="Calibri"/>
          <w:kern w:val="0"/>
          <w:szCs w:val="20"/>
          <w:highlight w:val="none"/>
        </w:rPr>
        <w:fldChar w:fldCharType="begin"/>
      </w:r>
      <w:r>
        <w:rPr>
          <w:rFonts w:cs="Calibri"/>
          <w:kern w:val="0"/>
          <w:szCs w:val="20"/>
          <w:highlight w:val="none"/>
        </w:rPr>
        <w:instrText xml:space="preserve"> = 2 \* GB3 \* MERGEFORMAT </w:instrText>
      </w:r>
      <w:r>
        <w:rPr>
          <w:rFonts w:cs="Calibri"/>
          <w:kern w:val="0"/>
          <w:szCs w:val="20"/>
          <w:highlight w:val="none"/>
        </w:rPr>
        <w:fldChar w:fldCharType="separate"/>
      </w:r>
      <w:r>
        <w:rPr>
          <w:rFonts w:hint="eastAsia" w:ascii="宋体" w:hAnsi="宋体" w:cs="宋体"/>
          <w:kern w:val="0"/>
          <w:szCs w:val="20"/>
          <w:highlight w:val="none"/>
        </w:rPr>
        <w:t>②</w:t>
      </w:r>
      <w:r>
        <w:rPr>
          <w:rFonts w:cs="Calibri"/>
          <w:kern w:val="0"/>
          <w:szCs w:val="20"/>
          <w:highlight w:val="none"/>
        </w:rPr>
        <w:fldChar w:fldCharType="end"/>
      </w:r>
      <w:r>
        <w:rPr>
          <w:rFonts w:hint="eastAsia" w:ascii="宋体" w:hAnsi="Arial"/>
          <w:kern w:val="0"/>
          <w:szCs w:val="20"/>
          <w:highlight w:val="none"/>
        </w:rPr>
        <w:t>承包人在本工程被媒体披露欠薪的情况；</w:t>
      </w:r>
    </w:p>
    <w:p w14:paraId="2FD9A7EA">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cs="Calibri"/>
          <w:kern w:val="0"/>
          <w:szCs w:val="20"/>
          <w:highlight w:val="none"/>
        </w:rPr>
        <w:fldChar w:fldCharType="begin"/>
      </w:r>
      <w:r>
        <w:rPr>
          <w:rFonts w:cs="Calibri"/>
          <w:kern w:val="0"/>
          <w:szCs w:val="20"/>
          <w:highlight w:val="none"/>
        </w:rPr>
        <w:instrText xml:space="preserve"> = 3 \* GB3 \* MERGEFORMAT </w:instrText>
      </w:r>
      <w:r>
        <w:rPr>
          <w:rFonts w:cs="Calibri"/>
          <w:kern w:val="0"/>
          <w:szCs w:val="20"/>
          <w:highlight w:val="none"/>
        </w:rPr>
        <w:fldChar w:fldCharType="separate"/>
      </w:r>
      <w:r>
        <w:rPr>
          <w:rFonts w:hint="eastAsia" w:ascii="宋体" w:hAnsi="宋体" w:cs="宋体"/>
          <w:kern w:val="0"/>
          <w:szCs w:val="20"/>
          <w:highlight w:val="none"/>
        </w:rPr>
        <w:t>③</w:t>
      </w:r>
      <w:r>
        <w:rPr>
          <w:rFonts w:cs="Calibri"/>
          <w:kern w:val="0"/>
          <w:szCs w:val="20"/>
          <w:highlight w:val="none"/>
        </w:rPr>
        <w:fldChar w:fldCharType="end"/>
      </w:r>
      <w:r>
        <w:rPr>
          <w:rFonts w:hint="eastAsia" w:ascii="宋体" w:hAnsi="Arial"/>
          <w:kern w:val="0"/>
          <w:szCs w:val="20"/>
          <w:highlight w:val="none"/>
        </w:rPr>
        <w:t>发生工人因欠薪而有组织的上访；</w:t>
      </w:r>
    </w:p>
    <w:p w14:paraId="3734E31C">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宋体" w:cs="宋体"/>
          <w:kern w:val="0"/>
          <w:szCs w:val="20"/>
          <w:highlight w:val="none"/>
        </w:rPr>
        <w:fldChar w:fldCharType="begin"/>
      </w:r>
      <w:r>
        <w:rPr>
          <w:rFonts w:hint="eastAsia" w:ascii="宋体" w:hAnsi="宋体" w:cs="宋体"/>
          <w:kern w:val="0"/>
          <w:szCs w:val="20"/>
          <w:highlight w:val="none"/>
        </w:rPr>
        <w:instrText xml:space="preserve"> = 4 \* GB3 \* MERGEFORMAT </w:instrText>
      </w:r>
      <w:r>
        <w:rPr>
          <w:rFonts w:hint="eastAsia" w:ascii="宋体" w:hAnsi="宋体" w:cs="宋体"/>
          <w:kern w:val="0"/>
          <w:szCs w:val="20"/>
          <w:highlight w:val="none"/>
        </w:rPr>
        <w:fldChar w:fldCharType="separate"/>
      </w:r>
      <w:r>
        <w:rPr>
          <w:rFonts w:hint="eastAsia" w:ascii="宋体" w:hAnsi="宋体" w:cs="宋体"/>
          <w:kern w:val="0"/>
          <w:szCs w:val="20"/>
          <w:highlight w:val="none"/>
        </w:rPr>
        <w:t>④</w:t>
      </w:r>
      <w:r>
        <w:rPr>
          <w:rFonts w:hint="eastAsia" w:ascii="宋体" w:hAnsi="宋体" w:cs="宋体"/>
          <w:kern w:val="0"/>
          <w:szCs w:val="20"/>
          <w:highlight w:val="none"/>
        </w:rPr>
        <w:fldChar w:fldCharType="end"/>
      </w:r>
      <w:r>
        <w:rPr>
          <w:rFonts w:hint="eastAsia" w:ascii="宋体" w:hAnsi="Arial"/>
          <w:kern w:val="0"/>
          <w:szCs w:val="20"/>
          <w:highlight w:val="none"/>
        </w:rPr>
        <w:t>工人因欠薪而引起的有组织的集会以及其他事件，尤其是对发包人的经营、工程进展产生影响的事件。</w:t>
      </w:r>
    </w:p>
    <w:p w14:paraId="5CDAD2A7">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以上事件每发生一次，承包人不仅须限期支付处理该事件的费用，还应按如下约定向发包人承担违约责任：</w:t>
      </w:r>
    </w:p>
    <w:p w14:paraId="776B620B">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cs="Calibri"/>
          <w:kern w:val="0"/>
          <w:szCs w:val="20"/>
          <w:highlight w:val="none"/>
        </w:rPr>
        <w:fldChar w:fldCharType="begin"/>
      </w:r>
      <w:r>
        <w:rPr>
          <w:rFonts w:cs="Calibri"/>
          <w:kern w:val="0"/>
          <w:szCs w:val="20"/>
          <w:highlight w:val="none"/>
        </w:rPr>
        <w:instrText xml:space="preserve"> = 1 \* GB3 \* MERGEFORMAT </w:instrText>
      </w:r>
      <w:r>
        <w:rPr>
          <w:rFonts w:cs="Calibri"/>
          <w:kern w:val="0"/>
          <w:szCs w:val="20"/>
          <w:highlight w:val="none"/>
        </w:rPr>
        <w:fldChar w:fldCharType="separate"/>
      </w:r>
      <w:r>
        <w:rPr>
          <w:rFonts w:hint="eastAsia" w:ascii="宋体" w:hAnsi="宋体" w:cs="宋体"/>
          <w:kern w:val="0"/>
          <w:szCs w:val="20"/>
          <w:highlight w:val="none"/>
        </w:rPr>
        <w:t>①</w:t>
      </w:r>
      <w:r>
        <w:rPr>
          <w:rFonts w:cs="Calibri"/>
          <w:kern w:val="0"/>
          <w:szCs w:val="20"/>
          <w:highlight w:val="none"/>
        </w:rPr>
        <w:fldChar w:fldCharType="end"/>
      </w:r>
      <w:r>
        <w:rPr>
          <w:rFonts w:hint="eastAsia" w:ascii="宋体" w:hAnsi="Arial"/>
          <w:kern w:val="0"/>
          <w:szCs w:val="20"/>
          <w:highlight w:val="none"/>
        </w:rPr>
        <w:t>应向发包人支付违约金人民币100万元；</w:t>
      </w:r>
    </w:p>
    <w:p w14:paraId="4F342953">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cs="Calibri"/>
          <w:kern w:val="0"/>
          <w:szCs w:val="20"/>
          <w:highlight w:val="none"/>
        </w:rPr>
        <w:fldChar w:fldCharType="begin"/>
      </w:r>
      <w:r>
        <w:rPr>
          <w:rFonts w:cs="Calibri"/>
          <w:kern w:val="0"/>
          <w:szCs w:val="20"/>
          <w:highlight w:val="none"/>
        </w:rPr>
        <w:instrText xml:space="preserve"> = 2 \* GB3 \* MERGEFORMAT </w:instrText>
      </w:r>
      <w:r>
        <w:rPr>
          <w:rFonts w:cs="Calibri"/>
          <w:kern w:val="0"/>
          <w:szCs w:val="20"/>
          <w:highlight w:val="none"/>
        </w:rPr>
        <w:fldChar w:fldCharType="separate"/>
      </w:r>
      <w:r>
        <w:rPr>
          <w:rFonts w:hint="eastAsia" w:ascii="宋体" w:hAnsi="宋体" w:cs="宋体"/>
          <w:kern w:val="0"/>
          <w:szCs w:val="20"/>
          <w:highlight w:val="none"/>
        </w:rPr>
        <w:t>②</w:t>
      </w:r>
      <w:r>
        <w:rPr>
          <w:rFonts w:cs="Calibri"/>
          <w:kern w:val="0"/>
          <w:szCs w:val="20"/>
          <w:highlight w:val="none"/>
        </w:rPr>
        <w:fldChar w:fldCharType="end"/>
      </w:r>
      <w:r>
        <w:rPr>
          <w:rFonts w:hint="eastAsia" w:ascii="宋体" w:hAnsi="Arial"/>
          <w:kern w:val="0"/>
          <w:szCs w:val="20"/>
          <w:highlight w:val="none"/>
        </w:rPr>
        <w:t>赔偿发包人因此产生的所有损失，包括但不限于发包人向第三方赔付的款项；</w:t>
      </w:r>
    </w:p>
    <w:p w14:paraId="201E5A68">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cs="Calibri"/>
          <w:kern w:val="0"/>
          <w:szCs w:val="20"/>
          <w:highlight w:val="none"/>
        </w:rPr>
        <w:fldChar w:fldCharType="begin"/>
      </w:r>
      <w:r>
        <w:rPr>
          <w:rFonts w:cs="Calibri"/>
          <w:kern w:val="0"/>
          <w:szCs w:val="20"/>
          <w:highlight w:val="none"/>
        </w:rPr>
        <w:instrText xml:space="preserve"> = 3 \* GB3 \* MERGEFORMAT </w:instrText>
      </w:r>
      <w:r>
        <w:rPr>
          <w:rFonts w:cs="Calibri"/>
          <w:kern w:val="0"/>
          <w:szCs w:val="20"/>
          <w:highlight w:val="none"/>
        </w:rPr>
        <w:fldChar w:fldCharType="separate"/>
      </w:r>
      <w:r>
        <w:rPr>
          <w:rFonts w:hint="eastAsia" w:ascii="宋体" w:hAnsi="宋体" w:cs="宋体"/>
          <w:kern w:val="0"/>
          <w:szCs w:val="20"/>
          <w:highlight w:val="none"/>
        </w:rPr>
        <w:t>③</w:t>
      </w:r>
      <w:r>
        <w:rPr>
          <w:rFonts w:cs="Calibri"/>
          <w:kern w:val="0"/>
          <w:szCs w:val="20"/>
          <w:highlight w:val="none"/>
        </w:rPr>
        <w:fldChar w:fldCharType="end"/>
      </w:r>
      <w:r>
        <w:rPr>
          <w:rFonts w:hint="eastAsia" w:ascii="宋体" w:hAnsi="Arial"/>
          <w:kern w:val="0"/>
          <w:szCs w:val="20"/>
          <w:highlight w:val="none"/>
        </w:rPr>
        <w:t>发包人有权解除合同。</w:t>
      </w:r>
    </w:p>
    <w:p w14:paraId="5A46BB8D">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3</w:t>
      </w:r>
      <w:r>
        <w:rPr>
          <w:rFonts w:ascii="宋体" w:hAnsi="Arial"/>
          <w:kern w:val="0"/>
          <w:szCs w:val="20"/>
          <w:highlight w:val="none"/>
        </w:rPr>
        <w:t>）结算过程中，承包人发生农民工讨薪事件，致使发包人为承包人垫付民工工资的，除发包人在承包人的结算款中扣除代付的民工工资外，承包人须向发包人承担结算特别违约责任，按照发包人所垫付的民工工资4倍向发包人支付违约金。</w:t>
      </w:r>
    </w:p>
    <w:p w14:paraId="6C27EF54">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22.1.9.8材料及设备管理方面：</w:t>
      </w:r>
    </w:p>
    <w:p w14:paraId="4EA738E1">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若承包人将假冒伪劣材料设备用于本工程，则每发生一例，发包人有权要求承包人承担相当于该批材料价款2倍的违约金，该款项直接从工程进度款及工程结算款中扣除，无需经承包人同意。承包人并应无条件负责修复、拆除并将所购材料设备退场，并承担由此产生的一切费用及责任，由此延误的工期由承包人承担责任。</w:t>
      </w:r>
    </w:p>
    <w:p w14:paraId="6E29CA74">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2）承包人不得自行采购甲供材料设备或私自转卖、替换甲供材料设备，否则，承包人承担该批材料设备采购金额2倍的违约金。</w:t>
      </w:r>
    </w:p>
    <w:p w14:paraId="0BE7B6C8">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3）承包人提供的施工设备或临时设施不得低于承包人投标文件中明确的数量、规格及投入时间等承诺标准；如投标承诺中提供的施工设备或临时设施无法满足按约定的时间、质量标准等完成本合同工程的要求，承包人应自行增加、完善投入的施工设备和临时设施；如发包人认为承包人投入的施工设备或临时设施不足，已影响到工程进度、安全、质量，发包人有权要求承包人在48小时内增加及完善投入的施工设备和临时设施，否则承包人每次须向发包人承担一般违约责任，增加及完善投入的施工设备和临时设施相关费用由承包人承担，发包人不再另行支付。</w:t>
      </w:r>
    </w:p>
    <w:p w14:paraId="7E24EAB7">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4）承包人不得以任何理由变相减少施工组织中规定的施工设备，否则经发包人和监理人确认，视为承包人违约，违约金规定如下：主要设备10000元/台/天；一般设备5000元/台/天。</w:t>
      </w:r>
    </w:p>
    <w:p w14:paraId="032E4608">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5）承包人未经监理人批准，不得私自将已按合同约定进入施工场地的施工设备、临时设施或材料撤离施工场地；否则承包人应承担一般违约责任，并限期将私自撤离的施工设备、临时设施或材料重新进场。</w:t>
      </w:r>
    </w:p>
    <w:p w14:paraId="2C15C32E">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22.1.9.9 本合同因承包人的原因解除的，承包人应向发包人支付合同暂定总价</w:t>
      </w:r>
      <w:r>
        <w:rPr>
          <w:rFonts w:hint="eastAsia" w:ascii="宋体" w:hAnsi="Arial"/>
          <w:kern w:val="0"/>
          <w:szCs w:val="20"/>
          <w:highlight w:val="none"/>
          <w:lang w:val="en-US" w:eastAsia="zh-CN"/>
        </w:rPr>
        <w:t>10</w:t>
      </w:r>
      <w:r>
        <w:rPr>
          <w:rFonts w:hint="eastAsia" w:ascii="宋体" w:hAnsi="Arial"/>
          <w:kern w:val="0"/>
          <w:szCs w:val="20"/>
          <w:highlight w:val="none"/>
        </w:rPr>
        <w:t>%的违约金，发包人有权从结算款中直接扣除上述违约金。如上述违约金不足以弥补发包人由此所遭受损失的，承包人还应承担继续赔偿的责任。</w:t>
      </w:r>
    </w:p>
    <w:p w14:paraId="00772CA9">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22.1.9.10除本</w:t>
      </w:r>
      <w:r>
        <w:rPr>
          <w:rFonts w:hint="eastAsia" w:ascii="宋体" w:hAnsi="宋体"/>
          <w:snapToGrid w:val="0"/>
          <w:kern w:val="0"/>
          <w:szCs w:val="20"/>
          <w:highlight w:val="none"/>
        </w:rPr>
        <w:t>合同</w:t>
      </w:r>
      <w:r>
        <w:rPr>
          <w:rFonts w:hint="eastAsia" w:ascii="宋体" w:hAnsi="Arial"/>
          <w:kern w:val="0"/>
          <w:szCs w:val="20"/>
          <w:highlight w:val="none"/>
        </w:rPr>
        <w:t>另有约定外，承包人违约造成发包人损失的，除应支付本合同约定的违约金外，还应赔偿发包人的损失，承包人承担违约赔偿责任的范围包括但不限于发包人的直接经济损失、间接损失、仲裁、诉讼或与之有关的一切费用，包括但不限于诉讼费、仲裁费、律师费、执行费、公证费、交通费、 咨询费、鉴定费、保全费、财产保全保险费、银行账户被冻结的损失，以及工程项目延误的损失、资金占用损失、重新组织招标的损失和其他开支等。</w:t>
      </w:r>
    </w:p>
    <w:p w14:paraId="19F581A5">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22.1.9.11 在出现以下情况时，发包人有权拒绝承包人参与发包人后续招标项目的投标：</w:t>
      </w:r>
    </w:p>
    <w:p w14:paraId="0A102DA6">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（1）承包人因过错行为被生效法律文书认定承担违约或侵权责任的；</w:t>
      </w:r>
    </w:p>
    <w:p w14:paraId="7FF071AB">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（2）承包人就其与发包人之间的争议问题向人民法院提起诉讼或向仲裁机构提请仲裁，且该诉讼或仲裁案件尚未审理终结的；</w:t>
      </w:r>
    </w:p>
    <w:p w14:paraId="1E1F628B">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（3）承包人不按合同及有关规定按时、足额支付分包人合同价款及工人工资被投诉，经发包人查证属实的，或因此致使工人集体上访、集聚围阻而造成社会不良影响的；</w:t>
      </w:r>
    </w:p>
    <w:p w14:paraId="412D9EEE">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4）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14:paraId="1F1F3BD5">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（5）发包人无法接受的承包人严重违约行为。</w:t>
      </w:r>
    </w:p>
    <w:p w14:paraId="53DB83AC">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22.1.9.12 若因</w:t>
      </w:r>
      <w:r>
        <w:rPr>
          <w:rFonts w:hint="eastAsia" w:ascii="宋体" w:hAnsi="宋体"/>
          <w:snapToGrid w:val="0"/>
          <w:kern w:val="0"/>
          <w:szCs w:val="20"/>
          <w:highlight w:val="none"/>
        </w:rPr>
        <w:t>承包人</w:t>
      </w:r>
      <w:r>
        <w:rPr>
          <w:rFonts w:hint="eastAsia" w:ascii="宋体" w:hAnsi="Arial"/>
          <w:kern w:val="0"/>
          <w:szCs w:val="20"/>
          <w:highlight w:val="none"/>
        </w:rPr>
        <w:t>原因使得发包人为其垫付有关费用的，自垫付之日起，承包人应按全国银行间同业拆借中心公布的贷款市场报价利率（ 一年期 LPR）的4倍向发包人支付利息，直至垫付费用及利息被发包人在剩余应支付的进度款或结算款中抵扣完毕或承包人直接向发包人偿还该垫付费用及利息为止。同时，除本合同另有约定外，每发生一次垫付行为，发包人有权要求承包人按垫付金额的</w:t>
      </w:r>
      <w:r>
        <w:rPr>
          <w:rFonts w:hint="eastAsia" w:ascii="宋体" w:hAnsi="Arial"/>
          <w:kern w:val="0"/>
          <w:szCs w:val="20"/>
          <w:highlight w:val="none"/>
          <w:lang w:val="en-US" w:eastAsia="zh-CN"/>
        </w:rPr>
        <w:t>20</w:t>
      </w:r>
      <w:r>
        <w:rPr>
          <w:rFonts w:hint="eastAsia" w:ascii="宋体" w:hAnsi="Arial"/>
          <w:kern w:val="0"/>
          <w:szCs w:val="20"/>
          <w:highlight w:val="none"/>
        </w:rPr>
        <w:t>％向发包人支付违约金。</w:t>
      </w:r>
    </w:p>
    <w:p w14:paraId="00A2BFFE">
      <w:pPr>
        <w:spacing w:line="360" w:lineRule="auto"/>
        <w:ind w:firstLine="420" w:firstLineChars="200"/>
        <w:rPr>
          <w:rFonts w:ascii="Times New Roman" w:hAnsi="Times New Roman"/>
          <w:szCs w:val="24"/>
          <w:highlight w:val="none"/>
        </w:rPr>
      </w:pPr>
      <w:r>
        <w:rPr>
          <w:rFonts w:ascii="Times New Roman" w:hAnsi="Times New Roman"/>
          <w:szCs w:val="24"/>
          <w:highlight w:val="none"/>
        </w:rPr>
        <w:t>本</w:t>
      </w:r>
      <w:r>
        <w:rPr>
          <w:rFonts w:hint="eastAsia" w:ascii="Times New Roman" w:hAnsi="Times New Roman"/>
          <w:szCs w:val="24"/>
          <w:highlight w:val="none"/>
        </w:rPr>
        <w:t>合同约定承包人应向发包人支付的任何款项， 发包人均可从应付承包人的合同款项中直接扣除， 包括但不限于发包人有权从未付工程款或履约担保中直接扣除承包人应承担的违约金、 赔偿金或其他费用。</w:t>
      </w:r>
    </w:p>
    <w:p w14:paraId="76D53833">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22.1.9.13 承包人发生重大诉讼或仲裁、经营状况严重恶化、资质吊销或降级、重大不利报道、银行账户被冻结及其他对本合同继续履行构成重大不利情形，或进入破产、重整、解散或清算程序的，或者因承包人自身债务问题造成发包人被法院要求协助诉讼保全、协助执行（法院的法律文书形式包括但不限于协助执行通知、履行到期债务通知等协助执行函件），承包人在发包人通知后14日内不能妥善解决的，发包人有权通知承包人解除本合同，承包人应按暂定合同总价的</w:t>
      </w:r>
      <w:r>
        <w:rPr>
          <w:rFonts w:hint="eastAsia" w:ascii="宋体" w:hAnsi="Arial"/>
          <w:kern w:val="0"/>
          <w:szCs w:val="20"/>
          <w:highlight w:val="none"/>
          <w:lang w:val="en-US" w:eastAsia="zh-CN"/>
        </w:rPr>
        <w:t>10</w:t>
      </w:r>
      <w:r>
        <w:rPr>
          <w:rFonts w:hint="eastAsia" w:ascii="宋体" w:hAnsi="Arial"/>
          <w:kern w:val="0"/>
          <w:szCs w:val="20"/>
          <w:highlight w:val="none"/>
        </w:rPr>
        <w:t>%向发包人支付违约金，并在约定或发包人指示的期限内完成清场和撤离。</w:t>
      </w:r>
    </w:p>
    <w:p w14:paraId="0EC91861">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22.1.9.14 承包人未能按照合同约定履行其他义务，又未能在监理单位或发包人指定的期限内有效改正的，每逾期一日，应向发包人承担合同暂定总价的万分之一的违约金（专用条款另外有明确约定违约金的，按该等约定执行），且发包人有权随时向承包人发出解除合同通知。</w:t>
      </w:r>
    </w:p>
    <w:p w14:paraId="3A9E6C38">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22.1.9.15 合同解除不免除承包人履行合同项下的清理和结算责任。承包人应将解除合同时的工程现状及经其签署盖章的施工资料全部妥善、清楚地移交予发包人并经发包人审核确认，承包人须配合发包人另行发包或完成工程善后事宜及向政府部门申报或办理相关手续直至工程完工及验收，并按发包人要求清理和撤离现场，否则发包人有权不支付合同价款并要求承包人承担损失赔偿责任。</w:t>
      </w:r>
    </w:p>
    <w:p w14:paraId="2C78769B">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2.1.9.16  </w:t>
      </w:r>
      <w:r>
        <w:rPr>
          <w:rFonts w:hint="eastAsia" w:ascii="Times New Roman" w:hAnsi="Times New Roman"/>
          <w:szCs w:val="24"/>
          <w:highlight w:val="none"/>
        </w:rPr>
        <w:t>因</w:t>
      </w:r>
      <w:r>
        <w:rPr>
          <w:rFonts w:hint="eastAsia" w:ascii="宋体" w:hAnsi="宋体"/>
          <w:snapToGrid w:val="0"/>
          <w:kern w:val="0"/>
          <w:szCs w:val="20"/>
          <w:highlight w:val="none"/>
        </w:rPr>
        <w:t>承包人</w:t>
      </w:r>
      <w:r>
        <w:rPr>
          <w:rFonts w:hint="eastAsia" w:ascii="Times New Roman" w:hAnsi="Times New Roman"/>
          <w:szCs w:val="24"/>
          <w:highlight w:val="none"/>
        </w:rPr>
        <w:t>违反合同约定产生的任何法律纠纷，致使发包人被起诉的，承包人应向发包人支付诉讼请求标的金额 20%的违约金。如裁判机关判令发包人承担连带责任或者补充清偿责任导致发包人先行垫付的，应当由承包人全额赔偿，承包人还应向发包人支付垫付金额 20%的违约金或以垫付金额为基数计收利息（自垫付之日起，承包人应按全国银行间同业拆借中心公布的贷款市场报价利率（一年期 LPR） 的 4 倍向发包人支付），违约金或利息以金额高者为准。</w:t>
      </w:r>
    </w:p>
    <w:p w14:paraId="583BC349">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22.1.9.1</w:t>
      </w:r>
      <w:r>
        <w:rPr>
          <w:rFonts w:ascii="宋体" w:hAnsi="Arial"/>
          <w:kern w:val="0"/>
          <w:szCs w:val="20"/>
          <w:highlight w:val="none"/>
        </w:rPr>
        <w:t>7</w:t>
      </w:r>
      <w:r>
        <w:rPr>
          <w:rFonts w:hint="eastAsia" w:ascii="宋体" w:hAnsi="Arial"/>
          <w:kern w:val="0"/>
          <w:szCs w:val="20"/>
          <w:highlight w:val="none"/>
        </w:rPr>
        <w:t>因</w:t>
      </w:r>
      <w:r>
        <w:rPr>
          <w:rFonts w:hint="eastAsia" w:ascii="宋体" w:hAnsi="宋体"/>
          <w:snapToGrid w:val="0"/>
          <w:kern w:val="0"/>
          <w:szCs w:val="20"/>
          <w:highlight w:val="none"/>
        </w:rPr>
        <w:t>承包人</w:t>
      </w:r>
      <w:r>
        <w:rPr>
          <w:rFonts w:hint="eastAsia" w:ascii="宋体" w:hAnsi="Arial"/>
          <w:kern w:val="0"/>
          <w:szCs w:val="20"/>
          <w:highlight w:val="none"/>
        </w:rPr>
        <w:t>或分包单位违约或侵害第三方权益，包括但不限于承包人或分包单位未按时支付人员工资、劳务费用、材料设备款项，发生安全责任事故，邻近设施受损等原因，出现承包人、分包人或第三方投诉、罢工、集会、游行、示威、闹事、 集聚、围阻发包人或发包人股东、上级主管单位的办公地点或者政府办公部门等情形的，发包人有权要求承包人支付违约金 50 万元/次。如上述行为在新闻、 报纸等媒体（介）传播或被政府部门通报、批评的，发包人有权要求承包人支付违约金 100 万元/次。发包人有权视情况选择全部或部分解除合同。</w:t>
      </w:r>
    </w:p>
    <w:p w14:paraId="09DCCAEE">
      <w:pPr>
        <w:numPr>
          <w:ilvl w:val="2"/>
          <w:numId w:val="0"/>
        </w:numPr>
        <w:adjustRightInd w:val="0"/>
        <w:snapToGrid w:val="0"/>
        <w:spacing w:line="360" w:lineRule="auto"/>
        <w:ind w:firstLine="420" w:firstLineChars="200"/>
        <w:jc w:val="left"/>
        <w:outlineLvl w:val="2"/>
        <w:rPr>
          <w:rFonts w:hint="eastAsia" w:ascii="宋体" w:hAnsi="Arial"/>
          <w:kern w:val="0"/>
          <w:szCs w:val="20"/>
          <w:highlight w:val="none"/>
        </w:rPr>
      </w:pPr>
      <w:r>
        <w:rPr>
          <w:rFonts w:hint="eastAsia" w:ascii="宋体" w:hAnsi="Arial"/>
          <w:kern w:val="0"/>
          <w:szCs w:val="20"/>
          <w:highlight w:val="none"/>
        </w:rPr>
        <w:t>2</w:t>
      </w:r>
      <w:r>
        <w:rPr>
          <w:rFonts w:ascii="宋体" w:hAnsi="Arial"/>
          <w:kern w:val="0"/>
          <w:szCs w:val="20"/>
          <w:highlight w:val="none"/>
        </w:rPr>
        <w:t xml:space="preserve">2.1.9.18 </w:t>
      </w:r>
      <w:r>
        <w:rPr>
          <w:rFonts w:hint="eastAsia" w:ascii="宋体" w:hAnsi="Arial"/>
          <w:kern w:val="0"/>
          <w:szCs w:val="20"/>
          <w:highlight w:val="none"/>
        </w:rPr>
        <w:t>本合同条款约定的违约责任相互之间或与其他合同文件或附件约定不一致的，以较严格的责任为准。</w:t>
      </w:r>
    </w:p>
    <w:p w14:paraId="0038CC6A">
      <w:pPr>
        <w:numPr>
          <w:ilvl w:val="2"/>
          <w:numId w:val="0"/>
        </w:numPr>
        <w:adjustRightInd w:val="0"/>
        <w:snapToGrid w:val="0"/>
        <w:spacing w:line="360" w:lineRule="auto"/>
        <w:ind w:firstLine="420" w:firstLineChars="200"/>
        <w:jc w:val="left"/>
        <w:outlineLvl w:val="2"/>
        <w:rPr>
          <w:rFonts w:hint="eastAsia" w:ascii="宋体" w:hAnsi="Arial"/>
          <w:kern w:val="0"/>
          <w:szCs w:val="20"/>
          <w:highlight w:val="none"/>
        </w:rPr>
      </w:pPr>
      <w:r>
        <w:rPr>
          <w:rFonts w:hint="eastAsia" w:ascii="宋体" w:hAnsi="Arial"/>
          <w:kern w:val="0"/>
          <w:szCs w:val="20"/>
          <w:highlight w:val="none"/>
        </w:rPr>
        <w:t xml:space="preserve">22.1.9.19 </w:t>
      </w:r>
      <w:r>
        <w:rPr>
          <w:rFonts w:hint="eastAsia" w:ascii="宋体" w:hAnsi="Arial"/>
          <w:kern w:val="0"/>
          <w:szCs w:val="20"/>
          <w:highlight w:val="none"/>
          <w:lang w:eastAsia="zh-CN"/>
        </w:rPr>
        <w:t>承</w:t>
      </w:r>
      <w:r>
        <w:rPr>
          <w:rFonts w:hint="eastAsia" w:ascii="宋体" w:hAnsi="Arial"/>
          <w:kern w:val="0"/>
          <w:szCs w:val="20"/>
          <w:highlight w:val="none"/>
        </w:rPr>
        <w:t>包人下列严重不诚信行为，将被列为发包人及其关联公司拒绝合作的供应商，时效为3年（按其行为被认定或确认时起算）：</w:t>
      </w:r>
    </w:p>
    <w:p w14:paraId="7B84E2E7">
      <w:pPr>
        <w:numPr>
          <w:ilvl w:val="2"/>
          <w:numId w:val="0"/>
        </w:numPr>
        <w:adjustRightInd w:val="0"/>
        <w:snapToGrid w:val="0"/>
        <w:spacing w:line="360" w:lineRule="auto"/>
        <w:ind w:firstLine="420" w:firstLineChars="200"/>
        <w:jc w:val="left"/>
        <w:outlineLvl w:val="2"/>
        <w:rPr>
          <w:rFonts w:hint="eastAsia" w:ascii="宋体" w:hAnsi="Arial"/>
          <w:kern w:val="0"/>
          <w:szCs w:val="20"/>
          <w:highlight w:val="none"/>
        </w:rPr>
      </w:pPr>
      <w:r>
        <w:rPr>
          <w:rFonts w:hint="eastAsia" w:ascii="宋体" w:hAnsi="Arial"/>
          <w:kern w:val="0"/>
          <w:szCs w:val="20"/>
          <w:highlight w:val="none"/>
        </w:rPr>
        <w:t>（1）采取欺诈、贿赂等不正当竞争手段承揽业务的；</w:t>
      </w:r>
    </w:p>
    <w:p w14:paraId="597EF181">
      <w:pPr>
        <w:numPr>
          <w:ilvl w:val="2"/>
          <w:numId w:val="0"/>
        </w:numPr>
        <w:adjustRightInd w:val="0"/>
        <w:snapToGrid w:val="0"/>
        <w:spacing w:line="360" w:lineRule="auto"/>
        <w:ind w:firstLine="420" w:firstLineChars="200"/>
        <w:jc w:val="left"/>
        <w:outlineLvl w:val="2"/>
        <w:rPr>
          <w:rFonts w:hint="eastAsia" w:ascii="宋体" w:hAnsi="Arial"/>
          <w:kern w:val="0"/>
          <w:szCs w:val="20"/>
          <w:highlight w:val="none"/>
        </w:rPr>
      </w:pPr>
      <w:r>
        <w:rPr>
          <w:rFonts w:hint="eastAsia" w:ascii="宋体" w:hAnsi="Arial"/>
          <w:kern w:val="0"/>
          <w:szCs w:val="20"/>
          <w:highlight w:val="none"/>
        </w:rPr>
        <w:t>（2）泄露委托单位、当事人公司商业秘密,损害委托单位、当事人公司利益或声誉的行为;</w:t>
      </w:r>
    </w:p>
    <w:p w14:paraId="2FC29CAB">
      <w:pPr>
        <w:numPr>
          <w:ilvl w:val="2"/>
          <w:numId w:val="0"/>
        </w:numPr>
        <w:adjustRightInd w:val="0"/>
        <w:snapToGrid w:val="0"/>
        <w:spacing w:line="360" w:lineRule="auto"/>
        <w:ind w:firstLine="420" w:firstLineChars="200"/>
        <w:jc w:val="left"/>
        <w:outlineLvl w:val="2"/>
        <w:rPr>
          <w:rFonts w:hint="eastAsia" w:ascii="宋体" w:hAnsi="Arial"/>
          <w:kern w:val="0"/>
          <w:szCs w:val="20"/>
          <w:highlight w:val="none"/>
        </w:rPr>
      </w:pPr>
      <w:r>
        <w:rPr>
          <w:rFonts w:hint="eastAsia" w:ascii="宋体" w:hAnsi="Arial"/>
          <w:kern w:val="0"/>
          <w:szCs w:val="20"/>
          <w:highlight w:val="none"/>
        </w:rPr>
        <w:t>（3）作出法律、法规、规章及行业禁止的其他行为或者发生其他严重违反职业道德、严重影响履约质量的情形；</w:t>
      </w:r>
    </w:p>
    <w:p w14:paraId="1641EDC1">
      <w:pPr>
        <w:numPr>
          <w:ilvl w:val="2"/>
          <w:numId w:val="0"/>
        </w:numPr>
        <w:adjustRightInd w:val="0"/>
        <w:snapToGrid w:val="0"/>
        <w:spacing w:line="360" w:lineRule="auto"/>
        <w:ind w:firstLine="420" w:firstLineChars="200"/>
        <w:jc w:val="left"/>
        <w:outlineLvl w:val="2"/>
        <w:rPr>
          <w:rFonts w:hint="eastAsia" w:ascii="宋体" w:hAnsi="Arial"/>
          <w:kern w:val="0"/>
          <w:szCs w:val="20"/>
          <w:highlight w:val="none"/>
        </w:rPr>
      </w:pPr>
      <w:r>
        <w:rPr>
          <w:rFonts w:hint="eastAsia" w:ascii="宋体" w:hAnsi="Arial"/>
          <w:kern w:val="0"/>
          <w:szCs w:val="20"/>
          <w:highlight w:val="none"/>
        </w:rPr>
        <w:t>（4）恶意搅乱甲方采购工作正常进行，存在围标、串标、弄虚作假等行为，影响发包人正常招采工作程序；</w:t>
      </w:r>
    </w:p>
    <w:p w14:paraId="195D6AE5">
      <w:pPr>
        <w:numPr>
          <w:ilvl w:val="2"/>
          <w:numId w:val="0"/>
        </w:numPr>
        <w:adjustRightInd w:val="0"/>
        <w:snapToGrid w:val="0"/>
        <w:spacing w:line="360" w:lineRule="auto"/>
        <w:ind w:firstLine="420" w:firstLineChars="200"/>
        <w:jc w:val="left"/>
        <w:outlineLvl w:val="2"/>
        <w:rPr>
          <w:rFonts w:hint="eastAsia" w:ascii="宋体" w:hAnsi="Arial"/>
          <w:kern w:val="0"/>
          <w:szCs w:val="20"/>
          <w:highlight w:val="none"/>
        </w:rPr>
      </w:pPr>
      <w:r>
        <w:rPr>
          <w:rFonts w:hint="eastAsia" w:ascii="宋体" w:hAnsi="Arial"/>
          <w:kern w:val="0"/>
          <w:szCs w:val="20"/>
          <w:highlight w:val="none"/>
        </w:rPr>
        <w:t>（5）与发包人及其关联公司存在合同履约纠纷，经法院或仲裁机构认定属承包方违约的。</w:t>
      </w:r>
    </w:p>
    <w:p w14:paraId="0FBE515D">
      <w:pPr>
        <w:numPr>
          <w:ilvl w:val="2"/>
          <w:numId w:val="0"/>
        </w:numPr>
        <w:adjustRightInd w:val="0"/>
        <w:snapToGrid w:val="0"/>
        <w:spacing w:line="360" w:lineRule="auto"/>
        <w:ind w:firstLine="420" w:firstLineChars="200"/>
        <w:jc w:val="left"/>
        <w:outlineLvl w:val="2"/>
        <w:rPr>
          <w:rFonts w:hint="eastAsia" w:ascii="宋体" w:hAnsi="Arial"/>
          <w:kern w:val="0"/>
          <w:szCs w:val="20"/>
          <w:highlight w:val="none"/>
        </w:rPr>
      </w:pPr>
      <w:r>
        <w:rPr>
          <w:rFonts w:hint="eastAsia" w:ascii="宋体" w:hAnsi="Arial"/>
          <w:kern w:val="0"/>
          <w:szCs w:val="20"/>
          <w:highlight w:val="none"/>
        </w:rPr>
        <w:t>22.1.9.20</w:t>
      </w:r>
      <w:r>
        <w:rPr>
          <w:rFonts w:hint="eastAsia" w:ascii="宋体" w:hAnsi="Arial"/>
          <w:kern w:val="0"/>
          <w:szCs w:val="20"/>
          <w:highlight w:val="none"/>
          <w:lang w:eastAsia="zh-CN"/>
        </w:rPr>
        <w:t>承</w:t>
      </w:r>
      <w:r>
        <w:rPr>
          <w:rFonts w:hint="eastAsia" w:ascii="宋体" w:hAnsi="Arial"/>
          <w:kern w:val="0"/>
          <w:szCs w:val="20"/>
          <w:highlight w:val="none"/>
        </w:rPr>
        <w:t>包人不充分履约行为的，</w:t>
      </w:r>
      <w:r>
        <w:rPr>
          <w:rFonts w:hint="eastAsia" w:ascii="宋体" w:hAnsi="Arial"/>
          <w:kern w:val="0"/>
          <w:szCs w:val="20"/>
          <w:highlight w:val="none"/>
          <w:lang w:eastAsia="zh-CN"/>
        </w:rPr>
        <w:t>承</w:t>
      </w:r>
      <w:r>
        <w:rPr>
          <w:rFonts w:hint="eastAsia" w:ascii="宋体" w:hAnsi="Arial"/>
          <w:kern w:val="0"/>
          <w:szCs w:val="20"/>
          <w:highlight w:val="none"/>
        </w:rPr>
        <w:t>包人按严重违约责任向承包人支付违约金，并将被列为发包人及其关联公司拒绝合作的供应商，时效为1年（按其行为被认定或确认时起算）。</w:t>
      </w:r>
    </w:p>
    <w:p w14:paraId="5D6F34EE">
      <w:pPr>
        <w:numPr>
          <w:ilvl w:val="2"/>
          <w:numId w:val="0"/>
        </w:numPr>
        <w:adjustRightInd w:val="0"/>
        <w:snapToGrid w:val="0"/>
        <w:spacing w:line="360" w:lineRule="auto"/>
        <w:jc w:val="left"/>
        <w:outlineLvl w:val="2"/>
        <w:rPr>
          <w:rFonts w:ascii="宋体" w:hAnsi="Arial"/>
          <w:b/>
          <w:bCs/>
          <w:kern w:val="0"/>
          <w:szCs w:val="20"/>
          <w:highlight w:val="none"/>
        </w:rPr>
      </w:pPr>
      <w:r>
        <w:rPr>
          <w:rFonts w:hint="eastAsia" w:ascii="宋体" w:hAnsi="Arial"/>
          <w:b/>
          <w:bCs/>
          <w:kern w:val="0"/>
          <w:szCs w:val="20"/>
          <w:highlight w:val="none"/>
        </w:rPr>
        <w:t>22.2 发包人违约</w:t>
      </w:r>
    </w:p>
    <w:p w14:paraId="5B769558">
      <w:pPr>
        <w:numPr>
          <w:ilvl w:val="2"/>
          <w:numId w:val="0"/>
        </w:numPr>
        <w:adjustRightInd w:val="0"/>
        <w:snapToGrid w:val="0"/>
        <w:spacing w:line="360" w:lineRule="auto"/>
        <w:ind w:firstLine="420" w:firstLineChars="200"/>
        <w:jc w:val="left"/>
        <w:outlineLvl w:val="2"/>
        <w:rPr>
          <w:rFonts w:ascii="宋体" w:hAnsi="宋体"/>
          <w:kern w:val="0"/>
          <w:szCs w:val="20"/>
          <w:highlight w:val="none"/>
        </w:rPr>
      </w:pPr>
      <w:r>
        <w:rPr>
          <w:rFonts w:hint="eastAsia" w:ascii="宋体" w:hAnsi="宋体"/>
          <w:kern w:val="0"/>
          <w:szCs w:val="20"/>
          <w:highlight w:val="none"/>
        </w:rPr>
        <w:t>22.2.1.</w:t>
      </w:r>
      <w:r>
        <w:rPr>
          <w:rFonts w:hint="eastAsia" w:ascii="宋体" w:hAnsi="宋体"/>
          <w:kern w:val="0"/>
          <w:szCs w:val="20"/>
          <w:highlight w:val="none"/>
        </w:rPr>
        <w:tab/>
      </w:r>
      <w:r>
        <w:rPr>
          <w:rFonts w:hint="eastAsia" w:ascii="宋体" w:hAnsi="宋体"/>
          <w:kern w:val="0"/>
          <w:szCs w:val="20"/>
          <w:highlight w:val="none"/>
        </w:rPr>
        <w:t>在履行合同过程中发生的下列情形，属发包人违约：</w:t>
      </w:r>
    </w:p>
    <w:p w14:paraId="0BDDDA30">
      <w:pPr>
        <w:numPr>
          <w:ilvl w:val="2"/>
          <w:numId w:val="0"/>
        </w:numPr>
        <w:adjustRightInd w:val="0"/>
        <w:snapToGrid w:val="0"/>
        <w:spacing w:line="360" w:lineRule="auto"/>
        <w:ind w:firstLine="420" w:firstLineChars="200"/>
        <w:jc w:val="left"/>
        <w:outlineLvl w:val="2"/>
        <w:rPr>
          <w:rFonts w:hint="eastAsia" w:ascii="宋体" w:hAnsi="宋体"/>
          <w:kern w:val="0"/>
          <w:szCs w:val="20"/>
          <w:highlight w:val="none"/>
        </w:rPr>
      </w:pPr>
      <w:r>
        <w:rPr>
          <w:rFonts w:hint="eastAsia" w:ascii="宋体" w:hAnsi="宋体"/>
          <w:kern w:val="0"/>
          <w:szCs w:val="20"/>
          <w:highlight w:val="none"/>
        </w:rPr>
        <w:t>2)</w:t>
      </w:r>
      <w:r>
        <w:rPr>
          <w:rFonts w:hint="eastAsia" w:ascii="宋体" w:hAnsi="宋体"/>
          <w:kern w:val="0"/>
          <w:szCs w:val="20"/>
          <w:highlight w:val="none"/>
        </w:rPr>
        <w:tab/>
      </w:r>
      <w:r>
        <w:rPr>
          <w:rFonts w:hint="eastAsia" w:ascii="宋体" w:hAnsi="宋体"/>
          <w:kern w:val="0"/>
          <w:szCs w:val="20"/>
          <w:highlight w:val="none"/>
        </w:rPr>
        <w:t>因发包人未能按专用条款的约定提供图纸及开工条件、迟延提供材料、工程设备导致的工期延误超过7天的；</w:t>
      </w:r>
    </w:p>
    <w:p w14:paraId="64507558">
      <w:pPr>
        <w:numPr>
          <w:ilvl w:val="2"/>
          <w:numId w:val="0"/>
        </w:numPr>
        <w:adjustRightInd w:val="0"/>
        <w:snapToGrid w:val="0"/>
        <w:spacing w:line="360" w:lineRule="auto"/>
        <w:ind w:firstLine="420" w:firstLineChars="200"/>
        <w:jc w:val="left"/>
        <w:outlineLvl w:val="2"/>
        <w:rPr>
          <w:rFonts w:hint="eastAsia" w:ascii="宋体" w:hAnsi="宋体"/>
          <w:kern w:val="0"/>
          <w:szCs w:val="20"/>
          <w:highlight w:val="none"/>
        </w:rPr>
      </w:pPr>
      <w:r>
        <w:rPr>
          <w:rFonts w:hint="eastAsia" w:ascii="宋体" w:hAnsi="宋体"/>
          <w:kern w:val="0"/>
          <w:szCs w:val="20"/>
          <w:highlight w:val="none"/>
        </w:rPr>
        <w:t>4)</w:t>
      </w:r>
      <w:r>
        <w:rPr>
          <w:rFonts w:hint="eastAsia" w:ascii="宋体" w:hAnsi="宋体"/>
          <w:kern w:val="0"/>
          <w:szCs w:val="20"/>
          <w:highlight w:val="none"/>
        </w:rPr>
        <w:tab/>
      </w:r>
      <w:r>
        <w:rPr>
          <w:rFonts w:hint="eastAsia" w:ascii="宋体" w:hAnsi="宋体"/>
          <w:kern w:val="0"/>
          <w:szCs w:val="20"/>
          <w:highlight w:val="none"/>
        </w:rPr>
        <w:t>发包人未能在延期付款协议约定的时间内付款的；</w:t>
      </w:r>
      <w:r>
        <w:rPr>
          <w:rFonts w:hint="eastAsia" w:ascii="宋体" w:hAnsi="宋体"/>
          <w:b/>
          <w:bCs/>
          <w:kern w:val="44"/>
          <w:sz w:val="28"/>
          <w:szCs w:val="44"/>
          <w:highlight w:val="none"/>
        </w:rPr>
        <w:tab/>
      </w:r>
    </w:p>
    <w:p w14:paraId="1FDA8461">
      <w:pPr>
        <w:keepNext/>
        <w:keepLines/>
        <w:numPr>
          <w:ilvl w:val="0"/>
          <w:numId w:val="4"/>
        </w:numPr>
        <w:adjustRightInd w:val="0"/>
        <w:snapToGrid w:val="0"/>
        <w:spacing w:line="360" w:lineRule="auto"/>
        <w:outlineLvl w:val="0"/>
        <w:rPr>
          <w:rFonts w:ascii="宋体" w:hAnsi="宋体"/>
          <w:b/>
          <w:bCs/>
          <w:kern w:val="44"/>
          <w:sz w:val="28"/>
          <w:szCs w:val="44"/>
          <w:highlight w:val="none"/>
        </w:rPr>
      </w:pPr>
      <w:bookmarkStart w:id="643" w:name="_Toc25009"/>
      <w:bookmarkStart w:id="644" w:name="_Toc2945"/>
      <w:bookmarkStart w:id="645" w:name="_Toc14219"/>
      <w:bookmarkStart w:id="646" w:name="_Toc1751"/>
      <w:bookmarkStart w:id="647" w:name="_Toc2587"/>
      <w:bookmarkStart w:id="648" w:name="_Toc17591"/>
      <w:bookmarkStart w:id="649" w:name="_Toc13086"/>
      <w:bookmarkStart w:id="650" w:name="_Toc19432"/>
      <w:bookmarkStart w:id="651" w:name="_Toc6999"/>
      <w:bookmarkStart w:id="652" w:name="_Toc22797"/>
      <w:bookmarkStart w:id="653" w:name="_Toc25874"/>
      <w:bookmarkStart w:id="654" w:name="_Toc167701773"/>
      <w:bookmarkStart w:id="655" w:name="_Toc24132"/>
      <w:bookmarkStart w:id="656" w:name="_Toc1652"/>
      <w:bookmarkStart w:id="657" w:name="_Toc5737"/>
      <w:bookmarkStart w:id="658" w:name="_Toc17201"/>
      <w:bookmarkStart w:id="659" w:name="_Toc13894"/>
      <w:bookmarkStart w:id="660" w:name="_Toc21993"/>
      <w:bookmarkStart w:id="661" w:name="_Toc167701672"/>
      <w:bookmarkStart w:id="662" w:name="_Toc6990"/>
      <w:bookmarkStart w:id="663" w:name="_Toc427331258"/>
      <w:bookmarkStart w:id="664" w:name="_Toc9321"/>
      <w:bookmarkStart w:id="665" w:name="_Toc167975597"/>
      <w:bookmarkStart w:id="666" w:name="_Toc6143"/>
      <w:r>
        <w:rPr>
          <w:rFonts w:hint="eastAsia" w:ascii="宋体" w:hAnsi="宋体"/>
          <w:b/>
          <w:bCs/>
          <w:kern w:val="44"/>
          <w:sz w:val="28"/>
          <w:szCs w:val="44"/>
          <w:highlight w:val="none"/>
        </w:rPr>
        <w:t>争议的解决</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4D1186AC">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23.1 争议的解决方式</w:t>
      </w:r>
    </w:p>
    <w:p w14:paraId="3A10780B">
      <w:pPr>
        <w:numPr>
          <w:ilvl w:val="2"/>
          <w:numId w:val="0"/>
        </w:numPr>
        <w:adjustRightInd w:val="0"/>
        <w:snapToGrid w:val="0"/>
        <w:spacing w:line="360" w:lineRule="auto"/>
        <w:ind w:firstLine="420" w:firstLineChars="200"/>
        <w:jc w:val="left"/>
        <w:outlineLvl w:val="2"/>
        <w:rPr>
          <w:rFonts w:ascii="宋体" w:hAnsi="Arial"/>
          <w:kern w:val="0"/>
          <w:szCs w:val="20"/>
          <w:highlight w:val="none"/>
        </w:rPr>
      </w:pPr>
      <w:r>
        <w:rPr>
          <w:rFonts w:hint="eastAsia" w:ascii="宋体" w:hAnsi="Arial"/>
          <w:kern w:val="0"/>
          <w:szCs w:val="20"/>
          <w:highlight w:val="none"/>
        </w:rPr>
        <w:t>按照通用</w:t>
      </w:r>
      <w:r>
        <w:rPr>
          <w:rFonts w:hint="eastAsia" w:ascii="宋体" w:hAnsi="宋体"/>
          <w:snapToGrid w:val="0"/>
          <w:kern w:val="0"/>
          <w:szCs w:val="20"/>
          <w:highlight w:val="none"/>
        </w:rPr>
        <w:t>条款</w:t>
      </w:r>
      <w:r>
        <w:rPr>
          <w:rFonts w:hint="eastAsia" w:ascii="宋体" w:hAnsi="Arial"/>
          <w:kern w:val="0"/>
          <w:szCs w:val="20"/>
          <w:highlight w:val="none"/>
        </w:rPr>
        <w:t>执行。</w:t>
      </w:r>
    </w:p>
    <w:p w14:paraId="390B1AE1">
      <w:pPr>
        <w:keepNext/>
        <w:keepLines/>
        <w:numPr>
          <w:ilvl w:val="0"/>
          <w:numId w:val="4"/>
        </w:numPr>
        <w:adjustRightInd w:val="0"/>
        <w:snapToGrid w:val="0"/>
        <w:spacing w:line="360" w:lineRule="auto"/>
        <w:outlineLvl w:val="0"/>
        <w:rPr>
          <w:rFonts w:ascii="宋体" w:hAnsi="宋体"/>
          <w:b/>
          <w:bCs/>
          <w:kern w:val="44"/>
          <w:sz w:val="28"/>
          <w:szCs w:val="44"/>
          <w:highlight w:val="none"/>
        </w:rPr>
      </w:pPr>
      <w:bookmarkStart w:id="667" w:name="_Toc167701673"/>
      <w:bookmarkStart w:id="668" w:name="_Toc24555"/>
      <w:bookmarkStart w:id="669" w:name="_Toc14908"/>
      <w:bookmarkStart w:id="670" w:name="_Toc10596"/>
      <w:bookmarkStart w:id="671" w:name="_Toc167701774"/>
      <w:bookmarkStart w:id="672" w:name="_Toc28958"/>
      <w:bookmarkStart w:id="673" w:name="_Toc25136"/>
      <w:bookmarkStart w:id="674" w:name="_Toc260"/>
      <w:bookmarkStart w:id="675" w:name="_Toc12197"/>
      <w:bookmarkStart w:id="676" w:name="_Toc18467"/>
      <w:bookmarkStart w:id="677" w:name="_Toc15508"/>
      <w:bookmarkStart w:id="678" w:name="_Toc28012"/>
      <w:bookmarkStart w:id="679" w:name="_Toc167975598"/>
      <w:bookmarkStart w:id="680" w:name="_Toc10973"/>
      <w:bookmarkStart w:id="681" w:name="_Toc29044"/>
      <w:bookmarkStart w:id="682" w:name="_Toc9586"/>
      <w:r>
        <w:rPr>
          <w:rFonts w:hint="eastAsia" w:ascii="宋体" w:hAnsi="宋体"/>
          <w:b/>
          <w:bCs/>
          <w:kern w:val="44"/>
          <w:sz w:val="28"/>
          <w:szCs w:val="44"/>
          <w:highlight w:val="none"/>
        </w:rPr>
        <w:t>合同的解除</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2CC94A68">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24.1 由于</w:t>
      </w:r>
      <w:r>
        <w:rPr>
          <w:rFonts w:hint="eastAsia" w:ascii="宋体" w:hAnsi="宋体"/>
          <w:snapToGrid w:val="0"/>
          <w:kern w:val="0"/>
          <w:szCs w:val="20"/>
          <w:highlight w:val="none"/>
        </w:rPr>
        <w:t>发包人</w:t>
      </w:r>
      <w:r>
        <w:rPr>
          <w:rFonts w:hint="eastAsia" w:ascii="Times New Roman" w:hAnsi="Times New Roman"/>
          <w:szCs w:val="24"/>
          <w:highlight w:val="none"/>
        </w:rPr>
        <w:t>原因解除本合同</w:t>
      </w:r>
    </w:p>
    <w:p w14:paraId="2BF5B98D">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1）发包人根据市场需要，工程停建、缓建或工程设计修改后相应承包工程项目不存在时，有权单方面解除本合同或解除本合同的部分工作，并向承包人发出解除本合同通知。发包人解除本合同并不影响其根据本合同约定享有的任何其他权利。</w:t>
      </w:r>
    </w:p>
    <w:p w14:paraId="3CABD559">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（2）合同解除的处理</w:t>
      </w:r>
    </w:p>
    <w:p w14:paraId="6A1EC77A">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1）承包人应妥善做好已完工程和已购材料、设备的保护和移交工作，并按发包人要求将自有机械设备和人员撤出施工场地。发包人为承包人撤出提供必要条件，已完工程价款在承包人根据发包人要求完全撤离施工场地后办理结算手续后支付。</w:t>
      </w:r>
    </w:p>
    <w:p w14:paraId="6B813075">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2）</w:t>
      </w:r>
      <w:r>
        <w:rPr>
          <w:rFonts w:hint="eastAsia" w:ascii="Times New Roman" w:hAnsi="Times New Roman"/>
          <w:szCs w:val="24"/>
          <w:highlight w:val="none"/>
          <w:u w:val="none"/>
        </w:rPr>
        <w:t>解除合同的通知送达承包人后，发包人就该解除合同的工程即可另行与其他单位签订施工合同。</w:t>
      </w:r>
      <w:r>
        <w:rPr>
          <w:rFonts w:hint="eastAsia" w:ascii="Times New Roman" w:hAnsi="Times New Roman"/>
          <w:szCs w:val="24"/>
          <w:highlight w:val="none"/>
        </w:rPr>
        <w:t>承包人必须在收到解除本合同书面通知后15天内组织施工人员、材料、设备等完成全部退场，不得以任何理由拒绝移交场地。如逾期退场的，每逾期一天，按专用条款22.1.9.2条第1）点支付违约金，同时发包人可直接进入场地并有权决定是否接收属于承包人在现场的一切设施、设备、材料使用于本工程，并有进一步要求向承包人索赔的权利。本合同解除后，</w:t>
      </w:r>
      <w:r>
        <w:rPr>
          <w:rFonts w:hint="eastAsia" w:ascii="Times New Roman" w:hAnsi="Times New Roman"/>
          <w:szCs w:val="24"/>
          <w:highlight w:val="none"/>
          <w:u w:val="none"/>
        </w:rPr>
        <w:t>承包人拒绝撤场的，发包人可以雇请第三方代为撤场，发生的费用全部由承包人承担；承包人拒绝撤场导致损失扩大的，即便发包人是解除合同的过错方，发包人亦无需承担此部分扩大的损失；如有承包人员工或农民工、材料商等聚众闹事阻挠发包人（及第三方）</w:t>
      </w:r>
      <w:r>
        <w:rPr>
          <w:rFonts w:hint="eastAsia" w:ascii="Times New Roman" w:hAnsi="Times New Roman"/>
          <w:szCs w:val="24"/>
          <w:highlight w:val="none"/>
        </w:rPr>
        <w:t>进场施工，因此造成的损失和法律后果与责任全部由承包人承担。承包人必须在前述事件发生后 7 日内按合同价或结算价（以价高者为准）的 15％另向发包人支付施工场地移交延误的违约金，违约金累计，上不封顶。</w:t>
      </w:r>
    </w:p>
    <w:p w14:paraId="376EB920">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3）已经根据本工程需要订货的材料、设备由订货方负责退货或解除订货合同，不能退还的货款和因退货、解除订货合同发生的费用及由此造成对方的损失由责任方承担，因未及时退货造成的损失由责任方承担。</w:t>
      </w:r>
    </w:p>
    <w:p w14:paraId="1B88AEC4">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4）双方仍应遵循诚实信用原则，按本合同的约定履行通知、协助、保密等义务，并且双方在本合同中约定的工程质量、结算、清理、违约与索赔条款等全部相关内容仍然有效。</w:t>
      </w:r>
    </w:p>
    <w:p w14:paraId="4D653945">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3）解除本合同后的结算方式：合同解除后，发包人根据现场施工安排通知承包人现场验收已完工工程并核对工程量，承包人不予配合或未在发包人通知的时间签字确认工程量的，以发包人验收结果与发包人现场核对的工程量为准。已完成的工程质量不合格的，承包人应当完成全部整改并承担修复费用，承包人在发包人提出的合理时限内仍拒不整改的，发包人可委托第三方单位实施，相关所有费用在承包人结算款中扣除。由此导致工期延误的，按照合同中有关工期延误的违约责任条款执行。</w:t>
      </w:r>
    </w:p>
    <w:p w14:paraId="01B15689">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承包人应自已完成工程验收合格且确认工程量之日起30天内向发包人提交完整的结算资料，未按时提交结算资料或提交结算资料后未在发包人限定的时间内按要求补充、修改资料的，发包人有权不予支付工程价款。质量保证金扣留、退还属于合同的清理和结算条款，合同解除后，承包人仍应对其施工的工程承担缺陷保证责任与保修责任，发包人有权扣留3%的结算款作为质量保证金，保修期与缺陷责任期自工程竣工验收合格、双方完成工程款结算及资料移交之日起算。</w:t>
      </w:r>
    </w:p>
    <w:p w14:paraId="032A59A2">
      <w:pPr>
        <w:numPr>
          <w:ilvl w:val="1"/>
          <w:numId w:val="0"/>
        </w:numPr>
        <w:adjustRightInd w:val="0"/>
        <w:snapToGrid w:val="0"/>
        <w:spacing w:line="360" w:lineRule="auto"/>
        <w:jc w:val="left"/>
        <w:outlineLvl w:val="1"/>
        <w:rPr>
          <w:rFonts w:ascii="宋体" w:hAnsi="宋体"/>
          <w:b/>
          <w:bCs/>
          <w:kern w:val="0"/>
          <w:szCs w:val="21"/>
          <w:highlight w:val="none"/>
        </w:rPr>
      </w:pPr>
      <w:r>
        <w:rPr>
          <w:rFonts w:hint="eastAsia" w:ascii="宋体" w:hAnsi="宋体"/>
          <w:b/>
          <w:bCs/>
          <w:kern w:val="0"/>
          <w:szCs w:val="21"/>
          <w:highlight w:val="none"/>
        </w:rPr>
        <w:t>24.2 由于承包人原因解除本合同</w:t>
      </w:r>
    </w:p>
    <w:p w14:paraId="0ABEAE8C">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（1）基于下列原因，发包人有权书面通知承包人解除本合同或解除本合同的部分工作：</w:t>
      </w:r>
    </w:p>
    <w:p w14:paraId="7B090079">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1）承包人破产、重整、解散或清算的，但为机构重组或联合的目的除外。</w:t>
      </w:r>
    </w:p>
    <w:p w14:paraId="6BF87E53">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2）承包人明确表示或以自己的行为表明不履行本合同约定主要义务的。</w:t>
      </w:r>
    </w:p>
    <w:p w14:paraId="2F3824AB">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3）承包人在订立或履行本合同期间有欺诈行为的。</w:t>
      </w:r>
    </w:p>
    <w:p w14:paraId="0AAB3E25">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4）承包人发生严重违约行为的。</w:t>
      </w:r>
    </w:p>
    <w:p w14:paraId="43A611DA">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5）承包人通过挂靠方式承包本工程或将本工程转包、违法分包的。</w:t>
      </w:r>
    </w:p>
    <w:p w14:paraId="263468F1">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6）合同约定的期限内没有完工，且在发包人催告的合理期限内仍未完工的。</w:t>
      </w:r>
    </w:p>
    <w:p w14:paraId="7A3CA64E">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7）已经完成的建设工程质量不合格，并拒绝修复的。</w:t>
      </w:r>
    </w:p>
    <w:p w14:paraId="4D5990F5">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8）承包人进入破产、重整、解散或清算程序。</w:t>
      </w:r>
    </w:p>
    <w:p w14:paraId="3F0C5D27">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9）因承包人自身债务问题造成发包人被法院要求协助诉讼保全、协助执行（法院的法律文书形式包括但不限于协助执行通知、履行到期债务通知等协助执行函件），承包人在发包人通知后14日内不能妥善解决的。</w:t>
      </w:r>
    </w:p>
    <w:p w14:paraId="5BB5B506">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10）本合同或法律法规规定的因承包人违约发包人有权解除本合同的情形。</w:t>
      </w:r>
    </w:p>
    <w:p w14:paraId="53DAFF06">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因承包人出现以上严重违约情形发包人确定要立即解除合同的，发包人应立即向承包人发出正式解除通知，通知送达有效。</w:t>
      </w:r>
    </w:p>
    <w:p w14:paraId="66024558">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（2）合同解除的处理：</w:t>
      </w:r>
    </w:p>
    <w:p w14:paraId="79F9CF35">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1）承包人按相关条款的约定承担违约责任。</w:t>
      </w:r>
    </w:p>
    <w:p w14:paraId="1E6E9FB0">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2）承包人必须在收到解除本合同书面通知后15天内组织施工人员、材料、设备等完成全部退场，不得以任何理由拒绝移交场地。如逾期退场的，每逾期一天，按专用条款22.1.9.2条第1）点支付违约金，同时发包人可直接进入场地并有权决定是否接收属于承包人在现场的一切设施、设备、材料使用于本工程，并有进一步要求向承包人索赔的权利。本合同解除后，承包人拒绝撤场的，发包人可以雇请第三方代为撤场，发生的费用全部由承包人承担；承包人拒绝撤场导致损失扩大的，发包人亦无需承担此部分扩大的损失；如有承包人员工或农民工、材料商等聚众闹事阻挠发包人</w:t>
      </w:r>
      <w:r>
        <w:rPr>
          <w:rFonts w:hint="eastAsia" w:ascii="Times New Roman" w:hAnsi="Times New Roman"/>
          <w:szCs w:val="24"/>
          <w:highlight w:val="none"/>
          <w:u w:val="none"/>
        </w:rPr>
        <w:t>（及第三方）</w:t>
      </w:r>
      <w:r>
        <w:rPr>
          <w:rFonts w:hint="eastAsia" w:ascii="Times New Roman" w:hAnsi="Times New Roman"/>
          <w:szCs w:val="24"/>
          <w:highlight w:val="none"/>
        </w:rPr>
        <w:t>进场施工，因此造成的损失和法律后果与责任全部由承包人承担。承包人必须在前述事件发生后 7 日内按合同价或结算价（以价高者为准）的 15％另向发包人支付施工场地移交延误的违约金，违约金累计，上不封顶。</w:t>
      </w:r>
    </w:p>
    <w:p w14:paraId="731B5709">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3）发包人可以进驻现场和接管本工程或另行雇用专业承包替代方（其他承包人），通知解除承包人在本合同项下的承包，但不因此免除本合同约定的承包人的任何义务和责任，也不影响本合同赋予发包人或工程师的各种权利和权限，发包人可自行完成该工程，或雇用其他专业承包替代方完成该工程。发包人或上述其他专业承包人为了完成本工程，可以使用他们认为合适数量的承包人装备、临时工程和材料。</w:t>
      </w:r>
    </w:p>
    <w:p w14:paraId="2B949949">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4）发包人解除本合同之后，发包人、监理人应通过协商和调查之后，尽快地确定并认证：</w:t>
      </w:r>
    </w:p>
    <w:p w14:paraId="553F2553">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A）发包人根据现场施工安排通知承包人现场验收已完工工程并核对工程量，承包人不予配合或未在发包人通知的时间签字确认工程量的，以发包人验收结果与发包人现场核对的工程量为准。已完成的工程质量不合格的，承包人应当完成全部整改并承担修复费用，承包人在发包人提出的合理时限内仍拒不整改的，发包人可委托第三方单位实施，相关所有费用在承包人结算款中扣除。由此导致工期延误的，按照合同中有关工期延误的违约责任条款执行。</w:t>
      </w:r>
    </w:p>
    <w:p w14:paraId="68D26D6F">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承包人应自已完成工程验收合格且确认工程量之日起30天内向发包人提交完整的结算资料，未按时提交结算资料或提交结算资料后未在发包人限定的时间内按要求补充、修改资料的，发包人有权不予支付工程价款。质量保证金扣留、退还属于合同的清理和结算条款，合同解除后，承包人仍应对其施工的工程承担缺陷保证责任与保修责任，发包人有权扣留3%的结算款作为质量保证金，保修期与缺陷责任期自工程竣工验收合格、双方完成工程款结算及资料移交之日起算。</w:t>
      </w:r>
    </w:p>
    <w:p w14:paraId="0E0ADC08">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（B）未使用或部分使用过的材料、承包人装备、临时工程的价值及其它承包人因本工程承包发生的费用，发包人概不负责。</w:t>
      </w:r>
    </w:p>
    <w:p w14:paraId="30FD7DAC">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C）在发包人解除本合同后，发包人、工程师有权要求承包人在收到发包人书面通知的【7】天内提供为本合同工程已经签订的提供任何货物或材料、劳务、服务、合同（协议），将在该等合同（协议）和（或）本合同中任何工程的施工协议的利益无偿转让给发包人。</w:t>
      </w:r>
    </w:p>
    <w:p w14:paraId="679799FB">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D）在本工程质量缺陷责任期满之后，再由发包人、工程师核清承包人实施和完成本工程质量保修期内应结算的费用，发包人有权从其中扣除承包人应支付的违约金、赔偿金以及已实际支付给承包人的各项费用。</w:t>
      </w:r>
    </w:p>
    <w:p w14:paraId="7BA9AD64">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5）发包人核查、确认后，发包人就承包人已完成的合格工程量进行结算，并扣除上述应扣款额之后的余额，承包人不得要求任何补偿。如果应扣款额超过承包人应得的款额，此超出部分款额应被视为承包人所欠债务，发包人有权向承包人追偿。</w:t>
      </w:r>
    </w:p>
    <w:p w14:paraId="2ECCA7A7">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6）承包人应在收到解除本合同的通知后，立即妥善做好已完工程和已购材料、设备的保护和移交工作，15天内无条件将施工人员全部撤离施工现场并将已完工程向发包人移交完毕(包括但不限于工作面移交，施工机械设备清场，施工剩余材料及建筑垃圾清运，施工人员的退场，临时设施的拆除清场及移交，施工临时用水用电移交等)。现场工程材料、设备及施工机具装备、临时设施等由发包人决定是由承包人转交其他承包人继续使用(承包人同意由发包人全权处置上述工程材料、设备及施工机具设备、临时设施等，并配合发包人完成相关的数量和价格确认工作)还是由承包人撤离现场。若发包人决定由承包人将承包人上述工程材料、设备及施工机具设备、临时设施等撤离现场的，承包人应当严格按时处理。否则，承包人留在现场的设备设施及任何其他物品视为放弃（丢弃），发包人可将其清理、处置，有关费用由承包人承担并且发包人可在本合同解除、终止之后安排其他单位进场施工。</w:t>
      </w:r>
    </w:p>
    <w:p w14:paraId="272A3FC1">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7）承包人必须在收到解除本合同书面通知后【7】天内向发包人、工程师移交所有工程资料和发包人交予承包人使用的图纸资料、材料/设备/设施/配件、工具或其他物品，否则发包人有权不支付任何款项，因承包人延长移交上述工程资料及设备设施造成发包人损失的，应承担全部赔偿责任。</w:t>
      </w:r>
    </w:p>
    <w:p w14:paraId="705AF25F">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8）合同解除后，发包人委托第三方进场施工的，承包人必须配合发包人（及第三方）办理相关报建的变更手续，如承包人在发包人要求的时限内未积极配合办理的，发包人有权不予支付任何款项，且每延迟一天，承包人应向发包人承担5万元的违约金，如违约金不足以弥补发包人损失的，发包人还有权向承包人追偿。</w:t>
      </w:r>
    </w:p>
    <w:p w14:paraId="6C934F64">
      <w:pPr>
        <w:numPr>
          <w:ilvl w:val="2"/>
          <w:numId w:val="0"/>
        </w:numPr>
        <w:adjustRightInd w:val="0"/>
        <w:snapToGrid w:val="0"/>
        <w:spacing w:line="360" w:lineRule="auto"/>
        <w:ind w:firstLine="420" w:firstLineChars="200"/>
        <w:jc w:val="left"/>
        <w:outlineLvl w:val="2"/>
        <w:rPr>
          <w:rFonts w:ascii="Times New Roman" w:hAnsi="Times New Roman"/>
          <w:szCs w:val="24"/>
          <w:highlight w:val="none"/>
        </w:rPr>
      </w:pPr>
      <w:r>
        <w:rPr>
          <w:rFonts w:hint="eastAsia" w:ascii="Times New Roman" w:hAnsi="Times New Roman"/>
          <w:szCs w:val="24"/>
          <w:highlight w:val="none"/>
        </w:rPr>
        <w:t>24.3 合同解除的其它条件：</w:t>
      </w:r>
    </w:p>
    <w:p w14:paraId="7D94357D">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1）发包人在与承包人签订本合同前，发现承包人的投标文件中存在不符合招标文件资格审查要求的，投标文件中有弄虚作假的，或则投标文件中带有附加性条件等未完全响应招标文件实质性内容的情形的，发包人有权取消承包人的中标资格，不予退还投标担保金；在签订本合同后，发包人发现承包人存在前述情形的，发包人有权单方解除本合同、不予退还履约担保，并要求承包人赔偿因此给发包人造成的损失（包括但不限于重新招标选择施工单位的费用损失及工期延误的损失等）。</w:t>
      </w:r>
    </w:p>
    <w:p w14:paraId="68A81B1C">
      <w:pPr>
        <w:adjustRightInd w:val="0"/>
        <w:snapToGrid w:val="0"/>
        <w:spacing w:line="360" w:lineRule="auto"/>
        <w:ind w:firstLine="420" w:firstLineChars="200"/>
        <w:rPr>
          <w:rFonts w:ascii="Times New Roman" w:hAnsi="Times New Roman"/>
          <w:szCs w:val="24"/>
          <w:highlight w:val="none"/>
        </w:rPr>
      </w:pPr>
      <w:r>
        <w:rPr>
          <w:rFonts w:hint="eastAsia" w:ascii="Times New Roman" w:hAnsi="Times New Roman"/>
          <w:szCs w:val="24"/>
          <w:highlight w:val="none"/>
        </w:rPr>
        <w:t>（2）本合同签订后发现承包人被列入失信被执行人名单且无法在14日内解决并提供有效执行证明的，发包人有权单方解除合同。承包人因上述原因解除合同的，无权要求任何补偿或者赔偿，且承包人应当赔偿由此给发包人造成的损失。</w:t>
      </w:r>
    </w:p>
    <w:p w14:paraId="4005424B">
      <w:pPr>
        <w:keepNext/>
        <w:keepLines/>
        <w:numPr>
          <w:ilvl w:val="0"/>
          <w:numId w:val="4"/>
        </w:numPr>
        <w:adjustRightInd w:val="0"/>
        <w:snapToGrid w:val="0"/>
        <w:spacing w:line="360" w:lineRule="auto"/>
        <w:outlineLvl w:val="0"/>
        <w:rPr>
          <w:rFonts w:ascii="宋体" w:hAnsi="宋体"/>
          <w:b/>
          <w:bCs/>
          <w:kern w:val="44"/>
          <w:sz w:val="28"/>
          <w:szCs w:val="44"/>
          <w:highlight w:val="none"/>
        </w:rPr>
      </w:pPr>
      <w:bookmarkStart w:id="683" w:name="_Toc8956"/>
      <w:bookmarkStart w:id="684" w:name="_Toc167701775"/>
      <w:bookmarkStart w:id="685" w:name="_Toc27466"/>
      <w:bookmarkStart w:id="686" w:name="_Toc2610"/>
      <w:bookmarkStart w:id="687" w:name="_Toc167975599"/>
      <w:bookmarkStart w:id="688" w:name="_Toc31709"/>
      <w:bookmarkStart w:id="689" w:name="_Toc20490"/>
      <w:bookmarkStart w:id="690" w:name="_Toc19700"/>
      <w:bookmarkStart w:id="691" w:name="_Toc3705"/>
      <w:bookmarkStart w:id="692" w:name="_Toc18773"/>
      <w:bookmarkStart w:id="693" w:name="_Toc24991"/>
      <w:bookmarkStart w:id="694" w:name="_Toc1241"/>
      <w:bookmarkStart w:id="695" w:name="_Toc25668"/>
      <w:bookmarkStart w:id="696" w:name="_Toc31499"/>
      <w:bookmarkStart w:id="697" w:name="_Toc4225"/>
      <w:bookmarkStart w:id="698" w:name="_Toc167701674"/>
      <w:r>
        <w:rPr>
          <w:rFonts w:hint="eastAsia" w:ascii="宋体" w:hAnsi="宋体"/>
          <w:b/>
          <w:bCs/>
          <w:kern w:val="44"/>
          <w:sz w:val="28"/>
          <w:szCs w:val="44"/>
          <w:highlight w:val="none"/>
        </w:rPr>
        <w:t>不良履约的结果应用</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71C3FE89">
      <w:pPr>
        <w:autoSpaceDE w:val="0"/>
        <w:autoSpaceDN w:val="0"/>
        <w:adjustRightInd w:val="0"/>
        <w:spacing w:line="360" w:lineRule="auto"/>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25.1承包人承诺遵守发包人已制定或修订的项目管理规定和要求（详见合同相关附件）。</w:t>
      </w:r>
    </w:p>
    <w:p w14:paraId="7577EDA1">
      <w:pPr>
        <w:autoSpaceDE w:val="0"/>
        <w:autoSpaceDN w:val="0"/>
        <w:adjustRightInd w:val="0"/>
        <w:spacing w:line="360" w:lineRule="auto"/>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25.2发包人可将本合同承包人履约情况及时通报上级单位广东粤海控股集团有限公司（下称“粤海集团”）。粤海集团有权对承包人的履约情况进行评价（含扣分处理），有权对粤海集团系内承包商进行统筹考核排名并在粤海集团及其下属公司范围内进行公示。</w:t>
      </w:r>
    </w:p>
    <w:p w14:paraId="6B0F92A2">
      <w:pPr>
        <w:autoSpaceDE w:val="0"/>
        <w:autoSpaceDN w:val="0"/>
        <w:adjustRightInd w:val="0"/>
        <w:spacing w:line="360" w:lineRule="auto"/>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25.3发包人可将承包人拒不履行合同、不诚信行为或廉洁问题等情况向信用评级机构以及行业主管部门等披露或报送；</w:t>
      </w:r>
    </w:p>
    <w:p w14:paraId="1E95636E">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25.4承包人承诺参加粤海集团及其下属公司招标采购项目时，能够如实披露其在粤海集团系内过往履约、评分情况，并接受发包人及粤海集团制定的招标评分规则中对应的扣分规定。</w:t>
      </w:r>
    </w:p>
    <w:p w14:paraId="62BCF20A">
      <w:pPr>
        <w:pStyle w:val="56"/>
        <w:ind w:firstLine="420"/>
        <w:rPr>
          <w:rFonts w:hint="eastAsia" w:ascii="宋体" w:hAnsi="宋体" w:eastAsia="宋体" w:cs="宋体"/>
          <w:color w:val="auto"/>
          <w:kern w:val="2"/>
          <w:szCs w:val="21"/>
          <w:highlight w:val="none"/>
        </w:rPr>
      </w:pPr>
      <w:bookmarkStart w:id="699" w:name="OLE_LINK48"/>
      <w:r>
        <w:rPr>
          <w:rFonts w:hint="eastAsia" w:ascii="宋体" w:hAnsi="宋体" w:eastAsia="宋体" w:cs="宋体"/>
          <w:color w:val="auto"/>
          <w:kern w:val="2"/>
          <w:szCs w:val="21"/>
          <w:highlight w:val="none"/>
        </w:rPr>
        <w:t>25.5</w:t>
      </w:r>
      <w:r>
        <w:rPr>
          <w:rFonts w:hint="eastAsia" w:ascii="宋体" w:hAnsi="宋体" w:eastAsia="宋体" w:cs="宋体"/>
          <w:color w:val="auto"/>
          <w:kern w:val="2"/>
          <w:szCs w:val="21"/>
          <w:highlight w:val="none"/>
          <w:lang w:val="en-US" w:eastAsia="zh-CN"/>
        </w:rPr>
        <w:t>承</w:t>
      </w:r>
      <w:r>
        <w:rPr>
          <w:rFonts w:hint="eastAsia" w:ascii="宋体" w:hAnsi="宋体" w:eastAsia="宋体" w:cs="宋体"/>
          <w:color w:val="auto"/>
          <w:kern w:val="2"/>
          <w:szCs w:val="21"/>
          <w:highlight w:val="none"/>
        </w:rPr>
        <w:t>包人在本合同履行期间，出现合同附件</w:t>
      </w:r>
      <w:r>
        <w:rPr>
          <w:rFonts w:hint="eastAsia" w:ascii="宋体" w:hAnsi="宋体" w:eastAsia="宋体" w:cs="宋体"/>
          <w:color w:val="auto"/>
          <w:kern w:val="2"/>
          <w:szCs w:val="21"/>
          <w:highlight w:val="none"/>
          <w:lang w:eastAsia="zh-CN"/>
        </w:rPr>
        <w:t>1</w:t>
      </w: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所述严重不良行为，发包人及其关联公司均有权将在后续的招标采购项目中将其列为拒绝合作对象，时效按合同附件</w:t>
      </w:r>
      <w:r>
        <w:rPr>
          <w:rFonts w:hint="eastAsia" w:ascii="宋体" w:hAnsi="宋体" w:eastAsia="宋体" w:cs="宋体"/>
          <w:color w:val="auto"/>
          <w:kern w:val="2"/>
          <w:szCs w:val="21"/>
          <w:highlight w:val="none"/>
          <w:lang w:eastAsia="zh-CN"/>
        </w:rPr>
        <w:t>1</w:t>
      </w: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对应情形的规定执行。</w:t>
      </w:r>
      <w:bookmarkEnd w:id="699"/>
    </w:p>
    <w:p w14:paraId="7B9DE903">
      <w:pPr>
        <w:keepNext/>
        <w:keepLines/>
        <w:numPr>
          <w:ilvl w:val="0"/>
          <w:numId w:val="4"/>
        </w:numPr>
        <w:adjustRightInd w:val="0"/>
        <w:snapToGrid w:val="0"/>
        <w:spacing w:line="360" w:lineRule="auto"/>
        <w:outlineLvl w:val="0"/>
        <w:rPr>
          <w:rFonts w:ascii="宋体" w:hAnsi="宋体"/>
          <w:b/>
          <w:bCs/>
          <w:kern w:val="44"/>
          <w:sz w:val="28"/>
          <w:szCs w:val="44"/>
          <w:highlight w:val="none"/>
        </w:rPr>
      </w:pPr>
      <w:bookmarkStart w:id="700" w:name="_Toc167975600"/>
      <w:bookmarkStart w:id="701" w:name="_Toc18716"/>
      <w:bookmarkStart w:id="702" w:name="_Toc4367"/>
      <w:bookmarkStart w:id="703" w:name="_Toc29739"/>
      <w:bookmarkStart w:id="704" w:name="_Toc29824"/>
      <w:bookmarkStart w:id="705" w:name="_Toc32023"/>
      <w:bookmarkStart w:id="706" w:name="_Toc32710"/>
      <w:bookmarkStart w:id="707" w:name="_Toc9037"/>
      <w:bookmarkStart w:id="708" w:name="_Toc167701675"/>
      <w:bookmarkStart w:id="709" w:name="_Toc18798"/>
      <w:bookmarkStart w:id="710" w:name="_Toc14482"/>
      <w:bookmarkStart w:id="711" w:name="_Toc12266"/>
      <w:bookmarkStart w:id="712" w:name="_Toc32099"/>
      <w:bookmarkStart w:id="713" w:name="_Toc31685"/>
      <w:bookmarkStart w:id="714" w:name="_Toc23863"/>
      <w:bookmarkStart w:id="715" w:name="_Toc167701776"/>
      <w:r>
        <w:rPr>
          <w:rFonts w:hint="eastAsia" w:ascii="宋体" w:hAnsi="宋体"/>
          <w:b/>
          <w:bCs/>
          <w:kern w:val="44"/>
          <w:sz w:val="28"/>
          <w:szCs w:val="44"/>
          <w:highlight w:val="none"/>
        </w:rPr>
        <w:t>其他条款</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73C71E32">
      <w:pPr>
        <w:pStyle w:val="56"/>
        <w:ind w:firstLine="420"/>
        <w:rPr>
          <w:rFonts w:ascii="宋体" w:hAnsi="宋体" w:eastAsia="宋体" w:cs="宋体"/>
          <w:color w:val="auto"/>
          <w:kern w:val="2"/>
          <w:szCs w:val="21"/>
          <w:highlight w:val="none"/>
        </w:rPr>
      </w:pPr>
      <w:r>
        <w:rPr>
          <w:rFonts w:hint="eastAsia" w:ascii="宋体" w:hAnsi="宋体" w:eastAsia="宋体" w:cs="宋体"/>
          <w:color w:val="auto"/>
          <w:kern w:val="2"/>
          <w:szCs w:val="21"/>
          <w:highlight w:val="none"/>
        </w:rPr>
        <w:t>双方确认，本合同所确定当事人之间的权利和义务，双方均已采取合理的方式向对方进行了提示，对于免除或者减轻其责任等与对方有重大利害关系的条款，双方均已按对方的要求，对该条款的真实意思表示进行了沟通说明。任何一方不会以没有注意或者理解与其有重大利害关系的条款为由主张该条款不构成合同内容或合同无效。</w:t>
      </w:r>
    </w:p>
    <w:p w14:paraId="32643838">
      <w:pPr>
        <w:pStyle w:val="56"/>
        <w:widowControl/>
        <w:numPr>
          <w:ilvl w:val="255"/>
          <w:numId w:val="0"/>
        </w:numPr>
        <w:rPr>
          <w:rFonts w:ascii="宋体" w:hAnsi="宋体" w:cs="宋体"/>
          <w:b/>
          <w:color w:val="auto"/>
          <w:highlight w:val="none"/>
          <w:u w:val="single"/>
        </w:rPr>
      </w:pPr>
    </w:p>
    <w:p w14:paraId="3AE530B0">
      <w:pPr>
        <w:pStyle w:val="56"/>
        <w:widowControl/>
        <w:numPr>
          <w:ilvl w:val="255"/>
          <w:numId w:val="0"/>
        </w:numPr>
        <w:rPr>
          <w:rFonts w:ascii="宋体" w:hAnsi="宋体" w:cs="宋体"/>
          <w:b/>
          <w:color w:val="auto"/>
          <w:highlight w:val="none"/>
          <w:u w:val="none"/>
        </w:rPr>
      </w:pPr>
    </w:p>
    <w:p w14:paraId="232CEBE5">
      <w:pPr>
        <w:pStyle w:val="56"/>
        <w:widowControl/>
        <w:numPr>
          <w:ilvl w:val="255"/>
          <w:numId w:val="0"/>
        </w:numPr>
        <w:rPr>
          <w:rFonts w:ascii="宋体" w:hAnsi="宋体" w:cs="宋体"/>
          <w:b/>
          <w:color w:val="auto"/>
          <w:sz w:val="24"/>
          <w:szCs w:val="24"/>
          <w:highlight w:val="none"/>
          <w:u w:val="none"/>
        </w:rPr>
      </w:pPr>
      <w:r>
        <w:rPr>
          <w:rFonts w:hint="eastAsia" w:ascii="宋体" w:hAnsi="宋体" w:eastAsia="宋体" w:cs="宋体"/>
          <w:b/>
          <w:color w:val="auto"/>
          <w:sz w:val="24"/>
          <w:szCs w:val="24"/>
          <w:highlight w:val="none"/>
          <w:u w:val="none"/>
        </w:rPr>
        <w:t>合同附件</w:t>
      </w:r>
      <w:bookmarkEnd w:id="96"/>
    </w:p>
    <w:p w14:paraId="4E64B47E">
      <w:pPr>
        <w:widowControl/>
        <w:jc w:val="left"/>
        <w:rPr>
          <w:b/>
          <w:sz w:val="24"/>
          <w:szCs w:val="24"/>
          <w:highlight w:val="none"/>
        </w:rPr>
      </w:pPr>
    </w:p>
    <w:p w14:paraId="6D3CDD82">
      <w:pPr>
        <w:pStyle w:val="56"/>
        <w:ind w:firstLine="420" w:firstLineChars="0"/>
        <w:rPr>
          <w:rFonts w:hint="eastAsia" w:ascii="宋体" w:hAnsi="宋体" w:eastAsia="宋体" w:cs="宋体"/>
          <w:color w:val="auto"/>
          <w:kern w:val="2"/>
          <w:szCs w:val="21"/>
          <w:highlight w:val="none"/>
        </w:rPr>
      </w:pPr>
      <w:bookmarkStart w:id="716" w:name="_Toc40186514"/>
      <w:r>
        <w:rPr>
          <w:rFonts w:hint="eastAsia" w:ascii="宋体" w:hAnsi="宋体" w:eastAsia="宋体" w:cs="宋体"/>
          <w:color w:val="auto"/>
          <w:kern w:val="2"/>
          <w:szCs w:val="21"/>
          <w:highlight w:val="none"/>
        </w:rPr>
        <w:t>附件1 合同范围及边界</w:t>
      </w:r>
      <w:bookmarkEnd w:id="716"/>
    </w:p>
    <w:p w14:paraId="4E4B3855">
      <w:pPr>
        <w:pStyle w:val="56"/>
        <w:ind w:firstLine="420" w:firstLineChars="0"/>
        <w:rPr>
          <w:rFonts w:hint="eastAsia" w:ascii="宋体" w:hAnsi="宋体" w:eastAsia="宋体" w:cs="宋体"/>
          <w:color w:val="auto"/>
          <w:kern w:val="2"/>
          <w:szCs w:val="21"/>
          <w:highlight w:val="none"/>
        </w:rPr>
      </w:pPr>
      <w:bookmarkStart w:id="717" w:name="_Toc40186515"/>
      <w:r>
        <w:rPr>
          <w:rFonts w:hint="eastAsia" w:ascii="宋体" w:hAnsi="宋体" w:eastAsia="宋体" w:cs="宋体"/>
          <w:color w:val="auto"/>
          <w:kern w:val="2"/>
          <w:szCs w:val="21"/>
          <w:highlight w:val="none"/>
        </w:rPr>
        <w:t>附件2 施工技术要求（另册）</w:t>
      </w:r>
      <w:bookmarkEnd w:id="717"/>
    </w:p>
    <w:p w14:paraId="6BC22557">
      <w:pPr>
        <w:pStyle w:val="56"/>
        <w:ind w:firstLine="420" w:firstLineChars="0"/>
        <w:rPr>
          <w:rFonts w:hint="eastAsia" w:ascii="宋体" w:hAnsi="宋体" w:eastAsia="宋体" w:cs="宋体"/>
          <w:color w:val="auto"/>
          <w:kern w:val="2"/>
          <w:szCs w:val="21"/>
          <w:highlight w:val="none"/>
        </w:rPr>
      </w:pPr>
      <w:bookmarkStart w:id="718" w:name="_Toc40186516"/>
      <w:r>
        <w:rPr>
          <w:rFonts w:hint="eastAsia" w:ascii="宋体" w:hAnsi="宋体" w:eastAsia="宋体" w:cs="宋体"/>
          <w:color w:val="auto"/>
          <w:kern w:val="2"/>
          <w:szCs w:val="21"/>
          <w:highlight w:val="none"/>
        </w:rPr>
        <w:t xml:space="preserve">附件3 材料设备品牌推荐（另册）     </w:t>
      </w:r>
      <w:bookmarkEnd w:id="718"/>
    </w:p>
    <w:p w14:paraId="5DFD7D7E">
      <w:pPr>
        <w:pStyle w:val="56"/>
        <w:ind w:firstLine="420" w:firstLineChars="0"/>
        <w:rPr>
          <w:rFonts w:hint="eastAsia" w:ascii="宋体" w:hAnsi="宋体" w:eastAsia="宋体" w:cs="宋体"/>
          <w:color w:val="auto"/>
          <w:kern w:val="2"/>
          <w:szCs w:val="21"/>
          <w:highlight w:val="none"/>
        </w:rPr>
      </w:pPr>
      <w:bookmarkStart w:id="719" w:name="_Toc40186517"/>
      <w:r>
        <w:rPr>
          <w:rFonts w:hint="eastAsia" w:ascii="宋体" w:hAnsi="宋体" w:eastAsia="宋体" w:cs="宋体"/>
          <w:color w:val="auto"/>
          <w:kern w:val="2"/>
          <w:szCs w:val="21"/>
          <w:highlight w:val="none"/>
        </w:rPr>
        <w:t xml:space="preserve">附件4 已标价工程量清单（另册）   </w:t>
      </w:r>
      <w:bookmarkEnd w:id="719"/>
    </w:p>
    <w:p w14:paraId="2B628511">
      <w:pPr>
        <w:pStyle w:val="56"/>
        <w:ind w:firstLine="420" w:firstLineChars="0"/>
        <w:rPr>
          <w:rFonts w:hint="eastAsia" w:ascii="宋体" w:hAnsi="宋体" w:eastAsia="宋体" w:cs="宋体"/>
          <w:color w:val="auto"/>
          <w:kern w:val="2"/>
          <w:szCs w:val="21"/>
          <w:highlight w:val="none"/>
        </w:rPr>
      </w:pPr>
      <w:bookmarkStart w:id="720" w:name="_Toc40186519"/>
      <w:r>
        <w:rPr>
          <w:rFonts w:hint="eastAsia" w:ascii="宋体" w:hAnsi="宋体" w:eastAsia="宋体" w:cs="宋体"/>
          <w:color w:val="auto"/>
          <w:kern w:val="2"/>
          <w:szCs w:val="21"/>
          <w:highlight w:val="none"/>
        </w:rPr>
        <w:t xml:space="preserve">附件5 图纸目录（另册）    </w:t>
      </w:r>
      <w:bookmarkEnd w:id="720"/>
    </w:p>
    <w:p w14:paraId="64740C40">
      <w:pPr>
        <w:pStyle w:val="56"/>
        <w:ind w:firstLine="420" w:firstLineChars="0"/>
        <w:rPr>
          <w:rFonts w:hint="eastAsia" w:ascii="宋体" w:hAnsi="宋体" w:eastAsia="宋体" w:cs="宋体"/>
          <w:color w:val="auto"/>
          <w:kern w:val="2"/>
          <w:szCs w:val="21"/>
          <w:highlight w:val="none"/>
        </w:rPr>
      </w:pPr>
      <w:bookmarkStart w:id="721" w:name="_Toc40186521"/>
      <w:r>
        <w:rPr>
          <w:rFonts w:hint="eastAsia" w:ascii="宋体" w:hAnsi="宋体" w:eastAsia="宋体" w:cs="宋体"/>
          <w:color w:val="auto"/>
          <w:kern w:val="2"/>
          <w:szCs w:val="21"/>
          <w:highlight w:val="none"/>
        </w:rPr>
        <w:t xml:space="preserve">附件6 履约保函（样式）  </w:t>
      </w:r>
      <w:bookmarkEnd w:id="721"/>
    </w:p>
    <w:p w14:paraId="19C09198">
      <w:pPr>
        <w:pStyle w:val="56"/>
        <w:ind w:firstLine="420" w:firstLineChars="0"/>
        <w:rPr>
          <w:rFonts w:hint="eastAsia" w:ascii="宋体" w:hAnsi="宋体" w:eastAsia="宋体" w:cs="宋体"/>
          <w:color w:val="auto"/>
          <w:kern w:val="2"/>
          <w:szCs w:val="21"/>
          <w:highlight w:val="none"/>
        </w:rPr>
      </w:pPr>
      <w:bookmarkStart w:id="722" w:name="_Toc40186522"/>
      <w:r>
        <w:rPr>
          <w:rFonts w:hint="eastAsia" w:ascii="宋体" w:hAnsi="宋体" w:eastAsia="宋体" w:cs="宋体"/>
          <w:color w:val="auto"/>
          <w:kern w:val="2"/>
          <w:szCs w:val="21"/>
          <w:highlight w:val="none"/>
        </w:rPr>
        <w:t xml:space="preserve">附件7 工程质量保修书 </w:t>
      </w:r>
      <w:bookmarkEnd w:id="722"/>
    </w:p>
    <w:p w14:paraId="47FECA3D">
      <w:pPr>
        <w:pStyle w:val="56"/>
        <w:ind w:firstLine="420" w:firstLineChars="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附件8 工程建设项目廉政责任书</w:t>
      </w:r>
    </w:p>
    <w:p w14:paraId="0C06AC33">
      <w:pPr>
        <w:pStyle w:val="56"/>
        <w:ind w:firstLine="420" w:firstLineChars="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附件9 工程建设资金拨付管理办法及实施细则</w:t>
      </w:r>
    </w:p>
    <w:p w14:paraId="068E0424">
      <w:pPr>
        <w:pStyle w:val="56"/>
        <w:ind w:firstLine="420" w:firstLineChars="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附件10安全生产不良行为扣分条款</w:t>
      </w:r>
    </w:p>
    <w:p w14:paraId="32399AA8">
      <w:pPr>
        <w:pStyle w:val="56"/>
        <w:ind w:firstLine="420" w:firstLineChars="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附件11深化设计图申报表</w:t>
      </w:r>
    </w:p>
    <w:p w14:paraId="7C2D1344">
      <w:pPr>
        <w:pStyle w:val="56"/>
        <w:ind w:firstLine="420" w:firstLineChars="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附件12拟投人员一览表（按投标文件）</w:t>
      </w:r>
    </w:p>
    <w:p w14:paraId="30B2CC07">
      <w:pPr>
        <w:pStyle w:val="56"/>
        <w:ind w:firstLine="420" w:firstLineChars="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附件13质量风险检查表（另册）</w:t>
      </w:r>
    </w:p>
    <w:p w14:paraId="24275FD5">
      <w:pPr>
        <w:pStyle w:val="56"/>
        <w:ind w:firstLine="420" w:firstLineChars="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附件1</w:t>
      </w: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粤海置地建设工程安全文明施工标准化图册（另册）</w:t>
      </w:r>
    </w:p>
    <w:p w14:paraId="7017A28D">
      <w:pPr>
        <w:pStyle w:val="56"/>
        <w:ind w:firstLine="420" w:firstLineChars="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附件</w:t>
      </w:r>
      <w:r>
        <w:rPr>
          <w:rFonts w:hint="eastAsia" w:ascii="宋体" w:hAnsi="宋体" w:eastAsia="宋体" w:cs="宋体"/>
          <w:color w:val="auto"/>
          <w:kern w:val="2"/>
          <w:szCs w:val="21"/>
          <w:highlight w:val="none"/>
          <w:lang w:val="en-US" w:eastAsia="zh-CN"/>
        </w:rPr>
        <w:t>15</w:t>
      </w:r>
      <w:r>
        <w:rPr>
          <w:rFonts w:hint="eastAsia" w:ascii="宋体" w:hAnsi="宋体" w:eastAsia="宋体" w:cs="宋体"/>
          <w:color w:val="auto"/>
          <w:kern w:val="2"/>
          <w:szCs w:val="21"/>
          <w:highlight w:val="none"/>
        </w:rPr>
        <w:t xml:space="preserve"> 建安类供方严重不良行为清单（另册）</w:t>
      </w:r>
    </w:p>
    <w:p w14:paraId="4FC9DB74">
      <w:pPr>
        <w:pStyle w:val="56"/>
        <w:ind w:firstLine="420" w:firstLineChars="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附件</w:t>
      </w:r>
      <w:r>
        <w:rPr>
          <w:rFonts w:hint="eastAsia" w:ascii="宋体" w:hAnsi="宋体" w:eastAsia="宋体" w:cs="宋体"/>
          <w:color w:val="auto"/>
          <w:kern w:val="2"/>
          <w:szCs w:val="21"/>
          <w:highlight w:val="none"/>
          <w:lang w:val="en-US" w:eastAsia="zh-CN"/>
        </w:rPr>
        <w:t>16</w:t>
      </w:r>
      <w:r>
        <w:rPr>
          <w:rFonts w:hint="eastAsia" w:ascii="宋体" w:hAnsi="宋体" w:eastAsia="宋体" w:cs="宋体"/>
          <w:color w:val="auto"/>
          <w:kern w:val="2"/>
          <w:szCs w:val="21"/>
          <w:highlight w:val="none"/>
        </w:rPr>
        <w:t xml:space="preserve"> </w:t>
      </w:r>
      <w:r>
        <w:rPr>
          <w:rFonts w:hint="eastAsia" w:ascii="宋体" w:hAnsi="宋体" w:eastAsia="宋体" w:cs="宋体"/>
          <w:color w:val="auto"/>
          <w:kern w:val="2"/>
          <w:szCs w:val="21"/>
          <w:highlight w:val="none"/>
          <w:lang w:val="en-US" w:eastAsia="zh-CN"/>
        </w:rPr>
        <w:t>答疑澄清纪要</w:t>
      </w:r>
      <w:r>
        <w:rPr>
          <w:rFonts w:hint="eastAsia" w:ascii="宋体" w:hAnsi="宋体" w:eastAsia="宋体" w:cs="宋体"/>
          <w:color w:val="auto"/>
          <w:kern w:val="2"/>
          <w:szCs w:val="21"/>
          <w:highlight w:val="none"/>
        </w:rPr>
        <w:t>（另册）</w:t>
      </w:r>
    </w:p>
    <w:p w14:paraId="629F047E">
      <w:pPr>
        <w:pStyle w:val="56"/>
        <w:ind w:firstLine="420" w:firstLineChars="0"/>
        <w:rPr>
          <w:rFonts w:hint="default"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附件17 投标承诺函（按投标文件）</w:t>
      </w:r>
    </w:p>
    <w:p w14:paraId="79A27E7C">
      <w:pPr>
        <w:pStyle w:val="2"/>
        <w:spacing w:before="0" w:after="0" w:line="240" w:lineRule="auto"/>
        <w:rPr>
          <w:highlight w:val="none"/>
        </w:rPr>
        <w:sectPr>
          <w:headerReference r:id="rId7" w:type="first"/>
          <w:footerReference r:id="rId9" w:type="first"/>
          <w:headerReference r:id="rId6" w:type="default"/>
          <w:footerReference r:id="rId8" w:type="default"/>
          <w:pgSz w:w="11906" w:h="16838"/>
          <w:pgMar w:top="851" w:right="1134" w:bottom="851" w:left="1134" w:header="680" w:footer="680" w:gutter="0"/>
          <w:cols w:space="720" w:num="1"/>
          <w:titlePg/>
          <w:docGrid w:linePitch="312" w:charSpace="0"/>
        </w:sectPr>
      </w:pPr>
      <w:r>
        <w:rPr>
          <w:highlight w:val="none"/>
        </w:rPr>
        <w:br w:type="page"/>
      </w:r>
      <w:bookmarkStart w:id="723" w:name="_Toc23953"/>
      <w:bookmarkStart w:id="724" w:name="_Toc10027"/>
      <w:bookmarkStart w:id="725" w:name="_Toc27297"/>
      <w:bookmarkStart w:id="726" w:name="_Toc44492628"/>
      <w:bookmarkStart w:id="727" w:name="_Toc44227951"/>
    </w:p>
    <w:p w14:paraId="458E74CC">
      <w:pPr>
        <w:pStyle w:val="2"/>
        <w:spacing w:before="0" w:after="0" w:line="240" w:lineRule="auto"/>
        <w:rPr>
          <w:rFonts w:ascii="宋体" w:hAnsi="宋体"/>
          <w:sz w:val="21"/>
          <w:szCs w:val="21"/>
          <w:highlight w:val="none"/>
        </w:rPr>
      </w:pPr>
      <w:bookmarkStart w:id="728" w:name="_Toc167975601"/>
      <w:r>
        <w:rPr>
          <w:rFonts w:hint="eastAsia" w:ascii="宋体" w:hAnsi="宋体"/>
          <w:sz w:val="21"/>
          <w:szCs w:val="21"/>
          <w:highlight w:val="none"/>
        </w:rPr>
        <w:t>附件</w:t>
      </w:r>
      <w:r>
        <w:rPr>
          <w:rFonts w:ascii="宋体" w:hAnsi="宋体"/>
          <w:sz w:val="21"/>
          <w:szCs w:val="21"/>
          <w:highlight w:val="none"/>
        </w:rPr>
        <w:t xml:space="preserve">1 </w:t>
      </w:r>
      <w:r>
        <w:rPr>
          <w:rFonts w:hint="eastAsia" w:ascii="宋体" w:hAnsi="宋体"/>
          <w:sz w:val="21"/>
          <w:szCs w:val="21"/>
          <w:highlight w:val="none"/>
        </w:rPr>
        <w:t>合同范围及边界</w:t>
      </w:r>
      <w:bookmarkEnd w:id="723"/>
      <w:bookmarkEnd w:id="728"/>
    </w:p>
    <w:tbl>
      <w:tblPr>
        <w:tblStyle w:val="4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5736"/>
        <w:gridCol w:w="1297"/>
        <w:gridCol w:w="1176"/>
        <w:gridCol w:w="1189"/>
      </w:tblGrid>
      <w:tr w14:paraId="43B4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065E">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highlight w:val="none"/>
                <w:u w:val="none"/>
              </w:rPr>
            </w:pPr>
            <w:r>
              <w:rPr>
                <w:rFonts w:hint="eastAsia" w:ascii="宋体" w:hAnsi="宋体" w:cs="宋体"/>
                <w:b/>
                <w:bCs/>
                <w:color w:val="000000"/>
                <w:kern w:val="0"/>
                <w:sz w:val="28"/>
                <w:szCs w:val="28"/>
                <w:highlight w:val="none"/>
                <w:u w:val="none"/>
                <w:lang w:bidi="ar"/>
              </w:rPr>
              <w:t>云港城项目4#地块T2栋及附属裙楼幕墙工程</w:t>
            </w:r>
            <w:r>
              <w:rPr>
                <w:rFonts w:hint="eastAsia" w:ascii="宋体" w:hAnsi="宋体" w:eastAsia="宋体" w:cs="宋体"/>
                <w:b/>
                <w:bCs/>
                <w:i w:val="0"/>
                <w:iCs w:val="0"/>
                <w:color w:val="000000"/>
                <w:kern w:val="0"/>
                <w:sz w:val="28"/>
                <w:szCs w:val="28"/>
                <w:highlight w:val="none"/>
                <w:u w:val="none"/>
                <w:lang w:val="en-US" w:eastAsia="zh-CN" w:bidi="ar"/>
              </w:rPr>
              <w:t>施工界面划分</w:t>
            </w:r>
          </w:p>
        </w:tc>
      </w:tr>
      <w:tr w14:paraId="2601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1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AB5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一、玻璃幕墙</w:t>
            </w:r>
          </w:p>
        </w:tc>
        <w:tc>
          <w:tcPr>
            <w:tcW w:w="1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38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供应及安装；C 配合</w:t>
            </w:r>
          </w:p>
        </w:tc>
      </w:tr>
      <w:tr w14:paraId="5F81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1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7BD2">
            <w:pPr>
              <w:jc w:val="left"/>
              <w:rPr>
                <w:rFonts w:hint="eastAsia" w:ascii="宋体" w:hAnsi="宋体" w:eastAsia="宋体" w:cs="宋体"/>
                <w:i w:val="0"/>
                <w:iCs w:val="0"/>
                <w:color w:val="000000"/>
                <w:sz w:val="24"/>
                <w:szCs w:val="24"/>
                <w:highlight w:val="none"/>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57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总包</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20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幕墙分包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E2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其他</w:t>
            </w:r>
            <w:r>
              <w:rPr>
                <w:rFonts w:hint="eastAsia" w:ascii="宋体" w:hAnsi="宋体" w:eastAsia="宋体" w:cs="宋体"/>
                <w:i w:val="0"/>
                <w:iCs w:val="0"/>
                <w:color w:val="000000"/>
                <w:kern w:val="0"/>
                <w:sz w:val="24"/>
                <w:szCs w:val="24"/>
                <w:highlight w:val="none"/>
                <w:u w:val="none"/>
                <w:lang w:val="en-US" w:eastAsia="zh-CN" w:bidi="ar"/>
              </w:rPr>
              <w:t>分包</w:t>
            </w:r>
          </w:p>
        </w:tc>
      </w:tr>
      <w:tr w14:paraId="2E72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36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5CD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测量放线</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8D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C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D01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E843">
            <w:pPr>
              <w:jc w:val="center"/>
              <w:rPr>
                <w:rFonts w:hint="eastAsia" w:ascii="宋体" w:hAnsi="宋体" w:eastAsia="宋体" w:cs="宋体"/>
                <w:i w:val="0"/>
                <w:iCs w:val="0"/>
                <w:color w:val="000000"/>
                <w:sz w:val="24"/>
                <w:szCs w:val="24"/>
                <w:highlight w:val="none"/>
                <w:u w:val="none"/>
              </w:rPr>
            </w:pPr>
          </w:p>
        </w:tc>
      </w:tr>
      <w:tr w14:paraId="29A89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89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6A8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预埋件</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45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C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32F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2377">
            <w:pPr>
              <w:jc w:val="center"/>
              <w:rPr>
                <w:rFonts w:hint="eastAsia" w:ascii="宋体" w:hAnsi="宋体" w:eastAsia="宋体" w:cs="宋体"/>
                <w:i w:val="0"/>
                <w:iCs w:val="0"/>
                <w:color w:val="000000"/>
                <w:sz w:val="24"/>
                <w:szCs w:val="24"/>
                <w:highlight w:val="none"/>
                <w:u w:val="none"/>
              </w:rPr>
            </w:pPr>
          </w:p>
        </w:tc>
      </w:tr>
      <w:tr w14:paraId="10F2A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4A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052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施工脚手架、环轨或吊篮</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BE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C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85F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DB23">
            <w:pPr>
              <w:jc w:val="center"/>
              <w:rPr>
                <w:rFonts w:hint="eastAsia" w:ascii="宋体" w:hAnsi="宋体" w:eastAsia="宋体" w:cs="宋体"/>
                <w:i w:val="0"/>
                <w:iCs w:val="0"/>
                <w:color w:val="000000"/>
                <w:sz w:val="24"/>
                <w:szCs w:val="24"/>
                <w:highlight w:val="none"/>
                <w:u w:val="none"/>
              </w:rPr>
            </w:pPr>
          </w:p>
        </w:tc>
      </w:tr>
      <w:tr w14:paraId="2C79F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01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A0B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后补埋板</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37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C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CC6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37EF">
            <w:pPr>
              <w:jc w:val="center"/>
              <w:rPr>
                <w:rFonts w:hint="eastAsia" w:ascii="宋体" w:hAnsi="宋体" w:eastAsia="宋体" w:cs="宋体"/>
                <w:i w:val="0"/>
                <w:iCs w:val="0"/>
                <w:color w:val="000000"/>
                <w:sz w:val="24"/>
                <w:szCs w:val="24"/>
                <w:highlight w:val="none"/>
                <w:u w:val="none"/>
              </w:rPr>
            </w:pPr>
          </w:p>
        </w:tc>
      </w:tr>
      <w:tr w14:paraId="5514A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30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57D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钢转换挑件</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5EA0">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6CE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1F9A">
            <w:pPr>
              <w:jc w:val="center"/>
              <w:rPr>
                <w:rFonts w:hint="eastAsia" w:ascii="宋体" w:hAnsi="宋体" w:eastAsia="宋体" w:cs="宋体"/>
                <w:i w:val="0"/>
                <w:iCs w:val="0"/>
                <w:color w:val="000000"/>
                <w:sz w:val="24"/>
                <w:szCs w:val="24"/>
                <w:highlight w:val="none"/>
                <w:u w:val="none"/>
              </w:rPr>
            </w:pPr>
          </w:p>
        </w:tc>
      </w:tr>
      <w:tr w14:paraId="48A0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AD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078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龙骨安装</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F412">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E5A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EC30">
            <w:pPr>
              <w:jc w:val="center"/>
              <w:rPr>
                <w:rFonts w:hint="eastAsia" w:ascii="宋体" w:hAnsi="宋体" w:eastAsia="宋体" w:cs="宋体"/>
                <w:i w:val="0"/>
                <w:iCs w:val="0"/>
                <w:color w:val="000000"/>
                <w:sz w:val="24"/>
                <w:szCs w:val="24"/>
                <w:highlight w:val="none"/>
                <w:u w:val="none"/>
              </w:rPr>
            </w:pPr>
          </w:p>
        </w:tc>
      </w:tr>
      <w:tr w14:paraId="396B1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1F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65E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外墙袋装岩棉保温施工</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5F4D">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552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8809">
            <w:pPr>
              <w:jc w:val="center"/>
              <w:rPr>
                <w:rFonts w:hint="eastAsia" w:ascii="宋体" w:hAnsi="宋体" w:eastAsia="宋体" w:cs="宋体"/>
                <w:i w:val="0"/>
                <w:iCs w:val="0"/>
                <w:color w:val="000000"/>
                <w:sz w:val="24"/>
                <w:szCs w:val="24"/>
                <w:highlight w:val="none"/>
                <w:u w:val="none"/>
              </w:rPr>
            </w:pPr>
          </w:p>
        </w:tc>
      </w:tr>
      <w:tr w14:paraId="1E5E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F8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F18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玻璃供货（含采购、加工、运输、现场转运等）</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2570">
            <w:pPr>
              <w:jc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7C8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7EE2">
            <w:pPr>
              <w:jc w:val="center"/>
              <w:rPr>
                <w:rFonts w:hint="eastAsia" w:ascii="宋体" w:hAnsi="宋体" w:eastAsia="宋体" w:cs="宋体"/>
                <w:i w:val="0"/>
                <w:iCs w:val="0"/>
                <w:color w:val="000000"/>
                <w:sz w:val="24"/>
                <w:szCs w:val="24"/>
                <w:highlight w:val="none"/>
                <w:u w:val="none"/>
              </w:rPr>
            </w:pPr>
          </w:p>
        </w:tc>
      </w:tr>
      <w:tr w14:paraId="600BB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D5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AEC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玻璃安装</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0E71">
            <w:pPr>
              <w:jc w:val="center"/>
              <w:rPr>
                <w:rFonts w:hint="eastAsia" w:ascii="宋体" w:hAnsi="宋体" w:eastAsia="宋体" w:cs="宋体"/>
                <w:b/>
                <w:bCs/>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64F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BDA6">
            <w:pPr>
              <w:jc w:val="center"/>
              <w:rPr>
                <w:rFonts w:hint="eastAsia" w:ascii="宋体" w:hAnsi="宋体" w:eastAsia="宋体" w:cs="宋体"/>
                <w:i w:val="0"/>
                <w:iCs w:val="0"/>
                <w:color w:val="000000"/>
                <w:sz w:val="24"/>
                <w:szCs w:val="24"/>
                <w:highlight w:val="none"/>
                <w:u w:val="none"/>
              </w:rPr>
            </w:pPr>
          </w:p>
        </w:tc>
      </w:tr>
      <w:tr w14:paraId="79E37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58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EC8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接缝打胶</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BD22">
            <w:pPr>
              <w:jc w:val="center"/>
              <w:rPr>
                <w:rFonts w:hint="eastAsia" w:ascii="宋体" w:hAnsi="宋体" w:eastAsia="宋体" w:cs="宋体"/>
                <w:b/>
                <w:bCs/>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9CE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D9B0">
            <w:pPr>
              <w:jc w:val="center"/>
              <w:rPr>
                <w:rFonts w:hint="eastAsia" w:ascii="宋体" w:hAnsi="宋体" w:eastAsia="宋体" w:cs="宋体"/>
                <w:i w:val="0"/>
                <w:iCs w:val="0"/>
                <w:color w:val="000000"/>
                <w:sz w:val="24"/>
                <w:szCs w:val="24"/>
                <w:highlight w:val="none"/>
                <w:u w:val="none"/>
              </w:rPr>
            </w:pPr>
          </w:p>
        </w:tc>
      </w:tr>
      <w:tr w14:paraId="261B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F5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EF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防雷接地</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9A83">
            <w:pPr>
              <w:jc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5E9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DF05">
            <w:pPr>
              <w:jc w:val="center"/>
              <w:rPr>
                <w:rFonts w:hint="eastAsia" w:ascii="宋体" w:hAnsi="宋体" w:eastAsia="宋体" w:cs="宋体"/>
                <w:i w:val="0"/>
                <w:iCs w:val="0"/>
                <w:color w:val="000000"/>
                <w:sz w:val="24"/>
                <w:szCs w:val="24"/>
                <w:highlight w:val="none"/>
                <w:u w:val="none"/>
              </w:rPr>
            </w:pPr>
          </w:p>
        </w:tc>
      </w:tr>
      <w:tr w14:paraId="6508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2D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393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淋水实验、保洁（含门窗外窗）</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5A47">
            <w:pPr>
              <w:jc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34C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2086">
            <w:pPr>
              <w:jc w:val="center"/>
              <w:rPr>
                <w:rFonts w:hint="eastAsia" w:ascii="宋体" w:hAnsi="宋体" w:eastAsia="宋体" w:cs="宋体"/>
                <w:i w:val="0"/>
                <w:iCs w:val="0"/>
                <w:color w:val="000000"/>
                <w:sz w:val="24"/>
                <w:szCs w:val="24"/>
                <w:highlight w:val="none"/>
                <w:u w:val="none"/>
              </w:rPr>
            </w:pPr>
          </w:p>
        </w:tc>
      </w:tr>
      <w:tr w14:paraId="3BDD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1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D64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二、外墙层间金属板装饰</w:t>
            </w:r>
          </w:p>
        </w:tc>
        <w:tc>
          <w:tcPr>
            <w:tcW w:w="1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2C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供应及安装；C 配合</w:t>
            </w:r>
          </w:p>
        </w:tc>
      </w:tr>
      <w:tr w14:paraId="2E67C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1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5061">
            <w:pPr>
              <w:jc w:val="left"/>
              <w:rPr>
                <w:rFonts w:hint="eastAsia" w:ascii="宋体" w:hAnsi="宋体" w:eastAsia="宋体" w:cs="宋体"/>
                <w:i w:val="0"/>
                <w:iCs w:val="0"/>
                <w:color w:val="000000"/>
                <w:sz w:val="24"/>
                <w:szCs w:val="24"/>
                <w:highlight w:val="none"/>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13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总包</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62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幕墙分包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23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其他</w:t>
            </w:r>
            <w:r>
              <w:rPr>
                <w:rFonts w:hint="eastAsia" w:ascii="宋体" w:hAnsi="宋体" w:eastAsia="宋体" w:cs="宋体"/>
                <w:i w:val="0"/>
                <w:iCs w:val="0"/>
                <w:color w:val="000000"/>
                <w:kern w:val="0"/>
                <w:sz w:val="24"/>
                <w:szCs w:val="24"/>
                <w:highlight w:val="none"/>
                <w:u w:val="none"/>
                <w:lang w:val="en-US" w:eastAsia="zh-CN" w:bidi="ar"/>
              </w:rPr>
              <w:t>分包</w:t>
            </w:r>
          </w:p>
        </w:tc>
      </w:tr>
      <w:tr w14:paraId="12C3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34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E7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施工脚手架或吊篮</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CB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C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DA7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59B5">
            <w:pPr>
              <w:jc w:val="center"/>
              <w:rPr>
                <w:rFonts w:hint="eastAsia" w:ascii="宋体" w:hAnsi="宋体" w:eastAsia="宋体" w:cs="宋体"/>
                <w:i w:val="0"/>
                <w:iCs w:val="0"/>
                <w:color w:val="000000"/>
                <w:sz w:val="24"/>
                <w:szCs w:val="24"/>
                <w:highlight w:val="none"/>
                <w:u w:val="none"/>
              </w:rPr>
            </w:pPr>
          </w:p>
        </w:tc>
      </w:tr>
      <w:tr w14:paraId="5807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84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687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测量放线</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1F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C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794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7702">
            <w:pPr>
              <w:jc w:val="center"/>
              <w:rPr>
                <w:rFonts w:hint="eastAsia" w:ascii="宋体" w:hAnsi="宋体" w:eastAsia="宋体" w:cs="宋体"/>
                <w:i w:val="0"/>
                <w:iCs w:val="0"/>
                <w:color w:val="000000"/>
                <w:sz w:val="24"/>
                <w:szCs w:val="24"/>
                <w:highlight w:val="none"/>
                <w:u w:val="none"/>
              </w:rPr>
            </w:pPr>
          </w:p>
        </w:tc>
      </w:tr>
      <w:tr w14:paraId="79540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76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F0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转换件及龙骨安装</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B93A">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782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C5BA">
            <w:pPr>
              <w:jc w:val="center"/>
              <w:rPr>
                <w:rFonts w:hint="eastAsia" w:ascii="宋体" w:hAnsi="宋体" w:eastAsia="宋体" w:cs="宋体"/>
                <w:i w:val="0"/>
                <w:iCs w:val="0"/>
                <w:color w:val="000000"/>
                <w:sz w:val="24"/>
                <w:szCs w:val="24"/>
                <w:highlight w:val="none"/>
                <w:u w:val="none"/>
              </w:rPr>
            </w:pPr>
          </w:p>
        </w:tc>
      </w:tr>
      <w:tr w14:paraId="43921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3A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79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外墙外保温</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AF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C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15F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2D91">
            <w:pPr>
              <w:jc w:val="center"/>
              <w:rPr>
                <w:rFonts w:hint="eastAsia" w:ascii="宋体" w:hAnsi="宋体" w:eastAsia="宋体" w:cs="宋体"/>
                <w:i w:val="0"/>
                <w:iCs w:val="0"/>
                <w:color w:val="000000"/>
                <w:sz w:val="24"/>
                <w:szCs w:val="24"/>
                <w:highlight w:val="none"/>
                <w:u w:val="none"/>
              </w:rPr>
            </w:pPr>
          </w:p>
        </w:tc>
      </w:tr>
      <w:tr w14:paraId="4CB6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69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7FC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金属板制安及打胶</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4816">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8EB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7A7C">
            <w:pPr>
              <w:jc w:val="center"/>
              <w:rPr>
                <w:rFonts w:hint="eastAsia" w:ascii="宋体" w:hAnsi="宋体" w:eastAsia="宋体" w:cs="宋体"/>
                <w:i w:val="0"/>
                <w:iCs w:val="0"/>
                <w:color w:val="000000"/>
                <w:sz w:val="24"/>
                <w:szCs w:val="24"/>
                <w:highlight w:val="none"/>
                <w:u w:val="none"/>
              </w:rPr>
            </w:pPr>
          </w:p>
        </w:tc>
      </w:tr>
      <w:tr w14:paraId="598B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5E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C1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防水密封打胶、保洁</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52CE">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425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F82B">
            <w:pPr>
              <w:jc w:val="center"/>
              <w:rPr>
                <w:rFonts w:hint="eastAsia" w:ascii="宋体" w:hAnsi="宋体" w:eastAsia="宋体" w:cs="宋体"/>
                <w:i w:val="0"/>
                <w:iCs w:val="0"/>
                <w:color w:val="000000"/>
                <w:sz w:val="24"/>
                <w:szCs w:val="24"/>
                <w:highlight w:val="none"/>
                <w:u w:val="none"/>
              </w:rPr>
            </w:pPr>
          </w:p>
        </w:tc>
      </w:tr>
      <w:tr w14:paraId="62A3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1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44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三、门头雨棚</w:t>
            </w:r>
          </w:p>
        </w:tc>
        <w:tc>
          <w:tcPr>
            <w:tcW w:w="1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B8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供应及安装；C 配合</w:t>
            </w:r>
          </w:p>
        </w:tc>
      </w:tr>
      <w:tr w14:paraId="395E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1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5263">
            <w:pPr>
              <w:jc w:val="left"/>
              <w:rPr>
                <w:rFonts w:hint="eastAsia" w:ascii="宋体" w:hAnsi="宋体" w:eastAsia="宋体" w:cs="宋体"/>
                <w:i w:val="0"/>
                <w:iCs w:val="0"/>
                <w:color w:val="000000"/>
                <w:sz w:val="24"/>
                <w:szCs w:val="24"/>
                <w:highlight w:val="none"/>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1B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总包</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63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幕墙分包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8E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其他</w:t>
            </w:r>
            <w:r>
              <w:rPr>
                <w:rFonts w:hint="eastAsia" w:ascii="宋体" w:hAnsi="宋体" w:eastAsia="宋体" w:cs="宋体"/>
                <w:i w:val="0"/>
                <w:iCs w:val="0"/>
                <w:color w:val="000000"/>
                <w:kern w:val="0"/>
                <w:sz w:val="24"/>
                <w:szCs w:val="24"/>
                <w:highlight w:val="none"/>
                <w:u w:val="none"/>
                <w:lang w:val="en-US" w:eastAsia="zh-CN" w:bidi="ar"/>
              </w:rPr>
              <w:t>分包</w:t>
            </w:r>
          </w:p>
        </w:tc>
      </w:tr>
      <w:tr w14:paraId="6B4C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AE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87A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测量放线</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C17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C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D06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BE58">
            <w:pPr>
              <w:jc w:val="center"/>
              <w:rPr>
                <w:rFonts w:hint="eastAsia" w:ascii="宋体" w:hAnsi="宋体" w:eastAsia="宋体" w:cs="宋体"/>
                <w:i w:val="0"/>
                <w:iCs w:val="0"/>
                <w:color w:val="000000"/>
                <w:sz w:val="24"/>
                <w:szCs w:val="24"/>
                <w:highlight w:val="none"/>
                <w:u w:val="none"/>
              </w:rPr>
            </w:pPr>
          </w:p>
        </w:tc>
      </w:tr>
      <w:tr w14:paraId="36C8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84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DCC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施工脚手架</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7B8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C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4EA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ACEB">
            <w:pPr>
              <w:jc w:val="center"/>
              <w:rPr>
                <w:rFonts w:hint="eastAsia" w:ascii="宋体" w:hAnsi="宋体" w:eastAsia="宋体" w:cs="宋体"/>
                <w:i w:val="0"/>
                <w:iCs w:val="0"/>
                <w:color w:val="000000"/>
                <w:sz w:val="24"/>
                <w:szCs w:val="24"/>
                <w:highlight w:val="none"/>
                <w:u w:val="none"/>
              </w:rPr>
            </w:pPr>
          </w:p>
        </w:tc>
      </w:tr>
      <w:tr w14:paraId="30C4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E4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C29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钢架龙骨制安</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C3E1">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08B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23C0">
            <w:pPr>
              <w:jc w:val="center"/>
              <w:rPr>
                <w:rFonts w:hint="eastAsia" w:ascii="宋体" w:hAnsi="宋体" w:eastAsia="宋体" w:cs="宋体"/>
                <w:i w:val="0"/>
                <w:iCs w:val="0"/>
                <w:color w:val="000000"/>
                <w:sz w:val="24"/>
                <w:szCs w:val="24"/>
                <w:highlight w:val="none"/>
                <w:u w:val="none"/>
              </w:rPr>
            </w:pPr>
          </w:p>
        </w:tc>
      </w:tr>
      <w:tr w14:paraId="3DF85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BA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8BE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防水设计施工（雨棚应有排水措施，如不锈钢天沟）</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93FB">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D82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6DCA">
            <w:pPr>
              <w:jc w:val="center"/>
              <w:rPr>
                <w:rFonts w:hint="eastAsia" w:ascii="宋体" w:hAnsi="宋体" w:eastAsia="宋体" w:cs="宋体"/>
                <w:i w:val="0"/>
                <w:iCs w:val="0"/>
                <w:color w:val="000000"/>
                <w:sz w:val="24"/>
                <w:szCs w:val="24"/>
                <w:highlight w:val="none"/>
                <w:u w:val="none"/>
              </w:rPr>
            </w:pPr>
          </w:p>
        </w:tc>
      </w:tr>
      <w:tr w14:paraId="1EC5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7E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900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大堂入户门（机电配管、电缆线敷设）</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B0E9">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1D3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D8D6">
            <w:pPr>
              <w:jc w:val="center"/>
              <w:rPr>
                <w:rFonts w:hint="eastAsia" w:ascii="宋体" w:hAnsi="宋体" w:eastAsia="宋体" w:cs="宋体"/>
                <w:i w:val="0"/>
                <w:iCs w:val="0"/>
                <w:color w:val="000000"/>
                <w:sz w:val="24"/>
                <w:szCs w:val="24"/>
                <w:highlight w:val="none"/>
                <w:u w:val="none"/>
              </w:rPr>
            </w:pPr>
          </w:p>
        </w:tc>
      </w:tr>
      <w:tr w14:paraId="36FA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A6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6</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9BA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机电配管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E5B8">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B49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C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4866">
            <w:pPr>
              <w:jc w:val="center"/>
              <w:rPr>
                <w:rFonts w:hint="eastAsia" w:ascii="宋体" w:hAnsi="宋体" w:eastAsia="宋体" w:cs="宋体"/>
                <w:i w:val="0"/>
                <w:iCs w:val="0"/>
                <w:color w:val="000000"/>
                <w:sz w:val="24"/>
                <w:szCs w:val="24"/>
                <w:highlight w:val="none"/>
                <w:u w:val="none"/>
              </w:rPr>
            </w:pPr>
          </w:p>
        </w:tc>
      </w:tr>
      <w:tr w14:paraId="3B7C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1B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7</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85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面板安装</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80EA">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78F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78BE">
            <w:pPr>
              <w:jc w:val="center"/>
              <w:rPr>
                <w:rFonts w:hint="eastAsia" w:ascii="宋体" w:hAnsi="宋体" w:eastAsia="宋体" w:cs="宋体"/>
                <w:i w:val="0"/>
                <w:iCs w:val="0"/>
                <w:color w:val="000000"/>
                <w:sz w:val="24"/>
                <w:szCs w:val="24"/>
                <w:highlight w:val="none"/>
                <w:u w:val="none"/>
              </w:rPr>
            </w:pPr>
          </w:p>
        </w:tc>
      </w:tr>
      <w:tr w14:paraId="1122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E8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8</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D61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照明安装配合开洞</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7602">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470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C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A3D0">
            <w:pPr>
              <w:jc w:val="center"/>
              <w:rPr>
                <w:rFonts w:hint="eastAsia" w:ascii="宋体" w:hAnsi="宋体" w:eastAsia="宋体" w:cs="宋体"/>
                <w:i w:val="0"/>
                <w:iCs w:val="0"/>
                <w:color w:val="000000"/>
                <w:sz w:val="24"/>
                <w:szCs w:val="24"/>
                <w:highlight w:val="none"/>
                <w:u w:val="none"/>
              </w:rPr>
            </w:pPr>
          </w:p>
        </w:tc>
      </w:tr>
      <w:tr w14:paraId="00DA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D8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9</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F78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打胶、保洁</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04AF">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3E6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6226">
            <w:pPr>
              <w:jc w:val="center"/>
              <w:rPr>
                <w:rFonts w:hint="eastAsia" w:ascii="宋体" w:hAnsi="宋体" w:eastAsia="宋体" w:cs="宋体"/>
                <w:i w:val="0"/>
                <w:iCs w:val="0"/>
                <w:color w:val="000000"/>
                <w:sz w:val="24"/>
                <w:szCs w:val="24"/>
                <w:highlight w:val="none"/>
                <w:u w:val="none"/>
              </w:rPr>
            </w:pPr>
          </w:p>
        </w:tc>
      </w:tr>
      <w:tr w14:paraId="38BB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72E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四、泛光照明</w:t>
            </w:r>
          </w:p>
        </w:tc>
        <w:tc>
          <w:tcPr>
            <w:tcW w:w="1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17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供应及安装；C 配合</w:t>
            </w:r>
          </w:p>
        </w:tc>
      </w:tr>
      <w:tr w14:paraId="798B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2856">
            <w:pPr>
              <w:jc w:val="left"/>
              <w:rPr>
                <w:rFonts w:hint="eastAsia" w:ascii="宋体" w:hAnsi="宋体" w:eastAsia="宋体" w:cs="宋体"/>
                <w:i w:val="0"/>
                <w:iCs w:val="0"/>
                <w:color w:val="000000"/>
                <w:sz w:val="24"/>
                <w:szCs w:val="24"/>
                <w:highlight w:val="none"/>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2F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总包</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D1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幕墙分包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09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其他</w:t>
            </w:r>
            <w:r>
              <w:rPr>
                <w:rFonts w:hint="eastAsia" w:ascii="宋体" w:hAnsi="宋体" w:eastAsia="宋体" w:cs="宋体"/>
                <w:i w:val="0"/>
                <w:iCs w:val="0"/>
                <w:color w:val="000000"/>
                <w:kern w:val="0"/>
                <w:sz w:val="24"/>
                <w:szCs w:val="24"/>
                <w:highlight w:val="none"/>
                <w:u w:val="none"/>
                <w:lang w:val="en-US" w:eastAsia="zh-CN" w:bidi="ar"/>
              </w:rPr>
              <w:t>分包</w:t>
            </w:r>
          </w:p>
        </w:tc>
      </w:tr>
      <w:tr w14:paraId="24E1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35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17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测量放线</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0B2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44C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6E1F">
            <w:pPr>
              <w:jc w:val="center"/>
              <w:rPr>
                <w:rFonts w:hint="eastAsia" w:ascii="宋体" w:hAnsi="宋体" w:eastAsia="宋体" w:cs="宋体"/>
                <w:i w:val="0"/>
                <w:iCs w:val="0"/>
                <w:color w:val="000000"/>
                <w:sz w:val="24"/>
                <w:szCs w:val="24"/>
                <w:highlight w:val="none"/>
                <w:u w:val="none"/>
              </w:rPr>
            </w:pPr>
          </w:p>
        </w:tc>
      </w:tr>
      <w:tr w14:paraId="7598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A0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F5C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施工</w:t>
            </w:r>
            <w:r>
              <w:rPr>
                <w:rFonts w:hint="eastAsia" w:ascii="宋体" w:hAnsi="宋体" w:eastAsia="宋体" w:cs="宋体"/>
                <w:i w:val="0"/>
                <w:iCs w:val="0"/>
                <w:color w:val="000000"/>
                <w:kern w:val="0"/>
                <w:sz w:val="24"/>
                <w:szCs w:val="24"/>
                <w:highlight w:val="none"/>
                <w:u w:val="none"/>
                <w:lang w:val="en-US" w:eastAsia="zh-CN" w:bidi="ar"/>
              </w:rPr>
              <w:t>脚手架</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DD0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D14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806A">
            <w:pPr>
              <w:jc w:val="center"/>
              <w:rPr>
                <w:rFonts w:hint="eastAsia" w:ascii="宋体" w:hAnsi="宋体" w:eastAsia="宋体" w:cs="宋体"/>
                <w:i w:val="0"/>
                <w:iCs w:val="0"/>
                <w:color w:val="000000"/>
                <w:sz w:val="24"/>
                <w:szCs w:val="24"/>
                <w:highlight w:val="none"/>
                <w:u w:val="none"/>
              </w:rPr>
            </w:pPr>
          </w:p>
        </w:tc>
      </w:tr>
      <w:tr w14:paraId="4F3A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19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7FE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二次配管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0DB6">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19B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74A6">
            <w:pPr>
              <w:jc w:val="center"/>
              <w:rPr>
                <w:rFonts w:hint="eastAsia" w:ascii="宋体" w:hAnsi="宋体" w:eastAsia="宋体" w:cs="宋体"/>
                <w:i w:val="0"/>
                <w:iCs w:val="0"/>
                <w:color w:val="000000"/>
                <w:sz w:val="24"/>
                <w:szCs w:val="24"/>
                <w:highlight w:val="none"/>
                <w:u w:val="none"/>
              </w:rPr>
            </w:pPr>
          </w:p>
        </w:tc>
      </w:tr>
      <w:tr w14:paraId="12994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FD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EF0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电缆敷设</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A5DB">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6B3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CA9D">
            <w:pPr>
              <w:jc w:val="center"/>
              <w:rPr>
                <w:rFonts w:hint="eastAsia" w:ascii="宋体" w:hAnsi="宋体" w:eastAsia="宋体" w:cs="宋体"/>
                <w:i w:val="0"/>
                <w:iCs w:val="0"/>
                <w:color w:val="000000"/>
                <w:sz w:val="24"/>
                <w:szCs w:val="24"/>
                <w:highlight w:val="none"/>
                <w:u w:val="none"/>
              </w:rPr>
            </w:pPr>
          </w:p>
        </w:tc>
      </w:tr>
      <w:tr w14:paraId="1D68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8E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79D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基层固定支架制安</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990C">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14E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6956">
            <w:pPr>
              <w:jc w:val="center"/>
              <w:rPr>
                <w:rFonts w:hint="eastAsia" w:ascii="宋体" w:hAnsi="宋体" w:eastAsia="宋体" w:cs="宋体"/>
                <w:i w:val="0"/>
                <w:iCs w:val="0"/>
                <w:color w:val="000000"/>
                <w:sz w:val="24"/>
                <w:szCs w:val="24"/>
                <w:highlight w:val="none"/>
                <w:u w:val="none"/>
              </w:rPr>
            </w:pPr>
          </w:p>
        </w:tc>
      </w:tr>
      <w:tr w14:paraId="0873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AA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00E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防水设计施工（配合照明在面层开洞的密封）</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2B37">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DDF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463C">
            <w:pPr>
              <w:jc w:val="center"/>
              <w:rPr>
                <w:rFonts w:hint="eastAsia" w:ascii="宋体" w:hAnsi="宋体" w:eastAsia="宋体" w:cs="宋体"/>
                <w:i w:val="0"/>
                <w:iCs w:val="0"/>
                <w:color w:val="000000"/>
                <w:sz w:val="24"/>
                <w:szCs w:val="24"/>
                <w:highlight w:val="none"/>
                <w:u w:val="none"/>
              </w:rPr>
            </w:pPr>
          </w:p>
        </w:tc>
      </w:tr>
      <w:tr w14:paraId="7E26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FC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84F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灯具安装</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49B8">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F16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011B">
            <w:pPr>
              <w:jc w:val="center"/>
              <w:rPr>
                <w:rFonts w:hint="eastAsia" w:ascii="宋体" w:hAnsi="宋体" w:eastAsia="宋体" w:cs="宋体"/>
                <w:i w:val="0"/>
                <w:iCs w:val="0"/>
                <w:color w:val="000000"/>
                <w:sz w:val="24"/>
                <w:szCs w:val="24"/>
                <w:highlight w:val="none"/>
                <w:u w:val="none"/>
              </w:rPr>
            </w:pPr>
          </w:p>
        </w:tc>
      </w:tr>
      <w:tr w14:paraId="2730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BF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EEF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打胶、保洁</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9249">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041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3549">
            <w:pPr>
              <w:jc w:val="center"/>
              <w:rPr>
                <w:rFonts w:hint="eastAsia" w:ascii="宋体" w:hAnsi="宋体" w:eastAsia="宋体" w:cs="宋体"/>
                <w:i w:val="0"/>
                <w:iCs w:val="0"/>
                <w:color w:val="000000"/>
                <w:sz w:val="24"/>
                <w:szCs w:val="24"/>
                <w:highlight w:val="none"/>
                <w:u w:val="none"/>
              </w:rPr>
            </w:pPr>
          </w:p>
        </w:tc>
      </w:tr>
      <w:tr w14:paraId="51573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F83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五、架空层</w:t>
            </w:r>
          </w:p>
        </w:tc>
        <w:tc>
          <w:tcPr>
            <w:tcW w:w="1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C1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供应及安装；C 配合</w:t>
            </w:r>
          </w:p>
        </w:tc>
      </w:tr>
      <w:tr w14:paraId="459AC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64B0">
            <w:pPr>
              <w:jc w:val="left"/>
              <w:rPr>
                <w:rFonts w:hint="eastAsia" w:ascii="宋体" w:hAnsi="宋体" w:eastAsia="宋体" w:cs="宋体"/>
                <w:i w:val="0"/>
                <w:iCs w:val="0"/>
                <w:color w:val="000000"/>
                <w:sz w:val="24"/>
                <w:szCs w:val="24"/>
                <w:highlight w:val="none"/>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6B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总包</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75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幕墙分包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C4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其他</w:t>
            </w:r>
            <w:r>
              <w:rPr>
                <w:rFonts w:hint="eastAsia" w:ascii="宋体" w:hAnsi="宋体" w:eastAsia="宋体" w:cs="宋体"/>
                <w:i w:val="0"/>
                <w:iCs w:val="0"/>
                <w:color w:val="000000"/>
                <w:kern w:val="0"/>
                <w:sz w:val="24"/>
                <w:szCs w:val="24"/>
                <w:highlight w:val="none"/>
                <w:u w:val="none"/>
                <w:lang w:val="en-US" w:eastAsia="zh-CN" w:bidi="ar"/>
              </w:rPr>
              <w:t>分包</w:t>
            </w:r>
          </w:p>
        </w:tc>
      </w:tr>
      <w:tr w14:paraId="5E5C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FB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BB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墙面装饰做法</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34D0">
            <w:pPr>
              <w:jc w:val="center"/>
              <w:rPr>
                <w:rFonts w:hint="eastAsia" w:ascii="宋体" w:hAnsi="宋体" w:eastAsia="宋体" w:cs="宋体"/>
                <w:b/>
                <w:bCs/>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F71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C8EF">
            <w:pPr>
              <w:jc w:val="center"/>
              <w:rPr>
                <w:rFonts w:hint="eastAsia" w:ascii="宋体" w:hAnsi="宋体" w:eastAsia="宋体" w:cs="宋体"/>
                <w:i w:val="0"/>
                <w:iCs w:val="0"/>
                <w:color w:val="000000"/>
                <w:sz w:val="24"/>
                <w:szCs w:val="24"/>
                <w:highlight w:val="none"/>
                <w:u w:val="none"/>
              </w:rPr>
            </w:pPr>
          </w:p>
        </w:tc>
      </w:tr>
      <w:tr w14:paraId="4628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3F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A3E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天花装饰做法</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11BE">
            <w:pPr>
              <w:jc w:val="center"/>
              <w:rPr>
                <w:rFonts w:hint="eastAsia" w:ascii="宋体" w:hAnsi="宋体" w:eastAsia="宋体" w:cs="宋体"/>
                <w:b/>
                <w:bCs/>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DB0D">
            <w:pPr>
              <w:jc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BCB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p>
        </w:tc>
      </w:tr>
      <w:tr w14:paraId="02B3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07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六、铝合金</w:t>
            </w:r>
            <w:r>
              <w:rPr>
                <w:rFonts w:hint="eastAsia" w:ascii="宋体" w:hAnsi="宋体" w:cs="宋体"/>
                <w:i w:val="0"/>
                <w:iCs w:val="0"/>
                <w:color w:val="000000"/>
                <w:kern w:val="0"/>
                <w:sz w:val="24"/>
                <w:szCs w:val="24"/>
                <w:highlight w:val="none"/>
                <w:u w:val="none"/>
                <w:lang w:val="en-US" w:eastAsia="zh-CN" w:bidi="ar"/>
              </w:rPr>
              <w:t>门窗</w:t>
            </w:r>
            <w:r>
              <w:rPr>
                <w:rFonts w:hint="eastAsia" w:ascii="宋体" w:hAnsi="宋体" w:eastAsia="宋体" w:cs="宋体"/>
                <w:i w:val="0"/>
                <w:iCs w:val="0"/>
                <w:color w:val="000000"/>
                <w:kern w:val="0"/>
                <w:sz w:val="24"/>
                <w:szCs w:val="24"/>
                <w:highlight w:val="none"/>
                <w:u w:val="none"/>
                <w:lang w:val="en-US" w:eastAsia="zh-CN" w:bidi="ar"/>
              </w:rPr>
              <w:t>、栏杆、百叶</w:t>
            </w:r>
          </w:p>
        </w:tc>
        <w:tc>
          <w:tcPr>
            <w:tcW w:w="1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0C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供应及安装；C 配合</w:t>
            </w:r>
          </w:p>
        </w:tc>
      </w:tr>
      <w:tr w14:paraId="1466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5789">
            <w:pPr>
              <w:jc w:val="left"/>
              <w:rPr>
                <w:rFonts w:hint="eastAsia" w:ascii="宋体" w:hAnsi="宋体" w:eastAsia="宋体" w:cs="宋体"/>
                <w:i w:val="0"/>
                <w:iCs w:val="0"/>
                <w:color w:val="000000"/>
                <w:sz w:val="24"/>
                <w:szCs w:val="24"/>
                <w:highlight w:val="none"/>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67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总包</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C3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幕墙分包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31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其他</w:t>
            </w:r>
            <w:r>
              <w:rPr>
                <w:rFonts w:hint="eastAsia" w:ascii="宋体" w:hAnsi="宋体" w:eastAsia="宋体" w:cs="宋体"/>
                <w:i w:val="0"/>
                <w:iCs w:val="0"/>
                <w:color w:val="000000"/>
                <w:kern w:val="0"/>
                <w:sz w:val="24"/>
                <w:szCs w:val="24"/>
                <w:highlight w:val="none"/>
                <w:u w:val="none"/>
                <w:lang w:val="en-US" w:eastAsia="zh-CN" w:bidi="ar"/>
              </w:rPr>
              <w:t>分包</w:t>
            </w:r>
          </w:p>
        </w:tc>
      </w:tr>
      <w:tr w14:paraId="40A0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50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996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内外墙抹灰完成面控制线/控制点</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A87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0E25">
            <w:pPr>
              <w:jc w:val="center"/>
              <w:rPr>
                <w:rFonts w:hint="eastAsia" w:ascii="宋体" w:hAnsi="宋体" w:eastAsia="宋体" w:cs="宋体"/>
                <w:i w:val="0"/>
                <w:iCs w:val="0"/>
                <w:color w:val="000000"/>
                <w:sz w:val="24"/>
                <w:szCs w:val="24"/>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3F7D">
            <w:pPr>
              <w:jc w:val="center"/>
              <w:rPr>
                <w:rFonts w:hint="eastAsia" w:ascii="宋体" w:hAnsi="宋体" w:eastAsia="宋体" w:cs="宋体"/>
                <w:i w:val="0"/>
                <w:iCs w:val="0"/>
                <w:color w:val="000000"/>
                <w:sz w:val="24"/>
                <w:szCs w:val="24"/>
                <w:highlight w:val="none"/>
                <w:u w:val="none"/>
              </w:rPr>
            </w:pPr>
          </w:p>
        </w:tc>
      </w:tr>
      <w:tr w14:paraId="5F1C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D5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1D8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混凝土预制块隔一放一（门窗固定片安装点位）</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69B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B149">
            <w:pPr>
              <w:jc w:val="center"/>
              <w:rPr>
                <w:rFonts w:hint="eastAsia" w:ascii="宋体" w:hAnsi="宋体" w:eastAsia="宋体" w:cs="宋体"/>
                <w:b/>
                <w:bCs/>
                <w:i w:val="0"/>
                <w:iCs w:val="0"/>
                <w:color w:val="000000"/>
                <w:sz w:val="24"/>
                <w:szCs w:val="24"/>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977F">
            <w:pPr>
              <w:jc w:val="center"/>
              <w:rPr>
                <w:rFonts w:hint="eastAsia" w:ascii="宋体" w:hAnsi="宋体" w:eastAsia="宋体" w:cs="宋体"/>
                <w:i w:val="0"/>
                <w:iCs w:val="0"/>
                <w:color w:val="000000"/>
                <w:sz w:val="24"/>
                <w:szCs w:val="24"/>
                <w:highlight w:val="none"/>
                <w:u w:val="none"/>
              </w:rPr>
            </w:pPr>
          </w:p>
        </w:tc>
      </w:tr>
      <w:tr w14:paraId="42C85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0F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E7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测量放线</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479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C</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587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7410">
            <w:pPr>
              <w:jc w:val="center"/>
              <w:rPr>
                <w:rFonts w:hint="eastAsia" w:ascii="宋体" w:hAnsi="宋体" w:eastAsia="宋体" w:cs="宋体"/>
                <w:i w:val="0"/>
                <w:iCs w:val="0"/>
                <w:color w:val="000000"/>
                <w:sz w:val="24"/>
                <w:szCs w:val="24"/>
                <w:highlight w:val="none"/>
                <w:u w:val="none"/>
              </w:rPr>
            </w:pPr>
          </w:p>
        </w:tc>
      </w:tr>
      <w:tr w14:paraId="343D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56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685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窗框安装</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96B5">
            <w:pPr>
              <w:jc w:val="center"/>
              <w:rPr>
                <w:rFonts w:hint="eastAsia" w:ascii="宋体" w:hAnsi="宋体" w:eastAsia="宋体" w:cs="宋体"/>
                <w:b/>
                <w:bCs/>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43A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D5AC">
            <w:pPr>
              <w:jc w:val="center"/>
              <w:rPr>
                <w:rFonts w:hint="eastAsia" w:ascii="宋体" w:hAnsi="宋体" w:eastAsia="宋体" w:cs="宋体"/>
                <w:i w:val="0"/>
                <w:iCs w:val="0"/>
                <w:color w:val="000000"/>
                <w:sz w:val="24"/>
                <w:szCs w:val="24"/>
                <w:highlight w:val="none"/>
                <w:u w:val="none"/>
              </w:rPr>
            </w:pPr>
          </w:p>
        </w:tc>
      </w:tr>
      <w:tr w14:paraId="32F6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6D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B3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铝合金门窗框塞缝及防水</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6116">
            <w:pPr>
              <w:jc w:val="center"/>
              <w:rPr>
                <w:rFonts w:hint="eastAsia" w:ascii="宋体" w:hAnsi="宋体" w:eastAsia="宋体" w:cs="宋体"/>
                <w:b/>
                <w:bCs/>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7EB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060A">
            <w:pPr>
              <w:jc w:val="center"/>
              <w:rPr>
                <w:rFonts w:hint="eastAsia" w:ascii="宋体" w:hAnsi="宋体" w:eastAsia="宋体" w:cs="宋体"/>
                <w:i w:val="0"/>
                <w:iCs w:val="0"/>
                <w:color w:val="000000"/>
                <w:sz w:val="24"/>
                <w:szCs w:val="24"/>
                <w:highlight w:val="none"/>
                <w:u w:val="none"/>
              </w:rPr>
            </w:pPr>
          </w:p>
        </w:tc>
      </w:tr>
      <w:tr w14:paraId="403E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E8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0E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铝合金门窗四周收口、栏杆立柱和横梁固定点位收口</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567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118F">
            <w:pPr>
              <w:jc w:val="center"/>
              <w:rPr>
                <w:rFonts w:hint="eastAsia" w:ascii="宋体" w:hAnsi="宋体" w:eastAsia="宋体" w:cs="宋体"/>
                <w:b/>
                <w:bCs/>
                <w:i w:val="0"/>
                <w:iCs w:val="0"/>
                <w:color w:val="000000"/>
                <w:sz w:val="24"/>
                <w:szCs w:val="24"/>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3963">
            <w:pPr>
              <w:jc w:val="center"/>
              <w:rPr>
                <w:rFonts w:hint="eastAsia" w:ascii="宋体" w:hAnsi="宋体" w:eastAsia="宋体" w:cs="宋体"/>
                <w:i w:val="0"/>
                <w:iCs w:val="0"/>
                <w:color w:val="000000"/>
                <w:sz w:val="24"/>
                <w:szCs w:val="24"/>
                <w:highlight w:val="none"/>
                <w:u w:val="none"/>
              </w:rPr>
            </w:pPr>
          </w:p>
        </w:tc>
      </w:tr>
      <w:tr w14:paraId="5B30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88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0E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固玻、开启扇安装</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AAD9">
            <w:pPr>
              <w:jc w:val="center"/>
              <w:rPr>
                <w:rFonts w:hint="eastAsia" w:ascii="宋体" w:hAnsi="宋体" w:eastAsia="宋体" w:cs="宋体"/>
                <w:b/>
                <w:bCs/>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81C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28CD">
            <w:pPr>
              <w:jc w:val="center"/>
              <w:rPr>
                <w:rFonts w:hint="eastAsia" w:ascii="宋体" w:hAnsi="宋体" w:eastAsia="宋体" w:cs="宋体"/>
                <w:i w:val="0"/>
                <w:iCs w:val="0"/>
                <w:color w:val="000000"/>
                <w:sz w:val="24"/>
                <w:szCs w:val="24"/>
                <w:highlight w:val="none"/>
                <w:u w:val="none"/>
              </w:rPr>
            </w:pPr>
          </w:p>
        </w:tc>
      </w:tr>
      <w:tr w14:paraId="6177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FF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E85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锁具、执手、限位器等所有附件安装</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C3D4">
            <w:pPr>
              <w:jc w:val="center"/>
              <w:rPr>
                <w:rFonts w:hint="eastAsia" w:ascii="宋体" w:hAnsi="宋体" w:eastAsia="宋体" w:cs="宋体"/>
                <w:b/>
                <w:bCs/>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B71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8F0E">
            <w:pPr>
              <w:jc w:val="center"/>
              <w:rPr>
                <w:rFonts w:hint="eastAsia" w:ascii="宋体" w:hAnsi="宋体" w:eastAsia="宋体" w:cs="宋体"/>
                <w:i w:val="0"/>
                <w:iCs w:val="0"/>
                <w:color w:val="000000"/>
                <w:sz w:val="24"/>
                <w:szCs w:val="24"/>
                <w:highlight w:val="none"/>
                <w:u w:val="none"/>
              </w:rPr>
            </w:pPr>
          </w:p>
        </w:tc>
      </w:tr>
      <w:tr w14:paraId="2D16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1A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7C2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打胶、保洁</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9C16">
            <w:pPr>
              <w:jc w:val="center"/>
              <w:rPr>
                <w:rFonts w:hint="eastAsia" w:ascii="宋体" w:hAnsi="宋体" w:eastAsia="宋体" w:cs="宋体"/>
                <w:b/>
                <w:bCs/>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6CD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7914">
            <w:pPr>
              <w:jc w:val="center"/>
              <w:rPr>
                <w:rFonts w:hint="eastAsia" w:ascii="宋体" w:hAnsi="宋体" w:eastAsia="宋体" w:cs="宋体"/>
                <w:i w:val="0"/>
                <w:iCs w:val="0"/>
                <w:color w:val="000000"/>
                <w:sz w:val="24"/>
                <w:szCs w:val="24"/>
                <w:highlight w:val="none"/>
                <w:u w:val="none"/>
              </w:rPr>
            </w:pPr>
          </w:p>
        </w:tc>
      </w:tr>
      <w:tr w14:paraId="0D67F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B8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CCD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防雷接地</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2250">
            <w:pPr>
              <w:jc w:val="center"/>
              <w:rPr>
                <w:rFonts w:hint="eastAsia" w:ascii="宋体" w:hAnsi="宋体" w:eastAsia="宋体" w:cs="宋体"/>
                <w:b/>
                <w:bCs/>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BC0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596C">
            <w:pPr>
              <w:jc w:val="center"/>
              <w:rPr>
                <w:rFonts w:hint="eastAsia" w:ascii="宋体" w:hAnsi="宋体" w:eastAsia="宋体" w:cs="宋体"/>
                <w:i w:val="0"/>
                <w:iCs w:val="0"/>
                <w:color w:val="000000"/>
                <w:sz w:val="24"/>
                <w:szCs w:val="24"/>
                <w:highlight w:val="none"/>
                <w:u w:val="none"/>
              </w:rPr>
            </w:pPr>
          </w:p>
        </w:tc>
      </w:tr>
      <w:tr w14:paraId="135B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5A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D57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成品保护</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8A46">
            <w:pPr>
              <w:jc w:val="center"/>
              <w:rPr>
                <w:rFonts w:hint="eastAsia" w:ascii="宋体" w:hAnsi="宋体" w:eastAsia="宋体" w:cs="宋体"/>
                <w:b/>
                <w:bCs/>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0B2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7903">
            <w:pPr>
              <w:jc w:val="center"/>
              <w:rPr>
                <w:rFonts w:hint="eastAsia" w:ascii="宋体" w:hAnsi="宋体" w:eastAsia="宋体" w:cs="宋体"/>
                <w:i w:val="0"/>
                <w:iCs w:val="0"/>
                <w:color w:val="000000"/>
                <w:sz w:val="24"/>
                <w:szCs w:val="24"/>
                <w:highlight w:val="none"/>
                <w:u w:val="none"/>
              </w:rPr>
            </w:pPr>
          </w:p>
        </w:tc>
      </w:tr>
      <w:tr w14:paraId="7FE5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6A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七、商业</w:t>
            </w:r>
          </w:p>
        </w:tc>
        <w:tc>
          <w:tcPr>
            <w:tcW w:w="1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9B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供应及安装；C 配合</w:t>
            </w:r>
          </w:p>
        </w:tc>
      </w:tr>
      <w:tr w14:paraId="67E1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2B31">
            <w:pPr>
              <w:jc w:val="left"/>
              <w:rPr>
                <w:rFonts w:hint="eastAsia" w:ascii="宋体" w:hAnsi="宋体" w:eastAsia="宋体" w:cs="宋体"/>
                <w:i w:val="0"/>
                <w:iCs w:val="0"/>
                <w:color w:val="000000"/>
                <w:sz w:val="24"/>
                <w:szCs w:val="24"/>
                <w:highlight w:val="none"/>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D2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总包</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16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幕墙分包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AF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园林分包</w:t>
            </w:r>
          </w:p>
        </w:tc>
      </w:tr>
      <w:tr w14:paraId="03AB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1B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31D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户外楼梯踏步装饰做法</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FC1F">
            <w:pPr>
              <w:jc w:val="center"/>
              <w:rPr>
                <w:rFonts w:hint="eastAsia" w:ascii="宋体" w:hAnsi="宋体" w:eastAsia="宋体" w:cs="宋体"/>
                <w:b/>
                <w:bCs/>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A583">
            <w:pPr>
              <w:jc w:val="center"/>
              <w:rPr>
                <w:rFonts w:hint="eastAsia" w:ascii="宋体" w:hAnsi="宋体" w:eastAsia="宋体" w:cs="宋体"/>
                <w:i w:val="0"/>
                <w:iCs w:val="0"/>
                <w:color w:val="000000"/>
                <w:sz w:val="24"/>
                <w:szCs w:val="24"/>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82C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r>
      <w:tr w14:paraId="38C0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E7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056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户外楼梯墙身装饰做法</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F99E">
            <w:pPr>
              <w:jc w:val="center"/>
              <w:rPr>
                <w:rFonts w:hint="eastAsia" w:ascii="宋体" w:hAnsi="宋体" w:eastAsia="宋体" w:cs="宋体"/>
                <w:b/>
                <w:bCs/>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4A5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CB7E">
            <w:pPr>
              <w:jc w:val="center"/>
              <w:rPr>
                <w:rFonts w:hint="eastAsia" w:ascii="宋体" w:hAnsi="宋体" w:eastAsia="宋体" w:cs="宋体"/>
                <w:i w:val="0"/>
                <w:iCs w:val="0"/>
                <w:color w:val="000000"/>
                <w:sz w:val="24"/>
                <w:szCs w:val="24"/>
                <w:highlight w:val="none"/>
                <w:u w:val="none"/>
              </w:rPr>
            </w:pPr>
          </w:p>
        </w:tc>
      </w:tr>
      <w:tr w14:paraId="48D1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88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11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连廊天花、墙身装饰做法</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5D2D">
            <w:pPr>
              <w:jc w:val="center"/>
              <w:rPr>
                <w:rFonts w:hint="eastAsia" w:ascii="宋体" w:hAnsi="宋体" w:eastAsia="宋体" w:cs="宋体"/>
                <w:b/>
                <w:bCs/>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C27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BCB8">
            <w:pPr>
              <w:jc w:val="center"/>
              <w:rPr>
                <w:rFonts w:hint="eastAsia" w:ascii="宋体" w:hAnsi="宋体" w:eastAsia="宋体" w:cs="宋体"/>
                <w:i w:val="0"/>
                <w:iCs w:val="0"/>
                <w:color w:val="000000"/>
                <w:sz w:val="24"/>
                <w:szCs w:val="24"/>
                <w:highlight w:val="none"/>
                <w:u w:val="none"/>
              </w:rPr>
            </w:pPr>
          </w:p>
        </w:tc>
      </w:tr>
      <w:tr w14:paraId="15F6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CD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2C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连廊地面装饰做法</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9345">
            <w:pPr>
              <w:jc w:val="center"/>
              <w:rPr>
                <w:rFonts w:hint="eastAsia" w:ascii="宋体" w:hAnsi="宋体" w:eastAsia="宋体" w:cs="宋体"/>
                <w:b/>
                <w:bCs/>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2863">
            <w:pPr>
              <w:jc w:val="center"/>
              <w:rPr>
                <w:rFonts w:hint="eastAsia" w:ascii="宋体" w:hAnsi="宋体" w:eastAsia="宋体" w:cs="宋体"/>
                <w:b/>
                <w:bCs/>
                <w:i w:val="0"/>
                <w:iCs w:val="0"/>
                <w:color w:val="000000"/>
                <w:sz w:val="24"/>
                <w:szCs w:val="24"/>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C75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r>
      <w:tr w14:paraId="3A34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AA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八</w:t>
            </w:r>
            <w:r>
              <w:rPr>
                <w:rFonts w:hint="eastAsia" w:ascii="宋体" w:hAnsi="宋体" w:eastAsia="宋体" w:cs="宋体"/>
                <w:i w:val="0"/>
                <w:iCs w:val="0"/>
                <w:color w:val="000000"/>
                <w:kern w:val="0"/>
                <w:sz w:val="24"/>
                <w:szCs w:val="24"/>
                <w:highlight w:val="none"/>
                <w:u w:val="none"/>
                <w:lang w:val="en-US" w:eastAsia="zh-CN" w:bidi="ar"/>
              </w:rPr>
              <w:t>、擦窗机系统</w:t>
            </w:r>
          </w:p>
        </w:tc>
        <w:tc>
          <w:tcPr>
            <w:tcW w:w="1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37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供应及安装；C 配合</w:t>
            </w:r>
          </w:p>
        </w:tc>
      </w:tr>
      <w:tr w14:paraId="14D6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1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8EBB">
            <w:pPr>
              <w:jc w:val="left"/>
              <w:rPr>
                <w:rFonts w:hint="eastAsia" w:ascii="宋体" w:hAnsi="宋体" w:eastAsia="宋体" w:cs="宋体"/>
                <w:i w:val="0"/>
                <w:iCs w:val="0"/>
                <w:color w:val="000000"/>
                <w:sz w:val="24"/>
                <w:szCs w:val="24"/>
                <w:highlight w:val="none"/>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96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总包</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1C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幕墙分包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96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其他</w:t>
            </w:r>
            <w:r>
              <w:rPr>
                <w:rFonts w:hint="eastAsia" w:ascii="宋体" w:hAnsi="宋体" w:eastAsia="宋体" w:cs="宋体"/>
                <w:i w:val="0"/>
                <w:iCs w:val="0"/>
                <w:color w:val="000000"/>
                <w:kern w:val="0"/>
                <w:sz w:val="24"/>
                <w:szCs w:val="24"/>
                <w:highlight w:val="none"/>
                <w:u w:val="none"/>
                <w:lang w:val="en-US" w:eastAsia="zh-CN" w:bidi="ar"/>
              </w:rPr>
              <w:t>分包</w:t>
            </w:r>
          </w:p>
        </w:tc>
      </w:tr>
      <w:tr w14:paraId="31E0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6C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23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供货</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FA1D">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FEC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60D4">
            <w:pPr>
              <w:jc w:val="center"/>
              <w:rPr>
                <w:rFonts w:hint="eastAsia" w:ascii="宋体" w:hAnsi="宋体" w:eastAsia="宋体" w:cs="宋体"/>
                <w:i w:val="0"/>
                <w:iCs w:val="0"/>
                <w:color w:val="000000"/>
                <w:sz w:val="24"/>
                <w:szCs w:val="24"/>
                <w:highlight w:val="none"/>
                <w:u w:val="none"/>
              </w:rPr>
            </w:pPr>
          </w:p>
        </w:tc>
      </w:tr>
      <w:tr w14:paraId="082F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F0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38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安装</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4470">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CF9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7E7D">
            <w:pPr>
              <w:jc w:val="center"/>
              <w:rPr>
                <w:rFonts w:hint="eastAsia" w:ascii="宋体" w:hAnsi="宋体" w:eastAsia="宋体" w:cs="宋体"/>
                <w:i w:val="0"/>
                <w:iCs w:val="0"/>
                <w:color w:val="000000"/>
                <w:sz w:val="24"/>
                <w:szCs w:val="24"/>
                <w:highlight w:val="none"/>
                <w:u w:val="none"/>
              </w:rPr>
            </w:pPr>
          </w:p>
        </w:tc>
      </w:tr>
      <w:tr w14:paraId="5DCF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74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3CA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检测</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7653">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C35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424D">
            <w:pPr>
              <w:jc w:val="center"/>
              <w:rPr>
                <w:rFonts w:hint="eastAsia" w:ascii="宋体" w:hAnsi="宋体" w:eastAsia="宋体" w:cs="宋体"/>
                <w:i w:val="0"/>
                <w:iCs w:val="0"/>
                <w:color w:val="000000"/>
                <w:sz w:val="24"/>
                <w:szCs w:val="24"/>
                <w:highlight w:val="none"/>
                <w:u w:val="none"/>
              </w:rPr>
            </w:pPr>
          </w:p>
        </w:tc>
      </w:tr>
      <w:tr w14:paraId="1799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D1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A3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调试</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50CA">
            <w:pPr>
              <w:jc w:val="center"/>
              <w:rPr>
                <w:rFonts w:hint="eastAsia" w:ascii="宋体" w:hAnsi="宋体" w:eastAsia="宋体" w:cs="宋体"/>
                <w:i w:val="0"/>
                <w:iCs w:val="0"/>
                <w:color w:val="000000"/>
                <w:sz w:val="24"/>
                <w:szCs w:val="24"/>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ECC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1236">
            <w:pPr>
              <w:jc w:val="center"/>
              <w:rPr>
                <w:rFonts w:hint="eastAsia" w:ascii="宋体" w:hAnsi="宋体" w:eastAsia="宋体" w:cs="宋体"/>
                <w:i w:val="0"/>
                <w:iCs w:val="0"/>
                <w:color w:val="000000"/>
                <w:sz w:val="24"/>
                <w:szCs w:val="24"/>
                <w:highlight w:val="none"/>
                <w:u w:val="none"/>
              </w:rPr>
            </w:pPr>
          </w:p>
        </w:tc>
      </w:tr>
    </w:tbl>
    <w:p w14:paraId="4ED01A46">
      <w:pPr>
        <w:spacing w:before="120" w:beforeLines="50" w:after="120" w:afterLines="50"/>
        <w:jc w:val="both"/>
        <w:rPr>
          <w:highlight w:val="none"/>
        </w:rPr>
      </w:pPr>
    </w:p>
    <w:p w14:paraId="2E33EF25">
      <w:pPr>
        <w:spacing w:before="120" w:beforeLines="50" w:after="120" w:afterLines="50"/>
        <w:jc w:val="both"/>
        <w:rPr>
          <w:highlight w:val="none"/>
        </w:rPr>
      </w:pPr>
    </w:p>
    <w:p w14:paraId="6CE1EC07">
      <w:pPr>
        <w:spacing w:before="120" w:beforeLines="50" w:after="120" w:afterLines="50"/>
        <w:jc w:val="both"/>
        <w:rPr>
          <w:highlight w:val="none"/>
        </w:rPr>
      </w:pPr>
    </w:p>
    <w:p w14:paraId="0401501D">
      <w:pPr>
        <w:spacing w:before="120" w:beforeLines="50" w:after="120" w:afterLines="50"/>
        <w:jc w:val="both"/>
        <w:rPr>
          <w:highlight w:val="none"/>
        </w:rPr>
      </w:pPr>
    </w:p>
    <w:p w14:paraId="5E007D79">
      <w:pPr>
        <w:spacing w:before="120" w:beforeLines="50" w:after="120" w:afterLines="50"/>
        <w:jc w:val="both"/>
        <w:rPr>
          <w:highlight w:val="none"/>
        </w:rPr>
      </w:pPr>
    </w:p>
    <w:p w14:paraId="316ECD56">
      <w:pPr>
        <w:spacing w:before="120" w:beforeLines="50" w:after="120" w:afterLines="50"/>
        <w:jc w:val="both"/>
        <w:rPr>
          <w:highlight w:val="none"/>
        </w:rPr>
      </w:pPr>
    </w:p>
    <w:p w14:paraId="7DA8BA8C">
      <w:pPr>
        <w:spacing w:before="120" w:beforeLines="50" w:after="120" w:afterLines="50"/>
        <w:jc w:val="both"/>
        <w:rPr>
          <w:highlight w:val="none"/>
        </w:rPr>
      </w:pPr>
    </w:p>
    <w:p w14:paraId="2CE28F02">
      <w:pPr>
        <w:spacing w:before="120" w:beforeLines="50" w:after="120" w:afterLines="50"/>
        <w:jc w:val="both"/>
        <w:rPr>
          <w:highlight w:val="none"/>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05"/>
        <w:gridCol w:w="1200"/>
        <w:gridCol w:w="1759"/>
        <w:gridCol w:w="3300"/>
        <w:gridCol w:w="1618"/>
      </w:tblGrid>
      <w:tr w14:paraId="6ED1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6"/>
          </w:tcPr>
          <w:p w14:paraId="1F51B74B">
            <w:pPr>
              <w:jc w:val="center"/>
              <w:rPr>
                <w:rFonts w:hint="default" w:ascii="仿宋" w:hAnsi="仿宋" w:eastAsia="仿宋" w:cs="宋体"/>
                <w:kern w:val="0"/>
                <w:sz w:val="20"/>
                <w:szCs w:val="20"/>
                <w:highlight w:val="none"/>
                <w:vertAlign w:val="baseline"/>
                <w:lang w:val="en-US" w:eastAsia="zh-CN"/>
              </w:rPr>
            </w:pPr>
            <w:r>
              <w:rPr>
                <w:rFonts w:hint="eastAsia" w:ascii="宋体" w:hAnsi="宋体" w:eastAsia="宋体" w:cs="宋体"/>
                <w:b/>
                <w:bCs/>
                <w:kern w:val="0"/>
                <w:sz w:val="28"/>
                <w:szCs w:val="28"/>
                <w:highlight w:val="none"/>
                <w:vertAlign w:val="baseline"/>
                <w:lang w:val="en-US" w:eastAsia="zh-CN"/>
              </w:rPr>
              <w:t>云港城项目4#地块机电工程、幕墙工程施工界面划分</w:t>
            </w:r>
          </w:p>
        </w:tc>
      </w:tr>
      <w:tr w14:paraId="304B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top"/>
          </w:tcPr>
          <w:p w14:paraId="09374913">
            <w:pPr>
              <w:jc w:val="center"/>
              <w:rPr>
                <w:rFonts w:hint="eastAsia" w:ascii="仿宋" w:hAnsi="仿宋" w:eastAsia="仿宋" w:cs="宋体"/>
                <w:kern w:val="0"/>
                <w:sz w:val="24"/>
                <w:szCs w:val="24"/>
                <w:highlight w:val="none"/>
                <w:vertAlign w:val="baseline"/>
                <w:lang w:val="en-US" w:eastAsia="zh-CN"/>
              </w:rPr>
            </w:pPr>
            <w:r>
              <w:rPr>
                <w:rFonts w:hint="eastAsia" w:ascii="仿宋" w:hAnsi="仿宋" w:eastAsia="仿宋" w:cs="宋体"/>
                <w:kern w:val="0"/>
                <w:sz w:val="24"/>
                <w:szCs w:val="24"/>
                <w:highlight w:val="none"/>
                <w:vertAlign w:val="baseline"/>
                <w:lang w:val="en-US" w:eastAsia="zh-CN"/>
              </w:rPr>
              <w:t>序号</w:t>
            </w:r>
          </w:p>
        </w:tc>
        <w:tc>
          <w:tcPr>
            <w:tcW w:w="1305" w:type="dxa"/>
            <w:vAlign w:val="center"/>
          </w:tcPr>
          <w:p w14:paraId="78B2E69B">
            <w:pPr>
              <w:jc w:val="center"/>
              <w:rPr>
                <w:rFonts w:hint="default" w:ascii="仿宋" w:hAnsi="仿宋" w:eastAsia="仿宋" w:cs="宋体"/>
                <w:kern w:val="0"/>
                <w:sz w:val="24"/>
                <w:szCs w:val="24"/>
                <w:highlight w:val="none"/>
                <w:vertAlign w:val="baseline"/>
                <w:lang w:val="en-US" w:eastAsia="zh-CN"/>
              </w:rPr>
            </w:pPr>
            <w:r>
              <w:rPr>
                <w:rFonts w:hint="eastAsia" w:ascii="仿宋" w:hAnsi="仿宋" w:eastAsia="仿宋" w:cs="宋体"/>
                <w:kern w:val="0"/>
                <w:sz w:val="24"/>
                <w:szCs w:val="24"/>
                <w:highlight w:val="none"/>
                <w:vertAlign w:val="baseline"/>
                <w:lang w:val="en-US" w:eastAsia="zh-CN"/>
              </w:rPr>
              <w:t>工程内容</w:t>
            </w:r>
          </w:p>
        </w:tc>
        <w:tc>
          <w:tcPr>
            <w:tcW w:w="7877" w:type="dxa"/>
            <w:gridSpan w:val="4"/>
            <w:vAlign w:val="center"/>
          </w:tcPr>
          <w:p w14:paraId="6FED98EC">
            <w:pPr>
              <w:jc w:val="center"/>
              <w:rPr>
                <w:rFonts w:ascii="仿宋" w:hAnsi="仿宋" w:eastAsia="仿宋" w:cs="宋体"/>
                <w:kern w:val="0"/>
                <w:sz w:val="24"/>
                <w:szCs w:val="24"/>
                <w:highlight w:val="none"/>
                <w:vertAlign w:val="baseline"/>
              </w:rPr>
            </w:pPr>
            <w:r>
              <w:rPr>
                <w:rFonts w:hint="eastAsia" w:ascii="仿宋" w:hAnsi="仿宋" w:eastAsia="仿宋" w:cs="宋体"/>
                <w:kern w:val="0"/>
                <w:sz w:val="24"/>
                <w:szCs w:val="24"/>
                <w:highlight w:val="none"/>
                <w:vertAlign w:val="baseline"/>
                <w:lang w:val="en-US" w:eastAsia="zh-CN"/>
              </w:rPr>
              <w:t>合同界面</w:t>
            </w:r>
          </w:p>
        </w:tc>
      </w:tr>
      <w:tr w14:paraId="4134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vAlign w:val="top"/>
          </w:tcPr>
          <w:p w14:paraId="5C5F2AB6">
            <w:pPr>
              <w:jc w:val="center"/>
              <w:rPr>
                <w:rFonts w:hint="eastAsia" w:ascii="仿宋" w:hAnsi="仿宋" w:eastAsia="仿宋" w:cs="宋体"/>
                <w:kern w:val="0"/>
                <w:sz w:val="24"/>
                <w:szCs w:val="24"/>
                <w:highlight w:val="none"/>
                <w:vertAlign w:val="baseline"/>
                <w:lang w:val="en-US" w:eastAsia="zh-CN"/>
              </w:rPr>
            </w:pPr>
            <w:r>
              <w:rPr>
                <w:rFonts w:hint="eastAsia" w:ascii="仿宋" w:hAnsi="仿宋" w:eastAsia="仿宋" w:cs="宋体"/>
                <w:kern w:val="0"/>
                <w:sz w:val="24"/>
                <w:szCs w:val="24"/>
                <w:highlight w:val="none"/>
                <w:vertAlign w:val="baseline"/>
                <w:lang w:val="en-US" w:eastAsia="zh-CN"/>
              </w:rPr>
              <w:t>一</w:t>
            </w:r>
          </w:p>
        </w:tc>
        <w:tc>
          <w:tcPr>
            <w:tcW w:w="9182" w:type="dxa"/>
            <w:gridSpan w:val="5"/>
            <w:vAlign w:val="top"/>
          </w:tcPr>
          <w:p w14:paraId="00E70B45">
            <w:pPr>
              <w:jc w:val="center"/>
              <w:rPr>
                <w:rFonts w:ascii="仿宋" w:hAnsi="仿宋" w:eastAsia="仿宋" w:cs="宋体"/>
                <w:kern w:val="0"/>
                <w:sz w:val="24"/>
                <w:szCs w:val="24"/>
                <w:highlight w:val="none"/>
                <w:vertAlign w:val="baseline"/>
              </w:rPr>
            </w:pPr>
            <w:r>
              <w:rPr>
                <w:rFonts w:hint="eastAsia" w:ascii="仿宋" w:hAnsi="仿宋" w:eastAsia="仿宋" w:cs="宋体"/>
                <w:b/>
                <w:bCs/>
                <w:kern w:val="0"/>
                <w:sz w:val="24"/>
                <w:szCs w:val="24"/>
                <w:highlight w:val="none"/>
                <w:vertAlign w:val="baseline"/>
                <w:lang w:val="en-US" w:eastAsia="zh-CN"/>
              </w:rPr>
              <w:t>泛光照明工程</w:t>
            </w:r>
          </w:p>
        </w:tc>
      </w:tr>
      <w:tr w14:paraId="1D16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top"/>
          </w:tcPr>
          <w:p w14:paraId="7C615835">
            <w:pPr>
              <w:jc w:val="center"/>
              <w:rPr>
                <w:rFonts w:hint="eastAsia" w:ascii="仿宋" w:hAnsi="仿宋" w:eastAsia="仿宋" w:cs="宋体"/>
                <w:kern w:val="0"/>
                <w:sz w:val="24"/>
                <w:szCs w:val="24"/>
                <w:highlight w:val="none"/>
                <w:vertAlign w:val="baseline"/>
                <w:lang w:val="en-US" w:eastAsia="zh-CN"/>
              </w:rPr>
            </w:pPr>
            <w:r>
              <w:rPr>
                <w:rFonts w:hint="eastAsia" w:ascii="仿宋" w:hAnsi="仿宋" w:eastAsia="仿宋" w:cs="宋体"/>
                <w:kern w:val="0"/>
                <w:sz w:val="24"/>
                <w:szCs w:val="24"/>
                <w:highlight w:val="none"/>
                <w:vertAlign w:val="baseline"/>
                <w:lang w:val="en-US" w:eastAsia="zh-CN"/>
              </w:rPr>
              <w:t>序号</w:t>
            </w:r>
          </w:p>
        </w:tc>
        <w:tc>
          <w:tcPr>
            <w:tcW w:w="1305" w:type="dxa"/>
            <w:vAlign w:val="top"/>
          </w:tcPr>
          <w:p w14:paraId="5EF61DE3">
            <w:pPr>
              <w:jc w:val="center"/>
              <w:rPr>
                <w:rFonts w:ascii="仿宋" w:hAnsi="仿宋" w:eastAsia="仿宋" w:cs="宋体"/>
                <w:kern w:val="0"/>
                <w:sz w:val="24"/>
                <w:szCs w:val="24"/>
                <w:highlight w:val="none"/>
                <w:vertAlign w:val="baseline"/>
              </w:rPr>
            </w:pPr>
            <w:r>
              <w:rPr>
                <w:rFonts w:hint="eastAsia" w:ascii="仿宋" w:hAnsi="仿宋" w:eastAsia="仿宋" w:cs="宋体"/>
                <w:kern w:val="0"/>
                <w:sz w:val="24"/>
                <w:szCs w:val="24"/>
                <w:highlight w:val="none"/>
                <w:vertAlign w:val="baseline"/>
              </w:rPr>
              <w:t>相关事项</w:t>
            </w:r>
          </w:p>
        </w:tc>
        <w:tc>
          <w:tcPr>
            <w:tcW w:w="1200" w:type="dxa"/>
            <w:vAlign w:val="top"/>
          </w:tcPr>
          <w:p w14:paraId="449ADD20">
            <w:pPr>
              <w:jc w:val="center"/>
              <w:rPr>
                <w:rFonts w:hint="default" w:ascii="仿宋" w:hAnsi="仿宋" w:eastAsia="仿宋" w:cs="宋体"/>
                <w:kern w:val="0"/>
                <w:sz w:val="24"/>
                <w:szCs w:val="24"/>
                <w:highlight w:val="none"/>
                <w:vertAlign w:val="baseline"/>
                <w:lang w:val="en-US" w:eastAsia="zh-CN"/>
              </w:rPr>
            </w:pPr>
            <w:r>
              <w:rPr>
                <w:rFonts w:hint="eastAsia" w:ascii="仿宋" w:hAnsi="仿宋" w:eastAsia="仿宋" w:cs="宋体"/>
                <w:kern w:val="0"/>
                <w:sz w:val="24"/>
                <w:szCs w:val="24"/>
                <w:highlight w:val="none"/>
                <w:vertAlign w:val="baseline"/>
                <w:lang w:val="en-US" w:eastAsia="zh-CN"/>
              </w:rPr>
              <w:t>总包合同</w:t>
            </w:r>
          </w:p>
        </w:tc>
        <w:tc>
          <w:tcPr>
            <w:tcW w:w="1759" w:type="dxa"/>
            <w:vAlign w:val="top"/>
          </w:tcPr>
          <w:p w14:paraId="1E59388D">
            <w:pPr>
              <w:jc w:val="center"/>
              <w:rPr>
                <w:rFonts w:hint="default" w:ascii="仿宋" w:hAnsi="仿宋" w:eastAsia="仿宋" w:cs="宋体"/>
                <w:kern w:val="0"/>
                <w:sz w:val="24"/>
                <w:szCs w:val="24"/>
                <w:highlight w:val="none"/>
                <w:vertAlign w:val="baseline"/>
                <w:lang w:val="en-US" w:eastAsia="zh-CN"/>
              </w:rPr>
            </w:pPr>
            <w:r>
              <w:rPr>
                <w:rFonts w:hint="eastAsia" w:ascii="仿宋" w:hAnsi="仿宋" w:eastAsia="仿宋" w:cs="宋体"/>
                <w:kern w:val="0"/>
                <w:sz w:val="24"/>
                <w:szCs w:val="24"/>
                <w:highlight w:val="none"/>
                <w:vertAlign w:val="baseline"/>
                <w:lang w:val="en-US" w:eastAsia="zh-CN"/>
              </w:rPr>
              <w:t>机电合同</w:t>
            </w:r>
          </w:p>
        </w:tc>
        <w:tc>
          <w:tcPr>
            <w:tcW w:w="3300" w:type="dxa"/>
            <w:vAlign w:val="top"/>
          </w:tcPr>
          <w:p w14:paraId="3E6A0506">
            <w:pPr>
              <w:jc w:val="center"/>
              <w:rPr>
                <w:rFonts w:hint="default" w:ascii="仿宋" w:hAnsi="仿宋" w:eastAsia="仿宋" w:cs="宋体"/>
                <w:kern w:val="0"/>
                <w:sz w:val="24"/>
                <w:szCs w:val="24"/>
                <w:highlight w:val="none"/>
                <w:vertAlign w:val="baseline"/>
                <w:lang w:val="en-US" w:eastAsia="zh-CN"/>
              </w:rPr>
            </w:pPr>
            <w:r>
              <w:rPr>
                <w:rFonts w:hint="eastAsia" w:ascii="仿宋" w:hAnsi="仿宋" w:eastAsia="仿宋" w:cs="宋体"/>
                <w:kern w:val="0"/>
                <w:sz w:val="24"/>
                <w:szCs w:val="24"/>
                <w:highlight w:val="none"/>
                <w:lang w:val="en-US" w:eastAsia="zh-CN"/>
              </w:rPr>
              <w:t>T2栋</w:t>
            </w:r>
            <w:r>
              <w:rPr>
                <w:rFonts w:hint="eastAsia" w:ascii="仿宋" w:hAnsi="仿宋" w:eastAsia="仿宋" w:cs="宋体"/>
                <w:kern w:val="0"/>
                <w:sz w:val="24"/>
                <w:szCs w:val="24"/>
                <w:highlight w:val="none"/>
              </w:rPr>
              <w:t>及附属裙楼幕墙工程</w:t>
            </w:r>
            <w:r>
              <w:rPr>
                <w:rFonts w:hint="eastAsia" w:ascii="仿宋" w:hAnsi="仿宋" w:eastAsia="仿宋" w:cs="宋体"/>
                <w:kern w:val="0"/>
                <w:sz w:val="24"/>
                <w:szCs w:val="24"/>
                <w:highlight w:val="none"/>
                <w:vertAlign w:val="baseline"/>
                <w:lang w:val="en-US" w:eastAsia="zh-CN"/>
              </w:rPr>
              <w:t>合同</w:t>
            </w:r>
          </w:p>
        </w:tc>
        <w:tc>
          <w:tcPr>
            <w:tcW w:w="1618" w:type="dxa"/>
            <w:vAlign w:val="top"/>
          </w:tcPr>
          <w:p w14:paraId="13748E8A">
            <w:pPr>
              <w:jc w:val="center"/>
              <w:rPr>
                <w:rFonts w:hint="eastAsia" w:ascii="仿宋" w:hAnsi="仿宋" w:eastAsia="仿宋" w:cs="宋体"/>
                <w:kern w:val="0"/>
                <w:sz w:val="24"/>
                <w:szCs w:val="24"/>
                <w:highlight w:val="none"/>
                <w:vertAlign w:val="baseline"/>
                <w:lang w:val="en-US" w:eastAsia="zh-CN"/>
              </w:rPr>
            </w:pPr>
            <w:r>
              <w:rPr>
                <w:rFonts w:hint="eastAsia" w:ascii="仿宋" w:hAnsi="仿宋" w:eastAsia="仿宋" w:cs="宋体"/>
                <w:kern w:val="0"/>
                <w:sz w:val="24"/>
                <w:szCs w:val="24"/>
                <w:highlight w:val="none"/>
                <w:vertAlign w:val="baseline"/>
                <w:lang w:val="en-US" w:eastAsia="zh-CN"/>
              </w:rPr>
              <w:t>备注</w:t>
            </w:r>
          </w:p>
        </w:tc>
      </w:tr>
      <w:tr w14:paraId="48F3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6F8F0E68">
            <w:pPr>
              <w:jc w:val="center"/>
              <w:rPr>
                <w:rFonts w:hint="eastAsia" w:ascii="仿宋" w:hAnsi="仿宋" w:eastAsia="仿宋" w:cs="宋体"/>
                <w:kern w:val="0"/>
                <w:sz w:val="24"/>
                <w:szCs w:val="24"/>
                <w:highlight w:val="none"/>
                <w:vertAlign w:val="baseline"/>
                <w:lang w:val="en-US" w:eastAsia="zh-CN"/>
              </w:rPr>
            </w:pPr>
            <w:r>
              <w:rPr>
                <w:rFonts w:hint="eastAsia" w:ascii="仿宋" w:hAnsi="仿宋" w:eastAsia="仿宋" w:cs="宋体"/>
                <w:kern w:val="0"/>
                <w:sz w:val="24"/>
                <w:szCs w:val="24"/>
                <w:highlight w:val="none"/>
                <w:vertAlign w:val="baseline"/>
                <w:lang w:val="en-US" w:eastAsia="zh-CN"/>
              </w:rPr>
              <w:t>1</w:t>
            </w:r>
          </w:p>
        </w:tc>
        <w:tc>
          <w:tcPr>
            <w:tcW w:w="1305" w:type="dxa"/>
            <w:vAlign w:val="center"/>
          </w:tcPr>
          <w:p w14:paraId="0950362E">
            <w:pPr>
              <w:jc w:val="center"/>
              <w:rPr>
                <w:rFonts w:ascii="仿宋" w:hAnsi="仿宋" w:eastAsia="仿宋" w:cs="宋体"/>
                <w:kern w:val="0"/>
                <w:sz w:val="24"/>
                <w:szCs w:val="24"/>
                <w:highlight w:val="none"/>
                <w:vertAlign w:val="baseline"/>
              </w:rPr>
            </w:pPr>
            <w:r>
              <w:rPr>
                <w:rFonts w:hint="eastAsia" w:ascii="仿宋" w:hAnsi="仿宋" w:eastAsia="仿宋" w:cs="宋体"/>
                <w:kern w:val="0"/>
                <w:sz w:val="24"/>
                <w:szCs w:val="24"/>
                <w:highlight w:val="none"/>
              </w:rPr>
              <w:t>管线供货、安装</w:t>
            </w:r>
          </w:p>
        </w:tc>
        <w:tc>
          <w:tcPr>
            <w:tcW w:w="1200" w:type="dxa"/>
            <w:vAlign w:val="center"/>
          </w:tcPr>
          <w:p w14:paraId="375CCCB3">
            <w:pPr>
              <w:jc w:val="center"/>
              <w:rPr>
                <w:rFonts w:hint="eastAsia" w:ascii="仿宋" w:hAnsi="仿宋" w:eastAsia="仿宋" w:cs="宋体"/>
                <w:kern w:val="0"/>
                <w:sz w:val="24"/>
                <w:szCs w:val="24"/>
                <w:highlight w:val="none"/>
                <w:vertAlign w:val="baseline"/>
                <w:lang w:val="en-US" w:eastAsia="zh-CN"/>
              </w:rPr>
            </w:pPr>
            <w:r>
              <w:rPr>
                <w:rFonts w:hint="eastAsia" w:ascii="仿宋" w:hAnsi="仿宋" w:eastAsia="仿宋" w:cs="宋体"/>
                <w:kern w:val="0"/>
                <w:sz w:val="24"/>
                <w:szCs w:val="24"/>
                <w:highlight w:val="none"/>
                <w:vertAlign w:val="baseline"/>
                <w:lang w:val="en-US" w:eastAsia="zh-CN"/>
              </w:rPr>
              <w:t>/</w:t>
            </w:r>
          </w:p>
        </w:tc>
        <w:tc>
          <w:tcPr>
            <w:tcW w:w="1759" w:type="dxa"/>
            <w:vAlign w:val="center"/>
          </w:tcPr>
          <w:p w14:paraId="723CCC36">
            <w:pPr>
              <w:numPr>
                <w:ilvl w:val="0"/>
                <w:numId w:val="8"/>
              </w:numPr>
              <w:rPr>
                <w:rFonts w:hint="eastAsia" w:ascii="仿宋" w:hAnsi="仿宋" w:eastAsia="仿宋" w:cs="宋体"/>
                <w:color w:val="FF0000"/>
                <w:kern w:val="0"/>
                <w:sz w:val="24"/>
                <w:szCs w:val="24"/>
                <w:highlight w:val="none"/>
                <w:lang w:val="en-US" w:eastAsia="zh-CN"/>
              </w:rPr>
            </w:pPr>
            <w:r>
              <w:rPr>
                <w:rFonts w:hint="eastAsia" w:ascii="仿宋" w:hAnsi="仿宋" w:eastAsia="仿宋" w:cs="宋体"/>
                <w:color w:val="FF0000"/>
                <w:kern w:val="0"/>
                <w:sz w:val="24"/>
                <w:szCs w:val="24"/>
                <w:highlight w:val="none"/>
              </w:rPr>
              <w:t>低压配电柜至立面照明总箱电缆敷设</w:t>
            </w:r>
            <w:r>
              <w:rPr>
                <w:rFonts w:hint="eastAsia" w:ascii="仿宋" w:hAnsi="仿宋" w:eastAsia="仿宋" w:cs="宋体"/>
                <w:color w:val="FF0000"/>
                <w:kern w:val="0"/>
                <w:sz w:val="24"/>
                <w:szCs w:val="24"/>
                <w:highlight w:val="none"/>
                <w:lang w:val="en-US" w:eastAsia="zh-CN"/>
              </w:rPr>
              <w:t>；</w:t>
            </w:r>
          </w:p>
          <w:p w14:paraId="412B5962">
            <w:pPr>
              <w:rPr>
                <w:rFonts w:ascii="仿宋" w:hAnsi="仿宋" w:eastAsia="仿宋" w:cs="宋体"/>
                <w:kern w:val="0"/>
                <w:sz w:val="24"/>
                <w:szCs w:val="24"/>
                <w:highlight w:val="none"/>
                <w:vertAlign w:val="baseline"/>
              </w:rPr>
            </w:pPr>
            <w:r>
              <w:rPr>
                <w:rFonts w:hint="eastAsia" w:ascii="仿宋" w:hAnsi="仿宋" w:eastAsia="仿宋" w:cs="宋体"/>
                <w:color w:val="FF0000"/>
                <w:kern w:val="0"/>
                <w:sz w:val="24"/>
                <w:szCs w:val="24"/>
                <w:highlight w:val="none"/>
                <w:lang w:val="en-US" w:eastAsia="zh-CN"/>
              </w:rPr>
              <w:t>2、负责供电至外立面照明控制箱或配电箱的进线（不含箱体供应安装），电缆、电线、线管、线槽的采购、敷设及安装、检测、调试</w:t>
            </w:r>
          </w:p>
        </w:tc>
        <w:tc>
          <w:tcPr>
            <w:tcW w:w="3300" w:type="dxa"/>
            <w:vAlign w:val="top"/>
          </w:tcPr>
          <w:p w14:paraId="18493CB9">
            <w:pPr>
              <w:rPr>
                <w:rFonts w:ascii="仿宋" w:hAnsi="仿宋" w:eastAsia="仿宋" w:cs="宋体"/>
                <w:kern w:val="0"/>
                <w:sz w:val="24"/>
                <w:szCs w:val="24"/>
                <w:highlight w:val="none"/>
                <w:vertAlign w:val="baseline"/>
              </w:rPr>
            </w:pPr>
            <w:r>
              <w:rPr>
                <w:rFonts w:hint="eastAsia" w:ascii="仿宋" w:hAnsi="仿宋" w:eastAsia="仿宋" w:cs="宋体"/>
                <w:color w:val="FF0000"/>
                <w:kern w:val="0"/>
                <w:sz w:val="24"/>
                <w:szCs w:val="24"/>
                <w:highlight w:val="none"/>
              </w:rPr>
              <w:t>1、负责所有楼栋泛光照明工程的泛光控制箱\配电箱及灯光效果的深化设计，所有楼栋泛光照明工程施工，包括控制配电\配电箱、线管、线槽、电缆、电线、控制线、灯具、变压器、连接器等供货及安装；2、负责泛光照明样板的制作安装；3、负责泛光照明工程灯具、变压器、线管、线槽、过线盒、控制箱、支架等安装时，在幕墙结构上的开孔、固定、修复；4、负责泛光照明工程的报批报建（如需要），负责所有楼栋泛光照明工程的检测、调试、验收，包括材料送检；5、负责泛光照明工程防雷接地及检测、验收。</w:t>
            </w:r>
            <w:r>
              <w:rPr>
                <w:rFonts w:hint="eastAsia" w:ascii="仿宋" w:hAnsi="仿宋" w:eastAsia="仿宋" w:cs="宋体"/>
                <w:color w:val="FF0000"/>
                <w:kern w:val="0"/>
                <w:sz w:val="24"/>
                <w:szCs w:val="24"/>
                <w:highlight w:val="none"/>
                <w:lang w:val="en-US" w:eastAsia="zh-CN"/>
              </w:rPr>
              <w:t>6、投光灯灯具基础制作、安装。</w:t>
            </w:r>
          </w:p>
        </w:tc>
        <w:tc>
          <w:tcPr>
            <w:tcW w:w="1618" w:type="dxa"/>
            <w:vAlign w:val="center"/>
          </w:tcPr>
          <w:p w14:paraId="1FDE6BD3">
            <w:pPr>
              <w:jc w:val="center"/>
              <w:rPr>
                <w:rFonts w:ascii="仿宋" w:hAnsi="仿宋" w:eastAsia="仿宋" w:cs="宋体"/>
                <w:kern w:val="0"/>
                <w:sz w:val="24"/>
                <w:szCs w:val="24"/>
                <w:highlight w:val="none"/>
                <w:vertAlign w:val="baseline"/>
              </w:rPr>
            </w:pPr>
            <w:r>
              <w:rPr>
                <w:rFonts w:hint="eastAsia" w:ascii="仿宋" w:hAnsi="仿宋" w:eastAsia="仿宋" w:cs="宋体"/>
                <w:kern w:val="0"/>
                <w:sz w:val="24"/>
                <w:szCs w:val="24"/>
                <w:highlight w:val="none"/>
                <w:lang w:val="en-US" w:eastAsia="zh-CN"/>
              </w:rPr>
              <w:t>T1栋南塔首开区已完成的照明系统不在本次范围</w:t>
            </w:r>
          </w:p>
        </w:tc>
      </w:tr>
      <w:tr w14:paraId="31CF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top"/>
          </w:tcPr>
          <w:p w14:paraId="5A416647">
            <w:pPr>
              <w:jc w:val="center"/>
              <w:rPr>
                <w:rFonts w:hint="eastAsia" w:ascii="仿宋" w:hAnsi="仿宋" w:eastAsia="仿宋" w:cs="宋体"/>
                <w:kern w:val="0"/>
                <w:sz w:val="24"/>
                <w:szCs w:val="24"/>
                <w:highlight w:val="none"/>
                <w:vertAlign w:val="baseline"/>
                <w:lang w:val="en-US" w:eastAsia="zh-CN" w:bidi="ar-SA"/>
              </w:rPr>
            </w:pPr>
            <w:r>
              <w:rPr>
                <w:rFonts w:hint="eastAsia" w:ascii="仿宋" w:hAnsi="仿宋" w:eastAsia="仿宋" w:cs="宋体"/>
                <w:kern w:val="0"/>
                <w:sz w:val="24"/>
                <w:szCs w:val="24"/>
                <w:highlight w:val="none"/>
                <w:vertAlign w:val="baseline"/>
                <w:lang w:val="en-US" w:eastAsia="zh-CN"/>
              </w:rPr>
              <w:t>二</w:t>
            </w:r>
          </w:p>
        </w:tc>
        <w:tc>
          <w:tcPr>
            <w:tcW w:w="9182" w:type="dxa"/>
            <w:gridSpan w:val="5"/>
            <w:vAlign w:val="top"/>
          </w:tcPr>
          <w:p w14:paraId="21E94B13">
            <w:pPr>
              <w:jc w:val="center"/>
              <w:rPr>
                <w:rFonts w:ascii="仿宋" w:hAnsi="仿宋" w:eastAsia="仿宋" w:cs="宋体"/>
                <w:kern w:val="0"/>
                <w:sz w:val="24"/>
                <w:szCs w:val="24"/>
                <w:highlight w:val="none"/>
                <w:vertAlign w:val="baseline"/>
              </w:rPr>
            </w:pPr>
            <w:r>
              <w:rPr>
                <w:rFonts w:hint="eastAsia" w:ascii="仿宋" w:hAnsi="仿宋" w:eastAsia="仿宋" w:cs="宋体"/>
                <w:b/>
                <w:bCs/>
                <w:kern w:val="0"/>
                <w:sz w:val="24"/>
                <w:szCs w:val="24"/>
                <w:highlight w:val="none"/>
                <w:lang w:val="en-US" w:eastAsia="zh-CN"/>
              </w:rPr>
              <w:t>擦窗</w:t>
            </w:r>
            <w:r>
              <w:rPr>
                <w:rFonts w:hint="eastAsia" w:ascii="仿宋" w:hAnsi="仿宋" w:eastAsia="仿宋" w:cs="宋体"/>
                <w:b/>
                <w:bCs/>
                <w:kern w:val="0"/>
                <w:sz w:val="24"/>
                <w:szCs w:val="24"/>
                <w:highlight w:val="none"/>
              </w:rPr>
              <w:t>机工程</w:t>
            </w:r>
          </w:p>
        </w:tc>
      </w:tr>
      <w:tr w14:paraId="6CC0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top"/>
          </w:tcPr>
          <w:p w14:paraId="23B6046E">
            <w:pPr>
              <w:jc w:val="center"/>
              <w:rPr>
                <w:rFonts w:hint="eastAsia" w:ascii="仿宋" w:hAnsi="仿宋" w:eastAsia="仿宋" w:cs="宋体"/>
                <w:kern w:val="0"/>
                <w:sz w:val="24"/>
                <w:szCs w:val="24"/>
                <w:highlight w:val="none"/>
                <w:vertAlign w:val="baseline"/>
                <w:lang w:val="en-US" w:eastAsia="zh-CN" w:bidi="ar-SA"/>
              </w:rPr>
            </w:pPr>
            <w:r>
              <w:rPr>
                <w:rFonts w:hint="eastAsia" w:ascii="仿宋" w:hAnsi="仿宋" w:eastAsia="仿宋" w:cs="宋体"/>
                <w:kern w:val="0"/>
                <w:sz w:val="24"/>
                <w:szCs w:val="24"/>
                <w:highlight w:val="none"/>
                <w:vertAlign w:val="baseline"/>
                <w:lang w:val="en-US" w:eastAsia="zh-CN"/>
              </w:rPr>
              <w:t>序号</w:t>
            </w:r>
          </w:p>
        </w:tc>
        <w:tc>
          <w:tcPr>
            <w:tcW w:w="1305" w:type="dxa"/>
            <w:vAlign w:val="center"/>
          </w:tcPr>
          <w:p w14:paraId="2C81AEB7">
            <w:pPr>
              <w:jc w:val="center"/>
              <w:rPr>
                <w:rFonts w:ascii="仿宋" w:hAnsi="仿宋" w:eastAsia="仿宋" w:cs="宋体"/>
                <w:kern w:val="0"/>
                <w:sz w:val="24"/>
                <w:szCs w:val="24"/>
                <w:highlight w:val="none"/>
                <w:vertAlign w:val="baseline"/>
                <w:lang w:val="en-US" w:eastAsia="zh-CN" w:bidi="ar-SA"/>
              </w:rPr>
            </w:pPr>
            <w:r>
              <w:rPr>
                <w:rFonts w:hint="eastAsia" w:ascii="仿宋" w:hAnsi="仿宋" w:eastAsia="仿宋" w:cs="宋体"/>
                <w:kern w:val="0"/>
                <w:sz w:val="24"/>
                <w:szCs w:val="24"/>
                <w:highlight w:val="none"/>
                <w:vertAlign w:val="baseline"/>
              </w:rPr>
              <w:t>相关事项</w:t>
            </w:r>
          </w:p>
        </w:tc>
        <w:tc>
          <w:tcPr>
            <w:tcW w:w="1200" w:type="dxa"/>
            <w:vAlign w:val="center"/>
          </w:tcPr>
          <w:p w14:paraId="6981CB0E">
            <w:pPr>
              <w:jc w:val="center"/>
              <w:rPr>
                <w:rFonts w:hint="default" w:ascii="仿宋" w:hAnsi="仿宋" w:eastAsia="仿宋" w:cs="宋体"/>
                <w:kern w:val="0"/>
                <w:sz w:val="24"/>
                <w:szCs w:val="24"/>
                <w:highlight w:val="none"/>
                <w:vertAlign w:val="baseline"/>
                <w:lang w:val="en-US" w:eastAsia="zh-CN" w:bidi="ar-SA"/>
              </w:rPr>
            </w:pPr>
            <w:r>
              <w:rPr>
                <w:rFonts w:hint="eastAsia" w:ascii="仿宋" w:hAnsi="仿宋" w:eastAsia="仿宋" w:cs="宋体"/>
                <w:kern w:val="0"/>
                <w:sz w:val="24"/>
                <w:szCs w:val="24"/>
                <w:highlight w:val="none"/>
                <w:vertAlign w:val="baseline"/>
                <w:lang w:val="en-US" w:eastAsia="zh-CN"/>
              </w:rPr>
              <w:t>总包合同</w:t>
            </w:r>
          </w:p>
        </w:tc>
        <w:tc>
          <w:tcPr>
            <w:tcW w:w="1759" w:type="dxa"/>
            <w:vAlign w:val="center"/>
          </w:tcPr>
          <w:p w14:paraId="26415611">
            <w:pPr>
              <w:jc w:val="center"/>
              <w:rPr>
                <w:rFonts w:hint="default" w:ascii="仿宋" w:hAnsi="仿宋" w:eastAsia="仿宋" w:cs="宋体"/>
                <w:kern w:val="0"/>
                <w:sz w:val="24"/>
                <w:szCs w:val="24"/>
                <w:highlight w:val="none"/>
                <w:vertAlign w:val="baseline"/>
                <w:lang w:val="en-US" w:eastAsia="zh-CN" w:bidi="ar-SA"/>
              </w:rPr>
            </w:pPr>
            <w:r>
              <w:rPr>
                <w:rFonts w:hint="eastAsia" w:ascii="仿宋" w:hAnsi="仿宋" w:eastAsia="仿宋" w:cs="宋体"/>
                <w:kern w:val="0"/>
                <w:sz w:val="24"/>
                <w:szCs w:val="24"/>
                <w:highlight w:val="none"/>
                <w:vertAlign w:val="baseline"/>
                <w:lang w:val="en-US" w:eastAsia="zh-CN"/>
              </w:rPr>
              <w:t>机电合同</w:t>
            </w:r>
          </w:p>
        </w:tc>
        <w:tc>
          <w:tcPr>
            <w:tcW w:w="3300" w:type="dxa"/>
            <w:vAlign w:val="center"/>
          </w:tcPr>
          <w:p w14:paraId="08041734">
            <w:pPr>
              <w:jc w:val="center"/>
              <w:rPr>
                <w:rFonts w:ascii="仿宋" w:hAnsi="仿宋" w:eastAsia="仿宋" w:cs="宋体"/>
                <w:kern w:val="0"/>
                <w:sz w:val="24"/>
                <w:szCs w:val="24"/>
                <w:highlight w:val="none"/>
                <w:vertAlign w:val="baseline"/>
              </w:rPr>
            </w:pPr>
            <w:r>
              <w:rPr>
                <w:rFonts w:hint="eastAsia" w:ascii="仿宋" w:hAnsi="仿宋" w:eastAsia="仿宋" w:cs="宋体"/>
                <w:kern w:val="0"/>
                <w:sz w:val="24"/>
                <w:szCs w:val="24"/>
                <w:highlight w:val="none"/>
                <w:lang w:val="en-US" w:eastAsia="zh-CN"/>
              </w:rPr>
              <w:t>T2栋</w:t>
            </w:r>
            <w:r>
              <w:rPr>
                <w:rFonts w:hint="eastAsia" w:ascii="仿宋" w:hAnsi="仿宋" w:eastAsia="仿宋" w:cs="宋体"/>
                <w:kern w:val="0"/>
                <w:sz w:val="24"/>
                <w:szCs w:val="24"/>
                <w:highlight w:val="none"/>
              </w:rPr>
              <w:t>及附属裙楼幕墙工程</w:t>
            </w:r>
            <w:r>
              <w:rPr>
                <w:rFonts w:hint="eastAsia" w:ascii="仿宋" w:hAnsi="仿宋" w:eastAsia="仿宋" w:cs="宋体"/>
                <w:kern w:val="0"/>
                <w:sz w:val="24"/>
                <w:szCs w:val="24"/>
                <w:highlight w:val="none"/>
                <w:vertAlign w:val="baseline"/>
                <w:lang w:val="en-US" w:eastAsia="zh-CN"/>
              </w:rPr>
              <w:t>合同</w:t>
            </w:r>
          </w:p>
        </w:tc>
        <w:tc>
          <w:tcPr>
            <w:tcW w:w="1618" w:type="dxa"/>
            <w:vAlign w:val="center"/>
          </w:tcPr>
          <w:p w14:paraId="21BF23D0">
            <w:pPr>
              <w:jc w:val="center"/>
              <w:rPr>
                <w:rFonts w:hint="eastAsia" w:ascii="仿宋" w:hAnsi="仿宋" w:eastAsia="仿宋" w:cs="宋体"/>
                <w:kern w:val="0"/>
                <w:sz w:val="24"/>
                <w:szCs w:val="24"/>
                <w:highlight w:val="none"/>
                <w:vertAlign w:val="baseline"/>
                <w:lang w:val="en-US" w:eastAsia="zh-CN"/>
              </w:rPr>
            </w:pPr>
            <w:r>
              <w:rPr>
                <w:rFonts w:hint="eastAsia" w:ascii="仿宋" w:hAnsi="仿宋" w:eastAsia="仿宋" w:cs="宋体"/>
                <w:kern w:val="0"/>
                <w:sz w:val="24"/>
                <w:szCs w:val="24"/>
                <w:highlight w:val="none"/>
                <w:vertAlign w:val="baseline"/>
                <w:lang w:val="en-US" w:eastAsia="zh-CN"/>
              </w:rPr>
              <w:t>备注</w:t>
            </w:r>
          </w:p>
        </w:tc>
      </w:tr>
      <w:tr w14:paraId="0086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6FAE330F">
            <w:pPr>
              <w:jc w:val="center"/>
              <w:rPr>
                <w:rFonts w:hint="eastAsia" w:ascii="仿宋" w:hAnsi="仿宋" w:eastAsia="仿宋" w:cs="宋体"/>
                <w:kern w:val="0"/>
                <w:sz w:val="24"/>
                <w:szCs w:val="24"/>
                <w:highlight w:val="none"/>
                <w:vertAlign w:val="baseline"/>
                <w:lang w:val="en-US" w:eastAsia="zh-CN" w:bidi="ar-SA"/>
              </w:rPr>
            </w:pPr>
            <w:r>
              <w:rPr>
                <w:rFonts w:hint="eastAsia" w:ascii="仿宋" w:hAnsi="仿宋" w:eastAsia="仿宋" w:cs="宋体"/>
                <w:kern w:val="0"/>
                <w:sz w:val="24"/>
                <w:szCs w:val="24"/>
                <w:highlight w:val="none"/>
                <w:vertAlign w:val="baseline"/>
                <w:lang w:val="en-US" w:eastAsia="zh-CN"/>
              </w:rPr>
              <w:t>1</w:t>
            </w:r>
          </w:p>
        </w:tc>
        <w:tc>
          <w:tcPr>
            <w:tcW w:w="1305" w:type="dxa"/>
            <w:vAlign w:val="center"/>
          </w:tcPr>
          <w:p w14:paraId="7820AFA0">
            <w:pPr>
              <w:jc w:val="center"/>
              <w:rPr>
                <w:rFonts w:ascii="仿宋" w:hAnsi="仿宋" w:eastAsia="仿宋" w:cs="宋体"/>
                <w:kern w:val="0"/>
                <w:sz w:val="24"/>
                <w:szCs w:val="24"/>
                <w:highlight w:val="none"/>
                <w:vertAlign w:val="baseline"/>
              </w:rPr>
            </w:pPr>
            <w:r>
              <w:rPr>
                <w:rFonts w:hint="eastAsia" w:ascii="仿宋" w:hAnsi="仿宋" w:eastAsia="仿宋" w:cs="宋体"/>
                <w:kern w:val="0"/>
                <w:sz w:val="24"/>
                <w:szCs w:val="24"/>
                <w:highlight w:val="none"/>
              </w:rPr>
              <w:t>设备、管线供货、安装</w:t>
            </w:r>
          </w:p>
        </w:tc>
        <w:tc>
          <w:tcPr>
            <w:tcW w:w="1200" w:type="dxa"/>
            <w:vAlign w:val="center"/>
          </w:tcPr>
          <w:p w14:paraId="6413300D">
            <w:pPr>
              <w:jc w:val="center"/>
              <w:rPr>
                <w:rFonts w:ascii="仿宋" w:hAnsi="仿宋" w:eastAsia="仿宋" w:cs="宋体"/>
                <w:kern w:val="0"/>
                <w:sz w:val="24"/>
                <w:szCs w:val="24"/>
                <w:highlight w:val="none"/>
                <w:vertAlign w:val="baseline"/>
              </w:rPr>
            </w:pPr>
            <w:r>
              <w:rPr>
                <w:rFonts w:hint="eastAsia" w:ascii="仿宋" w:hAnsi="仿宋" w:eastAsia="仿宋" w:cs="宋体"/>
                <w:kern w:val="0"/>
                <w:sz w:val="24"/>
                <w:szCs w:val="24"/>
                <w:highlight w:val="none"/>
              </w:rPr>
              <w:t>负责提供防雷接地点</w:t>
            </w:r>
          </w:p>
        </w:tc>
        <w:tc>
          <w:tcPr>
            <w:tcW w:w="1759" w:type="dxa"/>
            <w:vAlign w:val="top"/>
          </w:tcPr>
          <w:p w14:paraId="3BDF19A9">
            <w:pPr>
              <w:rPr>
                <w:rFonts w:hint="eastAsia" w:ascii="仿宋" w:hAnsi="仿宋" w:eastAsia="仿宋" w:cs="宋体"/>
                <w:color w:val="FF0000"/>
                <w:kern w:val="0"/>
                <w:sz w:val="24"/>
                <w:szCs w:val="24"/>
                <w:highlight w:val="none"/>
                <w:lang w:val="en-US" w:eastAsia="zh-CN"/>
              </w:rPr>
            </w:pPr>
            <w:r>
              <w:rPr>
                <w:rFonts w:hint="eastAsia" w:ascii="仿宋" w:hAnsi="仿宋" w:eastAsia="仿宋" w:cs="宋体"/>
                <w:color w:val="FF0000"/>
                <w:kern w:val="0"/>
                <w:sz w:val="24"/>
                <w:szCs w:val="24"/>
                <w:highlight w:val="none"/>
              </w:rPr>
              <w:t>1</w:t>
            </w:r>
            <w:r>
              <w:rPr>
                <w:rFonts w:hint="eastAsia" w:ascii="仿宋" w:hAnsi="仿宋" w:eastAsia="仿宋" w:cs="宋体"/>
                <w:color w:val="FF0000"/>
                <w:kern w:val="0"/>
                <w:sz w:val="24"/>
                <w:szCs w:val="24"/>
                <w:highlight w:val="none"/>
                <w:lang w:eastAsia="zh-CN"/>
              </w:rPr>
              <w:t>、</w:t>
            </w:r>
            <w:r>
              <w:rPr>
                <w:rFonts w:hint="eastAsia" w:ascii="仿宋" w:hAnsi="仿宋" w:eastAsia="仿宋" w:cs="宋体"/>
                <w:color w:val="FF0000"/>
                <w:kern w:val="0"/>
                <w:sz w:val="24"/>
                <w:szCs w:val="24"/>
                <w:highlight w:val="none"/>
              </w:rPr>
              <w:t>低压配电柜至擦窗机总箱电缆敷设（含箱体供应安装）</w:t>
            </w:r>
            <w:r>
              <w:rPr>
                <w:rFonts w:hint="eastAsia" w:ascii="仿宋" w:hAnsi="仿宋" w:eastAsia="仿宋" w:cs="宋体"/>
                <w:color w:val="FF0000"/>
                <w:kern w:val="0"/>
                <w:sz w:val="24"/>
                <w:szCs w:val="24"/>
                <w:highlight w:val="none"/>
                <w:lang w:val="en-US" w:eastAsia="zh-CN"/>
              </w:rPr>
              <w:t>；</w:t>
            </w:r>
          </w:p>
          <w:p w14:paraId="6E4BFEE8">
            <w:pPr>
              <w:rPr>
                <w:rFonts w:hint="eastAsia" w:ascii="仿宋" w:hAnsi="仿宋" w:eastAsia="仿宋" w:cs="宋体"/>
                <w:color w:val="FF0000"/>
                <w:kern w:val="0"/>
                <w:sz w:val="24"/>
                <w:szCs w:val="24"/>
                <w:highlight w:val="none"/>
                <w:lang w:val="en-US" w:eastAsia="zh-CN"/>
              </w:rPr>
            </w:pPr>
            <w:r>
              <w:rPr>
                <w:rFonts w:hint="eastAsia" w:ascii="仿宋" w:hAnsi="仿宋" w:eastAsia="仿宋" w:cs="宋体"/>
                <w:color w:val="FF0000"/>
                <w:kern w:val="0"/>
                <w:sz w:val="24"/>
                <w:szCs w:val="24"/>
                <w:highlight w:val="none"/>
              </w:rPr>
              <w:t>2</w:t>
            </w:r>
            <w:r>
              <w:rPr>
                <w:rFonts w:hint="eastAsia" w:ascii="仿宋" w:hAnsi="仿宋" w:eastAsia="仿宋" w:cs="宋体"/>
                <w:color w:val="FF0000"/>
                <w:kern w:val="0"/>
                <w:sz w:val="24"/>
                <w:szCs w:val="24"/>
                <w:highlight w:val="none"/>
                <w:lang w:eastAsia="zh-CN"/>
              </w:rPr>
              <w:t>、</w:t>
            </w:r>
            <w:r>
              <w:rPr>
                <w:rFonts w:hint="eastAsia" w:ascii="仿宋" w:hAnsi="仿宋" w:eastAsia="仿宋" w:cs="宋体"/>
                <w:color w:val="FF0000"/>
                <w:kern w:val="0"/>
                <w:sz w:val="24"/>
                <w:szCs w:val="24"/>
                <w:highlight w:val="none"/>
              </w:rPr>
              <w:t>负责按图纸预留给水接驳点</w:t>
            </w:r>
            <w:r>
              <w:rPr>
                <w:rFonts w:hint="eastAsia" w:ascii="仿宋" w:hAnsi="仿宋" w:eastAsia="仿宋" w:cs="宋体"/>
                <w:color w:val="FF0000"/>
                <w:kern w:val="0"/>
                <w:sz w:val="24"/>
                <w:szCs w:val="24"/>
                <w:highlight w:val="none"/>
                <w:lang w:val="en-US" w:eastAsia="zh-CN"/>
              </w:rPr>
              <w:t>；</w:t>
            </w:r>
          </w:p>
          <w:p w14:paraId="0D356CEC">
            <w:pPr>
              <w:rPr>
                <w:rFonts w:ascii="仿宋" w:hAnsi="仿宋" w:eastAsia="仿宋" w:cs="宋体"/>
                <w:kern w:val="0"/>
                <w:sz w:val="24"/>
                <w:szCs w:val="24"/>
                <w:highlight w:val="none"/>
                <w:vertAlign w:val="baseline"/>
              </w:rPr>
            </w:pPr>
            <w:r>
              <w:rPr>
                <w:rFonts w:hint="eastAsia" w:ascii="仿宋" w:hAnsi="仿宋" w:eastAsia="仿宋" w:cs="宋体"/>
                <w:color w:val="FF0000"/>
                <w:kern w:val="0"/>
                <w:sz w:val="24"/>
                <w:szCs w:val="24"/>
                <w:highlight w:val="none"/>
                <w:lang w:val="en-US" w:eastAsia="zh-CN"/>
              </w:rPr>
              <w:t>3、负责供电至擦窗机控制箱或配电箱的进线，电缆、电线、线管、线槽的采购、敷设及安装、检测、调试</w:t>
            </w:r>
          </w:p>
        </w:tc>
        <w:tc>
          <w:tcPr>
            <w:tcW w:w="3300" w:type="dxa"/>
            <w:vAlign w:val="center"/>
          </w:tcPr>
          <w:p w14:paraId="0CDA5BAC">
            <w:pPr>
              <w:rPr>
                <w:rFonts w:hint="default" w:ascii="仿宋" w:hAnsi="仿宋" w:eastAsia="仿宋" w:cs="宋体"/>
                <w:color w:val="FF0000"/>
                <w:kern w:val="0"/>
                <w:sz w:val="24"/>
                <w:szCs w:val="24"/>
                <w:highlight w:val="none"/>
                <w:lang w:val="en-US"/>
              </w:rPr>
            </w:pPr>
            <w:r>
              <w:rPr>
                <w:rFonts w:hint="eastAsia" w:ascii="仿宋" w:hAnsi="仿宋" w:eastAsia="仿宋" w:cs="宋体"/>
                <w:color w:val="FF0000"/>
                <w:kern w:val="0"/>
                <w:sz w:val="24"/>
                <w:szCs w:val="24"/>
                <w:highlight w:val="none"/>
              </w:rPr>
              <w:t>1</w:t>
            </w:r>
            <w:r>
              <w:rPr>
                <w:rFonts w:hint="eastAsia" w:ascii="仿宋" w:hAnsi="仿宋" w:eastAsia="仿宋" w:cs="宋体"/>
                <w:color w:val="FF0000"/>
                <w:kern w:val="0"/>
                <w:sz w:val="24"/>
                <w:szCs w:val="24"/>
                <w:highlight w:val="none"/>
                <w:lang w:eastAsia="zh-CN"/>
              </w:rPr>
              <w:t>、</w:t>
            </w:r>
            <w:r>
              <w:rPr>
                <w:rFonts w:hint="eastAsia" w:ascii="仿宋" w:hAnsi="仿宋" w:eastAsia="仿宋" w:cs="宋体"/>
                <w:color w:val="FF0000"/>
                <w:kern w:val="0"/>
                <w:sz w:val="24"/>
                <w:szCs w:val="24"/>
                <w:highlight w:val="none"/>
              </w:rPr>
              <w:t>负责</w:t>
            </w:r>
            <w:r>
              <w:rPr>
                <w:rFonts w:hint="eastAsia" w:ascii="仿宋" w:hAnsi="仿宋" w:eastAsia="仿宋" w:cs="宋体"/>
                <w:color w:val="FF0000"/>
                <w:kern w:val="0"/>
                <w:sz w:val="24"/>
                <w:szCs w:val="24"/>
                <w:highlight w:val="none"/>
                <w:lang w:val="en-US" w:eastAsia="zh-CN"/>
              </w:rPr>
              <w:t>擦窗机控制箱或</w:t>
            </w:r>
            <w:r>
              <w:rPr>
                <w:rFonts w:hint="eastAsia" w:ascii="仿宋" w:hAnsi="仿宋" w:eastAsia="仿宋" w:cs="宋体"/>
                <w:color w:val="FF0000"/>
                <w:kern w:val="0"/>
                <w:sz w:val="24"/>
                <w:szCs w:val="24"/>
                <w:highlight w:val="none"/>
              </w:rPr>
              <w:t>配电箱</w:t>
            </w:r>
            <w:r>
              <w:rPr>
                <w:rFonts w:hint="eastAsia" w:ascii="仿宋" w:hAnsi="仿宋" w:eastAsia="仿宋" w:cs="宋体"/>
                <w:color w:val="FF0000"/>
                <w:kern w:val="0"/>
                <w:sz w:val="24"/>
                <w:szCs w:val="24"/>
                <w:highlight w:val="none"/>
                <w:lang w:val="en-US" w:eastAsia="zh-CN"/>
              </w:rPr>
              <w:t>至末端</w:t>
            </w:r>
            <w:r>
              <w:rPr>
                <w:rFonts w:hint="eastAsia" w:ascii="仿宋" w:hAnsi="仿宋" w:eastAsia="仿宋" w:cs="宋体"/>
                <w:color w:val="FF0000"/>
                <w:kern w:val="0"/>
                <w:sz w:val="24"/>
                <w:szCs w:val="24"/>
                <w:highlight w:val="none"/>
              </w:rPr>
              <w:t>的线缆、</w:t>
            </w:r>
            <w:r>
              <w:rPr>
                <w:rFonts w:hint="eastAsia" w:ascii="仿宋" w:hAnsi="仿宋" w:eastAsia="仿宋" w:cs="宋体"/>
                <w:color w:val="FF0000"/>
                <w:kern w:val="0"/>
                <w:sz w:val="24"/>
                <w:szCs w:val="24"/>
                <w:highlight w:val="none"/>
                <w:lang w:val="en-US" w:eastAsia="zh-CN"/>
              </w:rPr>
              <w:t>电线、线</w:t>
            </w:r>
            <w:r>
              <w:rPr>
                <w:rFonts w:hint="eastAsia" w:ascii="仿宋" w:hAnsi="仿宋" w:eastAsia="仿宋" w:cs="宋体"/>
                <w:color w:val="FF0000"/>
                <w:kern w:val="0"/>
                <w:sz w:val="24"/>
                <w:szCs w:val="24"/>
                <w:highlight w:val="none"/>
              </w:rPr>
              <w:t>槽、</w:t>
            </w:r>
            <w:r>
              <w:rPr>
                <w:rFonts w:hint="eastAsia" w:ascii="仿宋" w:hAnsi="仿宋" w:eastAsia="仿宋" w:cs="宋体"/>
                <w:color w:val="FF0000"/>
                <w:kern w:val="0"/>
                <w:sz w:val="24"/>
                <w:szCs w:val="24"/>
                <w:highlight w:val="none"/>
                <w:lang w:val="en-US" w:eastAsia="zh-CN"/>
              </w:rPr>
              <w:t>线管、专用</w:t>
            </w:r>
            <w:r>
              <w:rPr>
                <w:rFonts w:hint="eastAsia" w:ascii="仿宋" w:hAnsi="仿宋" w:eastAsia="仿宋" w:cs="宋体"/>
                <w:color w:val="FF0000"/>
                <w:kern w:val="0"/>
                <w:sz w:val="24"/>
                <w:szCs w:val="24"/>
                <w:highlight w:val="none"/>
              </w:rPr>
              <w:t>插座、设备</w:t>
            </w:r>
            <w:r>
              <w:rPr>
                <w:rFonts w:hint="eastAsia" w:ascii="仿宋" w:hAnsi="仿宋" w:eastAsia="仿宋" w:cs="宋体"/>
                <w:color w:val="FF0000"/>
                <w:kern w:val="0"/>
                <w:sz w:val="24"/>
                <w:szCs w:val="24"/>
                <w:highlight w:val="none"/>
                <w:lang w:eastAsia="zh-CN"/>
              </w:rPr>
              <w:t>、</w:t>
            </w:r>
            <w:r>
              <w:rPr>
                <w:rFonts w:hint="eastAsia" w:ascii="仿宋" w:hAnsi="仿宋" w:eastAsia="仿宋" w:cs="宋体"/>
                <w:color w:val="FF0000"/>
                <w:kern w:val="0"/>
                <w:sz w:val="24"/>
                <w:szCs w:val="24"/>
                <w:highlight w:val="none"/>
                <w:lang w:val="en-US" w:eastAsia="zh-CN"/>
              </w:rPr>
              <w:t>防雷接地、支架等</w:t>
            </w:r>
            <w:r>
              <w:rPr>
                <w:rFonts w:hint="eastAsia" w:ascii="仿宋" w:hAnsi="仿宋" w:eastAsia="仿宋" w:cs="宋体"/>
                <w:color w:val="FF0000"/>
                <w:kern w:val="0"/>
                <w:sz w:val="24"/>
                <w:szCs w:val="24"/>
                <w:highlight w:val="none"/>
              </w:rPr>
              <w:t>供</w:t>
            </w:r>
            <w:r>
              <w:rPr>
                <w:rFonts w:hint="eastAsia" w:ascii="仿宋" w:hAnsi="仿宋" w:eastAsia="仿宋" w:cs="宋体"/>
                <w:color w:val="FF0000"/>
                <w:kern w:val="0"/>
                <w:sz w:val="24"/>
                <w:szCs w:val="24"/>
                <w:highlight w:val="none"/>
                <w:lang w:val="en-US" w:eastAsia="zh-CN"/>
              </w:rPr>
              <w:t>货、安装、检测、调试、验收；</w:t>
            </w:r>
          </w:p>
          <w:p w14:paraId="75886DDF">
            <w:pPr>
              <w:rPr>
                <w:rFonts w:hint="default" w:ascii="仿宋" w:hAnsi="仿宋" w:eastAsia="仿宋" w:cs="宋体"/>
                <w:color w:val="FF0000"/>
                <w:kern w:val="0"/>
                <w:sz w:val="24"/>
                <w:szCs w:val="24"/>
                <w:highlight w:val="none"/>
                <w:lang w:val="en-US" w:eastAsia="zh-CN"/>
              </w:rPr>
            </w:pPr>
            <w:r>
              <w:rPr>
                <w:rFonts w:hint="eastAsia" w:ascii="仿宋" w:hAnsi="仿宋" w:eastAsia="仿宋" w:cs="宋体"/>
                <w:color w:val="FF0000"/>
                <w:kern w:val="0"/>
                <w:sz w:val="24"/>
                <w:szCs w:val="24"/>
                <w:highlight w:val="none"/>
              </w:rPr>
              <w:t>2</w:t>
            </w:r>
            <w:r>
              <w:rPr>
                <w:rFonts w:hint="eastAsia" w:ascii="仿宋" w:hAnsi="仿宋" w:eastAsia="仿宋" w:cs="宋体"/>
                <w:color w:val="FF0000"/>
                <w:kern w:val="0"/>
                <w:sz w:val="24"/>
                <w:szCs w:val="24"/>
                <w:highlight w:val="none"/>
                <w:lang w:eastAsia="zh-CN"/>
              </w:rPr>
              <w:t>、</w:t>
            </w:r>
            <w:r>
              <w:rPr>
                <w:rFonts w:hint="eastAsia" w:ascii="仿宋" w:hAnsi="仿宋" w:eastAsia="仿宋" w:cs="宋体"/>
                <w:color w:val="FF0000"/>
                <w:kern w:val="0"/>
                <w:sz w:val="24"/>
                <w:szCs w:val="24"/>
                <w:highlight w:val="none"/>
              </w:rPr>
              <w:t>负责</w:t>
            </w:r>
            <w:r>
              <w:rPr>
                <w:rFonts w:hint="eastAsia" w:ascii="仿宋" w:hAnsi="仿宋" w:eastAsia="仿宋" w:cs="宋体"/>
                <w:color w:val="FF0000"/>
                <w:kern w:val="0"/>
                <w:sz w:val="24"/>
                <w:szCs w:val="24"/>
                <w:highlight w:val="none"/>
                <w:lang w:val="en-US" w:eastAsia="zh-CN"/>
              </w:rPr>
              <w:t>给水接驳点至擦窗机设备末端用水</w:t>
            </w:r>
            <w:r>
              <w:rPr>
                <w:rFonts w:hint="eastAsia" w:ascii="仿宋" w:hAnsi="仿宋" w:eastAsia="仿宋" w:cs="宋体"/>
                <w:color w:val="FF0000"/>
                <w:kern w:val="0"/>
                <w:sz w:val="24"/>
                <w:szCs w:val="24"/>
                <w:highlight w:val="none"/>
              </w:rPr>
              <w:t>的管道接驳</w:t>
            </w:r>
            <w:r>
              <w:rPr>
                <w:rFonts w:hint="eastAsia" w:ascii="仿宋" w:hAnsi="仿宋" w:eastAsia="仿宋" w:cs="宋体"/>
                <w:color w:val="FF0000"/>
                <w:kern w:val="0"/>
                <w:sz w:val="24"/>
                <w:szCs w:val="24"/>
                <w:highlight w:val="none"/>
                <w:lang w:eastAsia="zh-CN"/>
              </w:rPr>
              <w:t>，</w:t>
            </w:r>
            <w:r>
              <w:rPr>
                <w:rFonts w:hint="eastAsia" w:ascii="仿宋" w:hAnsi="仿宋" w:eastAsia="仿宋" w:cs="宋体"/>
                <w:color w:val="FF0000"/>
                <w:kern w:val="0"/>
                <w:sz w:val="24"/>
                <w:szCs w:val="24"/>
                <w:highlight w:val="none"/>
                <w:lang w:val="en-US" w:eastAsia="zh-CN"/>
              </w:rPr>
              <w:t>包括管道、支架、阀门、截止阀、防雷接地等供货、安装、检测、调试、验收；</w:t>
            </w:r>
          </w:p>
          <w:p w14:paraId="42F4DAAF">
            <w:pPr>
              <w:rPr>
                <w:highlight w:val="none"/>
              </w:rPr>
            </w:pPr>
            <w:r>
              <w:rPr>
                <w:rFonts w:hint="eastAsia" w:ascii="仿宋" w:hAnsi="仿宋" w:eastAsia="仿宋" w:cs="宋体"/>
                <w:color w:val="FF0000"/>
                <w:kern w:val="0"/>
                <w:sz w:val="24"/>
                <w:szCs w:val="24"/>
                <w:highlight w:val="none"/>
              </w:rPr>
              <w:t>3</w:t>
            </w:r>
            <w:r>
              <w:rPr>
                <w:rFonts w:hint="eastAsia" w:ascii="仿宋" w:hAnsi="仿宋" w:eastAsia="仿宋" w:cs="宋体"/>
                <w:color w:val="FF0000"/>
                <w:kern w:val="0"/>
                <w:sz w:val="24"/>
                <w:szCs w:val="24"/>
                <w:highlight w:val="none"/>
                <w:lang w:eastAsia="zh-CN"/>
              </w:rPr>
              <w:t>、</w:t>
            </w:r>
            <w:r>
              <w:rPr>
                <w:rFonts w:hint="eastAsia" w:ascii="仿宋" w:hAnsi="仿宋" w:eastAsia="仿宋" w:cs="宋体"/>
                <w:color w:val="FF0000"/>
                <w:kern w:val="0"/>
                <w:sz w:val="24"/>
                <w:szCs w:val="24"/>
                <w:highlight w:val="none"/>
              </w:rPr>
              <w:t>擦窗机轨道（含擦窗机轨道预埋件）、设备</w:t>
            </w:r>
            <w:r>
              <w:rPr>
                <w:rFonts w:hint="eastAsia" w:ascii="仿宋" w:hAnsi="仿宋" w:eastAsia="仿宋" w:cs="宋体"/>
                <w:color w:val="FF0000"/>
                <w:kern w:val="0"/>
                <w:sz w:val="24"/>
                <w:szCs w:val="24"/>
                <w:highlight w:val="none"/>
                <w:lang w:val="en-US" w:eastAsia="zh-CN"/>
              </w:rPr>
              <w:t>及附属配件、</w:t>
            </w:r>
            <w:r>
              <w:rPr>
                <w:rFonts w:hint="eastAsia" w:ascii="仿宋" w:hAnsi="仿宋" w:eastAsia="仿宋" w:cs="宋体"/>
                <w:color w:val="FF0000"/>
                <w:kern w:val="0"/>
                <w:sz w:val="24"/>
                <w:szCs w:val="24"/>
                <w:highlight w:val="none"/>
              </w:rPr>
              <w:t>接地等</w:t>
            </w:r>
            <w:r>
              <w:rPr>
                <w:rFonts w:hint="eastAsia" w:ascii="仿宋" w:hAnsi="仿宋" w:eastAsia="仿宋" w:cs="宋体"/>
                <w:color w:val="FF0000"/>
                <w:kern w:val="0"/>
                <w:sz w:val="24"/>
                <w:szCs w:val="24"/>
                <w:highlight w:val="none"/>
                <w:lang w:val="en-US" w:eastAsia="zh-CN"/>
              </w:rPr>
              <w:t>供货、安装、检测、调试</w:t>
            </w:r>
            <w:r>
              <w:rPr>
                <w:rFonts w:hint="eastAsia" w:ascii="仿宋" w:hAnsi="仿宋" w:eastAsia="仿宋" w:cs="宋体"/>
                <w:color w:val="FF0000"/>
                <w:kern w:val="0"/>
                <w:sz w:val="24"/>
                <w:szCs w:val="24"/>
                <w:highlight w:val="none"/>
              </w:rPr>
              <w:t>及</w:t>
            </w:r>
            <w:r>
              <w:rPr>
                <w:rFonts w:hint="eastAsia" w:ascii="仿宋" w:hAnsi="仿宋" w:eastAsia="仿宋" w:cs="宋体"/>
                <w:color w:val="FF0000"/>
                <w:kern w:val="0"/>
                <w:sz w:val="24"/>
                <w:szCs w:val="24"/>
                <w:highlight w:val="none"/>
                <w:lang w:val="en-US" w:eastAsia="zh-CN"/>
              </w:rPr>
              <w:t>验收。</w:t>
            </w:r>
          </w:p>
          <w:p w14:paraId="69714357">
            <w:pPr>
              <w:rPr>
                <w:rFonts w:ascii="仿宋" w:hAnsi="仿宋" w:eastAsia="仿宋" w:cs="宋体"/>
                <w:kern w:val="0"/>
                <w:sz w:val="24"/>
                <w:szCs w:val="24"/>
                <w:highlight w:val="none"/>
                <w:vertAlign w:val="baseline"/>
              </w:rPr>
            </w:pPr>
          </w:p>
        </w:tc>
        <w:tc>
          <w:tcPr>
            <w:tcW w:w="1618" w:type="dxa"/>
            <w:vAlign w:val="center"/>
          </w:tcPr>
          <w:p w14:paraId="0378019B">
            <w:pPr>
              <w:jc w:val="center"/>
              <w:rPr>
                <w:rFonts w:hint="eastAsia" w:ascii="仿宋" w:hAnsi="仿宋" w:eastAsia="仿宋" w:cs="宋体"/>
                <w:kern w:val="0"/>
                <w:sz w:val="24"/>
                <w:szCs w:val="24"/>
                <w:highlight w:val="none"/>
                <w:vertAlign w:val="baseline"/>
                <w:lang w:val="en-US" w:eastAsia="zh-CN"/>
              </w:rPr>
            </w:pPr>
            <w:r>
              <w:rPr>
                <w:rFonts w:hint="eastAsia" w:ascii="仿宋" w:hAnsi="仿宋" w:eastAsia="仿宋" w:cs="宋体"/>
                <w:kern w:val="0"/>
                <w:sz w:val="24"/>
                <w:szCs w:val="24"/>
                <w:highlight w:val="none"/>
                <w:vertAlign w:val="baseline"/>
                <w:lang w:val="en-US" w:eastAsia="zh-CN"/>
              </w:rPr>
              <w:t>/</w:t>
            </w:r>
          </w:p>
        </w:tc>
      </w:tr>
    </w:tbl>
    <w:p w14:paraId="6E595D28">
      <w:pPr>
        <w:spacing w:before="120" w:beforeLines="50" w:after="120" w:afterLines="50"/>
        <w:jc w:val="both"/>
        <w:rPr>
          <w:highlight w:val="none"/>
        </w:rPr>
      </w:pPr>
    </w:p>
    <w:p w14:paraId="48932EBF">
      <w:pPr>
        <w:pStyle w:val="2"/>
        <w:spacing w:before="0" w:after="0" w:line="360" w:lineRule="auto"/>
        <w:rPr>
          <w:rFonts w:asciiTheme="minorEastAsia" w:hAnsiTheme="minorEastAsia" w:eastAsiaTheme="minorEastAsia"/>
          <w:sz w:val="21"/>
          <w:szCs w:val="21"/>
          <w:highlight w:val="none"/>
        </w:rPr>
      </w:pPr>
      <w:bookmarkStart w:id="729" w:name="_Toc167975602"/>
      <w:bookmarkStart w:id="730" w:name="_Toc12253"/>
      <w:r>
        <w:rPr>
          <w:rFonts w:hint="eastAsia" w:asciiTheme="minorEastAsia" w:hAnsiTheme="minorEastAsia" w:eastAsiaTheme="minorEastAsia"/>
          <w:sz w:val="21"/>
          <w:szCs w:val="21"/>
          <w:highlight w:val="none"/>
        </w:rPr>
        <w:t>附件</w:t>
      </w:r>
      <w:r>
        <w:rPr>
          <w:rFonts w:asciiTheme="minorEastAsia" w:hAnsiTheme="minorEastAsia" w:eastAsiaTheme="minorEastAsia"/>
          <w:sz w:val="21"/>
          <w:szCs w:val="21"/>
          <w:highlight w:val="none"/>
        </w:rPr>
        <w:t xml:space="preserve">2 </w:t>
      </w:r>
      <w:r>
        <w:rPr>
          <w:rFonts w:hint="eastAsia" w:asciiTheme="minorEastAsia" w:hAnsiTheme="minorEastAsia" w:eastAsiaTheme="minorEastAsia"/>
          <w:sz w:val="21"/>
          <w:szCs w:val="21"/>
          <w:highlight w:val="none"/>
        </w:rPr>
        <w:t>施工技术要求（另册）</w:t>
      </w:r>
      <w:bookmarkEnd w:id="724"/>
      <w:bookmarkEnd w:id="725"/>
      <w:bookmarkEnd w:id="726"/>
      <w:bookmarkEnd w:id="727"/>
      <w:bookmarkEnd w:id="729"/>
      <w:bookmarkEnd w:id="730"/>
    </w:p>
    <w:p w14:paraId="0DE14AED">
      <w:pPr>
        <w:ind w:firstLine="420"/>
        <w:rPr>
          <w:rFonts w:hint="eastAsia"/>
          <w:highlight w:val="none"/>
          <w:lang w:val="en-US" w:eastAsia="zh-CN"/>
        </w:rPr>
      </w:pPr>
      <w:r>
        <w:rPr>
          <w:rFonts w:hint="eastAsia"/>
          <w:highlight w:val="none"/>
          <w:lang w:val="en-US" w:eastAsia="zh-CN"/>
        </w:rPr>
        <w:t>附件2-1</w:t>
      </w:r>
      <w:r>
        <w:rPr>
          <w:rFonts w:hint="eastAsia"/>
          <w:highlight w:val="none"/>
        </w:rPr>
        <w:t>粤海·云港城项目4#地块幕墙工程技术说明书</w:t>
      </w:r>
      <w:r>
        <w:rPr>
          <w:rFonts w:hint="eastAsia"/>
          <w:highlight w:val="none"/>
          <w:lang w:val="en-US" w:eastAsia="zh-CN"/>
        </w:rPr>
        <w:t>（另册）</w:t>
      </w:r>
    </w:p>
    <w:p w14:paraId="3EEB386A">
      <w:pPr>
        <w:ind w:firstLine="420"/>
        <w:rPr>
          <w:rFonts w:hint="eastAsia"/>
          <w:highlight w:val="none"/>
          <w:lang w:val="en-US" w:eastAsia="zh-CN"/>
        </w:rPr>
      </w:pPr>
      <w:r>
        <w:rPr>
          <w:rFonts w:hint="eastAsia"/>
          <w:highlight w:val="none"/>
          <w:lang w:val="en-US" w:eastAsia="zh-CN"/>
        </w:rPr>
        <w:t>附件2-2</w:t>
      </w:r>
      <w:r>
        <w:rPr>
          <w:rFonts w:hint="eastAsia"/>
          <w:highlight w:val="none"/>
        </w:rPr>
        <w:t>粤海·云港城项目4#地块擦窗机系统技术规格说明书</w:t>
      </w:r>
      <w:r>
        <w:rPr>
          <w:rFonts w:hint="eastAsia"/>
          <w:highlight w:val="none"/>
          <w:lang w:val="en-US" w:eastAsia="zh-CN"/>
        </w:rPr>
        <w:t>（另册）</w:t>
      </w:r>
    </w:p>
    <w:p w14:paraId="45AD6004">
      <w:pPr>
        <w:ind w:firstLine="420"/>
        <w:rPr>
          <w:rFonts w:hint="default"/>
          <w:highlight w:val="none"/>
          <w:lang w:val="en-US" w:eastAsia="zh-CN"/>
        </w:rPr>
      </w:pPr>
      <w:r>
        <w:rPr>
          <w:rFonts w:hint="eastAsia"/>
          <w:highlight w:val="none"/>
          <w:lang w:val="en-US" w:eastAsia="zh-CN"/>
        </w:rPr>
        <w:t>附件2-3</w:t>
      </w:r>
      <w:r>
        <w:rPr>
          <w:rFonts w:hint="eastAsia"/>
          <w:highlight w:val="none"/>
        </w:rPr>
        <w:t>粤海云港城4地块项目建筑泛光招标技术规格书</w:t>
      </w:r>
      <w:r>
        <w:rPr>
          <w:rFonts w:hint="eastAsia"/>
          <w:highlight w:val="none"/>
          <w:lang w:val="en-US" w:eastAsia="zh-CN"/>
        </w:rPr>
        <w:t>（另册）</w:t>
      </w:r>
    </w:p>
    <w:p w14:paraId="5F0D76DD">
      <w:pPr>
        <w:spacing w:line="360" w:lineRule="auto"/>
        <w:ind w:left="851"/>
        <w:rPr>
          <w:rFonts w:ascii="宋体" w:hAnsi="宋体"/>
          <w:szCs w:val="21"/>
          <w:highlight w:val="none"/>
        </w:rPr>
      </w:pPr>
    </w:p>
    <w:p w14:paraId="7A2152A4">
      <w:pPr>
        <w:pStyle w:val="2"/>
        <w:spacing w:before="0" w:after="0" w:line="360" w:lineRule="auto"/>
        <w:rPr>
          <w:rFonts w:asciiTheme="minorEastAsia" w:hAnsiTheme="minorEastAsia" w:eastAsiaTheme="minorEastAsia"/>
          <w:sz w:val="21"/>
          <w:szCs w:val="21"/>
          <w:highlight w:val="none"/>
        </w:rPr>
      </w:pPr>
      <w:bookmarkStart w:id="731" w:name="_Toc167975603"/>
      <w:r>
        <w:rPr>
          <w:rFonts w:hint="eastAsia" w:asciiTheme="minorEastAsia" w:hAnsiTheme="minorEastAsia" w:eastAsiaTheme="minorEastAsia"/>
          <w:sz w:val="21"/>
          <w:szCs w:val="21"/>
          <w:highlight w:val="none"/>
        </w:rPr>
        <w:t>附件3材料设备品牌推荐（另册）</w:t>
      </w:r>
      <w:bookmarkEnd w:id="731"/>
    </w:p>
    <w:p w14:paraId="078676ED">
      <w:pPr>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附件3-1</w:t>
      </w:r>
      <w:r>
        <w:rPr>
          <w:rFonts w:hint="eastAsia" w:ascii="宋体" w:hAnsi="宋体"/>
          <w:szCs w:val="21"/>
          <w:highlight w:val="none"/>
        </w:rPr>
        <w:t>云港城项目4号地块T2幕墙工程材料设备品牌推荐表</w:t>
      </w:r>
      <w:r>
        <w:rPr>
          <w:rFonts w:hint="eastAsia"/>
          <w:highlight w:val="none"/>
          <w:lang w:val="en-US" w:eastAsia="zh-CN"/>
        </w:rPr>
        <w:t>（另册）</w:t>
      </w:r>
    </w:p>
    <w:p w14:paraId="652F4FA6">
      <w:pPr>
        <w:rPr>
          <w:rFonts w:hint="default" w:ascii="宋体" w:hAnsi="宋体"/>
          <w:sz w:val="21"/>
          <w:szCs w:val="21"/>
          <w:highlight w:val="none"/>
          <w:lang w:val="en-US" w:eastAsia="zh-CN"/>
        </w:rPr>
      </w:pPr>
      <w:r>
        <w:rPr>
          <w:rFonts w:hint="eastAsia" w:ascii="宋体" w:hAnsi="宋体"/>
          <w:sz w:val="21"/>
          <w:szCs w:val="21"/>
          <w:highlight w:val="none"/>
          <w:lang w:val="en-US" w:eastAsia="zh-CN"/>
        </w:rPr>
        <w:t xml:space="preserve">    附件3-2</w:t>
      </w:r>
      <w:r>
        <w:rPr>
          <w:rFonts w:hint="eastAsia" w:ascii="宋体" w:hAnsi="宋体"/>
          <w:szCs w:val="21"/>
          <w:highlight w:val="none"/>
        </w:rPr>
        <w:t>云港城项目4号地块泛光工程材料设备品牌推荐表</w:t>
      </w:r>
      <w:r>
        <w:rPr>
          <w:rFonts w:hint="eastAsia"/>
          <w:highlight w:val="none"/>
          <w:lang w:val="en-US" w:eastAsia="zh-CN"/>
        </w:rPr>
        <w:t>（另册）</w:t>
      </w:r>
    </w:p>
    <w:p w14:paraId="173D948F">
      <w:pPr>
        <w:spacing w:line="360" w:lineRule="auto"/>
        <w:ind w:left="851"/>
        <w:rPr>
          <w:rFonts w:asciiTheme="minorEastAsia" w:hAnsiTheme="minorEastAsia" w:eastAsiaTheme="minorEastAsia"/>
          <w:szCs w:val="21"/>
          <w:highlight w:val="none"/>
        </w:rPr>
      </w:pPr>
    </w:p>
    <w:p w14:paraId="3BD9D197">
      <w:pPr>
        <w:pStyle w:val="2"/>
        <w:spacing w:before="0" w:after="0" w:line="360" w:lineRule="auto"/>
        <w:rPr>
          <w:rFonts w:asciiTheme="minorEastAsia" w:hAnsiTheme="minorEastAsia" w:eastAsiaTheme="minorEastAsia"/>
          <w:sz w:val="21"/>
          <w:szCs w:val="21"/>
          <w:highlight w:val="none"/>
        </w:rPr>
      </w:pPr>
      <w:bookmarkStart w:id="732" w:name="_Toc167975604"/>
      <w:r>
        <w:rPr>
          <w:rFonts w:hint="eastAsia" w:asciiTheme="minorEastAsia" w:hAnsiTheme="minorEastAsia" w:eastAsiaTheme="minorEastAsia"/>
          <w:sz w:val="21"/>
          <w:szCs w:val="21"/>
          <w:highlight w:val="none"/>
        </w:rPr>
        <w:t>附件4已标价工程量清单（另册）</w:t>
      </w:r>
      <w:bookmarkEnd w:id="732"/>
    </w:p>
    <w:p w14:paraId="16A6D08F">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附件4.1 投标报价须知（另册）</w:t>
      </w:r>
    </w:p>
    <w:p w14:paraId="59C568C4">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附件4.2 已标价工程量清单（另册）</w:t>
      </w:r>
    </w:p>
    <w:p w14:paraId="5F270F51">
      <w:pPr>
        <w:spacing w:line="360" w:lineRule="auto"/>
        <w:ind w:left="851"/>
        <w:rPr>
          <w:rFonts w:asciiTheme="minorEastAsia" w:hAnsiTheme="minorEastAsia" w:eastAsiaTheme="minorEastAsia"/>
          <w:szCs w:val="21"/>
          <w:highlight w:val="none"/>
        </w:rPr>
      </w:pPr>
    </w:p>
    <w:p w14:paraId="7C97672E">
      <w:pPr>
        <w:pStyle w:val="2"/>
        <w:spacing w:before="0" w:after="0" w:line="360" w:lineRule="auto"/>
        <w:rPr>
          <w:rFonts w:asciiTheme="minorEastAsia" w:hAnsiTheme="minorEastAsia" w:eastAsiaTheme="minorEastAsia"/>
          <w:sz w:val="21"/>
          <w:szCs w:val="21"/>
          <w:highlight w:val="none"/>
        </w:rPr>
      </w:pPr>
      <w:bookmarkStart w:id="733" w:name="_Toc167975605"/>
      <w:r>
        <w:rPr>
          <w:rFonts w:hint="eastAsia" w:asciiTheme="minorEastAsia" w:hAnsiTheme="minorEastAsia" w:eastAsiaTheme="minorEastAsia"/>
          <w:sz w:val="21"/>
          <w:szCs w:val="21"/>
          <w:highlight w:val="none"/>
        </w:rPr>
        <w:t>附件5图纸目录（另册）</w:t>
      </w:r>
      <w:bookmarkEnd w:id="733"/>
    </w:p>
    <w:p w14:paraId="378B2DD5">
      <w:pPr>
        <w:pStyle w:val="2"/>
        <w:spacing w:before="0" w:after="0" w:line="360" w:lineRule="auto"/>
        <w:ind w:firstLine="420" w:firstLineChars="200"/>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 xml:space="preserve">附件5-1 </w:t>
      </w:r>
      <w:r>
        <w:rPr>
          <w:rFonts w:hint="eastAsia" w:asciiTheme="minorEastAsia" w:hAnsiTheme="minorEastAsia" w:eastAsiaTheme="minorEastAsia"/>
          <w:b w:val="0"/>
          <w:bCs w:val="0"/>
          <w:sz w:val="21"/>
          <w:szCs w:val="21"/>
          <w:highlight w:val="none"/>
        </w:rPr>
        <w:t>T2栋幕墙招标图目录</w:t>
      </w:r>
      <w:r>
        <w:rPr>
          <w:rFonts w:hint="eastAsia" w:asciiTheme="minorEastAsia" w:hAnsiTheme="minorEastAsia" w:eastAsiaTheme="minorEastAsia"/>
          <w:b w:val="0"/>
          <w:bCs w:val="0"/>
          <w:sz w:val="21"/>
          <w:szCs w:val="21"/>
          <w:highlight w:val="none"/>
          <w:lang w:val="en-US" w:eastAsia="zh-CN"/>
        </w:rPr>
        <w:t>（另册）</w:t>
      </w:r>
    </w:p>
    <w:p w14:paraId="77C9AA23">
      <w:pPr>
        <w:pStyle w:val="2"/>
        <w:spacing w:before="0" w:after="0"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b w:val="0"/>
          <w:bCs w:val="0"/>
          <w:sz w:val="21"/>
          <w:szCs w:val="21"/>
          <w:highlight w:val="none"/>
          <w:lang w:val="en-US" w:eastAsia="zh-CN"/>
        </w:rPr>
        <w:t xml:space="preserve">附件5-2 </w:t>
      </w:r>
      <w:r>
        <w:rPr>
          <w:rFonts w:hint="eastAsia" w:asciiTheme="minorEastAsia" w:hAnsiTheme="minorEastAsia" w:eastAsiaTheme="minorEastAsia"/>
          <w:b w:val="0"/>
          <w:bCs w:val="0"/>
          <w:sz w:val="21"/>
          <w:szCs w:val="21"/>
          <w:highlight w:val="none"/>
        </w:rPr>
        <w:t>泛光电气招标图目录</w:t>
      </w:r>
      <w:r>
        <w:rPr>
          <w:rFonts w:hint="eastAsia" w:asciiTheme="minorEastAsia" w:hAnsiTheme="minorEastAsia" w:eastAsiaTheme="minorEastAsia"/>
          <w:b w:val="0"/>
          <w:bCs w:val="0"/>
          <w:sz w:val="21"/>
          <w:szCs w:val="21"/>
          <w:highlight w:val="none"/>
          <w:lang w:val="en-US" w:eastAsia="zh-CN"/>
        </w:rPr>
        <w:t>（另册）</w:t>
      </w:r>
      <w:r>
        <w:rPr>
          <w:highlight w:val="none"/>
        </w:rPr>
        <w:br w:type="page"/>
      </w:r>
      <w:bookmarkStart w:id="734" w:name="_Toc7324"/>
      <w:bookmarkStart w:id="735" w:name="_Toc44492629"/>
      <w:bookmarkStart w:id="736" w:name="_Toc167975606"/>
      <w:bookmarkStart w:id="737" w:name="_Toc44227952"/>
      <w:bookmarkStart w:id="738" w:name="_Toc23359"/>
      <w:bookmarkStart w:id="739" w:name="_Toc23448"/>
      <w:r>
        <w:rPr>
          <w:rFonts w:hint="eastAsia" w:asciiTheme="minorEastAsia" w:hAnsiTheme="minorEastAsia" w:eastAsiaTheme="minorEastAsia"/>
          <w:sz w:val="21"/>
          <w:szCs w:val="21"/>
          <w:highlight w:val="none"/>
        </w:rPr>
        <w:t>附件6履约保函（样式）</w:t>
      </w:r>
      <w:bookmarkEnd w:id="734"/>
      <w:bookmarkEnd w:id="735"/>
      <w:bookmarkEnd w:id="736"/>
      <w:bookmarkEnd w:id="737"/>
      <w:bookmarkEnd w:id="738"/>
      <w:bookmarkEnd w:id="739"/>
    </w:p>
    <w:p w14:paraId="438224BE">
      <w:pPr>
        <w:spacing w:line="276" w:lineRule="auto"/>
        <w:ind w:firstLine="640" w:firstLineChars="200"/>
        <w:jc w:val="center"/>
        <w:rPr>
          <w:rFonts w:ascii="仿宋" w:hAnsi="仿宋" w:eastAsia="仿宋"/>
          <w:kern w:val="0"/>
          <w:sz w:val="32"/>
          <w:szCs w:val="32"/>
          <w:highlight w:val="none"/>
          <w:u w:val="single"/>
        </w:rPr>
      </w:pPr>
      <w:r>
        <w:rPr>
          <w:rFonts w:hint="eastAsia" w:ascii="仿宋" w:hAnsi="仿宋" w:eastAsia="仿宋"/>
          <w:kern w:val="0"/>
          <w:sz w:val="32"/>
          <w:szCs w:val="32"/>
          <w:highlight w:val="none"/>
          <w:u w:val="none"/>
        </w:rPr>
        <w:t>履约保函（格式）</w:t>
      </w:r>
    </w:p>
    <w:p w14:paraId="4C7803D6">
      <w:pPr>
        <w:adjustRightInd w:val="0"/>
        <w:snapToGrid w:val="0"/>
        <w:spacing w:line="360" w:lineRule="auto"/>
        <w:jc w:val="left"/>
        <w:rPr>
          <w:rFonts w:ascii="仿宋" w:hAnsi="仿宋" w:eastAsia="仿宋"/>
          <w:szCs w:val="21"/>
          <w:highlight w:val="none"/>
          <w:u w:val="single"/>
        </w:rPr>
      </w:pPr>
      <w:r>
        <w:rPr>
          <w:rFonts w:hint="eastAsia" w:ascii="仿宋" w:hAnsi="仿宋" w:eastAsia="仿宋"/>
          <w:szCs w:val="21"/>
          <w:highlight w:val="none"/>
        </w:rPr>
        <w:t>致：</w:t>
      </w:r>
      <w:r>
        <w:rPr>
          <w:rFonts w:hint="eastAsia" w:ascii="仿宋" w:hAnsi="仿宋" w:eastAsia="仿宋"/>
          <w:szCs w:val="21"/>
          <w:highlight w:val="none"/>
          <w:u w:val="single"/>
        </w:rPr>
        <w:t xml:space="preserve">               </w:t>
      </w:r>
      <w:r>
        <w:rPr>
          <w:rFonts w:hint="eastAsia" w:ascii="仿宋" w:hAnsi="仿宋" w:eastAsia="仿宋"/>
          <w:szCs w:val="21"/>
          <w:highlight w:val="none"/>
        </w:rPr>
        <w:t>（以下简称“受益人”）：</w:t>
      </w:r>
    </w:p>
    <w:p w14:paraId="13CC77ED">
      <w:pPr>
        <w:adjustRightInd w:val="0"/>
        <w:snapToGrid w:val="0"/>
        <w:spacing w:line="360" w:lineRule="auto"/>
        <w:ind w:firstLine="420" w:firstLineChars="200"/>
        <w:jc w:val="left"/>
        <w:rPr>
          <w:rFonts w:ascii="仿宋" w:hAnsi="仿宋" w:eastAsia="仿宋"/>
          <w:szCs w:val="21"/>
          <w:highlight w:val="none"/>
        </w:rPr>
      </w:pPr>
      <w:r>
        <w:rPr>
          <w:rFonts w:hint="eastAsia" w:ascii="仿宋" w:hAnsi="仿宋" w:eastAsia="仿宋"/>
          <w:szCs w:val="21"/>
          <w:highlight w:val="none"/>
        </w:rPr>
        <w:t>鉴于</w:t>
      </w:r>
      <w:r>
        <w:rPr>
          <w:rFonts w:hint="eastAsia" w:ascii="仿宋" w:hAnsi="仿宋" w:eastAsia="仿宋"/>
          <w:szCs w:val="21"/>
          <w:highlight w:val="none"/>
          <w:u w:val="single"/>
        </w:rPr>
        <w:t xml:space="preserve">                     </w:t>
      </w:r>
      <w:r>
        <w:rPr>
          <w:rFonts w:hint="eastAsia" w:ascii="仿宋" w:hAnsi="仿宋" w:eastAsia="仿宋"/>
          <w:szCs w:val="21"/>
          <w:highlight w:val="none"/>
        </w:rPr>
        <w:t>（以下简称“被担保人”）已与受益人签订了编号为</w:t>
      </w:r>
      <w:r>
        <w:rPr>
          <w:rFonts w:hint="eastAsia" w:ascii="仿宋" w:hAnsi="仿宋" w:eastAsia="仿宋"/>
          <w:szCs w:val="21"/>
          <w:highlight w:val="none"/>
          <w:u w:val="single"/>
        </w:rPr>
        <w:t xml:space="preserve">            </w:t>
      </w:r>
      <w:r>
        <w:rPr>
          <w:rFonts w:hint="eastAsia" w:ascii="仿宋" w:hAnsi="仿宋" w:eastAsia="仿宋"/>
          <w:szCs w:val="21"/>
          <w:highlight w:val="none"/>
        </w:rPr>
        <w:t>的《</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rPr>
        <w:t>》 （以下简称“合同”），金额 （大写）：人民币</w:t>
      </w:r>
      <w:r>
        <w:rPr>
          <w:rFonts w:hint="eastAsia" w:ascii="仿宋" w:hAnsi="仿宋" w:eastAsia="仿宋"/>
          <w:szCs w:val="21"/>
          <w:highlight w:val="none"/>
          <w:u w:val="single"/>
        </w:rPr>
        <w:t xml:space="preserve">             </w:t>
      </w:r>
      <w:r>
        <w:rPr>
          <w:rFonts w:hint="eastAsia" w:ascii="仿宋" w:hAnsi="仿宋" w:eastAsia="仿宋"/>
          <w:szCs w:val="21"/>
          <w:highlight w:val="none"/>
        </w:rPr>
        <w:t>元（RMB</w:t>
      </w:r>
      <w:r>
        <w:rPr>
          <w:rFonts w:hint="eastAsia" w:ascii="仿宋" w:hAnsi="仿宋" w:eastAsia="仿宋"/>
          <w:szCs w:val="21"/>
          <w:highlight w:val="none"/>
          <w:u w:val="single"/>
        </w:rPr>
        <w:t xml:space="preserve">        </w:t>
      </w:r>
      <w:r>
        <w:rPr>
          <w:rFonts w:hint="eastAsia" w:ascii="仿宋" w:hAnsi="仿宋" w:eastAsia="仿宋"/>
          <w:szCs w:val="21"/>
          <w:highlight w:val="none"/>
        </w:rPr>
        <w:t>）。我方作为保证人，在此向受益人就被担保人履行合同提供</w:t>
      </w:r>
      <w:r>
        <w:rPr>
          <w:rFonts w:hint="eastAsia" w:ascii="仿宋" w:hAnsi="仿宋" w:eastAsia="仿宋"/>
          <w:b/>
          <w:szCs w:val="21"/>
          <w:highlight w:val="none"/>
        </w:rPr>
        <w:t>不可撤销</w:t>
      </w:r>
      <w:r>
        <w:rPr>
          <w:rFonts w:hint="eastAsia" w:ascii="仿宋" w:hAnsi="仿宋" w:eastAsia="仿宋"/>
          <w:szCs w:val="21"/>
          <w:highlight w:val="none"/>
        </w:rPr>
        <w:t>的</w:t>
      </w:r>
      <w:r>
        <w:rPr>
          <w:rFonts w:hint="eastAsia" w:ascii="仿宋" w:hAnsi="仿宋" w:eastAsia="仿宋"/>
          <w:b/>
          <w:szCs w:val="21"/>
          <w:highlight w:val="none"/>
        </w:rPr>
        <w:t>连带责任保证担保</w:t>
      </w:r>
      <w:r>
        <w:rPr>
          <w:rFonts w:hint="eastAsia" w:ascii="仿宋" w:hAnsi="仿宋" w:eastAsia="仿宋"/>
          <w:szCs w:val="21"/>
          <w:highlight w:val="none"/>
        </w:rPr>
        <w:t>：</w:t>
      </w:r>
    </w:p>
    <w:p w14:paraId="68A84780">
      <w:pPr>
        <w:adjustRightInd w:val="0"/>
        <w:snapToGrid w:val="0"/>
        <w:spacing w:line="360" w:lineRule="auto"/>
        <w:ind w:firstLine="420" w:firstLineChars="200"/>
        <w:jc w:val="left"/>
        <w:rPr>
          <w:rFonts w:ascii="仿宋" w:hAnsi="仿宋" w:eastAsia="仿宋"/>
          <w:szCs w:val="21"/>
          <w:highlight w:val="none"/>
        </w:rPr>
      </w:pPr>
      <w:r>
        <w:rPr>
          <w:rFonts w:hint="eastAsia" w:ascii="仿宋" w:hAnsi="仿宋" w:eastAsia="仿宋"/>
          <w:szCs w:val="21"/>
          <w:highlight w:val="none"/>
        </w:rPr>
        <w:t>一、本保函担保的金额为（大写）人民币</w:t>
      </w:r>
      <w:r>
        <w:rPr>
          <w:rFonts w:hint="eastAsia" w:ascii="仿宋" w:hAnsi="仿宋" w:eastAsia="仿宋"/>
          <w:szCs w:val="21"/>
          <w:highlight w:val="none"/>
          <w:u w:val="single"/>
        </w:rPr>
        <w:t xml:space="preserve">    </w:t>
      </w:r>
      <w:r>
        <w:rPr>
          <w:rFonts w:hint="eastAsia" w:ascii="仿宋" w:hAnsi="仿宋" w:eastAsia="仿宋"/>
          <w:szCs w:val="21"/>
          <w:highlight w:val="none"/>
        </w:rPr>
        <w:t>元（RMB</w:t>
      </w:r>
      <w:r>
        <w:rPr>
          <w:rFonts w:hint="eastAsia" w:ascii="仿宋" w:hAnsi="仿宋" w:eastAsia="仿宋"/>
          <w:szCs w:val="21"/>
          <w:highlight w:val="none"/>
          <w:u w:val="single"/>
        </w:rPr>
        <w:t xml:space="preserve">   </w:t>
      </w:r>
      <w:r>
        <w:rPr>
          <w:rFonts w:hint="eastAsia" w:ascii="仿宋" w:hAnsi="仿宋" w:eastAsia="仿宋"/>
          <w:szCs w:val="21"/>
          <w:highlight w:val="none"/>
        </w:rPr>
        <w:t>）。</w:t>
      </w:r>
    </w:p>
    <w:p w14:paraId="5121A2A0">
      <w:pPr>
        <w:adjustRightInd w:val="0"/>
        <w:snapToGrid w:val="0"/>
        <w:spacing w:line="360" w:lineRule="auto"/>
        <w:ind w:firstLine="420" w:firstLineChars="200"/>
        <w:jc w:val="left"/>
        <w:rPr>
          <w:rFonts w:ascii="仿宋" w:hAnsi="仿宋" w:eastAsia="仿宋"/>
          <w:szCs w:val="21"/>
          <w:highlight w:val="none"/>
        </w:rPr>
      </w:pPr>
      <w:r>
        <w:rPr>
          <w:rFonts w:hint="eastAsia" w:ascii="仿宋" w:hAnsi="仿宋" w:eastAsia="仿宋"/>
          <w:szCs w:val="21"/>
          <w:highlight w:val="none"/>
        </w:rPr>
        <w:t>二、本保函的有效期从合同生效之日起至合同项下工程竣工验收合格、结算完成且工程交付发包人（以时间较晚者为准）后第30天止。本保函有效期即为本保函的担保期限。</w:t>
      </w:r>
    </w:p>
    <w:p w14:paraId="6040E293">
      <w:pPr>
        <w:adjustRightInd w:val="0"/>
        <w:snapToGrid w:val="0"/>
        <w:spacing w:line="360" w:lineRule="auto"/>
        <w:ind w:firstLine="420" w:firstLineChars="200"/>
        <w:jc w:val="left"/>
        <w:rPr>
          <w:rFonts w:ascii="仿宋" w:hAnsi="仿宋" w:eastAsia="仿宋"/>
          <w:szCs w:val="21"/>
          <w:highlight w:val="none"/>
        </w:rPr>
      </w:pPr>
      <w:r>
        <w:rPr>
          <w:rFonts w:hint="eastAsia" w:ascii="仿宋" w:hAnsi="仿宋" w:eastAsia="仿宋"/>
          <w:szCs w:val="21"/>
          <w:highlight w:val="none"/>
        </w:rPr>
        <w:t>三、本保函为</w:t>
      </w:r>
      <w:r>
        <w:rPr>
          <w:rFonts w:hint="eastAsia" w:ascii="仿宋" w:hAnsi="仿宋" w:eastAsia="仿宋"/>
          <w:b/>
          <w:szCs w:val="21"/>
          <w:highlight w:val="none"/>
        </w:rPr>
        <w:t>见索即付</w:t>
      </w:r>
      <w:r>
        <w:rPr>
          <w:rFonts w:hint="eastAsia" w:ascii="仿宋" w:hAnsi="仿宋" w:eastAsia="仿宋"/>
          <w:szCs w:val="21"/>
          <w:highlight w:val="none"/>
        </w:rPr>
        <w:t>保函，在本保函的担保期限内，我方将在收到受益人经法定代表人或其授权委托代理人签字并加盖公章的书面索赔通知原件后</w:t>
      </w:r>
      <w:r>
        <w:rPr>
          <w:rFonts w:hint="eastAsia" w:ascii="仿宋" w:hAnsi="仿宋" w:eastAsia="仿宋"/>
          <w:szCs w:val="21"/>
          <w:highlight w:val="none"/>
          <w:u w:val="single"/>
        </w:rPr>
        <w:t xml:space="preserve">    </w:t>
      </w:r>
      <w:r>
        <w:rPr>
          <w:rFonts w:hint="eastAsia" w:ascii="仿宋" w:hAnsi="仿宋" w:eastAsia="仿宋"/>
          <w:szCs w:val="21"/>
          <w:highlight w:val="none"/>
        </w:rPr>
        <w:t>个工作日内，</w:t>
      </w:r>
      <w:r>
        <w:rPr>
          <w:rFonts w:hint="eastAsia" w:ascii="仿宋" w:hAnsi="仿宋" w:eastAsia="仿宋"/>
          <w:b/>
          <w:szCs w:val="21"/>
          <w:highlight w:val="none"/>
        </w:rPr>
        <w:t>不争辩、不挑剔、不可撤销</w:t>
      </w:r>
      <w:r>
        <w:rPr>
          <w:rFonts w:hint="eastAsia" w:ascii="仿宋" w:hAnsi="仿宋" w:eastAsia="仿宋"/>
          <w:szCs w:val="21"/>
          <w:highlight w:val="none"/>
        </w:rPr>
        <w:t>地向受益人支付索赔款，直至本保函担保的最高金额。</w:t>
      </w:r>
      <w:r>
        <w:rPr>
          <w:rFonts w:hint="eastAsia" w:ascii="仿宋" w:hAnsi="仿宋" w:eastAsia="仿宋"/>
          <w:b/>
          <w:szCs w:val="21"/>
          <w:highlight w:val="none"/>
        </w:rPr>
        <w:t>受益人出具的书面索赔通知书无需要求证明被担保人是否违约或索赔金额是否恰当</w:t>
      </w:r>
      <w:r>
        <w:rPr>
          <w:rFonts w:hint="eastAsia" w:ascii="仿宋" w:hAnsi="仿宋" w:eastAsia="仿宋"/>
          <w:szCs w:val="21"/>
          <w:highlight w:val="none"/>
        </w:rPr>
        <w:t>。</w:t>
      </w:r>
    </w:p>
    <w:p w14:paraId="5A31E458">
      <w:pPr>
        <w:adjustRightInd w:val="0"/>
        <w:snapToGrid w:val="0"/>
        <w:spacing w:line="360" w:lineRule="auto"/>
        <w:ind w:firstLine="420" w:firstLineChars="200"/>
        <w:jc w:val="left"/>
        <w:rPr>
          <w:rFonts w:ascii="仿宋" w:hAnsi="仿宋" w:eastAsia="仿宋"/>
          <w:szCs w:val="21"/>
          <w:highlight w:val="none"/>
        </w:rPr>
      </w:pPr>
      <w:r>
        <w:rPr>
          <w:rFonts w:ascii="仿宋" w:hAnsi="仿宋" w:eastAsia="仿宋"/>
          <w:szCs w:val="21"/>
          <w:highlight w:val="none"/>
        </w:rPr>
        <w:t>四</w:t>
      </w:r>
      <w:r>
        <w:rPr>
          <w:rFonts w:hint="eastAsia" w:ascii="仿宋" w:hAnsi="仿宋" w:eastAsia="仿宋"/>
          <w:szCs w:val="21"/>
          <w:highlight w:val="none"/>
        </w:rPr>
        <w:t>、我方出具本保函后，</w:t>
      </w:r>
      <w:r>
        <w:rPr>
          <w:rFonts w:hint="eastAsia" w:ascii="仿宋" w:hAnsi="仿宋" w:eastAsia="仿宋"/>
          <w:b/>
          <w:szCs w:val="21"/>
          <w:highlight w:val="none"/>
        </w:rPr>
        <w:t>受益人与被担保人对合同进行的任何修订，或受益人对合同有关事项的任何豁免或未追究皆不会解除或减轻我方于本保函担保项下的责任</w:t>
      </w:r>
      <w:r>
        <w:rPr>
          <w:rFonts w:hint="eastAsia" w:ascii="仿宋" w:hAnsi="仿宋" w:eastAsia="仿宋"/>
          <w:szCs w:val="21"/>
          <w:highlight w:val="none"/>
        </w:rPr>
        <w:t>。</w:t>
      </w:r>
    </w:p>
    <w:p w14:paraId="3310D8E9">
      <w:pPr>
        <w:adjustRightInd w:val="0"/>
        <w:snapToGrid w:val="0"/>
        <w:spacing w:line="360" w:lineRule="auto"/>
        <w:ind w:firstLine="420" w:firstLineChars="200"/>
        <w:jc w:val="left"/>
        <w:rPr>
          <w:rFonts w:ascii="仿宋" w:hAnsi="仿宋" w:eastAsia="仿宋"/>
          <w:szCs w:val="21"/>
          <w:highlight w:val="none"/>
        </w:rPr>
      </w:pPr>
      <w:r>
        <w:rPr>
          <w:rFonts w:ascii="仿宋" w:hAnsi="仿宋" w:eastAsia="仿宋"/>
          <w:szCs w:val="21"/>
          <w:highlight w:val="none"/>
        </w:rPr>
        <w:t>五</w:t>
      </w:r>
      <w:r>
        <w:rPr>
          <w:rFonts w:hint="eastAsia" w:ascii="仿宋" w:hAnsi="仿宋" w:eastAsia="仿宋"/>
          <w:szCs w:val="21"/>
          <w:highlight w:val="none"/>
        </w:rPr>
        <w:t>、本保函有效期届满，或我方向受益人支付索赔款已达本保函担保的最高金额，我方的担保责任免除，以两者中较早发生者为准。本保函到期后无论本保函原件是否退还我方，本保函到期即自动失效。</w:t>
      </w:r>
    </w:p>
    <w:p w14:paraId="22F002FF">
      <w:pPr>
        <w:adjustRightInd w:val="0"/>
        <w:snapToGrid w:val="0"/>
        <w:spacing w:line="360" w:lineRule="auto"/>
        <w:ind w:firstLine="420" w:firstLineChars="200"/>
        <w:jc w:val="left"/>
        <w:rPr>
          <w:rFonts w:ascii="仿宋" w:hAnsi="仿宋" w:eastAsia="仿宋"/>
          <w:szCs w:val="21"/>
          <w:highlight w:val="none"/>
        </w:rPr>
      </w:pPr>
      <w:r>
        <w:rPr>
          <w:rFonts w:ascii="仿宋" w:hAnsi="仿宋" w:eastAsia="仿宋"/>
          <w:szCs w:val="21"/>
          <w:highlight w:val="none"/>
        </w:rPr>
        <w:t>六</w:t>
      </w:r>
      <w:r>
        <w:rPr>
          <w:rFonts w:hint="eastAsia" w:ascii="仿宋" w:hAnsi="仿宋" w:eastAsia="仿宋"/>
          <w:szCs w:val="21"/>
          <w:highlight w:val="none"/>
        </w:rPr>
        <w:t>、本保函对我方及我方继受人有不可撤销的约束力，我方自愿作出上述承诺，并清楚了解本保函法律含义。</w:t>
      </w:r>
    </w:p>
    <w:p w14:paraId="7C477183">
      <w:pPr>
        <w:adjustRightInd w:val="0"/>
        <w:snapToGrid w:val="0"/>
        <w:spacing w:line="360" w:lineRule="auto"/>
        <w:ind w:firstLine="420" w:firstLineChars="200"/>
        <w:jc w:val="left"/>
        <w:rPr>
          <w:rFonts w:ascii="仿宋" w:hAnsi="仿宋" w:eastAsia="仿宋"/>
          <w:szCs w:val="21"/>
          <w:highlight w:val="none"/>
        </w:rPr>
      </w:pPr>
      <w:r>
        <w:rPr>
          <w:rFonts w:ascii="仿宋" w:hAnsi="仿宋" w:eastAsia="仿宋"/>
          <w:szCs w:val="21"/>
          <w:highlight w:val="none"/>
        </w:rPr>
        <w:t>七</w:t>
      </w:r>
      <w:r>
        <w:rPr>
          <w:rFonts w:hint="eastAsia" w:ascii="仿宋" w:hAnsi="仿宋" w:eastAsia="仿宋"/>
          <w:szCs w:val="21"/>
          <w:highlight w:val="none"/>
        </w:rPr>
        <w:t>、本保函担保项下的权利不得转让或出让，但可由受益人之继承人或其受让人继承。</w:t>
      </w:r>
    </w:p>
    <w:p w14:paraId="5EDCEA72">
      <w:pPr>
        <w:adjustRightInd w:val="0"/>
        <w:snapToGrid w:val="0"/>
        <w:spacing w:line="360" w:lineRule="auto"/>
        <w:ind w:firstLine="420" w:firstLineChars="200"/>
        <w:jc w:val="left"/>
        <w:rPr>
          <w:rFonts w:ascii="仿宋" w:hAnsi="仿宋" w:eastAsia="仿宋"/>
          <w:szCs w:val="21"/>
          <w:highlight w:val="none"/>
        </w:rPr>
      </w:pPr>
      <w:r>
        <w:rPr>
          <w:rFonts w:hint="eastAsia" w:ascii="仿宋" w:hAnsi="仿宋" w:eastAsia="仿宋"/>
          <w:szCs w:val="21"/>
          <w:highlight w:val="none"/>
        </w:rPr>
        <w:t>八、受益人提出索赔的，应按以下通讯信息向我方发出书面通知：</w:t>
      </w:r>
    </w:p>
    <w:p w14:paraId="294112C3">
      <w:pPr>
        <w:adjustRightInd w:val="0"/>
        <w:snapToGrid w:val="0"/>
        <w:spacing w:line="360" w:lineRule="auto"/>
        <w:ind w:firstLine="420" w:firstLineChars="200"/>
        <w:jc w:val="left"/>
        <w:rPr>
          <w:rFonts w:ascii="仿宋" w:hAnsi="仿宋" w:eastAsia="仿宋"/>
          <w:szCs w:val="21"/>
          <w:highlight w:val="none"/>
        </w:rPr>
      </w:pPr>
      <w:r>
        <w:rPr>
          <w:rFonts w:hint="eastAsia" w:ascii="仿宋" w:hAnsi="仿宋" w:eastAsia="仿宋"/>
          <w:szCs w:val="21"/>
          <w:highlight w:val="none"/>
        </w:rPr>
        <w:t>收件人：</w:t>
      </w:r>
    </w:p>
    <w:p w14:paraId="05E73F51">
      <w:pPr>
        <w:adjustRightInd w:val="0"/>
        <w:snapToGrid w:val="0"/>
        <w:spacing w:line="360" w:lineRule="auto"/>
        <w:ind w:firstLine="420" w:firstLineChars="200"/>
        <w:jc w:val="left"/>
        <w:rPr>
          <w:rFonts w:ascii="仿宋" w:hAnsi="仿宋" w:eastAsia="仿宋"/>
          <w:szCs w:val="21"/>
          <w:highlight w:val="none"/>
        </w:rPr>
      </w:pPr>
      <w:r>
        <w:rPr>
          <w:rFonts w:ascii="仿宋" w:hAnsi="仿宋" w:eastAsia="仿宋"/>
          <w:szCs w:val="21"/>
          <w:highlight w:val="none"/>
        </w:rPr>
        <w:t>通讯地址：</w:t>
      </w:r>
    </w:p>
    <w:p w14:paraId="35A7A2FC">
      <w:pPr>
        <w:adjustRightInd w:val="0"/>
        <w:snapToGrid w:val="0"/>
        <w:spacing w:line="360" w:lineRule="auto"/>
        <w:ind w:firstLine="420" w:firstLineChars="200"/>
        <w:jc w:val="left"/>
        <w:rPr>
          <w:rFonts w:ascii="仿宋" w:hAnsi="仿宋" w:eastAsia="仿宋"/>
          <w:szCs w:val="21"/>
          <w:highlight w:val="none"/>
        </w:rPr>
      </w:pPr>
      <w:r>
        <w:rPr>
          <w:rFonts w:hint="eastAsia" w:ascii="仿宋" w:hAnsi="仿宋" w:eastAsia="仿宋"/>
          <w:szCs w:val="21"/>
          <w:highlight w:val="none"/>
        </w:rPr>
        <w:t>联系电话</w:t>
      </w:r>
      <w:r>
        <w:rPr>
          <w:rFonts w:ascii="仿宋" w:hAnsi="仿宋" w:eastAsia="仿宋"/>
          <w:szCs w:val="21"/>
          <w:highlight w:val="none"/>
        </w:rPr>
        <w:t>：</w:t>
      </w:r>
    </w:p>
    <w:p w14:paraId="55DCC6F5">
      <w:pPr>
        <w:adjustRightInd w:val="0"/>
        <w:snapToGrid w:val="0"/>
        <w:spacing w:line="360" w:lineRule="auto"/>
        <w:ind w:firstLine="420" w:firstLineChars="200"/>
        <w:jc w:val="left"/>
        <w:rPr>
          <w:rFonts w:ascii="仿宋" w:hAnsi="仿宋" w:eastAsia="仿宋"/>
          <w:szCs w:val="21"/>
          <w:highlight w:val="none"/>
        </w:rPr>
      </w:pPr>
      <w:r>
        <w:rPr>
          <w:rFonts w:hint="eastAsia" w:ascii="仿宋" w:hAnsi="仿宋" w:eastAsia="仿宋"/>
          <w:szCs w:val="21"/>
          <w:highlight w:val="none"/>
        </w:rPr>
        <w:t>索赔通知如果通过专人送达，该通知在接收时即视为已经送达；如果通过信函邮寄方式送达，该通知在发出之日后【三】个工作日即视为已经送达。</w:t>
      </w:r>
    </w:p>
    <w:p w14:paraId="7AE71356">
      <w:pPr>
        <w:adjustRightInd w:val="0"/>
        <w:snapToGrid w:val="0"/>
        <w:spacing w:line="360" w:lineRule="auto"/>
        <w:ind w:firstLine="420" w:firstLineChars="200"/>
        <w:jc w:val="left"/>
        <w:rPr>
          <w:rFonts w:ascii="仿宋" w:hAnsi="仿宋" w:eastAsia="仿宋"/>
          <w:szCs w:val="21"/>
          <w:highlight w:val="none"/>
        </w:rPr>
      </w:pPr>
      <w:r>
        <w:rPr>
          <w:rFonts w:ascii="仿宋" w:hAnsi="仿宋" w:eastAsia="仿宋"/>
          <w:szCs w:val="21"/>
          <w:highlight w:val="none"/>
        </w:rPr>
        <w:t>九</w:t>
      </w:r>
      <w:r>
        <w:rPr>
          <w:rFonts w:hint="eastAsia" w:ascii="仿宋" w:hAnsi="仿宋" w:eastAsia="仿宋"/>
          <w:szCs w:val="21"/>
          <w:highlight w:val="none"/>
        </w:rPr>
        <w:t>、本保函适用中华人民共和国法律法规。</w:t>
      </w:r>
    </w:p>
    <w:p w14:paraId="40EC01C8">
      <w:pPr>
        <w:adjustRightInd w:val="0"/>
        <w:snapToGrid w:val="0"/>
        <w:spacing w:line="360" w:lineRule="auto"/>
        <w:ind w:firstLine="420" w:firstLineChars="200"/>
        <w:rPr>
          <w:rFonts w:ascii="仿宋_GB2312" w:hAnsi="宋体" w:eastAsia="仿宋_GB2312"/>
          <w:sz w:val="24"/>
          <w:szCs w:val="24"/>
          <w:highlight w:val="none"/>
          <w:u w:val="single"/>
        </w:rPr>
      </w:pPr>
      <w:r>
        <w:rPr>
          <w:rFonts w:hint="eastAsia" w:ascii="仿宋" w:hAnsi="仿宋" w:eastAsia="仿宋"/>
          <w:szCs w:val="21"/>
          <w:highlight w:val="none"/>
        </w:rPr>
        <w:t xml:space="preserve">出具银行： </w:t>
      </w:r>
      <w:r>
        <w:rPr>
          <w:rFonts w:ascii="仿宋" w:hAnsi="仿宋" w:eastAsia="仿宋"/>
          <w:szCs w:val="21"/>
          <w:highlight w:val="none"/>
        </w:rPr>
        <w:t xml:space="preserve">             </w:t>
      </w:r>
      <w:r>
        <w:rPr>
          <w:rFonts w:ascii="仿宋" w:hAnsi="仿宋" w:eastAsia="仿宋"/>
          <w:sz w:val="28"/>
          <w:szCs w:val="28"/>
          <w:highlight w:val="none"/>
        </w:rPr>
        <w:t xml:space="preserve"> </w:t>
      </w:r>
    </w:p>
    <w:p w14:paraId="1E6C1CF8">
      <w:pPr>
        <w:adjustRightInd w:val="0"/>
        <w:snapToGrid w:val="0"/>
        <w:spacing w:line="360" w:lineRule="auto"/>
        <w:ind w:firstLine="480" w:firstLineChars="200"/>
        <w:rPr>
          <w:rFonts w:ascii="仿宋_GB2312" w:hAnsi="宋体" w:eastAsia="仿宋_GB2312"/>
          <w:sz w:val="24"/>
          <w:szCs w:val="24"/>
          <w:highlight w:val="none"/>
        </w:rPr>
      </w:pPr>
      <w:r>
        <w:rPr>
          <w:rFonts w:ascii="仿宋_GB2312" w:hAnsi="宋体" w:eastAsia="仿宋_GB2312"/>
          <w:sz w:val="24"/>
          <w:szCs w:val="24"/>
          <w:highlight w:val="none"/>
        </w:rPr>
        <w:br w:type="page"/>
      </w:r>
    </w:p>
    <w:p w14:paraId="2303CC73">
      <w:pPr>
        <w:pStyle w:val="2"/>
        <w:spacing w:before="0" w:after="0" w:line="360" w:lineRule="auto"/>
        <w:rPr>
          <w:rFonts w:asciiTheme="minorEastAsia" w:hAnsiTheme="minorEastAsia" w:eastAsiaTheme="minorEastAsia"/>
          <w:sz w:val="21"/>
          <w:szCs w:val="21"/>
          <w:highlight w:val="none"/>
        </w:rPr>
      </w:pPr>
      <w:bookmarkStart w:id="740" w:name="_Toc44492631"/>
      <w:bookmarkStart w:id="741" w:name="_Toc29522"/>
      <w:bookmarkStart w:id="742" w:name="_Toc44227954"/>
      <w:bookmarkStart w:id="743" w:name="_Toc57"/>
      <w:bookmarkStart w:id="744" w:name="_Toc167975607"/>
      <w:bookmarkStart w:id="745" w:name="_Toc15731"/>
      <w:r>
        <w:rPr>
          <w:rFonts w:hint="eastAsia" w:asciiTheme="minorEastAsia" w:hAnsiTheme="minorEastAsia" w:eastAsiaTheme="minorEastAsia"/>
          <w:sz w:val="21"/>
          <w:szCs w:val="21"/>
          <w:highlight w:val="none"/>
        </w:rPr>
        <w:t>附件7</w:t>
      </w:r>
      <w:r>
        <w:rPr>
          <w:rFonts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rPr>
        <w:t>工程质量保修书</w:t>
      </w:r>
      <w:bookmarkEnd w:id="740"/>
      <w:bookmarkEnd w:id="741"/>
      <w:bookmarkEnd w:id="742"/>
      <w:bookmarkEnd w:id="743"/>
      <w:bookmarkEnd w:id="744"/>
      <w:bookmarkEnd w:id="745"/>
    </w:p>
    <w:p w14:paraId="7AFAA7CE">
      <w:pPr>
        <w:jc w:val="center"/>
        <w:rPr>
          <w:rFonts w:ascii="仿宋" w:hAnsi="仿宋" w:eastAsia="仿宋"/>
          <w:b/>
          <w:sz w:val="30"/>
          <w:szCs w:val="30"/>
          <w:highlight w:val="none"/>
        </w:rPr>
      </w:pPr>
      <w:r>
        <w:rPr>
          <w:rFonts w:hint="eastAsia" w:ascii="仿宋" w:hAnsi="仿宋" w:eastAsia="仿宋"/>
          <w:b/>
          <w:sz w:val="30"/>
          <w:szCs w:val="30"/>
          <w:highlight w:val="none"/>
        </w:rPr>
        <w:t>工程质量保修书</w:t>
      </w:r>
    </w:p>
    <w:p w14:paraId="6AFE6461">
      <w:pPr>
        <w:rPr>
          <w:rFonts w:ascii="仿宋_GB2312" w:hAnsi="宋体" w:eastAsia="仿宋_GB2312"/>
          <w:highlight w:val="none"/>
        </w:rPr>
      </w:pPr>
    </w:p>
    <w:p w14:paraId="71BE601B">
      <w:pPr>
        <w:pStyle w:val="18"/>
        <w:snapToGrid w:val="0"/>
        <w:spacing w:line="360" w:lineRule="auto"/>
        <w:ind w:left="63" w:right="63"/>
        <w:jc w:val="left"/>
        <w:rPr>
          <w:rFonts w:ascii="仿宋_GB2312" w:eastAsia="仿宋_GB2312"/>
          <w:b/>
          <w:szCs w:val="21"/>
          <w:highlight w:val="none"/>
          <w:u w:val="single"/>
        </w:rPr>
      </w:pPr>
      <w:r>
        <w:rPr>
          <w:rFonts w:hint="eastAsia" w:ascii="仿宋_GB2312" w:eastAsia="仿宋_GB2312"/>
          <w:szCs w:val="21"/>
          <w:highlight w:val="none"/>
        </w:rPr>
        <w:t>发包人：</w:t>
      </w:r>
      <w:r>
        <w:rPr>
          <w:rFonts w:ascii="仿宋_GB2312" w:eastAsia="仿宋_GB2312"/>
          <w:szCs w:val="21"/>
          <w:highlight w:val="none"/>
          <w:u w:val="single"/>
        </w:rPr>
        <w:t xml:space="preserve">         </w:t>
      </w:r>
    </w:p>
    <w:p w14:paraId="4C68135E">
      <w:pPr>
        <w:pStyle w:val="18"/>
        <w:snapToGrid w:val="0"/>
        <w:spacing w:line="360" w:lineRule="auto"/>
        <w:ind w:left="63" w:right="63"/>
        <w:jc w:val="left"/>
        <w:rPr>
          <w:rFonts w:ascii="仿宋_GB2312" w:eastAsia="仿宋_GB2312"/>
          <w:szCs w:val="21"/>
          <w:highlight w:val="none"/>
          <w:u w:val="single"/>
        </w:rPr>
      </w:pPr>
      <w:r>
        <w:rPr>
          <w:rFonts w:hint="eastAsia" w:ascii="仿宋_GB2312" w:eastAsia="仿宋_GB2312"/>
          <w:szCs w:val="21"/>
          <w:highlight w:val="none"/>
        </w:rPr>
        <w:t>承包人：</w:t>
      </w:r>
      <w:r>
        <w:rPr>
          <w:rFonts w:ascii="仿宋_GB2312" w:eastAsia="仿宋_GB2312"/>
          <w:szCs w:val="21"/>
          <w:highlight w:val="none"/>
          <w:u w:val="single"/>
        </w:rPr>
        <w:t xml:space="preserve">         </w:t>
      </w:r>
    </w:p>
    <w:p w14:paraId="54F1A701">
      <w:pPr>
        <w:adjustRightInd w:val="0"/>
        <w:snapToGrid w:val="0"/>
        <w:spacing w:line="360" w:lineRule="auto"/>
        <w:ind w:firstLine="420" w:firstLineChars="200"/>
        <w:rPr>
          <w:rFonts w:ascii="仿宋_GB2312" w:hAnsi="宋体" w:eastAsia="仿宋_GB2312"/>
          <w:szCs w:val="21"/>
          <w:highlight w:val="none"/>
        </w:rPr>
      </w:pPr>
      <w:r>
        <w:rPr>
          <w:rFonts w:hint="eastAsia" w:ascii="仿宋_GB2312" w:hAnsi="宋体" w:eastAsia="仿宋_GB2312"/>
          <w:szCs w:val="21"/>
          <w:highlight w:val="none"/>
        </w:rPr>
        <w:t>为保证工程在合理使用期限内正常使用，发包人、承包人经协商一致签订本工程质量保修书。承包人在工程质量保修期内按照有关管理规定及双方约定承担工程质量保修责任。</w:t>
      </w:r>
    </w:p>
    <w:p w14:paraId="267FB061">
      <w:pPr>
        <w:pStyle w:val="111"/>
        <w:numPr>
          <w:ilvl w:val="0"/>
          <w:numId w:val="2"/>
        </w:numPr>
        <w:adjustRightInd w:val="0"/>
        <w:snapToGrid w:val="0"/>
        <w:spacing w:line="360" w:lineRule="auto"/>
        <w:ind w:left="0" w:firstLine="420"/>
        <w:rPr>
          <w:rFonts w:ascii="仿宋_GB2312" w:hAnsi="宋体" w:eastAsia="仿宋_GB2312"/>
          <w:highlight w:val="none"/>
        </w:rPr>
      </w:pPr>
      <w:r>
        <w:rPr>
          <w:rFonts w:hint="eastAsia" w:ascii="仿宋_GB2312" w:hAnsi="宋体" w:eastAsia="仿宋_GB2312"/>
          <w:highlight w:val="none"/>
        </w:rPr>
        <w:t>工程质量保修范围和内容</w:t>
      </w:r>
    </w:p>
    <w:p w14:paraId="344B7DF5">
      <w:pPr>
        <w:adjustRightInd w:val="0"/>
        <w:snapToGrid w:val="0"/>
        <w:spacing w:line="360" w:lineRule="auto"/>
        <w:ind w:firstLine="420" w:firstLineChars="200"/>
        <w:rPr>
          <w:rFonts w:ascii="仿宋_GB2312" w:hAnsi="宋体" w:eastAsia="仿宋_GB2312"/>
          <w:szCs w:val="21"/>
          <w:highlight w:val="none"/>
        </w:rPr>
      </w:pPr>
      <w:r>
        <w:rPr>
          <w:rFonts w:hint="eastAsia" w:ascii="仿宋_GB2312" w:hAnsi="宋体" w:eastAsia="仿宋_GB2312"/>
          <w:szCs w:val="21"/>
          <w:highlight w:val="none"/>
        </w:rPr>
        <w:t>质量保修范围包括但不限于包括：</w:t>
      </w:r>
      <w:r>
        <w:rPr>
          <w:rFonts w:hint="eastAsia" w:ascii="仿宋_GB2312" w:hAnsi="宋体" w:eastAsia="仿宋_GB2312"/>
          <w:szCs w:val="21"/>
          <w:highlight w:val="none"/>
          <w:u w:val="single"/>
        </w:rPr>
        <w:t>详见合同承包范围内容</w:t>
      </w:r>
      <w:r>
        <w:rPr>
          <w:rFonts w:hint="eastAsia" w:ascii="仿宋_GB2312" w:hAnsi="宋体" w:eastAsia="仿宋_GB2312"/>
          <w:szCs w:val="21"/>
          <w:highlight w:val="none"/>
        </w:rPr>
        <w:t>。</w:t>
      </w:r>
    </w:p>
    <w:p w14:paraId="00D7247D">
      <w:pPr>
        <w:pStyle w:val="111"/>
        <w:numPr>
          <w:ilvl w:val="0"/>
          <w:numId w:val="2"/>
        </w:numPr>
        <w:adjustRightInd w:val="0"/>
        <w:snapToGrid w:val="0"/>
        <w:spacing w:line="360" w:lineRule="auto"/>
        <w:ind w:left="0" w:firstLine="420"/>
        <w:rPr>
          <w:rFonts w:ascii="仿宋_GB2312" w:hAnsi="宋体" w:eastAsia="仿宋_GB2312"/>
          <w:szCs w:val="21"/>
          <w:highlight w:val="none"/>
        </w:rPr>
      </w:pPr>
      <w:r>
        <w:rPr>
          <w:rFonts w:hint="eastAsia" w:ascii="仿宋_GB2312" w:hAnsi="宋体" w:eastAsia="仿宋_GB2312"/>
          <w:szCs w:val="21"/>
          <w:highlight w:val="none"/>
        </w:rPr>
        <w:t>缺陷责任期</w:t>
      </w:r>
    </w:p>
    <w:p w14:paraId="254A6792">
      <w:pPr>
        <w:adjustRightInd w:val="0"/>
        <w:snapToGrid w:val="0"/>
        <w:spacing w:line="360" w:lineRule="auto"/>
        <w:ind w:firstLine="420" w:firstLineChars="200"/>
        <w:rPr>
          <w:rFonts w:ascii="仿宋_GB2312" w:hAnsi="宋体" w:eastAsia="仿宋_GB2312"/>
          <w:szCs w:val="21"/>
          <w:highlight w:val="none"/>
        </w:rPr>
      </w:pPr>
      <w:r>
        <w:rPr>
          <w:rFonts w:hint="eastAsia" w:ascii="仿宋_GB2312" w:hAnsi="宋体" w:eastAsia="仿宋_GB2312"/>
          <w:szCs w:val="21"/>
          <w:highlight w:val="none"/>
        </w:rPr>
        <w:t>缺陷责任期自</w:t>
      </w:r>
      <w:r>
        <w:rPr>
          <w:rFonts w:hint="eastAsia" w:ascii="仿宋_GB2312" w:hAnsi="宋体" w:eastAsia="仿宋_GB2312"/>
          <w:szCs w:val="21"/>
          <w:highlight w:val="none"/>
          <w:lang w:val="en-US" w:eastAsia="zh-CN"/>
        </w:rPr>
        <w:t>本工程</w:t>
      </w:r>
      <w:r>
        <w:rPr>
          <w:rFonts w:hint="eastAsia" w:ascii="仿宋_GB2312" w:hAnsi="宋体" w:eastAsia="仿宋_GB2312"/>
          <w:szCs w:val="21"/>
          <w:highlight w:val="none"/>
        </w:rPr>
        <w:t>竣工验收合格之日算起。缺陷责任期的具体期限：</w:t>
      </w:r>
      <w:r>
        <w:rPr>
          <w:rFonts w:hint="eastAsia" w:ascii="仿宋_GB2312" w:hAnsi="宋体" w:eastAsia="仿宋_GB2312"/>
          <w:szCs w:val="21"/>
          <w:highlight w:val="none"/>
          <w:lang w:val="en-US" w:eastAsia="zh-CN"/>
        </w:rPr>
        <w:t>3</w:t>
      </w:r>
      <w:r>
        <w:rPr>
          <w:rFonts w:hint="eastAsia" w:ascii="仿宋_GB2312" w:hAnsi="宋体" w:eastAsia="仿宋_GB2312"/>
          <w:szCs w:val="21"/>
          <w:highlight w:val="none"/>
        </w:rPr>
        <w:t>年。</w:t>
      </w:r>
    </w:p>
    <w:p w14:paraId="584E7DFB">
      <w:pPr>
        <w:pStyle w:val="111"/>
        <w:numPr>
          <w:ilvl w:val="0"/>
          <w:numId w:val="2"/>
        </w:numPr>
        <w:adjustRightInd w:val="0"/>
        <w:snapToGrid w:val="0"/>
        <w:spacing w:line="360" w:lineRule="auto"/>
        <w:ind w:left="0" w:firstLine="420"/>
        <w:rPr>
          <w:rFonts w:ascii="仿宋_GB2312" w:hAnsi="宋体" w:eastAsia="仿宋_GB2312"/>
          <w:highlight w:val="none"/>
        </w:rPr>
      </w:pPr>
      <w:r>
        <w:rPr>
          <w:rFonts w:hint="eastAsia" w:ascii="仿宋_GB2312" w:hAnsi="宋体" w:eastAsia="仿宋_GB2312"/>
          <w:highlight w:val="none"/>
        </w:rPr>
        <w:t>工程质量保修期</w:t>
      </w:r>
    </w:p>
    <w:p w14:paraId="102A831E">
      <w:pPr>
        <w:adjustRightInd w:val="0"/>
        <w:snapToGrid w:val="0"/>
        <w:spacing w:line="360" w:lineRule="auto"/>
        <w:ind w:firstLine="420" w:firstLineChars="200"/>
        <w:rPr>
          <w:rFonts w:ascii="仿宋_GB2312" w:hAnsi="宋体" w:eastAsia="仿宋_GB2312"/>
          <w:szCs w:val="21"/>
          <w:highlight w:val="none"/>
        </w:rPr>
      </w:pPr>
      <w:r>
        <w:rPr>
          <w:rFonts w:hint="eastAsia" w:ascii="仿宋_GB2312" w:hAnsi="宋体" w:eastAsia="仿宋_GB2312"/>
          <w:highlight w:val="none"/>
        </w:rPr>
        <w:t>工程质量保修</w:t>
      </w:r>
      <w:r>
        <w:rPr>
          <w:rFonts w:hint="eastAsia" w:ascii="仿宋_GB2312" w:hAnsi="宋体" w:eastAsia="仿宋_GB2312"/>
          <w:szCs w:val="21"/>
          <w:highlight w:val="none"/>
        </w:rPr>
        <w:t>期从工程实际竣工验收合格之日算起。双方根据国家有关规定，结合具体工程约定</w:t>
      </w:r>
      <w:r>
        <w:rPr>
          <w:rFonts w:hint="eastAsia" w:ascii="仿宋_GB2312" w:hAnsi="宋体" w:eastAsia="仿宋_GB2312"/>
          <w:highlight w:val="none"/>
        </w:rPr>
        <w:t>质量保修</w:t>
      </w:r>
      <w:r>
        <w:rPr>
          <w:rFonts w:hint="eastAsia" w:ascii="仿宋_GB2312" w:hAnsi="宋体" w:eastAsia="仿宋_GB2312"/>
          <w:szCs w:val="21"/>
          <w:highlight w:val="none"/>
        </w:rPr>
        <w:t>期如下：</w:t>
      </w:r>
    </w:p>
    <w:p w14:paraId="6EA06BCA">
      <w:pPr>
        <w:pStyle w:val="111"/>
        <w:numPr>
          <w:ilvl w:val="0"/>
          <w:numId w:val="9"/>
        </w:numPr>
        <w:adjustRightInd w:val="0"/>
        <w:snapToGrid w:val="0"/>
        <w:spacing w:line="360" w:lineRule="auto"/>
        <w:ind w:left="0" w:firstLine="420"/>
        <w:rPr>
          <w:rFonts w:ascii="仿宋_GB2312" w:hAnsi="宋体" w:eastAsia="仿宋_GB2312"/>
          <w:highlight w:val="none"/>
        </w:rPr>
      </w:pPr>
      <w:r>
        <w:rPr>
          <w:rFonts w:hint="eastAsia" w:ascii="仿宋_GB2312" w:hAnsi="宋体" w:eastAsia="仿宋_GB2312"/>
          <w:highlight w:val="none"/>
        </w:rPr>
        <w:t>主体结构工程为设计文件规定的该工程合理使用年限；</w:t>
      </w:r>
    </w:p>
    <w:p w14:paraId="6F103E2B">
      <w:pPr>
        <w:pStyle w:val="111"/>
        <w:numPr>
          <w:ilvl w:val="0"/>
          <w:numId w:val="9"/>
        </w:numPr>
        <w:adjustRightInd w:val="0"/>
        <w:snapToGrid w:val="0"/>
        <w:spacing w:line="360" w:lineRule="auto"/>
        <w:ind w:left="0" w:firstLine="420"/>
        <w:rPr>
          <w:rFonts w:ascii="仿宋_GB2312" w:hAnsi="宋体" w:eastAsia="仿宋_GB2312"/>
          <w:highlight w:val="none"/>
        </w:rPr>
      </w:pPr>
      <w:r>
        <w:rPr>
          <w:rFonts w:hint="eastAsia" w:ascii="仿宋_GB2312" w:hAnsi="宋体" w:eastAsia="仿宋_GB2312"/>
          <w:highlight w:val="none"/>
        </w:rPr>
        <w:t>防水工程、有防水要求的卫生间、房间和外墙面的防渗漏，为</w:t>
      </w:r>
      <w:r>
        <w:rPr>
          <w:rFonts w:hint="eastAsia" w:ascii="仿宋_GB2312" w:hAnsi="宋体" w:eastAsia="仿宋_GB2312"/>
          <w:highlight w:val="none"/>
          <w:u w:val="single"/>
        </w:rPr>
        <w:t>伍</w:t>
      </w:r>
      <w:r>
        <w:rPr>
          <w:rFonts w:hint="eastAsia" w:ascii="仿宋_GB2312" w:hAnsi="宋体" w:eastAsia="仿宋_GB2312"/>
          <w:highlight w:val="none"/>
        </w:rPr>
        <w:t>年；</w:t>
      </w:r>
    </w:p>
    <w:p w14:paraId="7CD83F96">
      <w:pPr>
        <w:pStyle w:val="111"/>
        <w:numPr>
          <w:ilvl w:val="0"/>
          <w:numId w:val="9"/>
        </w:numPr>
        <w:adjustRightInd w:val="0"/>
        <w:snapToGrid w:val="0"/>
        <w:spacing w:line="360" w:lineRule="auto"/>
        <w:ind w:left="0" w:firstLine="420"/>
        <w:rPr>
          <w:rFonts w:ascii="仿宋_GB2312" w:hAnsi="宋体" w:eastAsia="仿宋_GB2312"/>
          <w:highlight w:val="none"/>
        </w:rPr>
      </w:pPr>
      <w:r>
        <w:rPr>
          <w:rFonts w:hint="eastAsia" w:ascii="仿宋_GB2312" w:hAnsi="宋体" w:eastAsia="仿宋_GB2312"/>
          <w:highlight w:val="none"/>
        </w:rPr>
        <w:t>装饰装修工程为</w:t>
      </w:r>
      <w:r>
        <w:rPr>
          <w:rFonts w:hint="eastAsia" w:ascii="仿宋_GB2312" w:hAnsi="宋体" w:eastAsia="仿宋_GB2312"/>
          <w:highlight w:val="none"/>
          <w:u w:val="single"/>
        </w:rPr>
        <w:t>贰</w:t>
      </w:r>
      <w:r>
        <w:rPr>
          <w:rFonts w:hint="eastAsia" w:ascii="仿宋_GB2312" w:hAnsi="宋体" w:eastAsia="仿宋_GB2312"/>
          <w:highlight w:val="none"/>
        </w:rPr>
        <w:t>年；</w:t>
      </w:r>
    </w:p>
    <w:p w14:paraId="73107EA6">
      <w:pPr>
        <w:pStyle w:val="111"/>
        <w:numPr>
          <w:ilvl w:val="0"/>
          <w:numId w:val="9"/>
        </w:numPr>
        <w:adjustRightInd w:val="0"/>
        <w:snapToGrid w:val="0"/>
        <w:spacing w:line="360" w:lineRule="auto"/>
        <w:ind w:left="0" w:firstLine="420"/>
        <w:rPr>
          <w:rFonts w:ascii="仿宋_GB2312" w:hAnsi="宋体" w:eastAsia="仿宋_GB2312"/>
          <w:highlight w:val="none"/>
        </w:rPr>
      </w:pPr>
      <w:r>
        <w:rPr>
          <w:rFonts w:hint="eastAsia" w:ascii="仿宋_GB2312" w:hAnsi="宋体" w:eastAsia="仿宋_GB2312"/>
          <w:highlight w:val="none"/>
        </w:rPr>
        <w:t>电气管线、给排水管道、设备安装工程为</w:t>
      </w:r>
      <w:r>
        <w:rPr>
          <w:rFonts w:hint="eastAsia" w:ascii="仿宋_GB2312" w:hAnsi="宋体" w:eastAsia="仿宋_GB2312"/>
          <w:highlight w:val="none"/>
          <w:u w:val="single"/>
        </w:rPr>
        <w:t>贰</w:t>
      </w:r>
      <w:r>
        <w:rPr>
          <w:rFonts w:hint="eastAsia" w:ascii="仿宋_GB2312" w:hAnsi="宋体" w:eastAsia="仿宋_GB2312"/>
          <w:highlight w:val="none"/>
        </w:rPr>
        <w:t>年；</w:t>
      </w:r>
    </w:p>
    <w:p w14:paraId="4C2E6D81">
      <w:pPr>
        <w:pStyle w:val="111"/>
        <w:numPr>
          <w:ilvl w:val="0"/>
          <w:numId w:val="9"/>
        </w:numPr>
        <w:adjustRightInd w:val="0"/>
        <w:snapToGrid w:val="0"/>
        <w:spacing w:line="360" w:lineRule="auto"/>
        <w:ind w:left="0" w:firstLine="420"/>
        <w:rPr>
          <w:rFonts w:ascii="仿宋_GB2312" w:hAnsi="宋体" w:eastAsia="仿宋_GB2312"/>
          <w:highlight w:val="none"/>
        </w:rPr>
      </w:pPr>
      <w:r>
        <w:rPr>
          <w:rFonts w:hint="eastAsia" w:ascii="仿宋_GB2312" w:hAnsi="宋体" w:eastAsia="仿宋_GB2312"/>
          <w:highlight w:val="none"/>
        </w:rPr>
        <w:t>供热及供冷为</w:t>
      </w:r>
      <w:r>
        <w:rPr>
          <w:rFonts w:hint="eastAsia" w:ascii="仿宋_GB2312" w:hAnsi="宋体" w:eastAsia="仿宋_GB2312"/>
          <w:highlight w:val="none"/>
          <w:u w:val="single"/>
        </w:rPr>
        <w:t>贰</w:t>
      </w:r>
      <w:r>
        <w:rPr>
          <w:rFonts w:hint="eastAsia" w:ascii="仿宋_GB2312" w:hAnsi="宋体" w:eastAsia="仿宋_GB2312"/>
          <w:highlight w:val="none"/>
        </w:rPr>
        <w:t>个采暖期、供冷期；</w:t>
      </w:r>
    </w:p>
    <w:p w14:paraId="00742BDB">
      <w:pPr>
        <w:pStyle w:val="111"/>
        <w:numPr>
          <w:ilvl w:val="0"/>
          <w:numId w:val="9"/>
        </w:numPr>
        <w:adjustRightInd w:val="0"/>
        <w:snapToGrid w:val="0"/>
        <w:spacing w:line="360" w:lineRule="auto"/>
        <w:ind w:left="0" w:firstLine="420"/>
        <w:rPr>
          <w:rFonts w:ascii="仿宋_GB2312" w:hAnsi="宋体" w:eastAsia="仿宋_GB2312"/>
          <w:highlight w:val="none"/>
        </w:rPr>
      </w:pPr>
      <w:r>
        <w:rPr>
          <w:rFonts w:hint="eastAsia" w:ascii="仿宋_GB2312" w:hAnsi="宋体" w:eastAsia="仿宋_GB2312"/>
          <w:highlight w:val="none"/>
        </w:rPr>
        <w:t>其他项目质量保修期限约定如下：</w:t>
      </w:r>
      <w:r>
        <w:rPr>
          <w:rFonts w:hint="eastAsia" w:ascii="仿宋_GB2312" w:hAnsi="宋体" w:eastAsia="仿宋_GB2312"/>
          <w:highlight w:val="none"/>
          <w:u w:val="single"/>
        </w:rPr>
        <w:t>质量保修期为</w:t>
      </w:r>
      <w:r>
        <w:rPr>
          <w:rFonts w:hint="eastAsia" w:ascii="仿宋_GB2312" w:hAnsi="宋体" w:eastAsia="仿宋_GB2312"/>
          <w:highlight w:val="none"/>
          <w:u w:val="single"/>
          <w:lang w:val="en-US" w:eastAsia="zh-CN"/>
        </w:rPr>
        <w:t>本</w:t>
      </w:r>
      <w:r>
        <w:rPr>
          <w:rFonts w:hint="eastAsia" w:ascii="仿宋_GB2312" w:hAnsi="宋体" w:eastAsia="仿宋_GB2312"/>
          <w:highlight w:val="none"/>
          <w:u w:val="single"/>
        </w:rPr>
        <w:t>工程整体竣工验收合格后的</w:t>
      </w:r>
      <w:r>
        <w:rPr>
          <w:rFonts w:hint="eastAsia" w:ascii="仿宋_GB2312" w:hAnsi="宋体" w:eastAsia="仿宋_GB2312"/>
          <w:highlight w:val="none"/>
          <w:u w:val="single"/>
          <w:lang w:val="en-US" w:eastAsia="zh-CN"/>
        </w:rPr>
        <w:t>36</w:t>
      </w:r>
      <w:r>
        <w:rPr>
          <w:rFonts w:ascii="仿宋_GB2312" w:hAnsi="宋体" w:eastAsia="仿宋_GB2312"/>
          <w:highlight w:val="none"/>
          <w:u w:val="single"/>
        </w:rPr>
        <w:t>个月</w:t>
      </w:r>
      <w:r>
        <w:rPr>
          <w:rFonts w:hint="eastAsia" w:ascii="仿宋_GB2312" w:hAnsi="宋体" w:eastAsia="仿宋_GB2312"/>
          <w:highlight w:val="none"/>
        </w:rPr>
        <w:t>。</w:t>
      </w:r>
    </w:p>
    <w:p w14:paraId="20D9CBD9">
      <w:pPr>
        <w:pStyle w:val="111"/>
        <w:numPr>
          <w:ilvl w:val="0"/>
          <w:numId w:val="9"/>
        </w:numPr>
        <w:adjustRightInd w:val="0"/>
        <w:snapToGrid w:val="0"/>
        <w:spacing w:line="360" w:lineRule="auto"/>
        <w:ind w:left="0" w:firstLine="420"/>
        <w:rPr>
          <w:rFonts w:ascii="仿宋_GB2312" w:hAnsi="宋体" w:eastAsia="仿宋_GB2312"/>
          <w:highlight w:val="none"/>
        </w:rPr>
      </w:pPr>
      <w:r>
        <w:rPr>
          <w:rFonts w:hint="eastAsia" w:ascii="仿宋_GB2312" w:hAnsi="宋体" w:eastAsia="仿宋_GB2312"/>
          <w:highlight w:val="none"/>
        </w:rPr>
        <w:t>其他约定：未尽事宜按国家现行规程、规范执行。</w:t>
      </w:r>
    </w:p>
    <w:p w14:paraId="57DFB844">
      <w:pPr>
        <w:pStyle w:val="111"/>
        <w:numPr>
          <w:ilvl w:val="0"/>
          <w:numId w:val="2"/>
        </w:numPr>
        <w:adjustRightInd w:val="0"/>
        <w:snapToGrid w:val="0"/>
        <w:spacing w:line="360" w:lineRule="auto"/>
        <w:ind w:left="0" w:firstLine="420"/>
        <w:rPr>
          <w:rFonts w:ascii="仿宋_GB2312" w:hAnsi="宋体" w:eastAsia="仿宋_GB2312"/>
          <w:highlight w:val="none"/>
        </w:rPr>
      </w:pPr>
      <w:r>
        <w:rPr>
          <w:rFonts w:hint="eastAsia" w:ascii="仿宋_GB2312" w:hAnsi="宋体" w:eastAsia="仿宋_GB2312"/>
          <w:highlight w:val="none"/>
        </w:rPr>
        <w:t>质量保修责任</w:t>
      </w:r>
    </w:p>
    <w:p w14:paraId="7B74B583">
      <w:pPr>
        <w:pStyle w:val="111"/>
        <w:numPr>
          <w:ilvl w:val="0"/>
          <w:numId w:val="10"/>
        </w:numPr>
        <w:adjustRightInd w:val="0"/>
        <w:snapToGrid w:val="0"/>
        <w:spacing w:line="360" w:lineRule="auto"/>
        <w:ind w:left="0" w:firstLine="420"/>
        <w:rPr>
          <w:rFonts w:ascii="仿宋_GB2312" w:hAnsi="宋体" w:eastAsia="仿宋_GB2312"/>
          <w:highlight w:val="none"/>
        </w:rPr>
      </w:pPr>
      <w:r>
        <w:rPr>
          <w:rFonts w:hint="eastAsia" w:ascii="仿宋_GB2312" w:hAnsi="宋体" w:eastAsia="仿宋_GB2312"/>
          <w:highlight w:val="none"/>
        </w:rPr>
        <w:t>属于保修范围、内容的项目，承包人应当在接到发包人（或发包人的物业公司）保修通知之日起</w:t>
      </w:r>
      <w:r>
        <w:rPr>
          <w:rFonts w:ascii="仿宋_GB2312" w:hAnsi="宋体" w:eastAsia="仿宋_GB2312"/>
          <w:highlight w:val="none"/>
          <w:u w:val="single"/>
        </w:rPr>
        <w:t xml:space="preserve">  24  </w:t>
      </w:r>
      <w:r>
        <w:rPr>
          <w:rFonts w:hint="eastAsia" w:ascii="仿宋_GB2312" w:hAnsi="宋体" w:eastAsia="仿宋_GB2312"/>
          <w:highlight w:val="none"/>
        </w:rPr>
        <w:t>小时内派人保修。渗水、漏水、给排水、供电设施及线路出现等故障影响居民正常生活或商家经营活动时，承包人承诺在承包人通知后</w:t>
      </w:r>
      <w:r>
        <w:rPr>
          <w:rFonts w:ascii="仿宋_GB2312" w:hAnsi="宋体" w:eastAsia="仿宋_GB2312"/>
          <w:highlight w:val="none"/>
          <w:u w:val="single"/>
        </w:rPr>
        <w:t xml:space="preserve"> 4 </w:t>
      </w:r>
      <w:r>
        <w:rPr>
          <w:rFonts w:hint="eastAsia" w:ascii="仿宋_GB2312" w:hAnsi="宋体" w:eastAsia="仿宋_GB2312"/>
          <w:highlight w:val="none"/>
        </w:rPr>
        <w:t>小时内赶到现场并于</w:t>
      </w:r>
      <w:r>
        <w:rPr>
          <w:rFonts w:ascii="仿宋_GB2312" w:hAnsi="宋体" w:eastAsia="仿宋_GB2312"/>
          <w:highlight w:val="none"/>
          <w:u w:val="single"/>
        </w:rPr>
        <w:t xml:space="preserve"> 6 </w:t>
      </w:r>
      <w:r>
        <w:rPr>
          <w:rFonts w:hint="eastAsia" w:ascii="仿宋_GB2312" w:hAnsi="宋体" w:eastAsia="仿宋_GB2312"/>
          <w:highlight w:val="none"/>
        </w:rPr>
        <w:t>小时内完成维修。</w:t>
      </w:r>
    </w:p>
    <w:p w14:paraId="63BAE2D4">
      <w:pPr>
        <w:pStyle w:val="111"/>
        <w:numPr>
          <w:ilvl w:val="0"/>
          <w:numId w:val="10"/>
        </w:numPr>
        <w:adjustRightInd w:val="0"/>
        <w:snapToGrid w:val="0"/>
        <w:spacing w:line="360" w:lineRule="auto"/>
        <w:ind w:left="0" w:firstLine="420"/>
        <w:rPr>
          <w:rFonts w:ascii="仿宋_GB2312" w:hAnsi="宋体" w:eastAsia="仿宋_GB2312"/>
          <w:highlight w:val="none"/>
          <w:u w:val="single"/>
        </w:rPr>
      </w:pPr>
      <w:r>
        <w:rPr>
          <w:rFonts w:hint="eastAsia" w:ascii="仿宋_GB2312" w:hAnsi="宋体" w:eastAsia="仿宋_GB2312"/>
          <w:highlight w:val="none"/>
          <w:u w:val="none"/>
        </w:rPr>
        <w:t>发生紧急抢修事故</w:t>
      </w:r>
      <w:r>
        <w:rPr>
          <w:rFonts w:ascii="仿宋_GB2312" w:hAnsi="宋体" w:eastAsia="仿宋_GB2312"/>
          <w:highlight w:val="none"/>
          <w:u w:val="none"/>
        </w:rPr>
        <w:t>(</w:t>
      </w:r>
      <w:r>
        <w:rPr>
          <w:rFonts w:hint="eastAsia" w:eastAsia="仿宋_GB2312"/>
          <w:highlight w:val="none"/>
          <w:u w:val="none"/>
        </w:rPr>
        <w:t>如电梯事故）</w:t>
      </w:r>
      <w:r>
        <w:rPr>
          <w:rFonts w:hint="eastAsia" w:ascii="仿宋_GB2312" w:hAnsi="宋体" w:eastAsia="仿宋_GB2312"/>
          <w:highlight w:val="none"/>
          <w:u w:val="none"/>
        </w:rPr>
        <w:t>的，承包人接到事故通知后，应当立即到达事故现场抢修。</w:t>
      </w:r>
    </w:p>
    <w:p w14:paraId="54E6B163">
      <w:pPr>
        <w:pStyle w:val="111"/>
        <w:numPr>
          <w:ilvl w:val="0"/>
          <w:numId w:val="10"/>
        </w:numPr>
        <w:adjustRightInd w:val="0"/>
        <w:snapToGrid w:val="0"/>
        <w:spacing w:line="360" w:lineRule="auto"/>
        <w:ind w:left="0" w:firstLine="420"/>
        <w:rPr>
          <w:rFonts w:ascii="仿宋_GB2312" w:hAnsi="宋体" w:eastAsia="仿宋_GB2312"/>
          <w:highlight w:val="none"/>
        </w:rPr>
      </w:pPr>
      <w:r>
        <w:rPr>
          <w:rFonts w:hint="eastAsia" w:ascii="仿宋_GB2312" w:hAnsi="宋体" w:eastAsia="仿宋_GB2312"/>
          <w:highlight w:val="none"/>
        </w:rPr>
        <w:t>对于涉及结构安全的质量问题，应当按照《房屋建筑工程质量保修办法》的规定，立即向当地建设行政主管部门报告，采取安全防范措施；由原设计单位或者具有相应资质等级的设计单位提出保修方法，承包人实施保修。</w:t>
      </w:r>
    </w:p>
    <w:p w14:paraId="4C218890">
      <w:pPr>
        <w:pStyle w:val="111"/>
        <w:numPr>
          <w:ilvl w:val="0"/>
          <w:numId w:val="10"/>
        </w:numPr>
        <w:adjustRightInd w:val="0"/>
        <w:snapToGrid w:val="0"/>
        <w:spacing w:line="360" w:lineRule="auto"/>
        <w:ind w:left="0" w:firstLine="420"/>
        <w:rPr>
          <w:rFonts w:ascii="仿宋_GB2312" w:hAnsi="宋体" w:eastAsia="仿宋_GB2312"/>
          <w:highlight w:val="none"/>
        </w:rPr>
      </w:pPr>
      <w:r>
        <w:rPr>
          <w:rFonts w:hint="eastAsia" w:ascii="仿宋_GB2312" w:hAnsi="宋体" w:eastAsia="仿宋_GB2312"/>
          <w:highlight w:val="none"/>
        </w:rPr>
        <w:t>若</w:t>
      </w:r>
      <w:r>
        <w:rPr>
          <w:rFonts w:hint="eastAsia" w:ascii="仿宋_GB2312" w:hAnsi="宋体" w:eastAsia="仿宋_GB2312"/>
          <w:highlight w:val="none"/>
          <w:lang w:val="en-US" w:eastAsia="zh-CN"/>
        </w:rPr>
        <w:t>承</w:t>
      </w:r>
      <w:r>
        <w:rPr>
          <w:rFonts w:hint="eastAsia" w:ascii="仿宋_GB2312" w:hAnsi="宋体" w:eastAsia="仿宋_GB2312"/>
          <w:highlight w:val="none"/>
        </w:rPr>
        <w:t>包人未在发包人要求的日期前按要求完成维修工作，发包人有权委托第三方单位进场维修，具体维修方案由发包人单方面确定，</w:t>
      </w:r>
      <w:r>
        <w:rPr>
          <w:rFonts w:hint="eastAsia" w:ascii="仿宋_GB2312" w:hAnsi="宋体" w:eastAsia="仿宋_GB2312"/>
          <w:highlight w:val="none"/>
          <w:lang w:val="en-US" w:eastAsia="zh-CN"/>
        </w:rPr>
        <w:t>承</w:t>
      </w:r>
      <w:r>
        <w:rPr>
          <w:rFonts w:hint="eastAsia" w:ascii="仿宋_GB2312" w:hAnsi="宋体" w:eastAsia="仿宋_GB2312"/>
          <w:highlight w:val="none"/>
        </w:rPr>
        <w:t>包人均须予认可。发包人在维修后将维修费用清单通过《告知函》等形式告知承包人，所产生的一切费用由</w:t>
      </w:r>
      <w:r>
        <w:rPr>
          <w:rFonts w:hint="eastAsia" w:ascii="仿宋_GB2312" w:hAnsi="宋体" w:eastAsia="仿宋_GB2312"/>
          <w:highlight w:val="none"/>
          <w:lang w:val="en-US" w:eastAsia="zh-CN"/>
        </w:rPr>
        <w:t>承</w:t>
      </w:r>
      <w:r>
        <w:rPr>
          <w:rFonts w:hint="eastAsia" w:ascii="仿宋_GB2312" w:hAnsi="宋体" w:eastAsia="仿宋_GB2312"/>
          <w:highlight w:val="none"/>
        </w:rPr>
        <w:t>包人承担。</w:t>
      </w:r>
    </w:p>
    <w:p w14:paraId="4480404E">
      <w:pPr>
        <w:pStyle w:val="111"/>
        <w:numPr>
          <w:ilvl w:val="0"/>
          <w:numId w:val="10"/>
        </w:numPr>
        <w:adjustRightInd w:val="0"/>
        <w:snapToGrid w:val="0"/>
        <w:spacing w:line="360" w:lineRule="auto"/>
        <w:ind w:left="0" w:firstLine="420"/>
        <w:rPr>
          <w:rFonts w:ascii="仿宋_GB2312" w:hAnsi="宋体" w:eastAsia="仿宋_GB2312"/>
          <w:highlight w:val="none"/>
        </w:rPr>
      </w:pPr>
      <w:r>
        <w:rPr>
          <w:rFonts w:hint="eastAsia" w:ascii="仿宋_GB2312" w:hAnsi="宋体" w:eastAsia="仿宋_GB2312"/>
          <w:highlight w:val="none"/>
        </w:rPr>
        <w:t>质量保修完成后，由发包人及承包人组织验收，由于承包人工程质量问题造成发包人和业主的全部和间接损失，由承包人无条件承担。</w:t>
      </w:r>
    </w:p>
    <w:p w14:paraId="0343747C">
      <w:pPr>
        <w:pStyle w:val="111"/>
        <w:numPr>
          <w:ilvl w:val="0"/>
          <w:numId w:val="2"/>
        </w:numPr>
        <w:adjustRightInd w:val="0"/>
        <w:snapToGrid w:val="0"/>
        <w:spacing w:line="360" w:lineRule="auto"/>
        <w:ind w:left="0" w:firstLine="420"/>
        <w:rPr>
          <w:rFonts w:ascii="仿宋_GB2312" w:hAnsi="宋体" w:eastAsia="仿宋_GB2312"/>
          <w:highlight w:val="none"/>
        </w:rPr>
      </w:pPr>
      <w:r>
        <w:rPr>
          <w:rFonts w:hint="eastAsia" w:ascii="仿宋_GB2312" w:hAnsi="宋体" w:eastAsia="仿宋_GB2312"/>
          <w:highlight w:val="none"/>
        </w:rPr>
        <w:t>质量保证金的额度</w:t>
      </w:r>
    </w:p>
    <w:p w14:paraId="018ED723">
      <w:pPr>
        <w:adjustRightInd w:val="0"/>
        <w:snapToGrid w:val="0"/>
        <w:spacing w:line="360" w:lineRule="auto"/>
        <w:ind w:firstLine="420" w:firstLineChars="200"/>
        <w:rPr>
          <w:rFonts w:ascii="仿宋_GB2312" w:hAnsi="宋体" w:eastAsia="仿宋_GB2312"/>
          <w:szCs w:val="21"/>
          <w:highlight w:val="none"/>
        </w:rPr>
      </w:pPr>
      <w:r>
        <w:rPr>
          <w:rFonts w:hint="eastAsia" w:ascii="仿宋_GB2312" w:hAnsi="宋体" w:eastAsia="仿宋_GB2312"/>
          <w:szCs w:val="21"/>
          <w:highlight w:val="none"/>
        </w:rPr>
        <w:t>本工程约定的工程质量</w:t>
      </w:r>
      <w:r>
        <w:rPr>
          <w:rFonts w:hint="eastAsia" w:ascii="仿宋_GB2312" w:hAnsi="宋体" w:eastAsia="仿宋_GB2312"/>
          <w:highlight w:val="none"/>
        </w:rPr>
        <w:t>保证金</w:t>
      </w:r>
      <w:r>
        <w:rPr>
          <w:rFonts w:hint="eastAsia" w:ascii="仿宋_GB2312" w:hAnsi="宋体" w:eastAsia="仿宋_GB2312"/>
          <w:szCs w:val="21"/>
          <w:highlight w:val="none"/>
        </w:rPr>
        <w:t>为该工程结算价款的</w:t>
      </w:r>
      <w:r>
        <w:rPr>
          <w:rFonts w:hint="eastAsia" w:ascii="仿宋_GB2312" w:hAnsi="宋体" w:eastAsia="仿宋_GB2312"/>
          <w:szCs w:val="21"/>
          <w:highlight w:val="none"/>
          <w:u w:val="single"/>
        </w:rPr>
        <w:t xml:space="preserve"> 3%</w:t>
      </w:r>
      <w:r>
        <w:rPr>
          <w:rFonts w:hint="eastAsia" w:ascii="仿宋_GB2312" w:hAnsi="宋体" w:eastAsia="仿宋_GB2312"/>
          <w:szCs w:val="21"/>
          <w:highlight w:val="none"/>
        </w:rPr>
        <w:t>。</w:t>
      </w:r>
    </w:p>
    <w:p w14:paraId="4BFAC352">
      <w:pPr>
        <w:pStyle w:val="111"/>
        <w:numPr>
          <w:ilvl w:val="0"/>
          <w:numId w:val="2"/>
        </w:numPr>
        <w:adjustRightInd w:val="0"/>
        <w:snapToGrid w:val="0"/>
        <w:spacing w:line="360" w:lineRule="auto"/>
        <w:ind w:left="0" w:firstLine="420"/>
        <w:rPr>
          <w:rFonts w:ascii="仿宋_GB2312" w:hAnsi="宋体" w:eastAsia="仿宋_GB2312"/>
          <w:highlight w:val="none"/>
        </w:rPr>
      </w:pPr>
      <w:r>
        <w:rPr>
          <w:rFonts w:hint="eastAsia" w:ascii="仿宋_GB2312" w:hAnsi="宋体" w:eastAsia="仿宋_GB2312"/>
          <w:highlight w:val="none"/>
        </w:rPr>
        <w:t>质量保证金的退还</w:t>
      </w:r>
    </w:p>
    <w:p w14:paraId="2CC99C5A">
      <w:pPr>
        <w:pStyle w:val="56"/>
        <w:ind w:firstLine="420"/>
        <w:rPr>
          <w:highlight w:val="none"/>
        </w:rPr>
      </w:pPr>
      <w:r>
        <w:rPr>
          <w:rFonts w:hint="eastAsia"/>
          <w:highlight w:val="none"/>
        </w:rPr>
        <w:t>1.</w:t>
      </w:r>
      <w:r>
        <w:rPr>
          <w:rFonts w:hint="eastAsia"/>
          <w:highlight w:val="none"/>
        </w:rPr>
        <w:tab/>
      </w:r>
      <w:r>
        <w:rPr>
          <w:rFonts w:hint="eastAsia"/>
          <w:highlight w:val="none"/>
        </w:rPr>
        <w:t xml:space="preserve">结算完成且缺陷责任期满一年，经发包人确认对工程质量无异议后30天内，发包人将质量保证金的  </w:t>
      </w:r>
      <w:r>
        <w:rPr>
          <w:rFonts w:hint="eastAsia"/>
          <w:highlight w:val="none"/>
          <w:lang w:val="en-US" w:eastAsia="zh-CN"/>
        </w:rPr>
        <w:t>3</w:t>
      </w:r>
      <w:r>
        <w:rPr>
          <w:rFonts w:hint="eastAsia"/>
          <w:highlight w:val="none"/>
        </w:rPr>
        <w:t>0%  在扣除承包人应承担的保修费用、违约金及其他费用后（若有）无息支付给承包人。</w:t>
      </w:r>
    </w:p>
    <w:p w14:paraId="3CB82CD4">
      <w:pPr>
        <w:pStyle w:val="56"/>
        <w:ind w:firstLine="420"/>
        <w:rPr>
          <w:rFonts w:hint="eastAsia" w:eastAsia="仿宋_GB2312"/>
          <w:highlight w:val="none"/>
          <w:lang w:eastAsia="zh-CN"/>
        </w:rPr>
      </w:pPr>
      <w:r>
        <w:rPr>
          <w:rFonts w:hint="eastAsia"/>
          <w:highlight w:val="none"/>
        </w:rPr>
        <w:t>2.</w:t>
      </w:r>
      <w:r>
        <w:rPr>
          <w:rFonts w:hint="eastAsia"/>
          <w:highlight w:val="none"/>
        </w:rPr>
        <w:tab/>
      </w:r>
      <w:r>
        <w:rPr>
          <w:rFonts w:hint="eastAsia"/>
          <w:highlight w:val="none"/>
        </w:rPr>
        <w:tab/>
      </w:r>
      <w:r>
        <w:rPr>
          <w:rFonts w:hint="eastAsia"/>
          <w:highlight w:val="none"/>
        </w:rPr>
        <w:t>结算完成且缺陷责任期满</w:t>
      </w:r>
      <w:r>
        <w:rPr>
          <w:rFonts w:hint="eastAsia"/>
          <w:highlight w:val="none"/>
          <w:lang w:val="en-US" w:eastAsia="zh-CN"/>
        </w:rPr>
        <w:t>两</w:t>
      </w:r>
      <w:r>
        <w:rPr>
          <w:rFonts w:hint="eastAsia"/>
          <w:highlight w:val="none"/>
        </w:rPr>
        <w:t xml:space="preserve">年，经发包人确认对工程质量无异议后30天内，发包人将质量保证金的  </w:t>
      </w:r>
      <w:r>
        <w:rPr>
          <w:rFonts w:hint="eastAsia"/>
          <w:highlight w:val="none"/>
          <w:lang w:eastAsia="zh-CN"/>
        </w:rPr>
        <w:t>3</w:t>
      </w:r>
      <w:r>
        <w:rPr>
          <w:rFonts w:hint="eastAsia"/>
          <w:highlight w:val="none"/>
        </w:rPr>
        <w:t>0%  在扣除承包人应承担的保修费用、违约金及其他费用后（若有）无息支付给承包人</w:t>
      </w:r>
      <w:r>
        <w:rPr>
          <w:rFonts w:hint="eastAsia"/>
          <w:highlight w:val="none"/>
          <w:lang w:eastAsia="zh-CN"/>
        </w:rPr>
        <w:t>。</w:t>
      </w:r>
    </w:p>
    <w:p w14:paraId="52256188">
      <w:pPr>
        <w:pStyle w:val="56"/>
        <w:ind w:firstLine="420"/>
        <w:rPr>
          <w:rFonts w:hint="eastAsia"/>
          <w:highlight w:val="none"/>
        </w:rPr>
      </w:pPr>
      <w:r>
        <w:rPr>
          <w:rFonts w:hint="eastAsia"/>
          <w:highlight w:val="none"/>
          <w:lang w:val="en-US" w:eastAsia="zh-CN"/>
        </w:rPr>
        <w:t>3.</w:t>
      </w:r>
      <w:r>
        <w:rPr>
          <w:rFonts w:hint="eastAsia"/>
          <w:highlight w:val="none"/>
        </w:rPr>
        <w:t>结算完成且缺陷责任期满</w:t>
      </w:r>
      <w:r>
        <w:rPr>
          <w:rFonts w:hint="eastAsia"/>
          <w:highlight w:val="none"/>
          <w:lang w:val="en-US" w:eastAsia="zh-CN"/>
        </w:rPr>
        <w:t>三</w:t>
      </w:r>
      <w:r>
        <w:rPr>
          <w:rFonts w:hint="eastAsia"/>
          <w:highlight w:val="none"/>
        </w:rPr>
        <w:t>年，经发包人确认对工程质量无异议后30天内，发包人在扣除承包人应承担的保修费用、违约金及其他费用后（若有）无息支付质量保证金的余款。</w:t>
      </w:r>
    </w:p>
    <w:p w14:paraId="3F1F94C5">
      <w:pPr>
        <w:pStyle w:val="56"/>
        <w:ind w:firstLine="420"/>
        <w:rPr>
          <w:highlight w:val="none"/>
        </w:rPr>
      </w:pPr>
      <w:r>
        <w:rPr>
          <w:rFonts w:hint="eastAsia"/>
          <w:highlight w:val="none"/>
          <w:lang w:val="en-US" w:eastAsia="zh-CN"/>
        </w:rPr>
        <w:t>4</w:t>
      </w:r>
      <w:r>
        <w:rPr>
          <w:rFonts w:hint="eastAsia"/>
          <w:highlight w:val="none"/>
        </w:rPr>
        <w:t>.</w:t>
      </w:r>
      <w:r>
        <w:rPr>
          <w:rFonts w:hint="eastAsia"/>
          <w:highlight w:val="none"/>
        </w:rPr>
        <w:tab/>
      </w:r>
      <w:r>
        <w:rPr>
          <w:rFonts w:hint="eastAsia"/>
          <w:highlight w:val="none"/>
        </w:rPr>
        <w:t>质量保证金不计利息。</w:t>
      </w:r>
    </w:p>
    <w:p w14:paraId="2E080E98">
      <w:pPr>
        <w:pStyle w:val="56"/>
        <w:numPr>
          <w:ilvl w:val="0"/>
          <w:numId w:val="2"/>
        </w:numPr>
        <w:snapToGrid w:val="0"/>
        <w:ind w:left="0" w:firstLine="420"/>
        <w:rPr>
          <w:rFonts w:ascii="仿宋_GB2312" w:hAnsi="宋体"/>
          <w:color w:val="auto"/>
          <w:highlight w:val="none"/>
        </w:rPr>
      </w:pPr>
      <w:r>
        <w:rPr>
          <w:rFonts w:hint="eastAsia"/>
          <w:color w:val="auto"/>
          <w:highlight w:val="none"/>
        </w:rPr>
        <w:t>其他</w:t>
      </w:r>
    </w:p>
    <w:p w14:paraId="1AB6264F">
      <w:pPr>
        <w:adjustRightInd w:val="0"/>
        <w:snapToGrid w:val="0"/>
        <w:spacing w:line="360" w:lineRule="auto"/>
        <w:ind w:firstLine="420" w:firstLineChars="200"/>
        <w:rPr>
          <w:rFonts w:ascii="仿宋_GB2312" w:hAnsi="宋体" w:eastAsia="仿宋_GB2312"/>
          <w:szCs w:val="21"/>
          <w:highlight w:val="none"/>
        </w:rPr>
      </w:pPr>
      <w:r>
        <w:rPr>
          <w:rFonts w:hint="eastAsia" w:ascii="仿宋_GB2312" w:hAnsi="宋体" w:eastAsia="仿宋_GB2312"/>
          <w:szCs w:val="21"/>
          <w:highlight w:val="none"/>
        </w:rPr>
        <w:t>双方约定的其他工程质量保修事项：</w:t>
      </w:r>
      <w:r>
        <w:rPr>
          <w:rFonts w:hint="eastAsia" w:ascii="仿宋_GB2312" w:hAnsi="宋体" w:eastAsia="仿宋_GB2312"/>
          <w:szCs w:val="21"/>
          <w:highlight w:val="none"/>
          <w:u w:val="single"/>
        </w:rPr>
        <w:t>另行协商</w:t>
      </w:r>
      <w:r>
        <w:rPr>
          <w:rFonts w:hint="eastAsia" w:ascii="仿宋_GB2312" w:hAnsi="宋体" w:eastAsia="仿宋_GB2312"/>
          <w:szCs w:val="21"/>
          <w:highlight w:val="none"/>
        </w:rPr>
        <w:t>。</w:t>
      </w:r>
    </w:p>
    <w:p w14:paraId="5333F5C9">
      <w:pPr>
        <w:adjustRightInd w:val="0"/>
        <w:snapToGrid w:val="0"/>
        <w:spacing w:line="360" w:lineRule="auto"/>
        <w:ind w:firstLine="420" w:firstLineChars="200"/>
        <w:rPr>
          <w:rFonts w:ascii="仿宋_GB2312" w:hAnsi="宋体" w:eastAsia="仿宋_GB2312"/>
          <w:szCs w:val="21"/>
          <w:highlight w:val="none"/>
        </w:rPr>
      </w:pPr>
      <w:r>
        <w:rPr>
          <w:rFonts w:hint="eastAsia" w:ascii="仿宋_GB2312" w:hAnsi="宋体" w:eastAsia="仿宋_GB2312"/>
          <w:szCs w:val="21"/>
          <w:highlight w:val="none"/>
        </w:rPr>
        <w:t>本工程质量保修书作为施工合同附件，由施工合同发包人承包人双方共同签署。</w:t>
      </w:r>
    </w:p>
    <w:p w14:paraId="05B4CFC8">
      <w:pPr>
        <w:adjustRightInd w:val="0"/>
        <w:snapToGrid w:val="0"/>
        <w:spacing w:line="360" w:lineRule="auto"/>
        <w:ind w:firstLine="420" w:firstLineChars="200"/>
        <w:rPr>
          <w:rFonts w:ascii="仿宋_GB2312" w:hAnsi="宋体" w:eastAsia="仿宋_GB2312"/>
          <w:szCs w:val="21"/>
          <w:highlight w:val="none"/>
        </w:rPr>
      </w:pPr>
    </w:p>
    <w:p w14:paraId="48096295">
      <w:pPr>
        <w:adjustRightInd w:val="0"/>
        <w:snapToGrid w:val="0"/>
        <w:spacing w:line="360" w:lineRule="auto"/>
        <w:ind w:firstLine="420" w:firstLineChars="200"/>
        <w:rPr>
          <w:rFonts w:ascii="仿宋_GB2312" w:hAnsi="宋体" w:eastAsia="仿宋_GB2312"/>
          <w:szCs w:val="21"/>
          <w:highlight w:val="none"/>
        </w:rPr>
      </w:pPr>
      <w:r>
        <w:rPr>
          <w:rFonts w:hint="eastAsia" w:ascii="仿宋_GB2312" w:hAnsi="宋体" w:eastAsia="仿宋_GB2312"/>
          <w:szCs w:val="21"/>
          <w:highlight w:val="none"/>
        </w:rPr>
        <w:t>发</w:t>
      </w:r>
      <w:r>
        <w:rPr>
          <w:rFonts w:ascii="仿宋_GB2312" w:hAnsi="宋体" w:eastAsia="仿宋_GB2312"/>
          <w:szCs w:val="21"/>
          <w:highlight w:val="none"/>
        </w:rPr>
        <w:t xml:space="preserve"> </w:t>
      </w:r>
      <w:r>
        <w:rPr>
          <w:rFonts w:hint="eastAsia" w:ascii="仿宋_GB2312" w:hAnsi="宋体" w:eastAsia="仿宋_GB2312"/>
          <w:szCs w:val="21"/>
          <w:highlight w:val="none"/>
        </w:rPr>
        <w:t>包</w:t>
      </w:r>
      <w:r>
        <w:rPr>
          <w:rFonts w:ascii="仿宋_GB2312" w:hAnsi="宋体" w:eastAsia="仿宋_GB2312"/>
          <w:szCs w:val="21"/>
          <w:highlight w:val="none"/>
        </w:rPr>
        <w:t xml:space="preserve"> </w:t>
      </w:r>
      <w:r>
        <w:rPr>
          <w:rFonts w:hint="eastAsia" w:ascii="仿宋_GB2312" w:hAnsi="宋体" w:eastAsia="仿宋_GB2312"/>
          <w:szCs w:val="21"/>
          <w:highlight w:val="none"/>
        </w:rPr>
        <w:t>人</w:t>
      </w:r>
      <w:r>
        <w:rPr>
          <w:rFonts w:ascii="仿宋_GB2312" w:hAnsi="宋体" w:eastAsia="仿宋_GB2312"/>
          <w:szCs w:val="21"/>
          <w:highlight w:val="none"/>
        </w:rPr>
        <w:t xml:space="preserve">(公章)：                                </w:t>
      </w:r>
      <w:r>
        <w:rPr>
          <w:rFonts w:hint="eastAsia" w:ascii="仿宋_GB2312" w:hAnsi="宋体" w:eastAsia="仿宋_GB2312"/>
          <w:szCs w:val="21"/>
          <w:highlight w:val="none"/>
        </w:rPr>
        <w:t>承</w:t>
      </w:r>
      <w:r>
        <w:rPr>
          <w:rFonts w:ascii="仿宋_GB2312" w:hAnsi="宋体" w:eastAsia="仿宋_GB2312"/>
          <w:szCs w:val="21"/>
          <w:highlight w:val="none"/>
        </w:rPr>
        <w:t xml:space="preserve"> </w:t>
      </w:r>
      <w:r>
        <w:rPr>
          <w:rFonts w:hint="eastAsia" w:ascii="仿宋_GB2312" w:hAnsi="宋体" w:eastAsia="仿宋_GB2312"/>
          <w:szCs w:val="21"/>
          <w:highlight w:val="none"/>
        </w:rPr>
        <w:t>包</w:t>
      </w:r>
      <w:r>
        <w:rPr>
          <w:rFonts w:ascii="仿宋_GB2312" w:hAnsi="宋体" w:eastAsia="仿宋_GB2312"/>
          <w:szCs w:val="21"/>
          <w:highlight w:val="none"/>
        </w:rPr>
        <w:t xml:space="preserve"> </w:t>
      </w:r>
      <w:r>
        <w:rPr>
          <w:rFonts w:hint="eastAsia" w:ascii="仿宋_GB2312" w:hAnsi="宋体" w:eastAsia="仿宋_GB2312"/>
          <w:szCs w:val="21"/>
          <w:highlight w:val="none"/>
        </w:rPr>
        <w:t>人</w:t>
      </w:r>
      <w:r>
        <w:rPr>
          <w:rFonts w:ascii="仿宋_GB2312" w:hAnsi="宋体" w:eastAsia="仿宋_GB2312"/>
          <w:szCs w:val="21"/>
          <w:highlight w:val="none"/>
        </w:rPr>
        <w:t>(公章)：</w:t>
      </w:r>
    </w:p>
    <w:p w14:paraId="7F7A4AEC">
      <w:pPr>
        <w:adjustRightInd w:val="0"/>
        <w:snapToGrid w:val="0"/>
        <w:spacing w:line="360" w:lineRule="auto"/>
        <w:rPr>
          <w:rFonts w:ascii="仿宋_GB2312" w:hAnsi="宋体" w:eastAsia="仿宋_GB2312"/>
          <w:szCs w:val="21"/>
          <w:highlight w:val="none"/>
        </w:rPr>
      </w:pPr>
    </w:p>
    <w:p w14:paraId="60A372CA">
      <w:pPr>
        <w:adjustRightInd w:val="0"/>
        <w:snapToGrid w:val="0"/>
        <w:spacing w:line="360" w:lineRule="auto"/>
        <w:ind w:firstLine="420" w:firstLineChars="200"/>
        <w:rPr>
          <w:rFonts w:ascii="仿宋_GB2312" w:hAnsi="宋体" w:eastAsia="仿宋_GB2312"/>
          <w:szCs w:val="21"/>
          <w:highlight w:val="none"/>
        </w:rPr>
      </w:pPr>
      <w:r>
        <w:rPr>
          <w:rFonts w:hint="eastAsia" w:ascii="仿宋_GB2312" w:hAnsi="宋体" w:eastAsia="仿宋_GB2312"/>
          <w:szCs w:val="21"/>
          <w:highlight w:val="none"/>
        </w:rPr>
        <w:t>法定代表人或委托代理人</w:t>
      </w:r>
      <w:r>
        <w:rPr>
          <w:rFonts w:ascii="仿宋_GB2312" w:hAnsi="宋体" w:eastAsia="仿宋_GB2312"/>
          <w:szCs w:val="21"/>
          <w:highlight w:val="none"/>
        </w:rPr>
        <w:t xml:space="preserve">(签署)：                  </w:t>
      </w:r>
      <w:r>
        <w:rPr>
          <w:rFonts w:hint="eastAsia" w:ascii="仿宋_GB2312" w:hAnsi="宋体" w:eastAsia="仿宋_GB2312"/>
          <w:szCs w:val="21"/>
          <w:highlight w:val="none"/>
        </w:rPr>
        <w:t>法定代表人或委托代理人</w:t>
      </w:r>
      <w:r>
        <w:rPr>
          <w:rFonts w:ascii="仿宋_GB2312" w:hAnsi="宋体" w:eastAsia="仿宋_GB2312"/>
          <w:szCs w:val="21"/>
          <w:highlight w:val="none"/>
        </w:rPr>
        <w:t>(签署)：</w:t>
      </w:r>
    </w:p>
    <w:p w14:paraId="74CFF779">
      <w:pPr>
        <w:adjustRightInd w:val="0"/>
        <w:snapToGrid w:val="0"/>
        <w:spacing w:line="360" w:lineRule="auto"/>
        <w:rPr>
          <w:rFonts w:ascii="仿宋_GB2312" w:hAnsi="宋体" w:eastAsia="仿宋_GB2312"/>
          <w:szCs w:val="21"/>
          <w:highlight w:val="none"/>
          <w:u w:val="single"/>
        </w:rPr>
      </w:pPr>
    </w:p>
    <w:p w14:paraId="567CF1B4">
      <w:pPr>
        <w:adjustRightInd w:val="0"/>
        <w:snapToGrid w:val="0"/>
        <w:spacing w:line="360" w:lineRule="auto"/>
        <w:ind w:firstLine="840" w:firstLineChars="400"/>
        <w:rPr>
          <w:rFonts w:ascii="仿宋_GB2312" w:hAnsi="宋体" w:eastAsia="仿宋_GB2312"/>
          <w:szCs w:val="21"/>
          <w:highlight w:val="none"/>
        </w:rPr>
      </w:pPr>
      <w:r>
        <w:rPr>
          <w:rFonts w:hint="eastAsia" w:ascii="仿宋_GB2312" w:hAnsi="宋体" w:eastAsia="仿宋_GB2312"/>
          <w:szCs w:val="21"/>
          <w:highlight w:val="none"/>
        </w:rPr>
        <w:t>年</w:t>
      </w:r>
      <w:r>
        <w:rPr>
          <w:rFonts w:ascii="仿宋_GB2312" w:hAnsi="宋体" w:eastAsia="仿宋_GB2312"/>
          <w:szCs w:val="21"/>
          <w:highlight w:val="none"/>
        </w:rPr>
        <w:t xml:space="preserve">   </w:t>
      </w:r>
      <w:r>
        <w:rPr>
          <w:rFonts w:hint="eastAsia" w:ascii="仿宋_GB2312" w:hAnsi="宋体" w:eastAsia="仿宋_GB2312"/>
          <w:szCs w:val="21"/>
          <w:highlight w:val="none"/>
        </w:rPr>
        <w:t>月</w:t>
      </w:r>
      <w:r>
        <w:rPr>
          <w:rFonts w:ascii="仿宋_GB2312" w:hAnsi="宋体" w:eastAsia="仿宋_GB2312"/>
          <w:szCs w:val="21"/>
          <w:highlight w:val="none"/>
        </w:rPr>
        <w:t xml:space="preserve">   </w:t>
      </w:r>
      <w:r>
        <w:rPr>
          <w:rFonts w:hint="eastAsia" w:ascii="仿宋_GB2312" w:hAnsi="宋体" w:eastAsia="仿宋_GB2312"/>
          <w:szCs w:val="21"/>
          <w:highlight w:val="none"/>
        </w:rPr>
        <w:t>日</w:t>
      </w:r>
      <w:r>
        <w:rPr>
          <w:rFonts w:ascii="仿宋_GB2312" w:hAnsi="宋体" w:eastAsia="仿宋_GB2312"/>
          <w:szCs w:val="21"/>
          <w:highlight w:val="none"/>
        </w:rPr>
        <w:t xml:space="preserve">                                    </w:t>
      </w:r>
      <w:r>
        <w:rPr>
          <w:rFonts w:hint="eastAsia" w:ascii="仿宋_GB2312" w:hAnsi="宋体" w:eastAsia="仿宋_GB2312"/>
          <w:szCs w:val="21"/>
          <w:highlight w:val="none"/>
        </w:rPr>
        <w:t>年</w:t>
      </w:r>
      <w:r>
        <w:rPr>
          <w:rFonts w:ascii="仿宋_GB2312" w:hAnsi="宋体" w:eastAsia="仿宋_GB2312"/>
          <w:szCs w:val="21"/>
          <w:highlight w:val="none"/>
        </w:rPr>
        <w:t xml:space="preserve">   </w:t>
      </w:r>
      <w:r>
        <w:rPr>
          <w:rFonts w:hint="eastAsia" w:ascii="仿宋_GB2312" w:hAnsi="宋体" w:eastAsia="仿宋_GB2312"/>
          <w:szCs w:val="21"/>
          <w:highlight w:val="none"/>
        </w:rPr>
        <w:t>月</w:t>
      </w:r>
      <w:r>
        <w:rPr>
          <w:rFonts w:ascii="仿宋_GB2312" w:hAnsi="宋体" w:eastAsia="仿宋_GB2312"/>
          <w:szCs w:val="21"/>
          <w:highlight w:val="none"/>
        </w:rPr>
        <w:t xml:space="preserve">   </w:t>
      </w:r>
      <w:r>
        <w:rPr>
          <w:rFonts w:hint="eastAsia" w:ascii="仿宋_GB2312" w:hAnsi="宋体" w:eastAsia="仿宋_GB2312"/>
          <w:szCs w:val="21"/>
          <w:highlight w:val="none"/>
        </w:rPr>
        <w:t>日</w:t>
      </w:r>
    </w:p>
    <w:p w14:paraId="41A8690B">
      <w:pPr>
        <w:widowControl/>
        <w:jc w:val="left"/>
        <w:rPr>
          <w:rFonts w:ascii="仿宋_GB2312" w:hAnsi="宋体" w:eastAsia="仿宋_GB2312"/>
          <w:szCs w:val="21"/>
          <w:highlight w:val="none"/>
        </w:rPr>
      </w:pPr>
      <w:r>
        <w:rPr>
          <w:rFonts w:ascii="仿宋_GB2312" w:hAnsi="宋体" w:eastAsia="仿宋_GB2312"/>
          <w:szCs w:val="21"/>
          <w:highlight w:val="none"/>
        </w:rPr>
        <w:br w:type="page"/>
      </w:r>
    </w:p>
    <w:p w14:paraId="30364460">
      <w:pPr>
        <w:pStyle w:val="2"/>
        <w:spacing w:before="0" w:after="0" w:line="360" w:lineRule="auto"/>
        <w:rPr>
          <w:rFonts w:asciiTheme="minorEastAsia" w:hAnsiTheme="minorEastAsia" w:eastAsiaTheme="minorEastAsia"/>
          <w:sz w:val="21"/>
          <w:szCs w:val="21"/>
          <w:highlight w:val="none"/>
        </w:rPr>
      </w:pPr>
      <w:bookmarkStart w:id="746" w:name="_Toc167975608"/>
      <w:r>
        <w:rPr>
          <w:rFonts w:hint="eastAsia" w:asciiTheme="minorEastAsia" w:hAnsiTheme="minorEastAsia" w:eastAsiaTheme="minorEastAsia"/>
          <w:sz w:val="21"/>
          <w:szCs w:val="21"/>
          <w:highlight w:val="none"/>
        </w:rPr>
        <w:t>附件8工程建设项目廉政责任书</w:t>
      </w:r>
      <w:bookmarkEnd w:id="746"/>
    </w:p>
    <w:p w14:paraId="276D5A7C">
      <w:pPr>
        <w:tabs>
          <w:tab w:val="left" w:pos="630"/>
        </w:tabs>
        <w:adjustRightInd w:val="0"/>
        <w:spacing w:before="156" w:beforeLines="50" w:after="156" w:afterLines="50" w:line="540" w:lineRule="exact"/>
        <w:jc w:val="center"/>
        <w:textAlignment w:val="baseline"/>
        <w:rPr>
          <w:rFonts w:ascii="宋体" w:hAnsi="宋体"/>
          <w:b/>
          <w:kern w:val="0"/>
          <w:sz w:val="32"/>
          <w:szCs w:val="32"/>
          <w:highlight w:val="none"/>
        </w:rPr>
      </w:pPr>
      <w:r>
        <w:rPr>
          <w:rFonts w:hint="eastAsia" w:ascii="宋体" w:hAnsi="宋体"/>
          <w:b/>
          <w:kern w:val="0"/>
          <w:sz w:val="32"/>
          <w:szCs w:val="32"/>
          <w:highlight w:val="none"/>
        </w:rPr>
        <w:t>工程建设项目廉政责任书</w:t>
      </w:r>
    </w:p>
    <w:p w14:paraId="3CCA410F">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为加强</w:t>
      </w:r>
      <w:r>
        <w:rPr>
          <w:rFonts w:hint="eastAsia" w:ascii="宋体" w:hAnsi="宋体"/>
          <w:kern w:val="0"/>
          <w:szCs w:val="21"/>
          <w:highlight w:val="none"/>
          <w:u w:val="single"/>
        </w:rPr>
        <w:t xml:space="preserve">               </w:t>
      </w:r>
      <w:r>
        <w:rPr>
          <w:rFonts w:hint="eastAsia" w:ascii="宋体" w:hAnsi="宋体"/>
          <w:kern w:val="0"/>
          <w:szCs w:val="21"/>
          <w:highlight w:val="none"/>
        </w:rPr>
        <w:t>工程建设过程的廉政建设，规范工程建设中双方的各项活动，防止发生各种谋取不正当利益的违法违纪行为，保护国家和当事人的合法权益，根据国家有关工程建设的法律法规和廉政建设责任制规定，特订立本廉政责任书。</w:t>
      </w:r>
    </w:p>
    <w:p w14:paraId="12FE3740">
      <w:pPr>
        <w:tabs>
          <w:tab w:val="left" w:pos="630"/>
        </w:tabs>
        <w:adjustRightInd w:val="0"/>
        <w:spacing w:line="540" w:lineRule="exact"/>
        <w:ind w:firstLine="420" w:firstLineChars="200"/>
        <w:textAlignment w:val="baseline"/>
        <w:rPr>
          <w:rFonts w:ascii="宋体" w:hAnsi="宋体"/>
          <w:kern w:val="0"/>
          <w:szCs w:val="21"/>
          <w:highlight w:val="none"/>
        </w:rPr>
      </w:pPr>
      <w:r>
        <w:rPr>
          <w:rFonts w:hint="eastAsia" w:ascii="宋体" w:hAnsi="宋体"/>
          <w:kern w:val="0"/>
          <w:szCs w:val="21"/>
          <w:highlight w:val="none"/>
        </w:rPr>
        <w:t>第一条　双方的责任</w:t>
      </w:r>
    </w:p>
    <w:p w14:paraId="24A2715D">
      <w:pPr>
        <w:tabs>
          <w:tab w:val="left" w:pos="630"/>
        </w:tabs>
        <w:adjustRightInd w:val="0"/>
        <w:spacing w:line="540" w:lineRule="exact"/>
        <w:ind w:firstLine="420" w:firstLineChars="200"/>
        <w:textAlignment w:val="baseline"/>
        <w:rPr>
          <w:rFonts w:ascii="宋体" w:hAnsi="宋体"/>
          <w:kern w:val="0"/>
          <w:szCs w:val="21"/>
          <w:highlight w:val="none"/>
        </w:rPr>
      </w:pPr>
      <w:r>
        <w:rPr>
          <w:rFonts w:hint="eastAsia" w:ascii="宋体" w:hAnsi="宋体"/>
          <w:kern w:val="0"/>
          <w:szCs w:val="21"/>
          <w:highlight w:val="none"/>
        </w:rPr>
        <w:t>（一）应严格遵守国家关于市场准入、项目招标投标、工程建设、施工安装和市场活动等有关法律、法规、政策，以及廉政建设的各项规定。</w:t>
      </w:r>
    </w:p>
    <w:p w14:paraId="6768485A">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（二）严格履行工程建设项目中所签订的所有合同文件，自觉按合同办事。</w:t>
      </w:r>
    </w:p>
    <w:p w14:paraId="3BEA4F77">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（三）业务活动必须坚持公开、公平、公正、诚信、透明的原则（除法律法规另有规定者外），不得为获取不正当的利益，损害国家和对方利益，不得违反工程建设管理、施工安装的规章制度。</w:t>
      </w:r>
    </w:p>
    <w:p w14:paraId="4D828115">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（四）教育、监督本单位所有相关人员(包括担任领导职务人员，下同）廉洁、尽职地工作，制定和严格执行相关规章制度，防范和严肃查处相关人员违法、违纪利用工作便利谋取个人利益的行为。</w:t>
      </w:r>
    </w:p>
    <w:p w14:paraId="670BDD2F">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（五）不得向另一方的相关人员提供第二条或第三条各项所列个人利益，三方的合同另有明文规定的奖励、考察不受此限。</w:t>
      </w:r>
    </w:p>
    <w:p w14:paraId="4FD0C966">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六)发现另一方或其有关人员在业务活动中有违规、违纪、违法行为的，应及时提醒、告知另一方，另一方应依照法律法规、相关合同，认真调查并处理。另一方或其有关人员该等行为情节严重的，任何一方均应向其上级主管部门或纪检监察、司法等有关机关举报。</w:t>
      </w:r>
    </w:p>
    <w:p w14:paraId="14C52797">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第二条　发包人的责任</w:t>
      </w:r>
    </w:p>
    <w:p w14:paraId="48571BA1">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发包人应教育和监督本方与该工程建设项目有关的人员，在工程建设的事前、事中、事后均严格遵守以下规定：</w:t>
      </w:r>
    </w:p>
    <w:p w14:paraId="12F92A19">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（一）不准向承包人和相关单位（包括但不限于施工单位、勘察、设计单位、设备或原材料供应单位，下同）索要或接受回扣、礼金、红包、有价证券、银行卡、物品和好处费、感谢费、其他财产性利益等。</w:t>
      </w:r>
    </w:p>
    <w:p w14:paraId="65211418">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（二）不准在承包人和相关单位报销任何应由发包人支付的费用，或借用承包人的车辆办理私事。</w:t>
      </w:r>
    </w:p>
    <w:p w14:paraId="291DB05A">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（三）不准要求、暗示和接受发包人和相关单位为个人装修住房、婚丧嫁娶、配偶子女的工作安排以及出国（境）、旅游（双方相关合同所规定的考察不受此限）等提供方便。</w:t>
      </w:r>
    </w:p>
    <w:p w14:paraId="56F34087">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（四）不准参加有可能影响公正执行公务的承包人和相关单位的宴请、健身、娱乐等活动。</w:t>
      </w:r>
    </w:p>
    <w:p w14:paraId="2D49653B">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五）不准向承包人介绍或为配偶、子女、亲属参与同发包人有关的设备、材料、工程分包、劳务等经济活动。不得以任何理由向承包人和相关单位推荐分包单位和要求承包人购买规定以外的材料、设备等（合同所规定的属于发包人行使的相关权利不受此限）。</w:t>
      </w:r>
    </w:p>
    <w:p w14:paraId="17E4234C">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第三条　承包人的责任</w:t>
      </w:r>
    </w:p>
    <w:p w14:paraId="19218978">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应与发包人保持正常的业务交往，按照有关法律法规和程序开展业务工作，严格执行工程建设的有关方针、政策，尤其是有关建筑施工、安装及强制性标准和规范，并做好管理和监督其领导和有关人员严格遵守以下规定的工作：</w:t>
      </w:r>
    </w:p>
    <w:p w14:paraId="6526FCEB">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（一）不准以任何理由向发包人、相关单位及其工作人员索要、接受或赠送礼金、红包、有价证券、银行卡、物品和回扣、好处费、感谢费、其他财产性利益等。</w:t>
      </w:r>
    </w:p>
    <w:p w14:paraId="2D3AE23D">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（二）不准以任何理由为发包人和相关单位报销应由对方或个人支付的费用，或出借车辆给发包人人员办理私事。</w:t>
      </w:r>
    </w:p>
    <w:p w14:paraId="720D6507">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（三）不准接受或暗示为发包人、相关单位或个人装修住房、婚丧嫁娶、配偶子女的工作安排以及出国（境）、旅游等提供方便。</w:t>
      </w:r>
    </w:p>
    <w:p w14:paraId="276EA8DB">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（四）不准以任何理由为发包人、相关单位或个人组织有可能影响公正执行公务的宴请、健身、娱乐等活动。</w:t>
      </w:r>
    </w:p>
    <w:p w14:paraId="1D5E4A58">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第四条　法律和纪律责任</w:t>
      </w:r>
    </w:p>
    <w:p w14:paraId="6E5107FF">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一）发包人工作人员有违反本责任书第一、二条谋取个人利益行为的，承包人应向发包人或有关机关举报，发包人应按照管理权限调查核实，并依据有关法律法规和规定给予党纪、政纪处分或公司制度项下处分处理；涉嫌犯罪的，向司法机关举报，追究刑事责任。</w:t>
      </w:r>
    </w:p>
    <w:p w14:paraId="5550B0F6">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二）承包人工作人员有违反本责任书第一、三条谋取个人利益行为的，发包人有权向承包人或有关机关举报，承包人应按照管理权限调查核实，并依据有关法律法规和规定给予党纪、政纪处分或公司制度项下处分处理；涉嫌犯罪的，向司法机关举报，追究刑事责任。发包人有权将承包人及其工作人员的行为公开，并报送至企业反舞弊联盟工作委员会或其他有权机构，承包人知晓并同意接受相关后果。</w:t>
      </w:r>
    </w:p>
    <w:p w14:paraId="3C052BF9">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三）A方（指任何一方，下同）向B方（指另一方，下同）有关人员提供前述各条所禁止提供或收受的个人利益的，无论是否依B方有关人员的要求提供，也无论通过何种方式、何人提供，均须承担全部相应的法律责任，包括但不限于赔偿B方因该等不正当收受利益人员有关失职行为所发生的全部损失。B方并有权解除合同。B方有关人员未接受A方所给付的该等利益的，或其接受后未发现其失职造成B方损失的，或B方所发生的损失或部分损失难以计算的,按提供给B方人员个人利益每人次须付50万元计算违约金。</w:t>
      </w:r>
    </w:p>
    <w:p w14:paraId="5407BFDC">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（四）B方有关人员因索要前述禁止的个人利益未成功或因未取得A方给付该等利益而未正常处理有关工作，造成B方违反合同的，B方须向A方承担违约责任，赔偿A方全部损失。</w:t>
      </w:r>
    </w:p>
    <w:p w14:paraId="47662E73">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第五条　本责任书作为本工程合同的附件，与工程合同具有同等法律效力。</w:t>
      </w:r>
    </w:p>
    <w:p w14:paraId="5146DC68">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第六条　本责任书自双方签署盖章之日起生效。</w:t>
      </w:r>
    </w:p>
    <w:p w14:paraId="6CF982EC">
      <w:pPr>
        <w:tabs>
          <w:tab w:val="left" w:pos="630"/>
        </w:tabs>
        <w:adjustRightInd w:val="0"/>
        <w:spacing w:line="540" w:lineRule="exact"/>
        <w:ind w:firstLine="525" w:firstLineChars="250"/>
        <w:textAlignment w:val="baseline"/>
        <w:rPr>
          <w:rFonts w:ascii="宋体" w:hAnsi="宋体"/>
          <w:kern w:val="0"/>
          <w:szCs w:val="21"/>
          <w:highlight w:val="none"/>
        </w:rPr>
      </w:pPr>
      <w:r>
        <w:rPr>
          <w:rFonts w:ascii="宋体" w:hAnsi="宋体"/>
          <w:kern w:val="0"/>
          <w:szCs w:val="21"/>
          <w:highlight w:val="none"/>
        </w:rPr>
        <w:t xml:space="preserve">    </w:t>
      </w:r>
    </w:p>
    <w:p w14:paraId="21850FF0">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 xml:space="preserve">发包人：（盖章）                          承包人：（盖章） </w:t>
      </w:r>
    </w:p>
    <w:p w14:paraId="147CF6BA">
      <w:pPr>
        <w:tabs>
          <w:tab w:val="left" w:pos="630"/>
        </w:tabs>
        <w:adjustRightInd w:val="0"/>
        <w:spacing w:line="540" w:lineRule="exact"/>
        <w:ind w:firstLine="525" w:firstLineChars="250"/>
        <w:textAlignment w:val="baseline"/>
        <w:rPr>
          <w:rFonts w:ascii="宋体" w:hAnsi="宋体"/>
          <w:kern w:val="0"/>
          <w:szCs w:val="21"/>
          <w:highlight w:val="none"/>
        </w:rPr>
      </w:pPr>
      <w:r>
        <w:rPr>
          <w:rFonts w:hint="eastAsia" w:ascii="宋体" w:hAnsi="宋体"/>
          <w:kern w:val="0"/>
          <w:szCs w:val="21"/>
          <w:highlight w:val="none"/>
        </w:rPr>
        <w:t>法定代表人或授权代表人：                  法定代表人或授权代表人：</w:t>
      </w:r>
    </w:p>
    <w:p w14:paraId="02F960A9">
      <w:pPr>
        <w:tabs>
          <w:tab w:val="left" w:pos="630"/>
        </w:tabs>
        <w:adjustRightInd w:val="0"/>
        <w:spacing w:line="540" w:lineRule="exact"/>
        <w:ind w:firstLine="525" w:firstLineChars="250"/>
        <w:textAlignment w:val="baseline"/>
        <w:rPr>
          <w:rFonts w:ascii="宋体" w:hAnsi="宋体"/>
          <w:kern w:val="0"/>
          <w:szCs w:val="21"/>
          <w:highlight w:val="none"/>
        </w:rPr>
      </w:pPr>
    </w:p>
    <w:p w14:paraId="11670D0C">
      <w:pPr>
        <w:spacing w:line="360" w:lineRule="auto"/>
        <w:ind w:right="960" w:firstLine="420" w:firstLineChars="200"/>
        <w:rPr>
          <w:rFonts w:ascii="宋体" w:hAnsi="宋体"/>
          <w:kern w:val="0"/>
          <w:szCs w:val="21"/>
          <w:highlight w:val="none"/>
        </w:rPr>
      </w:pPr>
      <w:r>
        <w:rPr>
          <w:rFonts w:hint="eastAsia" w:ascii="宋体" w:hAnsi="宋体"/>
          <w:kern w:val="0"/>
          <w:szCs w:val="21"/>
          <w:highlight w:val="none"/>
        </w:rPr>
        <w:t>签约日期：                                 签约日期：</w:t>
      </w:r>
    </w:p>
    <w:p w14:paraId="3B46275E">
      <w:pPr>
        <w:widowControl/>
        <w:jc w:val="left"/>
        <w:rPr>
          <w:rFonts w:ascii="宋体" w:hAnsi="宋体"/>
          <w:kern w:val="0"/>
          <w:szCs w:val="21"/>
          <w:highlight w:val="none"/>
        </w:rPr>
      </w:pPr>
      <w:r>
        <w:rPr>
          <w:rFonts w:ascii="宋体" w:hAnsi="宋体"/>
          <w:kern w:val="0"/>
          <w:szCs w:val="21"/>
          <w:highlight w:val="none"/>
        </w:rPr>
        <w:br w:type="page"/>
      </w:r>
    </w:p>
    <w:p w14:paraId="604F693D">
      <w:pPr>
        <w:pStyle w:val="2"/>
        <w:spacing w:before="0" w:after="0" w:line="360" w:lineRule="auto"/>
        <w:rPr>
          <w:rFonts w:ascii="宋体" w:hAnsi="宋体"/>
          <w:sz w:val="21"/>
          <w:szCs w:val="21"/>
          <w:highlight w:val="none"/>
        </w:rPr>
      </w:pPr>
      <w:bookmarkStart w:id="747" w:name="_Toc167975609"/>
      <w:bookmarkStart w:id="748" w:name="_Toc17912"/>
      <w:r>
        <w:rPr>
          <w:rFonts w:hint="eastAsia" w:ascii="宋体" w:hAnsi="宋体"/>
          <w:sz w:val="21"/>
          <w:szCs w:val="21"/>
          <w:highlight w:val="none"/>
        </w:rPr>
        <w:t>附件9</w:t>
      </w:r>
      <w:r>
        <w:rPr>
          <w:rFonts w:ascii="宋体" w:hAnsi="宋体"/>
          <w:sz w:val="21"/>
          <w:szCs w:val="21"/>
          <w:highlight w:val="none"/>
        </w:rPr>
        <w:t xml:space="preserve"> </w:t>
      </w:r>
      <w:bookmarkStart w:id="749" w:name="_Toc118466500"/>
      <w:r>
        <w:rPr>
          <w:rFonts w:hint="eastAsia" w:ascii="宋体" w:hAnsi="宋体"/>
          <w:sz w:val="21"/>
          <w:szCs w:val="21"/>
          <w:highlight w:val="none"/>
        </w:rPr>
        <w:t>工程建设资金拨付管理办法及实施细则</w:t>
      </w:r>
      <w:bookmarkEnd w:id="747"/>
      <w:bookmarkEnd w:id="748"/>
      <w:bookmarkEnd w:id="749"/>
    </w:p>
    <w:p w14:paraId="15422394">
      <w:pPr>
        <w:spacing w:line="360" w:lineRule="auto"/>
        <w:ind w:right="-92" w:rightChars="-44"/>
        <w:jc w:val="center"/>
        <w:rPr>
          <w:rFonts w:ascii="宋体" w:hAnsi="宋体" w:cs="宋体"/>
          <w:b/>
          <w:bCs/>
          <w:sz w:val="32"/>
          <w:szCs w:val="32"/>
          <w:highlight w:val="none"/>
        </w:rPr>
      </w:pPr>
      <w:r>
        <w:rPr>
          <w:rFonts w:hint="eastAsia" w:ascii="宋体" w:hAnsi="宋体" w:cs="宋体"/>
          <w:b/>
          <w:bCs/>
          <w:sz w:val="32"/>
          <w:szCs w:val="32"/>
          <w:highlight w:val="none"/>
        </w:rPr>
        <w:t>工程建设资金拨付管理办法及实施细则</w:t>
      </w:r>
    </w:p>
    <w:p w14:paraId="61313272">
      <w:pPr>
        <w:spacing w:before="312" w:beforeLines="100" w:after="156" w:afterLines="50"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第一章</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总则</w:t>
      </w:r>
    </w:p>
    <w:p w14:paraId="761F0024">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第一条</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为了加强本工程项目建设资金的使用管理，提高建设资金使用效益，确保建设资金专款专用，并且保证其安全、高效的使用，根据国家有关规定特制定本办法。</w:t>
      </w:r>
    </w:p>
    <w:p w14:paraId="21508EAB">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第二条</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本办法适用于与本工程建设的工程承包商及监管开户银行。</w:t>
      </w:r>
    </w:p>
    <w:p w14:paraId="3F4F7A1B">
      <w:pPr>
        <w:spacing w:before="156" w:beforeLines="50" w:after="156" w:afterLines="50"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第二章</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资金账户的管理</w:t>
      </w:r>
    </w:p>
    <w:p w14:paraId="046B7134">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第一条</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工程承包商必须在广州地区开设银行监管账户。未经核准的账户，广东粤海置地发展有限公司（以下简称“置地发展”</w:t>
      </w:r>
      <w:r>
        <w:rPr>
          <w:rFonts w:asciiTheme="minorEastAsia" w:hAnsiTheme="minorEastAsia" w:eastAsiaTheme="minorEastAsia"/>
          <w:sz w:val="24"/>
          <w:highlight w:val="none"/>
        </w:rPr>
        <w:t xml:space="preserve"> )不予以拨付工程款项。</w:t>
      </w:r>
    </w:p>
    <w:p w14:paraId="62068417">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第二条</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置地发展确认的监管开户银行应依法为开户单位保密，除国家法律、法规规定的有权部门和置地发展管理规定需要外，不准代任何单位和个人查询、冻结、扣划开户单位的存款。</w:t>
      </w:r>
    </w:p>
    <w:p w14:paraId="72B50D79">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第三条</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开户单位申请开设银行账户时，应按规定向监管开户银行出具有关证明材料，在条件满足的情况下，监管开户银行应在二天内办妥开户手续。</w:t>
      </w:r>
    </w:p>
    <w:p w14:paraId="1040F18A">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第四条</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开户单位申请撤销指定的账户，需向置地发展提出书面申请并经同意。同时根据监管开户银行的有关撤销账户要求，办理并完善相关的手续。</w:t>
      </w:r>
    </w:p>
    <w:p w14:paraId="1F5559B4">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第五条</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开户单位的账户只能办理自身的业务，不得出租或转让。工程承包商违反上述规定或套取建设资金另作他用，监管开户银行有权制止，并报置地发展。</w:t>
      </w:r>
    </w:p>
    <w:p w14:paraId="6FD8F725">
      <w:pPr>
        <w:spacing w:before="156" w:beforeLines="50" w:after="156" w:afterLines="50"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第三章</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项目资金管理</w:t>
      </w:r>
    </w:p>
    <w:p w14:paraId="69532FF1">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第一条</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为了确保本工程项目建设资金正常运行和安全、有效使用，对本项目建设资金采取集中监控的管理模式。置地发展对参与本项目工程施工的承包商在银行开设专用账户，对其项目资金的流向实施监控，以达到建设资金专款专用的目的。</w:t>
      </w:r>
    </w:p>
    <w:p w14:paraId="1CB94BD4">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第二条</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置地发展、工程承包商（分包商）及监管开户银行三方共同签订《广东粤海置地发展有限公司建设项目建设资金管理协议》，监管开户单位授权同意该监管开户银行把工程专项资金的往来结算记录及对账资料提供给置地发展查阅，以此规范建设资金的使用行为。</w:t>
      </w:r>
    </w:p>
    <w:p w14:paraId="639462AA">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第三条</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经置地发展审核拨付的工程款，工程承包商应专款专用，严禁挪作他用；工程承包商违反规定用途转款或用款的，监管开户银行有权拒绝付款，并及时把信息反馈到置地发展，置地发展将酌情进行处理。</w:t>
      </w:r>
    </w:p>
    <w:p w14:paraId="3F0BF4D1">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第四条</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工程承包商应及时支付材料、设备等款项，及时支付施工人员工资，确保工程建设顺利进行。</w:t>
      </w:r>
    </w:p>
    <w:p w14:paraId="6C209F3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第五条</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保证建设资金的安全和工程建设的顺利进行，工程承包商在承建的工程正式交验之前，未经置地发展同意不得以任何名义转移资金。工程交验后，经置地发展同意，监管账户可解除监管。</w:t>
      </w:r>
    </w:p>
    <w:p w14:paraId="57483FDC">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第六条</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监管开户银行应为工程承包商提供全方位的优质服务，不得无理压票压汇；同时应密切跟进开户单位在实际资金运作中提出服务要求，为其解决在工程建设中的实际问题（如施工人员工资的提现等）。</w:t>
      </w:r>
    </w:p>
    <w:p w14:paraId="561E1947">
      <w:pPr>
        <w:spacing w:before="156" w:beforeLines="50" w:after="156" w:afterLines="50"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第四章</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附则</w:t>
      </w:r>
    </w:p>
    <w:p w14:paraId="70B032DA">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第一条</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本办法执行过程中如有问题请及时向置地发展反映。</w:t>
      </w:r>
    </w:p>
    <w:p w14:paraId="6388E8D3">
      <w:pPr>
        <w:spacing w:line="360" w:lineRule="auto"/>
        <w:ind w:firstLine="480" w:firstLineChars="200"/>
        <w:rPr>
          <w:rFonts w:asciiTheme="minorEastAsia" w:hAnsiTheme="minorEastAsia" w:eastAsiaTheme="minorEastAsia"/>
          <w:sz w:val="24"/>
          <w:highlight w:val="none"/>
        </w:rPr>
      </w:pPr>
      <w:bookmarkStart w:id="750" w:name="_Toc147841817"/>
      <w:bookmarkStart w:id="751" w:name="_Toc167701685"/>
      <w:bookmarkStart w:id="752" w:name="_Toc148462077"/>
      <w:r>
        <w:rPr>
          <w:rFonts w:hint="eastAsia" w:asciiTheme="minorEastAsia" w:hAnsiTheme="minorEastAsia" w:eastAsiaTheme="minorEastAsia"/>
          <w:sz w:val="24"/>
          <w:highlight w:val="none"/>
        </w:rPr>
        <w:t>第二条</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本办法自项目竣工结算完成，办理清算后</w:t>
      </w:r>
      <w:r>
        <w:rPr>
          <w:rFonts w:asciiTheme="minorEastAsia" w:hAnsiTheme="minorEastAsia" w:eastAsiaTheme="minorEastAsia"/>
          <w:sz w:val="24"/>
          <w:highlight w:val="none"/>
        </w:rPr>
        <w:t>6个月自行废止。</w:t>
      </w:r>
      <w:bookmarkEnd w:id="750"/>
      <w:bookmarkEnd w:id="751"/>
      <w:bookmarkEnd w:id="752"/>
      <w:bookmarkStart w:id="753" w:name="_Toc6253"/>
    </w:p>
    <w:bookmarkEnd w:id="753"/>
    <w:p w14:paraId="21FF8297">
      <w:pPr>
        <w:widowControl/>
        <w:jc w:val="left"/>
        <w:rPr>
          <w:highlight w:val="none"/>
        </w:rPr>
      </w:pPr>
    </w:p>
    <w:p w14:paraId="2A6EC2EB">
      <w:pPr>
        <w:rPr>
          <w:rFonts w:ascii="Cambria" w:hAnsi="Cambria"/>
          <w:b/>
          <w:bCs/>
          <w:sz w:val="30"/>
          <w:szCs w:val="30"/>
          <w:highlight w:val="none"/>
        </w:rPr>
        <w:sectPr>
          <w:headerReference r:id="rId11" w:type="first"/>
          <w:footerReference r:id="rId13" w:type="first"/>
          <w:headerReference r:id="rId10" w:type="default"/>
          <w:footerReference r:id="rId12" w:type="default"/>
          <w:pgSz w:w="11906" w:h="16838"/>
          <w:pgMar w:top="1134" w:right="1134" w:bottom="1134" w:left="1134" w:header="851" w:footer="992" w:gutter="0"/>
          <w:cols w:space="720" w:num="1"/>
          <w:titlePg/>
          <w:docGrid w:type="lines" w:linePitch="312" w:charSpace="0"/>
        </w:sectPr>
      </w:pPr>
    </w:p>
    <w:p w14:paraId="600E6770">
      <w:pPr>
        <w:spacing w:line="280" w:lineRule="exact"/>
        <w:outlineLvl w:val="0"/>
        <w:rPr>
          <w:rFonts w:ascii="宋体" w:hAnsi="宋体"/>
          <w:b/>
          <w:bCs/>
          <w:szCs w:val="21"/>
          <w:highlight w:val="none"/>
        </w:rPr>
      </w:pPr>
      <w:bookmarkStart w:id="754" w:name="_Toc167975610"/>
      <w:r>
        <w:rPr>
          <w:rFonts w:hint="eastAsia" w:ascii="宋体" w:hAnsi="宋体"/>
          <w:b/>
          <w:bCs/>
          <w:szCs w:val="21"/>
          <w:highlight w:val="none"/>
        </w:rPr>
        <w:t>附件10安全生产不良行为扣分条款</w:t>
      </w:r>
      <w:bookmarkEnd w:id="754"/>
    </w:p>
    <w:p w14:paraId="0673D658">
      <w:pPr>
        <w:jc w:val="center"/>
        <w:rPr>
          <w:b/>
          <w:sz w:val="28"/>
          <w:szCs w:val="28"/>
          <w:highlight w:val="none"/>
        </w:rPr>
      </w:pPr>
      <w:r>
        <w:rPr>
          <w:rFonts w:hint="eastAsia"/>
          <w:b/>
          <w:sz w:val="28"/>
          <w:szCs w:val="28"/>
          <w:highlight w:val="none"/>
        </w:rPr>
        <w:t>工程建设承包商安全生产不良行为扣分条款</w:t>
      </w:r>
    </w:p>
    <w:tbl>
      <w:tblPr>
        <w:tblStyle w:val="41"/>
        <w:tblW w:w="13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2976"/>
        <w:gridCol w:w="1275"/>
        <w:gridCol w:w="993"/>
        <w:gridCol w:w="7553"/>
      </w:tblGrid>
      <w:tr w14:paraId="61C6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C24E471">
            <w:pPr>
              <w:widowControl/>
              <w:jc w:val="center"/>
              <w:rPr>
                <w:bCs/>
                <w:sz w:val="20"/>
                <w:szCs w:val="20"/>
                <w:highlight w:val="none"/>
              </w:rPr>
            </w:pPr>
            <w:r>
              <w:rPr>
                <w:rFonts w:hint="eastAsia"/>
                <w:bCs/>
                <w:sz w:val="20"/>
                <w:szCs w:val="20"/>
                <w:highlight w:val="none"/>
              </w:rPr>
              <w:t>序号</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AE25234">
            <w:pPr>
              <w:jc w:val="center"/>
              <w:rPr>
                <w:bCs/>
                <w:sz w:val="20"/>
                <w:szCs w:val="20"/>
                <w:highlight w:val="none"/>
              </w:rPr>
            </w:pPr>
            <w:r>
              <w:rPr>
                <w:rFonts w:hint="eastAsia"/>
                <w:bCs/>
                <w:sz w:val="20"/>
                <w:szCs w:val="20"/>
                <w:highlight w:val="none"/>
              </w:rPr>
              <w:t>不良行为现象</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88CB4F7">
            <w:pPr>
              <w:widowControl/>
              <w:jc w:val="center"/>
              <w:rPr>
                <w:bCs/>
                <w:sz w:val="20"/>
                <w:szCs w:val="20"/>
                <w:highlight w:val="none"/>
              </w:rPr>
            </w:pPr>
            <w:r>
              <w:rPr>
                <w:rFonts w:hint="eastAsia"/>
                <w:bCs/>
                <w:sz w:val="20"/>
                <w:szCs w:val="20"/>
                <w:highlight w:val="none"/>
              </w:rPr>
              <w:t>责任承包商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E33D15B">
            <w:pPr>
              <w:jc w:val="center"/>
              <w:rPr>
                <w:bCs/>
                <w:sz w:val="20"/>
                <w:szCs w:val="20"/>
                <w:highlight w:val="none"/>
              </w:rPr>
            </w:pPr>
            <w:r>
              <w:rPr>
                <w:rFonts w:hint="eastAsia"/>
                <w:bCs/>
                <w:sz w:val="20"/>
                <w:szCs w:val="20"/>
                <w:highlight w:val="none"/>
              </w:rPr>
              <w:t>扣分</w:t>
            </w:r>
            <w:r>
              <w:rPr>
                <w:rFonts w:hint="eastAsia"/>
                <w:bCs/>
                <w:sz w:val="20"/>
                <w:szCs w:val="20"/>
                <w:highlight w:val="none"/>
              </w:rPr>
              <w:br w:type="textWrapping"/>
            </w:r>
            <w:r>
              <w:rPr>
                <w:rFonts w:hint="eastAsia"/>
                <w:bCs/>
                <w:sz w:val="20"/>
                <w:szCs w:val="20"/>
                <w:highlight w:val="none"/>
              </w:rPr>
              <w:t>上限</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12DC40E1">
            <w:pPr>
              <w:jc w:val="center"/>
              <w:rPr>
                <w:bCs/>
                <w:sz w:val="20"/>
                <w:szCs w:val="20"/>
                <w:highlight w:val="none"/>
              </w:rPr>
            </w:pPr>
            <w:r>
              <w:rPr>
                <w:rFonts w:hint="eastAsia"/>
                <w:bCs/>
                <w:sz w:val="20"/>
                <w:szCs w:val="20"/>
                <w:highlight w:val="none"/>
              </w:rPr>
              <w:t>扣分细则</w:t>
            </w:r>
          </w:p>
        </w:tc>
      </w:tr>
      <w:tr w14:paraId="58E8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3C1208C">
            <w:pPr>
              <w:widowControl/>
              <w:jc w:val="center"/>
              <w:rPr>
                <w:bCs/>
                <w:sz w:val="20"/>
                <w:szCs w:val="20"/>
                <w:highlight w:val="none"/>
              </w:rPr>
            </w:pPr>
            <w:r>
              <w:rPr>
                <w:rFonts w:hint="eastAsia"/>
                <w:bCs/>
                <w:sz w:val="20"/>
                <w:szCs w:val="20"/>
                <w:highlight w:val="none"/>
              </w:rPr>
              <w:t>1</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95F5A53">
            <w:pPr>
              <w:jc w:val="center"/>
              <w:rPr>
                <w:bCs/>
                <w:sz w:val="20"/>
                <w:szCs w:val="20"/>
                <w:highlight w:val="none"/>
              </w:rPr>
            </w:pPr>
            <w:r>
              <w:rPr>
                <w:rFonts w:hint="eastAsia"/>
                <w:bCs/>
                <w:sz w:val="20"/>
                <w:szCs w:val="20"/>
                <w:highlight w:val="none"/>
              </w:rPr>
              <w:t>承包商主要管理人员现场管理缺位。</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E94AC4A">
            <w:pPr>
              <w:widowControl/>
              <w:jc w:val="center"/>
              <w:rPr>
                <w:bCs/>
                <w:sz w:val="20"/>
                <w:szCs w:val="20"/>
                <w:highlight w:val="none"/>
              </w:rPr>
            </w:pPr>
            <w:r>
              <w:rPr>
                <w:rFonts w:hint="eastAsia"/>
                <w:bCs/>
                <w:sz w:val="20"/>
                <w:szCs w:val="20"/>
                <w:highlight w:val="none"/>
              </w:rPr>
              <w:t>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ED5B21D">
            <w:pPr>
              <w:jc w:val="center"/>
              <w:rPr>
                <w:bCs/>
                <w:sz w:val="20"/>
                <w:szCs w:val="20"/>
                <w:highlight w:val="none"/>
              </w:rPr>
            </w:pPr>
            <w:r>
              <w:rPr>
                <w:rFonts w:hint="eastAsia"/>
                <w:bCs/>
                <w:sz w:val="20"/>
                <w:szCs w:val="20"/>
                <w:highlight w:val="none"/>
              </w:rPr>
              <w:t>1</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16BC1A24">
            <w:pPr>
              <w:jc w:val="center"/>
              <w:rPr>
                <w:bCs/>
                <w:sz w:val="20"/>
                <w:szCs w:val="20"/>
                <w:highlight w:val="none"/>
              </w:rPr>
            </w:pPr>
            <w:r>
              <w:rPr>
                <w:rFonts w:hint="eastAsia"/>
                <w:bCs/>
                <w:sz w:val="20"/>
                <w:szCs w:val="20"/>
                <w:highlight w:val="none"/>
              </w:rPr>
              <w:t>施工单位项目经理、监理单位项目总监理师驻施工现场时间少于合同约定时间，安全管理缺位扣1分。</w:t>
            </w:r>
          </w:p>
        </w:tc>
      </w:tr>
      <w:tr w14:paraId="49F9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824696B">
            <w:pPr>
              <w:widowControl/>
              <w:jc w:val="center"/>
              <w:rPr>
                <w:bCs/>
                <w:sz w:val="20"/>
                <w:szCs w:val="20"/>
                <w:highlight w:val="none"/>
              </w:rPr>
            </w:pPr>
            <w:r>
              <w:rPr>
                <w:rFonts w:hint="eastAsia"/>
                <w:bCs/>
                <w:sz w:val="20"/>
                <w:szCs w:val="20"/>
                <w:highlight w:val="none"/>
              </w:rPr>
              <w:t>2</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08FC86B">
            <w:pPr>
              <w:spacing w:line="280" w:lineRule="exact"/>
              <w:jc w:val="center"/>
              <w:rPr>
                <w:bCs/>
                <w:sz w:val="20"/>
                <w:szCs w:val="20"/>
                <w:highlight w:val="none"/>
              </w:rPr>
            </w:pPr>
            <w:r>
              <w:rPr>
                <w:rFonts w:hint="eastAsia"/>
                <w:bCs/>
                <w:sz w:val="20"/>
                <w:szCs w:val="20"/>
                <w:highlight w:val="none"/>
              </w:rPr>
              <w:t>未建立安全生产责任制；监理单位、施工单位管理人员未持证上岗，或证书与岗位不对应；特种作业人员未持证上岗；作业人员进场前未经现场安全教育培训合格即上岗作业。</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2D15DE4">
            <w:pPr>
              <w:widowControl/>
              <w:spacing w:line="280" w:lineRule="exact"/>
              <w:jc w:val="center"/>
              <w:rPr>
                <w:bCs/>
                <w:sz w:val="20"/>
                <w:szCs w:val="20"/>
                <w:highlight w:val="none"/>
              </w:rPr>
            </w:pPr>
            <w:r>
              <w:rPr>
                <w:rFonts w:hint="eastAsia"/>
                <w:bCs/>
                <w:sz w:val="20"/>
                <w:szCs w:val="20"/>
                <w:highlight w:val="none"/>
              </w:rPr>
              <w:t>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A51D9AB">
            <w:pPr>
              <w:spacing w:line="280" w:lineRule="exact"/>
              <w:jc w:val="center"/>
              <w:rPr>
                <w:bCs/>
                <w:sz w:val="20"/>
                <w:szCs w:val="20"/>
                <w:highlight w:val="none"/>
              </w:rPr>
            </w:pPr>
            <w:r>
              <w:rPr>
                <w:rFonts w:hint="eastAsia"/>
                <w:bCs/>
                <w:sz w:val="20"/>
                <w:szCs w:val="20"/>
                <w:highlight w:val="none"/>
              </w:rPr>
              <w:t>1</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02D15168">
            <w:pPr>
              <w:spacing w:line="280" w:lineRule="exact"/>
              <w:jc w:val="left"/>
              <w:rPr>
                <w:bCs/>
                <w:sz w:val="20"/>
                <w:szCs w:val="20"/>
                <w:highlight w:val="none"/>
              </w:rPr>
            </w:pPr>
            <w:r>
              <w:rPr>
                <w:rFonts w:hint="eastAsia"/>
                <w:bCs/>
                <w:sz w:val="20"/>
                <w:szCs w:val="20"/>
                <w:highlight w:val="none"/>
              </w:rPr>
              <w:t>1、施工、监理项目部未建立安全生产责任制，扣1分。</w:t>
            </w:r>
            <w:r>
              <w:rPr>
                <w:rFonts w:hint="eastAsia"/>
                <w:bCs/>
                <w:sz w:val="20"/>
                <w:szCs w:val="20"/>
                <w:highlight w:val="none"/>
              </w:rPr>
              <w:br w:type="textWrapping"/>
            </w:r>
            <w:r>
              <w:rPr>
                <w:rFonts w:hint="eastAsia"/>
                <w:bCs/>
                <w:sz w:val="20"/>
                <w:szCs w:val="20"/>
                <w:highlight w:val="none"/>
              </w:rPr>
              <w:t>2、现场总监理师未持有国家或行业相应资格证书每人每次扣1分；资格证书失效，每人每次扣0.5分。</w:t>
            </w:r>
            <w:r>
              <w:rPr>
                <w:rFonts w:hint="eastAsia"/>
                <w:bCs/>
                <w:sz w:val="20"/>
                <w:szCs w:val="20"/>
                <w:highlight w:val="none"/>
              </w:rPr>
              <w:br w:type="textWrapping"/>
            </w:r>
            <w:r>
              <w:rPr>
                <w:rFonts w:hint="eastAsia"/>
                <w:bCs/>
                <w:sz w:val="20"/>
                <w:szCs w:val="20"/>
                <w:highlight w:val="none"/>
              </w:rPr>
              <w:t>3、需持证上岗的现场监理工程师、监理员未持有国家或行业相应资格证书或证书失效，每人每次扣0.2分。</w:t>
            </w:r>
            <w:r>
              <w:rPr>
                <w:rFonts w:hint="eastAsia"/>
                <w:bCs/>
                <w:sz w:val="20"/>
                <w:szCs w:val="20"/>
                <w:highlight w:val="none"/>
              </w:rPr>
              <w:br w:type="textWrapping"/>
            </w:r>
            <w:r>
              <w:rPr>
                <w:rFonts w:hint="eastAsia"/>
                <w:bCs/>
                <w:sz w:val="20"/>
                <w:szCs w:val="20"/>
                <w:highlight w:val="none"/>
              </w:rPr>
              <w:t>4、施工单位项目经理未持有相应的注册建造师资格证书每人每次扣1分；资格证书失效，每人每次扣0.5分。</w:t>
            </w:r>
            <w:r>
              <w:rPr>
                <w:rFonts w:hint="eastAsia"/>
                <w:bCs/>
                <w:sz w:val="20"/>
                <w:szCs w:val="20"/>
                <w:highlight w:val="none"/>
              </w:rPr>
              <w:br w:type="textWrapping"/>
            </w:r>
            <w:r>
              <w:rPr>
                <w:rFonts w:hint="eastAsia"/>
                <w:bCs/>
                <w:sz w:val="20"/>
                <w:szCs w:val="20"/>
                <w:highlight w:val="none"/>
              </w:rPr>
              <w:t>5、施工单位安全员未持有相应资格证书或证书失效，或与岗位不对应，每人每次扣0.2分。</w:t>
            </w:r>
            <w:r>
              <w:rPr>
                <w:rFonts w:hint="eastAsia"/>
                <w:bCs/>
                <w:sz w:val="20"/>
                <w:szCs w:val="20"/>
                <w:highlight w:val="none"/>
              </w:rPr>
              <w:br w:type="textWrapping"/>
            </w:r>
            <w:r>
              <w:rPr>
                <w:rFonts w:hint="eastAsia"/>
                <w:bCs/>
                <w:sz w:val="20"/>
                <w:szCs w:val="20"/>
                <w:highlight w:val="none"/>
              </w:rPr>
              <w:t>6、施工单位特殊工种人员未持有执业资格证书或证书失效，或与岗位不对应，每人每次扣0.2分。</w:t>
            </w:r>
            <w:r>
              <w:rPr>
                <w:rFonts w:hint="eastAsia"/>
                <w:bCs/>
                <w:sz w:val="20"/>
                <w:szCs w:val="20"/>
                <w:highlight w:val="none"/>
              </w:rPr>
              <w:br w:type="textWrapping"/>
            </w:r>
            <w:r>
              <w:rPr>
                <w:rFonts w:hint="eastAsia"/>
                <w:bCs/>
                <w:sz w:val="20"/>
                <w:szCs w:val="20"/>
                <w:highlight w:val="none"/>
              </w:rPr>
              <w:t>7、作业现场未进行安全技术交底，每人每次扣0.2分。</w:t>
            </w:r>
            <w:r>
              <w:rPr>
                <w:rFonts w:hint="eastAsia"/>
                <w:bCs/>
                <w:sz w:val="20"/>
                <w:szCs w:val="20"/>
                <w:highlight w:val="none"/>
              </w:rPr>
              <w:br w:type="textWrapping"/>
            </w:r>
            <w:r>
              <w:rPr>
                <w:rFonts w:hint="eastAsia"/>
                <w:bCs/>
                <w:sz w:val="20"/>
                <w:szCs w:val="20"/>
                <w:highlight w:val="none"/>
              </w:rPr>
              <w:t>8、监理日志/监理日记不健全或未及时发现现场重大安全隐患并提出整改要求的，每次扣0.1分。</w:t>
            </w:r>
          </w:p>
        </w:tc>
      </w:tr>
      <w:tr w14:paraId="5569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62F6DD9">
            <w:pPr>
              <w:widowControl/>
              <w:jc w:val="center"/>
              <w:rPr>
                <w:bCs/>
                <w:sz w:val="20"/>
                <w:szCs w:val="20"/>
                <w:highlight w:val="none"/>
              </w:rPr>
            </w:pPr>
            <w:r>
              <w:rPr>
                <w:rFonts w:hint="eastAsia"/>
                <w:bCs/>
                <w:sz w:val="20"/>
                <w:szCs w:val="20"/>
                <w:highlight w:val="none"/>
              </w:rPr>
              <w:t>3</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43DD705">
            <w:pPr>
              <w:spacing w:line="280" w:lineRule="exact"/>
              <w:jc w:val="center"/>
              <w:rPr>
                <w:bCs/>
                <w:sz w:val="20"/>
                <w:szCs w:val="20"/>
                <w:highlight w:val="none"/>
              </w:rPr>
            </w:pPr>
            <w:r>
              <w:rPr>
                <w:rFonts w:hint="eastAsia"/>
                <w:bCs/>
                <w:sz w:val="20"/>
                <w:szCs w:val="20"/>
                <w:highlight w:val="none"/>
              </w:rPr>
              <w:t>施工机具（含特种设备）管理不规范或使用违反操作规程。</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830241C">
            <w:pPr>
              <w:widowControl/>
              <w:spacing w:line="280" w:lineRule="exact"/>
              <w:jc w:val="center"/>
              <w:rPr>
                <w:bCs/>
                <w:sz w:val="20"/>
                <w:szCs w:val="20"/>
                <w:highlight w:val="none"/>
              </w:rPr>
            </w:pPr>
            <w:r>
              <w:rPr>
                <w:rFonts w:hint="eastAsia"/>
                <w:bCs/>
                <w:sz w:val="20"/>
                <w:szCs w:val="20"/>
                <w:highlight w:val="none"/>
              </w:rPr>
              <w:t>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A1486AC">
            <w:pPr>
              <w:spacing w:line="280" w:lineRule="exact"/>
              <w:jc w:val="center"/>
              <w:rPr>
                <w:bCs/>
                <w:sz w:val="20"/>
                <w:szCs w:val="20"/>
                <w:highlight w:val="none"/>
              </w:rPr>
            </w:pPr>
            <w:r>
              <w:rPr>
                <w:rFonts w:hint="eastAsia"/>
                <w:bCs/>
                <w:sz w:val="20"/>
                <w:szCs w:val="20"/>
                <w:highlight w:val="none"/>
              </w:rPr>
              <w:t>1</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59CB9704">
            <w:pPr>
              <w:spacing w:line="280" w:lineRule="exact"/>
              <w:jc w:val="left"/>
              <w:rPr>
                <w:bCs/>
                <w:sz w:val="20"/>
                <w:szCs w:val="20"/>
                <w:highlight w:val="none"/>
              </w:rPr>
            </w:pPr>
            <w:r>
              <w:rPr>
                <w:bCs/>
                <w:sz w:val="20"/>
                <w:szCs w:val="20"/>
                <w:highlight w:val="none"/>
              </w:rPr>
              <w:t>1</w:t>
            </w:r>
            <w:r>
              <w:rPr>
                <w:rFonts w:hint="eastAsia"/>
                <w:bCs/>
                <w:sz w:val="20"/>
                <w:szCs w:val="20"/>
                <w:highlight w:val="none"/>
              </w:rPr>
              <w:t>、特种设备出现以下任一不良行为的，扣</w:t>
            </w:r>
            <w:r>
              <w:rPr>
                <w:bCs/>
                <w:sz w:val="20"/>
                <w:szCs w:val="20"/>
                <w:highlight w:val="none"/>
              </w:rPr>
              <w:t>1</w:t>
            </w:r>
            <w:r>
              <w:rPr>
                <w:rFonts w:hint="eastAsia"/>
                <w:bCs/>
                <w:sz w:val="20"/>
                <w:szCs w:val="20"/>
                <w:highlight w:val="none"/>
              </w:rPr>
              <w:t>分：</w:t>
            </w:r>
            <w:r>
              <w:rPr>
                <w:bCs/>
                <w:sz w:val="20"/>
                <w:szCs w:val="20"/>
                <w:highlight w:val="none"/>
              </w:rPr>
              <w:br w:type="textWrapping"/>
            </w:r>
            <w:r>
              <w:rPr>
                <w:rFonts w:hint="eastAsia"/>
                <w:bCs/>
                <w:sz w:val="20"/>
                <w:szCs w:val="20"/>
                <w:highlight w:val="none"/>
              </w:rPr>
              <w:t>①进场未报审、未定期进行检查、维护保养和检验（检测）；</w:t>
            </w:r>
            <w:r>
              <w:rPr>
                <w:bCs/>
                <w:sz w:val="20"/>
                <w:szCs w:val="20"/>
                <w:highlight w:val="none"/>
              </w:rPr>
              <w:br w:type="textWrapping"/>
            </w:r>
            <w:r>
              <w:rPr>
                <w:rFonts w:hint="eastAsia"/>
                <w:bCs/>
                <w:sz w:val="20"/>
                <w:szCs w:val="20"/>
                <w:highlight w:val="none"/>
              </w:rPr>
              <w:t>②安装和拆卸单位不具备资质；安装、拆卸方案未经审查；</w:t>
            </w:r>
            <w:r>
              <w:rPr>
                <w:bCs/>
                <w:sz w:val="20"/>
                <w:szCs w:val="20"/>
                <w:highlight w:val="none"/>
              </w:rPr>
              <w:br w:type="textWrapping"/>
            </w:r>
            <w:r>
              <w:rPr>
                <w:rFonts w:hint="eastAsia"/>
                <w:bCs/>
                <w:sz w:val="20"/>
                <w:szCs w:val="20"/>
                <w:highlight w:val="none"/>
              </w:rPr>
              <w:t>③未办理使用登记证。</w:t>
            </w:r>
            <w:r>
              <w:rPr>
                <w:bCs/>
                <w:sz w:val="20"/>
                <w:szCs w:val="20"/>
                <w:highlight w:val="none"/>
              </w:rPr>
              <w:br w:type="textWrapping"/>
            </w:r>
            <w:r>
              <w:rPr>
                <w:bCs/>
                <w:sz w:val="20"/>
                <w:szCs w:val="20"/>
                <w:highlight w:val="none"/>
              </w:rPr>
              <w:t>2</w:t>
            </w:r>
            <w:r>
              <w:rPr>
                <w:rFonts w:hint="eastAsia"/>
                <w:bCs/>
                <w:sz w:val="20"/>
                <w:szCs w:val="20"/>
                <w:highlight w:val="none"/>
              </w:rPr>
              <w:t>、施工升降机、起重机械、手拉葫芦、手扳葫芦、钢丝绳套、卡线器、紧线器等受力机具、工器具未按要求进行检验、校验的，每项扣</w:t>
            </w:r>
            <w:r>
              <w:rPr>
                <w:bCs/>
                <w:sz w:val="20"/>
                <w:szCs w:val="20"/>
                <w:highlight w:val="none"/>
              </w:rPr>
              <w:t>0.2</w:t>
            </w:r>
            <w:r>
              <w:rPr>
                <w:rFonts w:hint="eastAsia"/>
                <w:bCs/>
                <w:sz w:val="20"/>
                <w:szCs w:val="20"/>
                <w:highlight w:val="none"/>
              </w:rPr>
              <w:t>分，累计扣至</w:t>
            </w:r>
            <w:r>
              <w:rPr>
                <w:bCs/>
                <w:sz w:val="20"/>
                <w:szCs w:val="20"/>
                <w:highlight w:val="none"/>
              </w:rPr>
              <w:t>1</w:t>
            </w:r>
            <w:r>
              <w:rPr>
                <w:rFonts w:hint="eastAsia"/>
                <w:bCs/>
                <w:sz w:val="20"/>
                <w:szCs w:val="20"/>
                <w:highlight w:val="none"/>
              </w:rPr>
              <w:t>分为止。</w:t>
            </w:r>
            <w:r>
              <w:rPr>
                <w:bCs/>
                <w:sz w:val="20"/>
                <w:szCs w:val="20"/>
                <w:highlight w:val="none"/>
              </w:rPr>
              <w:br w:type="textWrapping"/>
            </w:r>
            <w:r>
              <w:rPr>
                <w:bCs/>
                <w:sz w:val="20"/>
                <w:szCs w:val="20"/>
                <w:highlight w:val="none"/>
              </w:rPr>
              <w:t>3</w:t>
            </w:r>
            <w:r>
              <w:rPr>
                <w:rFonts w:hint="eastAsia"/>
                <w:bCs/>
                <w:sz w:val="20"/>
                <w:szCs w:val="20"/>
                <w:highlight w:val="none"/>
              </w:rPr>
              <w:t>、砂轮片、切割机、锯木机刀片等有裂纹、破损仍在使用；机械转动部分保护罩破损或缺失，每项扣</w:t>
            </w:r>
            <w:r>
              <w:rPr>
                <w:bCs/>
                <w:sz w:val="20"/>
                <w:szCs w:val="20"/>
                <w:highlight w:val="none"/>
              </w:rPr>
              <w:t>0.2</w:t>
            </w:r>
            <w:r>
              <w:rPr>
                <w:rFonts w:hint="eastAsia"/>
                <w:bCs/>
                <w:sz w:val="20"/>
                <w:szCs w:val="20"/>
                <w:highlight w:val="none"/>
              </w:rPr>
              <w:t>分，累计扣至</w:t>
            </w:r>
            <w:r>
              <w:rPr>
                <w:bCs/>
                <w:sz w:val="20"/>
                <w:szCs w:val="20"/>
                <w:highlight w:val="none"/>
              </w:rPr>
              <w:t>1</w:t>
            </w:r>
            <w:r>
              <w:rPr>
                <w:rFonts w:hint="eastAsia"/>
                <w:bCs/>
                <w:sz w:val="20"/>
                <w:szCs w:val="20"/>
                <w:highlight w:val="none"/>
              </w:rPr>
              <w:t>分为止。</w:t>
            </w:r>
            <w:r>
              <w:rPr>
                <w:bCs/>
                <w:sz w:val="20"/>
                <w:szCs w:val="20"/>
                <w:highlight w:val="none"/>
              </w:rPr>
              <w:br w:type="textWrapping"/>
            </w:r>
            <w:r>
              <w:rPr>
                <w:bCs/>
                <w:sz w:val="20"/>
                <w:szCs w:val="20"/>
                <w:highlight w:val="none"/>
              </w:rPr>
              <w:t>4</w:t>
            </w:r>
            <w:r>
              <w:rPr>
                <w:rFonts w:hint="eastAsia"/>
                <w:bCs/>
                <w:sz w:val="20"/>
                <w:szCs w:val="20"/>
                <w:highlight w:val="none"/>
              </w:rPr>
              <w:t>、邻近带电设备施工时，现场处于使用状态的施工机械（具）和设备无人看护，对运行设备构成安全隐患，扣</w:t>
            </w:r>
            <w:r>
              <w:rPr>
                <w:bCs/>
                <w:sz w:val="20"/>
                <w:szCs w:val="20"/>
                <w:highlight w:val="none"/>
              </w:rPr>
              <w:t>1</w:t>
            </w:r>
            <w:r>
              <w:rPr>
                <w:rFonts w:hint="eastAsia"/>
                <w:bCs/>
                <w:sz w:val="20"/>
                <w:szCs w:val="20"/>
                <w:highlight w:val="none"/>
              </w:rPr>
              <w:t>分。</w:t>
            </w:r>
          </w:p>
          <w:p w14:paraId="1F7198CB">
            <w:pPr>
              <w:spacing w:line="280" w:lineRule="exact"/>
              <w:jc w:val="left"/>
              <w:rPr>
                <w:bCs/>
                <w:sz w:val="20"/>
                <w:szCs w:val="20"/>
                <w:highlight w:val="none"/>
              </w:rPr>
            </w:pPr>
            <w:r>
              <w:rPr>
                <w:bCs/>
                <w:sz w:val="20"/>
                <w:szCs w:val="20"/>
                <w:highlight w:val="none"/>
              </w:rPr>
              <w:t>5</w:t>
            </w:r>
            <w:r>
              <w:rPr>
                <w:rFonts w:hint="eastAsia"/>
                <w:bCs/>
                <w:sz w:val="20"/>
                <w:szCs w:val="20"/>
                <w:highlight w:val="none"/>
              </w:rPr>
              <w:t>、操作施工机具时违反操作规程，每次扣</w:t>
            </w:r>
            <w:r>
              <w:rPr>
                <w:bCs/>
                <w:sz w:val="20"/>
                <w:szCs w:val="20"/>
                <w:highlight w:val="none"/>
              </w:rPr>
              <w:t>0.2</w:t>
            </w:r>
            <w:r>
              <w:rPr>
                <w:rFonts w:hint="eastAsia"/>
                <w:bCs/>
                <w:sz w:val="20"/>
                <w:szCs w:val="20"/>
                <w:highlight w:val="none"/>
              </w:rPr>
              <w:t>分。</w:t>
            </w:r>
            <w:r>
              <w:rPr>
                <w:bCs/>
                <w:sz w:val="20"/>
                <w:szCs w:val="20"/>
                <w:highlight w:val="none"/>
              </w:rPr>
              <w:t xml:space="preserve">                                         </w:t>
            </w:r>
          </w:p>
        </w:tc>
      </w:tr>
      <w:tr w14:paraId="2822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A62D6C8">
            <w:pPr>
              <w:widowControl/>
              <w:jc w:val="center"/>
              <w:rPr>
                <w:bCs/>
                <w:sz w:val="20"/>
                <w:szCs w:val="20"/>
                <w:highlight w:val="none"/>
              </w:rPr>
            </w:pPr>
            <w:r>
              <w:rPr>
                <w:rFonts w:hint="eastAsia"/>
                <w:bCs/>
                <w:sz w:val="20"/>
                <w:szCs w:val="20"/>
                <w:highlight w:val="none"/>
              </w:rPr>
              <w:t>4</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C226908">
            <w:pPr>
              <w:spacing w:line="280" w:lineRule="exact"/>
              <w:jc w:val="left"/>
              <w:rPr>
                <w:bCs/>
                <w:sz w:val="20"/>
                <w:szCs w:val="20"/>
                <w:highlight w:val="none"/>
              </w:rPr>
            </w:pPr>
            <w:r>
              <w:rPr>
                <w:rFonts w:hint="eastAsia"/>
                <w:bCs/>
                <w:sz w:val="20"/>
                <w:szCs w:val="20"/>
                <w:highlight w:val="none"/>
              </w:rPr>
              <w:t>作业人员个人防护用品配备或使用不符合要求。</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99BA305">
            <w:pPr>
              <w:widowControl/>
              <w:spacing w:line="280" w:lineRule="exact"/>
              <w:jc w:val="left"/>
              <w:rPr>
                <w:bCs/>
                <w:sz w:val="20"/>
                <w:szCs w:val="20"/>
                <w:highlight w:val="none"/>
              </w:rPr>
            </w:pPr>
            <w:r>
              <w:rPr>
                <w:rFonts w:hint="eastAsia"/>
                <w:bCs/>
                <w:sz w:val="20"/>
                <w:szCs w:val="20"/>
                <w:highlight w:val="none"/>
              </w:rPr>
              <w:t>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5501BC1">
            <w:pPr>
              <w:spacing w:line="280" w:lineRule="exact"/>
              <w:jc w:val="left"/>
              <w:rPr>
                <w:bCs/>
                <w:sz w:val="20"/>
                <w:szCs w:val="20"/>
                <w:highlight w:val="none"/>
              </w:rPr>
            </w:pPr>
            <w:r>
              <w:rPr>
                <w:rFonts w:hint="eastAsia"/>
                <w:bCs/>
                <w:sz w:val="20"/>
                <w:szCs w:val="20"/>
                <w:highlight w:val="none"/>
              </w:rPr>
              <w:t>0.5</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54BAFB65">
            <w:pPr>
              <w:spacing w:line="280" w:lineRule="exact"/>
              <w:jc w:val="left"/>
              <w:rPr>
                <w:bCs/>
                <w:sz w:val="20"/>
                <w:szCs w:val="20"/>
                <w:highlight w:val="none"/>
              </w:rPr>
            </w:pPr>
            <w:r>
              <w:rPr>
                <w:bCs/>
                <w:sz w:val="20"/>
                <w:szCs w:val="20"/>
                <w:highlight w:val="none"/>
              </w:rPr>
              <w:t>1</w:t>
            </w:r>
            <w:r>
              <w:rPr>
                <w:rFonts w:hint="eastAsia"/>
                <w:bCs/>
                <w:sz w:val="20"/>
                <w:szCs w:val="20"/>
                <w:highlight w:val="none"/>
              </w:rPr>
              <w:t>、出现以下任一不良行为扣</w:t>
            </w:r>
            <w:r>
              <w:rPr>
                <w:bCs/>
                <w:sz w:val="20"/>
                <w:szCs w:val="20"/>
                <w:highlight w:val="none"/>
              </w:rPr>
              <w:t>0.1</w:t>
            </w:r>
            <w:r>
              <w:rPr>
                <w:rFonts w:hint="eastAsia"/>
                <w:bCs/>
                <w:sz w:val="20"/>
                <w:szCs w:val="20"/>
                <w:highlight w:val="none"/>
              </w:rPr>
              <w:t>分：</w:t>
            </w:r>
            <w:r>
              <w:rPr>
                <w:bCs/>
                <w:sz w:val="20"/>
                <w:szCs w:val="20"/>
                <w:highlight w:val="none"/>
              </w:rPr>
              <w:br w:type="textWrapping"/>
            </w:r>
            <w:r>
              <w:rPr>
                <w:rFonts w:hint="eastAsia"/>
                <w:bCs/>
                <w:sz w:val="20"/>
                <w:szCs w:val="20"/>
                <w:highlight w:val="none"/>
              </w:rPr>
              <w:t>①用人单位未按规定给作业人员配备合格的安全帽、安全带、劳保鞋等防护用品；</w:t>
            </w:r>
            <w:r>
              <w:rPr>
                <w:bCs/>
                <w:sz w:val="20"/>
                <w:szCs w:val="20"/>
                <w:highlight w:val="none"/>
              </w:rPr>
              <w:br w:type="textWrapping"/>
            </w:r>
            <w:r>
              <w:rPr>
                <w:rFonts w:hint="eastAsia"/>
                <w:bCs/>
                <w:sz w:val="20"/>
                <w:szCs w:val="20"/>
                <w:highlight w:val="none"/>
              </w:rPr>
              <w:t>②个人防护用品未进行定期检验。</w:t>
            </w:r>
            <w:r>
              <w:rPr>
                <w:bCs/>
                <w:sz w:val="20"/>
                <w:szCs w:val="20"/>
                <w:highlight w:val="none"/>
              </w:rPr>
              <w:br w:type="textWrapping"/>
            </w:r>
            <w:r>
              <w:rPr>
                <w:bCs/>
                <w:sz w:val="20"/>
                <w:szCs w:val="20"/>
                <w:highlight w:val="none"/>
              </w:rPr>
              <w:t>2</w:t>
            </w:r>
            <w:r>
              <w:rPr>
                <w:rFonts w:hint="eastAsia"/>
                <w:bCs/>
                <w:sz w:val="20"/>
                <w:szCs w:val="20"/>
                <w:highlight w:val="none"/>
              </w:rPr>
              <w:t>、施工人员未佩戴劳动防护用品或与作业任务不符，每处扣</w:t>
            </w:r>
            <w:r>
              <w:rPr>
                <w:bCs/>
                <w:sz w:val="20"/>
                <w:szCs w:val="20"/>
                <w:highlight w:val="none"/>
              </w:rPr>
              <w:t>0.1</w:t>
            </w:r>
            <w:r>
              <w:rPr>
                <w:rFonts w:hint="eastAsia"/>
                <w:bCs/>
                <w:sz w:val="20"/>
                <w:szCs w:val="20"/>
                <w:highlight w:val="none"/>
              </w:rPr>
              <w:t>分。</w:t>
            </w:r>
            <w:r>
              <w:rPr>
                <w:bCs/>
                <w:sz w:val="20"/>
                <w:szCs w:val="20"/>
                <w:highlight w:val="none"/>
              </w:rPr>
              <w:br w:type="textWrapping"/>
            </w:r>
            <w:r>
              <w:rPr>
                <w:bCs/>
                <w:sz w:val="20"/>
                <w:szCs w:val="20"/>
                <w:highlight w:val="none"/>
              </w:rPr>
              <w:t>3</w:t>
            </w:r>
            <w:r>
              <w:rPr>
                <w:rFonts w:hint="eastAsia"/>
                <w:bCs/>
                <w:sz w:val="20"/>
                <w:szCs w:val="20"/>
                <w:highlight w:val="none"/>
              </w:rPr>
              <w:t>、施工人员使用个人防护用品不规范，每处扣</w:t>
            </w:r>
            <w:r>
              <w:rPr>
                <w:bCs/>
                <w:sz w:val="20"/>
                <w:szCs w:val="20"/>
                <w:highlight w:val="none"/>
              </w:rPr>
              <w:t>0.1</w:t>
            </w:r>
            <w:r>
              <w:rPr>
                <w:rFonts w:hint="eastAsia"/>
                <w:bCs/>
                <w:sz w:val="20"/>
                <w:szCs w:val="20"/>
                <w:highlight w:val="none"/>
              </w:rPr>
              <w:t>分。</w:t>
            </w:r>
            <w:r>
              <w:rPr>
                <w:bCs/>
                <w:sz w:val="20"/>
                <w:szCs w:val="20"/>
                <w:highlight w:val="none"/>
              </w:rPr>
              <w:t xml:space="preserve">                                                                                              </w:t>
            </w:r>
          </w:p>
        </w:tc>
      </w:tr>
      <w:tr w14:paraId="079A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E66976B">
            <w:pPr>
              <w:widowControl/>
              <w:jc w:val="center"/>
              <w:rPr>
                <w:bCs/>
                <w:sz w:val="20"/>
                <w:szCs w:val="20"/>
                <w:highlight w:val="none"/>
              </w:rPr>
            </w:pPr>
            <w:r>
              <w:rPr>
                <w:rFonts w:hint="eastAsia"/>
                <w:bCs/>
                <w:sz w:val="20"/>
                <w:szCs w:val="20"/>
                <w:highlight w:val="none"/>
              </w:rPr>
              <w:t>5</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3BE65E0">
            <w:pPr>
              <w:spacing w:line="280" w:lineRule="exact"/>
              <w:jc w:val="left"/>
              <w:rPr>
                <w:bCs/>
                <w:sz w:val="20"/>
                <w:szCs w:val="20"/>
                <w:highlight w:val="none"/>
              </w:rPr>
            </w:pPr>
            <w:r>
              <w:rPr>
                <w:rFonts w:hint="eastAsia"/>
                <w:bCs/>
                <w:sz w:val="20"/>
                <w:szCs w:val="20"/>
                <w:highlight w:val="none"/>
              </w:rPr>
              <w:t>起重吊装区域未设警戒标志、无专人指挥；吊件或起重臂下方有人通过或逗留。</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4C9CD14">
            <w:pPr>
              <w:widowControl/>
              <w:spacing w:line="280" w:lineRule="exact"/>
              <w:jc w:val="left"/>
              <w:rPr>
                <w:bCs/>
                <w:sz w:val="20"/>
                <w:szCs w:val="20"/>
                <w:highlight w:val="none"/>
              </w:rPr>
            </w:pPr>
            <w:r>
              <w:rPr>
                <w:rFonts w:hint="eastAsia"/>
                <w:bCs/>
                <w:sz w:val="20"/>
                <w:szCs w:val="20"/>
                <w:highlight w:val="none"/>
              </w:rPr>
              <w:t>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42BF53E">
            <w:pPr>
              <w:spacing w:line="280" w:lineRule="exact"/>
              <w:jc w:val="left"/>
              <w:rPr>
                <w:bCs/>
                <w:sz w:val="20"/>
                <w:szCs w:val="20"/>
                <w:highlight w:val="none"/>
              </w:rPr>
            </w:pPr>
            <w:r>
              <w:rPr>
                <w:rFonts w:hint="eastAsia"/>
                <w:bCs/>
                <w:sz w:val="20"/>
                <w:szCs w:val="20"/>
                <w:highlight w:val="none"/>
              </w:rPr>
              <w:t>0.5</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7DEBD247">
            <w:pPr>
              <w:spacing w:line="280" w:lineRule="exact"/>
              <w:jc w:val="left"/>
              <w:rPr>
                <w:bCs/>
                <w:sz w:val="20"/>
                <w:szCs w:val="20"/>
                <w:highlight w:val="none"/>
              </w:rPr>
            </w:pPr>
            <w:r>
              <w:rPr>
                <w:rFonts w:hint="eastAsia"/>
                <w:bCs/>
                <w:sz w:val="20"/>
                <w:szCs w:val="20"/>
                <w:highlight w:val="none"/>
              </w:rPr>
              <w:t>出现以下任一不良行为扣</w:t>
            </w:r>
            <w:r>
              <w:rPr>
                <w:bCs/>
                <w:sz w:val="20"/>
                <w:szCs w:val="20"/>
                <w:highlight w:val="none"/>
              </w:rPr>
              <w:t>0.5</w:t>
            </w:r>
            <w:r>
              <w:rPr>
                <w:rFonts w:hint="eastAsia"/>
                <w:bCs/>
                <w:sz w:val="20"/>
                <w:szCs w:val="20"/>
                <w:highlight w:val="none"/>
              </w:rPr>
              <w:t>分：</w:t>
            </w:r>
            <w:r>
              <w:rPr>
                <w:bCs/>
                <w:sz w:val="20"/>
                <w:szCs w:val="20"/>
                <w:highlight w:val="none"/>
              </w:rPr>
              <w:br w:type="textWrapping"/>
            </w:r>
            <w:r>
              <w:rPr>
                <w:rFonts w:hint="eastAsia"/>
                <w:bCs/>
                <w:sz w:val="20"/>
                <w:szCs w:val="20"/>
                <w:highlight w:val="none"/>
              </w:rPr>
              <w:t>①起重吊装区域未设警戒线（围栏或隔离带）和悬挂警示标志；</w:t>
            </w:r>
            <w:r>
              <w:rPr>
                <w:bCs/>
                <w:sz w:val="20"/>
                <w:szCs w:val="20"/>
                <w:highlight w:val="none"/>
              </w:rPr>
              <w:br w:type="textWrapping"/>
            </w:r>
            <w:r>
              <w:rPr>
                <w:rFonts w:hint="eastAsia"/>
                <w:bCs/>
                <w:sz w:val="20"/>
                <w:szCs w:val="20"/>
                <w:highlight w:val="none"/>
              </w:rPr>
              <w:t>②起重吊装作业相关岗位职责不清，分工不明；</w:t>
            </w:r>
            <w:r>
              <w:rPr>
                <w:bCs/>
                <w:sz w:val="20"/>
                <w:szCs w:val="20"/>
                <w:highlight w:val="none"/>
              </w:rPr>
              <w:br w:type="textWrapping"/>
            </w:r>
            <w:r>
              <w:rPr>
                <w:rFonts w:hint="eastAsia"/>
                <w:bCs/>
                <w:sz w:val="20"/>
                <w:szCs w:val="20"/>
                <w:highlight w:val="none"/>
              </w:rPr>
              <w:t>③起重吊装作业未设专人指挥；</w:t>
            </w:r>
            <w:r>
              <w:rPr>
                <w:bCs/>
                <w:sz w:val="20"/>
                <w:szCs w:val="20"/>
                <w:highlight w:val="none"/>
              </w:rPr>
              <w:br w:type="textWrapping"/>
            </w:r>
            <w:r>
              <w:rPr>
                <w:rFonts w:hint="eastAsia"/>
                <w:bCs/>
                <w:sz w:val="20"/>
                <w:szCs w:val="20"/>
                <w:highlight w:val="none"/>
              </w:rPr>
              <w:t>④吊件或起重臂下方有人逗留或通过。</w:t>
            </w:r>
          </w:p>
        </w:tc>
      </w:tr>
      <w:tr w14:paraId="5CB6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D3C9E49">
            <w:pPr>
              <w:widowControl/>
              <w:jc w:val="center"/>
              <w:rPr>
                <w:bCs/>
                <w:sz w:val="20"/>
                <w:szCs w:val="20"/>
                <w:highlight w:val="none"/>
              </w:rPr>
            </w:pPr>
            <w:r>
              <w:rPr>
                <w:rFonts w:hint="eastAsia"/>
                <w:bCs/>
                <w:sz w:val="20"/>
                <w:szCs w:val="20"/>
                <w:highlight w:val="none"/>
              </w:rPr>
              <w:t>6</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1F784DB">
            <w:pPr>
              <w:spacing w:line="280" w:lineRule="exact"/>
              <w:jc w:val="left"/>
              <w:rPr>
                <w:bCs/>
                <w:sz w:val="20"/>
                <w:szCs w:val="20"/>
                <w:highlight w:val="none"/>
              </w:rPr>
            </w:pPr>
            <w:r>
              <w:rPr>
                <w:rFonts w:hint="eastAsia"/>
                <w:bCs/>
                <w:sz w:val="20"/>
                <w:szCs w:val="20"/>
                <w:highlight w:val="none"/>
              </w:rPr>
              <w:t>脚手架搭设和拆除、使用、管理不规范。</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FC78799">
            <w:pPr>
              <w:widowControl/>
              <w:spacing w:line="280" w:lineRule="exact"/>
              <w:jc w:val="left"/>
              <w:rPr>
                <w:bCs/>
                <w:sz w:val="20"/>
                <w:szCs w:val="20"/>
                <w:highlight w:val="none"/>
              </w:rPr>
            </w:pPr>
            <w:r>
              <w:rPr>
                <w:rFonts w:hint="eastAsia"/>
                <w:bCs/>
                <w:sz w:val="20"/>
                <w:szCs w:val="20"/>
                <w:highlight w:val="none"/>
              </w:rPr>
              <w:t>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EF81CF8">
            <w:pPr>
              <w:spacing w:line="280" w:lineRule="exact"/>
              <w:jc w:val="left"/>
              <w:rPr>
                <w:bCs/>
                <w:sz w:val="20"/>
                <w:szCs w:val="20"/>
                <w:highlight w:val="none"/>
              </w:rPr>
            </w:pPr>
            <w:r>
              <w:rPr>
                <w:rFonts w:hint="eastAsia"/>
                <w:bCs/>
                <w:sz w:val="20"/>
                <w:szCs w:val="20"/>
                <w:highlight w:val="none"/>
              </w:rPr>
              <w:t>0.5</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229CE4A8">
            <w:pPr>
              <w:spacing w:line="280" w:lineRule="exact"/>
              <w:jc w:val="left"/>
              <w:rPr>
                <w:bCs/>
                <w:sz w:val="20"/>
                <w:szCs w:val="20"/>
                <w:highlight w:val="none"/>
              </w:rPr>
            </w:pPr>
            <w:r>
              <w:rPr>
                <w:rFonts w:hint="eastAsia"/>
                <w:bCs/>
                <w:sz w:val="20"/>
                <w:szCs w:val="20"/>
                <w:highlight w:val="none"/>
              </w:rPr>
              <w:t>出现以下任一不良行为扣</w:t>
            </w:r>
            <w:r>
              <w:rPr>
                <w:bCs/>
                <w:sz w:val="20"/>
                <w:szCs w:val="20"/>
                <w:highlight w:val="none"/>
              </w:rPr>
              <w:t>0.5</w:t>
            </w:r>
            <w:r>
              <w:rPr>
                <w:rFonts w:hint="eastAsia"/>
                <w:bCs/>
                <w:sz w:val="20"/>
                <w:szCs w:val="20"/>
                <w:highlight w:val="none"/>
              </w:rPr>
              <w:t>分：</w:t>
            </w:r>
            <w:r>
              <w:rPr>
                <w:bCs/>
                <w:sz w:val="20"/>
                <w:szCs w:val="20"/>
                <w:highlight w:val="none"/>
              </w:rPr>
              <w:br w:type="textWrapping"/>
            </w:r>
            <w:r>
              <w:rPr>
                <w:rFonts w:hint="eastAsia"/>
                <w:bCs/>
                <w:sz w:val="20"/>
                <w:szCs w:val="20"/>
                <w:highlight w:val="none"/>
              </w:rPr>
              <w:t>①脚手架搭设和拆除无施工方案，未按规定进行审核、审批；</w:t>
            </w:r>
            <w:r>
              <w:rPr>
                <w:bCs/>
                <w:sz w:val="20"/>
                <w:szCs w:val="20"/>
                <w:highlight w:val="none"/>
              </w:rPr>
              <w:br w:type="textWrapping"/>
            </w:r>
            <w:r>
              <w:rPr>
                <w:rFonts w:hint="eastAsia"/>
                <w:bCs/>
                <w:sz w:val="20"/>
                <w:szCs w:val="20"/>
                <w:highlight w:val="none"/>
              </w:rPr>
              <w:t>②脚手架未经监理单位、使用单位验收合格，未挂牌即投入使用；</w:t>
            </w:r>
            <w:r>
              <w:rPr>
                <w:bCs/>
                <w:sz w:val="20"/>
                <w:szCs w:val="20"/>
                <w:highlight w:val="none"/>
              </w:rPr>
              <w:t xml:space="preserve">                                               </w:t>
            </w:r>
            <w:r>
              <w:rPr>
                <w:bCs/>
                <w:sz w:val="20"/>
                <w:szCs w:val="20"/>
                <w:highlight w:val="none"/>
              </w:rPr>
              <w:br w:type="textWrapping"/>
            </w:r>
            <w:r>
              <w:rPr>
                <w:rFonts w:hint="eastAsia"/>
                <w:bCs/>
                <w:sz w:val="20"/>
                <w:szCs w:val="20"/>
                <w:highlight w:val="none"/>
              </w:rPr>
              <w:t>③脚手架长时间停止使用或在强风(</w:t>
            </w:r>
            <w:r>
              <w:rPr>
                <w:bCs/>
                <w:sz w:val="20"/>
                <w:szCs w:val="20"/>
                <w:highlight w:val="none"/>
              </w:rPr>
              <w:t>6</w:t>
            </w:r>
            <w:r>
              <w:rPr>
                <w:rFonts w:hint="eastAsia"/>
                <w:bCs/>
                <w:sz w:val="20"/>
                <w:szCs w:val="20"/>
                <w:highlight w:val="none"/>
              </w:rPr>
              <w:t>级以上)、暴雨过后，未经检查合格就投入使用；</w:t>
            </w:r>
            <w:r>
              <w:rPr>
                <w:bCs/>
                <w:sz w:val="20"/>
                <w:szCs w:val="20"/>
                <w:highlight w:val="none"/>
              </w:rPr>
              <w:br w:type="textWrapping"/>
            </w:r>
            <w:r>
              <w:rPr>
                <w:rFonts w:hint="eastAsia"/>
                <w:bCs/>
                <w:sz w:val="20"/>
                <w:szCs w:val="20"/>
                <w:highlight w:val="none"/>
              </w:rPr>
              <w:t>④脚手架未按规定搭设和拆除，未设置扫地杆、剪刀撑、抛撑、连墙件；</w:t>
            </w:r>
            <w:r>
              <w:rPr>
                <w:bCs/>
                <w:sz w:val="20"/>
                <w:szCs w:val="20"/>
                <w:highlight w:val="none"/>
              </w:rPr>
              <w:br w:type="textWrapping"/>
            </w:r>
            <w:r>
              <w:rPr>
                <w:rFonts w:hint="eastAsia"/>
                <w:bCs/>
                <w:sz w:val="20"/>
                <w:szCs w:val="20"/>
                <w:highlight w:val="none"/>
              </w:rPr>
              <w:t>⑤脚手架的脚手板材质、规格不符合规范要求，铺板不严密、牢靠；架体外侧无封闭密目式安全网，网间不严密；</w:t>
            </w:r>
            <w:r>
              <w:rPr>
                <w:bCs/>
                <w:sz w:val="20"/>
                <w:szCs w:val="20"/>
                <w:highlight w:val="none"/>
              </w:rPr>
              <w:br w:type="textWrapping"/>
            </w:r>
            <w:r>
              <w:rPr>
                <w:rFonts w:hint="eastAsia"/>
                <w:bCs/>
                <w:sz w:val="20"/>
                <w:szCs w:val="20"/>
                <w:highlight w:val="none"/>
              </w:rPr>
              <w:t>⑥靠近带电设施的脚手架未采取封闭措施。</w:t>
            </w:r>
          </w:p>
        </w:tc>
      </w:tr>
      <w:tr w14:paraId="45CE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F5D8F90">
            <w:pPr>
              <w:widowControl/>
              <w:jc w:val="center"/>
              <w:rPr>
                <w:bCs/>
                <w:sz w:val="20"/>
                <w:szCs w:val="20"/>
                <w:highlight w:val="none"/>
              </w:rPr>
            </w:pPr>
            <w:r>
              <w:rPr>
                <w:rFonts w:hint="eastAsia"/>
                <w:bCs/>
                <w:sz w:val="20"/>
                <w:szCs w:val="20"/>
                <w:highlight w:val="none"/>
              </w:rPr>
              <w:t>7</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34D6724">
            <w:pPr>
              <w:spacing w:line="280" w:lineRule="exact"/>
              <w:jc w:val="center"/>
              <w:rPr>
                <w:bCs/>
                <w:sz w:val="20"/>
                <w:szCs w:val="20"/>
                <w:highlight w:val="none"/>
              </w:rPr>
            </w:pPr>
            <w:r>
              <w:rPr>
                <w:rFonts w:hint="eastAsia"/>
                <w:bCs/>
                <w:sz w:val="20"/>
                <w:szCs w:val="20"/>
                <w:highlight w:val="none"/>
              </w:rPr>
              <w:t>爆破品安全管理要求执行不到位。</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A656B2B">
            <w:pPr>
              <w:widowControl/>
              <w:spacing w:line="280" w:lineRule="exact"/>
              <w:jc w:val="center"/>
              <w:rPr>
                <w:bCs/>
                <w:sz w:val="20"/>
                <w:szCs w:val="20"/>
                <w:highlight w:val="none"/>
              </w:rPr>
            </w:pPr>
            <w:r>
              <w:rPr>
                <w:rFonts w:hint="eastAsia"/>
                <w:bCs/>
                <w:sz w:val="20"/>
                <w:szCs w:val="20"/>
                <w:highlight w:val="none"/>
              </w:rPr>
              <w:t>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D56EC9A">
            <w:pPr>
              <w:spacing w:line="280" w:lineRule="exact"/>
              <w:jc w:val="center"/>
              <w:rPr>
                <w:bCs/>
                <w:sz w:val="20"/>
                <w:szCs w:val="20"/>
                <w:highlight w:val="none"/>
              </w:rPr>
            </w:pPr>
            <w:r>
              <w:rPr>
                <w:rFonts w:hint="eastAsia"/>
                <w:bCs/>
                <w:sz w:val="20"/>
                <w:szCs w:val="20"/>
                <w:highlight w:val="none"/>
              </w:rPr>
              <w:t>0.5</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1F8931E7">
            <w:pPr>
              <w:spacing w:line="280" w:lineRule="exact"/>
              <w:jc w:val="left"/>
              <w:rPr>
                <w:bCs/>
                <w:sz w:val="20"/>
                <w:szCs w:val="20"/>
                <w:highlight w:val="none"/>
              </w:rPr>
            </w:pPr>
            <w:r>
              <w:rPr>
                <w:rFonts w:hint="eastAsia"/>
                <w:bCs/>
                <w:sz w:val="20"/>
                <w:szCs w:val="20"/>
                <w:highlight w:val="none"/>
              </w:rPr>
              <w:t>出现以下任一不良行为扣</w:t>
            </w:r>
            <w:r>
              <w:rPr>
                <w:bCs/>
                <w:sz w:val="20"/>
                <w:szCs w:val="20"/>
                <w:highlight w:val="none"/>
              </w:rPr>
              <w:t>0.5</w:t>
            </w:r>
            <w:r>
              <w:rPr>
                <w:rFonts w:hint="eastAsia"/>
                <w:bCs/>
                <w:sz w:val="20"/>
                <w:szCs w:val="20"/>
                <w:highlight w:val="none"/>
              </w:rPr>
              <w:t>分：</w:t>
            </w:r>
            <w:r>
              <w:rPr>
                <w:bCs/>
                <w:sz w:val="20"/>
                <w:szCs w:val="20"/>
                <w:highlight w:val="none"/>
              </w:rPr>
              <w:br w:type="textWrapping"/>
            </w:r>
            <w:r>
              <w:rPr>
                <w:rFonts w:hint="eastAsia"/>
                <w:bCs/>
                <w:sz w:val="20"/>
                <w:szCs w:val="20"/>
                <w:highlight w:val="none"/>
              </w:rPr>
              <w:t>①爆炸物品安全管理人员、仓库管理人员和爆破作业人员等不具备资格；</w:t>
            </w:r>
            <w:r>
              <w:rPr>
                <w:bCs/>
                <w:sz w:val="20"/>
                <w:szCs w:val="20"/>
                <w:highlight w:val="none"/>
              </w:rPr>
              <w:br w:type="textWrapping"/>
            </w:r>
            <w:r>
              <w:rPr>
                <w:rFonts w:hint="eastAsia"/>
                <w:bCs/>
                <w:sz w:val="20"/>
                <w:szCs w:val="20"/>
                <w:highlight w:val="none"/>
              </w:rPr>
              <w:t>②将爆炸物品存放在不具备安全存放条件场所；</w:t>
            </w:r>
            <w:r>
              <w:rPr>
                <w:bCs/>
                <w:sz w:val="20"/>
                <w:szCs w:val="20"/>
                <w:highlight w:val="none"/>
              </w:rPr>
              <w:br w:type="textWrapping"/>
            </w:r>
            <w:r>
              <w:rPr>
                <w:rFonts w:hint="eastAsia"/>
                <w:bCs/>
                <w:sz w:val="20"/>
                <w:szCs w:val="20"/>
                <w:highlight w:val="none"/>
              </w:rPr>
              <w:t>③爆破作业时安全防护措施不符合规范要求。</w:t>
            </w:r>
          </w:p>
        </w:tc>
      </w:tr>
      <w:tr w14:paraId="170B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A20D391">
            <w:pPr>
              <w:widowControl/>
              <w:jc w:val="center"/>
              <w:rPr>
                <w:bCs/>
                <w:sz w:val="20"/>
                <w:szCs w:val="20"/>
                <w:highlight w:val="none"/>
              </w:rPr>
            </w:pPr>
            <w:r>
              <w:rPr>
                <w:rFonts w:hint="eastAsia"/>
                <w:bCs/>
                <w:sz w:val="20"/>
                <w:szCs w:val="20"/>
                <w:highlight w:val="none"/>
              </w:rPr>
              <w:t>8</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C290B20">
            <w:pPr>
              <w:spacing w:line="280" w:lineRule="exact"/>
              <w:jc w:val="center"/>
              <w:rPr>
                <w:bCs/>
                <w:sz w:val="20"/>
                <w:szCs w:val="20"/>
                <w:highlight w:val="none"/>
              </w:rPr>
            </w:pPr>
            <w:r>
              <w:rPr>
                <w:rFonts w:hint="eastAsia"/>
                <w:bCs/>
                <w:sz w:val="20"/>
                <w:szCs w:val="20"/>
                <w:highlight w:val="none"/>
              </w:rPr>
              <w:t>站班会安全技术交底未落实，施工方案管理不规范，危险性较大的分部分项工程安全管理不到位。</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CA196A1">
            <w:pPr>
              <w:widowControl/>
              <w:spacing w:line="280" w:lineRule="exact"/>
              <w:jc w:val="center"/>
              <w:rPr>
                <w:bCs/>
                <w:sz w:val="20"/>
                <w:szCs w:val="20"/>
                <w:highlight w:val="none"/>
              </w:rPr>
            </w:pPr>
            <w:r>
              <w:rPr>
                <w:rFonts w:hint="eastAsia"/>
                <w:bCs/>
                <w:sz w:val="20"/>
                <w:szCs w:val="20"/>
                <w:highlight w:val="none"/>
              </w:rPr>
              <w:t>设计/施工/监理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6CE425F">
            <w:pPr>
              <w:spacing w:line="280" w:lineRule="exact"/>
              <w:jc w:val="center"/>
              <w:rPr>
                <w:bCs/>
                <w:sz w:val="20"/>
                <w:szCs w:val="20"/>
                <w:highlight w:val="none"/>
              </w:rPr>
            </w:pPr>
            <w:r>
              <w:rPr>
                <w:rFonts w:hint="eastAsia"/>
                <w:bCs/>
                <w:sz w:val="20"/>
                <w:szCs w:val="20"/>
                <w:highlight w:val="none"/>
              </w:rPr>
              <w:t>1</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73D2A758">
            <w:pPr>
              <w:spacing w:line="280" w:lineRule="exact"/>
              <w:jc w:val="left"/>
              <w:rPr>
                <w:bCs/>
                <w:sz w:val="20"/>
                <w:szCs w:val="20"/>
                <w:highlight w:val="none"/>
              </w:rPr>
            </w:pPr>
            <w:r>
              <w:rPr>
                <w:bCs/>
                <w:sz w:val="20"/>
                <w:szCs w:val="20"/>
                <w:highlight w:val="none"/>
              </w:rPr>
              <w:t>1</w:t>
            </w:r>
            <w:r>
              <w:rPr>
                <w:rFonts w:hint="eastAsia"/>
                <w:bCs/>
                <w:sz w:val="20"/>
                <w:szCs w:val="20"/>
                <w:highlight w:val="none"/>
              </w:rPr>
              <w:t>、出现以下任一不良行为扣</w:t>
            </w:r>
            <w:r>
              <w:rPr>
                <w:bCs/>
                <w:sz w:val="20"/>
                <w:szCs w:val="20"/>
                <w:highlight w:val="none"/>
              </w:rPr>
              <w:t>0.2</w:t>
            </w:r>
            <w:r>
              <w:rPr>
                <w:rFonts w:hint="eastAsia"/>
                <w:bCs/>
                <w:sz w:val="20"/>
                <w:szCs w:val="20"/>
                <w:highlight w:val="none"/>
              </w:rPr>
              <w:t>分：</w:t>
            </w:r>
            <w:r>
              <w:rPr>
                <w:bCs/>
                <w:sz w:val="20"/>
                <w:szCs w:val="20"/>
                <w:highlight w:val="none"/>
              </w:rPr>
              <w:t xml:space="preserve">                      </w:t>
            </w:r>
            <w:r>
              <w:rPr>
                <w:bCs/>
                <w:sz w:val="20"/>
                <w:szCs w:val="20"/>
                <w:highlight w:val="none"/>
              </w:rPr>
              <w:br w:type="page"/>
            </w:r>
          </w:p>
          <w:p w14:paraId="5A722A0B">
            <w:pPr>
              <w:spacing w:line="280" w:lineRule="exact"/>
              <w:jc w:val="left"/>
              <w:rPr>
                <w:bCs/>
                <w:sz w:val="20"/>
                <w:szCs w:val="20"/>
                <w:highlight w:val="none"/>
              </w:rPr>
            </w:pPr>
            <w:r>
              <w:rPr>
                <w:rFonts w:hint="eastAsia"/>
                <w:bCs/>
                <w:sz w:val="20"/>
                <w:szCs w:val="20"/>
                <w:highlight w:val="none"/>
              </w:rPr>
              <w:t>①现场作业未进行安全风险分析及预控，或与实际情况不符；</w:t>
            </w:r>
            <w:r>
              <w:rPr>
                <w:bCs/>
                <w:sz w:val="20"/>
                <w:szCs w:val="20"/>
                <w:highlight w:val="none"/>
              </w:rPr>
              <w:t xml:space="preserve">                                          </w:t>
            </w:r>
            <w:r>
              <w:rPr>
                <w:bCs/>
                <w:sz w:val="20"/>
                <w:szCs w:val="20"/>
                <w:highlight w:val="none"/>
              </w:rPr>
              <w:br w:type="page"/>
            </w:r>
            <w:r>
              <w:rPr>
                <w:rFonts w:hint="eastAsia"/>
                <w:bCs/>
                <w:sz w:val="20"/>
                <w:szCs w:val="20"/>
                <w:highlight w:val="none"/>
              </w:rPr>
              <w:t>②未开站班会，或站班会安全技术交底等“三交”、“三查”工作与现场实际不符，安全控制措施未真正落实。</w:t>
            </w:r>
            <w:r>
              <w:rPr>
                <w:bCs/>
                <w:sz w:val="20"/>
                <w:szCs w:val="20"/>
                <w:highlight w:val="none"/>
              </w:rPr>
              <w:t xml:space="preserve">                                            </w:t>
            </w:r>
            <w:r>
              <w:rPr>
                <w:bCs/>
                <w:sz w:val="20"/>
                <w:szCs w:val="20"/>
                <w:highlight w:val="none"/>
              </w:rPr>
              <w:br w:type="page"/>
            </w:r>
          </w:p>
          <w:p w14:paraId="6E7F009A">
            <w:pPr>
              <w:spacing w:line="280" w:lineRule="exact"/>
              <w:jc w:val="left"/>
              <w:rPr>
                <w:bCs/>
                <w:sz w:val="20"/>
                <w:szCs w:val="20"/>
                <w:highlight w:val="none"/>
              </w:rPr>
            </w:pPr>
            <w:r>
              <w:rPr>
                <w:bCs/>
                <w:sz w:val="20"/>
                <w:szCs w:val="20"/>
                <w:highlight w:val="none"/>
              </w:rPr>
              <w:t>2</w:t>
            </w:r>
            <w:r>
              <w:rPr>
                <w:rFonts w:hint="eastAsia"/>
                <w:bCs/>
                <w:sz w:val="20"/>
                <w:szCs w:val="20"/>
                <w:highlight w:val="none"/>
              </w:rPr>
              <w:t>、未落实施工方案“四个必须”，每项扣</w:t>
            </w:r>
            <w:r>
              <w:rPr>
                <w:bCs/>
                <w:sz w:val="20"/>
                <w:szCs w:val="20"/>
                <w:highlight w:val="none"/>
              </w:rPr>
              <w:t>0.2</w:t>
            </w:r>
            <w:r>
              <w:rPr>
                <w:rFonts w:hint="eastAsia"/>
                <w:bCs/>
                <w:sz w:val="20"/>
                <w:szCs w:val="20"/>
                <w:highlight w:val="none"/>
              </w:rPr>
              <w:t>分：</w:t>
            </w:r>
            <w:r>
              <w:rPr>
                <w:bCs/>
                <w:sz w:val="20"/>
                <w:szCs w:val="20"/>
                <w:highlight w:val="none"/>
              </w:rPr>
              <w:br w:type="page"/>
            </w:r>
          </w:p>
          <w:p w14:paraId="02E85533">
            <w:pPr>
              <w:spacing w:line="280" w:lineRule="exact"/>
              <w:jc w:val="left"/>
              <w:rPr>
                <w:bCs/>
                <w:sz w:val="20"/>
                <w:szCs w:val="20"/>
                <w:highlight w:val="none"/>
              </w:rPr>
            </w:pPr>
            <w:r>
              <w:rPr>
                <w:rFonts w:hint="eastAsia"/>
                <w:bCs/>
                <w:sz w:val="20"/>
                <w:szCs w:val="20"/>
                <w:highlight w:val="none"/>
              </w:rPr>
              <w:t>①施工作业前未编制施工方案或方案未通过审批；</w:t>
            </w:r>
          </w:p>
          <w:p w14:paraId="4E87535E">
            <w:pPr>
              <w:spacing w:line="280" w:lineRule="exact"/>
              <w:jc w:val="left"/>
              <w:rPr>
                <w:bCs/>
                <w:sz w:val="20"/>
                <w:szCs w:val="20"/>
                <w:highlight w:val="none"/>
              </w:rPr>
            </w:pPr>
            <w:r>
              <w:rPr>
                <w:bCs/>
                <w:sz w:val="20"/>
                <w:szCs w:val="20"/>
                <w:highlight w:val="none"/>
              </w:rPr>
              <w:br w:type="page"/>
            </w:r>
            <w:r>
              <w:rPr>
                <w:rFonts w:hint="eastAsia"/>
                <w:bCs/>
                <w:sz w:val="20"/>
                <w:szCs w:val="20"/>
                <w:highlight w:val="none"/>
              </w:rPr>
              <w:t>②施工作业前未进行安全技术交底；</w:t>
            </w:r>
          </w:p>
          <w:p w14:paraId="04CB099F">
            <w:pPr>
              <w:spacing w:line="280" w:lineRule="exact"/>
              <w:jc w:val="left"/>
              <w:rPr>
                <w:bCs/>
                <w:sz w:val="20"/>
                <w:szCs w:val="20"/>
                <w:highlight w:val="none"/>
              </w:rPr>
            </w:pPr>
            <w:r>
              <w:rPr>
                <w:bCs/>
                <w:sz w:val="20"/>
                <w:szCs w:val="20"/>
                <w:highlight w:val="none"/>
              </w:rPr>
              <w:br w:type="page"/>
            </w:r>
            <w:r>
              <w:rPr>
                <w:rFonts w:hint="eastAsia"/>
                <w:bCs/>
                <w:sz w:val="20"/>
                <w:szCs w:val="20"/>
                <w:highlight w:val="none"/>
              </w:rPr>
              <w:t>③施工过程未按施工方案施工；</w:t>
            </w:r>
          </w:p>
          <w:p w14:paraId="35BD3042">
            <w:pPr>
              <w:spacing w:line="280" w:lineRule="exact"/>
              <w:jc w:val="left"/>
              <w:rPr>
                <w:bCs/>
                <w:sz w:val="20"/>
                <w:szCs w:val="20"/>
                <w:highlight w:val="none"/>
              </w:rPr>
            </w:pPr>
            <w:r>
              <w:rPr>
                <w:bCs/>
                <w:sz w:val="20"/>
                <w:szCs w:val="20"/>
                <w:highlight w:val="none"/>
              </w:rPr>
              <w:br w:type="page"/>
            </w:r>
            <w:r>
              <w:rPr>
                <w:rFonts w:hint="eastAsia"/>
                <w:bCs/>
                <w:sz w:val="20"/>
                <w:szCs w:val="20"/>
                <w:highlight w:val="none"/>
              </w:rPr>
              <w:t>④施工方案完成后未经验收合格即进入下道程序。</w:t>
            </w:r>
            <w:r>
              <w:rPr>
                <w:bCs/>
                <w:sz w:val="20"/>
                <w:szCs w:val="20"/>
                <w:highlight w:val="none"/>
              </w:rPr>
              <w:br w:type="page"/>
            </w:r>
          </w:p>
          <w:p w14:paraId="7FE0E8D3">
            <w:pPr>
              <w:spacing w:line="280" w:lineRule="exact"/>
              <w:jc w:val="left"/>
              <w:rPr>
                <w:bCs/>
                <w:sz w:val="20"/>
                <w:szCs w:val="20"/>
                <w:highlight w:val="none"/>
              </w:rPr>
            </w:pPr>
            <w:r>
              <w:rPr>
                <w:bCs/>
                <w:sz w:val="20"/>
                <w:szCs w:val="20"/>
                <w:highlight w:val="none"/>
              </w:rPr>
              <w:t>3</w:t>
            </w:r>
            <w:r>
              <w:rPr>
                <w:rFonts w:hint="eastAsia"/>
                <w:bCs/>
                <w:sz w:val="20"/>
                <w:szCs w:val="20"/>
                <w:highlight w:val="none"/>
              </w:rPr>
              <w:t>、危险性较大的分部分项工程未编制安全专项方案，安全专项方案未经技术负责人审批，超过一定规模的危险性较大的分部分项工程未召开专家论证会，每项扣</w:t>
            </w:r>
            <w:r>
              <w:rPr>
                <w:bCs/>
                <w:sz w:val="20"/>
                <w:szCs w:val="20"/>
                <w:highlight w:val="none"/>
              </w:rPr>
              <w:t>0.2</w:t>
            </w:r>
            <w:r>
              <w:rPr>
                <w:rFonts w:hint="eastAsia"/>
                <w:bCs/>
                <w:sz w:val="20"/>
                <w:szCs w:val="20"/>
                <w:highlight w:val="none"/>
              </w:rPr>
              <w:t>分。</w:t>
            </w:r>
          </w:p>
          <w:p w14:paraId="64165324">
            <w:pPr>
              <w:spacing w:line="280" w:lineRule="exact"/>
              <w:jc w:val="left"/>
              <w:rPr>
                <w:bCs/>
                <w:sz w:val="20"/>
                <w:szCs w:val="20"/>
                <w:highlight w:val="none"/>
              </w:rPr>
            </w:pPr>
            <w:r>
              <w:rPr>
                <w:bCs/>
                <w:sz w:val="20"/>
                <w:szCs w:val="20"/>
                <w:highlight w:val="none"/>
              </w:rPr>
              <w:t>4</w:t>
            </w:r>
            <w:r>
              <w:rPr>
                <w:rFonts w:hint="eastAsia"/>
                <w:bCs/>
                <w:sz w:val="20"/>
                <w:szCs w:val="20"/>
                <w:highlight w:val="none"/>
              </w:rPr>
              <w:t>、危险性较大的分部分项工程施工过程中，监理无人员旁站监督，发现问题未制止或责令整改，每次扣</w:t>
            </w:r>
            <w:r>
              <w:rPr>
                <w:bCs/>
                <w:sz w:val="20"/>
                <w:szCs w:val="20"/>
                <w:highlight w:val="none"/>
              </w:rPr>
              <w:t>0.2</w:t>
            </w:r>
            <w:r>
              <w:rPr>
                <w:rFonts w:hint="eastAsia"/>
                <w:bCs/>
                <w:sz w:val="20"/>
                <w:szCs w:val="20"/>
                <w:highlight w:val="none"/>
              </w:rPr>
              <w:t>分。</w:t>
            </w:r>
          </w:p>
        </w:tc>
      </w:tr>
      <w:tr w14:paraId="1208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33EF2A1">
            <w:pPr>
              <w:widowControl/>
              <w:jc w:val="center"/>
              <w:rPr>
                <w:bCs/>
                <w:sz w:val="20"/>
                <w:szCs w:val="20"/>
                <w:highlight w:val="none"/>
              </w:rPr>
            </w:pPr>
            <w:r>
              <w:rPr>
                <w:rFonts w:hint="eastAsia"/>
                <w:bCs/>
                <w:sz w:val="20"/>
                <w:szCs w:val="20"/>
                <w:highlight w:val="none"/>
              </w:rPr>
              <w:t>9</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27D7FB8">
            <w:pPr>
              <w:spacing w:line="280" w:lineRule="exact"/>
              <w:jc w:val="center"/>
              <w:rPr>
                <w:bCs/>
                <w:sz w:val="20"/>
                <w:szCs w:val="20"/>
                <w:highlight w:val="none"/>
              </w:rPr>
            </w:pPr>
            <w:r>
              <w:rPr>
                <w:rFonts w:hint="eastAsia"/>
                <w:bCs/>
                <w:sz w:val="20"/>
                <w:szCs w:val="20"/>
                <w:highlight w:val="none"/>
              </w:rPr>
              <w:t>施工临时用电不规范。</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9C32CCE">
            <w:pPr>
              <w:widowControl/>
              <w:spacing w:line="280" w:lineRule="exact"/>
              <w:jc w:val="center"/>
              <w:rPr>
                <w:bCs/>
                <w:sz w:val="20"/>
                <w:szCs w:val="20"/>
                <w:highlight w:val="none"/>
              </w:rPr>
            </w:pPr>
            <w:r>
              <w:rPr>
                <w:rFonts w:hint="eastAsia"/>
                <w:bCs/>
                <w:sz w:val="20"/>
                <w:szCs w:val="20"/>
                <w:highlight w:val="none"/>
              </w:rPr>
              <w:t>施工</w:t>
            </w:r>
            <w:r>
              <w:rPr>
                <w:bCs/>
                <w:sz w:val="20"/>
                <w:szCs w:val="20"/>
                <w:highlight w:val="none"/>
              </w:rPr>
              <w:t>/</w:t>
            </w:r>
            <w:r>
              <w:rPr>
                <w:rFonts w:hint="eastAsia"/>
                <w:bCs/>
                <w:sz w:val="20"/>
                <w:szCs w:val="20"/>
                <w:highlight w:val="none"/>
              </w:rPr>
              <w:t>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B0974A0">
            <w:pPr>
              <w:spacing w:line="280" w:lineRule="exact"/>
              <w:jc w:val="center"/>
              <w:rPr>
                <w:bCs/>
                <w:sz w:val="20"/>
                <w:szCs w:val="20"/>
                <w:highlight w:val="none"/>
              </w:rPr>
            </w:pPr>
            <w:r>
              <w:rPr>
                <w:bCs/>
                <w:sz w:val="20"/>
                <w:szCs w:val="20"/>
                <w:highlight w:val="none"/>
              </w:rPr>
              <w:t>0.5</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5AE4C184">
            <w:pPr>
              <w:spacing w:line="280" w:lineRule="exact"/>
              <w:jc w:val="left"/>
              <w:rPr>
                <w:bCs/>
                <w:sz w:val="20"/>
                <w:szCs w:val="20"/>
                <w:highlight w:val="none"/>
              </w:rPr>
            </w:pPr>
            <w:r>
              <w:rPr>
                <w:rFonts w:hint="eastAsia"/>
                <w:bCs/>
                <w:sz w:val="20"/>
                <w:szCs w:val="20"/>
                <w:highlight w:val="none"/>
              </w:rPr>
              <w:t>出现以下任一不良行为扣</w:t>
            </w:r>
            <w:r>
              <w:rPr>
                <w:bCs/>
                <w:sz w:val="20"/>
                <w:szCs w:val="20"/>
                <w:highlight w:val="none"/>
              </w:rPr>
              <w:t>0.2</w:t>
            </w:r>
            <w:r>
              <w:rPr>
                <w:rFonts w:hint="eastAsia"/>
                <w:bCs/>
                <w:sz w:val="20"/>
                <w:szCs w:val="20"/>
                <w:highlight w:val="none"/>
              </w:rPr>
              <w:t>分，累计扣至</w:t>
            </w:r>
            <w:r>
              <w:rPr>
                <w:bCs/>
                <w:sz w:val="20"/>
                <w:szCs w:val="20"/>
                <w:highlight w:val="none"/>
              </w:rPr>
              <w:t>0.5</w:t>
            </w:r>
            <w:r>
              <w:rPr>
                <w:rFonts w:hint="eastAsia"/>
                <w:bCs/>
                <w:sz w:val="20"/>
                <w:szCs w:val="20"/>
                <w:highlight w:val="none"/>
              </w:rPr>
              <w:t>分为止：</w:t>
            </w:r>
            <w:r>
              <w:rPr>
                <w:bCs/>
                <w:sz w:val="20"/>
                <w:szCs w:val="20"/>
                <w:highlight w:val="none"/>
              </w:rPr>
              <w:br w:type="textWrapping"/>
            </w:r>
            <w:r>
              <w:rPr>
                <w:rFonts w:hint="eastAsia"/>
                <w:bCs/>
                <w:sz w:val="20"/>
                <w:szCs w:val="20"/>
                <w:highlight w:val="none"/>
              </w:rPr>
              <w:t>①施工现场专用的电源中性点直接接地的低压配电系统未采用</w:t>
            </w:r>
            <w:r>
              <w:rPr>
                <w:bCs/>
                <w:sz w:val="20"/>
                <w:szCs w:val="20"/>
                <w:highlight w:val="none"/>
              </w:rPr>
              <w:t>TN-S</w:t>
            </w:r>
            <w:r>
              <w:rPr>
                <w:rFonts w:hint="eastAsia"/>
                <w:bCs/>
                <w:sz w:val="20"/>
                <w:szCs w:val="20"/>
                <w:highlight w:val="none"/>
              </w:rPr>
              <w:t>接零保护系统；</w:t>
            </w:r>
            <w:r>
              <w:rPr>
                <w:bCs/>
                <w:sz w:val="20"/>
                <w:szCs w:val="20"/>
                <w:highlight w:val="none"/>
              </w:rPr>
              <w:br w:type="textWrapping"/>
            </w:r>
            <w:r>
              <w:rPr>
                <w:rFonts w:hint="eastAsia"/>
                <w:bCs/>
                <w:sz w:val="20"/>
                <w:szCs w:val="20"/>
                <w:highlight w:val="none"/>
              </w:rPr>
              <w:t>②电源箱设置不符合“一机、一闸、一保护”要求；</w:t>
            </w:r>
            <w:r>
              <w:rPr>
                <w:bCs/>
                <w:sz w:val="20"/>
                <w:szCs w:val="20"/>
                <w:highlight w:val="none"/>
              </w:rPr>
              <w:br w:type="textWrapping"/>
            </w:r>
            <w:r>
              <w:rPr>
                <w:rFonts w:hint="eastAsia"/>
                <w:bCs/>
                <w:sz w:val="20"/>
                <w:szCs w:val="20"/>
                <w:highlight w:val="none"/>
              </w:rPr>
              <w:t>③漏电保护器的选用与供电方式、作业环境不一致、不匹配；</w:t>
            </w:r>
            <w:r>
              <w:rPr>
                <w:bCs/>
                <w:sz w:val="20"/>
                <w:szCs w:val="20"/>
                <w:highlight w:val="none"/>
              </w:rPr>
              <w:t xml:space="preserve"> </w:t>
            </w:r>
            <w:r>
              <w:rPr>
                <w:bCs/>
                <w:sz w:val="20"/>
                <w:szCs w:val="20"/>
                <w:highlight w:val="none"/>
              </w:rPr>
              <w:br w:type="textWrapping"/>
            </w:r>
            <w:r>
              <w:rPr>
                <w:rFonts w:hint="eastAsia"/>
                <w:bCs/>
                <w:sz w:val="20"/>
                <w:szCs w:val="20"/>
                <w:highlight w:val="none"/>
              </w:rPr>
              <w:t>④未使用插头而直接用导线插入插座，或挂在刀闸上供电；</w:t>
            </w:r>
            <w:r>
              <w:rPr>
                <w:bCs/>
                <w:sz w:val="20"/>
                <w:szCs w:val="20"/>
                <w:highlight w:val="none"/>
              </w:rPr>
              <w:br w:type="textWrapping"/>
            </w:r>
            <w:r>
              <w:rPr>
                <w:rFonts w:hint="eastAsia"/>
                <w:bCs/>
                <w:sz w:val="20"/>
                <w:szCs w:val="20"/>
                <w:highlight w:val="none"/>
              </w:rPr>
              <w:t>⑤电源箱和用电机具未接地或接地不规范；</w:t>
            </w:r>
            <w:r>
              <w:rPr>
                <w:bCs/>
                <w:sz w:val="20"/>
                <w:szCs w:val="20"/>
                <w:highlight w:val="none"/>
              </w:rPr>
              <w:br w:type="textWrapping"/>
            </w:r>
            <w:r>
              <w:rPr>
                <w:rFonts w:hint="eastAsia"/>
                <w:bCs/>
                <w:sz w:val="20"/>
                <w:szCs w:val="20"/>
                <w:highlight w:val="none"/>
              </w:rPr>
              <w:t>⑥电源线的截面、绝缘、架设（敷设）、接线、刀闸安装等不满足规范要求。</w:t>
            </w:r>
          </w:p>
        </w:tc>
      </w:tr>
      <w:tr w14:paraId="1AFC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FC944E5">
            <w:pPr>
              <w:widowControl/>
              <w:jc w:val="center"/>
              <w:rPr>
                <w:bCs/>
                <w:sz w:val="20"/>
                <w:szCs w:val="20"/>
                <w:highlight w:val="none"/>
              </w:rPr>
            </w:pPr>
            <w:r>
              <w:rPr>
                <w:rFonts w:hint="eastAsia"/>
                <w:bCs/>
                <w:sz w:val="20"/>
                <w:szCs w:val="20"/>
                <w:highlight w:val="none"/>
              </w:rPr>
              <w:t>10</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2727FA0">
            <w:pPr>
              <w:spacing w:line="280" w:lineRule="exact"/>
              <w:jc w:val="center"/>
              <w:rPr>
                <w:bCs/>
                <w:sz w:val="20"/>
                <w:szCs w:val="20"/>
                <w:highlight w:val="none"/>
              </w:rPr>
            </w:pPr>
            <w:r>
              <w:rPr>
                <w:rFonts w:hint="eastAsia"/>
                <w:bCs/>
                <w:sz w:val="20"/>
                <w:szCs w:val="20"/>
                <w:highlight w:val="none"/>
              </w:rPr>
              <w:t>动火作业不规范。</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AC8D412">
            <w:pPr>
              <w:widowControl/>
              <w:spacing w:line="280" w:lineRule="exact"/>
              <w:jc w:val="center"/>
              <w:rPr>
                <w:bCs/>
                <w:sz w:val="20"/>
                <w:szCs w:val="20"/>
                <w:highlight w:val="none"/>
              </w:rPr>
            </w:pPr>
            <w:r>
              <w:rPr>
                <w:rFonts w:hint="eastAsia"/>
                <w:bCs/>
                <w:sz w:val="20"/>
                <w:szCs w:val="20"/>
                <w:highlight w:val="none"/>
              </w:rPr>
              <w:t>施工</w:t>
            </w:r>
            <w:r>
              <w:rPr>
                <w:bCs/>
                <w:sz w:val="20"/>
                <w:szCs w:val="20"/>
                <w:highlight w:val="none"/>
              </w:rPr>
              <w:t>/</w:t>
            </w:r>
            <w:r>
              <w:rPr>
                <w:rFonts w:hint="eastAsia"/>
                <w:bCs/>
                <w:sz w:val="20"/>
                <w:szCs w:val="20"/>
                <w:highlight w:val="none"/>
              </w:rPr>
              <w:t>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DA9FB36">
            <w:pPr>
              <w:spacing w:line="280" w:lineRule="exact"/>
              <w:jc w:val="center"/>
              <w:rPr>
                <w:bCs/>
                <w:sz w:val="20"/>
                <w:szCs w:val="20"/>
                <w:highlight w:val="none"/>
              </w:rPr>
            </w:pPr>
            <w:r>
              <w:rPr>
                <w:bCs/>
                <w:sz w:val="20"/>
                <w:szCs w:val="20"/>
                <w:highlight w:val="none"/>
              </w:rPr>
              <w:t>0.5</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10FCC589">
            <w:pPr>
              <w:spacing w:line="280" w:lineRule="exact"/>
              <w:jc w:val="left"/>
              <w:rPr>
                <w:bCs/>
                <w:sz w:val="20"/>
                <w:szCs w:val="20"/>
                <w:highlight w:val="none"/>
              </w:rPr>
            </w:pPr>
            <w:r>
              <w:rPr>
                <w:rFonts w:hint="eastAsia"/>
                <w:bCs/>
                <w:sz w:val="20"/>
                <w:szCs w:val="20"/>
                <w:highlight w:val="none"/>
              </w:rPr>
              <w:t>出现以下任一不良行为扣</w:t>
            </w:r>
            <w:r>
              <w:rPr>
                <w:bCs/>
                <w:sz w:val="20"/>
                <w:szCs w:val="20"/>
                <w:highlight w:val="none"/>
              </w:rPr>
              <w:t>0.2</w:t>
            </w:r>
            <w:r>
              <w:rPr>
                <w:rFonts w:hint="eastAsia"/>
                <w:bCs/>
                <w:sz w:val="20"/>
                <w:szCs w:val="20"/>
                <w:highlight w:val="none"/>
              </w:rPr>
              <w:t>分，累计扣至</w:t>
            </w:r>
            <w:r>
              <w:rPr>
                <w:bCs/>
                <w:sz w:val="20"/>
                <w:szCs w:val="20"/>
                <w:highlight w:val="none"/>
              </w:rPr>
              <w:t>0.5</w:t>
            </w:r>
            <w:r>
              <w:rPr>
                <w:rFonts w:hint="eastAsia"/>
                <w:bCs/>
                <w:sz w:val="20"/>
                <w:szCs w:val="20"/>
                <w:highlight w:val="none"/>
              </w:rPr>
              <w:t>分为止：</w:t>
            </w:r>
            <w:r>
              <w:rPr>
                <w:bCs/>
                <w:sz w:val="20"/>
                <w:szCs w:val="20"/>
                <w:highlight w:val="none"/>
              </w:rPr>
              <w:br w:type="textWrapping"/>
            </w:r>
            <w:r>
              <w:rPr>
                <w:rFonts w:hint="eastAsia"/>
                <w:bCs/>
                <w:sz w:val="20"/>
                <w:szCs w:val="20"/>
                <w:highlight w:val="none"/>
              </w:rPr>
              <w:t>①动火作业人员未持证上岗，未经培训；</w:t>
            </w:r>
          </w:p>
          <w:p w14:paraId="483236D5">
            <w:pPr>
              <w:spacing w:line="280" w:lineRule="exact"/>
              <w:jc w:val="left"/>
              <w:rPr>
                <w:bCs/>
                <w:sz w:val="20"/>
                <w:szCs w:val="20"/>
                <w:highlight w:val="none"/>
              </w:rPr>
            </w:pPr>
            <w:r>
              <w:rPr>
                <w:rFonts w:hint="eastAsia"/>
                <w:bCs/>
                <w:sz w:val="20"/>
                <w:szCs w:val="20"/>
                <w:highlight w:val="none"/>
              </w:rPr>
              <w:t>②未按规定办理动火审批手续，重大活动期间未执行动火作业审批上提一级管理；</w:t>
            </w:r>
          </w:p>
          <w:p w14:paraId="28A4DB68">
            <w:pPr>
              <w:spacing w:line="280" w:lineRule="exact"/>
              <w:jc w:val="left"/>
              <w:rPr>
                <w:bCs/>
                <w:sz w:val="20"/>
                <w:szCs w:val="20"/>
                <w:highlight w:val="none"/>
              </w:rPr>
            </w:pPr>
            <w:r>
              <w:rPr>
                <w:rFonts w:hint="eastAsia"/>
                <w:bCs/>
                <w:sz w:val="20"/>
                <w:szCs w:val="20"/>
                <w:highlight w:val="none"/>
              </w:rPr>
              <w:t>③未严格落实动火作业“三个一律”，动火前未清理可燃物、未按规定进行可燃气体检测，现场存在交叉作业；</w:t>
            </w:r>
          </w:p>
          <w:p w14:paraId="76A5B568">
            <w:pPr>
              <w:spacing w:line="280" w:lineRule="exact"/>
              <w:jc w:val="left"/>
              <w:rPr>
                <w:bCs/>
                <w:sz w:val="20"/>
                <w:szCs w:val="20"/>
                <w:highlight w:val="none"/>
              </w:rPr>
            </w:pPr>
            <w:r>
              <w:rPr>
                <w:rFonts w:hint="eastAsia"/>
                <w:bCs/>
                <w:sz w:val="20"/>
                <w:szCs w:val="20"/>
                <w:highlight w:val="none"/>
              </w:rPr>
              <w:t>④动火作业时监护人未在现场监督；</w:t>
            </w:r>
          </w:p>
          <w:p w14:paraId="465596A1">
            <w:pPr>
              <w:spacing w:line="280" w:lineRule="exact"/>
              <w:jc w:val="left"/>
              <w:rPr>
                <w:bCs/>
                <w:sz w:val="20"/>
                <w:szCs w:val="20"/>
                <w:highlight w:val="none"/>
              </w:rPr>
            </w:pPr>
            <w:r>
              <w:rPr>
                <w:rFonts w:hint="eastAsia"/>
                <w:bCs/>
                <w:sz w:val="20"/>
                <w:szCs w:val="20"/>
                <w:highlight w:val="none"/>
              </w:rPr>
              <w:t>⑤动火作业现场防火措施不到位，未有效设置灭火器、接火斗、阻燃挡板等；</w:t>
            </w:r>
          </w:p>
          <w:p w14:paraId="527EC398">
            <w:pPr>
              <w:spacing w:line="280" w:lineRule="exact"/>
              <w:jc w:val="left"/>
              <w:rPr>
                <w:bCs/>
                <w:sz w:val="20"/>
                <w:szCs w:val="20"/>
                <w:highlight w:val="none"/>
              </w:rPr>
            </w:pPr>
            <w:r>
              <w:rPr>
                <w:rFonts w:hint="eastAsia"/>
                <w:bCs/>
                <w:sz w:val="20"/>
                <w:szCs w:val="20"/>
                <w:highlight w:val="none"/>
              </w:rPr>
              <w:t>⑥氧气、乙炔瓶间距不足</w:t>
            </w:r>
            <w:r>
              <w:rPr>
                <w:bCs/>
                <w:sz w:val="20"/>
                <w:szCs w:val="20"/>
                <w:highlight w:val="none"/>
              </w:rPr>
              <w:t>5</w:t>
            </w:r>
            <w:r>
              <w:rPr>
                <w:rFonts w:hint="eastAsia"/>
                <w:bCs/>
                <w:sz w:val="20"/>
                <w:szCs w:val="20"/>
                <w:highlight w:val="none"/>
              </w:rPr>
              <w:t>米，距离动火作业点不足</w:t>
            </w:r>
            <w:r>
              <w:rPr>
                <w:bCs/>
                <w:sz w:val="20"/>
                <w:szCs w:val="20"/>
                <w:highlight w:val="none"/>
              </w:rPr>
              <w:t>10</w:t>
            </w:r>
            <w:r>
              <w:rPr>
                <w:rFonts w:hint="eastAsia"/>
                <w:bCs/>
                <w:sz w:val="20"/>
                <w:szCs w:val="20"/>
                <w:highlight w:val="none"/>
              </w:rPr>
              <w:t>米。</w:t>
            </w:r>
          </w:p>
        </w:tc>
      </w:tr>
      <w:tr w14:paraId="4BB9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F32DDCE">
            <w:pPr>
              <w:widowControl/>
              <w:jc w:val="center"/>
              <w:rPr>
                <w:bCs/>
                <w:sz w:val="20"/>
                <w:szCs w:val="20"/>
                <w:highlight w:val="none"/>
              </w:rPr>
            </w:pPr>
            <w:r>
              <w:rPr>
                <w:rFonts w:hint="eastAsia"/>
                <w:bCs/>
                <w:sz w:val="20"/>
                <w:szCs w:val="20"/>
                <w:highlight w:val="none"/>
              </w:rPr>
              <w:t>11</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7BE8EA2">
            <w:pPr>
              <w:spacing w:line="280" w:lineRule="exact"/>
              <w:jc w:val="center"/>
              <w:rPr>
                <w:bCs/>
                <w:sz w:val="20"/>
                <w:szCs w:val="20"/>
                <w:highlight w:val="none"/>
              </w:rPr>
            </w:pPr>
            <w:r>
              <w:rPr>
                <w:rFonts w:hint="eastAsia"/>
                <w:bCs/>
                <w:sz w:val="20"/>
                <w:szCs w:val="20"/>
                <w:highlight w:val="none"/>
              </w:rPr>
              <w:t>有限空间作业不规范。</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6D9C087">
            <w:pPr>
              <w:widowControl/>
              <w:spacing w:line="280" w:lineRule="exact"/>
              <w:jc w:val="center"/>
              <w:rPr>
                <w:bCs/>
                <w:sz w:val="20"/>
                <w:szCs w:val="20"/>
                <w:highlight w:val="none"/>
              </w:rPr>
            </w:pPr>
            <w:r>
              <w:rPr>
                <w:rFonts w:hint="eastAsia"/>
                <w:bCs/>
                <w:sz w:val="20"/>
                <w:szCs w:val="20"/>
                <w:highlight w:val="none"/>
              </w:rPr>
              <w:t>施工</w:t>
            </w:r>
            <w:r>
              <w:rPr>
                <w:bCs/>
                <w:sz w:val="20"/>
                <w:szCs w:val="20"/>
                <w:highlight w:val="none"/>
              </w:rPr>
              <w:t>/</w:t>
            </w:r>
            <w:r>
              <w:rPr>
                <w:rFonts w:hint="eastAsia"/>
                <w:bCs/>
                <w:sz w:val="20"/>
                <w:szCs w:val="20"/>
                <w:highlight w:val="none"/>
              </w:rPr>
              <w:t>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5FF9C0C">
            <w:pPr>
              <w:spacing w:line="280" w:lineRule="exact"/>
              <w:jc w:val="center"/>
              <w:rPr>
                <w:bCs/>
                <w:sz w:val="20"/>
                <w:szCs w:val="20"/>
                <w:highlight w:val="none"/>
              </w:rPr>
            </w:pPr>
            <w:r>
              <w:rPr>
                <w:bCs/>
                <w:sz w:val="20"/>
                <w:szCs w:val="20"/>
                <w:highlight w:val="none"/>
              </w:rPr>
              <w:t>0.5</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25F3744F">
            <w:pPr>
              <w:spacing w:line="280" w:lineRule="exact"/>
              <w:jc w:val="left"/>
              <w:rPr>
                <w:bCs/>
                <w:sz w:val="20"/>
                <w:szCs w:val="20"/>
                <w:highlight w:val="none"/>
              </w:rPr>
            </w:pPr>
            <w:r>
              <w:rPr>
                <w:rFonts w:hint="eastAsia"/>
                <w:bCs/>
                <w:sz w:val="20"/>
                <w:szCs w:val="20"/>
                <w:highlight w:val="none"/>
              </w:rPr>
              <w:t>出现以下任一不良行为扣</w:t>
            </w:r>
            <w:r>
              <w:rPr>
                <w:bCs/>
                <w:sz w:val="20"/>
                <w:szCs w:val="20"/>
                <w:highlight w:val="none"/>
              </w:rPr>
              <w:t>0.2</w:t>
            </w:r>
            <w:r>
              <w:rPr>
                <w:rFonts w:hint="eastAsia"/>
                <w:bCs/>
                <w:sz w:val="20"/>
                <w:szCs w:val="20"/>
                <w:highlight w:val="none"/>
              </w:rPr>
              <w:t>分，累计扣至</w:t>
            </w:r>
            <w:r>
              <w:rPr>
                <w:bCs/>
                <w:sz w:val="20"/>
                <w:szCs w:val="20"/>
                <w:highlight w:val="none"/>
              </w:rPr>
              <w:t>0.5</w:t>
            </w:r>
            <w:r>
              <w:rPr>
                <w:rFonts w:hint="eastAsia"/>
                <w:bCs/>
                <w:sz w:val="20"/>
                <w:szCs w:val="20"/>
                <w:highlight w:val="none"/>
              </w:rPr>
              <w:t>分为止：</w:t>
            </w:r>
            <w:r>
              <w:rPr>
                <w:bCs/>
                <w:sz w:val="20"/>
                <w:szCs w:val="20"/>
                <w:highlight w:val="none"/>
              </w:rPr>
              <w:br w:type="textWrapping"/>
            </w:r>
            <w:r>
              <w:rPr>
                <w:rFonts w:hint="eastAsia"/>
                <w:bCs/>
                <w:sz w:val="20"/>
                <w:szCs w:val="20"/>
                <w:highlight w:val="none"/>
              </w:rPr>
              <w:t>①未经风险辨识；</w:t>
            </w:r>
          </w:p>
          <w:p w14:paraId="77356431">
            <w:pPr>
              <w:spacing w:line="280" w:lineRule="exact"/>
              <w:jc w:val="left"/>
              <w:rPr>
                <w:bCs/>
                <w:sz w:val="20"/>
                <w:szCs w:val="20"/>
                <w:highlight w:val="none"/>
              </w:rPr>
            </w:pPr>
            <w:r>
              <w:rPr>
                <w:rFonts w:hint="eastAsia"/>
                <w:bCs/>
                <w:sz w:val="20"/>
                <w:szCs w:val="20"/>
                <w:highlight w:val="none"/>
              </w:rPr>
              <w:t>②未进行通风和气体检测；</w:t>
            </w:r>
          </w:p>
          <w:p w14:paraId="209DD845">
            <w:pPr>
              <w:spacing w:line="280" w:lineRule="exact"/>
              <w:jc w:val="left"/>
              <w:rPr>
                <w:bCs/>
                <w:sz w:val="20"/>
                <w:szCs w:val="20"/>
                <w:highlight w:val="none"/>
              </w:rPr>
            </w:pPr>
            <w:r>
              <w:rPr>
                <w:rFonts w:hint="eastAsia"/>
                <w:bCs/>
                <w:sz w:val="20"/>
                <w:szCs w:val="20"/>
                <w:highlight w:val="none"/>
              </w:rPr>
              <w:t>③不佩戴劳动防护用品；</w:t>
            </w:r>
          </w:p>
          <w:p w14:paraId="0406CD61">
            <w:pPr>
              <w:spacing w:line="280" w:lineRule="exact"/>
              <w:jc w:val="left"/>
              <w:rPr>
                <w:bCs/>
                <w:sz w:val="20"/>
                <w:szCs w:val="20"/>
                <w:highlight w:val="none"/>
              </w:rPr>
            </w:pPr>
            <w:r>
              <w:rPr>
                <w:rFonts w:hint="eastAsia"/>
                <w:bCs/>
                <w:sz w:val="20"/>
                <w:szCs w:val="20"/>
                <w:highlight w:val="none"/>
              </w:rPr>
              <w:t>④作业现场无人监护；</w:t>
            </w:r>
          </w:p>
          <w:p w14:paraId="3C221CBA">
            <w:pPr>
              <w:spacing w:line="280" w:lineRule="exact"/>
              <w:jc w:val="left"/>
              <w:rPr>
                <w:bCs/>
                <w:sz w:val="20"/>
                <w:szCs w:val="20"/>
                <w:highlight w:val="none"/>
              </w:rPr>
            </w:pPr>
            <w:r>
              <w:rPr>
                <w:rFonts w:hint="eastAsia"/>
                <w:bCs/>
                <w:sz w:val="20"/>
                <w:szCs w:val="20"/>
                <w:highlight w:val="none"/>
              </w:rPr>
              <w:t>⑤电气设备不符合规定；</w:t>
            </w:r>
          </w:p>
          <w:p w14:paraId="4E4B933A">
            <w:pPr>
              <w:spacing w:line="280" w:lineRule="exact"/>
              <w:jc w:val="left"/>
              <w:rPr>
                <w:bCs/>
                <w:sz w:val="20"/>
                <w:szCs w:val="20"/>
                <w:highlight w:val="none"/>
              </w:rPr>
            </w:pPr>
            <w:r>
              <w:rPr>
                <w:rFonts w:hint="eastAsia"/>
                <w:bCs/>
                <w:sz w:val="20"/>
                <w:szCs w:val="20"/>
                <w:highlight w:val="none"/>
              </w:rPr>
              <w:t>⑥未按规定办理有限空间作业手续；</w:t>
            </w:r>
          </w:p>
          <w:p w14:paraId="76200A07">
            <w:pPr>
              <w:spacing w:line="280" w:lineRule="exact"/>
              <w:jc w:val="left"/>
              <w:rPr>
                <w:bCs/>
                <w:sz w:val="20"/>
                <w:szCs w:val="20"/>
                <w:highlight w:val="none"/>
              </w:rPr>
            </w:pPr>
            <w:r>
              <w:rPr>
                <w:rFonts w:hint="eastAsia"/>
                <w:bCs/>
                <w:sz w:val="20"/>
                <w:szCs w:val="20"/>
                <w:highlight w:val="none"/>
              </w:rPr>
              <w:t>⑦未经培训演练。</w:t>
            </w:r>
          </w:p>
        </w:tc>
      </w:tr>
      <w:tr w14:paraId="08B2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9B43855">
            <w:pPr>
              <w:widowControl/>
              <w:jc w:val="center"/>
              <w:rPr>
                <w:bCs/>
                <w:sz w:val="20"/>
                <w:szCs w:val="20"/>
                <w:highlight w:val="none"/>
              </w:rPr>
            </w:pPr>
            <w:r>
              <w:rPr>
                <w:rFonts w:hint="eastAsia"/>
                <w:bCs/>
                <w:sz w:val="20"/>
                <w:szCs w:val="20"/>
                <w:highlight w:val="none"/>
              </w:rPr>
              <w:t>12</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33E42A7">
            <w:pPr>
              <w:spacing w:line="280" w:lineRule="exact"/>
              <w:jc w:val="center"/>
              <w:rPr>
                <w:bCs/>
                <w:sz w:val="20"/>
                <w:szCs w:val="20"/>
                <w:highlight w:val="none"/>
              </w:rPr>
            </w:pPr>
            <w:r>
              <w:rPr>
                <w:rFonts w:hint="eastAsia"/>
                <w:bCs/>
                <w:sz w:val="20"/>
                <w:szCs w:val="20"/>
                <w:highlight w:val="none"/>
              </w:rPr>
              <w:t>“四口”、“五临边”未设置明显标识及防护措施；在车行道、人行道上施工，未根据属地区域规定选用围蔽装置，或未在来车方向设置警示牌；施工作业人员在夜间或道路、地下洞室作业时未穿着符合规范的反光衣；施工区域未按规定设置夜间警示装置。</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329DCC6">
            <w:pPr>
              <w:widowControl/>
              <w:spacing w:line="280" w:lineRule="exact"/>
              <w:jc w:val="center"/>
              <w:rPr>
                <w:bCs/>
                <w:sz w:val="20"/>
                <w:szCs w:val="20"/>
                <w:highlight w:val="none"/>
              </w:rPr>
            </w:pPr>
            <w:r>
              <w:rPr>
                <w:rFonts w:hint="eastAsia"/>
                <w:bCs/>
                <w:sz w:val="20"/>
                <w:szCs w:val="20"/>
                <w:highlight w:val="none"/>
              </w:rPr>
              <w:t>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E8AD5D4">
            <w:pPr>
              <w:spacing w:line="280" w:lineRule="exact"/>
              <w:jc w:val="center"/>
              <w:rPr>
                <w:bCs/>
                <w:sz w:val="20"/>
                <w:szCs w:val="20"/>
                <w:highlight w:val="none"/>
              </w:rPr>
            </w:pPr>
            <w:r>
              <w:rPr>
                <w:rFonts w:hint="eastAsia"/>
                <w:bCs/>
                <w:sz w:val="20"/>
                <w:szCs w:val="20"/>
                <w:highlight w:val="none"/>
              </w:rPr>
              <w:t>0.2</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371ECFE6">
            <w:pPr>
              <w:spacing w:line="280" w:lineRule="exact"/>
              <w:jc w:val="left"/>
              <w:rPr>
                <w:bCs/>
                <w:sz w:val="20"/>
                <w:szCs w:val="20"/>
                <w:highlight w:val="none"/>
              </w:rPr>
            </w:pPr>
            <w:r>
              <w:rPr>
                <w:rFonts w:hint="eastAsia"/>
                <w:bCs/>
                <w:sz w:val="20"/>
                <w:szCs w:val="20"/>
                <w:highlight w:val="none"/>
              </w:rPr>
              <w:t>出现以下任一不良行为扣</w:t>
            </w:r>
            <w:r>
              <w:rPr>
                <w:bCs/>
                <w:sz w:val="20"/>
                <w:szCs w:val="20"/>
                <w:highlight w:val="none"/>
              </w:rPr>
              <w:t>0.2</w:t>
            </w:r>
            <w:r>
              <w:rPr>
                <w:rFonts w:hint="eastAsia"/>
                <w:bCs/>
                <w:sz w:val="20"/>
                <w:szCs w:val="20"/>
                <w:highlight w:val="none"/>
              </w:rPr>
              <w:t>分：</w:t>
            </w:r>
            <w:r>
              <w:rPr>
                <w:bCs/>
                <w:sz w:val="20"/>
                <w:szCs w:val="20"/>
                <w:highlight w:val="none"/>
              </w:rPr>
              <w:br w:type="textWrapping"/>
            </w:r>
            <w:r>
              <w:rPr>
                <w:rFonts w:hint="eastAsia"/>
                <w:bCs/>
                <w:sz w:val="20"/>
                <w:szCs w:val="20"/>
                <w:highlight w:val="none"/>
              </w:rPr>
              <w:t>①“四口”、“五临边”未设置可靠防护安全围栏、盖板，未设置明显的标示牌、警示牌；</w:t>
            </w:r>
            <w:r>
              <w:rPr>
                <w:bCs/>
                <w:sz w:val="20"/>
                <w:szCs w:val="20"/>
                <w:highlight w:val="none"/>
              </w:rPr>
              <w:br w:type="textWrapping"/>
            </w:r>
            <w:r>
              <w:rPr>
                <w:rFonts w:hint="eastAsia"/>
                <w:bCs/>
                <w:sz w:val="20"/>
                <w:szCs w:val="20"/>
                <w:highlight w:val="none"/>
              </w:rPr>
              <w:t>②</w:t>
            </w:r>
            <w:r>
              <w:rPr>
                <w:bCs/>
                <w:sz w:val="20"/>
                <w:szCs w:val="20"/>
                <w:highlight w:val="none"/>
              </w:rPr>
              <w:t xml:space="preserve"> </w:t>
            </w:r>
            <w:r>
              <w:rPr>
                <w:rFonts w:hint="eastAsia"/>
                <w:bCs/>
                <w:sz w:val="20"/>
                <w:szCs w:val="20"/>
                <w:highlight w:val="none"/>
              </w:rPr>
              <w:t>在车行道、人行道上施工，未根据属地区域规定选用围蔽装置，或未在来车方向设置警示牌；</w:t>
            </w:r>
            <w:r>
              <w:rPr>
                <w:bCs/>
                <w:sz w:val="20"/>
                <w:szCs w:val="20"/>
                <w:highlight w:val="none"/>
              </w:rPr>
              <w:br w:type="textWrapping"/>
            </w:r>
            <w:r>
              <w:rPr>
                <w:rFonts w:hint="eastAsia"/>
                <w:bCs/>
                <w:sz w:val="20"/>
                <w:szCs w:val="20"/>
                <w:highlight w:val="none"/>
              </w:rPr>
              <w:t>③施工作业人员在夜间作业或道路、地下洞室作业时未穿着符合规范的反光衣；</w:t>
            </w:r>
            <w:r>
              <w:rPr>
                <w:bCs/>
                <w:sz w:val="20"/>
                <w:szCs w:val="20"/>
                <w:highlight w:val="none"/>
              </w:rPr>
              <w:br w:type="textWrapping"/>
            </w:r>
            <w:r>
              <w:rPr>
                <w:rFonts w:hint="eastAsia"/>
                <w:bCs/>
                <w:sz w:val="20"/>
                <w:szCs w:val="20"/>
                <w:highlight w:val="none"/>
              </w:rPr>
              <w:t>④施工区域未按规定设置夜间警示装置。</w:t>
            </w:r>
          </w:p>
        </w:tc>
      </w:tr>
      <w:tr w14:paraId="151B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3AFEFB9">
            <w:pPr>
              <w:widowControl/>
              <w:jc w:val="center"/>
              <w:rPr>
                <w:bCs/>
                <w:sz w:val="20"/>
                <w:szCs w:val="20"/>
                <w:highlight w:val="none"/>
              </w:rPr>
            </w:pPr>
            <w:r>
              <w:rPr>
                <w:rFonts w:hint="eastAsia"/>
                <w:bCs/>
                <w:sz w:val="20"/>
                <w:szCs w:val="20"/>
                <w:highlight w:val="none"/>
              </w:rPr>
              <w:t>13</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2E535D2">
            <w:pPr>
              <w:spacing w:line="280" w:lineRule="exact"/>
              <w:jc w:val="center"/>
              <w:rPr>
                <w:bCs/>
                <w:sz w:val="20"/>
                <w:szCs w:val="20"/>
                <w:highlight w:val="none"/>
              </w:rPr>
            </w:pPr>
            <w:r>
              <w:rPr>
                <w:rFonts w:hint="eastAsia"/>
                <w:bCs/>
                <w:sz w:val="20"/>
                <w:szCs w:val="20"/>
                <w:highlight w:val="none"/>
              </w:rPr>
              <w:t>隧洞通风、排水、爆破、通讯、施工支护、超前地质预报等不符合要求的。</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4F05157">
            <w:pPr>
              <w:widowControl/>
              <w:spacing w:line="280" w:lineRule="exact"/>
              <w:jc w:val="center"/>
              <w:rPr>
                <w:bCs/>
                <w:sz w:val="20"/>
                <w:szCs w:val="20"/>
                <w:highlight w:val="none"/>
              </w:rPr>
            </w:pPr>
            <w:r>
              <w:rPr>
                <w:rFonts w:hint="eastAsia"/>
                <w:bCs/>
                <w:sz w:val="20"/>
                <w:szCs w:val="20"/>
                <w:highlight w:val="none"/>
              </w:rPr>
              <w:t>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0769881">
            <w:pPr>
              <w:spacing w:line="280" w:lineRule="exact"/>
              <w:jc w:val="center"/>
              <w:rPr>
                <w:bCs/>
                <w:sz w:val="20"/>
                <w:szCs w:val="20"/>
                <w:highlight w:val="none"/>
              </w:rPr>
            </w:pPr>
            <w:r>
              <w:rPr>
                <w:rFonts w:hint="eastAsia"/>
                <w:bCs/>
                <w:sz w:val="20"/>
                <w:szCs w:val="20"/>
                <w:highlight w:val="none"/>
              </w:rPr>
              <w:t>0.5</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101691DB">
            <w:pPr>
              <w:spacing w:line="280" w:lineRule="exact"/>
              <w:jc w:val="left"/>
              <w:rPr>
                <w:bCs/>
                <w:sz w:val="20"/>
                <w:szCs w:val="20"/>
                <w:highlight w:val="none"/>
              </w:rPr>
            </w:pPr>
            <w:r>
              <w:rPr>
                <w:rFonts w:hint="eastAsia"/>
                <w:bCs/>
                <w:sz w:val="20"/>
                <w:szCs w:val="20"/>
                <w:highlight w:val="none"/>
              </w:rPr>
              <w:t>出现以下任一不良行为扣</w:t>
            </w:r>
            <w:r>
              <w:rPr>
                <w:bCs/>
                <w:sz w:val="20"/>
                <w:szCs w:val="20"/>
                <w:highlight w:val="none"/>
              </w:rPr>
              <w:t>0.2</w:t>
            </w:r>
            <w:r>
              <w:rPr>
                <w:rFonts w:hint="eastAsia"/>
                <w:bCs/>
                <w:sz w:val="20"/>
                <w:szCs w:val="20"/>
                <w:highlight w:val="none"/>
              </w:rPr>
              <w:t>分：</w:t>
            </w:r>
            <w:r>
              <w:rPr>
                <w:bCs/>
                <w:sz w:val="20"/>
                <w:szCs w:val="20"/>
                <w:highlight w:val="none"/>
              </w:rPr>
              <w:br w:type="textWrapping"/>
            </w:r>
            <w:r>
              <w:rPr>
                <w:rFonts w:hint="eastAsia"/>
                <w:bCs/>
                <w:sz w:val="20"/>
                <w:szCs w:val="20"/>
                <w:highlight w:val="none"/>
              </w:rPr>
              <w:t>①未编制隧洞工程专项施工方案；专项施工方案未按规定审核、审批；未按规定组织专家论证；</w:t>
            </w:r>
            <w:r>
              <w:rPr>
                <w:bCs/>
                <w:sz w:val="20"/>
                <w:szCs w:val="20"/>
                <w:highlight w:val="none"/>
              </w:rPr>
              <w:br w:type="textWrapping"/>
            </w:r>
            <w:r>
              <w:rPr>
                <w:rFonts w:hint="eastAsia"/>
                <w:bCs/>
                <w:sz w:val="20"/>
                <w:szCs w:val="20"/>
                <w:highlight w:val="none"/>
              </w:rPr>
              <w:t>②未配备通风设施；未配备有毒有害气体检测设备；</w:t>
            </w:r>
            <w:r>
              <w:rPr>
                <w:bCs/>
                <w:sz w:val="20"/>
                <w:szCs w:val="20"/>
                <w:highlight w:val="none"/>
              </w:rPr>
              <w:br w:type="textWrapping"/>
            </w:r>
            <w:r>
              <w:rPr>
                <w:rFonts w:hint="eastAsia"/>
                <w:bCs/>
                <w:sz w:val="20"/>
                <w:szCs w:val="20"/>
                <w:highlight w:val="none"/>
              </w:rPr>
              <w:t>③未设置排水沟、泄水孔等排水措施，隧洞内抽水泵功率不满足排水需求；</w:t>
            </w:r>
            <w:r>
              <w:rPr>
                <w:bCs/>
                <w:sz w:val="20"/>
                <w:szCs w:val="20"/>
                <w:highlight w:val="none"/>
              </w:rPr>
              <w:br w:type="textWrapping"/>
            </w:r>
            <w:r>
              <w:rPr>
                <w:rFonts w:hint="eastAsia"/>
                <w:bCs/>
                <w:sz w:val="20"/>
                <w:szCs w:val="20"/>
                <w:highlight w:val="none"/>
              </w:rPr>
              <w:t>④洞内爆破作业未确定指挥人员、警戒人员、起爆人员，未进行统一指挥的；</w:t>
            </w:r>
            <w:r>
              <w:rPr>
                <w:bCs/>
                <w:sz w:val="20"/>
                <w:szCs w:val="20"/>
                <w:highlight w:val="none"/>
              </w:rPr>
              <w:br w:type="textWrapping"/>
            </w:r>
            <w:r>
              <w:rPr>
                <w:rFonts w:hint="eastAsia"/>
                <w:bCs/>
                <w:sz w:val="20"/>
                <w:szCs w:val="20"/>
                <w:highlight w:val="none"/>
              </w:rPr>
              <w:t>⑤未配备通讯设备的；</w:t>
            </w:r>
            <w:r>
              <w:rPr>
                <w:bCs/>
                <w:sz w:val="20"/>
                <w:szCs w:val="20"/>
                <w:highlight w:val="none"/>
              </w:rPr>
              <w:br w:type="textWrapping"/>
            </w:r>
            <w:r>
              <w:rPr>
                <w:rFonts w:hint="eastAsia"/>
                <w:bCs/>
                <w:sz w:val="20"/>
                <w:szCs w:val="20"/>
                <w:highlight w:val="none"/>
              </w:rPr>
              <w:t>⑥洞内爆破后通风排烟不足</w:t>
            </w:r>
            <w:r>
              <w:rPr>
                <w:bCs/>
                <w:sz w:val="20"/>
                <w:szCs w:val="20"/>
                <w:highlight w:val="none"/>
              </w:rPr>
              <w:t>15</w:t>
            </w:r>
            <w:r>
              <w:rPr>
                <w:rFonts w:hint="eastAsia"/>
                <w:bCs/>
                <w:sz w:val="20"/>
                <w:szCs w:val="20"/>
                <w:highlight w:val="none"/>
              </w:rPr>
              <w:t>分钟，爆破后未进行检查的；</w:t>
            </w:r>
            <w:r>
              <w:rPr>
                <w:bCs/>
                <w:sz w:val="20"/>
                <w:szCs w:val="20"/>
                <w:highlight w:val="none"/>
              </w:rPr>
              <w:br w:type="textWrapping"/>
            </w:r>
            <w:r>
              <w:rPr>
                <w:rFonts w:hint="eastAsia"/>
                <w:bCs/>
                <w:sz w:val="20"/>
                <w:szCs w:val="20"/>
                <w:highlight w:val="none"/>
              </w:rPr>
              <w:t>⑦隧洞支护作业程序不符合要求；支护方式不符合设计及规范要求；</w:t>
            </w:r>
          </w:p>
          <w:p w14:paraId="75D64C15">
            <w:pPr>
              <w:spacing w:line="280" w:lineRule="exact"/>
              <w:jc w:val="left"/>
              <w:rPr>
                <w:bCs/>
                <w:sz w:val="20"/>
                <w:szCs w:val="20"/>
                <w:highlight w:val="none"/>
              </w:rPr>
            </w:pPr>
            <w:r>
              <w:rPr>
                <w:rFonts w:hint="eastAsia"/>
                <w:bCs/>
                <w:sz w:val="20"/>
                <w:szCs w:val="20"/>
                <w:highlight w:val="none"/>
              </w:rPr>
              <w:t>⑧未按要求编制超前地质预报实施大纲；</w:t>
            </w:r>
          </w:p>
          <w:p w14:paraId="47B1983D">
            <w:pPr>
              <w:spacing w:line="280" w:lineRule="exact"/>
              <w:jc w:val="left"/>
              <w:rPr>
                <w:bCs/>
                <w:sz w:val="20"/>
                <w:szCs w:val="20"/>
                <w:highlight w:val="none"/>
              </w:rPr>
            </w:pPr>
            <w:r>
              <w:rPr>
                <w:rFonts w:hint="eastAsia"/>
                <w:bCs/>
                <w:sz w:val="20"/>
                <w:szCs w:val="20"/>
                <w:highlight w:val="none"/>
              </w:rPr>
              <w:t>⑨未严格执行开挖前超前地质预报措施；未将超前地质预报纳入施工组织设计和工序管理。</w:t>
            </w:r>
          </w:p>
        </w:tc>
      </w:tr>
      <w:tr w14:paraId="0681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2E1E0D1">
            <w:pPr>
              <w:widowControl/>
              <w:jc w:val="center"/>
              <w:rPr>
                <w:bCs/>
                <w:sz w:val="20"/>
                <w:szCs w:val="20"/>
                <w:highlight w:val="none"/>
              </w:rPr>
            </w:pPr>
            <w:r>
              <w:rPr>
                <w:rFonts w:hint="eastAsia"/>
                <w:bCs/>
                <w:sz w:val="20"/>
                <w:szCs w:val="20"/>
                <w:highlight w:val="none"/>
              </w:rPr>
              <w:t>14</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BB23CA0">
            <w:pPr>
              <w:spacing w:line="280" w:lineRule="exact"/>
              <w:jc w:val="center"/>
              <w:rPr>
                <w:bCs/>
                <w:sz w:val="20"/>
                <w:szCs w:val="20"/>
                <w:highlight w:val="none"/>
              </w:rPr>
            </w:pPr>
            <w:r>
              <w:rPr>
                <w:rFonts w:hint="eastAsia"/>
                <w:bCs/>
                <w:sz w:val="20"/>
                <w:szCs w:val="20"/>
                <w:highlight w:val="none"/>
              </w:rPr>
              <w:t>安全文明施工费用的提取和使用管理不规范。</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21E50E9">
            <w:pPr>
              <w:widowControl/>
              <w:spacing w:line="280" w:lineRule="exact"/>
              <w:jc w:val="center"/>
              <w:rPr>
                <w:bCs/>
                <w:sz w:val="20"/>
                <w:szCs w:val="20"/>
                <w:highlight w:val="none"/>
              </w:rPr>
            </w:pPr>
            <w:r>
              <w:rPr>
                <w:rFonts w:hint="eastAsia"/>
                <w:bCs/>
                <w:sz w:val="20"/>
                <w:szCs w:val="20"/>
                <w:highlight w:val="none"/>
              </w:rPr>
              <w:t>施工</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BF14099">
            <w:pPr>
              <w:spacing w:line="280" w:lineRule="exact"/>
              <w:jc w:val="center"/>
              <w:rPr>
                <w:bCs/>
                <w:sz w:val="20"/>
                <w:szCs w:val="20"/>
                <w:highlight w:val="none"/>
              </w:rPr>
            </w:pPr>
            <w:r>
              <w:rPr>
                <w:rFonts w:hint="eastAsia"/>
                <w:bCs/>
                <w:sz w:val="20"/>
                <w:szCs w:val="20"/>
                <w:highlight w:val="none"/>
              </w:rPr>
              <w:t>0.5</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2096F320">
            <w:pPr>
              <w:spacing w:line="280" w:lineRule="exact"/>
              <w:jc w:val="left"/>
              <w:rPr>
                <w:bCs/>
                <w:sz w:val="20"/>
                <w:szCs w:val="20"/>
                <w:highlight w:val="none"/>
              </w:rPr>
            </w:pPr>
            <w:r>
              <w:rPr>
                <w:rFonts w:hint="eastAsia"/>
                <w:bCs/>
                <w:sz w:val="20"/>
                <w:szCs w:val="20"/>
                <w:highlight w:val="none"/>
              </w:rPr>
              <w:t>在使用安全生产费用过程中，出现以下任一不良行为，每处扣</w:t>
            </w:r>
            <w:r>
              <w:rPr>
                <w:bCs/>
                <w:sz w:val="20"/>
                <w:szCs w:val="20"/>
                <w:highlight w:val="none"/>
              </w:rPr>
              <w:t>0.2</w:t>
            </w:r>
            <w:r>
              <w:rPr>
                <w:rFonts w:hint="eastAsia"/>
                <w:bCs/>
                <w:sz w:val="20"/>
                <w:szCs w:val="20"/>
                <w:highlight w:val="none"/>
              </w:rPr>
              <w:t>分，累计扣至</w:t>
            </w:r>
            <w:r>
              <w:rPr>
                <w:bCs/>
                <w:sz w:val="20"/>
                <w:szCs w:val="20"/>
                <w:highlight w:val="none"/>
              </w:rPr>
              <w:t>0.5</w:t>
            </w:r>
            <w:r>
              <w:rPr>
                <w:rFonts w:hint="eastAsia"/>
                <w:bCs/>
                <w:sz w:val="20"/>
                <w:szCs w:val="20"/>
                <w:highlight w:val="none"/>
              </w:rPr>
              <w:t>分为止：</w:t>
            </w:r>
            <w:r>
              <w:rPr>
                <w:bCs/>
                <w:sz w:val="20"/>
                <w:szCs w:val="20"/>
                <w:highlight w:val="none"/>
              </w:rPr>
              <w:br w:type="textWrapping"/>
            </w:r>
            <w:r>
              <w:rPr>
                <w:rFonts w:hint="eastAsia"/>
                <w:bCs/>
                <w:sz w:val="20"/>
                <w:szCs w:val="20"/>
                <w:highlight w:val="none"/>
              </w:rPr>
              <w:t>①未按照国家有关规定计列和使用安全生产费用的；</w:t>
            </w:r>
            <w:r>
              <w:rPr>
                <w:bCs/>
                <w:sz w:val="20"/>
                <w:szCs w:val="20"/>
                <w:highlight w:val="none"/>
              </w:rPr>
              <w:br w:type="textWrapping"/>
            </w:r>
            <w:r>
              <w:rPr>
                <w:rFonts w:hint="eastAsia"/>
                <w:bCs/>
                <w:sz w:val="20"/>
                <w:szCs w:val="20"/>
                <w:highlight w:val="none"/>
              </w:rPr>
              <w:t>②未编制安全生产费用使用计划，专款专用的；</w:t>
            </w:r>
            <w:r>
              <w:rPr>
                <w:bCs/>
                <w:sz w:val="20"/>
                <w:szCs w:val="20"/>
                <w:highlight w:val="none"/>
              </w:rPr>
              <w:br w:type="textWrapping"/>
            </w:r>
            <w:r>
              <w:rPr>
                <w:rFonts w:hint="eastAsia"/>
                <w:bCs/>
                <w:sz w:val="20"/>
                <w:szCs w:val="20"/>
                <w:highlight w:val="none"/>
              </w:rPr>
              <w:t>③未明确安全费用提取和使用的程序、职责及权限的。</w:t>
            </w:r>
          </w:p>
        </w:tc>
      </w:tr>
      <w:tr w14:paraId="5CBD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E437E2F">
            <w:pPr>
              <w:widowControl/>
              <w:jc w:val="center"/>
              <w:rPr>
                <w:bCs/>
                <w:sz w:val="20"/>
                <w:szCs w:val="20"/>
                <w:highlight w:val="none"/>
              </w:rPr>
            </w:pPr>
            <w:r>
              <w:rPr>
                <w:rFonts w:hint="eastAsia"/>
                <w:bCs/>
                <w:sz w:val="20"/>
                <w:szCs w:val="20"/>
                <w:highlight w:val="none"/>
              </w:rPr>
              <w:t>15</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52B4654">
            <w:pPr>
              <w:spacing w:line="280" w:lineRule="exact"/>
              <w:jc w:val="center"/>
              <w:rPr>
                <w:bCs/>
                <w:sz w:val="20"/>
                <w:szCs w:val="20"/>
                <w:highlight w:val="none"/>
              </w:rPr>
            </w:pPr>
            <w:r>
              <w:rPr>
                <w:rFonts w:hint="eastAsia"/>
                <w:bCs/>
                <w:sz w:val="20"/>
                <w:szCs w:val="20"/>
                <w:highlight w:val="none"/>
              </w:rPr>
              <w:t>因设计工作不到位造成险情的。</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D550A8A">
            <w:pPr>
              <w:widowControl/>
              <w:spacing w:line="280" w:lineRule="exact"/>
              <w:jc w:val="center"/>
              <w:rPr>
                <w:bCs/>
                <w:sz w:val="20"/>
                <w:szCs w:val="20"/>
                <w:highlight w:val="none"/>
              </w:rPr>
            </w:pPr>
            <w:r>
              <w:rPr>
                <w:rFonts w:hint="eastAsia"/>
                <w:bCs/>
                <w:sz w:val="20"/>
                <w:szCs w:val="20"/>
                <w:highlight w:val="none"/>
              </w:rPr>
              <w:t>勘察/设计</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A2E8C86">
            <w:pPr>
              <w:spacing w:line="280" w:lineRule="exact"/>
              <w:jc w:val="center"/>
              <w:rPr>
                <w:bCs/>
                <w:sz w:val="20"/>
                <w:szCs w:val="20"/>
                <w:highlight w:val="none"/>
              </w:rPr>
            </w:pPr>
            <w:r>
              <w:rPr>
                <w:rFonts w:hint="eastAsia"/>
                <w:bCs/>
                <w:sz w:val="20"/>
                <w:szCs w:val="20"/>
                <w:highlight w:val="none"/>
              </w:rPr>
              <w:t>1</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3E7E2649">
            <w:pPr>
              <w:spacing w:line="280" w:lineRule="exact"/>
              <w:jc w:val="left"/>
              <w:rPr>
                <w:bCs/>
                <w:sz w:val="20"/>
                <w:szCs w:val="20"/>
                <w:highlight w:val="none"/>
              </w:rPr>
            </w:pPr>
            <w:r>
              <w:rPr>
                <w:rFonts w:hint="eastAsia"/>
                <w:bCs/>
                <w:sz w:val="20"/>
                <w:szCs w:val="20"/>
                <w:highlight w:val="none"/>
              </w:rPr>
              <w:t>1、因设计方案不合理造成工程施工过程出现险情的，扣1分；</w:t>
            </w:r>
            <w:r>
              <w:rPr>
                <w:rFonts w:hint="eastAsia"/>
                <w:bCs/>
                <w:sz w:val="20"/>
                <w:szCs w:val="20"/>
                <w:highlight w:val="none"/>
              </w:rPr>
              <w:br w:type="textWrapping"/>
            </w:r>
            <w:r>
              <w:rPr>
                <w:rFonts w:hint="eastAsia"/>
                <w:bCs/>
                <w:sz w:val="20"/>
                <w:szCs w:val="20"/>
                <w:highlight w:val="none"/>
              </w:rPr>
              <w:t>2、因现场设计代表履职不到位造成施工现场出现险情的，扣1分；</w:t>
            </w:r>
            <w:r>
              <w:rPr>
                <w:rFonts w:hint="eastAsia"/>
                <w:bCs/>
                <w:sz w:val="20"/>
                <w:szCs w:val="20"/>
                <w:highlight w:val="none"/>
              </w:rPr>
              <w:br w:type="textWrapping"/>
            </w:r>
            <w:r>
              <w:rPr>
                <w:rFonts w:hint="eastAsia"/>
                <w:bCs/>
                <w:sz w:val="20"/>
                <w:szCs w:val="20"/>
                <w:highlight w:val="none"/>
              </w:rPr>
              <w:t>3、因前期地质勘察工作遗留问题造成工程现场出现险情的，扣1分。</w:t>
            </w:r>
          </w:p>
        </w:tc>
      </w:tr>
      <w:tr w14:paraId="551D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0FDA082">
            <w:pPr>
              <w:widowControl/>
              <w:jc w:val="center"/>
              <w:rPr>
                <w:bCs/>
                <w:sz w:val="20"/>
                <w:szCs w:val="20"/>
                <w:highlight w:val="none"/>
              </w:rPr>
            </w:pPr>
            <w:r>
              <w:rPr>
                <w:rFonts w:hint="eastAsia"/>
                <w:bCs/>
                <w:sz w:val="20"/>
                <w:szCs w:val="20"/>
                <w:highlight w:val="none"/>
              </w:rPr>
              <w:t>16</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68776B7">
            <w:pPr>
              <w:spacing w:line="280" w:lineRule="exact"/>
              <w:jc w:val="center"/>
              <w:rPr>
                <w:bCs/>
                <w:sz w:val="20"/>
                <w:szCs w:val="20"/>
                <w:highlight w:val="none"/>
              </w:rPr>
            </w:pPr>
            <w:r>
              <w:rPr>
                <w:rFonts w:hint="eastAsia"/>
                <w:bCs/>
                <w:sz w:val="20"/>
                <w:szCs w:val="20"/>
                <w:highlight w:val="none"/>
              </w:rPr>
              <w:t>项目建设阶段发生生产安全事故的。</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C078652">
            <w:pPr>
              <w:widowControl/>
              <w:spacing w:line="280" w:lineRule="exact"/>
              <w:jc w:val="center"/>
              <w:rPr>
                <w:bCs/>
                <w:sz w:val="20"/>
                <w:szCs w:val="20"/>
                <w:highlight w:val="none"/>
              </w:rPr>
            </w:pPr>
            <w:r>
              <w:rPr>
                <w:rFonts w:hint="eastAsia"/>
                <w:bCs/>
                <w:sz w:val="20"/>
                <w:szCs w:val="20"/>
                <w:highlight w:val="none"/>
              </w:rPr>
              <w:t>设计/施工/监理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7F6AE38">
            <w:pPr>
              <w:spacing w:line="280" w:lineRule="exact"/>
              <w:jc w:val="center"/>
              <w:rPr>
                <w:bCs/>
                <w:sz w:val="20"/>
                <w:szCs w:val="20"/>
                <w:highlight w:val="none"/>
              </w:rPr>
            </w:pPr>
            <w:r>
              <w:rPr>
                <w:rFonts w:hint="eastAsia"/>
                <w:bCs/>
                <w:sz w:val="20"/>
                <w:szCs w:val="20"/>
                <w:highlight w:val="none"/>
              </w:rPr>
              <w:t>12</w:t>
            </w:r>
          </w:p>
        </w:tc>
        <w:tc>
          <w:tcPr>
            <w:tcW w:w="7553" w:type="dxa"/>
            <w:tcBorders>
              <w:top w:val="single" w:color="auto" w:sz="4" w:space="0"/>
              <w:left w:val="single" w:color="auto" w:sz="4" w:space="0"/>
              <w:bottom w:val="single" w:color="auto" w:sz="4" w:space="0"/>
              <w:right w:val="single" w:color="auto" w:sz="4" w:space="0"/>
            </w:tcBorders>
            <w:shd w:val="clear" w:color="auto" w:fill="auto"/>
            <w:vAlign w:val="center"/>
          </w:tcPr>
          <w:p w14:paraId="1458B8FA">
            <w:pPr>
              <w:spacing w:line="280" w:lineRule="exact"/>
              <w:jc w:val="left"/>
              <w:rPr>
                <w:bCs/>
                <w:sz w:val="20"/>
                <w:szCs w:val="20"/>
                <w:highlight w:val="none"/>
              </w:rPr>
            </w:pPr>
            <w:r>
              <w:rPr>
                <w:rFonts w:hint="eastAsia"/>
                <w:bCs/>
                <w:sz w:val="20"/>
                <w:szCs w:val="20"/>
                <w:highlight w:val="none"/>
              </w:rPr>
              <w:t>发生亡人生产安全事故的，根据生产安全事故责任扣分。</w:t>
            </w:r>
          </w:p>
        </w:tc>
      </w:tr>
    </w:tbl>
    <w:p w14:paraId="3B624AC4">
      <w:pPr>
        <w:spacing w:line="520" w:lineRule="exact"/>
        <w:outlineLvl w:val="0"/>
        <w:rPr>
          <w:szCs w:val="21"/>
          <w:highlight w:val="none"/>
        </w:rPr>
      </w:pPr>
    </w:p>
    <w:p w14:paraId="3DBD177D">
      <w:pPr>
        <w:widowControl/>
        <w:jc w:val="left"/>
        <w:rPr>
          <w:rFonts w:ascii="宋体" w:hAnsi="宋体" w:cs="宋体"/>
          <w:kern w:val="0"/>
          <w:sz w:val="24"/>
          <w:highlight w:val="none"/>
        </w:rPr>
        <w:sectPr>
          <w:pgSz w:w="16838" w:h="11906" w:orient="landscape"/>
          <w:pgMar w:top="1531" w:right="1418" w:bottom="1554" w:left="1418" w:header="851" w:footer="992" w:gutter="0"/>
          <w:cols w:space="720" w:num="1"/>
          <w:titlePg/>
          <w:docGrid w:type="lines" w:linePitch="312" w:charSpace="0"/>
        </w:sectPr>
      </w:pPr>
      <w:r>
        <w:rPr>
          <w:rFonts w:ascii="宋体" w:hAnsi="宋体" w:cs="宋体"/>
          <w:kern w:val="0"/>
          <w:sz w:val="24"/>
          <w:highlight w:val="none"/>
        </w:rPr>
        <w:br w:type="page"/>
      </w:r>
    </w:p>
    <w:p w14:paraId="2CD6951F">
      <w:pPr>
        <w:outlineLvl w:val="0"/>
        <w:rPr>
          <w:szCs w:val="21"/>
          <w:highlight w:val="none"/>
        </w:rPr>
      </w:pPr>
      <w:bookmarkStart w:id="755" w:name="_Toc29346"/>
      <w:bookmarkStart w:id="756" w:name="_Toc167975611"/>
      <w:bookmarkStart w:id="757" w:name="_Toc167185429"/>
      <w:r>
        <w:rPr>
          <w:rFonts w:hint="eastAsia" w:ascii="Cambria" w:hAnsi="Cambria"/>
          <w:b/>
          <w:bCs/>
          <w:szCs w:val="21"/>
          <w:highlight w:val="none"/>
        </w:rPr>
        <w:t xml:space="preserve">附件11 </w:t>
      </w:r>
      <w:bookmarkEnd w:id="755"/>
      <w:r>
        <w:rPr>
          <w:rFonts w:hint="eastAsia" w:ascii="Cambria" w:hAnsi="Cambria"/>
          <w:b/>
          <w:bCs/>
          <w:szCs w:val="21"/>
          <w:highlight w:val="none"/>
        </w:rPr>
        <w:t>深化设计图申报表</w:t>
      </w:r>
      <w:bookmarkEnd w:id="756"/>
      <w:bookmarkEnd w:id="757"/>
    </w:p>
    <w:p w14:paraId="5AC02BC4">
      <w:pPr>
        <w:spacing w:before="156" w:beforeLines="50" w:after="156" w:afterLines="50"/>
        <w:jc w:val="center"/>
        <w:rPr>
          <w:b/>
          <w:highlight w:val="none"/>
        </w:rPr>
      </w:pPr>
      <w:r>
        <w:rPr>
          <w:rFonts w:hint="eastAsia"/>
          <w:b/>
          <w:highlight w:val="none"/>
        </w:rPr>
        <w:t>深化设计图申报表</w:t>
      </w:r>
    </w:p>
    <w:tbl>
      <w:tblPr>
        <w:tblStyle w:val="41"/>
        <w:tblW w:w="15150" w:type="dxa"/>
        <w:tblInd w:w="93" w:type="dxa"/>
        <w:tblLayout w:type="autofit"/>
        <w:tblCellMar>
          <w:top w:w="0" w:type="dxa"/>
          <w:left w:w="108" w:type="dxa"/>
          <w:bottom w:w="0" w:type="dxa"/>
          <w:right w:w="108" w:type="dxa"/>
        </w:tblCellMar>
      </w:tblPr>
      <w:tblGrid>
        <w:gridCol w:w="1480"/>
        <w:gridCol w:w="1340"/>
        <w:gridCol w:w="1020"/>
        <w:gridCol w:w="1200"/>
        <w:gridCol w:w="2430"/>
        <w:gridCol w:w="1700"/>
        <w:gridCol w:w="1700"/>
        <w:gridCol w:w="1760"/>
        <w:gridCol w:w="1340"/>
        <w:gridCol w:w="220"/>
        <w:gridCol w:w="960"/>
      </w:tblGrid>
      <w:tr w14:paraId="6AA47893">
        <w:tblPrEx>
          <w:tblCellMar>
            <w:top w:w="0" w:type="dxa"/>
            <w:left w:w="108" w:type="dxa"/>
            <w:bottom w:w="0" w:type="dxa"/>
            <w:right w:w="108" w:type="dxa"/>
          </w:tblCellMar>
        </w:tblPrEx>
        <w:trPr>
          <w:trHeight w:val="288" w:hRule="atLeast"/>
        </w:trPr>
        <w:tc>
          <w:tcPr>
            <w:tcW w:w="1480" w:type="dxa"/>
            <w:tcBorders>
              <w:top w:val="single" w:color="auto" w:sz="12" w:space="0"/>
              <w:left w:val="single" w:color="auto" w:sz="12" w:space="0"/>
              <w:bottom w:val="nil"/>
              <w:right w:val="nil"/>
            </w:tcBorders>
            <w:shd w:val="clear" w:color="auto" w:fill="auto"/>
            <w:noWrap/>
            <w:vAlign w:val="center"/>
          </w:tcPr>
          <w:p w14:paraId="11B3C6F6">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c>
          <w:tcPr>
            <w:tcW w:w="1340" w:type="dxa"/>
            <w:tcBorders>
              <w:top w:val="single" w:color="auto" w:sz="12" w:space="0"/>
              <w:left w:val="nil"/>
              <w:bottom w:val="nil"/>
              <w:right w:val="nil"/>
            </w:tcBorders>
            <w:shd w:val="clear" w:color="auto" w:fill="auto"/>
            <w:noWrap/>
            <w:vAlign w:val="center"/>
          </w:tcPr>
          <w:p w14:paraId="76294B5E">
            <w:pPr>
              <w:widowControl/>
              <w:jc w:val="left"/>
              <w:rPr>
                <w:rFonts w:ascii="宋体" w:hAnsi="宋体" w:cs="宋体"/>
                <w:color w:val="000000"/>
                <w:kern w:val="0"/>
                <w:sz w:val="22"/>
                <w:highlight w:val="none"/>
              </w:rPr>
            </w:pPr>
          </w:p>
        </w:tc>
        <w:tc>
          <w:tcPr>
            <w:tcW w:w="1020" w:type="dxa"/>
            <w:tcBorders>
              <w:top w:val="single" w:color="auto" w:sz="12" w:space="0"/>
              <w:left w:val="nil"/>
              <w:bottom w:val="nil"/>
              <w:right w:val="nil"/>
            </w:tcBorders>
            <w:shd w:val="clear" w:color="auto" w:fill="auto"/>
            <w:noWrap/>
            <w:vAlign w:val="center"/>
          </w:tcPr>
          <w:p w14:paraId="41A36F59">
            <w:pPr>
              <w:widowControl/>
              <w:jc w:val="left"/>
              <w:rPr>
                <w:rFonts w:ascii="宋体" w:hAnsi="宋体" w:cs="宋体"/>
                <w:color w:val="000000"/>
                <w:kern w:val="0"/>
                <w:sz w:val="22"/>
                <w:highlight w:val="none"/>
              </w:rPr>
            </w:pPr>
          </w:p>
        </w:tc>
        <w:tc>
          <w:tcPr>
            <w:tcW w:w="1200" w:type="dxa"/>
            <w:tcBorders>
              <w:top w:val="single" w:color="auto" w:sz="12" w:space="0"/>
              <w:left w:val="nil"/>
              <w:bottom w:val="nil"/>
              <w:right w:val="nil"/>
            </w:tcBorders>
            <w:shd w:val="clear" w:color="auto" w:fill="auto"/>
            <w:noWrap/>
            <w:vAlign w:val="center"/>
          </w:tcPr>
          <w:p w14:paraId="12012109">
            <w:pPr>
              <w:widowControl/>
              <w:jc w:val="left"/>
              <w:rPr>
                <w:rFonts w:ascii="宋体" w:hAnsi="宋体" w:cs="宋体"/>
                <w:color w:val="000000"/>
                <w:kern w:val="0"/>
                <w:sz w:val="22"/>
                <w:highlight w:val="none"/>
              </w:rPr>
            </w:pPr>
          </w:p>
        </w:tc>
        <w:tc>
          <w:tcPr>
            <w:tcW w:w="2430" w:type="dxa"/>
            <w:tcBorders>
              <w:top w:val="single" w:color="auto" w:sz="12" w:space="0"/>
              <w:left w:val="nil"/>
              <w:bottom w:val="nil"/>
              <w:right w:val="nil"/>
            </w:tcBorders>
            <w:shd w:val="clear" w:color="auto" w:fill="auto"/>
            <w:noWrap/>
            <w:vAlign w:val="center"/>
          </w:tcPr>
          <w:p w14:paraId="5A8A3E63">
            <w:pPr>
              <w:widowControl/>
              <w:jc w:val="left"/>
              <w:rPr>
                <w:rFonts w:ascii="宋体" w:hAnsi="宋体" w:cs="宋体"/>
                <w:color w:val="000000"/>
                <w:kern w:val="0"/>
                <w:sz w:val="22"/>
                <w:highlight w:val="none"/>
              </w:rPr>
            </w:pPr>
          </w:p>
        </w:tc>
        <w:tc>
          <w:tcPr>
            <w:tcW w:w="1700" w:type="dxa"/>
            <w:tcBorders>
              <w:top w:val="single" w:color="auto" w:sz="12" w:space="0"/>
              <w:left w:val="nil"/>
              <w:bottom w:val="nil"/>
              <w:right w:val="nil"/>
            </w:tcBorders>
            <w:shd w:val="clear" w:color="auto" w:fill="auto"/>
            <w:noWrap/>
            <w:vAlign w:val="center"/>
          </w:tcPr>
          <w:p w14:paraId="2F366A33">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申报日期：</w:t>
            </w:r>
          </w:p>
        </w:tc>
        <w:tc>
          <w:tcPr>
            <w:tcW w:w="1700" w:type="dxa"/>
            <w:tcBorders>
              <w:top w:val="single" w:color="auto" w:sz="12" w:space="0"/>
              <w:left w:val="nil"/>
              <w:bottom w:val="nil"/>
              <w:right w:val="nil"/>
            </w:tcBorders>
            <w:shd w:val="clear" w:color="auto" w:fill="auto"/>
            <w:noWrap/>
            <w:vAlign w:val="center"/>
          </w:tcPr>
          <w:p w14:paraId="6185CBE4">
            <w:pPr>
              <w:widowControl/>
              <w:jc w:val="left"/>
              <w:rPr>
                <w:rFonts w:ascii="宋体" w:hAnsi="宋体" w:cs="宋体"/>
                <w:color w:val="000000"/>
                <w:kern w:val="0"/>
                <w:sz w:val="22"/>
                <w:highlight w:val="none"/>
              </w:rPr>
            </w:pPr>
          </w:p>
        </w:tc>
        <w:tc>
          <w:tcPr>
            <w:tcW w:w="1760" w:type="dxa"/>
            <w:tcBorders>
              <w:top w:val="single" w:color="auto" w:sz="12" w:space="0"/>
              <w:left w:val="nil"/>
              <w:bottom w:val="nil"/>
              <w:right w:val="nil"/>
            </w:tcBorders>
            <w:shd w:val="clear" w:color="auto" w:fill="auto"/>
            <w:noWrap/>
            <w:vAlign w:val="center"/>
          </w:tcPr>
          <w:p w14:paraId="5240A21A">
            <w:pPr>
              <w:widowControl/>
              <w:jc w:val="left"/>
              <w:rPr>
                <w:rFonts w:ascii="宋体" w:hAnsi="宋体" w:cs="宋体"/>
                <w:color w:val="000000"/>
                <w:kern w:val="0"/>
                <w:sz w:val="22"/>
                <w:highlight w:val="none"/>
              </w:rPr>
            </w:pPr>
          </w:p>
        </w:tc>
        <w:tc>
          <w:tcPr>
            <w:tcW w:w="1340" w:type="dxa"/>
            <w:tcBorders>
              <w:top w:val="single" w:color="auto" w:sz="12" w:space="0"/>
              <w:left w:val="nil"/>
              <w:bottom w:val="nil"/>
              <w:right w:val="nil"/>
            </w:tcBorders>
            <w:shd w:val="clear" w:color="auto" w:fill="auto"/>
            <w:noWrap/>
            <w:vAlign w:val="center"/>
          </w:tcPr>
          <w:p w14:paraId="61B81D58">
            <w:pPr>
              <w:widowControl/>
              <w:jc w:val="left"/>
              <w:rPr>
                <w:rFonts w:ascii="宋体" w:hAnsi="宋体" w:cs="宋体"/>
                <w:color w:val="000000"/>
                <w:kern w:val="0"/>
                <w:sz w:val="20"/>
                <w:szCs w:val="20"/>
                <w:highlight w:val="none"/>
              </w:rPr>
            </w:pPr>
          </w:p>
        </w:tc>
        <w:tc>
          <w:tcPr>
            <w:tcW w:w="1180" w:type="dxa"/>
            <w:gridSpan w:val="2"/>
            <w:tcBorders>
              <w:top w:val="single" w:color="auto" w:sz="12" w:space="0"/>
              <w:left w:val="nil"/>
              <w:bottom w:val="nil"/>
              <w:right w:val="single" w:color="auto" w:sz="12" w:space="0"/>
            </w:tcBorders>
            <w:shd w:val="clear" w:color="auto" w:fill="auto"/>
            <w:noWrap/>
            <w:vAlign w:val="center"/>
          </w:tcPr>
          <w:p w14:paraId="3BD10667">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序号：</w:t>
            </w:r>
          </w:p>
        </w:tc>
      </w:tr>
      <w:tr w14:paraId="7797E94C">
        <w:tblPrEx>
          <w:tblCellMar>
            <w:top w:w="0" w:type="dxa"/>
            <w:left w:w="108" w:type="dxa"/>
            <w:bottom w:w="0" w:type="dxa"/>
            <w:right w:w="108" w:type="dxa"/>
          </w:tblCellMar>
        </w:tblPrEx>
        <w:trPr>
          <w:trHeight w:val="402" w:hRule="atLeast"/>
        </w:trPr>
        <w:tc>
          <w:tcPr>
            <w:tcW w:w="1480" w:type="dxa"/>
            <w:tcBorders>
              <w:top w:val="single" w:color="auto" w:sz="8" w:space="0"/>
              <w:left w:val="single" w:color="auto" w:sz="12" w:space="0"/>
              <w:bottom w:val="single" w:color="auto" w:sz="4" w:space="0"/>
              <w:right w:val="single" w:color="auto" w:sz="4" w:space="0"/>
            </w:tcBorders>
            <w:shd w:val="clear" w:color="auto" w:fill="auto"/>
            <w:noWrap/>
            <w:vAlign w:val="center"/>
          </w:tcPr>
          <w:p w14:paraId="0ADAA26F">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项目名称</w:t>
            </w:r>
          </w:p>
        </w:tc>
        <w:tc>
          <w:tcPr>
            <w:tcW w:w="3560" w:type="dxa"/>
            <w:gridSpan w:val="3"/>
            <w:tcBorders>
              <w:top w:val="single" w:color="auto" w:sz="8" w:space="0"/>
              <w:left w:val="nil"/>
              <w:bottom w:val="single" w:color="auto" w:sz="4" w:space="0"/>
              <w:right w:val="single" w:color="auto" w:sz="4" w:space="0"/>
            </w:tcBorders>
            <w:shd w:val="clear" w:color="auto" w:fill="auto"/>
            <w:noWrap/>
            <w:vAlign w:val="center"/>
          </w:tcPr>
          <w:p w14:paraId="761511E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430" w:type="dxa"/>
            <w:tcBorders>
              <w:top w:val="single" w:color="auto" w:sz="8" w:space="0"/>
              <w:left w:val="nil"/>
              <w:bottom w:val="single" w:color="auto" w:sz="4" w:space="0"/>
              <w:right w:val="single" w:color="auto" w:sz="4" w:space="0"/>
            </w:tcBorders>
            <w:shd w:val="clear" w:color="auto" w:fill="auto"/>
            <w:noWrap/>
            <w:vAlign w:val="center"/>
          </w:tcPr>
          <w:p w14:paraId="4C44139B">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深化设计单位（施工单位）</w:t>
            </w:r>
          </w:p>
        </w:tc>
        <w:tc>
          <w:tcPr>
            <w:tcW w:w="1700" w:type="dxa"/>
            <w:tcBorders>
              <w:top w:val="single" w:color="auto" w:sz="8" w:space="0"/>
              <w:left w:val="nil"/>
              <w:bottom w:val="single" w:color="auto" w:sz="4" w:space="0"/>
              <w:right w:val="single" w:color="auto" w:sz="4" w:space="0"/>
            </w:tcBorders>
            <w:shd w:val="clear" w:color="auto" w:fill="auto"/>
            <w:noWrap/>
            <w:vAlign w:val="center"/>
          </w:tcPr>
          <w:p w14:paraId="1CB409F4">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5980" w:type="dxa"/>
            <w:gridSpan w:val="5"/>
            <w:tcBorders>
              <w:top w:val="single" w:color="auto" w:sz="8" w:space="0"/>
              <w:left w:val="nil"/>
              <w:bottom w:val="single" w:color="auto" w:sz="4" w:space="0"/>
              <w:right w:val="single" w:color="000000" w:sz="12" w:space="0"/>
            </w:tcBorders>
            <w:shd w:val="clear" w:color="auto" w:fill="auto"/>
            <w:noWrap/>
            <w:vAlign w:val="center"/>
          </w:tcPr>
          <w:p w14:paraId="7248594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14:paraId="77981DC9">
        <w:tblPrEx>
          <w:tblCellMar>
            <w:top w:w="0" w:type="dxa"/>
            <w:left w:w="108" w:type="dxa"/>
            <w:bottom w:w="0" w:type="dxa"/>
            <w:right w:w="108" w:type="dxa"/>
          </w:tblCellMar>
        </w:tblPrEx>
        <w:trPr>
          <w:trHeight w:val="402" w:hRule="atLeast"/>
        </w:trPr>
        <w:tc>
          <w:tcPr>
            <w:tcW w:w="1480" w:type="dxa"/>
            <w:tcBorders>
              <w:top w:val="nil"/>
              <w:left w:val="single" w:color="auto" w:sz="12" w:space="0"/>
              <w:bottom w:val="single" w:color="auto" w:sz="4" w:space="0"/>
              <w:right w:val="single" w:color="auto" w:sz="4" w:space="0"/>
            </w:tcBorders>
            <w:shd w:val="clear" w:color="auto" w:fill="auto"/>
            <w:noWrap/>
            <w:vAlign w:val="center"/>
          </w:tcPr>
          <w:p w14:paraId="5EAB2027">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原设计图纸号</w:t>
            </w:r>
          </w:p>
        </w:tc>
        <w:tc>
          <w:tcPr>
            <w:tcW w:w="3560" w:type="dxa"/>
            <w:gridSpan w:val="3"/>
            <w:tcBorders>
              <w:top w:val="single" w:color="auto" w:sz="4" w:space="0"/>
              <w:left w:val="nil"/>
              <w:bottom w:val="single" w:color="auto" w:sz="4" w:space="0"/>
              <w:right w:val="single" w:color="auto" w:sz="4" w:space="0"/>
            </w:tcBorders>
            <w:shd w:val="clear" w:color="auto" w:fill="auto"/>
            <w:noWrap/>
            <w:vAlign w:val="center"/>
          </w:tcPr>
          <w:p w14:paraId="468E8DE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130" w:type="dxa"/>
            <w:gridSpan w:val="2"/>
            <w:tcBorders>
              <w:top w:val="single" w:color="auto" w:sz="4" w:space="0"/>
              <w:left w:val="nil"/>
              <w:bottom w:val="single" w:color="auto" w:sz="4" w:space="0"/>
              <w:right w:val="single" w:color="auto" w:sz="4" w:space="0"/>
            </w:tcBorders>
            <w:shd w:val="clear" w:color="auto" w:fill="auto"/>
            <w:noWrap/>
            <w:vAlign w:val="center"/>
          </w:tcPr>
          <w:p w14:paraId="05BB264D">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变更设计图纸号</w:t>
            </w:r>
          </w:p>
        </w:tc>
        <w:tc>
          <w:tcPr>
            <w:tcW w:w="5980" w:type="dxa"/>
            <w:gridSpan w:val="5"/>
            <w:tcBorders>
              <w:top w:val="single" w:color="auto" w:sz="4" w:space="0"/>
              <w:left w:val="nil"/>
              <w:bottom w:val="single" w:color="auto" w:sz="4" w:space="0"/>
              <w:right w:val="single" w:color="000000" w:sz="12" w:space="0"/>
            </w:tcBorders>
            <w:shd w:val="clear" w:color="auto" w:fill="auto"/>
            <w:noWrap/>
            <w:vAlign w:val="center"/>
          </w:tcPr>
          <w:p w14:paraId="4CBD70D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14:paraId="67B75318">
        <w:tblPrEx>
          <w:tblCellMar>
            <w:top w:w="0" w:type="dxa"/>
            <w:left w:w="108" w:type="dxa"/>
            <w:bottom w:w="0" w:type="dxa"/>
            <w:right w:w="108" w:type="dxa"/>
          </w:tblCellMar>
        </w:tblPrEx>
        <w:trPr>
          <w:trHeight w:val="288" w:hRule="atLeast"/>
        </w:trPr>
        <w:tc>
          <w:tcPr>
            <w:tcW w:w="15150" w:type="dxa"/>
            <w:gridSpan w:val="11"/>
            <w:tcBorders>
              <w:top w:val="single" w:color="auto" w:sz="4" w:space="0"/>
              <w:left w:val="single" w:color="auto" w:sz="12" w:space="0"/>
              <w:bottom w:val="single" w:color="000000" w:sz="4" w:space="0"/>
              <w:right w:val="single" w:color="000000" w:sz="12" w:space="0"/>
            </w:tcBorders>
            <w:shd w:val="clear" w:color="auto" w:fill="auto"/>
            <w:noWrap/>
            <w:vAlign w:val="center"/>
          </w:tcPr>
          <w:p w14:paraId="7EA1660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拟变更内容造成的费用增减（包含施工费、辅材等所有费用）</w:t>
            </w:r>
          </w:p>
        </w:tc>
      </w:tr>
      <w:tr w14:paraId="043F1D45">
        <w:tblPrEx>
          <w:tblCellMar>
            <w:top w:w="0" w:type="dxa"/>
            <w:left w:w="108" w:type="dxa"/>
            <w:bottom w:w="0" w:type="dxa"/>
            <w:right w:w="108" w:type="dxa"/>
          </w:tblCellMar>
        </w:tblPrEx>
        <w:trPr>
          <w:trHeight w:val="618" w:hRule="atLeast"/>
        </w:trPr>
        <w:tc>
          <w:tcPr>
            <w:tcW w:w="1480" w:type="dxa"/>
            <w:tcBorders>
              <w:top w:val="nil"/>
              <w:left w:val="single" w:color="auto" w:sz="12" w:space="0"/>
              <w:bottom w:val="single" w:color="auto" w:sz="4" w:space="0"/>
              <w:right w:val="single" w:color="auto" w:sz="4" w:space="0"/>
            </w:tcBorders>
            <w:shd w:val="clear" w:color="auto" w:fill="auto"/>
            <w:noWrap/>
            <w:vAlign w:val="center"/>
          </w:tcPr>
          <w:p w14:paraId="2609118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序号</w:t>
            </w:r>
          </w:p>
        </w:tc>
        <w:tc>
          <w:tcPr>
            <w:tcW w:w="1340" w:type="dxa"/>
            <w:tcBorders>
              <w:top w:val="nil"/>
              <w:left w:val="nil"/>
              <w:bottom w:val="single" w:color="auto" w:sz="4" w:space="0"/>
              <w:right w:val="single" w:color="auto" w:sz="4" w:space="0"/>
            </w:tcBorders>
            <w:shd w:val="clear" w:color="auto" w:fill="auto"/>
            <w:noWrap/>
            <w:vAlign w:val="center"/>
          </w:tcPr>
          <w:p w14:paraId="0741E5D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变更内容描述</w:t>
            </w:r>
          </w:p>
        </w:tc>
        <w:tc>
          <w:tcPr>
            <w:tcW w:w="1020" w:type="dxa"/>
            <w:tcBorders>
              <w:top w:val="nil"/>
              <w:left w:val="nil"/>
              <w:bottom w:val="single" w:color="auto" w:sz="4" w:space="0"/>
              <w:right w:val="single" w:color="auto" w:sz="4" w:space="0"/>
            </w:tcBorders>
            <w:shd w:val="clear" w:color="auto" w:fill="auto"/>
            <w:noWrap/>
            <w:vAlign w:val="center"/>
          </w:tcPr>
          <w:p w14:paraId="4E07956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对应图号</w:t>
            </w:r>
          </w:p>
        </w:tc>
        <w:tc>
          <w:tcPr>
            <w:tcW w:w="1200" w:type="dxa"/>
            <w:tcBorders>
              <w:top w:val="nil"/>
              <w:left w:val="nil"/>
              <w:bottom w:val="single" w:color="auto" w:sz="4" w:space="0"/>
              <w:right w:val="single" w:color="auto" w:sz="4" w:space="0"/>
            </w:tcBorders>
            <w:shd w:val="clear" w:color="auto" w:fill="auto"/>
            <w:noWrap/>
            <w:vAlign w:val="center"/>
          </w:tcPr>
          <w:p w14:paraId="6914C91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变更原因</w:t>
            </w:r>
          </w:p>
        </w:tc>
        <w:tc>
          <w:tcPr>
            <w:tcW w:w="2430" w:type="dxa"/>
            <w:tcBorders>
              <w:top w:val="nil"/>
              <w:left w:val="nil"/>
              <w:bottom w:val="single" w:color="auto" w:sz="4" w:space="0"/>
              <w:right w:val="single" w:color="auto" w:sz="4" w:space="0"/>
            </w:tcBorders>
            <w:shd w:val="clear" w:color="auto" w:fill="auto"/>
            <w:noWrap/>
            <w:vAlign w:val="center"/>
          </w:tcPr>
          <w:p w14:paraId="6079EF9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工程量</w:t>
            </w:r>
          </w:p>
        </w:tc>
        <w:tc>
          <w:tcPr>
            <w:tcW w:w="1700" w:type="dxa"/>
            <w:tcBorders>
              <w:top w:val="nil"/>
              <w:left w:val="nil"/>
              <w:bottom w:val="single" w:color="auto" w:sz="4" w:space="0"/>
              <w:right w:val="single" w:color="auto" w:sz="4" w:space="0"/>
            </w:tcBorders>
            <w:shd w:val="clear" w:color="auto" w:fill="auto"/>
            <w:noWrap/>
            <w:vAlign w:val="center"/>
          </w:tcPr>
          <w:p w14:paraId="416A3D8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综合单价</w:t>
            </w:r>
          </w:p>
        </w:tc>
        <w:tc>
          <w:tcPr>
            <w:tcW w:w="1700" w:type="dxa"/>
            <w:tcBorders>
              <w:top w:val="nil"/>
              <w:left w:val="nil"/>
              <w:bottom w:val="single" w:color="auto" w:sz="4" w:space="0"/>
              <w:right w:val="single" w:color="auto" w:sz="4" w:space="0"/>
            </w:tcBorders>
            <w:shd w:val="clear" w:color="auto" w:fill="auto"/>
            <w:noWrap/>
            <w:vAlign w:val="center"/>
          </w:tcPr>
          <w:p w14:paraId="2C952F0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造价变化（元）</w:t>
            </w:r>
          </w:p>
        </w:tc>
        <w:tc>
          <w:tcPr>
            <w:tcW w:w="1760" w:type="dxa"/>
            <w:tcBorders>
              <w:top w:val="nil"/>
              <w:left w:val="nil"/>
              <w:bottom w:val="single" w:color="auto" w:sz="4" w:space="0"/>
              <w:right w:val="single" w:color="auto" w:sz="4" w:space="0"/>
            </w:tcBorders>
            <w:shd w:val="clear" w:color="auto" w:fill="auto"/>
            <w:vAlign w:val="center"/>
          </w:tcPr>
          <w:p w14:paraId="1BB0298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是否改变外观/是否降低性能</w:t>
            </w:r>
          </w:p>
        </w:tc>
        <w:tc>
          <w:tcPr>
            <w:tcW w:w="1560" w:type="dxa"/>
            <w:gridSpan w:val="2"/>
            <w:tcBorders>
              <w:top w:val="nil"/>
              <w:left w:val="nil"/>
              <w:bottom w:val="single" w:color="auto" w:sz="4" w:space="0"/>
              <w:right w:val="single" w:color="auto" w:sz="4" w:space="0"/>
            </w:tcBorders>
            <w:shd w:val="clear" w:color="auto" w:fill="auto"/>
            <w:vAlign w:val="center"/>
          </w:tcPr>
          <w:p w14:paraId="5682CE0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是否修改主材及改动造型</w:t>
            </w:r>
          </w:p>
        </w:tc>
        <w:tc>
          <w:tcPr>
            <w:tcW w:w="960" w:type="dxa"/>
            <w:tcBorders>
              <w:top w:val="nil"/>
              <w:left w:val="nil"/>
              <w:bottom w:val="single" w:color="auto" w:sz="4" w:space="0"/>
              <w:right w:val="single" w:color="auto" w:sz="12" w:space="0"/>
            </w:tcBorders>
            <w:shd w:val="clear" w:color="auto" w:fill="auto"/>
            <w:noWrap/>
            <w:vAlign w:val="center"/>
          </w:tcPr>
          <w:p w14:paraId="604C928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备注</w:t>
            </w:r>
          </w:p>
        </w:tc>
      </w:tr>
      <w:tr w14:paraId="47453E51">
        <w:tblPrEx>
          <w:tblCellMar>
            <w:top w:w="0" w:type="dxa"/>
            <w:left w:w="108" w:type="dxa"/>
            <w:bottom w:w="0" w:type="dxa"/>
            <w:right w:w="108" w:type="dxa"/>
          </w:tblCellMar>
        </w:tblPrEx>
        <w:trPr>
          <w:trHeight w:val="402" w:hRule="atLeast"/>
        </w:trPr>
        <w:tc>
          <w:tcPr>
            <w:tcW w:w="1480" w:type="dxa"/>
            <w:tcBorders>
              <w:top w:val="nil"/>
              <w:left w:val="single" w:color="auto" w:sz="12" w:space="0"/>
              <w:bottom w:val="single" w:color="auto" w:sz="4" w:space="0"/>
              <w:right w:val="single" w:color="auto" w:sz="4" w:space="0"/>
            </w:tcBorders>
            <w:shd w:val="clear" w:color="auto" w:fill="auto"/>
            <w:noWrap/>
            <w:vAlign w:val="center"/>
          </w:tcPr>
          <w:p w14:paraId="685B7B3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w:t>
            </w:r>
          </w:p>
        </w:tc>
        <w:tc>
          <w:tcPr>
            <w:tcW w:w="1340" w:type="dxa"/>
            <w:tcBorders>
              <w:top w:val="nil"/>
              <w:left w:val="nil"/>
              <w:bottom w:val="single" w:color="auto" w:sz="4" w:space="0"/>
              <w:right w:val="single" w:color="auto" w:sz="4" w:space="0"/>
            </w:tcBorders>
            <w:shd w:val="clear" w:color="auto" w:fill="auto"/>
            <w:noWrap/>
            <w:vAlign w:val="center"/>
          </w:tcPr>
          <w:p w14:paraId="22F7D20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020" w:type="dxa"/>
            <w:tcBorders>
              <w:top w:val="nil"/>
              <w:left w:val="nil"/>
              <w:bottom w:val="single" w:color="auto" w:sz="4" w:space="0"/>
              <w:right w:val="single" w:color="auto" w:sz="4" w:space="0"/>
            </w:tcBorders>
            <w:shd w:val="clear" w:color="auto" w:fill="auto"/>
            <w:noWrap/>
            <w:vAlign w:val="center"/>
          </w:tcPr>
          <w:p w14:paraId="3524E72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14:paraId="02195C4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430" w:type="dxa"/>
            <w:tcBorders>
              <w:top w:val="nil"/>
              <w:left w:val="nil"/>
              <w:bottom w:val="single" w:color="auto" w:sz="4" w:space="0"/>
              <w:right w:val="single" w:color="auto" w:sz="4" w:space="0"/>
            </w:tcBorders>
            <w:shd w:val="clear" w:color="auto" w:fill="auto"/>
            <w:noWrap/>
            <w:vAlign w:val="center"/>
          </w:tcPr>
          <w:p w14:paraId="0FD8521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0" w:type="dxa"/>
            <w:tcBorders>
              <w:top w:val="nil"/>
              <w:left w:val="nil"/>
              <w:bottom w:val="single" w:color="auto" w:sz="4" w:space="0"/>
              <w:right w:val="single" w:color="auto" w:sz="4" w:space="0"/>
            </w:tcBorders>
            <w:shd w:val="clear" w:color="auto" w:fill="auto"/>
            <w:noWrap/>
            <w:vAlign w:val="center"/>
          </w:tcPr>
          <w:p w14:paraId="50F805F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0" w:type="dxa"/>
            <w:tcBorders>
              <w:top w:val="nil"/>
              <w:left w:val="nil"/>
              <w:bottom w:val="single" w:color="auto" w:sz="4" w:space="0"/>
              <w:right w:val="single" w:color="auto" w:sz="4" w:space="0"/>
            </w:tcBorders>
            <w:shd w:val="clear" w:color="auto" w:fill="auto"/>
            <w:noWrap/>
            <w:vAlign w:val="center"/>
          </w:tcPr>
          <w:p w14:paraId="0FE80DE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60" w:type="dxa"/>
            <w:tcBorders>
              <w:top w:val="nil"/>
              <w:left w:val="nil"/>
              <w:bottom w:val="single" w:color="auto" w:sz="4" w:space="0"/>
              <w:right w:val="single" w:color="auto" w:sz="4" w:space="0"/>
            </w:tcBorders>
            <w:shd w:val="clear" w:color="auto" w:fill="auto"/>
            <w:noWrap/>
            <w:vAlign w:val="center"/>
          </w:tcPr>
          <w:p w14:paraId="36AB4A7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560" w:type="dxa"/>
            <w:gridSpan w:val="2"/>
            <w:tcBorders>
              <w:top w:val="nil"/>
              <w:left w:val="nil"/>
              <w:bottom w:val="single" w:color="auto" w:sz="4" w:space="0"/>
              <w:right w:val="nil"/>
            </w:tcBorders>
            <w:shd w:val="clear" w:color="auto" w:fill="auto"/>
            <w:noWrap/>
            <w:vAlign w:val="center"/>
          </w:tcPr>
          <w:p w14:paraId="5DC8B85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960" w:type="dxa"/>
            <w:tcBorders>
              <w:top w:val="nil"/>
              <w:left w:val="single" w:color="auto" w:sz="4" w:space="0"/>
              <w:bottom w:val="single" w:color="auto" w:sz="4" w:space="0"/>
              <w:right w:val="single" w:color="auto" w:sz="12" w:space="0"/>
            </w:tcBorders>
            <w:shd w:val="clear" w:color="auto" w:fill="auto"/>
            <w:noWrap/>
            <w:vAlign w:val="center"/>
          </w:tcPr>
          <w:p w14:paraId="1A62DE5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14:paraId="475BB7CC">
        <w:tblPrEx>
          <w:tblCellMar>
            <w:top w:w="0" w:type="dxa"/>
            <w:left w:w="108" w:type="dxa"/>
            <w:bottom w:w="0" w:type="dxa"/>
            <w:right w:w="108" w:type="dxa"/>
          </w:tblCellMar>
        </w:tblPrEx>
        <w:trPr>
          <w:trHeight w:val="402" w:hRule="atLeast"/>
        </w:trPr>
        <w:tc>
          <w:tcPr>
            <w:tcW w:w="1480" w:type="dxa"/>
            <w:tcBorders>
              <w:top w:val="nil"/>
              <w:left w:val="single" w:color="auto" w:sz="12" w:space="0"/>
              <w:bottom w:val="single" w:color="auto" w:sz="4" w:space="0"/>
              <w:right w:val="single" w:color="auto" w:sz="4" w:space="0"/>
            </w:tcBorders>
            <w:shd w:val="clear" w:color="auto" w:fill="auto"/>
            <w:noWrap/>
            <w:vAlign w:val="center"/>
          </w:tcPr>
          <w:p w14:paraId="7DB2742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w:t>
            </w:r>
          </w:p>
        </w:tc>
        <w:tc>
          <w:tcPr>
            <w:tcW w:w="1340" w:type="dxa"/>
            <w:tcBorders>
              <w:top w:val="nil"/>
              <w:left w:val="nil"/>
              <w:bottom w:val="single" w:color="auto" w:sz="4" w:space="0"/>
              <w:right w:val="single" w:color="auto" w:sz="4" w:space="0"/>
            </w:tcBorders>
            <w:shd w:val="clear" w:color="auto" w:fill="auto"/>
            <w:noWrap/>
            <w:vAlign w:val="center"/>
          </w:tcPr>
          <w:p w14:paraId="1D9BC6D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020" w:type="dxa"/>
            <w:tcBorders>
              <w:top w:val="nil"/>
              <w:left w:val="nil"/>
              <w:bottom w:val="single" w:color="auto" w:sz="4" w:space="0"/>
              <w:right w:val="single" w:color="auto" w:sz="4" w:space="0"/>
            </w:tcBorders>
            <w:shd w:val="clear" w:color="auto" w:fill="auto"/>
            <w:noWrap/>
            <w:vAlign w:val="center"/>
          </w:tcPr>
          <w:p w14:paraId="2DC757E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14:paraId="733F776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430" w:type="dxa"/>
            <w:tcBorders>
              <w:top w:val="nil"/>
              <w:left w:val="nil"/>
              <w:bottom w:val="single" w:color="auto" w:sz="4" w:space="0"/>
              <w:right w:val="single" w:color="auto" w:sz="4" w:space="0"/>
            </w:tcBorders>
            <w:shd w:val="clear" w:color="auto" w:fill="auto"/>
            <w:noWrap/>
            <w:vAlign w:val="center"/>
          </w:tcPr>
          <w:p w14:paraId="184D142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0" w:type="dxa"/>
            <w:tcBorders>
              <w:top w:val="nil"/>
              <w:left w:val="nil"/>
              <w:bottom w:val="single" w:color="auto" w:sz="4" w:space="0"/>
              <w:right w:val="single" w:color="auto" w:sz="4" w:space="0"/>
            </w:tcBorders>
            <w:shd w:val="clear" w:color="auto" w:fill="auto"/>
            <w:noWrap/>
            <w:vAlign w:val="center"/>
          </w:tcPr>
          <w:p w14:paraId="5BB1C8C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0" w:type="dxa"/>
            <w:tcBorders>
              <w:top w:val="nil"/>
              <w:left w:val="nil"/>
              <w:bottom w:val="single" w:color="auto" w:sz="4" w:space="0"/>
              <w:right w:val="single" w:color="auto" w:sz="4" w:space="0"/>
            </w:tcBorders>
            <w:shd w:val="clear" w:color="auto" w:fill="auto"/>
            <w:noWrap/>
            <w:vAlign w:val="center"/>
          </w:tcPr>
          <w:p w14:paraId="6AFE795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60" w:type="dxa"/>
            <w:tcBorders>
              <w:top w:val="nil"/>
              <w:left w:val="nil"/>
              <w:bottom w:val="single" w:color="auto" w:sz="4" w:space="0"/>
              <w:right w:val="single" w:color="auto" w:sz="4" w:space="0"/>
            </w:tcBorders>
            <w:shd w:val="clear" w:color="auto" w:fill="auto"/>
            <w:noWrap/>
            <w:vAlign w:val="center"/>
          </w:tcPr>
          <w:p w14:paraId="72DAFCF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560" w:type="dxa"/>
            <w:gridSpan w:val="2"/>
            <w:tcBorders>
              <w:top w:val="nil"/>
              <w:left w:val="nil"/>
              <w:bottom w:val="single" w:color="auto" w:sz="4" w:space="0"/>
              <w:right w:val="nil"/>
            </w:tcBorders>
            <w:shd w:val="clear" w:color="auto" w:fill="auto"/>
            <w:noWrap/>
            <w:vAlign w:val="center"/>
          </w:tcPr>
          <w:p w14:paraId="09F946C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960" w:type="dxa"/>
            <w:tcBorders>
              <w:top w:val="nil"/>
              <w:left w:val="single" w:color="auto" w:sz="4" w:space="0"/>
              <w:bottom w:val="single" w:color="auto" w:sz="4" w:space="0"/>
              <w:right w:val="single" w:color="auto" w:sz="12" w:space="0"/>
            </w:tcBorders>
            <w:shd w:val="clear" w:color="auto" w:fill="auto"/>
            <w:noWrap/>
            <w:vAlign w:val="center"/>
          </w:tcPr>
          <w:p w14:paraId="3567043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14:paraId="68B21779">
        <w:tblPrEx>
          <w:tblCellMar>
            <w:top w:w="0" w:type="dxa"/>
            <w:left w:w="108" w:type="dxa"/>
            <w:bottom w:w="0" w:type="dxa"/>
            <w:right w:w="108" w:type="dxa"/>
          </w:tblCellMar>
        </w:tblPrEx>
        <w:trPr>
          <w:trHeight w:val="402" w:hRule="atLeast"/>
        </w:trPr>
        <w:tc>
          <w:tcPr>
            <w:tcW w:w="1480" w:type="dxa"/>
            <w:tcBorders>
              <w:top w:val="nil"/>
              <w:left w:val="single" w:color="auto" w:sz="12" w:space="0"/>
              <w:bottom w:val="single" w:color="auto" w:sz="4" w:space="0"/>
              <w:right w:val="single" w:color="auto" w:sz="4" w:space="0"/>
            </w:tcBorders>
            <w:shd w:val="clear" w:color="auto" w:fill="auto"/>
            <w:noWrap/>
            <w:vAlign w:val="center"/>
          </w:tcPr>
          <w:p w14:paraId="54832BA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w:t>
            </w:r>
          </w:p>
        </w:tc>
        <w:tc>
          <w:tcPr>
            <w:tcW w:w="1340" w:type="dxa"/>
            <w:tcBorders>
              <w:top w:val="nil"/>
              <w:left w:val="nil"/>
              <w:bottom w:val="single" w:color="auto" w:sz="4" w:space="0"/>
              <w:right w:val="single" w:color="auto" w:sz="4" w:space="0"/>
            </w:tcBorders>
            <w:shd w:val="clear" w:color="auto" w:fill="auto"/>
            <w:noWrap/>
            <w:vAlign w:val="center"/>
          </w:tcPr>
          <w:p w14:paraId="426AB4B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020" w:type="dxa"/>
            <w:tcBorders>
              <w:top w:val="nil"/>
              <w:left w:val="nil"/>
              <w:bottom w:val="single" w:color="auto" w:sz="4" w:space="0"/>
              <w:right w:val="single" w:color="auto" w:sz="4" w:space="0"/>
            </w:tcBorders>
            <w:shd w:val="clear" w:color="auto" w:fill="auto"/>
            <w:noWrap/>
            <w:vAlign w:val="center"/>
          </w:tcPr>
          <w:p w14:paraId="4D1C874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14:paraId="0DABB69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430" w:type="dxa"/>
            <w:tcBorders>
              <w:top w:val="nil"/>
              <w:left w:val="nil"/>
              <w:bottom w:val="single" w:color="auto" w:sz="4" w:space="0"/>
              <w:right w:val="single" w:color="auto" w:sz="4" w:space="0"/>
            </w:tcBorders>
            <w:shd w:val="clear" w:color="auto" w:fill="auto"/>
            <w:noWrap/>
            <w:vAlign w:val="center"/>
          </w:tcPr>
          <w:p w14:paraId="4A218C0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0" w:type="dxa"/>
            <w:tcBorders>
              <w:top w:val="nil"/>
              <w:left w:val="nil"/>
              <w:bottom w:val="single" w:color="auto" w:sz="4" w:space="0"/>
              <w:right w:val="single" w:color="auto" w:sz="4" w:space="0"/>
            </w:tcBorders>
            <w:shd w:val="clear" w:color="auto" w:fill="auto"/>
            <w:noWrap/>
            <w:vAlign w:val="center"/>
          </w:tcPr>
          <w:p w14:paraId="515A0BD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0" w:type="dxa"/>
            <w:tcBorders>
              <w:top w:val="nil"/>
              <w:left w:val="nil"/>
              <w:bottom w:val="single" w:color="auto" w:sz="4" w:space="0"/>
              <w:right w:val="single" w:color="auto" w:sz="4" w:space="0"/>
            </w:tcBorders>
            <w:shd w:val="clear" w:color="auto" w:fill="auto"/>
            <w:noWrap/>
            <w:vAlign w:val="center"/>
          </w:tcPr>
          <w:p w14:paraId="5DE0909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60" w:type="dxa"/>
            <w:tcBorders>
              <w:top w:val="nil"/>
              <w:left w:val="nil"/>
              <w:bottom w:val="single" w:color="auto" w:sz="4" w:space="0"/>
              <w:right w:val="single" w:color="auto" w:sz="4" w:space="0"/>
            </w:tcBorders>
            <w:shd w:val="clear" w:color="auto" w:fill="auto"/>
            <w:noWrap/>
            <w:vAlign w:val="center"/>
          </w:tcPr>
          <w:p w14:paraId="4B607AF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560" w:type="dxa"/>
            <w:gridSpan w:val="2"/>
            <w:tcBorders>
              <w:top w:val="nil"/>
              <w:left w:val="nil"/>
              <w:bottom w:val="single" w:color="auto" w:sz="4" w:space="0"/>
              <w:right w:val="nil"/>
            </w:tcBorders>
            <w:shd w:val="clear" w:color="auto" w:fill="auto"/>
            <w:noWrap/>
            <w:vAlign w:val="center"/>
          </w:tcPr>
          <w:p w14:paraId="6E6F79F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960" w:type="dxa"/>
            <w:tcBorders>
              <w:top w:val="nil"/>
              <w:left w:val="single" w:color="auto" w:sz="4" w:space="0"/>
              <w:bottom w:val="single" w:color="auto" w:sz="4" w:space="0"/>
              <w:right w:val="single" w:color="auto" w:sz="12" w:space="0"/>
            </w:tcBorders>
            <w:shd w:val="clear" w:color="auto" w:fill="auto"/>
            <w:noWrap/>
            <w:vAlign w:val="center"/>
          </w:tcPr>
          <w:p w14:paraId="77F1504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14:paraId="73770701">
        <w:tblPrEx>
          <w:tblCellMar>
            <w:top w:w="0" w:type="dxa"/>
            <w:left w:w="108" w:type="dxa"/>
            <w:bottom w:w="0" w:type="dxa"/>
            <w:right w:w="108" w:type="dxa"/>
          </w:tblCellMar>
        </w:tblPrEx>
        <w:trPr>
          <w:trHeight w:val="402" w:hRule="atLeast"/>
        </w:trPr>
        <w:tc>
          <w:tcPr>
            <w:tcW w:w="1480" w:type="dxa"/>
            <w:tcBorders>
              <w:top w:val="nil"/>
              <w:left w:val="single" w:color="auto" w:sz="12" w:space="0"/>
              <w:bottom w:val="single" w:color="auto" w:sz="4" w:space="0"/>
              <w:right w:val="single" w:color="auto" w:sz="4" w:space="0"/>
            </w:tcBorders>
            <w:shd w:val="clear" w:color="auto" w:fill="auto"/>
            <w:noWrap/>
            <w:vAlign w:val="center"/>
          </w:tcPr>
          <w:p w14:paraId="2006913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总计</w:t>
            </w:r>
          </w:p>
        </w:tc>
        <w:tc>
          <w:tcPr>
            <w:tcW w:w="13670" w:type="dxa"/>
            <w:gridSpan w:val="10"/>
            <w:tcBorders>
              <w:top w:val="single" w:color="auto" w:sz="4" w:space="0"/>
              <w:left w:val="nil"/>
              <w:bottom w:val="single" w:color="auto" w:sz="4" w:space="0"/>
              <w:right w:val="single" w:color="000000" w:sz="12" w:space="0"/>
            </w:tcBorders>
            <w:shd w:val="clear" w:color="auto" w:fill="auto"/>
            <w:noWrap/>
            <w:vAlign w:val="center"/>
          </w:tcPr>
          <w:p w14:paraId="3304E20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14:paraId="6BF89164">
        <w:tblPrEx>
          <w:tblCellMar>
            <w:top w:w="0" w:type="dxa"/>
            <w:left w:w="108" w:type="dxa"/>
            <w:bottom w:w="0" w:type="dxa"/>
            <w:right w:w="108" w:type="dxa"/>
          </w:tblCellMar>
        </w:tblPrEx>
        <w:trPr>
          <w:trHeight w:val="2596" w:hRule="atLeast"/>
        </w:trPr>
        <w:tc>
          <w:tcPr>
            <w:tcW w:w="15150" w:type="dxa"/>
            <w:gridSpan w:val="11"/>
            <w:tcBorders>
              <w:top w:val="single" w:color="auto" w:sz="8" w:space="0"/>
              <w:left w:val="single" w:color="auto" w:sz="12" w:space="0"/>
              <w:bottom w:val="single" w:color="auto" w:sz="8" w:space="0"/>
              <w:right w:val="single" w:color="000000" w:sz="12" w:space="0"/>
            </w:tcBorders>
            <w:shd w:val="clear" w:color="auto" w:fill="auto"/>
          </w:tcPr>
          <w:p w14:paraId="666D347B">
            <w:pPr>
              <w:widowControl/>
              <w:jc w:val="left"/>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重要说明：1、本表由深化设计/施工单位填写，并在提交深化设计图/施工图时一并提交。</w:t>
            </w:r>
            <w:r>
              <w:rPr>
                <w:rFonts w:hint="eastAsia" w:ascii="宋体" w:hAnsi="宋体" w:cs="宋体"/>
                <w:b/>
                <w:bCs/>
                <w:color w:val="000000"/>
                <w:kern w:val="0"/>
                <w:sz w:val="20"/>
                <w:szCs w:val="20"/>
                <w:highlight w:val="none"/>
              </w:rPr>
              <w:br w:type="textWrapping"/>
            </w:r>
            <w:r>
              <w:rPr>
                <w:rFonts w:hint="eastAsia" w:ascii="宋体" w:hAnsi="宋体" w:cs="宋体"/>
                <w:b/>
                <w:bCs/>
                <w:color w:val="000000"/>
                <w:kern w:val="0"/>
                <w:sz w:val="20"/>
                <w:szCs w:val="20"/>
                <w:highlight w:val="none"/>
              </w:rPr>
              <w:t>2、本表由深化设计/施工单位填写时需承诺深化图没有修改主材及改变效果。</w:t>
            </w:r>
            <w:r>
              <w:rPr>
                <w:rFonts w:hint="eastAsia" w:ascii="宋体" w:hAnsi="宋体" w:cs="宋体"/>
                <w:b/>
                <w:bCs/>
                <w:color w:val="000000"/>
                <w:kern w:val="0"/>
                <w:sz w:val="20"/>
                <w:szCs w:val="20"/>
                <w:highlight w:val="none"/>
              </w:rPr>
              <w:br w:type="textWrapping"/>
            </w:r>
            <w:r>
              <w:rPr>
                <w:rFonts w:hint="eastAsia" w:ascii="宋体" w:hAnsi="宋体" w:cs="宋体"/>
                <w:b/>
                <w:bCs/>
                <w:color w:val="000000"/>
                <w:kern w:val="0"/>
                <w:sz w:val="20"/>
                <w:szCs w:val="20"/>
                <w:highlight w:val="none"/>
              </w:rPr>
              <w:t>3、工程造价增减方式以合同为准。所涉及的材料、设备数量增加，必须在表中申报，未申报的将不再予以计量。</w:t>
            </w:r>
            <w:r>
              <w:rPr>
                <w:rFonts w:hint="eastAsia" w:ascii="宋体" w:hAnsi="宋体" w:cs="宋体"/>
                <w:b/>
                <w:bCs/>
                <w:color w:val="000000"/>
                <w:kern w:val="0"/>
                <w:sz w:val="20"/>
                <w:szCs w:val="20"/>
                <w:highlight w:val="none"/>
              </w:rPr>
              <w:br w:type="textWrapping"/>
            </w:r>
            <w:r>
              <w:rPr>
                <w:rFonts w:hint="eastAsia" w:ascii="宋体" w:hAnsi="宋体" w:cs="宋体"/>
                <w:b/>
                <w:bCs/>
                <w:color w:val="000000"/>
                <w:kern w:val="0"/>
                <w:sz w:val="20"/>
                <w:szCs w:val="20"/>
                <w:highlight w:val="none"/>
              </w:rPr>
              <w:t>4、业主仅对修改内容予以形式确认，但不能免除施工方实施责任，施工单位对数据的可实施性负全责。</w:t>
            </w:r>
            <w:r>
              <w:rPr>
                <w:rFonts w:hint="eastAsia" w:ascii="宋体" w:hAnsi="宋体" w:cs="宋体"/>
                <w:b/>
                <w:bCs/>
                <w:color w:val="000000"/>
                <w:kern w:val="0"/>
                <w:sz w:val="20"/>
                <w:szCs w:val="20"/>
                <w:highlight w:val="none"/>
              </w:rPr>
              <w:br w:type="textWrapping"/>
            </w:r>
            <w:r>
              <w:rPr>
                <w:rFonts w:hint="eastAsia" w:ascii="宋体" w:hAnsi="宋体" w:cs="宋体"/>
                <w:b/>
                <w:bCs/>
                <w:color w:val="000000"/>
                <w:kern w:val="0"/>
                <w:sz w:val="20"/>
                <w:szCs w:val="20"/>
                <w:highlight w:val="none"/>
              </w:rPr>
              <w:t>5、因深化设计所增加或减少的成本，必须以满足招标文件、相关国家规范条文为前提。</w:t>
            </w:r>
            <w:r>
              <w:rPr>
                <w:rFonts w:hint="eastAsia" w:ascii="宋体" w:hAnsi="宋体" w:cs="宋体"/>
                <w:b/>
                <w:bCs/>
                <w:color w:val="000000"/>
                <w:kern w:val="0"/>
                <w:sz w:val="20"/>
                <w:szCs w:val="20"/>
                <w:highlight w:val="none"/>
              </w:rPr>
              <w:br w:type="textWrapping"/>
            </w:r>
            <w:r>
              <w:rPr>
                <w:rFonts w:hint="eastAsia" w:ascii="宋体" w:hAnsi="宋体" w:cs="宋体"/>
                <w:b/>
                <w:bCs/>
                <w:color w:val="000000"/>
                <w:kern w:val="0"/>
                <w:sz w:val="20"/>
                <w:szCs w:val="20"/>
                <w:highlight w:val="none"/>
              </w:rPr>
              <w:t>6、深化设计/施工图功能上不得低于原有设计要求。</w:t>
            </w:r>
            <w:r>
              <w:rPr>
                <w:rFonts w:hint="eastAsia" w:ascii="宋体" w:hAnsi="宋体" w:cs="宋体"/>
                <w:b/>
                <w:bCs/>
                <w:color w:val="000000"/>
                <w:kern w:val="0"/>
                <w:sz w:val="20"/>
                <w:szCs w:val="20"/>
                <w:highlight w:val="none"/>
              </w:rPr>
              <w:br w:type="textWrapping"/>
            </w:r>
            <w:r>
              <w:rPr>
                <w:rFonts w:hint="eastAsia" w:ascii="宋体" w:hAnsi="宋体" w:cs="宋体"/>
                <w:b/>
                <w:bCs/>
                <w:color w:val="000000"/>
                <w:kern w:val="0"/>
                <w:sz w:val="20"/>
                <w:szCs w:val="20"/>
                <w:highlight w:val="none"/>
              </w:rPr>
              <w:t>7、相关设计修改需要在原设计图纸、原设计文件中标示，并作为附件。</w:t>
            </w:r>
            <w:r>
              <w:rPr>
                <w:rFonts w:hint="eastAsia" w:ascii="宋体" w:hAnsi="宋体" w:cs="宋体"/>
                <w:b/>
                <w:bCs/>
                <w:color w:val="000000"/>
                <w:kern w:val="0"/>
                <w:sz w:val="20"/>
                <w:szCs w:val="20"/>
                <w:highlight w:val="none"/>
              </w:rPr>
              <w:br w:type="textWrapping"/>
            </w:r>
            <w:r>
              <w:rPr>
                <w:rFonts w:hint="eastAsia" w:ascii="宋体" w:hAnsi="宋体" w:cs="宋体"/>
                <w:b/>
                <w:bCs/>
                <w:color w:val="000000"/>
                <w:kern w:val="0"/>
                <w:sz w:val="20"/>
                <w:szCs w:val="20"/>
                <w:highlight w:val="none"/>
              </w:rPr>
              <w:t>8、本表未说明的内容以招标文件中相关深化设计要求为准。</w:t>
            </w:r>
            <w:r>
              <w:rPr>
                <w:rFonts w:hint="eastAsia" w:ascii="宋体" w:hAnsi="宋体" w:cs="宋体"/>
                <w:b/>
                <w:bCs/>
                <w:color w:val="000000"/>
                <w:kern w:val="0"/>
                <w:sz w:val="20"/>
                <w:szCs w:val="20"/>
                <w:highlight w:val="none"/>
              </w:rPr>
              <w:br w:type="textWrapping"/>
            </w:r>
            <w:r>
              <w:rPr>
                <w:rFonts w:hint="eastAsia" w:ascii="宋体" w:hAnsi="宋体" w:cs="宋体"/>
                <w:b/>
                <w:bCs/>
                <w:color w:val="000000"/>
                <w:kern w:val="0"/>
                <w:sz w:val="20"/>
                <w:szCs w:val="20"/>
                <w:highlight w:val="none"/>
              </w:rPr>
              <w:t>9、如表格与图纸不符，以表格为准。</w:t>
            </w:r>
          </w:p>
        </w:tc>
      </w:tr>
      <w:tr w14:paraId="30451DFA">
        <w:tblPrEx>
          <w:tblCellMar>
            <w:top w:w="0" w:type="dxa"/>
            <w:left w:w="108" w:type="dxa"/>
            <w:bottom w:w="0" w:type="dxa"/>
            <w:right w:w="108" w:type="dxa"/>
          </w:tblCellMar>
        </w:tblPrEx>
        <w:trPr>
          <w:trHeight w:val="288" w:hRule="atLeast"/>
        </w:trPr>
        <w:tc>
          <w:tcPr>
            <w:tcW w:w="1480" w:type="dxa"/>
            <w:tcBorders>
              <w:top w:val="nil"/>
              <w:left w:val="single" w:color="auto" w:sz="12" w:space="0"/>
              <w:bottom w:val="nil"/>
              <w:right w:val="nil"/>
            </w:tcBorders>
            <w:shd w:val="clear" w:color="auto" w:fill="auto"/>
            <w:noWrap/>
            <w:vAlign w:val="center"/>
          </w:tcPr>
          <w:p w14:paraId="47F3CBF6">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xml:space="preserve"> 施工单位(章)</w:t>
            </w:r>
          </w:p>
        </w:tc>
        <w:tc>
          <w:tcPr>
            <w:tcW w:w="1340" w:type="dxa"/>
            <w:tcBorders>
              <w:top w:val="nil"/>
              <w:left w:val="nil"/>
              <w:bottom w:val="nil"/>
              <w:right w:val="single" w:color="auto" w:sz="4" w:space="0"/>
            </w:tcBorders>
            <w:shd w:val="clear" w:color="auto" w:fill="auto"/>
            <w:noWrap/>
            <w:vAlign w:val="center"/>
          </w:tcPr>
          <w:p w14:paraId="45D5841C">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220" w:type="dxa"/>
            <w:gridSpan w:val="2"/>
            <w:tcBorders>
              <w:top w:val="nil"/>
              <w:left w:val="single" w:color="auto" w:sz="4" w:space="0"/>
              <w:bottom w:val="nil"/>
              <w:right w:val="nil"/>
            </w:tcBorders>
            <w:shd w:val="clear" w:color="auto" w:fill="auto"/>
            <w:noWrap/>
            <w:vAlign w:val="center"/>
          </w:tcPr>
          <w:p w14:paraId="5766C024">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监理公司(章)</w:t>
            </w:r>
          </w:p>
        </w:tc>
        <w:tc>
          <w:tcPr>
            <w:tcW w:w="2430" w:type="dxa"/>
            <w:tcBorders>
              <w:top w:val="nil"/>
              <w:left w:val="nil"/>
              <w:bottom w:val="nil"/>
              <w:right w:val="single" w:color="auto" w:sz="4" w:space="0"/>
            </w:tcBorders>
            <w:shd w:val="clear" w:color="auto" w:fill="auto"/>
            <w:noWrap/>
            <w:vAlign w:val="center"/>
          </w:tcPr>
          <w:p w14:paraId="5F344FCD">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0" w:type="dxa"/>
            <w:tcBorders>
              <w:top w:val="nil"/>
              <w:left w:val="nil"/>
              <w:bottom w:val="nil"/>
              <w:right w:val="nil"/>
            </w:tcBorders>
            <w:shd w:val="clear" w:color="auto" w:fill="auto"/>
            <w:noWrap/>
            <w:vAlign w:val="center"/>
          </w:tcPr>
          <w:p w14:paraId="2E11411F">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项目公司（章）</w:t>
            </w:r>
          </w:p>
        </w:tc>
        <w:tc>
          <w:tcPr>
            <w:tcW w:w="1700" w:type="dxa"/>
            <w:tcBorders>
              <w:top w:val="nil"/>
              <w:left w:val="nil"/>
              <w:bottom w:val="nil"/>
              <w:right w:val="nil"/>
            </w:tcBorders>
            <w:shd w:val="clear" w:color="auto" w:fill="auto"/>
            <w:noWrap/>
            <w:vAlign w:val="center"/>
          </w:tcPr>
          <w:p w14:paraId="5F918434">
            <w:pPr>
              <w:widowControl/>
              <w:jc w:val="left"/>
              <w:rPr>
                <w:rFonts w:ascii="宋体" w:hAnsi="宋体" w:cs="宋体"/>
                <w:color w:val="000000"/>
                <w:kern w:val="0"/>
                <w:sz w:val="20"/>
                <w:szCs w:val="20"/>
                <w:highlight w:val="none"/>
              </w:rPr>
            </w:pPr>
          </w:p>
        </w:tc>
        <w:tc>
          <w:tcPr>
            <w:tcW w:w="1760" w:type="dxa"/>
            <w:tcBorders>
              <w:top w:val="nil"/>
              <w:left w:val="nil"/>
              <w:bottom w:val="nil"/>
              <w:right w:val="nil"/>
            </w:tcBorders>
            <w:shd w:val="clear" w:color="auto" w:fill="auto"/>
            <w:noWrap/>
            <w:vAlign w:val="center"/>
          </w:tcPr>
          <w:p w14:paraId="55F9423F">
            <w:pPr>
              <w:widowControl/>
              <w:jc w:val="left"/>
              <w:rPr>
                <w:rFonts w:ascii="宋体" w:hAnsi="宋体" w:cs="宋体"/>
                <w:color w:val="000000"/>
                <w:kern w:val="0"/>
                <w:sz w:val="20"/>
                <w:szCs w:val="20"/>
                <w:highlight w:val="none"/>
              </w:rPr>
            </w:pPr>
          </w:p>
        </w:tc>
        <w:tc>
          <w:tcPr>
            <w:tcW w:w="1340" w:type="dxa"/>
            <w:tcBorders>
              <w:top w:val="nil"/>
              <w:left w:val="nil"/>
              <w:bottom w:val="nil"/>
              <w:right w:val="nil"/>
            </w:tcBorders>
            <w:shd w:val="clear" w:color="auto" w:fill="auto"/>
            <w:noWrap/>
            <w:vAlign w:val="center"/>
          </w:tcPr>
          <w:p w14:paraId="25E69B3D">
            <w:pPr>
              <w:widowControl/>
              <w:jc w:val="left"/>
              <w:rPr>
                <w:rFonts w:ascii="宋体" w:hAnsi="宋体" w:cs="宋体"/>
                <w:color w:val="000000"/>
                <w:kern w:val="0"/>
                <w:sz w:val="20"/>
                <w:szCs w:val="20"/>
                <w:highlight w:val="none"/>
              </w:rPr>
            </w:pPr>
          </w:p>
        </w:tc>
        <w:tc>
          <w:tcPr>
            <w:tcW w:w="1180" w:type="dxa"/>
            <w:gridSpan w:val="2"/>
            <w:tcBorders>
              <w:top w:val="nil"/>
              <w:left w:val="nil"/>
              <w:bottom w:val="nil"/>
              <w:right w:val="single" w:color="auto" w:sz="12" w:space="0"/>
            </w:tcBorders>
            <w:shd w:val="clear" w:color="auto" w:fill="auto"/>
            <w:noWrap/>
            <w:vAlign w:val="center"/>
          </w:tcPr>
          <w:p w14:paraId="7A02BC56">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14:paraId="75F0ACAF">
        <w:tblPrEx>
          <w:tblCellMar>
            <w:top w:w="0" w:type="dxa"/>
            <w:left w:w="108" w:type="dxa"/>
            <w:bottom w:w="0" w:type="dxa"/>
            <w:right w:w="108" w:type="dxa"/>
          </w:tblCellMar>
        </w:tblPrEx>
        <w:trPr>
          <w:trHeight w:val="288" w:hRule="atLeast"/>
        </w:trPr>
        <w:tc>
          <w:tcPr>
            <w:tcW w:w="1480" w:type="dxa"/>
            <w:tcBorders>
              <w:top w:val="nil"/>
              <w:left w:val="single" w:color="auto" w:sz="12" w:space="0"/>
              <w:bottom w:val="nil"/>
              <w:right w:val="nil"/>
            </w:tcBorders>
            <w:shd w:val="clear" w:color="auto" w:fill="auto"/>
            <w:noWrap/>
            <w:vAlign w:val="center"/>
          </w:tcPr>
          <w:p w14:paraId="351B03A0">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340" w:type="dxa"/>
            <w:tcBorders>
              <w:top w:val="nil"/>
              <w:left w:val="nil"/>
              <w:bottom w:val="nil"/>
              <w:right w:val="single" w:color="auto" w:sz="4" w:space="0"/>
            </w:tcBorders>
            <w:shd w:val="clear" w:color="auto" w:fill="auto"/>
            <w:noWrap/>
            <w:vAlign w:val="center"/>
          </w:tcPr>
          <w:p w14:paraId="77DCC5D6">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020" w:type="dxa"/>
            <w:tcBorders>
              <w:top w:val="nil"/>
              <w:left w:val="nil"/>
              <w:bottom w:val="nil"/>
              <w:right w:val="nil"/>
            </w:tcBorders>
            <w:shd w:val="clear" w:color="auto" w:fill="auto"/>
            <w:noWrap/>
            <w:vAlign w:val="center"/>
          </w:tcPr>
          <w:p w14:paraId="16CC23D5">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200" w:type="dxa"/>
            <w:tcBorders>
              <w:top w:val="nil"/>
              <w:left w:val="nil"/>
              <w:bottom w:val="nil"/>
              <w:right w:val="nil"/>
            </w:tcBorders>
            <w:shd w:val="clear" w:color="auto" w:fill="auto"/>
            <w:noWrap/>
            <w:vAlign w:val="center"/>
          </w:tcPr>
          <w:p w14:paraId="6824D6A7">
            <w:pPr>
              <w:widowControl/>
              <w:jc w:val="left"/>
              <w:rPr>
                <w:rFonts w:ascii="宋体" w:hAnsi="宋体" w:cs="宋体"/>
                <w:color w:val="000000"/>
                <w:kern w:val="0"/>
                <w:sz w:val="20"/>
                <w:szCs w:val="20"/>
                <w:highlight w:val="none"/>
              </w:rPr>
            </w:pPr>
          </w:p>
        </w:tc>
        <w:tc>
          <w:tcPr>
            <w:tcW w:w="2430" w:type="dxa"/>
            <w:tcBorders>
              <w:top w:val="nil"/>
              <w:left w:val="nil"/>
              <w:bottom w:val="nil"/>
              <w:right w:val="single" w:color="auto" w:sz="4" w:space="0"/>
            </w:tcBorders>
            <w:shd w:val="clear" w:color="auto" w:fill="auto"/>
            <w:noWrap/>
            <w:vAlign w:val="center"/>
          </w:tcPr>
          <w:p w14:paraId="56C7C890">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0" w:type="dxa"/>
            <w:tcBorders>
              <w:top w:val="nil"/>
              <w:left w:val="nil"/>
              <w:bottom w:val="nil"/>
              <w:right w:val="nil"/>
            </w:tcBorders>
            <w:shd w:val="clear" w:color="auto" w:fill="auto"/>
            <w:noWrap/>
            <w:vAlign w:val="center"/>
          </w:tcPr>
          <w:p w14:paraId="2F563F13">
            <w:pPr>
              <w:widowControl/>
              <w:jc w:val="left"/>
              <w:rPr>
                <w:rFonts w:ascii="宋体" w:hAnsi="宋体" w:cs="宋体"/>
                <w:kern w:val="0"/>
                <w:sz w:val="20"/>
                <w:szCs w:val="20"/>
                <w:highlight w:val="none"/>
              </w:rPr>
            </w:pPr>
            <w:r>
              <w:rPr>
                <w:rFonts w:hint="eastAsia" w:ascii="宋体" w:hAnsi="宋体" w:cs="宋体"/>
                <w:kern w:val="0"/>
                <w:sz w:val="20"/>
                <w:szCs w:val="20"/>
                <w:highlight w:val="none"/>
              </w:rPr>
              <w:t>专业工程师：</w:t>
            </w:r>
          </w:p>
        </w:tc>
        <w:tc>
          <w:tcPr>
            <w:tcW w:w="1700" w:type="dxa"/>
            <w:tcBorders>
              <w:top w:val="nil"/>
              <w:left w:val="nil"/>
              <w:bottom w:val="nil"/>
              <w:right w:val="nil"/>
            </w:tcBorders>
            <w:shd w:val="clear" w:color="auto" w:fill="auto"/>
            <w:noWrap/>
            <w:vAlign w:val="center"/>
          </w:tcPr>
          <w:p w14:paraId="41AF8BB4">
            <w:pPr>
              <w:widowControl/>
              <w:jc w:val="left"/>
              <w:rPr>
                <w:rFonts w:ascii="宋体" w:hAnsi="宋体" w:cs="宋体"/>
                <w:kern w:val="0"/>
                <w:sz w:val="20"/>
                <w:szCs w:val="20"/>
                <w:highlight w:val="none"/>
              </w:rPr>
            </w:pPr>
          </w:p>
        </w:tc>
        <w:tc>
          <w:tcPr>
            <w:tcW w:w="1760" w:type="dxa"/>
            <w:tcBorders>
              <w:top w:val="nil"/>
              <w:left w:val="nil"/>
              <w:bottom w:val="nil"/>
              <w:right w:val="nil"/>
            </w:tcBorders>
            <w:shd w:val="clear" w:color="auto" w:fill="auto"/>
            <w:noWrap/>
            <w:vAlign w:val="bottom"/>
          </w:tcPr>
          <w:p w14:paraId="7290A9B8">
            <w:pPr>
              <w:widowControl/>
              <w:jc w:val="left"/>
              <w:rPr>
                <w:rFonts w:ascii="宋体" w:hAnsi="宋体" w:cs="宋体"/>
                <w:color w:val="000000"/>
                <w:kern w:val="0"/>
                <w:sz w:val="20"/>
                <w:szCs w:val="20"/>
                <w:highlight w:val="none"/>
              </w:rPr>
            </w:pPr>
          </w:p>
        </w:tc>
        <w:tc>
          <w:tcPr>
            <w:tcW w:w="1340" w:type="dxa"/>
            <w:tcBorders>
              <w:top w:val="nil"/>
              <w:left w:val="nil"/>
              <w:bottom w:val="nil"/>
              <w:right w:val="nil"/>
            </w:tcBorders>
            <w:shd w:val="clear" w:color="auto" w:fill="auto"/>
            <w:noWrap/>
            <w:vAlign w:val="center"/>
          </w:tcPr>
          <w:p w14:paraId="542AB694">
            <w:pPr>
              <w:widowControl/>
              <w:jc w:val="left"/>
              <w:rPr>
                <w:rFonts w:ascii="宋体" w:hAnsi="宋体" w:cs="宋体"/>
                <w:color w:val="000000"/>
                <w:kern w:val="0"/>
                <w:sz w:val="20"/>
                <w:szCs w:val="20"/>
                <w:highlight w:val="none"/>
              </w:rPr>
            </w:pPr>
          </w:p>
        </w:tc>
        <w:tc>
          <w:tcPr>
            <w:tcW w:w="1180" w:type="dxa"/>
            <w:gridSpan w:val="2"/>
            <w:tcBorders>
              <w:top w:val="nil"/>
              <w:left w:val="nil"/>
              <w:bottom w:val="nil"/>
              <w:right w:val="single" w:color="auto" w:sz="12" w:space="0"/>
            </w:tcBorders>
            <w:shd w:val="clear" w:color="auto" w:fill="auto"/>
            <w:noWrap/>
            <w:vAlign w:val="center"/>
          </w:tcPr>
          <w:p w14:paraId="69EB3EAA">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14:paraId="3AB7DFA0">
        <w:tblPrEx>
          <w:tblCellMar>
            <w:top w:w="0" w:type="dxa"/>
            <w:left w:w="108" w:type="dxa"/>
            <w:bottom w:w="0" w:type="dxa"/>
            <w:right w:w="108" w:type="dxa"/>
          </w:tblCellMar>
        </w:tblPrEx>
        <w:trPr>
          <w:trHeight w:val="288" w:hRule="atLeast"/>
        </w:trPr>
        <w:tc>
          <w:tcPr>
            <w:tcW w:w="1480" w:type="dxa"/>
            <w:tcBorders>
              <w:top w:val="nil"/>
              <w:left w:val="single" w:color="auto" w:sz="12" w:space="0"/>
              <w:right w:val="nil"/>
            </w:tcBorders>
            <w:shd w:val="clear" w:color="auto" w:fill="auto"/>
            <w:noWrap/>
            <w:vAlign w:val="center"/>
          </w:tcPr>
          <w:p w14:paraId="68DBE832">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340" w:type="dxa"/>
            <w:tcBorders>
              <w:top w:val="nil"/>
              <w:left w:val="nil"/>
              <w:right w:val="single" w:color="auto" w:sz="4" w:space="0"/>
            </w:tcBorders>
            <w:shd w:val="clear" w:color="auto" w:fill="auto"/>
            <w:noWrap/>
            <w:vAlign w:val="center"/>
          </w:tcPr>
          <w:p w14:paraId="60D88C83">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220" w:type="dxa"/>
            <w:gridSpan w:val="2"/>
            <w:tcBorders>
              <w:top w:val="nil"/>
              <w:left w:val="single" w:color="auto" w:sz="4" w:space="0"/>
              <w:right w:val="nil"/>
            </w:tcBorders>
            <w:shd w:val="clear" w:color="auto" w:fill="auto"/>
            <w:noWrap/>
            <w:vAlign w:val="center"/>
          </w:tcPr>
          <w:p w14:paraId="7C591C2C">
            <w:pPr>
              <w:widowControl/>
              <w:jc w:val="left"/>
              <w:rPr>
                <w:rFonts w:ascii="宋体" w:hAnsi="宋体" w:cs="宋体"/>
                <w:kern w:val="0"/>
                <w:sz w:val="20"/>
                <w:szCs w:val="20"/>
                <w:highlight w:val="none"/>
              </w:rPr>
            </w:pPr>
            <w:r>
              <w:rPr>
                <w:rFonts w:hint="eastAsia" w:ascii="宋体" w:hAnsi="宋体" w:cs="宋体"/>
                <w:kern w:val="0"/>
                <w:sz w:val="20"/>
                <w:szCs w:val="20"/>
                <w:highlight w:val="none"/>
              </w:rPr>
              <w:t>监理工程师：</w:t>
            </w:r>
          </w:p>
        </w:tc>
        <w:tc>
          <w:tcPr>
            <w:tcW w:w="2430" w:type="dxa"/>
            <w:tcBorders>
              <w:top w:val="nil"/>
              <w:left w:val="nil"/>
              <w:right w:val="single" w:color="auto" w:sz="4" w:space="0"/>
            </w:tcBorders>
            <w:shd w:val="clear" w:color="auto" w:fill="auto"/>
            <w:noWrap/>
            <w:vAlign w:val="center"/>
          </w:tcPr>
          <w:p w14:paraId="3AD4EB65">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400" w:type="dxa"/>
            <w:gridSpan w:val="2"/>
            <w:tcBorders>
              <w:top w:val="nil"/>
              <w:left w:val="single" w:color="auto" w:sz="4" w:space="0"/>
              <w:right w:val="nil"/>
            </w:tcBorders>
            <w:shd w:val="clear" w:color="auto" w:fill="auto"/>
            <w:noWrap/>
            <w:vAlign w:val="center"/>
          </w:tcPr>
          <w:p w14:paraId="7E03DF5F">
            <w:pPr>
              <w:widowControl/>
              <w:jc w:val="left"/>
              <w:rPr>
                <w:rFonts w:ascii="宋体" w:hAnsi="宋体" w:cs="宋体"/>
                <w:kern w:val="0"/>
                <w:sz w:val="20"/>
                <w:szCs w:val="20"/>
                <w:highlight w:val="none"/>
              </w:rPr>
            </w:pPr>
            <w:r>
              <w:rPr>
                <w:rFonts w:hint="eastAsia" w:ascii="宋体" w:hAnsi="宋体" w:cs="宋体"/>
                <w:kern w:val="0"/>
                <w:sz w:val="20"/>
                <w:szCs w:val="20"/>
                <w:highlight w:val="none"/>
              </w:rPr>
              <w:t>项目工程安全部负责人：</w:t>
            </w:r>
          </w:p>
        </w:tc>
        <w:tc>
          <w:tcPr>
            <w:tcW w:w="1760" w:type="dxa"/>
            <w:tcBorders>
              <w:top w:val="nil"/>
              <w:left w:val="nil"/>
              <w:right w:val="nil"/>
            </w:tcBorders>
            <w:shd w:val="clear" w:color="auto" w:fill="auto"/>
            <w:noWrap/>
            <w:vAlign w:val="bottom"/>
          </w:tcPr>
          <w:p w14:paraId="75B2424A">
            <w:pPr>
              <w:widowControl/>
              <w:jc w:val="left"/>
              <w:rPr>
                <w:rFonts w:ascii="宋体" w:hAnsi="宋体" w:cs="宋体"/>
                <w:color w:val="000000"/>
                <w:kern w:val="0"/>
                <w:sz w:val="20"/>
                <w:szCs w:val="20"/>
                <w:highlight w:val="none"/>
              </w:rPr>
            </w:pPr>
          </w:p>
        </w:tc>
        <w:tc>
          <w:tcPr>
            <w:tcW w:w="1340" w:type="dxa"/>
            <w:tcBorders>
              <w:top w:val="nil"/>
              <w:left w:val="nil"/>
              <w:right w:val="nil"/>
            </w:tcBorders>
            <w:shd w:val="clear" w:color="auto" w:fill="auto"/>
            <w:noWrap/>
            <w:vAlign w:val="center"/>
          </w:tcPr>
          <w:p w14:paraId="47359BBB">
            <w:pPr>
              <w:widowControl/>
              <w:jc w:val="left"/>
              <w:rPr>
                <w:rFonts w:ascii="宋体" w:hAnsi="宋体" w:cs="宋体"/>
                <w:color w:val="000000"/>
                <w:kern w:val="0"/>
                <w:sz w:val="20"/>
                <w:szCs w:val="20"/>
                <w:highlight w:val="none"/>
              </w:rPr>
            </w:pPr>
          </w:p>
        </w:tc>
        <w:tc>
          <w:tcPr>
            <w:tcW w:w="1180" w:type="dxa"/>
            <w:gridSpan w:val="2"/>
            <w:tcBorders>
              <w:top w:val="nil"/>
              <w:left w:val="nil"/>
              <w:right w:val="single" w:color="auto" w:sz="12" w:space="0"/>
            </w:tcBorders>
            <w:shd w:val="clear" w:color="auto" w:fill="auto"/>
            <w:noWrap/>
            <w:vAlign w:val="center"/>
          </w:tcPr>
          <w:p w14:paraId="09776777">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14:paraId="41161B10">
        <w:tblPrEx>
          <w:tblCellMar>
            <w:top w:w="0" w:type="dxa"/>
            <w:left w:w="108" w:type="dxa"/>
            <w:bottom w:w="0" w:type="dxa"/>
            <w:right w:w="108" w:type="dxa"/>
          </w:tblCellMar>
        </w:tblPrEx>
        <w:trPr>
          <w:trHeight w:val="288" w:hRule="atLeast"/>
        </w:trPr>
        <w:tc>
          <w:tcPr>
            <w:tcW w:w="1480" w:type="dxa"/>
            <w:tcBorders>
              <w:top w:val="nil"/>
              <w:left w:val="single" w:color="auto" w:sz="12" w:space="0"/>
              <w:bottom w:val="single" w:color="auto" w:sz="12" w:space="0"/>
              <w:right w:val="nil"/>
            </w:tcBorders>
            <w:shd w:val="clear" w:color="auto" w:fill="auto"/>
            <w:noWrap/>
            <w:vAlign w:val="center"/>
          </w:tcPr>
          <w:p w14:paraId="513A547B">
            <w:pPr>
              <w:widowControl/>
              <w:jc w:val="left"/>
              <w:rPr>
                <w:rFonts w:ascii="宋体" w:hAnsi="宋体" w:cs="宋体"/>
                <w:kern w:val="0"/>
                <w:sz w:val="20"/>
                <w:szCs w:val="20"/>
                <w:highlight w:val="none"/>
              </w:rPr>
            </w:pPr>
            <w:r>
              <w:rPr>
                <w:rFonts w:hint="eastAsia" w:ascii="宋体" w:hAnsi="宋体" w:cs="宋体"/>
                <w:kern w:val="0"/>
                <w:sz w:val="20"/>
                <w:szCs w:val="20"/>
                <w:highlight w:val="none"/>
              </w:rPr>
              <w:t xml:space="preserve"> 项目经理：</w:t>
            </w:r>
          </w:p>
        </w:tc>
        <w:tc>
          <w:tcPr>
            <w:tcW w:w="1340" w:type="dxa"/>
            <w:tcBorders>
              <w:top w:val="nil"/>
              <w:left w:val="nil"/>
              <w:bottom w:val="single" w:color="auto" w:sz="12" w:space="0"/>
              <w:right w:val="single" w:color="auto" w:sz="4" w:space="0"/>
            </w:tcBorders>
            <w:shd w:val="clear" w:color="auto" w:fill="auto"/>
            <w:noWrap/>
            <w:vAlign w:val="center"/>
          </w:tcPr>
          <w:p w14:paraId="619F7B3B">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020" w:type="dxa"/>
            <w:tcBorders>
              <w:top w:val="nil"/>
              <w:left w:val="nil"/>
              <w:bottom w:val="single" w:color="auto" w:sz="12" w:space="0"/>
              <w:right w:val="nil"/>
            </w:tcBorders>
            <w:shd w:val="clear" w:color="auto" w:fill="auto"/>
            <w:noWrap/>
            <w:vAlign w:val="center"/>
          </w:tcPr>
          <w:p w14:paraId="30414BAE">
            <w:pPr>
              <w:widowControl/>
              <w:jc w:val="left"/>
              <w:rPr>
                <w:rFonts w:ascii="宋体" w:hAnsi="宋体" w:cs="宋体"/>
                <w:kern w:val="0"/>
                <w:sz w:val="20"/>
                <w:szCs w:val="20"/>
                <w:highlight w:val="none"/>
              </w:rPr>
            </w:pPr>
            <w:r>
              <w:rPr>
                <w:rFonts w:hint="eastAsia" w:ascii="宋体" w:hAnsi="宋体" w:cs="宋体"/>
                <w:kern w:val="0"/>
                <w:sz w:val="20"/>
                <w:szCs w:val="20"/>
                <w:highlight w:val="none"/>
              </w:rPr>
              <w:t>总监：</w:t>
            </w:r>
          </w:p>
        </w:tc>
        <w:tc>
          <w:tcPr>
            <w:tcW w:w="1200" w:type="dxa"/>
            <w:tcBorders>
              <w:top w:val="nil"/>
              <w:left w:val="nil"/>
              <w:bottom w:val="single" w:color="auto" w:sz="12" w:space="0"/>
              <w:right w:val="nil"/>
            </w:tcBorders>
            <w:shd w:val="clear" w:color="auto" w:fill="auto"/>
            <w:noWrap/>
            <w:vAlign w:val="center"/>
          </w:tcPr>
          <w:p w14:paraId="5D36E492">
            <w:pPr>
              <w:widowControl/>
              <w:jc w:val="left"/>
              <w:rPr>
                <w:rFonts w:ascii="宋体" w:hAnsi="宋体" w:cs="宋体"/>
                <w:color w:val="000000"/>
                <w:kern w:val="0"/>
                <w:sz w:val="20"/>
                <w:szCs w:val="20"/>
                <w:highlight w:val="none"/>
              </w:rPr>
            </w:pPr>
          </w:p>
        </w:tc>
        <w:tc>
          <w:tcPr>
            <w:tcW w:w="2430" w:type="dxa"/>
            <w:tcBorders>
              <w:top w:val="nil"/>
              <w:left w:val="nil"/>
              <w:bottom w:val="single" w:color="auto" w:sz="12" w:space="0"/>
              <w:right w:val="single" w:color="auto" w:sz="4" w:space="0"/>
            </w:tcBorders>
            <w:shd w:val="clear" w:color="auto" w:fill="auto"/>
            <w:noWrap/>
            <w:vAlign w:val="center"/>
          </w:tcPr>
          <w:p w14:paraId="01F31453">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400" w:type="dxa"/>
            <w:gridSpan w:val="2"/>
            <w:tcBorders>
              <w:top w:val="nil"/>
              <w:left w:val="single" w:color="auto" w:sz="4" w:space="0"/>
              <w:bottom w:val="single" w:color="auto" w:sz="12" w:space="0"/>
              <w:right w:val="nil"/>
            </w:tcBorders>
            <w:shd w:val="clear" w:color="auto" w:fill="auto"/>
            <w:noWrap/>
            <w:vAlign w:val="center"/>
          </w:tcPr>
          <w:p w14:paraId="368793C8">
            <w:pPr>
              <w:widowControl/>
              <w:jc w:val="left"/>
              <w:rPr>
                <w:rFonts w:ascii="宋体" w:hAnsi="宋体" w:cs="宋体"/>
                <w:kern w:val="0"/>
                <w:sz w:val="20"/>
                <w:szCs w:val="20"/>
                <w:highlight w:val="none"/>
              </w:rPr>
            </w:pPr>
            <w:r>
              <w:rPr>
                <w:rFonts w:hint="eastAsia" w:ascii="宋体" w:hAnsi="宋体" w:cs="宋体"/>
                <w:kern w:val="0"/>
                <w:sz w:val="20"/>
                <w:szCs w:val="20"/>
                <w:highlight w:val="none"/>
              </w:rPr>
              <w:t>项目公司负责人：</w:t>
            </w:r>
          </w:p>
        </w:tc>
        <w:tc>
          <w:tcPr>
            <w:tcW w:w="1760" w:type="dxa"/>
            <w:tcBorders>
              <w:top w:val="nil"/>
              <w:left w:val="nil"/>
              <w:bottom w:val="single" w:color="auto" w:sz="12" w:space="0"/>
              <w:right w:val="nil"/>
            </w:tcBorders>
            <w:shd w:val="clear" w:color="auto" w:fill="auto"/>
            <w:noWrap/>
            <w:vAlign w:val="bottom"/>
          </w:tcPr>
          <w:p w14:paraId="046AD451">
            <w:pPr>
              <w:widowControl/>
              <w:jc w:val="left"/>
              <w:rPr>
                <w:rFonts w:ascii="宋体" w:hAnsi="宋体" w:cs="宋体"/>
                <w:color w:val="000000"/>
                <w:kern w:val="0"/>
                <w:sz w:val="20"/>
                <w:szCs w:val="20"/>
                <w:highlight w:val="none"/>
              </w:rPr>
            </w:pPr>
          </w:p>
        </w:tc>
        <w:tc>
          <w:tcPr>
            <w:tcW w:w="1340" w:type="dxa"/>
            <w:tcBorders>
              <w:top w:val="nil"/>
              <w:left w:val="nil"/>
              <w:bottom w:val="single" w:color="auto" w:sz="12" w:space="0"/>
              <w:right w:val="nil"/>
            </w:tcBorders>
            <w:shd w:val="clear" w:color="auto" w:fill="auto"/>
            <w:noWrap/>
            <w:vAlign w:val="center"/>
          </w:tcPr>
          <w:p w14:paraId="5FF999CE">
            <w:pPr>
              <w:widowControl/>
              <w:jc w:val="left"/>
              <w:rPr>
                <w:rFonts w:ascii="宋体" w:hAnsi="宋体" w:cs="宋体"/>
                <w:color w:val="000000"/>
                <w:kern w:val="0"/>
                <w:sz w:val="20"/>
                <w:szCs w:val="20"/>
                <w:highlight w:val="none"/>
              </w:rPr>
            </w:pPr>
          </w:p>
        </w:tc>
        <w:tc>
          <w:tcPr>
            <w:tcW w:w="1180" w:type="dxa"/>
            <w:gridSpan w:val="2"/>
            <w:tcBorders>
              <w:top w:val="nil"/>
              <w:left w:val="nil"/>
              <w:bottom w:val="single" w:color="auto" w:sz="12" w:space="0"/>
              <w:right w:val="single" w:color="auto" w:sz="12" w:space="0"/>
            </w:tcBorders>
            <w:shd w:val="clear" w:color="auto" w:fill="auto"/>
            <w:noWrap/>
            <w:vAlign w:val="center"/>
          </w:tcPr>
          <w:p w14:paraId="0A470EB4">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bl>
    <w:p w14:paraId="2BE18A3D">
      <w:pPr>
        <w:rPr>
          <w:rFonts w:ascii="Cambria" w:hAnsi="Cambria"/>
          <w:b/>
          <w:bCs/>
          <w:sz w:val="30"/>
          <w:szCs w:val="30"/>
          <w:highlight w:val="none"/>
        </w:rPr>
        <w:sectPr>
          <w:pgSz w:w="16838" w:h="11906" w:orient="landscape"/>
          <w:pgMar w:top="1247" w:right="1021" w:bottom="1247" w:left="1021" w:header="851" w:footer="992" w:gutter="0"/>
          <w:cols w:space="720" w:num="1"/>
          <w:titlePg/>
          <w:docGrid w:type="lines" w:linePitch="312" w:charSpace="0"/>
        </w:sectPr>
      </w:pPr>
    </w:p>
    <w:p w14:paraId="650FF809">
      <w:pPr>
        <w:outlineLvl w:val="0"/>
        <w:rPr>
          <w:rFonts w:asciiTheme="minorEastAsia" w:hAnsiTheme="minorEastAsia" w:eastAsiaTheme="minorEastAsia"/>
          <w:b/>
          <w:bCs/>
          <w:szCs w:val="21"/>
          <w:highlight w:val="none"/>
        </w:rPr>
      </w:pPr>
      <w:bookmarkStart w:id="758" w:name="_Toc167975612"/>
      <w:r>
        <w:rPr>
          <w:rFonts w:hint="eastAsia" w:asciiTheme="minorEastAsia" w:hAnsiTheme="minorEastAsia" w:eastAsiaTheme="minorEastAsia"/>
          <w:b/>
          <w:bCs/>
          <w:szCs w:val="21"/>
          <w:highlight w:val="none"/>
        </w:rPr>
        <w:t>附件12</w:t>
      </w:r>
      <w:r>
        <w:rPr>
          <w:rFonts w:asciiTheme="minorEastAsia" w:hAnsiTheme="minorEastAsia" w:eastAsiaTheme="minorEastAsia"/>
          <w:b/>
          <w:bCs/>
          <w:szCs w:val="21"/>
          <w:highlight w:val="none"/>
        </w:rPr>
        <w:t xml:space="preserve"> </w:t>
      </w:r>
      <w:r>
        <w:rPr>
          <w:rFonts w:hint="eastAsia" w:asciiTheme="minorEastAsia" w:hAnsiTheme="minorEastAsia" w:eastAsiaTheme="minorEastAsia"/>
          <w:b/>
          <w:bCs/>
          <w:szCs w:val="21"/>
          <w:highlight w:val="none"/>
        </w:rPr>
        <w:t>拟投人员一览表（按投标文件）</w:t>
      </w:r>
      <w:bookmarkEnd w:id="758"/>
    </w:p>
    <w:p w14:paraId="5ADFA026">
      <w:pPr>
        <w:spacing w:line="280" w:lineRule="exact"/>
        <w:outlineLvl w:val="0"/>
        <w:rPr>
          <w:rFonts w:asciiTheme="minorEastAsia" w:hAnsiTheme="minorEastAsia" w:eastAsiaTheme="minorEastAsia"/>
          <w:b/>
          <w:bCs/>
          <w:szCs w:val="21"/>
          <w:highlight w:val="none"/>
        </w:rPr>
      </w:pPr>
    </w:p>
    <w:p w14:paraId="51C5C711">
      <w:pPr>
        <w:spacing w:line="280" w:lineRule="exact"/>
        <w:outlineLvl w:val="0"/>
        <w:rPr>
          <w:rFonts w:cs="宋体" w:asciiTheme="minorEastAsia" w:hAnsiTheme="minorEastAsia" w:eastAsiaTheme="minorEastAsia"/>
          <w:b/>
          <w:kern w:val="0"/>
          <w:szCs w:val="21"/>
          <w:highlight w:val="none"/>
        </w:rPr>
      </w:pPr>
      <w:bookmarkStart w:id="759" w:name="_Toc167975613"/>
      <w:r>
        <w:rPr>
          <w:rFonts w:hint="eastAsia" w:asciiTheme="minorEastAsia" w:hAnsiTheme="minorEastAsia" w:eastAsiaTheme="minorEastAsia"/>
          <w:b/>
          <w:bCs/>
          <w:szCs w:val="21"/>
          <w:highlight w:val="none"/>
        </w:rPr>
        <w:t>附件13</w:t>
      </w:r>
      <w:bookmarkEnd w:id="759"/>
      <w:bookmarkStart w:id="760" w:name="_Toc167975614"/>
      <w:r>
        <w:rPr>
          <w:rFonts w:hint="eastAsia" w:cs="宋体" w:asciiTheme="minorEastAsia" w:hAnsiTheme="minorEastAsia" w:eastAsiaTheme="minorEastAsia"/>
          <w:b/>
          <w:kern w:val="0"/>
          <w:szCs w:val="21"/>
          <w:highlight w:val="none"/>
        </w:rPr>
        <w:t>质量风险检查表（另册）</w:t>
      </w:r>
      <w:bookmarkEnd w:id="760"/>
    </w:p>
    <w:p w14:paraId="61E75CE6">
      <w:pPr>
        <w:spacing w:line="280" w:lineRule="exact"/>
        <w:outlineLvl w:val="0"/>
        <w:rPr>
          <w:rFonts w:cs="宋体" w:asciiTheme="minorEastAsia" w:hAnsiTheme="minorEastAsia" w:eastAsiaTheme="minorEastAsia"/>
          <w:b/>
          <w:kern w:val="0"/>
          <w:szCs w:val="21"/>
          <w:highlight w:val="none"/>
        </w:rPr>
      </w:pPr>
    </w:p>
    <w:p w14:paraId="5E8B6186">
      <w:pPr>
        <w:spacing w:line="280" w:lineRule="exact"/>
        <w:outlineLvl w:val="0"/>
        <w:rPr>
          <w:rFonts w:cs="宋体" w:asciiTheme="minorEastAsia" w:hAnsiTheme="minorEastAsia" w:eastAsiaTheme="minorEastAsia"/>
          <w:b/>
          <w:kern w:val="0"/>
          <w:szCs w:val="21"/>
          <w:highlight w:val="none"/>
        </w:rPr>
      </w:pPr>
      <w:bookmarkStart w:id="761" w:name="_Toc167975615"/>
      <w:r>
        <w:rPr>
          <w:rFonts w:hint="eastAsia" w:cs="宋体" w:asciiTheme="minorEastAsia" w:hAnsiTheme="minorEastAsia" w:eastAsiaTheme="minorEastAsia"/>
          <w:b/>
          <w:kern w:val="0"/>
          <w:szCs w:val="21"/>
          <w:highlight w:val="none"/>
        </w:rPr>
        <w:t>附件1</w:t>
      </w:r>
      <w:r>
        <w:rPr>
          <w:rFonts w:hint="eastAsia" w:cs="宋体" w:asciiTheme="minorEastAsia" w:hAnsiTheme="minorEastAsia" w:eastAsiaTheme="minorEastAsia"/>
          <w:b/>
          <w:kern w:val="0"/>
          <w:szCs w:val="21"/>
          <w:highlight w:val="none"/>
          <w:lang w:val="en-US" w:eastAsia="zh-CN"/>
        </w:rPr>
        <w:t>4</w:t>
      </w:r>
      <w:r>
        <w:rPr>
          <w:rFonts w:hint="eastAsia" w:cs="宋体" w:asciiTheme="minorEastAsia" w:hAnsiTheme="minorEastAsia" w:eastAsiaTheme="minorEastAsia"/>
          <w:b/>
          <w:kern w:val="0"/>
          <w:szCs w:val="21"/>
          <w:highlight w:val="none"/>
        </w:rPr>
        <w:t>粤海置地建设工程安全文明施工标准化图册（另册）</w:t>
      </w:r>
      <w:bookmarkEnd w:id="761"/>
    </w:p>
    <w:p w14:paraId="5F787C85">
      <w:pPr>
        <w:spacing w:line="280" w:lineRule="exact"/>
        <w:outlineLvl w:val="0"/>
        <w:rPr>
          <w:rFonts w:cs="宋体" w:asciiTheme="minorEastAsia" w:hAnsiTheme="minorEastAsia" w:eastAsiaTheme="minorEastAsia"/>
          <w:b/>
          <w:kern w:val="0"/>
          <w:szCs w:val="21"/>
          <w:highlight w:val="none"/>
        </w:rPr>
      </w:pPr>
    </w:p>
    <w:p w14:paraId="7C7A2D26">
      <w:pPr>
        <w:spacing w:line="280" w:lineRule="exact"/>
        <w:outlineLvl w:val="0"/>
        <w:rPr>
          <w:rFonts w:hint="eastAsia"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附件</w:t>
      </w:r>
      <w:r>
        <w:rPr>
          <w:rFonts w:hint="eastAsia" w:cs="宋体" w:asciiTheme="minorEastAsia" w:hAnsiTheme="minorEastAsia" w:eastAsiaTheme="minorEastAsia"/>
          <w:b/>
          <w:kern w:val="0"/>
          <w:szCs w:val="21"/>
          <w:highlight w:val="none"/>
          <w:lang w:val="en-US" w:eastAsia="zh-CN"/>
        </w:rPr>
        <w:t>15</w:t>
      </w:r>
      <w:r>
        <w:rPr>
          <w:rFonts w:hint="eastAsia" w:cs="宋体" w:asciiTheme="minorEastAsia" w:hAnsiTheme="minorEastAsia" w:eastAsiaTheme="minorEastAsia"/>
          <w:b/>
          <w:kern w:val="0"/>
          <w:szCs w:val="21"/>
          <w:highlight w:val="none"/>
        </w:rPr>
        <w:t xml:space="preserve"> 建安类供方严重不良行为清单（另册）</w:t>
      </w:r>
    </w:p>
    <w:p w14:paraId="7B01EA6E">
      <w:pPr>
        <w:spacing w:line="280" w:lineRule="exact"/>
        <w:outlineLvl w:val="0"/>
        <w:rPr>
          <w:rFonts w:hint="eastAsia" w:cs="宋体" w:asciiTheme="minorEastAsia" w:hAnsiTheme="minorEastAsia" w:eastAsiaTheme="minorEastAsia"/>
          <w:b/>
          <w:kern w:val="0"/>
          <w:szCs w:val="21"/>
          <w:highlight w:val="none"/>
        </w:rPr>
      </w:pPr>
    </w:p>
    <w:p w14:paraId="03AC4EEE">
      <w:pPr>
        <w:spacing w:line="280" w:lineRule="exact"/>
        <w:outlineLvl w:val="0"/>
        <w:rPr>
          <w:rFonts w:hint="eastAsia"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附件</w:t>
      </w:r>
      <w:r>
        <w:rPr>
          <w:rFonts w:hint="eastAsia" w:cs="宋体" w:asciiTheme="minorEastAsia" w:hAnsiTheme="minorEastAsia" w:eastAsiaTheme="minorEastAsia"/>
          <w:b/>
          <w:kern w:val="0"/>
          <w:szCs w:val="21"/>
          <w:highlight w:val="none"/>
          <w:lang w:val="en-US" w:eastAsia="zh-CN"/>
        </w:rPr>
        <w:t>16</w:t>
      </w:r>
      <w:r>
        <w:rPr>
          <w:rFonts w:hint="eastAsia" w:cs="宋体" w:asciiTheme="minorEastAsia" w:hAnsiTheme="minorEastAsia" w:eastAsiaTheme="minorEastAsia"/>
          <w:b/>
          <w:kern w:val="0"/>
          <w:szCs w:val="21"/>
          <w:highlight w:val="none"/>
        </w:rPr>
        <w:t xml:space="preserve"> 答疑澄清纪要（另册）</w:t>
      </w:r>
    </w:p>
    <w:p w14:paraId="2234F07E">
      <w:pPr>
        <w:spacing w:line="280" w:lineRule="exact"/>
        <w:outlineLvl w:val="0"/>
        <w:rPr>
          <w:rFonts w:hint="eastAsia" w:cs="宋体" w:asciiTheme="minorEastAsia" w:hAnsiTheme="minorEastAsia" w:eastAsiaTheme="minorEastAsia"/>
          <w:b/>
          <w:kern w:val="0"/>
          <w:szCs w:val="21"/>
          <w:highlight w:val="none"/>
        </w:rPr>
      </w:pPr>
    </w:p>
    <w:p w14:paraId="7E3114B9">
      <w:pPr>
        <w:spacing w:line="280" w:lineRule="exact"/>
        <w:outlineLvl w:val="0"/>
        <w:rPr>
          <w:rFonts w:hint="eastAsia"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附件17 投标承诺函（按投标文件）</w:t>
      </w:r>
    </w:p>
    <w:p w14:paraId="4A59D78F"/>
    <w:sectPr>
      <w:pgSz w:w="11906" w:h="16838"/>
      <w:pgMar w:top="1134" w:right="1247" w:bottom="1134"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ource Ha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A5B1">
    <w:pPr>
      <w:pStyle w:val="27"/>
      <w:jc w:val="center"/>
    </w:pPr>
    <w:r>
      <w:fldChar w:fldCharType="begin"/>
    </w:r>
    <w:r>
      <w:instrText xml:space="preserve">PAGE   \* MERGEFORMAT</w:instrText>
    </w:r>
    <w:r>
      <w:fldChar w:fldCharType="separate"/>
    </w:r>
    <w:r>
      <w:rPr>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79AE">
    <w:pPr>
      <w:pStyle w:val="27"/>
      <w:jc w:val="center"/>
    </w:pPr>
    <w:r>
      <w:fldChar w:fldCharType="begin"/>
    </w:r>
    <w:r>
      <w:rPr>
        <w:rStyle w:val="45"/>
      </w:rPr>
      <w:instrText xml:space="preserve">PAGE  </w:instrText>
    </w:r>
    <w:r>
      <w:fldChar w:fldCharType="separate"/>
    </w:r>
    <w:r>
      <w:rPr>
        <w:rStyle w:val="45"/>
      </w:rPr>
      <w:t>1</w:t>
    </w:r>
    <w:r>
      <w:fldChar w:fldCharType="end"/>
    </w:r>
    <w:r>
      <w:rPr>
        <w:rStyle w:val="45"/>
      </w:rPr>
      <w:t xml:space="preserve"> </w:t>
    </w:r>
    <w:r>
      <w:rPr>
        <w:rStyle w:val="45"/>
        <w:rFonts w:hint="eastAsia"/>
      </w:rPr>
      <w:t>/</w:t>
    </w:r>
    <w:r>
      <w:rPr>
        <w:rStyle w:val="45"/>
      </w:rPr>
      <w:t xml:space="preserve"> </w:t>
    </w:r>
    <w:r>
      <w:fldChar w:fldCharType="begin"/>
    </w:r>
    <w:r>
      <w:rPr>
        <w:rStyle w:val="45"/>
      </w:rPr>
      <w:instrText xml:space="preserve"> NUMPAGES </w:instrText>
    </w:r>
    <w:r>
      <w:fldChar w:fldCharType="separate"/>
    </w:r>
    <w:r>
      <w:rPr>
        <w:rStyle w:val="45"/>
      </w:rPr>
      <w:t>101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58EFB">
    <w:pPr>
      <w:pStyle w:val="27"/>
      <w:jc w:val="center"/>
    </w:pPr>
    <w:r>
      <w:fldChar w:fldCharType="begin"/>
    </w:r>
    <w:r>
      <w:rPr>
        <w:rStyle w:val="45"/>
      </w:rPr>
      <w:instrText xml:space="preserve">PAGE  </w:instrText>
    </w:r>
    <w:r>
      <w:fldChar w:fldCharType="separate"/>
    </w:r>
    <w:r>
      <w:rPr>
        <w:rStyle w:val="45"/>
      </w:rPr>
      <w:t>2</w:t>
    </w:r>
    <w:r>
      <w:fldChar w:fldCharType="end"/>
    </w:r>
    <w:r>
      <w:rPr>
        <w:rStyle w:val="45"/>
      </w:rPr>
      <w:t xml:space="preserve"> </w:t>
    </w:r>
    <w:r>
      <w:rPr>
        <w:rStyle w:val="45"/>
        <w:rFonts w:hint="eastAsia"/>
      </w:rPr>
      <w:t>/</w:t>
    </w:r>
    <w:r>
      <w:rPr>
        <w:rStyle w:val="45"/>
      </w:rPr>
      <w:t xml:space="preserve"> </w:t>
    </w:r>
    <w:r>
      <w:fldChar w:fldCharType="begin"/>
    </w:r>
    <w:r>
      <w:rPr>
        <w:rStyle w:val="45"/>
      </w:rPr>
      <w:instrText xml:space="preserve"> NUMPAGES </w:instrText>
    </w:r>
    <w:r>
      <w:fldChar w:fldCharType="separate"/>
    </w:r>
    <w:r>
      <w:rPr>
        <w:rStyle w:val="45"/>
      </w:rPr>
      <w:t>101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769D">
    <w:pPr>
      <w:pStyle w:val="27"/>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4</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101</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2443E">
    <w:pPr>
      <w:pStyle w:val="27"/>
      <w:jc w:val="center"/>
    </w:pPr>
    <w:r>
      <w:fldChar w:fldCharType="begin"/>
    </w:r>
    <w:r>
      <w:rPr>
        <w:rStyle w:val="45"/>
      </w:rPr>
      <w:instrText xml:space="preserve">PAGE  </w:instrText>
    </w:r>
    <w:r>
      <w:fldChar w:fldCharType="separate"/>
    </w:r>
    <w:r>
      <w:rPr>
        <w:rStyle w:val="45"/>
      </w:rPr>
      <w:t>3</w:t>
    </w:r>
    <w:r>
      <w:fldChar w:fldCharType="end"/>
    </w:r>
    <w:r>
      <w:rPr>
        <w:rStyle w:val="45"/>
      </w:rPr>
      <w:t xml:space="preserve"> </w:t>
    </w:r>
    <w:r>
      <w:rPr>
        <w:rStyle w:val="45"/>
        <w:rFonts w:hint="eastAsia"/>
      </w:rPr>
      <w:t>/</w:t>
    </w:r>
    <w:r>
      <w:rPr>
        <w:rStyle w:val="45"/>
      </w:rPr>
      <w:t xml:space="preserve"> </w:t>
    </w:r>
    <w:r>
      <w:fldChar w:fldCharType="begin"/>
    </w:r>
    <w:r>
      <w:rPr>
        <w:rStyle w:val="45"/>
      </w:rPr>
      <w:instrText xml:space="preserve"> NUMPAGES </w:instrText>
    </w:r>
    <w:r>
      <w:fldChar w:fldCharType="separate"/>
    </w:r>
    <w:r>
      <w:rPr>
        <w:rStyle w:val="45"/>
      </w:rPr>
      <w:t>101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3503819"/>
    </w:sdtPr>
    <w:sdtContent>
      <w:sdt>
        <w:sdtPr>
          <w:id w:val="660819182"/>
        </w:sdtPr>
        <w:sdtContent>
          <w:p w14:paraId="5324A0B1">
            <w:pPr>
              <w:pStyle w:val="2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100</w:t>
            </w:r>
            <w:r>
              <w:rPr>
                <w:b/>
                <w:bCs/>
                <w:sz w:val="24"/>
                <w:szCs w:val="24"/>
              </w:rPr>
              <w:fldChar w:fldCharType="end"/>
            </w:r>
          </w:p>
        </w:sdtContent>
      </w:sdt>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385E1">
    <w:pPr>
      <w:pStyle w:val="27"/>
      <w:jc w:val="center"/>
    </w:pPr>
    <w:r>
      <w:fldChar w:fldCharType="begin"/>
    </w:r>
    <w:r>
      <w:rPr>
        <w:rStyle w:val="45"/>
      </w:rPr>
      <w:instrText xml:space="preserve">PAGE  </w:instrText>
    </w:r>
    <w:r>
      <w:fldChar w:fldCharType="separate"/>
    </w:r>
    <w:r>
      <w:rPr>
        <w:rStyle w:val="45"/>
      </w:rPr>
      <w:t>101</w:t>
    </w:r>
    <w:r>
      <w:fldChar w:fldCharType="end"/>
    </w:r>
    <w:r>
      <w:rPr>
        <w:rStyle w:val="45"/>
      </w:rPr>
      <w:t xml:space="preserve"> </w:t>
    </w:r>
    <w:r>
      <w:rPr>
        <w:rStyle w:val="45"/>
        <w:rFonts w:hint="eastAsia"/>
      </w:rPr>
      <w:t>/</w:t>
    </w:r>
    <w:r>
      <w:rPr>
        <w:rStyle w:val="45"/>
      </w:rPr>
      <w:t xml:space="preserve"> </w:t>
    </w:r>
    <w:r>
      <w:fldChar w:fldCharType="begin"/>
    </w:r>
    <w:r>
      <w:rPr>
        <w:rStyle w:val="45"/>
      </w:rPr>
      <w:instrText xml:space="preserve"> NUMPAGES </w:instrText>
    </w:r>
    <w:r>
      <w:fldChar w:fldCharType="separate"/>
    </w:r>
    <w:r>
      <w:rPr>
        <w:rStyle w:val="45"/>
      </w:rPr>
      <w:t>101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E5DD6">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86237">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D2C07">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4B08F">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98182"/>
    <w:multiLevelType w:val="singleLevel"/>
    <w:tmpl w:val="B7598182"/>
    <w:lvl w:ilvl="0" w:tentative="0">
      <w:start w:val="2"/>
      <w:numFmt w:val="chineseCounting"/>
      <w:suff w:val="nothing"/>
      <w:lvlText w:val="%1、"/>
      <w:lvlJc w:val="left"/>
      <w:rPr>
        <w:rFonts w:hint="eastAsia"/>
      </w:rPr>
    </w:lvl>
  </w:abstractNum>
  <w:abstractNum w:abstractNumId="1">
    <w:nsid w:val="E3BFA9BC"/>
    <w:multiLevelType w:val="singleLevel"/>
    <w:tmpl w:val="E3BFA9BC"/>
    <w:lvl w:ilvl="0" w:tentative="0">
      <w:start w:val="1"/>
      <w:numFmt w:val="decimal"/>
      <w:suff w:val="nothing"/>
      <w:lvlText w:val="%1、"/>
      <w:lvlJc w:val="left"/>
    </w:lvl>
  </w:abstractNum>
  <w:abstractNum w:abstractNumId="2">
    <w:nsid w:val="E7C424CC"/>
    <w:multiLevelType w:val="singleLevel"/>
    <w:tmpl w:val="E7C424CC"/>
    <w:lvl w:ilvl="0" w:tentative="0">
      <w:start w:val="1"/>
      <w:numFmt w:val="decimal"/>
      <w:lvlText w:val="%1)"/>
      <w:lvlJc w:val="left"/>
      <w:pPr>
        <w:ind w:left="851" w:hanging="425"/>
      </w:pPr>
      <w:rPr>
        <w:rFonts w:hint="default"/>
      </w:rPr>
    </w:lvl>
  </w:abstractNum>
  <w:abstractNum w:abstractNumId="3">
    <w:nsid w:val="00000005"/>
    <w:multiLevelType w:val="multilevel"/>
    <w:tmpl w:val="00000005"/>
    <w:lvl w:ilvl="0" w:tentative="0">
      <w:start w:val="1"/>
      <w:numFmt w:val="decimal"/>
      <w:pStyle w:val="87"/>
      <w:lvlText w:val="%1)"/>
      <w:lvlJc w:val="left"/>
      <w:pPr>
        <w:ind w:left="987" w:hanging="420"/>
      </w:pPr>
      <w:rPr>
        <w:rFonts w:hint="eastAsia"/>
      </w:rPr>
    </w:lvl>
    <w:lvl w:ilvl="1" w:tentative="0">
      <w:start w:val="1"/>
      <w:numFmt w:val="lowerLetter"/>
      <w:lvlText w:val="%2)"/>
      <w:lvlJc w:val="left"/>
      <w:pPr>
        <w:ind w:left="976" w:hanging="420"/>
      </w:pPr>
      <w:rPr>
        <w:rFonts w:hint="eastAsia"/>
      </w:rPr>
    </w:lvl>
    <w:lvl w:ilvl="2" w:tentative="0">
      <w:start w:val="1"/>
      <w:numFmt w:val="lowerRoman"/>
      <w:lvlText w:val="%3."/>
      <w:lvlJc w:val="right"/>
      <w:pPr>
        <w:ind w:left="1396" w:hanging="420"/>
      </w:pPr>
      <w:rPr>
        <w:rFonts w:hint="eastAsia"/>
      </w:rPr>
    </w:lvl>
    <w:lvl w:ilvl="3" w:tentative="0">
      <w:start w:val="1"/>
      <w:numFmt w:val="decimal"/>
      <w:lvlText w:val="%4."/>
      <w:lvlJc w:val="left"/>
      <w:pPr>
        <w:ind w:left="1816" w:hanging="420"/>
      </w:pPr>
      <w:rPr>
        <w:rFonts w:hint="eastAsia"/>
      </w:rPr>
    </w:lvl>
    <w:lvl w:ilvl="4" w:tentative="0">
      <w:start w:val="1"/>
      <w:numFmt w:val="lowerLetter"/>
      <w:lvlText w:val="%5)"/>
      <w:lvlJc w:val="left"/>
      <w:pPr>
        <w:ind w:left="2236" w:hanging="420"/>
      </w:pPr>
      <w:rPr>
        <w:rFonts w:hint="eastAsia"/>
      </w:rPr>
    </w:lvl>
    <w:lvl w:ilvl="5" w:tentative="0">
      <w:start w:val="1"/>
      <w:numFmt w:val="lowerRoman"/>
      <w:lvlText w:val="%6."/>
      <w:lvlJc w:val="right"/>
      <w:pPr>
        <w:ind w:left="2656" w:hanging="420"/>
      </w:pPr>
      <w:rPr>
        <w:rFonts w:hint="eastAsia"/>
      </w:rPr>
    </w:lvl>
    <w:lvl w:ilvl="6" w:tentative="0">
      <w:start w:val="1"/>
      <w:numFmt w:val="decimal"/>
      <w:lvlText w:val="%7."/>
      <w:lvlJc w:val="left"/>
      <w:pPr>
        <w:ind w:left="3076" w:hanging="420"/>
      </w:pPr>
      <w:rPr>
        <w:rFonts w:hint="eastAsia"/>
      </w:rPr>
    </w:lvl>
    <w:lvl w:ilvl="7" w:tentative="0">
      <w:start w:val="1"/>
      <w:numFmt w:val="lowerLetter"/>
      <w:lvlText w:val="%8)"/>
      <w:lvlJc w:val="left"/>
      <w:pPr>
        <w:ind w:left="3496" w:hanging="420"/>
      </w:pPr>
      <w:rPr>
        <w:rFonts w:hint="eastAsia"/>
      </w:rPr>
    </w:lvl>
    <w:lvl w:ilvl="8" w:tentative="0">
      <w:start w:val="1"/>
      <w:numFmt w:val="lowerRoman"/>
      <w:lvlText w:val="%9."/>
      <w:lvlJc w:val="right"/>
      <w:pPr>
        <w:ind w:left="3916" w:hanging="420"/>
      </w:pPr>
      <w:rPr>
        <w:rFonts w:hint="eastAsia"/>
      </w:rPr>
    </w:lvl>
  </w:abstractNum>
  <w:abstractNum w:abstractNumId="4">
    <w:nsid w:val="0000000F"/>
    <w:multiLevelType w:val="multilevel"/>
    <w:tmpl w:val="0000000F"/>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1"/>
    <w:multiLevelType w:val="multilevel"/>
    <w:tmpl w:val="00000011"/>
    <w:lvl w:ilvl="0" w:tentative="0">
      <w:start w:val="1"/>
      <w:numFmt w:val="japaneseCounting"/>
      <w:pStyle w:val="160"/>
      <w:lvlText w:val="%1、"/>
      <w:lvlJc w:val="left"/>
      <w:pPr>
        <w:ind w:left="906" w:hanging="4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8"/>
    <w:multiLevelType w:val="multilevel"/>
    <w:tmpl w:val="00000018"/>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4596841"/>
    <w:multiLevelType w:val="multilevel"/>
    <w:tmpl w:val="34596841"/>
    <w:lvl w:ilvl="0" w:tentative="0">
      <w:start w:val="2"/>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49AB7541"/>
    <w:multiLevelType w:val="multilevel"/>
    <w:tmpl w:val="49AB7541"/>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73E453C7"/>
    <w:multiLevelType w:val="multilevel"/>
    <w:tmpl w:val="73E453C7"/>
    <w:lvl w:ilvl="0" w:tentative="0">
      <w:start w:val="1"/>
      <w:numFmt w:val="decimal"/>
      <w:lvlText w:val="%1."/>
      <w:lvlJc w:val="left"/>
      <w:pPr>
        <w:ind w:left="420" w:hanging="420"/>
      </w:pPr>
    </w:lvl>
    <w:lvl w:ilvl="1" w:tentative="0">
      <w:start w:val="1"/>
      <w:numFmt w:val="decimal"/>
      <w:isLgl/>
      <w:lvlText w:val="%1.%2."/>
      <w:lvlJc w:val="left"/>
      <w:pPr>
        <w:ind w:left="720" w:hanging="720"/>
      </w:pPr>
      <w:rPr>
        <w:rFonts w:hint="default"/>
      </w:rPr>
    </w:lvl>
    <w:lvl w:ilvl="2" w:tentative="0">
      <w:start w:val="2"/>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2"/>
  </w:num>
  <w:num w:numId="6">
    <w:abstractNumId w:val="8"/>
  </w:num>
  <w:num w:numId="7">
    <w:abstractNumId w:val="7"/>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ZWYyMWQ4ZjA4NTMzNzc0ZTI0MTcxYjkyNmY1NTYifQ=="/>
  </w:docVars>
  <w:rsids>
    <w:rsidRoot w:val="00172A27"/>
    <w:rsid w:val="00000BF7"/>
    <w:rsid w:val="00000FEF"/>
    <w:rsid w:val="00001823"/>
    <w:rsid w:val="00002277"/>
    <w:rsid w:val="000022C1"/>
    <w:rsid w:val="00002874"/>
    <w:rsid w:val="000029D7"/>
    <w:rsid w:val="00002CE1"/>
    <w:rsid w:val="00003423"/>
    <w:rsid w:val="00003517"/>
    <w:rsid w:val="00003AD5"/>
    <w:rsid w:val="000042B0"/>
    <w:rsid w:val="000046B4"/>
    <w:rsid w:val="0000615D"/>
    <w:rsid w:val="00006519"/>
    <w:rsid w:val="00006B37"/>
    <w:rsid w:val="00007B06"/>
    <w:rsid w:val="000100E6"/>
    <w:rsid w:val="0001091C"/>
    <w:rsid w:val="00010953"/>
    <w:rsid w:val="00010C6F"/>
    <w:rsid w:val="00010E93"/>
    <w:rsid w:val="00010F32"/>
    <w:rsid w:val="000115AB"/>
    <w:rsid w:val="0001198C"/>
    <w:rsid w:val="00011D32"/>
    <w:rsid w:val="00012A14"/>
    <w:rsid w:val="000134A1"/>
    <w:rsid w:val="00013900"/>
    <w:rsid w:val="00013FA2"/>
    <w:rsid w:val="000144A3"/>
    <w:rsid w:val="00014707"/>
    <w:rsid w:val="0001540F"/>
    <w:rsid w:val="000163CA"/>
    <w:rsid w:val="0001686F"/>
    <w:rsid w:val="000202D1"/>
    <w:rsid w:val="0002145E"/>
    <w:rsid w:val="00021BB6"/>
    <w:rsid w:val="00023042"/>
    <w:rsid w:val="00023074"/>
    <w:rsid w:val="00023184"/>
    <w:rsid w:val="000239F9"/>
    <w:rsid w:val="0002406F"/>
    <w:rsid w:val="0002547F"/>
    <w:rsid w:val="00026A87"/>
    <w:rsid w:val="00027136"/>
    <w:rsid w:val="00027494"/>
    <w:rsid w:val="000275FC"/>
    <w:rsid w:val="00027B10"/>
    <w:rsid w:val="000301CF"/>
    <w:rsid w:val="000304FA"/>
    <w:rsid w:val="0003076E"/>
    <w:rsid w:val="00031069"/>
    <w:rsid w:val="00031281"/>
    <w:rsid w:val="00031D65"/>
    <w:rsid w:val="0003224B"/>
    <w:rsid w:val="00032684"/>
    <w:rsid w:val="00032723"/>
    <w:rsid w:val="00032C09"/>
    <w:rsid w:val="00032F63"/>
    <w:rsid w:val="00033A0D"/>
    <w:rsid w:val="00034082"/>
    <w:rsid w:val="0003474C"/>
    <w:rsid w:val="00035349"/>
    <w:rsid w:val="000353C0"/>
    <w:rsid w:val="0003569A"/>
    <w:rsid w:val="0003636E"/>
    <w:rsid w:val="00036E55"/>
    <w:rsid w:val="00036F2A"/>
    <w:rsid w:val="00037927"/>
    <w:rsid w:val="00040D3A"/>
    <w:rsid w:val="00040E80"/>
    <w:rsid w:val="0004196B"/>
    <w:rsid w:val="000426CE"/>
    <w:rsid w:val="000427CA"/>
    <w:rsid w:val="00042C4F"/>
    <w:rsid w:val="000431FC"/>
    <w:rsid w:val="00043443"/>
    <w:rsid w:val="00043F4F"/>
    <w:rsid w:val="00044C4D"/>
    <w:rsid w:val="00044E82"/>
    <w:rsid w:val="00045091"/>
    <w:rsid w:val="000451C6"/>
    <w:rsid w:val="0004540E"/>
    <w:rsid w:val="00045717"/>
    <w:rsid w:val="00045AAA"/>
    <w:rsid w:val="00046866"/>
    <w:rsid w:val="000469A0"/>
    <w:rsid w:val="00046C2B"/>
    <w:rsid w:val="00047188"/>
    <w:rsid w:val="0004769A"/>
    <w:rsid w:val="000501D0"/>
    <w:rsid w:val="000505A0"/>
    <w:rsid w:val="000507AF"/>
    <w:rsid w:val="00051F06"/>
    <w:rsid w:val="00052326"/>
    <w:rsid w:val="0005266A"/>
    <w:rsid w:val="00052807"/>
    <w:rsid w:val="00053414"/>
    <w:rsid w:val="00053580"/>
    <w:rsid w:val="00053853"/>
    <w:rsid w:val="00054660"/>
    <w:rsid w:val="000557EA"/>
    <w:rsid w:val="00056AF6"/>
    <w:rsid w:val="00057177"/>
    <w:rsid w:val="00060448"/>
    <w:rsid w:val="00060D4F"/>
    <w:rsid w:val="00060D59"/>
    <w:rsid w:val="00064AD0"/>
    <w:rsid w:val="00064AF6"/>
    <w:rsid w:val="00065FEC"/>
    <w:rsid w:val="000669BD"/>
    <w:rsid w:val="00070299"/>
    <w:rsid w:val="000715DD"/>
    <w:rsid w:val="000733C1"/>
    <w:rsid w:val="000736E2"/>
    <w:rsid w:val="00073A95"/>
    <w:rsid w:val="00073C4B"/>
    <w:rsid w:val="00073C87"/>
    <w:rsid w:val="0007402C"/>
    <w:rsid w:val="00074A1A"/>
    <w:rsid w:val="00074E6F"/>
    <w:rsid w:val="000753A9"/>
    <w:rsid w:val="00076546"/>
    <w:rsid w:val="00076D49"/>
    <w:rsid w:val="0007727E"/>
    <w:rsid w:val="0007742A"/>
    <w:rsid w:val="000778EF"/>
    <w:rsid w:val="00077C47"/>
    <w:rsid w:val="000800C8"/>
    <w:rsid w:val="000808B0"/>
    <w:rsid w:val="000815DA"/>
    <w:rsid w:val="000816EB"/>
    <w:rsid w:val="000816F3"/>
    <w:rsid w:val="00081C0F"/>
    <w:rsid w:val="00082747"/>
    <w:rsid w:val="000835F6"/>
    <w:rsid w:val="00083826"/>
    <w:rsid w:val="00083ADD"/>
    <w:rsid w:val="00084ADF"/>
    <w:rsid w:val="00084B5D"/>
    <w:rsid w:val="00085770"/>
    <w:rsid w:val="00085784"/>
    <w:rsid w:val="000907B5"/>
    <w:rsid w:val="00090C1F"/>
    <w:rsid w:val="00090DAA"/>
    <w:rsid w:val="00090E57"/>
    <w:rsid w:val="000911FA"/>
    <w:rsid w:val="00091585"/>
    <w:rsid w:val="00091623"/>
    <w:rsid w:val="00091EBF"/>
    <w:rsid w:val="00091F2F"/>
    <w:rsid w:val="00091FC0"/>
    <w:rsid w:val="000925BF"/>
    <w:rsid w:val="000929DE"/>
    <w:rsid w:val="000934FF"/>
    <w:rsid w:val="00093681"/>
    <w:rsid w:val="00093CCC"/>
    <w:rsid w:val="00094965"/>
    <w:rsid w:val="000956C6"/>
    <w:rsid w:val="00095D3C"/>
    <w:rsid w:val="00096106"/>
    <w:rsid w:val="00096859"/>
    <w:rsid w:val="00096B50"/>
    <w:rsid w:val="000976F3"/>
    <w:rsid w:val="000979D5"/>
    <w:rsid w:val="00097C0C"/>
    <w:rsid w:val="00097E4C"/>
    <w:rsid w:val="000A253C"/>
    <w:rsid w:val="000A2856"/>
    <w:rsid w:val="000A28E1"/>
    <w:rsid w:val="000A2E6E"/>
    <w:rsid w:val="000A2F67"/>
    <w:rsid w:val="000A3018"/>
    <w:rsid w:val="000A341E"/>
    <w:rsid w:val="000A3AE7"/>
    <w:rsid w:val="000A3BCC"/>
    <w:rsid w:val="000A4013"/>
    <w:rsid w:val="000A4725"/>
    <w:rsid w:val="000A4EB4"/>
    <w:rsid w:val="000A59DE"/>
    <w:rsid w:val="000A6523"/>
    <w:rsid w:val="000A67E5"/>
    <w:rsid w:val="000A7E4A"/>
    <w:rsid w:val="000A7E6D"/>
    <w:rsid w:val="000B02B4"/>
    <w:rsid w:val="000B03A2"/>
    <w:rsid w:val="000B03FE"/>
    <w:rsid w:val="000B04C6"/>
    <w:rsid w:val="000B0B1F"/>
    <w:rsid w:val="000B25EC"/>
    <w:rsid w:val="000B27E4"/>
    <w:rsid w:val="000B2ABC"/>
    <w:rsid w:val="000B3468"/>
    <w:rsid w:val="000B517C"/>
    <w:rsid w:val="000B5868"/>
    <w:rsid w:val="000B5879"/>
    <w:rsid w:val="000B5E97"/>
    <w:rsid w:val="000B6178"/>
    <w:rsid w:val="000B6BFE"/>
    <w:rsid w:val="000B6C7F"/>
    <w:rsid w:val="000B6FFB"/>
    <w:rsid w:val="000B77DD"/>
    <w:rsid w:val="000B7EC9"/>
    <w:rsid w:val="000C0132"/>
    <w:rsid w:val="000C05C5"/>
    <w:rsid w:val="000C0874"/>
    <w:rsid w:val="000C094F"/>
    <w:rsid w:val="000C0F33"/>
    <w:rsid w:val="000C10BE"/>
    <w:rsid w:val="000C3A26"/>
    <w:rsid w:val="000C447E"/>
    <w:rsid w:val="000C4705"/>
    <w:rsid w:val="000C553E"/>
    <w:rsid w:val="000C5A14"/>
    <w:rsid w:val="000C6E6C"/>
    <w:rsid w:val="000C7230"/>
    <w:rsid w:val="000C7E89"/>
    <w:rsid w:val="000D0923"/>
    <w:rsid w:val="000D1A88"/>
    <w:rsid w:val="000D1E03"/>
    <w:rsid w:val="000D22EC"/>
    <w:rsid w:val="000D234B"/>
    <w:rsid w:val="000D2E3A"/>
    <w:rsid w:val="000D308C"/>
    <w:rsid w:val="000D34D4"/>
    <w:rsid w:val="000D3668"/>
    <w:rsid w:val="000D3854"/>
    <w:rsid w:val="000D4658"/>
    <w:rsid w:val="000D4A98"/>
    <w:rsid w:val="000D5DB1"/>
    <w:rsid w:val="000D64DB"/>
    <w:rsid w:val="000D6AC5"/>
    <w:rsid w:val="000D71AE"/>
    <w:rsid w:val="000D7B59"/>
    <w:rsid w:val="000E031F"/>
    <w:rsid w:val="000E0E24"/>
    <w:rsid w:val="000E1C66"/>
    <w:rsid w:val="000E1C91"/>
    <w:rsid w:val="000E31B2"/>
    <w:rsid w:val="000E3993"/>
    <w:rsid w:val="000E39FB"/>
    <w:rsid w:val="000E41C5"/>
    <w:rsid w:val="000E5088"/>
    <w:rsid w:val="000E564B"/>
    <w:rsid w:val="000E60F8"/>
    <w:rsid w:val="000E65FF"/>
    <w:rsid w:val="000E75AE"/>
    <w:rsid w:val="000E7782"/>
    <w:rsid w:val="000F09B7"/>
    <w:rsid w:val="000F0A1D"/>
    <w:rsid w:val="000F1445"/>
    <w:rsid w:val="000F18FB"/>
    <w:rsid w:val="000F220A"/>
    <w:rsid w:val="000F2C29"/>
    <w:rsid w:val="000F32D2"/>
    <w:rsid w:val="000F3568"/>
    <w:rsid w:val="000F3927"/>
    <w:rsid w:val="000F3C1D"/>
    <w:rsid w:val="000F3CB8"/>
    <w:rsid w:val="000F4829"/>
    <w:rsid w:val="000F5011"/>
    <w:rsid w:val="000F530A"/>
    <w:rsid w:val="000F59A7"/>
    <w:rsid w:val="000F5DE4"/>
    <w:rsid w:val="000F60E9"/>
    <w:rsid w:val="000F6696"/>
    <w:rsid w:val="000F66E4"/>
    <w:rsid w:val="000F6A23"/>
    <w:rsid w:val="000F738C"/>
    <w:rsid w:val="000F7CB7"/>
    <w:rsid w:val="000F7F23"/>
    <w:rsid w:val="00100A22"/>
    <w:rsid w:val="00101065"/>
    <w:rsid w:val="00101487"/>
    <w:rsid w:val="001015C9"/>
    <w:rsid w:val="00101BB8"/>
    <w:rsid w:val="00101BD3"/>
    <w:rsid w:val="00102F8A"/>
    <w:rsid w:val="00102FF4"/>
    <w:rsid w:val="00103BB0"/>
    <w:rsid w:val="0010458E"/>
    <w:rsid w:val="001046F5"/>
    <w:rsid w:val="00104962"/>
    <w:rsid w:val="00104B93"/>
    <w:rsid w:val="00105B5E"/>
    <w:rsid w:val="00105D0A"/>
    <w:rsid w:val="001060A8"/>
    <w:rsid w:val="001066B3"/>
    <w:rsid w:val="00107001"/>
    <w:rsid w:val="00107489"/>
    <w:rsid w:val="001075BF"/>
    <w:rsid w:val="00107A21"/>
    <w:rsid w:val="00107C13"/>
    <w:rsid w:val="001100A4"/>
    <w:rsid w:val="00110602"/>
    <w:rsid w:val="00110BEE"/>
    <w:rsid w:val="00110D2C"/>
    <w:rsid w:val="00110E36"/>
    <w:rsid w:val="00110E7C"/>
    <w:rsid w:val="001110E8"/>
    <w:rsid w:val="001116E6"/>
    <w:rsid w:val="00111AF0"/>
    <w:rsid w:val="00111DEC"/>
    <w:rsid w:val="00113678"/>
    <w:rsid w:val="00116035"/>
    <w:rsid w:val="00116A4A"/>
    <w:rsid w:val="00116D9E"/>
    <w:rsid w:val="0011730D"/>
    <w:rsid w:val="001175D8"/>
    <w:rsid w:val="00117779"/>
    <w:rsid w:val="00117E6B"/>
    <w:rsid w:val="00120192"/>
    <w:rsid w:val="00121701"/>
    <w:rsid w:val="00121790"/>
    <w:rsid w:val="00122992"/>
    <w:rsid w:val="001241F9"/>
    <w:rsid w:val="00124284"/>
    <w:rsid w:val="001248AA"/>
    <w:rsid w:val="00124E95"/>
    <w:rsid w:val="001251A1"/>
    <w:rsid w:val="00125D81"/>
    <w:rsid w:val="00126DBC"/>
    <w:rsid w:val="0012768C"/>
    <w:rsid w:val="001278CE"/>
    <w:rsid w:val="00130BF3"/>
    <w:rsid w:val="00131065"/>
    <w:rsid w:val="00131623"/>
    <w:rsid w:val="001317DA"/>
    <w:rsid w:val="00133EF8"/>
    <w:rsid w:val="00134C53"/>
    <w:rsid w:val="0013500E"/>
    <w:rsid w:val="00135095"/>
    <w:rsid w:val="00135731"/>
    <w:rsid w:val="00135C64"/>
    <w:rsid w:val="001366A5"/>
    <w:rsid w:val="00137357"/>
    <w:rsid w:val="001377E6"/>
    <w:rsid w:val="00137CE2"/>
    <w:rsid w:val="0014124C"/>
    <w:rsid w:val="00143EF3"/>
    <w:rsid w:val="00143FDE"/>
    <w:rsid w:val="001440F9"/>
    <w:rsid w:val="0014535E"/>
    <w:rsid w:val="0014635B"/>
    <w:rsid w:val="00146E26"/>
    <w:rsid w:val="001475D4"/>
    <w:rsid w:val="00150301"/>
    <w:rsid w:val="001505B6"/>
    <w:rsid w:val="00151355"/>
    <w:rsid w:val="001518C4"/>
    <w:rsid w:val="00151C1D"/>
    <w:rsid w:val="00152348"/>
    <w:rsid w:val="00152D62"/>
    <w:rsid w:val="00153056"/>
    <w:rsid w:val="001534E2"/>
    <w:rsid w:val="00153501"/>
    <w:rsid w:val="001537D8"/>
    <w:rsid w:val="001543A1"/>
    <w:rsid w:val="00154CA5"/>
    <w:rsid w:val="001552D0"/>
    <w:rsid w:val="001554B9"/>
    <w:rsid w:val="00155578"/>
    <w:rsid w:val="001556AC"/>
    <w:rsid w:val="00156FF8"/>
    <w:rsid w:val="001577E4"/>
    <w:rsid w:val="00157E21"/>
    <w:rsid w:val="00160558"/>
    <w:rsid w:val="00160D12"/>
    <w:rsid w:val="00160F4D"/>
    <w:rsid w:val="0016112C"/>
    <w:rsid w:val="0016164C"/>
    <w:rsid w:val="00162088"/>
    <w:rsid w:val="0016368F"/>
    <w:rsid w:val="00164A06"/>
    <w:rsid w:val="00165AEF"/>
    <w:rsid w:val="00166476"/>
    <w:rsid w:val="001667F7"/>
    <w:rsid w:val="001673B7"/>
    <w:rsid w:val="001675F7"/>
    <w:rsid w:val="0016776F"/>
    <w:rsid w:val="00167DC6"/>
    <w:rsid w:val="001704AE"/>
    <w:rsid w:val="001706D8"/>
    <w:rsid w:val="0017130F"/>
    <w:rsid w:val="00172428"/>
    <w:rsid w:val="00172A27"/>
    <w:rsid w:val="00172E01"/>
    <w:rsid w:val="001738BB"/>
    <w:rsid w:val="00174A6E"/>
    <w:rsid w:val="00174F3C"/>
    <w:rsid w:val="0017575B"/>
    <w:rsid w:val="00175CFB"/>
    <w:rsid w:val="00176B16"/>
    <w:rsid w:val="00176DA4"/>
    <w:rsid w:val="00177A62"/>
    <w:rsid w:val="00177D11"/>
    <w:rsid w:val="001802D0"/>
    <w:rsid w:val="00180763"/>
    <w:rsid w:val="0018083E"/>
    <w:rsid w:val="00180D20"/>
    <w:rsid w:val="00181533"/>
    <w:rsid w:val="001815D5"/>
    <w:rsid w:val="00181DF8"/>
    <w:rsid w:val="00182681"/>
    <w:rsid w:val="00182A05"/>
    <w:rsid w:val="001832D2"/>
    <w:rsid w:val="00183553"/>
    <w:rsid w:val="001836CE"/>
    <w:rsid w:val="00183C2E"/>
    <w:rsid w:val="001845A8"/>
    <w:rsid w:val="00184795"/>
    <w:rsid w:val="00184AA5"/>
    <w:rsid w:val="00185235"/>
    <w:rsid w:val="001859AA"/>
    <w:rsid w:val="00185B68"/>
    <w:rsid w:val="00185E3E"/>
    <w:rsid w:val="00187B33"/>
    <w:rsid w:val="00190B7F"/>
    <w:rsid w:val="00190C83"/>
    <w:rsid w:val="00191773"/>
    <w:rsid w:val="00193535"/>
    <w:rsid w:val="001962AA"/>
    <w:rsid w:val="00197247"/>
    <w:rsid w:val="001A06F1"/>
    <w:rsid w:val="001A0CFD"/>
    <w:rsid w:val="001A0D27"/>
    <w:rsid w:val="001A1137"/>
    <w:rsid w:val="001A1559"/>
    <w:rsid w:val="001A16EE"/>
    <w:rsid w:val="001A19CD"/>
    <w:rsid w:val="001A1DCE"/>
    <w:rsid w:val="001A28B4"/>
    <w:rsid w:val="001A3195"/>
    <w:rsid w:val="001A3B3F"/>
    <w:rsid w:val="001A4024"/>
    <w:rsid w:val="001A4BE2"/>
    <w:rsid w:val="001A4CAB"/>
    <w:rsid w:val="001A515C"/>
    <w:rsid w:val="001A5915"/>
    <w:rsid w:val="001A5A84"/>
    <w:rsid w:val="001A5CA0"/>
    <w:rsid w:val="001A65D0"/>
    <w:rsid w:val="001A74B5"/>
    <w:rsid w:val="001A778B"/>
    <w:rsid w:val="001A7D86"/>
    <w:rsid w:val="001B1A4F"/>
    <w:rsid w:val="001B247F"/>
    <w:rsid w:val="001B280B"/>
    <w:rsid w:val="001B29AF"/>
    <w:rsid w:val="001B2F1A"/>
    <w:rsid w:val="001B31E5"/>
    <w:rsid w:val="001B3337"/>
    <w:rsid w:val="001B4DF0"/>
    <w:rsid w:val="001B5CF7"/>
    <w:rsid w:val="001B6952"/>
    <w:rsid w:val="001B6D52"/>
    <w:rsid w:val="001B740B"/>
    <w:rsid w:val="001B77A2"/>
    <w:rsid w:val="001B79CD"/>
    <w:rsid w:val="001B7D4B"/>
    <w:rsid w:val="001C0395"/>
    <w:rsid w:val="001C0D4D"/>
    <w:rsid w:val="001C1F85"/>
    <w:rsid w:val="001C30F5"/>
    <w:rsid w:val="001C39E1"/>
    <w:rsid w:val="001C6C4F"/>
    <w:rsid w:val="001D0CF1"/>
    <w:rsid w:val="001D11E8"/>
    <w:rsid w:val="001D24C3"/>
    <w:rsid w:val="001D326C"/>
    <w:rsid w:val="001D38CD"/>
    <w:rsid w:val="001D4C95"/>
    <w:rsid w:val="001D5325"/>
    <w:rsid w:val="001D6FCD"/>
    <w:rsid w:val="001D7476"/>
    <w:rsid w:val="001D7E5C"/>
    <w:rsid w:val="001E01EE"/>
    <w:rsid w:val="001E0C07"/>
    <w:rsid w:val="001E0CD3"/>
    <w:rsid w:val="001E0DC2"/>
    <w:rsid w:val="001E1482"/>
    <w:rsid w:val="001E2138"/>
    <w:rsid w:val="001E271E"/>
    <w:rsid w:val="001E2A87"/>
    <w:rsid w:val="001E35D7"/>
    <w:rsid w:val="001E4385"/>
    <w:rsid w:val="001E47FA"/>
    <w:rsid w:val="001E4D48"/>
    <w:rsid w:val="001E52D8"/>
    <w:rsid w:val="001E6335"/>
    <w:rsid w:val="001E6E0F"/>
    <w:rsid w:val="001E723B"/>
    <w:rsid w:val="001E7360"/>
    <w:rsid w:val="001E737B"/>
    <w:rsid w:val="001E7604"/>
    <w:rsid w:val="001E79DD"/>
    <w:rsid w:val="001F0ECB"/>
    <w:rsid w:val="001F1020"/>
    <w:rsid w:val="001F1589"/>
    <w:rsid w:val="001F165D"/>
    <w:rsid w:val="001F1E02"/>
    <w:rsid w:val="001F2ABE"/>
    <w:rsid w:val="001F31F0"/>
    <w:rsid w:val="001F3E22"/>
    <w:rsid w:val="001F4180"/>
    <w:rsid w:val="001F483A"/>
    <w:rsid w:val="001F62C6"/>
    <w:rsid w:val="001F6C44"/>
    <w:rsid w:val="001F785F"/>
    <w:rsid w:val="001F79B7"/>
    <w:rsid w:val="002015E9"/>
    <w:rsid w:val="00201963"/>
    <w:rsid w:val="00201C59"/>
    <w:rsid w:val="00201F23"/>
    <w:rsid w:val="00202CAC"/>
    <w:rsid w:val="00203FA0"/>
    <w:rsid w:val="002053A1"/>
    <w:rsid w:val="002057BC"/>
    <w:rsid w:val="00205A06"/>
    <w:rsid w:val="00207307"/>
    <w:rsid w:val="00207B70"/>
    <w:rsid w:val="00210A81"/>
    <w:rsid w:val="00210B80"/>
    <w:rsid w:val="00212659"/>
    <w:rsid w:val="00212833"/>
    <w:rsid w:val="00212ADE"/>
    <w:rsid w:val="00213353"/>
    <w:rsid w:val="002133A7"/>
    <w:rsid w:val="00213EDF"/>
    <w:rsid w:val="0021410C"/>
    <w:rsid w:val="002143EF"/>
    <w:rsid w:val="00214EB8"/>
    <w:rsid w:val="00214FD4"/>
    <w:rsid w:val="00215903"/>
    <w:rsid w:val="00215EF6"/>
    <w:rsid w:val="0021608D"/>
    <w:rsid w:val="002169B8"/>
    <w:rsid w:val="002178CD"/>
    <w:rsid w:val="00217A7C"/>
    <w:rsid w:val="002201EA"/>
    <w:rsid w:val="00220A82"/>
    <w:rsid w:val="00221794"/>
    <w:rsid w:val="00221E34"/>
    <w:rsid w:val="00221F67"/>
    <w:rsid w:val="002222B6"/>
    <w:rsid w:val="00222D00"/>
    <w:rsid w:val="00222D7F"/>
    <w:rsid w:val="002232B6"/>
    <w:rsid w:val="00224091"/>
    <w:rsid w:val="00224470"/>
    <w:rsid w:val="002247F1"/>
    <w:rsid w:val="00224A7D"/>
    <w:rsid w:val="00224E3E"/>
    <w:rsid w:val="00225560"/>
    <w:rsid w:val="00227015"/>
    <w:rsid w:val="002270EA"/>
    <w:rsid w:val="00230C6E"/>
    <w:rsid w:val="002311E0"/>
    <w:rsid w:val="002319FF"/>
    <w:rsid w:val="0023224E"/>
    <w:rsid w:val="0023229E"/>
    <w:rsid w:val="00232437"/>
    <w:rsid w:val="002335C8"/>
    <w:rsid w:val="00233AA8"/>
    <w:rsid w:val="00233BAA"/>
    <w:rsid w:val="00233BF8"/>
    <w:rsid w:val="00233E2C"/>
    <w:rsid w:val="00234473"/>
    <w:rsid w:val="00235494"/>
    <w:rsid w:val="0023626C"/>
    <w:rsid w:val="0023664F"/>
    <w:rsid w:val="0023672C"/>
    <w:rsid w:val="00236D9B"/>
    <w:rsid w:val="00237EDC"/>
    <w:rsid w:val="002420B0"/>
    <w:rsid w:val="00242591"/>
    <w:rsid w:val="002426BC"/>
    <w:rsid w:val="00242CAE"/>
    <w:rsid w:val="00243901"/>
    <w:rsid w:val="00243A77"/>
    <w:rsid w:val="00243B4F"/>
    <w:rsid w:val="00243CEF"/>
    <w:rsid w:val="0024422B"/>
    <w:rsid w:val="00244F54"/>
    <w:rsid w:val="002450A7"/>
    <w:rsid w:val="0024512C"/>
    <w:rsid w:val="00245398"/>
    <w:rsid w:val="00245792"/>
    <w:rsid w:val="00245AF2"/>
    <w:rsid w:val="0024611A"/>
    <w:rsid w:val="00246AA4"/>
    <w:rsid w:val="00247390"/>
    <w:rsid w:val="00247BE2"/>
    <w:rsid w:val="00251119"/>
    <w:rsid w:val="00251AEC"/>
    <w:rsid w:val="002521AE"/>
    <w:rsid w:val="002525D0"/>
    <w:rsid w:val="00252955"/>
    <w:rsid w:val="002539C5"/>
    <w:rsid w:val="00253B73"/>
    <w:rsid w:val="00254C09"/>
    <w:rsid w:val="0025509B"/>
    <w:rsid w:val="00255C60"/>
    <w:rsid w:val="00255E59"/>
    <w:rsid w:val="002570EF"/>
    <w:rsid w:val="00257D2F"/>
    <w:rsid w:val="00257E7F"/>
    <w:rsid w:val="00260262"/>
    <w:rsid w:val="002605D9"/>
    <w:rsid w:val="00260858"/>
    <w:rsid w:val="00260A2D"/>
    <w:rsid w:val="00260CFC"/>
    <w:rsid w:val="00261647"/>
    <w:rsid w:val="00261B06"/>
    <w:rsid w:val="0026273C"/>
    <w:rsid w:val="00263640"/>
    <w:rsid w:val="00263A1C"/>
    <w:rsid w:val="00263F04"/>
    <w:rsid w:val="00263F91"/>
    <w:rsid w:val="00264D11"/>
    <w:rsid w:val="00265464"/>
    <w:rsid w:val="002663AA"/>
    <w:rsid w:val="00267ACC"/>
    <w:rsid w:val="00267CB2"/>
    <w:rsid w:val="0027072D"/>
    <w:rsid w:val="0027088E"/>
    <w:rsid w:val="00271F58"/>
    <w:rsid w:val="002730C4"/>
    <w:rsid w:val="00273129"/>
    <w:rsid w:val="00274245"/>
    <w:rsid w:val="002746DE"/>
    <w:rsid w:val="002746E5"/>
    <w:rsid w:val="00275192"/>
    <w:rsid w:val="0027781C"/>
    <w:rsid w:val="00280DEE"/>
    <w:rsid w:val="00281803"/>
    <w:rsid w:val="00281A88"/>
    <w:rsid w:val="0028239A"/>
    <w:rsid w:val="002831A1"/>
    <w:rsid w:val="002831CA"/>
    <w:rsid w:val="00285642"/>
    <w:rsid w:val="002867C3"/>
    <w:rsid w:val="00287308"/>
    <w:rsid w:val="00287B6F"/>
    <w:rsid w:val="00291BDD"/>
    <w:rsid w:val="00293152"/>
    <w:rsid w:val="00293F5A"/>
    <w:rsid w:val="00293F82"/>
    <w:rsid w:val="0029401A"/>
    <w:rsid w:val="0029448F"/>
    <w:rsid w:val="002946B6"/>
    <w:rsid w:val="0029578B"/>
    <w:rsid w:val="002958C4"/>
    <w:rsid w:val="00295AB8"/>
    <w:rsid w:val="002966D2"/>
    <w:rsid w:val="00297239"/>
    <w:rsid w:val="002A0093"/>
    <w:rsid w:val="002A1D0C"/>
    <w:rsid w:val="002A218A"/>
    <w:rsid w:val="002A2F4E"/>
    <w:rsid w:val="002A36E1"/>
    <w:rsid w:val="002A48BB"/>
    <w:rsid w:val="002A49A9"/>
    <w:rsid w:val="002A5487"/>
    <w:rsid w:val="002A60F7"/>
    <w:rsid w:val="002A65A6"/>
    <w:rsid w:val="002A6E0C"/>
    <w:rsid w:val="002A6F1A"/>
    <w:rsid w:val="002B0892"/>
    <w:rsid w:val="002B23A1"/>
    <w:rsid w:val="002B2C9C"/>
    <w:rsid w:val="002B336E"/>
    <w:rsid w:val="002B3EC0"/>
    <w:rsid w:val="002B4181"/>
    <w:rsid w:val="002B49E1"/>
    <w:rsid w:val="002B538D"/>
    <w:rsid w:val="002B5781"/>
    <w:rsid w:val="002B5BEF"/>
    <w:rsid w:val="002B6069"/>
    <w:rsid w:val="002B70DA"/>
    <w:rsid w:val="002B72A6"/>
    <w:rsid w:val="002B7F30"/>
    <w:rsid w:val="002C0681"/>
    <w:rsid w:val="002C19ED"/>
    <w:rsid w:val="002C1B13"/>
    <w:rsid w:val="002C3228"/>
    <w:rsid w:val="002C34D7"/>
    <w:rsid w:val="002C3D02"/>
    <w:rsid w:val="002C3FC6"/>
    <w:rsid w:val="002C4520"/>
    <w:rsid w:val="002C5621"/>
    <w:rsid w:val="002C5857"/>
    <w:rsid w:val="002C59A4"/>
    <w:rsid w:val="002C5F99"/>
    <w:rsid w:val="002C7655"/>
    <w:rsid w:val="002D00D8"/>
    <w:rsid w:val="002D0628"/>
    <w:rsid w:val="002D0966"/>
    <w:rsid w:val="002D1091"/>
    <w:rsid w:val="002D16B6"/>
    <w:rsid w:val="002D1AFF"/>
    <w:rsid w:val="002D2737"/>
    <w:rsid w:val="002D317F"/>
    <w:rsid w:val="002D364E"/>
    <w:rsid w:val="002D5ED6"/>
    <w:rsid w:val="002D6312"/>
    <w:rsid w:val="002D63F1"/>
    <w:rsid w:val="002D640A"/>
    <w:rsid w:val="002D6C8A"/>
    <w:rsid w:val="002D7017"/>
    <w:rsid w:val="002D7362"/>
    <w:rsid w:val="002D7A1D"/>
    <w:rsid w:val="002E0D2D"/>
    <w:rsid w:val="002E131A"/>
    <w:rsid w:val="002E1711"/>
    <w:rsid w:val="002E22D0"/>
    <w:rsid w:val="002E24AD"/>
    <w:rsid w:val="002E3172"/>
    <w:rsid w:val="002E414F"/>
    <w:rsid w:val="002E4A45"/>
    <w:rsid w:val="002E5426"/>
    <w:rsid w:val="002E5E72"/>
    <w:rsid w:val="002E6784"/>
    <w:rsid w:val="002E6C8C"/>
    <w:rsid w:val="002E74B5"/>
    <w:rsid w:val="002E7824"/>
    <w:rsid w:val="002E785B"/>
    <w:rsid w:val="002E7F19"/>
    <w:rsid w:val="002F037E"/>
    <w:rsid w:val="002F1CCE"/>
    <w:rsid w:val="002F2707"/>
    <w:rsid w:val="002F3037"/>
    <w:rsid w:val="002F343B"/>
    <w:rsid w:val="002F4FBB"/>
    <w:rsid w:val="002F5078"/>
    <w:rsid w:val="002F54DB"/>
    <w:rsid w:val="002F5E2B"/>
    <w:rsid w:val="002F7293"/>
    <w:rsid w:val="002F73CA"/>
    <w:rsid w:val="002F76F0"/>
    <w:rsid w:val="002F7766"/>
    <w:rsid w:val="003002F6"/>
    <w:rsid w:val="00300826"/>
    <w:rsid w:val="00300BBA"/>
    <w:rsid w:val="00301263"/>
    <w:rsid w:val="00301639"/>
    <w:rsid w:val="0030189E"/>
    <w:rsid w:val="0030594E"/>
    <w:rsid w:val="00306033"/>
    <w:rsid w:val="00306DE7"/>
    <w:rsid w:val="00310087"/>
    <w:rsid w:val="0031054B"/>
    <w:rsid w:val="00310D71"/>
    <w:rsid w:val="00310FD1"/>
    <w:rsid w:val="00311ACF"/>
    <w:rsid w:val="00312AEB"/>
    <w:rsid w:val="00312BBC"/>
    <w:rsid w:val="00314842"/>
    <w:rsid w:val="00314E63"/>
    <w:rsid w:val="00315E66"/>
    <w:rsid w:val="00316096"/>
    <w:rsid w:val="003163A3"/>
    <w:rsid w:val="003163B2"/>
    <w:rsid w:val="003163F4"/>
    <w:rsid w:val="00316535"/>
    <w:rsid w:val="00316A09"/>
    <w:rsid w:val="00316C85"/>
    <w:rsid w:val="00317911"/>
    <w:rsid w:val="00317C9B"/>
    <w:rsid w:val="00317F1E"/>
    <w:rsid w:val="003203D0"/>
    <w:rsid w:val="00321628"/>
    <w:rsid w:val="00321B0A"/>
    <w:rsid w:val="00321E3D"/>
    <w:rsid w:val="00322311"/>
    <w:rsid w:val="0032249B"/>
    <w:rsid w:val="00322F26"/>
    <w:rsid w:val="0032316C"/>
    <w:rsid w:val="00324A8D"/>
    <w:rsid w:val="003254D4"/>
    <w:rsid w:val="0032581E"/>
    <w:rsid w:val="0032625D"/>
    <w:rsid w:val="003268A4"/>
    <w:rsid w:val="00326B0B"/>
    <w:rsid w:val="00327052"/>
    <w:rsid w:val="00327226"/>
    <w:rsid w:val="00330039"/>
    <w:rsid w:val="00330133"/>
    <w:rsid w:val="00330271"/>
    <w:rsid w:val="0033043A"/>
    <w:rsid w:val="00331A41"/>
    <w:rsid w:val="00331B1D"/>
    <w:rsid w:val="0033262D"/>
    <w:rsid w:val="00332B15"/>
    <w:rsid w:val="00332D31"/>
    <w:rsid w:val="00333439"/>
    <w:rsid w:val="003335C1"/>
    <w:rsid w:val="00333C86"/>
    <w:rsid w:val="00333F93"/>
    <w:rsid w:val="00334402"/>
    <w:rsid w:val="003349F6"/>
    <w:rsid w:val="00334A93"/>
    <w:rsid w:val="00334E84"/>
    <w:rsid w:val="00335408"/>
    <w:rsid w:val="003356E6"/>
    <w:rsid w:val="00335D63"/>
    <w:rsid w:val="0033644C"/>
    <w:rsid w:val="00336DD2"/>
    <w:rsid w:val="00336E8A"/>
    <w:rsid w:val="00337C85"/>
    <w:rsid w:val="00340BF8"/>
    <w:rsid w:val="00340F1C"/>
    <w:rsid w:val="00341C1F"/>
    <w:rsid w:val="0034339A"/>
    <w:rsid w:val="003434F0"/>
    <w:rsid w:val="003435B3"/>
    <w:rsid w:val="0034485F"/>
    <w:rsid w:val="0034606C"/>
    <w:rsid w:val="003467E2"/>
    <w:rsid w:val="00347429"/>
    <w:rsid w:val="0034755A"/>
    <w:rsid w:val="00347A06"/>
    <w:rsid w:val="00347BDB"/>
    <w:rsid w:val="00347C4A"/>
    <w:rsid w:val="00350B5A"/>
    <w:rsid w:val="00350B9F"/>
    <w:rsid w:val="0035350C"/>
    <w:rsid w:val="003537AB"/>
    <w:rsid w:val="00354BDE"/>
    <w:rsid w:val="00354CAD"/>
    <w:rsid w:val="00354F85"/>
    <w:rsid w:val="0035531C"/>
    <w:rsid w:val="00355324"/>
    <w:rsid w:val="00355EAC"/>
    <w:rsid w:val="003560C8"/>
    <w:rsid w:val="003561AB"/>
    <w:rsid w:val="0035649C"/>
    <w:rsid w:val="0035759D"/>
    <w:rsid w:val="00360C5E"/>
    <w:rsid w:val="00360D48"/>
    <w:rsid w:val="003628A6"/>
    <w:rsid w:val="003637A3"/>
    <w:rsid w:val="00363D70"/>
    <w:rsid w:val="00363E1B"/>
    <w:rsid w:val="00364154"/>
    <w:rsid w:val="003644DF"/>
    <w:rsid w:val="003655A5"/>
    <w:rsid w:val="00365A6D"/>
    <w:rsid w:val="00365D5F"/>
    <w:rsid w:val="00366791"/>
    <w:rsid w:val="003667D7"/>
    <w:rsid w:val="003674E8"/>
    <w:rsid w:val="003709C1"/>
    <w:rsid w:val="00372211"/>
    <w:rsid w:val="00372A32"/>
    <w:rsid w:val="00372DA7"/>
    <w:rsid w:val="00372FD3"/>
    <w:rsid w:val="00373637"/>
    <w:rsid w:val="0037463F"/>
    <w:rsid w:val="00374CFE"/>
    <w:rsid w:val="00374E89"/>
    <w:rsid w:val="00374EF5"/>
    <w:rsid w:val="00375E5B"/>
    <w:rsid w:val="0037706C"/>
    <w:rsid w:val="003802E8"/>
    <w:rsid w:val="0038088C"/>
    <w:rsid w:val="00380A77"/>
    <w:rsid w:val="00381F90"/>
    <w:rsid w:val="0038270F"/>
    <w:rsid w:val="003828F2"/>
    <w:rsid w:val="0038382A"/>
    <w:rsid w:val="00383EBB"/>
    <w:rsid w:val="00384E9E"/>
    <w:rsid w:val="00385929"/>
    <w:rsid w:val="00386134"/>
    <w:rsid w:val="00387858"/>
    <w:rsid w:val="0038790D"/>
    <w:rsid w:val="00387CE9"/>
    <w:rsid w:val="00387D12"/>
    <w:rsid w:val="00390525"/>
    <w:rsid w:val="00390791"/>
    <w:rsid w:val="00390B5B"/>
    <w:rsid w:val="003910FD"/>
    <w:rsid w:val="003911E5"/>
    <w:rsid w:val="003926D8"/>
    <w:rsid w:val="003927C9"/>
    <w:rsid w:val="003929F1"/>
    <w:rsid w:val="00392E36"/>
    <w:rsid w:val="003930C8"/>
    <w:rsid w:val="00393838"/>
    <w:rsid w:val="00393D3D"/>
    <w:rsid w:val="003940AE"/>
    <w:rsid w:val="00394323"/>
    <w:rsid w:val="00394954"/>
    <w:rsid w:val="00394D06"/>
    <w:rsid w:val="00395C45"/>
    <w:rsid w:val="00396F58"/>
    <w:rsid w:val="0039726C"/>
    <w:rsid w:val="00397947"/>
    <w:rsid w:val="003A1494"/>
    <w:rsid w:val="003A1862"/>
    <w:rsid w:val="003A1942"/>
    <w:rsid w:val="003A2B72"/>
    <w:rsid w:val="003A3F30"/>
    <w:rsid w:val="003A48AD"/>
    <w:rsid w:val="003A4FC1"/>
    <w:rsid w:val="003A5DA7"/>
    <w:rsid w:val="003A69C6"/>
    <w:rsid w:val="003A7236"/>
    <w:rsid w:val="003A79F1"/>
    <w:rsid w:val="003B0820"/>
    <w:rsid w:val="003B1A94"/>
    <w:rsid w:val="003B3136"/>
    <w:rsid w:val="003B366B"/>
    <w:rsid w:val="003B4095"/>
    <w:rsid w:val="003B4BDD"/>
    <w:rsid w:val="003B5388"/>
    <w:rsid w:val="003B5728"/>
    <w:rsid w:val="003B5F8C"/>
    <w:rsid w:val="003B682D"/>
    <w:rsid w:val="003B786C"/>
    <w:rsid w:val="003C047C"/>
    <w:rsid w:val="003C10ED"/>
    <w:rsid w:val="003C2323"/>
    <w:rsid w:val="003C2934"/>
    <w:rsid w:val="003C2A2E"/>
    <w:rsid w:val="003C2DBC"/>
    <w:rsid w:val="003C3835"/>
    <w:rsid w:val="003C3B5F"/>
    <w:rsid w:val="003C429F"/>
    <w:rsid w:val="003C4835"/>
    <w:rsid w:val="003C4F5F"/>
    <w:rsid w:val="003C651F"/>
    <w:rsid w:val="003C6A08"/>
    <w:rsid w:val="003C74A2"/>
    <w:rsid w:val="003C74C4"/>
    <w:rsid w:val="003C76CF"/>
    <w:rsid w:val="003D2355"/>
    <w:rsid w:val="003D2A8A"/>
    <w:rsid w:val="003D3494"/>
    <w:rsid w:val="003D5ED0"/>
    <w:rsid w:val="003D6704"/>
    <w:rsid w:val="003D710F"/>
    <w:rsid w:val="003D7542"/>
    <w:rsid w:val="003E0E6C"/>
    <w:rsid w:val="003E17A6"/>
    <w:rsid w:val="003E1F6E"/>
    <w:rsid w:val="003E23E3"/>
    <w:rsid w:val="003E2722"/>
    <w:rsid w:val="003E2D4C"/>
    <w:rsid w:val="003E3518"/>
    <w:rsid w:val="003E3A57"/>
    <w:rsid w:val="003E3AE8"/>
    <w:rsid w:val="003E4018"/>
    <w:rsid w:val="003E47C4"/>
    <w:rsid w:val="003E47C7"/>
    <w:rsid w:val="003E577B"/>
    <w:rsid w:val="003E5837"/>
    <w:rsid w:val="003E6167"/>
    <w:rsid w:val="003F0183"/>
    <w:rsid w:val="003F1941"/>
    <w:rsid w:val="003F1E9C"/>
    <w:rsid w:val="003F2B10"/>
    <w:rsid w:val="003F3829"/>
    <w:rsid w:val="003F3C2F"/>
    <w:rsid w:val="003F4AAC"/>
    <w:rsid w:val="003F4E7B"/>
    <w:rsid w:val="003F5347"/>
    <w:rsid w:val="003F5DEA"/>
    <w:rsid w:val="003F601D"/>
    <w:rsid w:val="003F60F3"/>
    <w:rsid w:val="003F64A3"/>
    <w:rsid w:val="003F6531"/>
    <w:rsid w:val="003F66C7"/>
    <w:rsid w:val="003F7281"/>
    <w:rsid w:val="003F7AA9"/>
    <w:rsid w:val="004006B4"/>
    <w:rsid w:val="004014D9"/>
    <w:rsid w:val="004020EC"/>
    <w:rsid w:val="004027FB"/>
    <w:rsid w:val="00402C41"/>
    <w:rsid w:val="004033CE"/>
    <w:rsid w:val="00404057"/>
    <w:rsid w:val="004041B4"/>
    <w:rsid w:val="00404B01"/>
    <w:rsid w:val="00404B48"/>
    <w:rsid w:val="00404D32"/>
    <w:rsid w:val="0040527A"/>
    <w:rsid w:val="0040572C"/>
    <w:rsid w:val="0040591C"/>
    <w:rsid w:val="00405B53"/>
    <w:rsid w:val="00405E4E"/>
    <w:rsid w:val="00406095"/>
    <w:rsid w:val="0040652E"/>
    <w:rsid w:val="00407178"/>
    <w:rsid w:val="00407B3E"/>
    <w:rsid w:val="004103F4"/>
    <w:rsid w:val="00410E88"/>
    <w:rsid w:val="004117CB"/>
    <w:rsid w:val="00411E9C"/>
    <w:rsid w:val="00411EE9"/>
    <w:rsid w:val="004128BB"/>
    <w:rsid w:val="00413A5F"/>
    <w:rsid w:val="0041408C"/>
    <w:rsid w:val="004140E0"/>
    <w:rsid w:val="00415513"/>
    <w:rsid w:val="0041634E"/>
    <w:rsid w:val="00416630"/>
    <w:rsid w:val="00416EFF"/>
    <w:rsid w:val="004172B0"/>
    <w:rsid w:val="00417564"/>
    <w:rsid w:val="00420C7F"/>
    <w:rsid w:val="00421205"/>
    <w:rsid w:val="00421CA1"/>
    <w:rsid w:val="00421F22"/>
    <w:rsid w:val="00422239"/>
    <w:rsid w:val="00422582"/>
    <w:rsid w:val="004235E1"/>
    <w:rsid w:val="00424033"/>
    <w:rsid w:val="0042498A"/>
    <w:rsid w:val="00425DCA"/>
    <w:rsid w:val="00426496"/>
    <w:rsid w:val="00426707"/>
    <w:rsid w:val="00426A65"/>
    <w:rsid w:val="00426C8F"/>
    <w:rsid w:val="00426E13"/>
    <w:rsid w:val="004272E9"/>
    <w:rsid w:val="004277B2"/>
    <w:rsid w:val="004313E7"/>
    <w:rsid w:val="0043232A"/>
    <w:rsid w:val="0043275B"/>
    <w:rsid w:val="00432B37"/>
    <w:rsid w:val="00432C07"/>
    <w:rsid w:val="00433EB5"/>
    <w:rsid w:val="00433FCC"/>
    <w:rsid w:val="00434744"/>
    <w:rsid w:val="004354B4"/>
    <w:rsid w:val="004357B5"/>
    <w:rsid w:val="0043584E"/>
    <w:rsid w:val="004364C2"/>
    <w:rsid w:val="00436B2D"/>
    <w:rsid w:val="0043770B"/>
    <w:rsid w:val="004378BC"/>
    <w:rsid w:val="00437EF8"/>
    <w:rsid w:val="00440E25"/>
    <w:rsid w:val="0044150A"/>
    <w:rsid w:val="00441735"/>
    <w:rsid w:val="00441788"/>
    <w:rsid w:val="004421CF"/>
    <w:rsid w:val="00442B6F"/>
    <w:rsid w:val="00443A6E"/>
    <w:rsid w:val="00444145"/>
    <w:rsid w:val="00445532"/>
    <w:rsid w:val="00445668"/>
    <w:rsid w:val="004457DF"/>
    <w:rsid w:val="004475E3"/>
    <w:rsid w:val="0045057F"/>
    <w:rsid w:val="004507A4"/>
    <w:rsid w:val="00450F9D"/>
    <w:rsid w:val="0045139E"/>
    <w:rsid w:val="00451DDF"/>
    <w:rsid w:val="00451EBE"/>
    <w:rsid w:val="00452238"/>
    <w:rsid w:val="004523D6"/>
    <w:rsid w:val="0045276F"/>
    <w:rsid w:val="004527D0"/>
    <w:rsid w:val="00452A4F"/>
    <w:rsid w:val="00452F00"/>
    <w:rsid w:val="0045372E"/>
    <w:rsid w:val="004543AF"/>
    <w:rsid w:val="00454AC0"/>
    <w:rsid w:val="00454DD1"/>
    <w:rsid w:val="004550A1"/>
    <w:rsid w:val="00456DD2"/>
    <w:rsid w:val="00457D1C"/>
    <w:rsid w:val="00457EBC"/>
    <w:rsid w:val="00457F8F"/>
    <w:rsid w:val="004606C2"/>
    <w:rsid w:val="00462C90"/>
    <w:rsid w:val="0046301F"/>
    <w:rsid w:val="00463350"/>
    <w:rsid w:val="00463589"/>
    <w:rsid w:val="004636FD"/>
    <w:rsid w:val="00463FB4"/>
    <w:rsid w:val="004659F9"/>
    <w:rsid w:val="00465C7B"/>
    <w:rsid w:val="00466431"/>
    <w:rsid w:val="00466F95"/>
    <w:rsid w:val="00467685"/>
    <w:rsid w:val="0047067A"/>
    <w:rsid w:val="00470EC8"/>
    <w:rsid w:val="00471150"/>
    <w:rsid w:val="004711AA"/>
    <w:rsid w:val="00471558"/>
    <w:rsid w:val="00471AE3"/>
    <w:rsid w:val="00471D4E"/>
    <w:rsid w:val="00472209"/>
    <w:rsid w:val="00474D87"/>
    <w:rsid w:val="00475330"/>
    <w:rsid w:val="00475B9E"/>
    <w:rsid w:val="00477729"/>
    <w:rsid w:val="00480082"/>
    <w:rsid w:val="004808B2"/>
    <w:rsid w:val="0048148D"/>
    <w:rsid w:val="00481EB9"/>
    <w:rsid w:val="00482608"/>
    <w:rsid w:val="00482DCC"/>
    <w:rsid w:val="00482EE6"/>
    <w:rsid w:val="004831DE"/>
    <w:rsid w:val="004834A8"/>
    <w:rsid w:val="004836E3"/>
    <w:rsid w:val="00484363"/>
    <w:rsid w:val="00484EA7"/>
    <w:rsid w:val="00485469"/>
    <w:rsid w:val="00485BA4"/>
    <w:rsid w:val="00485BC8"/>
    <w:rsid w:val="004871D2"/>
    <w:rsid w:val="004873F9"/>
    <w:rsid w:val="004876DE"/>
    <w:rsid w:val="00487FCC"/>
    <w:rsid w:val="00490B5D"/>
    <w:rsid w:val="00492850"/>
    <w:rsid w:val="00493EE7"/>
    <w:rsid w:val="0049469F"/>
    <w:rsid w:val="00494CA5"/>
    <w:rsid w:val="00494E9C"/>
    <w:rsid w:val="00496D48"/>
    <w:rsid w:val="00497382"/>
    <w:rsid w:val="004A14F4"/>
    <w:rsid w:val="004A1BB1"/>
    <w:rsid w:val="004A3256"/>
    <w:rsid w:val="004A3840"/>
    <w:rsid w:val="004A39B6"/>
    <w:rsid w:val="004A3C5D"/>
    <w:rsid w:val="004A479F"/>
    <w:rsid w:val="004A5D0C"/>
    <w:rsid w:val="004A6C89"/>
    <w:rsid w:val="004A6FA5"/>
    <w:rsid w:val="004A7399"/>
    <w:rsid w:val="004A77C3"/>
    <w:rsid w:val="004A7D23"/>
    <w:rsid w:val="004A7D4D"/>
    <w:rsid w:val="004B1D94"/>
    <w:rsid w:val="004B2F7D"/>
    <w:rsid w:val="004B30E8"/>
    <w:rsid w:val="004B3288"/>
    <w:rsid w:val="004B33AE"/>
    <w:rsid w:val="004B36B1"/>
    <w:rsid w:val="004B40A6"/>
    <w:rsid w:val="004B47B5"/>
    <w:rsid w:val="004B4CB7"/>
    <w:rsid w:val="004B4DA4"/>
    <w:rsid w:val="004B5635"/>
    <w:rsid w:val="004B5970"/>
    <w:rsid w:val="004B730F"/>
    <w:rsid w:val="004B73C2"/>
    <w:rsid w:val="004B7687"/>
    <w:rsid w:val="004C044A"/>
    <w:rsid w:val="004C1DE8"/>
    <w:rsid w:val="004C2009"/>
    <w:rsid w:val="004C2574"/>
    <w:rsid w:val="004C4086"/>
    <w:rsid w:val="004C4A3D"/>
    <w:rsid w:val="004C5059"/>
    <w:rsid w:val="004C54C8"/>
    <w:rsid w:val="004C5AD8"/>
    <w:rsid w:val="004C60EC"/>
    <w:rsid w:val="004C6933"/>
    <w:rsid w:val="004C7198"/>
    <w:rsid w:val="004D0079"/>
    <w:rsid w:val="004D041B"/>
    <w:rsid w:val="004D1853"/>
    <w:rsid w:val="004D2607"/>
    <w:rsid w:val="004D2A03"/>
    <w:rsid w:val="004D33D4"/>
    <w:rsid w:val="004D34D5"/>
    <w:rsid w:val="004D36F2"/>
    <w:rsid w:val="004D3863"/>
    <w:rsid w:val="004D554B"/>
    <w:rsid w:val="004D5AC9"/>
    <w:rsid w:val="004D67A7"/>
    <w:rsid w:val="004D72FE"/>
    <w:rsid w:val="004D7656"/>
    <w:rsid w:val="004D7E66"/>
    <w:rsid w:val="004E055B"/>
    <w:rsid w:val="004E0610"/>
    <w:rsid w:val="004E0ADF"/>
    <w:rsid w:val="004E13CB"/>
    <w:rsid w:val="004E1433"/>
    <w:rsid w:val="004E2C9A"/>
    <w:rsid w:val="004E2FAD"/>
    <w:rsid w:val="004E36B6"/>
    <w:rsid w:val="004E3992"/>
    <w:rsid w:val="004E3A1F"/>
    <w:rsid w:val="004E3D61"/>
    <w:rsid w:val="004E42C6"/>
    <w:rsid w:val="004E43F5"/>
    <w:rsid w:val="004E455E"/>
    <w:rsid w:val="004E4AC6"/>
    <w:rsid w:val="004E4BB8"/>
    <w:rsid w:val="004E569D"/>
    <w:rsid w:val="004E5ABE"/>
    <w:rsid w:val="004E66E4"/>
    <w:rsid w:val="004E7EC1"/>
    <w:rsid w:val="004E7FDC"/>
    <w:rsid w:val="004F0413"/>
    <w:rsid w:val="004F0A73"/>
    <w:rsid w:val="004F0C82"/>
    <w:rsid w:val="004F1B0F"/>
    <w:rsid w:val="004F1C25"/>
    <w:rsid w:val="004F1EB7"/>
    <w:rsid w:val="004F2C1D"/>
    <w:rsid w:val="004F2FF1"/>
    <w:rsid w:val="004F3111"/>
    <w:rsid w:val="004F3477"/>
    <w:rsid w:val="004F34DD"/>
    <w:rsid w:val="004F3FC2"/>
    <w:rsid w:val="004F489D"/>
    <w:rsid w:val="004F583B"/>
    <w:rsid w:val="004F5D49"/>
    <w:rsid w:val="004F6AE0"/>
    <w:rsid w:val="004F6B48"/>
    <w:rsid w:val="004F6C3B"/>
    <w:rsid w:val="004F6EFF"/>
    <w:rsid w:val="004F6FBB"/>
    <w:rsid w:val="004F7FE0"/>
    <w:rsid w:val="00501096"/>
    <w:rsid w:val="00501F3E"/>
    <w:rsid w:val="0050298B"/>
    <w:rsid w:val="005040A6"/>
    <w:rsid w:val="005044BB"/>
    <w:rsid w:val="00504CB1"/>
    <w:rsid w:val="00505F9F"/>
    <w:rsid w:val="00506E90"/>
    <w:rsid w:val="00506FF2"/>
    <w:rsid w:val="005071D3"/>
    <w:rsid w:val="005072E3"/>
    <w:rsid w:val="0051079F"/>
    <w:rsid w:val="005116B7"/>
    <w:rsid w:val="00511800"/>
    <w:rsid w:val="00511BF6"/>
    <w:rsid w:val="0051232F"/>
    <w:rsid w:val="0051335E"/>
    <w:rsid w:val="00514198"/>
    <w:rsid w:val="00514286"/>
    <w:rsid w:val="005146AB"/>
    <w:rsid w:val="00514A34"/>
    <w:rsid w:val="00515036"/>
    <w:rsid w:val="005163C6"/>
    <w:rsid w:val="00516664"/>
    <w:rsid w:val="00516B78"/>
    <w:rsid w:val="00516BB6"/>
    <w:rsid w:val="00517B90"/>
    <w:rsid w:val="005213D3"/>
    <w:rsid w:val="00522B42"/>
    <w:rsid w:val="0052304E"/>
    <w:rsid w:val="00523698"/>
    <w:rsid w:val="0052527F"/>
    <w:rsid w:val="00525D58"/>
    <w:rsid w:val="005264BB"/>
    <w:rsid w:val="0052753A"/>
    <w:rsid w:val="005276A7"/>
    <w:rsid w:val="00527D1D"/>
    <w:rsid w:val="00527D76"/>
    <w:rsid w:val="00527EBF"/>
    <w:rsid w:val="00530017"/>
    <w:rsid w:val="00530C35"/>
    <w:rsid w:val="00530E05"/>
    <w:rsid w:val="00531250"/>
    <w:rsid w:val="00531A3F"/>
    <w:rsid w:val="00532974"/>
    <w:rsid w:val="00532F04"/>
    <w:rsid w:val="00533199"/>
    <w:rsid w:val="0053335B"/>
    <w:rsid w:val="00533B88"/>
    <w:rsid w:val="00533D2A"/>
    <w:rsid w:val="005360AF"/>
    <w:rsid w:val="00536417"/>
    <w:rsid w:val="00536524"/>
    <w:rsid w:val="00536881"/>
    <w:rsid w:val="00537258"/>
    <w:rsid w:val="005375FC"/>
    <w:rsid w:val="005377AC"/>
    <w:rsid w:val="005379A5"/>
    <w:rsid w:val="00537B9B"/>
    <w:rsid w:val="00540457"/>
    <w:rsid w:val="005410B5"/>
    <w:rsid w:val="005411A8"/>
    <w:rsid w:val="00541276"/>
    <w:rsid w:val="00543199"/>
    <w:rsid w:val="00543FE3"/>
    <w:rsid w:val="005447F0"/>
    <w:rsid w:val="005462B2"/>
    <w:rsid w:val="005466D0"/>
    <w:rsid w:val="00547412"/>
    <w:rsid w:val="00547C24"/>
    <w:rsid w:val="0055087B"/>
    <w:rsid w:val="00550B84"/>
    <w:rsid w:val="005511E4"/>
    <w:rsid w:val="00551533"/>
    <w:rsid w:val="005529DE"/>
    <w:rsid w:val="00552B5A"/>
    <w:rsid w:val="00553579"/>
    <w:rsid w:val="005535F8"/>
    <w:rsid w:val="00553633"/>
    <w:rsid w:val="00553732"/>
    <w:rsid w:val="00553744"/>
    <w:rsid w:val="00553763"/>
    <w:rsid w:val="00553C12"/>
    <w:rsid w:val="00553DD6"/>
    <w:rsid w:val="00553E43"/>
    <w:rsid w:val="00555F3F"/>
    <w:rsid w:val="00557133"/>
    <w:rsid w:val="00557591"/>
    <w:rsid w:val="00557BE4"/>
    <w:rsid w:val="00557D6B"/>
    <w:rsid w:val="00557F44"/>
    <w:rsid w:val="00561B0E"/>
    <w:rsid w:val="00562317"/>
    <w:rsid w:val="00562425"/>
    <w:rsid w:val="0056317B"/>
    <w:rsid w:val="0056338A"/>
    <w:rsid w:val="00563717"/>
    <w:rsid w:val="00563D95"/>
    <w:rsid w:val="00564F91"/>
    <w:rsid w:val="00565041"/>
    <w:rsid w:val="005650C6"/>
    <w:rsid w:val="00565852"/>
    <w:rsid w:val="00565A38"/>
    <w:rsid w:val="00565D41"/>
    <w:rsid w:val="00570B2A"/>
    <w:rsid w:val="0057235A"/>
    <w:rsid w:val="00572E52"/>
    <w:rsid w:val="00572FE1"/>
    <w:rsid w:val="00573447"/>
    <w:rsid w:val="005735F1"/>
    <w:rsid w:val="0057384A"/>
    <w:rsid w:val="00573E63"/>
    <w:rsid w:val="00574E97"/>
    <w:rsid w:val="00576857"/>
    <w:rsid w:val="00576894"/>
    <w:rsid w:val="005775B6"/>
    <w:rsid w:val="00580187"/>
    <w:rsid w:val="00580263"/>
    <w:rsid w:val="005809BC"/>
    <w:rsid w:val="00581F02"/>
    <w:rsid w:val="00581F75"/>
    <w:rsid w:val="00584FA0"/>
    <w:rsid w:val="00585017"/>
    <w:rsid w:val="00585417"/>
    <w:rsid w:val="005857FC"/>
    <w:rsid w:val="005863FC"/>
    <w:rsid w:val="00586624"/>
    <w:rsid w:val="0058678E"/>
    <w:rsid w:val="00587F64"/>
    <w:rsid w:val="00590AF7"/>
    <w:rsid w:val="005911E6"/>
    <w:rsid w:val="0059171D"/>
    <w:rsid w:val="00591DEA"/>
    <w:rsid w:val="0059273F"/>
    <w:rsid w:val="00592A89"/>
    <w:rsid w:val="00592C17"/>
    <w:rsid w:val="005931B8"/>
    <w:rsid w:val="005948EF"/>
    <w:rsid w:val="0059576F"/>
    <w:rsid w:val="005957C9"/>
    <w:rsid w:val="0059693D"/>
    <w:rsid w:val="00597882"/>
    <w:rsid w:val="00597D94"/>
    <w:rsid w:val="005A0246"/>
    <w:rsid w:val="005A03C8"/>
    <w:rsid w:val="005A05E0"/>
    <w:rsid w:val="005A1F28"/>
    <w:rsid w:val="005A2D15"/>
    <w:rsid w:val="005A352C"/>
    <w:rsid w:val="005A3926"/>
    <w:rsid w:val="005A451A"/>
    <w:rsid w:val="005A52DE"/>
    <w:rsid w:val="005A69FE"/>
    <w:rsid w:val="005A7A7F"/>
    <w:rsid w:val="005B0FC5"/>
    <w:rsid w:val="005B102B"/>
    <w:rsid w:val="005B1089"/>
    <w:rsid w:val="005B17AD"/>
    <w:rsid w:val="005B190C"/>
    <w:rsid w:val="005B1CD6"/>
    <w:rsid w:val="005B254E"/>
    <w:rsid w:val="005B294B"/>
    <w:rsid w:val="005B4BB2"/>
    <w:rsid w:val="005B5352"/>
    <w:rsid w:val="005B60BD"/>
    <w:rsid w:val="005B6418"/>
    <w:rsid w:val="005B66AC"/>
    <w:rsid w:val="005B7825"/>
    <w:rsid w:val="005C07AE"/>
    <w:rsid w:val="005C0C33"/>
    <w:rsid w:val="005C0C94"/>
    <w:rsid w:val="005C0F59"/>
    <w:rsid w:val="005C18ED"/>
    <w:rsid w:val="005C2707"/>
    <w:rsid w:val="005C2EC8"/>
    <w:rsid w:val="005C425B"/>
    <w:rsid w:val="005C58C2"/>
    <w:rsid w:val="005C5902"/>
    <w:rsid w:val="005C5E7C"/>
    <w:rsid w:val="005C6A5A"/>
    <w:rsid w:val="005D0329"/>
    <w:rsid w:val="005D05E3"/>
    <w:rsid w:val="005D0653"/>
    <w:rsid w:val="005D0AA1"/>
    <w:rsid w:val="005D1B48"/>
    <w:rsid w:val="005D1C8E"/>
    <w:rsid w:val="005D291E"/>
    <w:rsid w:val="005D3298"/>
    <w:rsid w:val="005D3806"/>
    <w:rsid w:val="005D3D1D"/>
    <w:rsid w:val="005D4C29"/>
    <w:rsid w:val="005D5D29"/>
    <w:rsid w:val="005D5E1A"/>
    <w:rsid w:val="005D61FD"/>
    <w:rsid w:val="005D6B39"/>
    <w:rsid w:val="005D747A"/>
    <w:rsid w:val="005D7639"/>
    <w:rsid w:val="005D7841"/>
    <w:rsid w:val="005D78A6"/>
    <w:rsid w:val="005E0379"/>
    <w:rsid w:val="005E04AD"/>
    <w:rsid w:val="005E0BB7"/>
    <w:rsid w:val="005E0DEC"/>
    <w:rsid w:val="005E133F"/>
    <w:rsid w:val="005E1488"/>
    <w:rsid w:val="005E1749"/>
    <w:rsid w:val="005E289F"/>
    <w:rsid w:val="005E2C3C"/>
    <w:rsid w:val="005E376E"/>
    <w:rsid w:val="005E3DCF"/>
    <w:rsid w:val="005E4082"/>
    <w:rsid w:val="005E4712"/>
    <w:rsid w:val="005E4917"/>
    <w:rsid w:val="005E7CFA"/>
    <w:rsid w:val="005E7E31"/>
    <w:rsid w:val="005E7E85"/>
    <w:rsid w:val="005F0458"/>
    <w:rsid w:val="005F08F3"/>
    <w:rsid w:val="005F222C"/>
    <w:rsid w:val="005F2348"/>
    <w:rsid w:val="005F2B21"/>
    <w:rsid w:val="005F2FC4"/>
    <w:rsid w:val="005F4062"/>
    <w:rsid w:val="005F4E68"/>
    <w:rsid w:val="005F62AA"/>
    <w:rsid w:val="005F646A"/>
    <w:rsid w:val="005F6487"/>
    <w:rsid w:val="005F7116"/>
    <w:rsid w:val="0060155F"/>
    <w:rsid w:val="0060177F"/>
    <w:rsid w:val="0060204E"/>
    <w:rsid w:val="00602250"/>
    <w:rsid w:val="006048C6"/>
    <w:rsid w:val="00604D92"/>
    <w:rsid w:val="00604EF0"/>
    <w:rsid w:val="00604FF2"/>
    <w:rsid w:val="0060517D"/>
    <w:rsid w:val="00605619"/>
    <w:rsid w:val="00605D2D"/>
    <w:rsid w:val="00605DF5"/>
    <w:rsid w:val="00605F85"/>
    <w:rsid w:val="00605F9C"/>
    <w:rsid w:val="00606DE2"/>
    <w:rsid w:val="00607CE0"/>
    <w:rsid w:val="00607CE4"/>
    <w:rsid w:val="00610C5F"/>
    <w:rsid w:val="00610EF5"/>
    <w:rsid w:val="00610F0B"/>
    <w:rsid w:val="00611756"/>
    <w:rsid w:val="00611C33"/>
    <w:rsid w:val="00612729"/>
    <w:rsid w:val="0061276C"/>
    <w:rsid w:val="00612FD0"/>
    <w:rsid w:val="006133EB"/>
    <w:rsid w:val="00614118"/>
    <w:rsid w:val="00614420"/>
    <w:rsid w:val="006144EF"/>
    <w:rsid w:val="00614521"/>
    <w:rsid w:val="006158CA"/>
    <w:rsid w:val="00615E0A"/>
    <w:rsid w:val="00616561"/>
    <w:rsid w:val="00621248"/>
    <w:rsid w:val="00621CEE"/>
    <w:rsid w:val="00622A60"/>
    <w:rsid w:val="00623CEF"/>
    <w:rsid w:val="00625325"/>
    <w:rsid w:val="00626612"/>
    <w:rsid w:val="006269FE"/>
    <w:rsid w:val="00626D8D"/>
    <w:rsid w:val="006277E8"/>
    <w:rsid w:val="00627C89"/>
    <w:rsid w:val="0063075F"/>
    <w:rsid w:val="00630A6D"/>
    <w:rsid w:val="00631A6F"/>
    <w:rsid w:val="00632C09"/>
    <w:rsid w:val="006333F5"/>
    <w:rsid w:val="00634F75"/>
    <w:rsid w:val="00635436"/>
    <w:rsid w:val="006355AD"/>
    <w:rsid w:val="006355D0"/>
    <w:rsid w:val="0063613E"/>
    <w:rsid w:val="00636354"/>
    <w:rsid w:val="00636848"/>
    <w:rsid w:val="00636858"/>
    <w:rsid w:val="00636D71"/>
    <w:rsid w:val="006371B3"/>
    <w:rsid w:val="0063732D"/>
    <w:rsid w:val="006377A5"/>
    <w:rsid w:val="00640419"/>
    <w:rsid w:val="0064087F"/>
    <w:rsid w:val="00640D8B"/>
    <w:rsid w:val="0064196B"/>
    <w:rsid w:val="00641C86"/>
    <w:rsid w:val="00643676"/>
    <w:rsid w:val="006441BC"/>
    <w:rsid w:val="006453AD"/>
    <w:rsid w:val="00647015"/>
    <w:rsid w:val="006507CD"/>
    <w:rsid w:val="00650941"/>
    <w:rsid w:val="0065108C"/>
    <w:rsid w:val="006513CB"/>
    <w:rsid w:val="006526C7"/>
    <w:rsid w:val="00652CD3"/>
    <w:rsid w:val="00652F91"/>
    <w:rsid w:val="00652FC2"/>
    <w:rsid w:val="00653525"/>
    <w:rsid w:val="00653A36"/>
    <w:rsid w:val="00654C56"/>
    <w:rsid w:val="006553C9"/>
    <w:rsid w:val="006574B6"/>
    <w:rsid w:val="006575E7"/>
    <w:rsid w:val="00657620"/>
    <w:rsid w:val="006607CA"/>
    <w:rsid w:val="00660CE8"/>
    <w:rsid w:val="006617EA"/>
    <w:rsid w:val="00663003"/>
    <w:rsid w:val="0066336B"/>
    <w:rsid w:val="00664C32"/>
    <w:rsid w:val="00664C7B"/>
    <w:rsid w:val="00664F84"/>
    <w:rsid w:val="0066583B"/>
    <w:rsid w:val="006659A0"/>
    <w:rsid w:val="0066640C"/>
    <w:rsid w:val="006669D9"/>
    <w:rsid w:val="00666E7B"/>
    <w:rsid w:val="00667B40"/>
    <w:rsid w:val="00667C90"/>
    <w:rsid w:val="00667F63"/>
    <w:rsid w:val="006703E8"/>
    <w:rsid w:val="0067059C"/>
    <w:rsid w:val="006706D4"/>
    <w:rsid w:val="00671F87"/>
    <w:rsid w:val="00672511"/>
    <w:rsid w:val="006726E3"/>
    <w:rsid w:val="006730CD"/>
    <w:rsid w:val="00673215"/>
    <w:rsid w:val="00673E78"/>
    <w:rsid w:val="00675016"/>
    <w:rsid w:val="006750D2"/>
    <w:rsid w:val="006752F4"/>
    <w:rsid w:val="006753D3"/>
    <w:rsid w:val="00675775"/>
    <w:rsid w:val="00675A37"/>
    <w:rsid w:val="0067667F"/>
    <w:rsid w:val="006767A6"/>
    <w:rsid w:val="00677846"/>
    <w:rsid w:val="00680249"/>
    <w:rsid w:val="006802DC"/>
    <w:rsid w:val="00680648"/>
    <w:rsid w:val="00680982"/>
    <w:rsid w:val="00681B02"/>
    <w:rsid w:val="00681E5E"/>
    <w:rsid w:val="006822F5"/>
    <w:rsid w:val="00682411"/>
    <w:rsid w:val="0068407F"/>
    <w:rsid w:val="0068411D"/>
    <w:rsid w:val="00684966"/>
    <w:rsid w:val="00684B14"/>
    <w:rsid w:val="006853A6"/>
    <w:rsid w:val="006861B0"/>
    <w:rsid w:val="00686461"/>
    <w:rsid w:val="006872CB"/>
    <w:rsid w:val="006875BD"/>
    <w:rsid w:val="00687947"/>
    <w:rsid w:val="006900B6"/>
    <w:rsid w:val="0069066A"/>
    <w:rsid w:val="00690A30"/>
    <w:rsid w:val="00691A22"/>
    <w:rsid w:val="006921E8"/>
    <w:rsid w:val="00692505"/>
    <w:rsid w:val="0069288F"/>
    <w:rsid w:val="00692C95"/>
    <w:rsid w:val="00693D0B"/>
    <w:rsid w:val="0069495E"/>
    <w:rsid w:val="006952EF"/>
    <w:rsid w:val="00695900"/>
    <w:rsid w:val="00697892"/>
    <w:rsid w:val="00697F4C"/>
    <w:rsid w:val="006A0604"/>
    <w:rsid w:val="006A0779"/>
    <w:rsid w:val="006A0AD7"/>
    <w:rsid w:val="006A0D3C"/>
    <w:rsid w:val="006A16CB"/>
    <w:rsid w:val="006A216C"/>
    <w:rsid w:val="006A3729"/>
    <w:rsid w:val="006A3B4A"/>
    <w:rsid w:val="006A4867"/>
    <w:rsid w:val="006A50FE"/>
    <w:rsid w:val="006A691C"/>
    <w:rsid w:val="006A6AC9"/>
    <w:rsid w:val="006B1211"/>
    <w:rsid w:val="006B13EE"/>
    <w:rsid w:val="006B20A9"/>
    <w:rsid w:val="006B2BDA"/>
    <w:rsid w:val="006B2C06"/>
    <w:rsid w:val="006B2D42"/>
    <w:rsid w:val="006B3059"/>
    <w:rsid w:val="006B335A"/>
    <w:rsid w:val="006B35CE"/>
    <w:rsid w:val="006B3F91"/>
    <w:rsid w:val="006B49B4"/>
    <w:rsid w:val="006B4FBF"/>
    <w:rsid w:val="006B7430"/>
    <w:rsid w:val="006B7441"/>
    <w:rsid w:val="006C008A"/>
    <w:rsid w:val="006C1007"/>
    <w:rsid w:val="006C2223"/>
    <w:rsid w:val="006C2498"/>
    <w:rsid w:val="006C3F13"/>
    <w:rsid w:val="006C4BB5"/>
    <w:rsid w:val="006C4FD9"/>
    <w:rsid w:val="006C55B4"/>
    <w:rsid w:val="006C5B50"/>
    <w:rsid w:val="006C5C6A"/>
    <w:rsid w:val="006C5F16"/>
    <w:rsid w:val="006C6E2B"/>
    <w:rsid w:val="006C70A1"/>
    <w:rsid w:val="006D06B5"/>
    <w:rsid w:val="006D2BB1"/>
    <w:rsid w:val="006D4E28"/>
    <w:rsid w:val="006D506E"/>
    <w:rsid w:val="006D5961"/>
    <w:rsid w:val="006D5E0B"/>
    <w:rsid w:val="006D5E79"/>
    <w:rsid w:val="006D60D3"/>
    <w:rsid w:val="006D67AD"/>
    <w:rsid w:val="006D7401"/>
    <w:rsid w:val="006D75E7"/>
    <w:rsid w:val="006E022F"/>
    <w:rsid w:val="006E19B4"/>
    <w:rsid w:val="006E1AFF"/>
    <w:rsid w:val="006E1DA3"/>
    <w:rsid w:val="006E2BB4"/>
    <w:rsid w:val="006E355E"/>
    <w:rsid w:val="006E46F8"/>
    <w:rsid w:val="006E475A"/>
    <w:rsid w:val="006E5C05"/>
    <w:rsid w:val="006E6066"/>
    <w:rsid w:val="006E616B"/>
    <w:rsid w:val="006E63F8"/>
    <w:rsid w:val="006E65F6"/>
    <w:rsid w:val="006E67F3"/>
    <w:rsid w:val="006E6CFE"/>
    <w:rsid w:val="006E73F3"/>
    <w:rsid w:val="006E7520"/>
    <w:rsid w:val="006E78A1"/>
    <w:rsid w:val="006E7B0B"/>
    <w:rsid w:val="006E7B58"/>
    <w:rsid w:val="006E7B9D"/>
    <w:rsid w:val="006E7D5E"/>
    <w:rsid w:val="006F11E3"/>
    <w:rsid w:val="006F144F"/>
    <w:rsid w:val="006F1D58"/>
    <w:rsid w:val="006F1F4B"/>
    <w:rsid w:val="006F2F26"/>
    <w:rsid w:val="006F3065"/>
    <w:rsid w:val="006F36A6"/>
    <w:rsid w:val="006F57E5"/>
    <w:rsid w:val="006F627B"/>
    <w:rsid w:val="006F639A"/>
    <w:rsid w:val="006F6813"/>
    <w:rsid w:val="006F6F2C"/>
    <w:rsid w:val="006F72E7"/>
    <w:rsid w:val="006F77AC"/>
    <w:rsid w:val="00700447"/>
    <w:rsid w:val="00700674"/>
    <w:rsid w:val="00700858"/>
    <w:rsid w:val="00700979"/>
    <w:rsid w:val="0070169D"/>
    <w:rsid w:val="0070181C"/>
    <w:rsid w:val="00701AD9"/>
    <w:rsid w:val="00701C5A"/>
    <w:rsid w:val="00701E38"/>
    <w:rsid w:val="00701EB6"/>
    <w:rsid w:val="0070219A"/>
    <w:rsid w:val="007022F3"/>
    <w:rsid w:val="00702FC1"/>
    <w:rsid w:val="00703373"/>
    <w:rsid w:val="007033F8"/>
    <w:rsid w:val="00703EE7"/>
    <w:rsid w:val="00705248"/>
    <w:rsid w:val="00705E5B"/>
    <w:rsid w:val="007060C5"/>
    <w:rsid w:val="007062B3"/>
    <w:rsid w:val="0070645F"/>
    <w:rsid w:val="007064A6"/>
    <w:rsid w:val="007068EA"/>
    <w:rsid w:val="00706DCA"/>
    <w:rsid w:val="00706F2F"/>
    <w:rsid w:val="00707185"/>
    <w:rsid w:val="0070728A"/>
    <w:rsid w:val="0070738A"/>
    <w:rsid w:val="00710014"/>
    <w:rsid w:val="007104C5"/>
    <w:rsid w:val="00710753"/>
    <w:rsid w:val="00710B31"/>
    <w:rsid w:val="00710FAD"/>
    <w:rsid w:val="00711B61"/>
    <w:rsid w:val="007121AF"/>
    <w:rsid w:val="007121F5"/>
    <w:rsid w:val="007136B5"/>
    <w:rsid w:val="007139D6"/>
    <w:rsid w:val="00714455"/>
    <w:rsid w:val="0071455F"/>
    <w:rsid w:val="00714AC7"/>
    <w:rsid w:val="00714C51"/>
    <w:rsid w:val="00714D71"/>
    <w:rsid w:val="00715808"/>
    <w:rsid w:val="00715DFC"/>
    <w:rsid w:val="0071624F"/>
    <w:rsid w:val="00716390"/>
    <w:rsid w:val="0071709A"/>
    <w:rsid w:val="007179F2"/>
    <w:rsid w:val="0072050B"/>
    <w:rsid w:val="007206E6"/>
    <w:rsid w:val="007213C4"/>
    <w:rsid w:val="00721CD1"/>
    <w:rsid w:val="00721D08"/>
    <w:rsid w:val="00722BC2"/>
    <w:rsid w:val="0072303F"/>
    <w:rsid w:val="00723C2F"/>
    <w:rsid w:val="00723E50"/>
    <w:rsid w:val="007247E4"/>
    <w:rsid w:val="00724C1B"/>
    <w:rsid w:val="007250AB"/>
    <w:rsid w:val="007253A7"/>
    <w:rsid w:val="00725AA5"/>
    <w:rsid w:val="00726A7C"/>
    <w:rsid w:val="00726FF2"/>
    <w:rsid w:val="007270CF"/>
    <w:rsid w:val="007272EE"/>
    <w:rsid w:val="0072762A"/>
    <w:rsid w:val="00727714"/>
    <w:rsid w:val="00727A5B"/>
    <w:rsid w:val="00727A61"/>
    <w:rsid w:val="007309A0"/>
    <w:rsid w:val="00730A58"/>
    <w:rsid w:val="00731DEC"/>
    <w:rsid w:val="00733D05"/>
    <w:rsid w:val="00734241"/>
    <w:rsid w:val="00734BF9"/>
    <w:rsid w:val="0073516B"/>
    <w:rsid w:val="00735B2A"/>
    <w:rsid w:val="00735CDD"/>
    <w:rsid w:val="0073667F"/>
    <w:rsid w:val="007378AF"/>
    <w:rsid w:val="007378EE"/>
    <w:rsid w:val="00737AF0"/>
    <w:rsid w:val="00737F30"/>
    <w:rsid w:val="00742CD8"/>
    <w:rsid w:val="00743EC5"/>
    <w:rsid w:val="007443D4"/>
    <w:rsid w:val="00744BD6"/>
    <w:rsid w:val="0074517D"/>
    <w:rsid w:val="00745CAF"/>
    <w:rsid w:val="007466A0"/>
    <w:rsid w:val="007470A0"/>
    <w:rsid w:val="0074725A"/>
    <w:rsid w:val="007477BD"/>
    <w:rsid w:val="007514EA"/>
    <w:rsid w:val="00751DF5"/>
    <w:rsid w:val="00752545"/>
    <w:rsid w:val="00752C23"/>
    <w:rsid w:val="00753814"/>
    <w:rsid w:val="00753AC2"/>
    <w:rsid w:val="00754202"/>
    <w:rsid w:val="0075460C"/>
    <w:rsid w:val="00756013"/>
    <w:rsid w:val="00756694"/>
    <w:rsid w:val="0075723F"/>
    <w:rsid w:val="00757F97"/>
    <w:rsid w:val="007602F9"/>
    <w:rsid w:val="007603BC"/>
    <w:rsid w:val="0076097D"/>
    <w:rsid w:val="00760D18"/>
    <w:rsid w:val="0076104C"/>
    <w:rsid w:val="007621D1"/>
    <w:rsid w:val="00762B0E"/>
    <w:rsid w:val="00762F96"/>
    <w:rsid w:val="00763C72"/>
    <w:rsid w:val="00763F5E"/>
    <w:rsid w:val="007645B8"/>
    <w:rsid w:val="00765991"/>
    <w:rsid w:val="0076604E"/>
    <w:rsid w:val="00766FCE"/>
    <w:rsid w:val="00767000"/>
    <w:rsid w:val="007674F7"/>
    <w:rsid w:val="00767571"/>
    <w:rsid w:val="00767916"/>
    <w:rsid w:val="00767B44"/>
    <w:rsid w:val="00772808"/>
    <w:rsid w:val="00772CC0"/>
    <w:rsid w:val="00773CA4"/>
    <w:rsid w:val="00773D88"/>
    <w:rsid w:val="00774680"/>
    <w:rsid w:val="00776998"/>
    <w:rsid w:val="00777911"/>
    <w:rsid w:val="007779C1"/>
    <w:rsid w:val="00777FA6"/>
    <w:rsid w:val="00780B7B"/>
    <w:rsid w:val="0078159F"/>
    <w:rsid w:val="00783253"/>
    <w:rsid w:val="00783CEA"/>
    <w:rsid w:val="0078456F"/>
    <w:rsid w:val="00784AD3"/>
    <w:rsid w:val="00784B2B"/>
    <w:rsid w:val="00784EE0"/>
    <w:rsid w:val="00785EA9"/>
    <w:rsid w:val="007861AF"/>
    <w:rsid w:val="007861CC"/>
    <w:rsid w:val="00786304"/>
    <w:rsid w:val="00787893"/>
    <w:rsid w:val="00787D08"/>
    <w:rsid w:val="00787D6C"/>
    <w:rsid w:val="0079038B"/>
    <w:rsid w:val="00791106"/>
    <w:rsid w:val="00791A3E"/>
    <w:rsid w:val="007922E1"/>
    <w:rsid w:val="007939C3"/>
    <w:rsid w:val="0079427F"/>
    <w:rsid w:val="00794604"/>
    <w:rsid w:val="00794AAC"/>
    <w:rsid w:val="00795193"/>
    <w:rsid w:val="0079576D"/>
    <w:rsid w:val="0079589F"/>
    <w:rsid w:val="00797322"/>
    <w:rsid w:val="00797802"/>
    <w:rsid w:val="007A0B6F"/>
    <w:rsid w:val="007A102A"/>
    <w:rsid w:val="007A23DE"/>
    <w:rsid w:val="007A2EEB"/>
    <w:rsid w:val="007A31D8"/>
    <w:rsid w:val="007A39B1"/>
    <w:rsid w:val="007A3F3F"/>
    <w:rsid w:val="007A4136"/>
    <w:rsid w:val="007A453D"/>
    <w:rsid w:val="007A47D3"/>
    <w:rsid w:val="007A4D5A"/>
    <w:rsid w:val="007A51F6"/>
    <w:rsid w:val="007A5995"/>
    <w:rsid w:val="007A6917"/>
    <w:rsid w:val="007A7812"/>
    <w:rsid w:val="007A7E5A"/>
    <w:rsid w:val="007B0182"/>
    <w:rsid w:val="007B0A38"/>
    <w:rsid w:val="007B2003"/>
    <w:rsid w:val="007B2D08"/>
    <w:rsid w:val="007B35ED"/>
    <w:rsid w:val="007B3733"/>
    <w:rsid w:val="007B3814"/>
    <w:rsid w:val="007B396D"/>
    <w:rsid w:val="007B3B82"/>
    <w:rsid w:val="007B3DF4"/>
    <w:rsid w:val="007B42BE"/>
    <w:rsid w:val="007B5403"/>
    <w:rsid w:val="007B5481"/>
    <w:rsid w:val="007B5609"/>
    <w:rsid w:val="007B5766"/>
    <w:rsid w:val="007B5F01"/>
    <w:rsid w:val="007C0163"/>
    <w:rsid w:val="007C0D20"/>
    <w:rsid w:val="007C102E"/>
    <w:rsid w:val="007C1115"/>
    <w:rsid w:val="007C1AE0"/>
    <w:rsid w:val="007C1BF5"/>
    <w:rsid w:val="007C1E6D"/>
    <w:rsid w:val="007C2A0B"/>
    <w:rsid w:val="007C2A65"/>
    <w:rsid w:val="007C2DB8"/>
    <w:rsid w:val="007C2EF0"/>
    <w:rsid w:val="007C2F7E"/>
    <w:rsid w:val="007C2F84"/>
    <w:rsid w:val="007C3CB9"/>
    <w:rsid w:val="007C421F"/>
    <w:rsid w:val="007C4A74"/>
    <w:rsid w:val="007C5666"/>
    <w:rsid w:val="007C5E36"/>
    <w:rsid w:val="007C6023"/>
    <w:rsid w:val="007C64B9"/>
    <w:rsid w:val="007C679B"/>
    <w:rsid w:val="007C6A71"/>
    <w:rsid w:val="007C7692"/>
    <w:rsid w:val="007D006E"/>
    <w:rsid w:val="007D0374"/>
    <w:rsid w:val="007D0940"/>
    <w:rsid w:val="007D0947"/>
    <w:rsid w:val="007D0ABD"/>
    <w:rsid w:val="007D1122"/>
    <w:rsid w:val="007D11BC"/>
    <w:rsid w:val="007D1B8C"/>
    <w:rsid w:val="007D20E9"/>
    <w:rsid w:val="007D2F08"/>
    <w:rsid w:val="007D32D2"/>
    <w:rsid w:val="007D3562"/>
    <w:rsid w:val="007D362C"/>
    <w:rsid w:val="007D4190"/>
    <w:rsid w:val="007D4247"/>
    <w:rsid w:val="007D4393"/>
    <w:rsid w:val="007D5056"/>
    <w:rsid w:val="007D52EE"/>
    <w:rsid w:val="007D5B07"/>
    <w:rsid w:val="007D69B5"/>
    <w:rsid w:val="007D7378"/>
    <w:rsid w:val="007E0642"/>
    <w:rsid w:val="007E09A5"/>
    <w:rsid w:val="007E09B8"/>
    <w:rsid w:val="007E0C74"/>
    <w:rsid w:val="007E0DD8"/>
    <w:rsid w:val="007E1B74"/>
    <w:rsid w:val="007E1D7A"/>
    <w:rsid w:val="007E21E1"/>
    <w:rsid w:val="007E2500"/>
    <w:rsid w:val="007E2E44"/>
    <w:rsid w:val="007E34F1"/>
    <w:rsid w:val="007E3EC1"/>
    <w:rsid w:val="007E5C08"/>
    <w:rsid w:val="007E5D12"/>
    <w:rsid w:val="007E5DBB"/>
    <w:rsid w:val="007E63C0"/>
    <w:rsid w:val="007E666E"/>
    <w:rsid w:val="007E6B79"/>
    <w:rsid w:val="007E6B9A"/>
    <w:rsid w:val="007E6CB5"/>
    <w:rsid w:val="007E70C7"/>
    <w:rsid w:val="007E727D"/>
    <w:rsid w:val="007F0C50"/>
    <w:rsid w:val="007F0FAE"/>
    <w:rsid w:val="007F137B"/>
    <w:rsid w:val="007F154D"/>
    <w:rsid w:val="007F1667"/>
    <w:rsid w:val="007F16B9"/>
    <w:rsid w:val="007F181F"/>
    <w:rsid w:val="007F1AEA"/>
    <w:rsid w:val="007F2F11"/>
    <w:rsid w:val="007F343F"/>
    <w:rsid w:val="007F386A"/>
    <w:rsid w:val="007F3A49"/>
    <w:rsid w:val="007F4076"/>
    <w:rsid w:val="007F4BF4"/>
    <w:rsid w:val="007F52D8"/>
    <w:rsid w:val="007F5796"/>
    <w:rsid w:val="007F65F3"/>
    <w:rsid w:val="007F76A8"/>
    <w:rsid w:val="007F76F0"/>
    <w:rsid w:val="007F79C2"/>
    <w:rsid w:val="007F7ABF"/>
    <w:rsid w:val="007F7B60"/>
    <w:rsid w:val="0080004D"/>
    <w:rsid w:val="00800845"/>
    <w:rsid w:val="00801444"/>
    <w:rsid w:val="008019F7"/>
    <w:rsid w:val="00801F39"/>
    <w:rsid w:val="008024D8"/>
    <w:rsid w:val="008024DE"/>
    <w:rsid w:val="008039AF"/>
    <w:rsid w:val="00803AD7"/>
    <w:rsid w:val="00803B02"/>
    <w:rsid w:val="00804CC6"/>
    <w:rsid w:val="00804CD4"/>
    <w:rsid w:val="00805B56"/>
    <w:rsid w:val="0080607A"/>
    <w:rsid w:val="00807016"/>
    <w:rsid w:val="008071EF"/>
    <w:rsid w:val="008071FF"/>
    <w:rsid w:val="0080790D"/>
    <w:rsid w:val="00810440"/>
    <w:rsid w:val="00810557"/>
    <w:rsid w:val="008106B8"/>
    <w:rsid w:val="00810F6A"/>
    <w:rsid w:val="00811019"/>
    <w:rsid w:val="00811643"/>
    <w:rsid w:val="00811AAD"/>
    <w:rsid w:val="00811B99"/>
    <w:rsid w:val="00812558"/>
    <w:rsid w:val="00812728"/>
    <w:rsid w:val="00812C6E"/>
    <w:rsid w:val="00812E94"/>
    <w:rsid w:val="0081338E"/>
    <w:rsid w:val="00813495"/>
    <w:rsid w:val="00813AA1"/>
    <w:rsid w:val="00813BEE"/>
    <w:rsid w:val="00814684"/>
    <w:rsid w:val="00814C81"/>
    <w:rsid w:val="00815072"/>
    <w:rsid w:val="00815105"/>
    <w:rsid w:val="008155B8"/>
    <w:rsid w:val="008161FD"/>
    <w:rsid w:val="00816F25"/>
    <w:rsid w:val="00817327"/>
    <w:rsid w:val="00820197"/>
    <w:rsid w:val="0082020A"/>
    <w:rsid w:val="00820D7C"/>
    <w:rsid w:val="0082117D"/>
    <w:rsid w:val="0082118A"/>
    <w:rsid w:val="00821551"/>
    <w:rsid w:val="00821837"/>
    <w:rsid w:val="00821860"/>
    <w:rsid w:val="00821B8D"/>
    <w:rsid w:val="00821F19"/>
    <w:rsid w:val="008224BB"/>
    <w:rsid w:val="00822DFB"/>
    <w:rsid w:val="00822EBB"/>
    <w:rsid w:val="00823269"/>
    <w:rsid w:val="008234A1"/>
    <w:rsid w:val="008235D2"/>
    <w:rsid w:val="008245CA"/>
    <w:rsid w:val="00824C5A"/>
    <w:rsid w:val="00824DFF"/>
    <w:rsid w:val="00825AEF"/>
    <w:rsid w:val="008265EF"/>
    <w:rsid w:val="00827DB5"/>
    <w:rsid w:val="00831663"/>
    <w:rsid w:val="008319C3"/>
    <w:rsid w:val="00831E44"/>
    <w:rsid w:val="00831F2F"/>
    <w:rsid w:val="00833514"/>
    <w:rsid w:val="008336DB"/>
    <w:rsid w:val="00834936"/>
    <w:rsid w:val="00834D1F"/>
    <w:rsid w:val="00835247"/>
    <w:rsid w:val="00835ED1"/>
    <w:rsid w:val="00835F16"/>
    <w:rsid w:val="008368C3"/>
    <w:rsid w:val="0083695B"/>
    <w:rsid w:val="00836EEF"/>
    <w:rsid w:val="0083728C"/>
    <w:rsid w:val="008379F9"/>
    <w:rsid w:val="00840108"/>
    <w:rsid w:val="00840831"/>
    <w:rsid w:val="00840FC8"/>
    <w:rsid w:val="00841541"/>
    <w:rsid w:val="00841B71"/>
    <w:rsid w:val="008422AF"/>
    <w:rsid w:val="00842B12"/>
    <w:rsid w:val="00842BA2"/>
    <w:rsid w:val="008437A0"/>
    <w:rsid w:val="008438DF"/>
    <w:rsid w:val="008439CA"/>
    <w:rsid w:val="00843C4B"/>
    <w:rsid w:val="0084425F"/>
    <w:rsid w:val="008446FA"/>
    <w:rsid w:val="00844ED5"/>
    <w:rsid w:val="0084700E"/>
    <w:rsid w:val="008479D1"/>
    <w:rsid w:val="00847D38"/>
    <w:rsid w:val="00847DBC"/>
    <w:rsid w:val="008500D1"/>
    <w:rsid w:val="00851430"/>
    <w:rsid w:val="0085163C"/>
    <w:rsid w:val="00851EDD"/>
    <w:rsid w:val="008524E7"/>
    <w:rsid w:val="00852821"/>
    <w:rsid w:val="008528A2"/>
    <w:rsid w:val="00853ED0"/>
    <w:rsid w:val="008547F2"/>
    <w:rsid w:val="00854AB9"/>
    <w:rsid w:val="00854BF2"/>
    <w:rsid w:val="00854DBC"/>
    <w:rsid w:val="00854EEF"/>
    <w:rsid w:val="008550E2"/>
    <w:rsid w:val="00855483"/>
    <w:rsid w:val="0085588E"/>
    <w:rsid w:val="008571C4"/>
    <w:rsid w:val="00857A23"/>
    <w:rsid w:val="00857B62"/>
    <w:rsid w:val="00857E9B"/>
    <w:rsid w:val="00860503"/>
    <w:rsid w:val="00860CEA"/>
    <w:rsid w:val="00861C13"/>
    <w:rsid w:val="00862170"/>
    <w:rsid w:val="00863BC0"/>
    <w:rsid w:val="00863C6F"/>
    <w:rsid w:val="008644C6"/>
    <w:rsid w:val="00864DC4"/>
    <w:rsid w:val="00864E42"/>
    <w:rsid w:val="00865944"/>
    <w:rsid w:val="00866066"/>
    <w:rsid w:val="00866909"/>
    <w:rsid w:val="00866D3B"/>
    <w:rsid w:val="00866F69"/>
    <w:rsid w:val="008671D1"/>
    <w:rsid w:val="008672BE"/>
    <w:rsid w:val="00867500"/>
    <w:rsid w:val="00867666"/>
    <w:rsid w:val="008679DE"/>
    <w:rsid w:val="00867EE9"/>
    <w:rsid w:val="00867F5D"/>
    <w:rsid w:val="008700DE"/>
    <w:rsid w:val="00870271"/>
    <w:rsid w:val="008705C1"/>
    <w:rsid w:val="00871DA1"/>
    <w:rsid w:val="00872A73"/>
    <w:rsid w:val="00872E5C"/>
    <w:rsid w:val="00872EF9"/>
    <w:rsid w:val="00873FE7"/>
    <w:rsid w:val="008746DE"/>
    <w:rsid w:val="00875618"/>
    <w:rsid w:val="00875C05"/>
    <w:rsid w:val="00876BD4"/>
    <w:rsid w:val="00877156"/>
    <w:rsid w:val="00877F28"/>
    <w:rsid w:val="00877F9C"/>
    <w:rsid w:val="00881312"/>
    <w:rsid w:val="00881550"/>
    <w:rsid w:val="00881921"/>
    <w:rsid w:val="008832F6"/>
    <w:rsid w:val="0088460A"/>
    <w:rsid w:val="00884B30"/>
    <w:rsid w:val="00884F33"/>
    <w:rsid w:val="00885618"/>
    <w:rsid w:val="00885D22"/>
    <w:rsid w:val="00885F34"/>
    <w:rsid w:val="008862F1"/>
    <w:rsid w:val="00886645"/>
    <w:rsid w:val="008867A6"/>
    <w:rsid w:val="00886920"/>
    <w:rsid w:val="00886CD7"/>
    <w:rsid w:val="00887241"/>
    <w:rsid w:val="00887C93"/>
    <w:rsid w:val="008908D7"/>
    <w:rsid w:val="0089091E"/>
    <w:rsid w:val="00890C4E"/>
    <w:rsid w:val="0089108E"/>
    <w:rsid w:val="00891E7F"/>
    <w:rsid w:val="00892142"/>
    <w:rsid w:val="00892A4B"/>
    <w:rsid w:val="00893520"/>
    <w:rsid w:val="00893823"/>
    <w:rsid w:val="00894571"/>
    <w:rsid w:val="00894886"/>
    <w:rsid w:val="00894B8A"/>
    <w:rsid w:val="0089571E"/>
    <w:rsid w:val="00895B99"/>
    <w:rsid w:val="0089686A"/>
    <w:rsid w:val="00897C1D"/>
    <w:rsid w:val="00897EE0"/>
    <w:rsid w:val="0089BB27"/>
    <w:rsid w:val="008A004E"/>
    <w:rsid w:val="008A047F"/>
    <w:rsid w:val="008A1751"/>
    <w:rsid w:val="008A22A5"/>
    <w:rsid w:val="008A25EB"/>
    <w:rsid w:val="008A2E8E"/>
    <w:rsid w:val="008A3082"/>
    <w:rsid w:val="008A4792"/>
    <w:rsid w:val="008A4FBC"/>
    <w:rsid w:val="008A5234"/>
    <w:rsid w:val="008A52DF"/>
    <w:rsid w:val="008A5605"/>
    <w:rsid w:val="008A5F00"/>
    <w:rsid w:val="008A6501"/>
    <w:rsid w:val="008A682B"/>
    <w:rsid w:val="008A6875"/>
    <w:rsid w:val="008A6B74"/>
    <w:rsid w:val="008A6E52"/>
    <w:rsid w:val="008A79DE"/>
    <w:rsid w:val="008B00C5"/>
    <w:rsid w:val="008B0429"/>
    <w:rsid w:val="008B04FA"/>
    <w:rsid w:val="008B1604"/>
    <w:rsid w:val="008B1BBD"/>
    <w:rsid w:val="008B25DC"/>
    <w:rsid w:val="008B4EEE"/>
    <w:rsid w:val="008B5824"/>
    <w:rsid w:val="008B5F24"/>
    <w:rsid w:val="008B6367"/>
    <w:rsid w:val="008B69C5"/>
    <w:rsid w:val="008B6A72"/>
    <w:rsid w:val="008B72E7"/>
    <w:rsid w:val="008C0AAA"/>
    <w:rsid w:val="008C0B3C"/>
    <w:rsid w:val="008C4170"/>
    <w:rsid w:val="008C42F3"/>
    <w:rsid w:val="008C4811"/>
    <w:rsid w:val="008C4957"/>
    <w:rsid w:val="008C4BFC"/>
    <w:rsid w:val="008C61C9"/>
    <w:rsid w:val="008C697A"/>
    <w:rsid w:val="008C6C28"/>
    <w:rsid w:val="008D0197"/>
    <w:rsid w:val="008D081F"/>
    <w:rsid w:val="008D1125"/>
    <w:rsid w:val="008D16A0"/>
    <w:rsid w:val="008D1E6A"/>
    <w:rsid w:val="008D22FB"/>
    <w:rsid w:val="008D269B"/>
    <w:rsid w:val="008D280C"/>
    <w:rsid w:val="008D2C1B"/>
    <w:rsid w:val="008D3034"/>
    <w:rsid w:val="008D3274"/>
    <w:rsid w:val="008D48A3"/>
    <w:rsid w:val="008D5365"/>
    <w:rsid w:val="008D78AC"/>
    <w:rsid w:val="008E0193"/>
    <w:rsid w:val="008E0AA4"/>
    <w:rsid w:val="008E1144"/>
    <w:rsid w:val="008E1623"/>
    <w:rsid w:val="008E199E"/>
    <w:rsid w:val="008E1F61"/>
    <w:rsid w:val="008E24C5"/>
    <w:rsid w:val="008E2AAC"/>
    <w:rsid w:val="008E3391"/>
    <w:rsid w:val="008E48F9"/>
    <w:rsid w:val="008E55BC"/>
    <w:rsid w:val="008E5F9C"/>
    <w:rsid w:val="008E6036"/>
    <w:rsid w:val="008E6913"/>
    <w:rsid w:val="008E704A"/>
    <w:rsid w:val="008E711F"/>
    <w:rsid w:val="008E77C1"/>
    <w:rsid w:val="008F08E9"/>
    <w:rsid w:val="008F0BD7"/>
    <w:rsid w:val="008F0F7A"/>
    <w:rsid w:val="008F1C85"/>
    <w:rsid w:val="008F30FC"/>
    <w:rsid w:val="008F3509"/>
    <w:rsid w:val="008F3C89"/>
    <w:rsid w:val="008F4704"/>
    <w:rsid w:val="008F4CBC"/>
    <w:rsid w:val="008F5642"/>
    <w:rsid w:val="008F5650"/>
    <w:rsid w:val="008F781D"/>
    <w:rsid w:val="008F7A73"/>
    <w:rsid w:val="008F7EB5"/>
    <w:rsid w:val="00900C6A"/>
    <w:rsid w:val="0090104E"/>
    <w:rsid w:val="00901188"/>
    <w:rsid w:val="00901C5C"/>
    <w:rsid w:val="00902C2A"/>
    <w:rsid w:val="0090360D"/>
    <w:rsid w:val="00904109"/>
    <w:rsid w:val="00905722"/>
    <w:rsid w:val="00906174"/>
    <w:rsid w:val="009063DF"/>
    <w:rsid w:val="00906DF2"/>
    <w:rsid w:val="00906FB1"/>
    <w:rsid w:val="00907141"/>
    <w:rsid w:val="009102D8"/>
    <w:rsid w:val="00910389"/>
    <w:rsid w:val="009107C1"/>
    <w:rsid w:val="00910971"/>
    <w:rsid w:val="00910CBB"/>
    <w:rsid w:val="00910D0A"/>
    <w:rsid w:val="00910F03"/>
    <w:rsid w:val="009118AA"/>
    <w:rsid w:val="009126E9"/>
    <w:rsid w:val="00912C28"/>
    <w:rsid w:val="009132DB"/>
    <w:rsid w:val="009133A2"/>
    <w:rsid w:val="00913676"/>
    <w:rsid w:val="00913D13"/>
    <w:rsid w:val="00914346"/>
    <w:rsid w:val="009145F7"/>
    <w:rsid w:val="00914D0D"/>
    <w:rsid w:val="00914E2A"/>
    <w:rsid w:val="00915003"/>
    <w:rsid w:val="009152EB"/>
    <w:rsid w:val="00916516"/>
    <w:rsid w:val="00916BED"/>
    <w:rsid w:val="00917351"/>
    <w:rsid w:val="009178AE"/>
    <w:rsid w:val="0091795A"/>
    <w:rsid w:val="00917FBA"/>
    <w:rsid w:val="0092065C"/>
    <w:rsid w:val="00920F35"/>
    <w:rsid w:val="009211F9"/>
    <w:rsid w:val="009216DC"/>
    <w:rsid w:val="00922500"/>
    <w:rsid w:val="00922CEA"/>
    <w:rsid w:val="0092431B"/>
    <w:rsid w:val="009256D2"/>
    <w:rsid w:val="00926311"/>
    <w:rsid w:val="00926712"/>
    <w:rsid w:val="00926E73"/>
    <w:rsid w:val="009278E7"/>
    <w:rsid w:val="00927A9C"/>
    <w:rsid w:val="00927D68"/>
    <w:rsid w:val="0093065E"/>
    <w:rsid w:val="009314B3"/>
    <w:rsid w:val="009316DE"/>
    <w:rsid w:val="009318DB"/>
    <w:rsid w:val="00931E46"/>
    <w:rsid w:val="009324B0"/>
    <w:rsid w:val="00932550"/>
    <w:rsid w:val="00932D74"/>
    <w:rsid w:val="0093323A"/>
    <w:rsid w:val="009340FD"/>
    <w:rsid w:val="009345B4"/>
    <w:rsid w:val="00934630"/>
    <w:rsid w:val="00934ACF"/>
    <w:rsid w:val="00934BE3"/>
    <w:rsid w:val="0093527C"/>
    <w:rsid w:val="00936309"/>
    <w:rsid w:val="00936E6A"/>
    <w:rsid w:val="0093769E"/>
    <w:rsid w:val="0094008F"/>
    <w:rsid w:val="009400D3"/>
    <w:rsid w:val="009406DD"/>
    <w:rsid w:val="009413DF"/>
    <w:rsid w:val="0094166A"/>
    <w:rsid w:val="0094183E"/>
    <w:rsid w:val="00942091"/>
    <w:rsid w:val="00942C5E"/>
    <w:rsid w:val="00943419"/>
    <w:rsid w:val="00943C88"/>
    <w:rsid w:val="00943DD1"/>
    <w:rsid w:val="0094431D"/>
    <w:rsid w:val="009443B2"/>
    <w:rsid w:val="00944A88"/>
    <w:rsid w:val="0094516F"/>
    <w:rsid w:val="00945276"/>
    <w:rsid w:val="00945343"/>
    <w:rsid w:val="0094546F"/>
    <w:rsid w:val="0094615E"/>
    <w:rsid w:val="00946511"/>
    <w:rsid w:val="009467BD"/>
    <w:rsid w:val="009473C4"/>
    <w:rsid w:val="00947616"/>
    <w:rsid w:val="009479F7"/>
    <w:rsid w:val="00947ECF"/>
    <w:rsid w:val="009501D9"/>
    <w:rsid w:val="0095161C"/>
    <w:rsid w:val="00951698"/>
    <w:rsid w:val="00952347"/>
    <w:rsid w:val="009528D1"/>
    <w:rsid w:val="00952AA7"/>
    <w:rsid w:val="00952CF5"/>
    <w:rsid w:val="009535EB"/>
    <w:rsid w:val="009547AD"/>
    <w:rsid w:val="009548C9"/>
    <w:rsid w:val="00954A89"/>
    <w:rsid w:val="0095581A"/>
    <w:rsid w:val="0095609D"/>
    <w:rsid w:val="00956F80"/>
    <w:rsid w:val="009579A3"/>
    <w:rsid w:val="00957AA3"/>
    <w:rsid w:val="00957B8B"/>
    <w:rsid w:val="0096034B"/>
    <w:rsid w:val="0096042D"/>
    <w:rsid w:val="00960797"/>
    <w:rsid w:val="00960D57"/>
    <w:rsid w:val="00962362"/>
    <w:rsid w:val="00962F0C"/>
    <w:rsid w:val="009635B3"/>
    <w:rsid w:val="00963DED"/>
    <w:rsid w:val="009643ED"/>
    <w:rsid w:val="00964822"/>
    <w:rsid w:val="00964BBE"/>
    <w:rsid w:val="00964E3D"/>
    <w:rsid w:val="00965382"/>
    <w:rsid w:val="009655AE"/>
    <w:rsid w:val="009659DA"/>
    <w:rsid w:val="00965FCA"/>
    <w:rsid w:val="009667C3"/>
    <w:rsid w:val="00966B4D"/>
    <w:rsid w:val="0096751B"/>
    <w:rsid w:val="0096759C"/>
    <w:rsid w:val="00970BBE"/>
    <w:rsid w:val="0097158F"/>
    <w:rsid w:val="00971596"/>
    <w:rsid w:val="009719DA"/>
    <w:rsid w:val="0097319E"/>
    <w:rsid w:val="009731C4"/>
    <w:rsid w:val="009741B5"/>
    <w:rsid w:val="0097476D"/>
    <w:rsid w:val="00975441"/>
    <w:rsid w:val="00976512"/>
    <w:rsid w:val="00977347"/>
    <w:rsid w:val="009808CB"/>
    <w:rsid w:val="00980974"/>
    <w:rsid w:val="00980C71"/>
    <w:rsid w:val="00980CE4"/>
    <w:rsid w:val="00981B5F"/>
    <w:rsid w:val="0098253D"/>
    <w:rsid w:val="009834BC"/>
    <w:rsid w:val="00983608"/>
    <w:rsid w:val="00983FFD"/>
    <w:rsid w:val="0098443C"/>
    <w:rsid w:val="009859A2"/>
    <w:rsid w:val="009865C2"/>
    <w:rsid w:val="0099097E"/>
    <w:rsid w:val="00990C6E"/>
    <w:rsid w:val="009915C4"/>
    <w:rsid w:val="00992308"/>
    <w:rsid w:val="009924C7"/>
    <w:rsid w:val="00992FBB"/>
    <w:rsid w:val="00993878"/>
    <w:rsid w:val="0099475A"/>
    <w:rsid w:val="009951AD"/>
    <w:rsid w:val="00996768"/>
    <w:rsid w:val="00997305"/>
    <w:rsid w:val="009A0705"/>
    <w:rsid w:val="009A29D6"/>
    <w:rsid w:val="009A2A1C"/>
    <w:rsid w:val="009A2A40"/>
    <w:rsid w:val="009A329D"/>
    <w:rsid w:val="009A4241"/>
    <w:rsid w:val="009A47B8"/>
    <w:rsid w:val="009A555D"/>
    <w:rsid w:val="009A55A1"/>
    <w:rsid w:val="009A5D46"/>
    <w:rsid w:val="009B0486"/>
    <w:rsid w:val="009B13E4"/>
    <w:rsid w:val="009B1898"/>
    <w:rsid w:val="009B2EC9"/>
    <w:rsid w:val="009B30CC"/>
    <w:rsid w:val="009B3421"/>
    <w:rsid w:val="009B37BC"/>
    <w:rsid w:val="009B3E97"/>
    <w:rsid w:val="009B3EE8"/>
    <w:rsid w:val="009B3FCC"/>
    <w:rsid w:val="009B46C0"/>
    <w:rsid w:val="009B5148"/>
    <w:rsid w:val="009B5B05"/>
    <w:rsid w:val="009B5B69"/>
    <w:rsid w:val="009B5CF4"/>
    <w:rsid w:val="009B5DCB"/>
    <w:rsid w:val="009B5F6A"/>
    <w:rsid w:val="009B690A"/>
    <w:rsid w:val="009B6A45"/>
    <w:rsid w:val="009B7639"/>
    <w:rsid w:val="009B7D4C"/>
    <w:rsid w:val="009C014B"/>
    <w:rsid w:val="009C0709"/>
    <w:rsid w:val="009C1BA9"/>
    <w:rsid w:val="009C1E7B"/>
    <w:rsid w:val="009C2CFC"/>
    <w:rsid w:val="009C2D22"/>
    <w:rsid w:val="009C3F92"/>
    <w:rsid w:val="009C495B"/>
    <w:rsid w:val="009C4D7E"/>
    <w:rsid w:val="009C5937"/>
    <w:rsid w:val="009C6128"/>
    <w:rsid w:val="009C6402"/>
    <w:rsid w:val="009C6730"/>
    <w:rsid w:val="009C6C44"/>
    <w:rsid w:val="009C743F"/>
    <w:rsid w:val="009C75C0"/>
    <w:rsid w:val="009C76E9"/>
    <w:rsid w:val="009C7778"/>
    <w:rsid w:val="009C78C2"/>
    <w:rsid w:val="009C7E68"/>
    <w:rsid w:val="009D0D87"/>
    <w:rsid w:val="009D2CE3"/>
    <w:rsid w:val="009D3068"/>
    <w:rsid w:val="009D37F0"/>
    <w:rsid w:val="009D3E3C"/>
    <w:rsid w:val="009D4445"/>
    <w:rsid w:val="009D4648"/>
    <w:rsid w:val="009D4B6F"/>
    <w:rsid w:val="009D71BE"/>
    <w:rsid w:val="009E0C07"/>
    <w:rsid w:val="009E15E6"/>
    <w:rsid w:val="009E2136"/>
    <w:rsid w:val="009E2537"/>
    <w:rsid w:val="009E2FCA"/>
    <w:rsid w:val="009E30D2"/>
    <w:rsid w:val="009E30FD"/>
    <w:rsid w:val="009E3970"/>
    <w:rsid w:val="009E3D8F"/>
    <w:rsid w:val="009E6453"/>
    <w:rsid w:val="009E6716"/>
    <w:rsid w:val="009E693C"/>
    <w:rsid w:val="009F01D0"/>
    <w:rsid w:val="009F04CF"/>
    <w:rsid w:val="009F163B"/>
    <w:rsid w:val="009F2034"/>
    <w:rsid w:val="009F29CF"/>
    <w:rsid w:val="009F2DD5"/>
    <w:rsid w:val="009F3E81"/>
    <w:rsid w:val="009F3E86"/>
    <w:rsid w:val="009F44A3"/>
    <w:rsid w:val="009F4900"/>
    <w:rsid w:val="009F4E16"/>
    <w:rsid w:val="009F6E19"/>
    <w:rsid w:val="009F74EB"/>
    <w:rsid w:val="009F7811"/>
    <w:rsid w:val="009F7C4E"/>
    <w:rsid w:val="009F7CF1"/>
    <w:rsid w:val="009F7F5D"/>
    <w:rsid w:val="00A00CA1"/>
    <w:rsid w:val="00A023BB"/>
    <w:rsid w:val="00A02743"/>
    <w:rsid w:val="00A02BB6"/>
    <w:rsid w:val="00A03170"/>
    <w:rsid w:val="00A03AF8"/>
    <w:rsid w:val="00A03C6D"/>
    <w:rsid w:val="00A03F12"/>
    <w:rsid w:val="00A03FFE"/>
    <w:rsid w:val="00A04472"/>
    <w:rsid w:val="00A04DF9"/>
    <w:rsid w:val="00A04FDF"/>
    <w:rsid w:val="00A0507E"/>
    <w:rsid w:val="00A05219"/>
    <w:rsid w:val="00A05B20"/>
    <w:rsid w:val="00A076D7"/>
    <w:rsid w:val="00A10254"/>
    <w:rsid w:val="00A1390D"/>
    <w:rsid w:val="00A13DE1"/>
    <w:rsid w:val="00A14F23"/>
    <w:rsid w:val="00A15B4F"/>
    <w:rsid w:val="00A15C66"/>
    <w:rsid w:val="00A163D1"/>
    <w:rsid w:val="00A16B71"/>
    <w:rsid w:val="00A17442"/>
    <w:rsid w:val="00A1747C"/>
    <w:rsid w:val="00A20B8D"/>
    <w:rsid w:val="00A21137"/>
    <w:rsid w:val="00A2189B"/>
    <w:rsid w:val="00A218DE"/>
    <w:rsid w:val="00A21FDD"/>
    <w:rsid w:val="00A22CCF"/>
    <w:rsid w:val="00A23104"/>
    <w:rsid w:val="00A2489B"/>
    <w:rsid w:val="00A2524E"/>
    <w:rsid w:val="00A2595F"/>
    <w:rsid w:val="00A26458"/>
    <w:rsid w:val="00A2663D"/>
    <w:rsid w:val="00A2671F"/>
    <w:rsid w:val="00A277BB"/>
    <w:rsid w:val="00A27BC1"/>
    <w:rsid w:val="00A315C3"/>
    <w:rsid w:val="00A317C1"/>
    <w:rsid w:val="00A31863"/>
    <w:rsid w:val="00A32AB5"/>
    <w:rsid w:val="00A32CC0"/>
    <w:rsid w:val="00A333A1"/>
    <w:rsid w:val="00A333F1"/>
    <w:rsid w:val="00A34927"/>
    <w:rsid w:val="00A34D17"/>
    <w:rsid w:val="00A359BB"/>
    <w:rsid w:val="00A3610E"/>
    <w:rsid w:val="00A36793"/>
    <w:rsid w:val="00A36CE4"/>
    <w:rsid w:val="00A36EEF"/>
    <w:rsid w:val="00A36FE8"/>
    <w:rsid w:val="00A3748A"/>
    <w:rsid w:val="00A37E21"/>
    <w:rsid w:val="00A41AF5"/>
    <w:rsid w:val="00A45054"/>
    <w:rsid w:val="00A45248"/>
    <w:rsid w:val="00A45832"/>
    <w:rsid w:val="00A45D95"/>
    <w:rsid w:val="00A4602D"/>
    <w:rsid w:val="00A4651A"/>
    <w:rsid w:val="00A46B07"/>
    <w:rsid w:val="00A46C9C"/>
    <w:rsid w:val="00A46E31"/>
    <w:rsid w:val="00A471AD"/>
    <w:rsid w:val="00A50CD9"/>
    <w:rsid w:val="00A50CDC"/>
    <w:rsid w:val="00A517F2"/>
    <w:rsid w:val="00A51EAF"/>
    <w:rsid w:val="00A53510"/>
    <w:rsid w:val="00A53ADB"/>
    <w:rsid w:val="00A53B12"/>
    <w:rsid w:val="00A53C03"/>
    <w:rsid w:val="00A53FA7"/>
    <w:rsid w:val="00A5410C"/>
    <w:rsid w:val="00A547BE"/>
    <w:rsid w:val="00A55289"/>
    <w:rsid w:val="00A55FC2"/>
    <w:rsid w:val="00A56993"/>
    <w:rsid w:val="00A57560"/>
    <w:rsid w:val="00A57B62"/>
    <w:rsid w:val="00A57FA9"/>
    <w:rsid w:val="00A602BC"/>
    <w:rsid w:val="00A60322"/>
    <w:rsid w:val="00A60688"/>
    <w:rsid w:val="00A6102F"/>
    <w:rsid w:val="00A61273"/>
    <w:rsid w:val="00A61399"/>
    <w:rsid w:val="00A61C5E"/>
    <w:rsid w:val="00A61DF5"/>
    <w:rsid w:val="00A62653"/>
    <w:rsid w:val="00A6321E"/>
    <w:rsid w:val="00A637D2"/>
    <w:rsid w:val="00A63A8E"/>
    <w:rsid w:val="00A64949"/>
    <w:rsid w:val="00A6495E"/>
    <w:rsid w:val="00A64D26"/>
    <w:rsid w:val="00A64E34"/>
    <w:rsid w:val="00A6536F"/>
    <w:rsid w:val="00A65843"/>
    <w:rsid w:val="00A65C54"/>
    <w:rsid w:val="00A664D5"/>
    <w:rsid w:val="00A66A30"/>
    <w:rsid w:val="00A66AFC"/>
    <w:rsid w:val="00A66C5E"/>
    <w:rsid w:val="00A67AB2"/>
    <w:rsid w:val="00A70351"/>
    <w:rsid w:val="00A7214D"/>
    <w:rsid w:val="00A7249F"/>
    <w:rsid w:val="00A72F4A"/>
    <w:rsid w:val="00A737CE"/>
    <w:rsid w:val="00A73F0D"/>
    <w:rsid w:val="00A743AB"/>
    <w:rsid w:val="00A7472E"/>
    <w:rsid w:val="00A75027"/>
    <w:rsid w:val="00A750E7"/>
    <w:rsid w:val="00A762A9"/>
    <w:rsid w:val="00A77C2B"/>
    <w:rsid w:val="00A793A3"/>
    <w:rsid w:val="00A80647"/>
    <w:rsid w:val="00A80C70"/>
    <w:rsid w:val="00A81A59"/>
    <w:rsid w:val="00A8233F"/>
    <w:rsid w:val="00A8258A"/>
    <w:rsid w:val="00A828B7"/>
    <w:rsid w:val="00A82BBF"/>
    <w:rsid w:val="00A8301D"/>
    <w:rsid w:val="00A84092"/>
    <w:rsid w:val="00A846A3"/>
    <w:rsid w:val="00A8563C"/>
    <w:rsid w:val="00A85690"/>
    <w:rsid w:val="00A857B5"/>
    <w:rsid w:val="00A860E2"/>
    <w:rsid w:val="00A86109"/>
    <w:rsid w:val="00A86E95"/>
    <w:rsid w:val="00A8727B"/>
    <w:rsid w:val="00A87A57"/>
    <w:rsid w:val="00A901B2"/>
    <w:rsid w:val="00A901FD"/>
    <w:rsid w:val="00A90525"/>
    <w:rsid w:val="00A907B5"/>
    <w:rsid w:val="00A90A34"/>
    <w:rsid w:val="00A90FF6"/>
    <w:rsid w:val="00A915CF"/>
    <w:rsid w:val="00A92EE0"/>
    <w:rsid w:val="00A936F1"/>
    <w:rsid w:val="00A9381C"/>
    <w:rsid w:val="00A949A3"/>
    <w:rsid w:val="00A95162"/>
    <w:rsid w:val="00A9592B"/>
    <w:rsid w:val="00A95DCD"/>
    <w:rsid w:val="00A96CD2"/>
    <w:rsid w:val="00A9705D"/>
    <w:rsid w:val="00A973CA"/>
    <w:rsid w:val="00A976A3"/>
    <w:rsid w:val="00A97890"/>
    <w:rsid w:val="00A97C05"/>
    <w:rsid w:val="00A97FC6"/>
    <w:rsid w:val="00AA14D8"/>
    <w:rsid w:val="00AA30BA"/>
    <w:rsid w:val="00AA55A6"/>
    <w:rsid w:val="00AA5699"/>
    <w:rsid w:val="00AA685A"/>
    <w:rsid w:val="00AA75BC"/>
    <w:rsid w:val="00AA7826"/>
    <w:rsid w:val="00AA7F95"/>
    <w:rsid w:val="00AB0055"/>
    <w:rsid w:val="00AB0561"/>
    <w:rsid w:val="00AB0D1C"/>
    <w:rsid w:val="00AB1D88"/>
    <w:rsid w:val="00AB1FD8"/>
    <w:rsid w:val="00AB2348"/>
    <w:rsid w:val="00AB4CCE"/>
    <w:rsid w:val="00AB60EE"/>
    <w:rsid w:val="00AB68A5"/>
    <w:rsid w:val="00AB6908"/>
    <w:rsid w:val="00AB6999"/>
    <w:rsid w:val="00AB6AB6"/>
    <w:rsid w:val="00AB6E56"/>
    <w:rsid w:val="00AB6E5C"/>
    <w:rsid w:val="00AB750A"/>
    <w:rsid w:val="00AC0744"/>
    <w:rsid w:val="00AC07D2"/>
    <w:rsid w:val="00AC0B11"/>
    <w:rsid w:val="00AC22C0"/>
    <w:rsid w:val="00AC28CA"/>
    <w:rsid w:val="00AC34BA"/>
    <w:rsid w:val="00AC361D"/>
    <w:rsid w:val="00AC363D"/>
    <w:rsid w:val="00AC4466"/>
    <w:rsid w:val="00AC4878"/>
    <w:rsid w:val="00AC4948"/>
    <w:rsid w:val="00AC524F"/>
    <w:rsid w:val="00AC57F5"/>
    <w:rsid w:val="00AC5F0B"/>
    <w:rsid w:val="00AC6398"/>
    <w:rsid w:val="00AC650E"/>
    <w:rsid w:val="00AC71F5"/>
    <w:rsid w:val="00AD00FC"/>
    <w:rsid w:val="00AD02B1"/>
    <w:rsid w:val="00AD0D9F"/>
    <w:rsid w:val="00AD0FA2"/>
    <w:rsid w:val="00AD11F2"/>
    <w:rsid w:val="00AD13FB"/>
    <w:rsid w:val="00AD15E3"/>
    <w:rsid w:val="00AD1A48"/>
    <w:rsid w:val="00AD2B06"/>
    <w:rsid w:val="00AD4357"/>
    <w:rsid w:val="00AD52FD"/>
    <w:rsid w:val="00AD5E52"/>
    <w:rsid w:val="00AD67C9"/>
    <w:rsid w:val="00AD6870"/>
    <w:rsid w:val="00AD78DF"/>
    <w:rsid w:val="00AE01E1"/>
    <w:rsid w:val="00AE01F5"/>
    <w:rsid w:val="00AE0EB5"/>
    <w:rsid w:val="00AE1A45"/>
    <w:rsid w:val="00AE2029"/>
    <w:rsid w:val="00AE205F"/>
    <w:rsid w:val="00AE2C81"/>
    <w:rsid w:val="00AE3213"/>
    <w:rsid w:val="00AE3215"/>
    <w:rsid w:val="00AE3FD2"/>
    <w:rsid w:val="00AE407E"/>
    <w:rsid w:val="00AE4946"/>
    <w:rsid w:val="00AE4DD8"/>
    <w:rsid w:val="00AE588F"/>
    <w:rsid w:val="00AE5927"/>
    <w:rsid w:val="00AE69FA"/>
    <w:rsid w:val="00AE74BB"/>
    <w:rsid w:val="00AE7A72"/>
    <w:rsid w:val="00AE7B86"/>
    <w:rsid w:val="00AF15D2"/>
    <w:rsid w:val="00AF1CE5"/>
    <w:rsid w:val="00AF20F4"/>
    <w:rsid w:val="00AF21B9"/>
    <w:rsid w:val="00AF22FA"/>
    <w:rsid w:val="00AF28F8"/>
    <w:rsid w:val="00AF42C5"/>
    <w:rsid w:val="00AF47F0"/>
    <w:rsid w:val="00AF4C73"/>
    <w:rsid w:val="00AF5BB4"/>
    <w:rsid w:val="00AF5DA6"/>
    <w:rsid w:val="00AF633C"/>
    <w:rsid w:val="00AF67C9"/>
    <w:rsid w:val="00AF7F4E"/>
    <w:rsid w:val="00B00BC9"/>
    <w:rsid w:val="00B026AF"/>
    <w:rsid w:val="00B02C04"/>
    <w:rsid w:val="00B03576"/>
    <w:rsid w:val="00B03905"/>
    <w:rsid w:val="00B041D5"/>
    <w:rsid w:val="00B04566"/>
    <w:rsid w:val="00B04B0C"/>
    <w:rsid w:val="00B04CEE"/>
    <w:rsid w:val="00B053C8"/>
    <w:rsid w:val="00B05464"/>
    <w:rsid w:val="00B07188"/>
    <w:rsid w:val="00B07A9B"/>
    <w:rsid w:val="00B107FB"/>
    <w:rsid w:val="00B112E4"/>
    <w:rsid w:val="00B1139C"/>
    <w:rsid w:val="00B1141B"/>
    <w:rsid w:val="00B11508"/>
    <w:rsid w:val="00B119FF"/>
    <w:rsid w:val="00B12870"/>
    <w:rsid w:val="00B1297C"/>
    <w:rsid w:val="00B12CDE"/>
    <w:rsid w:val="00B13CC1"/>
    <w:rsid w:val="00B13E51"/>
    <w:rsid w:val="00B141D7"/>
    <w:rsid w:val="00B15157"/>
    <w:rsid w:val="00B16C73"/>
    <w:rsid w:val="00B17EBA"/>
    <w:rsid w:val="00B20FC3"/>
    <w:rsid w:val="00B21554"/>
    <w:rsid w:val="00B22443"/>
    <w:rsid w:val="00B225A7"/>
    <w:rsid w:val="00B2283C"/>
    <w:rsid w:val="00B239DE"/>
    <w:rsid w:val="00B23E35"/>
    <w:rsid w:val="00B24148"/>
    <w:rsid w:val="00B2419F"/>
    <w:rsid w:val="00B248B2"/>
    <w:rsid w:val="00B2557A"/>
    <w:rsid w:val="00B2613C"/>
    <w:rsid w:val="00B26222"/>
    <w:rsid w:val="00B306A7"/>
    <w:rsid w:val="00B30844"/>
    <w:rsid w:val="00B30857"/>
    <w:rsid w:val="00B30EE0"/>
    <w:rsid w:val="00B31D8D"/>
    <w:rsid w:val="00B31EA0"/>
    <w:rsid w:val="00B31EAC"/>
    <w:rsid w:val="00B33B80"/>
    <w:rsid w:val="00B344F6"/>
    <w:rsid w:val="00B3597C"/>
    <w:rsid w:val="00B3606A"/>
    <w:rsid w:val="00B3652F"/>
    <w:rsid w:val="00B3678E"/>
    <w:rsid w:val="00B370EB"/>
    <w:rsid w:val="00B37BB7"/>
    <w:rsid w:val="00B37EF2"/>
    <w:rsid w:val="00B4004F"/>
    <w:rsid w:val="00B400DE"/>
    <w:rsid w:val="00B40423"/>
    <w:rsid w:val="00B4058E"/>
    <w:rsid w:val="00B40630"/>
    <w:rsid w:val="00B40680"/>
    <w:rsid w:val="00B40BFC"/>
    <w:rsid w:val="00B40C47"/>
    <w:rsid w:val="00B411FB"/>
    <w:rsid w:val="00B4182F"/>
    <w:rsid w:val="00B419C6"/>
    <w:rsid w:val="00B42CBE"/>
    <w:rsid w:val="00B42E39"/>
    <w:rsid w:val="00B43C35"/>
    <w:rsid w:val="00B4451F"/>
    <w:rsid w:val="00B44575"/>
    <w:rsid w:val="00B44ABF"/>
    <w:rsid w:val="00B4503C"/>
    <w:rsid w:val="00B454DF"/>
    <w:rsid w:val="00B4676B"/>
    <w:rsid w:val="00B46A2D"/>
    <w:rsid w:val="00B474E5"/>
    <w:rsid w:val="00B47680"/>
    <w:rsid w:val="00B47D1F"/>
    <w:rsid w:val="00B47EE2"/>
    <w:rsid w:val="00B5005F"/>
    <w:rsid w:val="00B5006B"/>
    <w:rsid w:val="00B503C2"/>
    <w:rsid w:val="00B508B2"/>
    <w:rsid w:val="00B50F4B"/>
    <w:rsid w:val="00B519E2"/>
    <w:rsid w:val="00B51C23"/>
    <w:rsid w:val="00B5238D"/>
    <w:rsid w:val="00B527CC"/>
    <w:rsid w:val="00B52860"/>
    <w:rsid w:val="00B52987"/>
    <w:rsid w:val="00B52E48"/>
    <w:rsid w:val="00B53024"/>
    <w:rsid w:val="00B5467E"/>
    <w:rsid w:val="00B569A2"/>
    <w:rsid w:val="00B56DB3"/>
    <w:rsid w:val="00B57D00"/>
    <w:rsid w:val="00B57D90"/>
    <w:rsid w:val="00B60925"/>
    <w:rsid w:val="00B610DD"/>
    <w:rsid w:val="00B6216F"/>
    <w:rsid w:val="00B6305A"/>
    <w:rsid w:val="00B636C3"/>
    <w:rsid w:val="00B63A79"/>
    <w:rsid w:val="00B63E9A"/>
    <w:rsid w:val="00B6467E"/>
    <w:rsid w:val="00B64AEA"/>
    <w:rsid w:val="00B65A4D"/>
    <w:rsid w:val="00B65ED8"/>
    <w:rsid w:val="00B67D2B"/>
    <w:rsid w:val="00B701D0"/>
    <w:rsid w:val="00B71045"/>
    <w:rsid w:val="00B723A5"/>
    <w:rsid w:val="00B7372A"/>
    <w:rsid w:val="00B74C27"/>
    <w:rsid w:val="00B753DB"/>
    <w:rsid w:val="00B754D6"/>
    <w:rsid w:val="00B778D4"/>
    <w:rsid w:val="00B77C2C"/>
    <w:rsid w:val="00B807EA"/>
    <w:rsid w:val="00B80AC9"/>
    <w:rsid w:val="00B80EC9"/>
    <w:rsid w:val="00B810AB"/>
    <w:rsid w:val="00B810E1"/>
    <w:rsid w:val="00B8299D"/>
    <w:rsid w:val="00B82E24"/>
    <w:rsid w:val="00B838E0"/>
    <w:rsid w:val="00B83DAD"/>
    <w:rsid w:val="00B84296"/>
    <w:rsid w:val="00B849D1"/>
    <w:rsid w:val="00B851F3"/>
    <w:rsid w:val="00B852BC"/>
    <w:rsid w:val="00B85AAC"/>
    <w:rsid w:val="00B85DBC"/>
    <w:rsid w:val="00B85F21"/>
    <w:rsid w:val="00B863CD"/>
    <w:rsid w:val="00B90206"/>
    <w:rsid w:val="00B91003"/>
    <w:rsid w:val="00B91FCB"/>
    <w:rsid w:val="00B929DD"/>
    <w:rsid w:val="00B93065"/>
    <w:rsid w:val="00B932F5"/>
    <w:rsid w:val="00B93B10"/>
    <w:rsid w:val="00B942E6"/>
    <w:rsid w:val="00B94599"/>
    <w:rsid w:val="00B9459C"/>
    <w:rsid w:val="00B94A17"/>
    <w:rsid w:val="00B9567D"/>
    <w:rsid w:val="00B96287"/>
    <w:rsid w:val="00B9667E"/>
    <w:rsid w:val="00B97117"/>
    <w:rsid w:val="00B97F77"/>
    <w:rsid w:val="00BA0BC2"/>
    <w:rsid w:val="00BA179E"/>
    <w:rsid w:val="00BA1888"/>
    <w:rsid w:val="00BA1E96"/>
    <w:rsid w:val="00BA246F"/>
    <w:rsid w:val="00BA2D74"/>
    <w:rsid w:val="00BA3A29"/>
    <w:rsid w:val="00BA4180"/>
    <w:rsid w:val="00BA4A5B"/>
    <w:rsid w:val="00BA4D12"/>
    <w:rsid w:val="00BA4ECB"/>
    <w:rsid w:val="00BA5781"/>
    <w:rsid w:val="00BA583F"/>
    <w:rsid w:val="00BA58E8"/>
    <w:rsid w:val="00BA5D0F"/>
    <w:rsid w:val="00BA5FFD"/>
    <w:rsid w:val="00BA6E27"/>
    <w:rsid w:val="00BA72E5"/>
    <w:rsid w:val="00BA7B28"/>
    <w:rsid w:val="00BB1926"/>
    <w:rsid w:val="00BB247E"/>
    <w:rsid w:val="00BB2829"/>
    <w:rsid w:val="00BB2B43"/>
    <w:rsid w:val="00BB31AF"/>
    <w:rsid w:val="00BB378D"/>
    <w:rsid w:val="00BB3DAD"/>
    <w:rsid w:val="00BB4010"/>
    <w:rsid w:val="00BB47C6"/>
    <w:rsid w:val="00BB534C"/>
    <w:rsid w:val="00BB633B"/>
    <w:rsid w:val="00BB72D5"/>
    <w:rsid w:val="00BB79AA"/>
    <w:rsid w:val="00BC022C"/>
    <w:rsid w:val="00BC0B12"/>
    <w:rsid w:val="00BC0CE5"/>
    <w:rsid w:val="00BC1A98"/>
    <w:rsid w:val="00BC1DB6"/>
    <w:rsid w:val="00BC2E63"/>
    <w:rsid w:val="00BC2F01"/>
    <w:rsid w:val="00BC3001"/>
    <w:rsid w:val="00BC3BD7"/>
    <w:rsid w:val="00BC3C47"/>
    <w:rsid w:val="00BC441F"/>
    <w:rsid w:val="00BC4E09"/>
    <w:rsid w:val="00BC5348"/>
    <w:rsid w:val="00BC55ED"/>
    <w:rsid w:val="00BC5C98"/>
    <w:rsid w:val="00BC5F26"/>
    <w:rsid w:val="00BD01E7"/>
    <w:rsid w:val="00BD186D"/>
    <w:rsid w:val="00BD195E"/>
    <w:rsid w:val="00BD2008"/>
    <w:rsid w:val="00BD229B"/>
    <w:rsid w:val="00BD2665"/>
    <w:rsid w:val="00BD2DE5"/>
    <w:rsid w:val="00BD3662"/>
    <w:rsid w:val="00BD3E52"/>
    <w:rsid w:val="00BD49FF"/>
    <w:rsid w:val="00BD599A"/>
    <w:rsid w:val="00BD7037"/>
    <w:rsid w:val="00BE0170"/>
    <w:rsid w:val="00BE01B1"/>
    <w:rsid w:val="00BE08A1"/>
    <w:rsid w:val="00BE0E28"/>
    <w:rsid w:val="00BE1124"/>
    <w:rsid w:val="00BE1195"/>
    <w:rsid w:val="00BE2235"/>
    <w:rsid w:val="00BE27BB"/>
    <w:rsid w:val="00BE2AD2"/>
    <w:rsid w:val="00BE3045"/>
    <w:rsid w:val="00BE459E"/>
    <w:rsid w:val="00BE4760"/>
    <w:rsid w:val="00BE5150"/>
    <w:rsid w:val="00BE56C4"/>
    <w:rsid w:val="00BE5E50"/>
    <w:rsid w:val="00BE66B3"/>
    <w:rsid w:val="00BE689A"/>
    <w:rsid w:val="00BE712E"/>
    <w:rsid w:val="00BE77A2"/>
    <w:rsid w:val="00BF0629"/>
    <w:rsid w:val="00BF0B7E"/>
    <w:rsid w:val="00BF0CAA"/>
    <w:rsid w:val="00BF16A1"/>
    <w:rsid w:val="00BF20E7"/>
    <w:rsid w:val="00BF2689"/>
    <w:rsid w:val="00BF2E08"/>
    <w:rsid w:val="00BF2EDE"/>
    <w:rsid w:val="00BF4211"/>
    <w:rsid w:val="00BF4D02"/>
    <w:rsid w:val="00BF5761"/>
    <w:rsid w:val="00BF5B41"/>
    <w:rsid w:val="00BF5E3A"/>
    <w:rsid w:val="00BF5FCD"/>
    <w:rsid w:val="00BF657F"/>
    <w:rsid w:val="00BF6886"/>
    <w:rsid w:val="00BF6936"/>
    <w:rsid w:val="00BF7554"/>
    <w:rsid w:val="00C01137"/>
    <w:rsid w:val="00C01234"/>
    <w:rsid w:val="00C02848"/>
    <w:rsid w:val="00C03A3A"/>
    <w:rsid w:val="00C0415B"/>
    <w:rsid w:val="00C04877"/>
    <w:rsid w:val="00C051B5"/>
    <w:rsid w:val="00C07076"/>
    <w:rsid w:val="00C07651"/>
    <w:rsid w:val="00C07768"/>
    <w:rsid w:val="00C106AC"/>
    <w:rsid w:val="00C10980"/>
    <w:rsid w:val="00C10C0B"/>
    <w:rsid w:val="00C1161A"/>
    <w:rsid w:val="00C11EDA"/>
    <w:rsid w:val="00C1211F"/>
    <w:rsid w:val="00C13C95"/>
    <w:rsid w:val="00C13CCE"/>
    <w:rsid w:val="00C13FC1"/>
    <w:rsid w:val="00C140A5"/>
    <w:rsid w:val="00C14AC1"/>
    <w:rsid w:val="00C1595A"/>
    <w:rsid w:val="00C15C63"/>
    <w:rsid w:val="00C1634F"/>
    <w:rsid w:val="00C207BD"/>
    <w:rsid w:val="00C216C4"/>
    <w:rsid w:val="00C22179"/>
    <w:rsid w:val="00C23051"/>
    <w:rsid w:val="00C2322C"/>
    <w:rsid w:val="00C23A69"/>
    <w:rsid w:val="00C24129"/>
    <w:rsid w:val="00C24582"/>
    <w:rsid w:val="00C24630"/>
    <w:rsid w:val="00C25E83"/>
    <w:rsid w:val="00C26293"/>
    <w:rsid w:val="00C26A96"/>
    <w:rsid w:val="00C30420"/>
    <w:rsid w:val="00C316AE"/>
    <w:rsid w:val="00C31B34"/>
    <w:rsid w:val="00C320E3"/>
    <w:rsid w:val="00C326A1"/>
    <w:rsid w:val="00C327EE"/>
    <w:rsid w:val="00C340CC"/>
    <w:rsid w:val="00C34CCC"/>
    <w:rsid w:val="00C356C9"/>
    <w:rsid w:val="00C35885"/>
    <w:rsid w:val="00C35C9A"/>
    <w:rsid w:val="00C361F4"/>
    <w:rsid w:val="00C36F5B"/>
    <w:rsid w:val="00C37176"/>
    <w:rsid w:val="00C373B3"/>
    <w:rsid w:val="00C40013"/>
    <w:rsid w:val="00C4002D"/>
    <w:rsid w:val="00C4063B"/>
    <w:rsid w:val="00C407FF"/>
    <w:rsid w:val="00C40ACA"/>
    <w:rsid w:val="00C40E3C"/>
    <w:rsid w:val="00C414B7"/>
    <w:rsid w:val="00C42D9E"/>
    <w:rsid w:val="00C43F14"/>
    <w:rsid w:val="00C4484E"/>
    <w:rsid w:val="00C44AE1"/>
    <w:rsid w:val="00C44CFB"/>
    <w:rsid w:val="00C45258"/>
    <w:rsid w:val="00C45267"/>
    <w:rsid w:val="00C45318"/>
    <w:rsid w:val="00C4581D"/>
    <w:rsid w:val="00C45888"/>
    <w:rsid w:val="00C460A9"/>
    <w:rsid w:val="00C461DF"/>
    <w:rsid w:val="00C47728"/>
    <w:rsid w:val="00C47E97"/>
    <w:rsid w:val="00C517CA"/>
    <w:rsid w:val="00C519BB"/>
    <w:rsid w:val="00C521E2"/>
    <w:rsid w:val="00C5251E"/>
    <w:rsid w:val="00C526C7"/>
    <w:rsid w:val="00C530D1"/>
    <w:rsid w:val="00C53573"/>
    <w:rsid w:val="00C536D8"/>
    <w:rsid w:val="00C538D9"/>
    <w:rsid w:val="00C53D70"/>
    <w:rsid w:val="00C540E0"/>
    <w:rsid w:val="00C543AC"/>
    <w:rsid w:val="00C54981"/>
    <w:rsid w:val="00C54D9C"/>
    <w:rsid w:val="00C557CC"/>
    <w:rsid w:val="00C558CC"/>
    <w:rsid w:val="00C5699C"/>
    <w:rsid w:val="00C56AF1"/>
    <w:rsid w:val="00C56F79"/>
    <w:rsid w:val="00C5700C"/>
    <w:rsid w:val="00C57D26"/>
    <w:rsid w:val="00C61221"/>
    <w:rsid w:val="00C61639"/>
    <w:rsid w:val="00C61B58"/>
    <w:rsid w:val="00C61DC0"/>
    <w:rsid w:val="00C624B6"/>
    <w:rsid w:val="00C6250A"/>
    <w:rsid w:val="00C62F2E"/>
    <w:rsid w:val="00C633FE"/>
    <w:rsid w:val="00C63D99"/>
    <w:rsid w:val="00C63EC4"/>
    <w:rsid w:val="00C645E5"/>
    <w:rsid w:val="00C654BC"/>
    <w:rsid w:val="00C65FAA"/>
    <w:rsid w:val="00C661B2"/>
    <w:rsid w:val="00C666A5"/>
    <w:rsid w:val="00C66D1C"/>
    <w:rsid w:val="00C671D2"/>
    <w:rsid w:val="00C677F6"/>
    <w:rsid w:val="00C71562"/>
    <w:rsid w:val="00C71C51"/>
    <w:rsid w:val="00C7223D"/>
    <w:rsid w:val="00C7243F"/>
    <w:rsid w:val="00C7267F"/>
    <w:rsid w:val="00C7308C"/>
    <w:rsid w:val="00C7331D"/>
    <w:rsid w:val="00C736F1"/>
    <w:rsid w:val="00C73DEA"/>
    <w:rsid w:val="00C73FA8"/>
    <w:rsid w:val="00C74B05"/>
    <w:rsid w:val="00C76852"/>
    <w:rsid w:val="00C76A07"/>
    <w:rsid w:val="00C76C25"/>
    <w:rsid w:val="00C77147"/>
    <w:rsid w:val="00C7796B"/>
    <w:rsid w:val="00C80AF3"/>
    <w:rsid w:val="00C81CC4"/>
    <w:rsid w:val="00C81DE5"/>
    <w:rsid w:val="00C823A4"/>
    <w:rsid w:val="00C82A4B"/>
    <w:rsid w:val="00C82FB8"/>
    <w:rsid w:val="00C836BF"/>
    <w:rsid w:val="00C83D2E"/>
    <w:rsid w:val="00C84A88"/>
    <w:rsid w:val="00C84ED8"/>
    <w:rsid w:val="00C84F91"/>
    <w:rsid w:val="00C857FF"/>
    <w:rsid w:val="00C85914"/>
    <w:rsid w:val="00C865A7"/>
    <w:rsid w:val="00C87C84"/>
    <w:rsid w:val="00C90772"/>
    <w:rsid w:val="00C90893"/>
    <w:rsid w:val="00C90C04"/>
    <w:rsid w:val="00C93DEF"/>
    <w:rsid w:val="00C93EA4"/>
    <w:rsid w:val="00C941F2"/>
    <w:rsid w:val="00C94641"/>
    <w:rsid w:val="00C95A9C"/>
    <w:rsid w:val="00C974A6"/>
    <w:rsid w:val="00C977B4"/>
    <w:rsid w:val="00C978B0"/>
    <w:rsid w:val="00C97B45"/>
    <w:rsid w:val="00CA0A51"/>
    <w:rsid w:val="00CA0AA4"/>
    <w:rsid w:val="00CA1027"/>
    <w:rsid w:val="00CA1C11"/>
    <w:rsid w:val="00CA20B5"/>
    <w:rsid w:val="00CA2E23"/>
    <w:rsid w:val="00CA4971"/>
    <w:rsid w:val="00CA531E"/>
    <w:rsid w:val="00CA5944"/>
    <w:rsid w:val="00CA5F39"/>
    <w:rsid w:val="00CA5F47"/>
    <w:rsid w:val="00CA6041"/>
    <w:rsid w:val="00CA6C32"/>
    <w:rsid w:val="00CA6EDE"/>
    <w:rsid w:val="00CB00AC"/>
    <w:rsid w:val="00CB0552"/>
    <w:rsid w:val="00CB0639"/>
    <w:rsid w:val="00CB0B41"/>
    <w:rsid w:val="00CB1137"/>
    <w:rsid w:val="00CB126B"/>
    <w:rsid w:val="00CB22BC"/>
    <w:rsid w:val="00CB34F5"/>
    <w:rsid w:val="00CB46B0"/>
    <w:rsid w:val="00CB4AE2"/>
    <w:rsid w:val="00CB51C7"/>
    <w:rsid w:val="00CB5918"/>
    <w:rsid w:val="00CB76D7"/>
    <w:rsid w:val="00CB7AC5"/>
    <w:rsid w:val="00CC02E4"/>
    <w:rsid w:val="00CC0677"/>
    <w:rsid w:val="00CC1972"/>
    <w:rsid w:val="00CC274D"/>
    <w:rsid w:val="00CC327F"/>
    <w:rsid w:val="00CC32BB"/>
    <w:rsid w:val="00CC32F2"/>
    <w:rsid w:val="00CC336B"/>
    <w:rsid w:val="00CC363B"/>
    <w:rsid w:val="00CC37F3"/>
    <w:rsid w:val="00CC3ADB"/>
    <w:rsid w:val="00CC3FCD"/>
    <w:rsid w:val="00CC4413"/>
    <w:rsid w:val="00CC4636"/>
    <w:rsid w:val="00CC4759"/>
    <w:rsid w:val="00CC5837"/>
    <w:rsid w:val="00CC69A9"/>
    <w:rsid w:val="00CC6A4A"/>
    <w:rsid w:val="00CC75D2"/>
    <w:rsid w:val="00CC7C6E"/>
    <w:rsid w:val="00CD00A6"/>
    <w:rsid w:val="00CD0307"/>
    <w:rsid w:val="00CD09CA"/>
    <w:rsid w:val="00CD381F"/>
    <w:rsid w:val="00CD3CC8"/>
    <w:rsid w:val="00CD41E2"/>
    <w:rsid w:val="00CD459E"/>
    <w:rsid w:val="00CD4831"/>
    <w:rsid w:val="00CD496E"/>
    <w:rsid w:val="00CD498D"/>
    <w:rsid w:val="00CD5AE3"/>
    <w:rsid w:val="00CD6756"/>
    <w:rsid w:val="00CD679E"/>
    <w:rsid w:val="00CD67F5"/>
    <w:rsid w:val="00CD706A"/>
    <w:rsid w:val="00CE0929"/>
    <w:rsid w:val="00CE0F8C"/>
    <w:rsid w:val="00CE13E6"/>
    <w:rsid w:val="00CE1B38"/>
    <w:rsid w:val="00CE1C50"/>
    <w:rsid w:val="00CE2C63"/>
    <w:rsid w:val="00CE327E"/>
    <w:rsid w:val="00CE3737"/>
    <w:rsid w:val="00CE4159"/>
    <w:rsid w:val="00CE458E"/>
    <w:rsid w:val="00CE4D99"/>
    <w:rsid w:val="00CE4EA2"/>
    <w:rsid w:val="00CE50F4"/>
    <w:rsid w:val="00CE5519"/>
    <w:rsid w:val="00CE59FD"/>
    <w:rsid w:val="00CE65FF"/>
    <w:rsid w:val="00CE6883"/>
    <w:rsid w:val="00CE738F"/>
    <w:rsid w:val="00CE7896"/>
    <w:rsid w:val="00CE7D2F"/>
    <w:rsid w:val="00CF00E6"/>
    <w:rsid w:val="00CF0281"/>
    <w:rsid w:val="00CF02E7"/>
    <w:rsid w:val="00CF0377"/>
    <w:rsid w:val="00CF0B89"/>
    <w:rsid w:val="00CF12F1"/>
    <w:rsid w:val="00CF1CCB"/>
    <w:rsid w:val="00CF1F5A"/>
    <w:rsid w:val="00CF2DEC"/>
    <w:rsid w:val="00CF4FDE"/>
    <w:rsid w:val="00CF58C4"/>
    <w:rsid w:val="00CF59A9"/>
    <w:rsid w:val="00CF6ADC"/>
    <w:rsid w:val="00CF7247"/>
    <w:rsid w:val="00CF76B6"/>
    <w:rsid w:val="00CF7B7C"/>
    <w:rsid w:val="00CF7D67"/>
    <w:rsid w:val="00CF7EBA"/>
    <w:rsid w:val="00D00589"/>
    <w:rsid w:val="00D00EB6"/>
    <w:rsid w:val="00D01C26"/>
    <w:rsid w:val="00D01DC8"/>
    <w:rsid w:val="00D0206D"/>
    <w:rsid w:val="00D0289A"/>
    <w:rsid w:val="00D037EB"/>
    <w:rsid w:val="00D04BC2"/>
    <w:rsid w:val="00D053C4"/>
    <w:rsid w:val="00D06292"/>
    <w:rsid w:val="00D06318"/>
    <w:rsid w:val="00D06C97"/>
    <w:rsid w:val="00D06EEA"/>
    <w:rsid w:val="00D070E3"/>
    <w:rsid w:val="00D07444"/>
    <w:rsid w:val="00D0765B"/>
    <w:rsid w:val="00D109A8"/>
    <w:rsid w:val="00D11EA4"/>
    <w:rsid w:val="00D12288"/>
    <w:rsid w:val="00D122B4"/>
    <w:rsid w:val="00D1245F"/>
    <w:rsid w:val="00D12C15"/>
    <w:rsid w:val="00D12D35"/>
    <w:rsid w:val="00D13A24"/>
    <w:rsid w:val="00D13A67"/>
    <w:rsid w:val="00D14C23"/>
    <w:rsid w:val="00D14D19"/>
    <w:rsid w:val="00D1509E"/>
    <w:rsid w:val="00D15708"/>
    <w:rsid w:val="00D15936"/>
    <w:rsid w:val="00D159B9"/>
    <w:rsid w:val="00D15BC5"/>
    <w:rsid w:val="00D163E8"/>
    <w:rsid w:val="00D16814"/>
    <w:rsid w:val="00D16A15"/>
    <w:rsid w:val="00D171F2"/>
    <w:rsid w:val="00D17861"/>
    <w:rsid w:val="00D20DDF"/>
    <w:rsid w:val="00D21A69"/>
    <w:rsid w:val="00D22660"/>
    <w:rsid w:val="00D229CD"/>
    <w:rsid w:val="00D22B09"/>
    <w:rsid w:val="00D22C83"/>
    <w:rsid w:val="00D22E87"/>
    <w:rsid w:val="00D2354B"/>
    <w:rsid w:val="00D23A01"/>
    <w:rsid w:val="00D242F9"/>
    <w:rsid w:val="00D2450D"/>
    <w:rsid w:val="00D24AA5"/>
    <w:rsid w:val="00D26707"/>
    <w:rsid w:val="00D26F02"/>
    <w:rsid w:val="00D274ED"/>
    <w:rsid w:val="00D27DDF"/>
    <w:rsid w:val="00D30762"/>
    <w:rsid w:val="00D30B97"/>
    <w:rsid w:val="00D31357"/>
    <w:rsid w:val="00D31363"/>
    <w:rsid w:val="00D31574"/>
    <w:rsid w:val="00D31610"/>
    <w:rsid w:val="00D3162F"/>
    <w:rsid w:val="00D31962"/>
    <w:rsid w:val="00D32554"/>
    <w:rsid w:val="00D329C6"/>
    <w:rsid w:val="00D3399B"/>
    <w:rsid w:val="00D344AA"/>
    <w:rsid w:val="00D34D46"/>
    <w:rsid w:val="00D358C2"/>
    <w:rsid w:val="00D36050"/>
    <w:rsid w:val="00D36071"/>
    <w:rsid w:val="00D363A9"/>
    <w:rsid w:val="00D3690B"/>
    <w:rsid w:val="00D376F1"/>
    <w:rsid w:val="00D37A6F"/>
    <w:rsid w:val="00D37CED"/>
    <w:rsid w:val="00D40577"/>
    <w:rsid w:val="00D41233"/>
    <w:rsid w:val="00D43491"/>
    <w:rsid w:val="00D43932"/>
    <w:rsid w:val="00D43DB0"/>
    <w:rsid w:val="00D43EB7"/>
    <w:rsid w:val="00D440CD"/>
    <w:rsid w:val="00D443E8"/>
    <w:rsid w:val="00D44512"/>
    <w:rsid w:val="00D45E27"/>
    <w:rsid w:val="00D45ECC"/>
    <w:rsid w:val="00D47AEA"/>
    <w:rsid w:val="00D5235C"/>
    <w:rsid w:val="00D54C03"/>
    <w:rsid w:val="00D556A4"/>
    <w:rsid w:val="00D56E10"/>
    <w:rsid w:val="00D56F18"/>
    <w:rsid w:val="00D57CEB"/>
    <w:rsid w:val="00D61069"/>
    <w:rsid w:val="00D62E8D"/>
    <w:rsid w:val="00D6458C"/>
    <w:rsid w:val="00D6480A"/>
    <w:rsid w:val="00D6489A"/>
    <w:rsid w:val="00D65235"/>
    <w:rsid w:val="00D66575"/>
    <w:rsid w:val="00D668D8"/>
    <w:rsid w:val="00D67464"/>
    <w:rsid w:val="00D67A98"/>
    <w:rsid w:val="00D67E21"/>
    <w:rsid w:val="00D67FAC"/>
    <w:rsid w:val="00D701C2"/>
    <w:rsid w:val="00D70795"/>
    <w:rsid w:val="00D7179C"/>
    <w:rsid w:val="00D718A4"/>
    <w:rsid w:val="00D71918"/>
    <w:rsid w:val="00D729CF"/>
    <w:rsid w:val="00D72F06"/>
    <w:rsid w:val="00D736E9"/>
    <w:rsid w:val="00D73730"/>
    <w:rsid w:val="00D73BDE"/>
    <w:rsid w:val="00D7410A"/>
    <w:rsid w:val="00D74710"/>
    <w:rsid w:val="00D7480A"/>
    <w:rsid w:val="00D7673A"/>
    <w:rsid w:val="00D76F7B"/>
    <w:rsid w:val="00D77209"/>
    <w:rsid w:val="00D77A18"/>
    <w:rsid w:val="00D80631"/>
    <w:rsid w:val="00D80A47"/>
    <w:rsid w:val="00D8219E"/>
    <w:rsid w:val="00D832FC"/>
    <w:rsid w:val="00D83A0F"/>
    <w:rsid w:val="00D83D0B"/>
    <w:rsid w:val="00D846C5"/>
    <w:rsid w:val="00D852C1"/>
    <w:rsid w:val="00D864A7"/>
    <w:rsid w:val="00D867BC"/>
    <w:rsid w:val="00D87337"/>
    <w:rsid w:val="00D87374"/>
    <w:rsid w:val="00D90701"/>
    <w:rsid w:val="00D90FBA"/>
    <w:rsid w:val="00D91B58"/>
    <w:rsid w:val="00D92160"/>
    <w:rsid w:val="00D9236D"/>
    <w:rsid w:val="00D93E92"/>
    <w:rsid w:val="00D93F50"/>
    <w:rsid w:val="00D94C18"/>
    <w:rsid w:val="00D94CC1"/>
    <w:rsid w:val="00D9594D"/>
    <w:rsid w:val="00D97068"/>
    <w:rsid w:val="00DA066B"/>
    <w:rsid w:val="00DA084F"/>
    <w:rsid w:val="00DA0E80"/>
    <w:rsid w:val="00DA1203"/>
    <w:rsid w:val="00DA19B2"/>
    <w:rsid w:val="00DA1CD9"/>
    <w:rsid w:val="00DA1DCC"/>
    <w:rsid w:val="00DA1FEA"/>
    <w:rsid w:val="00DA229A"/>
    <w:rsid w:val="00DA28B9"/>
    <w:rsid w:val="00DA2C3A"/>
    <w:rsid w:val="00DA3012"/>
    <w:rsid w:val="00DA36E4"/>
    <w:rsid w:val="00DA386C"/>
    <w:rsid w:val="00DA3D90"/>
    <w:rsid w:val="00DA4539"/>
    <w:rsid w:val="00DA5F52"/>
    <w:rsid w:val="00DA6153"/>
    <w:rsid w:val="00DA72C6"/>
    <w:rsid w:val="00DA76C6"/>
    <w:rsid w:val="00DA775D"/>
    <w:rsid w:val="00DB000C"/>
    <w:rsid w:val="00DB0665"/>
    <w:rsid w:val="00DB09A9"/>
    <w:rsid w:val="00DB0B30"/>
    <w:rsid w:val="00DB0D5B"/>
    <w:rsid w:val="00DB13A2"/>
    <w:rsid w:val="00DB202D"/>
    <w:rsid w:val="00DB21D0"/>
    <w:rsid w:val="00DB2AFA"/>
    <w:rsid w:val="00DB2D62"/>
    <w:rsid w:val="00DB3032"/>
    <w:rsid w:val="00DB316A"/>
    <w:rsid w:val="00DB4156"/>
    <w:rsid w:val="00DB49F2"/>
    <w:rsid w:val="00DB52ED"/>
    <w:rsid w:val="00DB6FE4"/>
    <w:rsid w:val="00DB703A"/>
    <w:rsid w:val="00DB708D"/>
    <w:rsid w:val="00DB76DB"/>
    <w:rsid w:val="00DB7B75"/>
    <w:rsid w:val="00DB7F44"/>
    <w:rsid w:val="00DC00A4"/>
    <w:rsid w:val="00DC0A50"/>
    <w:rsid w:val="00DC1181"/>
    <w:rsid w:val="00DC14EE"/>
    <w:rsid w:val="00DC3794"/>
    <w:rsid w:val="00DC3EB8"/>
    <w:rsid w:val="00DC441D"/>
    <w:rsid w:val="00DC4C82"/>
    <w:rsid w:val="00DC5170"/>
    <w:rsid w:val="00DC62D5"/>
    <w:rsid w:val="00DC6493"/>
    <w:rsid w:val="00DC6B56"/>
    <w:rsid w:val="00DC7C85"/>
    <w:rsid w:val="00DD06C1"/>
    <w:rsid w:val="00DD13B0"/>
    <w:rsid w:val="00DD1445"/>
    <w:rsid w:val="00DD2223"/>
    <w:rsid w:val="00DD2984"/>
    <w:rsid w:val="00DD2B6E"/>
    <w:rsid w:val="00DD2E83"/>
    <w:rsid w:val="00DD3C99"/>
    <w:rsid w:val="00DD525E"/>
    <w:rsid w:val="00DD5464"/>
    <w:rsid w:val="00DD565B"/>
    <w:rsid w:val="00DD59BF"/>
    <w:rsid w:val="00DE019F"/>
    <w:rsid w:val="00DE151B"/>
    <w:rsid w:val="00DE1C18"/>
    <w:rsid w:val="00DE1FB4"/>
    <w:rsid w:val="00DE3CF0"/>
    <w:rsid w:val="00DE3DCB"/>
    <w:rsid w:val="00DE5C0F"/>
    <w:rsid w:val="00DE5F52"/>
    <w:rsid w:val="00DE7025"/>
    <w:rsid w:val="00DE7173"/>
    <w:rsid w:val="00DE730B"/>
    <w:rsid w:val="00DF220C"/>
    <w:rsid w:val="00DF288D"/>
    <w:rsid w:val="00DF2A58"/>
    <w:rsid w:val="00DF32C6"/>
    <w:rsid w:val="00DF3EFF"/>
    <w:rsid w:val="00DF489B"/>
    <w:rsid w:val="00DF4A59"/>
    <w:rsid w:val="00DF5A44"/>
    <w:rsid w:val="00DF685E"/>
    <w:rsid w:val="00DF695B"/>
    <w:rsid w:val="00DF6B93"/>
    <w:rsid w:val="00DF701A"/>
    <w:rsid w:val="00DF798A"/>
    <w:rsid w:val="00DF7B73"/>
    <w:rsid w:val="00DF7C17"/>
    <w:rsid w:val="00E0067E"/>
    <w:rsid w:val="00E00924"/>
    <w:rsid w:val="00E013CC"/>
    <w:rsid w:val="00E01787"/>
    <w:rsid w:val="00E03654"/>
    <w:rsid w:val="00E03991"/>
    <w:rsid w:val="00E04D0C"/>
    <w:rsid w:val="00E05240"/>
    <w:rsid w:val="00E06F7F"/>
    <w:rsid w:val="00E07362"/>
    <w:rsid w:val="00E075E0"/>
    <w:rsid w:val="00E07C9D"/>
    <w:rsid w:val="00E1027F"/>
    <w:rsid w:val="00E1143E"/>
    <w:rsid w:val="00E11804"/>
    <w:rsid w:val="00E11D97"/>
    <w:rsid w:val="00E13F80"/>
    <w:rsid w:val="00E1440F"/>
    <w:rsid w:val="00E14790"/>
    <w:rsid w:val="00E1529D"/>
    <w:rsid w:val="00E153E6"/>
    <w:rsid w:val="00E1590C"/>
    <w:rsid w:val="00E1591A"/>
    <w:rsid w:val="00E15D8D"/>
    <w:rsid w:val="00E15EB4"/>
    <w:rsid w:val="00E16684"/>
    <w:rsid w:val="00E16B8D"/>
    <w:rsid w:val="00E171AD"/>
    <w:rsid w:val="00E174AC"/>
    <w:rsid w:val="00E1754A"/>
    <w:rsid w:val="00E20626"/>
    <w:rsid w:val="00E20F05"/>
    <w:rsid w:val="00E212B6"/>
    <w:rsid w:val="00E21748"/>
    <w:rsid w:val="00E228C5"/>
    <w:rsid w:val="00E22BC4"/>
    <w:rsid w:val="00E22D96"/>
    <w:rsid w:val="00E23D73"/>
    <w:rsid w:val="00E2496A"/>
    <w:rsid w:val="00E24D25"/>
    <w:rsid w:val="00E25940"/>
    <w:rsid w:val="00E25A56"/>
    <w:rsid w:val="00E25DAB"/>
    <w:rsid w:val="00E266C4"/>
    <w:rsid w:val="00E266E6"/>
    <w:rsid w:val="00E267E8"/>
    <w:rsid w:val="00E268DA"/>
    <w:rsid w:val="00E2710B"/>
    <w:rsid w:val="00E2771F"/>
    <w:rsid w:val="00E3072A"/>
    <w:rsid w:val="00E30AD2"/>
    <w:rsid w:val="00E31136"/>
    <w:rsid w:val="00E3225C"/>
    <w:rsid w:val="00E327F8"/>
    <w:rsid w:val="00E32B39"/>
    <w:rsid w:val="00E32CA2"/>
    <w:rsid w:val="00E32E12"/>
    <w:rsid w:val="00E32FBC"/>
    <w:rsid w:val="00E3308D"/>
    <w:rsid w:val="00E33889"/>
    <w:rsid w:val="00E33962"/>
    <w:rsid w:val="00E33FFA"/>
    <w:rsid w:val="00E3419B"/>
    <w:rsid w:val="00E35E09"/>
    <w:rsid w:val="00E35E22"/>
    <w:rsid w:val="00E36A17"/>
    <w:rsid w:val="00E37116"/>
    <w:rsid w:val="00E379FE"/>
    <w:rsid w:val="00E408D0"/>
    <w:rsid w:val="00E40F70"/>
    <w:rsid w:val="00E41143"/>
    <w:rsid w:val="00E41453"/>
    <w:rsid w:val="00E41C1E"/>
    <w:rsid w:val="00E41D18"/>
    <w:rsid w:val="00E421A2"/>
    <w:rsid w:val="00E432AB"/>
    <w:rsid w:val="00E436FB"/>
    <w:rsid w:val="00E4400F"/>
    <w:rsid w:val="00E441FD"/>
    <w:rsid w:val="00E44303"/>
    <w:rsid w:val="00E44ABA"/>
    <w:rsid w:val="00E44BA9"/>
    <w:rsid w:val="00E4590D"/>
    <w:rsid w:val="00E45DD7"/>
    <w:rsid w:val="00E4616E"/>
    <w:rsid w:val="00E46CE5"/>
    <w:rsid w:val="00E475F0"/>
    <w:rsid w:val="00E479D1"/>
    <w:rsid w:val="00E47E08"/>
    <w:rsid w:val="00E50A32"/>
    <w:rsid w:val="00E50B67"/>
    <w:rsid w:val="00E515D6"/>
    <w:rsid w:val="00E51D87"/>
    <w:rsid w:val="00E51FB2"/>
    <w:rsid w:val="00E541CB"/>
    <w:rsid w:val="00E543C2"/>
    <w:rsid w:val="00E5514C"/>
    <w:rsid w:val="00E5572F"/>
    <w:rsid w:val="00E5608A"/>
    <w:rsid w:val="00E5621E"/>
    <w:rsid w:val="00E60404"/>
    <w:rsid w:val="00E60A11"/>
    <w:rsid w:val="00E612FA"/>
    <w:rsid w:val="00E61EB1"/>
    <w:rsid w:val="00E62E3B"/>
    <w:rsid w:val="00E633DC"/>
    <w:rsid w:val="00E63929"/>
    <w:rsid w:val="00E63F16"/>
    <w:rsid w:val="00E6458D"/>
    <w:rsid w:val="00E645A0"/>
    <w:rsid w:val="00E64DCC"/>
    <w:rsid w:val="00E64EE7"/>
    <w:rsid w:val="00E65173"/>
    <w:rsid w:val="00E656ED"/>
    <w:rsid w:val="00E65E61"/>
    <w:rsid w:val="00E66F3E"/>
    <w:rsid w:val="00E67A90"/>
    <w:rsid w:val="00E702B4"/>
    <w:rsid w:val="00E70561"/>
    <w:rsid w:val="00E70C64"/>
    <w:rsid w:val="00E71EE8"/>
    <w:rsid w:val="00E72EDA"/>
    <w:rsid w:val="00E72F85"/>
    <w:rsid w:val="00E737DA"/>
    <w:rsid w:val="00E74691"/>
    <w:rsid w:val="00E747FB"/>
    <w:rsid w:val="00E758D2"/>
    <w:rsid w:val="00E76640"/>
    <w:rsid w:val="00E7664C"/>
    <w:rsid w:val="00E76A6E"/>
    <w:rsid w:val="00E76BD9"/>
    <w:rsid w:val="00E8032D"/>
    <w:rsid w:val="00E804D3"/>
    <w:rsid w:val="00E80582"/>
    <w:rsid w:val="00E811FD"/>
    <w:rsid w:val="00E8179D"/>
    <w:rsid w:val="00E8292F"/>
    <w:rsid w:val="00E8318B"/>
    <w:rsid w:val="00E8497F"/>
    <w:rsid w:val="00E84BC3"/>
    <w:rsid w:val="00E85790"/>
    <w:rsid w:val="00E85793"/>
    <w:rsid w:val="00E85794"/>
    <w:rsid w:val="00E85FCD"/>
    <w:rsid w:val="00E865BF"/>
    <w:rsid w:val="00E8681F"/>
    <w:rsid w:val="00E86EFC"/>
    <w:rsid w:val="00E870F6"/>
    <w:rsid w:val="00E874C9"/>
    <w:rsid w:val="00E8753F"/>
    <w:rsid w:val="00E90EB5"/>
    <w:rsid w:val="00E90F1E"/>
    <w:rsid w:val="00E915FF"/>
    <w:rsid w:val="00E916CE"/>
    <w:rsid w:val="00E92150"/>
    <w:rsid w:val="00E92390"/>
    <w:rsid w:val="00E92395"/>
    <w:rsid w:val="00E929E7"/>
    <w:rsid w:val="00E935A6"/>
    <w:rsid w:val="00E93F03"/>
    <w:rsid w:val="00E9495F"/>
    <w:rsid w:val="00E94FD1"/>
    <w:rsid w:val="00E958B1"/>
    <w:rsid w:val="00E964DC"/>
    <w:rsid w:val="00E9710C"/>
    <w:rsid w:val="00E97A52"/>
    <w:rsid w:val="00EA10E1"/>
    <w:rsid w:val="00EA2A72"/>
    <w:rsid w:val="00EA2EA5"/>
    <w:rsid w:val="00EA4121"/>
    <w:rsid w:val="00EA4549"/>
    <w:rsid w:val="00EA5D06"/>
    <w:rsid w:val="00EA6AA5"/>
    <w:rsid w:val="00EA7B06"/>
    <w:rsid w:val="00EA7F92"/>
    <w:rsid w:val="00EB01FD"/>
    <w:rsid w:val="00EB15E8"/>
    <w:rsid w:val="00EB2AD0"/>
    <w:rsid w:val="00EB2E49"/>
    <w:rsid w:val="00EB32AF"/>
    <w:rsid w:val="00EB3C54"/>
    <w:rsid w:val="00EB4175"/>
    <w:rsid w:val="00EB42F2"/>
    <w:rsid w:val="00EB54ED"/>
    <w:rsid w:val="00EB5B74"/>
    <w:rsid w:val="00EB5BA9"/>
    <w:rsid w:val="00EB6440"/>
    <w:rsid w:val="00EB6852"/>
    <w:rsid w:val="00EB7761"/>
    <w:rsid w:val="00EB7E21"/>
    <w:rsid w:val="00EB7EB0"/>
    <w:rsid w:val="00EC0C4B"/>
    <w:rsid w:val="00EC12A7"/>
    <w:rsid w:val="00EC1F4E"/>
    <w:rsid w:val="00EC2C11"/>
    <w:rsid w:val="00EC3477"/>
    <w:rsid w:val="00EC63D4"/>
    <w:rsid w:val="00EC670E"/>
    <w:rsid w:val="00EC72AD"/>
    <w:rsid w:val="00EC7F6E"/>
    <w:rsid w:val="00ED0429"/>
    <w:rsid w:val="00ED0767"/>
    <w:rsid w:val="00ED0821"/>
    <w:rsid w:val="00ED0F42"/>
    <w:rsid w:val="00ED130E"/>
    <w:rsid w:val="00ED1ABB"/>
    <w:rsid w:val="00ED3812"/>
    <w:rsid w:val="00ED46A1"/>
    <w:rsid w:val="00ED4D2F"/>
    <w:rsid w:val="00ED4EF1"/>
    <w:rsid w:val="00ED572D"/>
    <w:rsid w:val="00ED61E5"/>
    <w:rsid w:val="00ED6FC4"/>
    <w:rsid w:val="00ED7485"/>
    <w:rsid w:val="00EE2160"/>
    <w:rsid w:val="00EE2A81"/>
    <w:rsid w:val="00EE3E0D"/>
    <w:rsid w:val="00EE4230"/>
    <w:rsid w:val="00EE4782"/>
    <w:rsid w:val="00EE4CD8"/>
    <w:rsid w:val="00EE5AC2"/>
    <w:rsid w:val="00EE5E6A"/>
    <w:rsid w:val="00EE608B"/>
    <w:rsid w:val="00EE70B2"/>
    <w:rsid w:val="00EF0133"/>
    <w:rsid w:val="00EF0D12"/>
    <w:rsid w:val="00EF189E"/>
    <w:rsid w:val="00EF2A0B"/>
    <w:rsid w:val="00EF35C6"/>
    <w:rsid w:val="00EF375D"/>
    <w:rsid w:val="00EF3A3B"/>
    <w:rsid w:val="00EF4480"/>
    <w:rsid w:val="00EF4B6F"/>
    <w:rsid w:val="00EF4F88"/>
    <w:rsid w:val="00EF5C6F"/>
    <w:rsid w:val="00EF6085"/>
    <w:rsid w:val="00EF6429"/>
    <w:rsid w:val="00EF6F29"/>
    <w:rsid w:val="00EF75E9"/>
    <w:rsid w:val="00F00828"/>
    <w:rsid w:val="00F008C0"/>
    <w:rsid w:val="00F013AB"/>
    <w:rsid w:val="00F018B1"/>
    <w:rsid w:val="00F020BF"/>
    <w:rsid w:val="00F02704"/>
    <w:rsid w:val="00F02844"/>
    <w:rsid w:val="00F0351A"/>
    <w:rsid w:val="00F0548B"/>
    <w:rsid w:val="00F07244"/>
    <w:rsid w:val="00F102B1"/>
    <w:rsid w:val="00F10660"/>
    <w:rsid w:val="00F117A8"/>
    <w:rsid w:val="00F126FE"/>
    <w:rsid w:val="00F1276F"/>
    <w:rsid w:val="00F12790"/>
    <w:rsid w:val="00F13254"/>
    <w:rsid w:val="00F133A9"/>
    <w:rsid w:val="00F13428"/>
    <w:rsid w:val="00F14580"/>
    <w:rsid w:val="00F14837"/>
    <w:rsid w:val="00F161B4"/>
    <w:rsid w:val="00F164DD"/>
    <w:rsid w:val="00F16810"/>
    <w:rsid w:val="00F16BC3"/>
    <w:rsid w:val="00F17B5C"/>
    <w:rsid w:val="00F20914"/>
    <w:rsid w:val="00F21591"/>
    <w:rsid w:val="00F21E6A"/>
    <w:rsid w:val="00F2242B"/>
    <w:rsid w:val="00F22BC5"/>
    <w:rsid w:val="00F22F26"/>
    <w:rsid w:val="00F23540"/>
    <w:rsid w:val="00F2486C"/>
    <w:rsid w:val="00F24A56"/>
    <w:rsid w:val="00F24C51"/>
    <w:rsid w:val="00F256DB"/>
    <w:rsid w:val="00F25DDA"/>
    <w:rsid w:val="00F26223"/>
    <w:rsid w:val="00F264B0"/>
    <w:rsid w:val="00F2787D"/>
    <w:rsid w:val="00F27D65"/>
    <w:rsid w:val="00F304FE"/>
    <w:rsid w:val="00F30567"/>
    <w:rsid w:val="00F3107A"/>
    <w:rsid w:val="00F3177D"/>
    <w:rsid w:val="00F31837"/>
    <w:rsid w:val="00F32C1A"/>
    <w:rsid w:val="00F32C35"/>
    <w:rsid w:val="00F32CB1"/>
    <w:rsid w:val="00F32E72"/>
    <w:rsid w:val="00F342B2"/>
    <w:rsid w:val="00F34826"/>
    <w:rsid w:val="00F35B7A"/>
    <w:rsid w:val="00F36233"/>
    <w:rsid w:val="00F36AA6"/>
    <w:rsid w:val="00F36BD9"/>
    <w:rsid w:val="00F371E3"/>
    <w:rsid w:val="00F40483"/>
    <w:rsid w:val="00F40BA7"/>
    <w:rsid w:val="00F41AAC"/>
    <w:rsid w:val="00F41B6E"/>
    <w:rsid w:val="00F41E58"/>
    <w:rsid w:val="00F42DE6"/>
    <w:rsid w:val="00F43070"/>
    <w:rsid w:val="00F43D44"/>
    <w:rsid w:val="00F453DD"/>
    <w:rsid w:val="00F45CE9"/>
    <w:rsid w:val="00F46096"/>
    <w:rsid w:val="00F4709E"/>
    <w:rsid w:val="00F47403"/>
    <w:rsid w:val="00F477AB"/>
    <w:rsid w:val="00F47A66"/>
    <w:rsid w:val="00F51D7D"/>
    <w:rsid w:val="00F52897"/>
    <w:rsid w:val="00F52B14"/>
    <w:rsid w:val="00F54730"/>
    <w:rsid w:val="00F556A1"/>
    <w:rsid w:val="00F573A0"/>
    <w:rsid w:val="00F57DEA"/>
    <w:rsid w:val="00F57F02"/>
    <w:rsid w:val="00F60015"/>
    <w:rsid w:val="00F6022A"/>
    <w:rsid w:val="00F6092F"/>
    <w:rsid w:val="00F609EF"/>
    <w:rsid w:val="00F60BBD"/>
    <w:rsid w:val="00F6100D"/>
    <w:rsid w:val="00F61879"/>
    <w:rsid w:val="00F629CE"/>
    <w:rsid w:val="00F62B88"/>
    <w:rsid w:val="00F63C66"/>
    <w:rsid w:val="00F65706"/>
    <w:rsid w:val="00F657D1"/>
    <w:rsid w:val="00F66935"/>
    <w:rsid w:val="00F671BB"/>
    <w:rsid w:val="00F67717"/>
    <w:rsid w:val="00F67CA1"/>
    <w:rsid w:val="00F67CDB"/>
    <w:rsid w:val="00F710EE"/>
    <w:rsid w:val="00F71528"/>
    <w:rsid w:val="00F726EF"/>
    <w:rsid w:val="00F72C72"/>
    <w:rsid w:val="00F73C7C"/>
    <w:rsid w:val="00F7462C"/>
    <w:rsid w:val="00F74A13"/>
    <w:rsid w:val="00F75B96"/>
    <w:rsid w:val="00F75E54"/>
    <w:rsid w:val="00F769E7"/>
    <w:rsid w:val="00F76AA6"/>
    <w:rsid w:val="00F77B6E"/>
    <w:rsid w:val="00F80939"/>
    <w:rsid w:val="00F8094C"/>
    <w:rsid w:val="00F81D53"/>
    <w:rsid w:val="00F8239B"/>
    <w:rsid w:val="00F82444"/>
    <w:rsid w:val="00F82852"/>
    <w:rsid w:val="00F83BB1"/>
    <w:rsid w:val="00F8599D"/>
    <w:rsid w:val="00F85EAB"/>
    <w:rsid w:val="00F86867"/>
    <w:rsid w:val="00F90074"/>
    <w:rsid w:val="00F9182D"/>
    <w:rsid w:val="00F91893"/>
    <w:rsid w:val="00F92F80"/>
    <w:rsid w:val="00F939C9"/>
    <w:rsid w:val="00F93D2A"/>
    <w:rsid w:val="00F93E70"/>
    <w:rsid w:val="00F93F77"/>
    <w:rsid w:val="00F945D4"/>
    <w:rsid w:val="00F94728"/>
    <w:rsid w:val="00F94E80"/>
    <w:rsid w:val="00F953A2"/>
    <w:rsid w:val="00F95582"/>
    <w:rsid w:val="00F96159"/>
    <w:rsid w:val="00F96899"/>
    <w:rsid w:val="00F97A13"/>
    <w:rsid w:val="00F97E0A"/>
    <w:rsid w:val="00FA06A6"/>
    <w:rsid w:val="00FA1402"/>
    <w:rsid w:val="00FA282C"/>
    <w:rsid w:val="00FA2DFB"/>
    <w:rsid w:val="00FA3DC0"/>
    <w:rsid w:val="00FA461F"/>
    <w:rsid w:val="00FA48D8"/>
    <w:rsid w:val="00FA4EF8"/>
    <w:rsid w:val="00FA58FF"/>
    <w:rsid w:val="00FA5B03"/>
    <w:rsid w:val="00FA6453"/>
    <w:rsid w:val="00FA6E80"/>
    <w:rsid w:val="00FA70A2"/>
    <w:rsid w:val="00FA792B"/>
    <w:rsid w:val="00FB00EF"/>
    <w:rsid w:val="00FB05F1"/>
    <w:rsid w:val="00FB0D64"/>
    <w:rsid w:val="00FB13F1"/>
    <w:rsid w:val="00FB2192"/>
    <w:rsid w:val="00FB2484"/>
    <w:rsid w:val="00FB3396"/>
    <w:rsid w:val="00FB3486"/>
    <w:rsid w:val="00FB37BB"/>
    <w:rsid w:val="00FB38ED"/>
    <w:rsid w:val="00FB4292"/>
    <w:rsid w:val="00FB5020"/>
    <w:rsid w:val="00FB54C8"/>
    <w:rsid w:val="00FB54FF"/>
    <w:rsid w:val="00FB5D13"/>
    <w:rsid w:val="00FB6646"/>
    <w:rsid w:val="00FB6C83"/>
    <w:rsid w:val="00FB717D"/>
    <w:rsid w:val="00FB75C5"/>
    <w:rsid w:val="00FB7A05"/>
    <w:rsid w:val="00FC00F1"/>
    <w:rsid w:val="00FC0982"/>
    <w:rsid w:val="00FC0AB2"/>
    <w:rsid w:val="00FC139E"/>
    <w:rsid w:val="00FC2150"/>
    <w:rsid w:val="00FC28F1"/>
    <w:rsid w:val="00FC29DE"/>
    <w:rsid w:val="00FC337B"/>
    <w:rsid w:val="00FC3679"/>
    <w:rsid w:val="00FC3C29"/>
    <w:rsid w:val="00FC5323"/>
    <w:rsid w:val="00FC6114"/>
    <w:rsid w:val="00FC6D06"/>
    <w:rsid w:val="00FC7C18"/>
    <w:rsid w:val="00FD0ED4"/>
    <w:rsid w:val="00FD1A60"/>
    <w:rsid w:val="00FD2448"/>
    <w:rsid w:val="00FD28FE"/>
    <w:rsid w:val="00FD3AAF"/>
    <w:rsid w:val="00FD43FF"/>
    <w:rsid w:val="00FD5870"/>
    <w:rsid w:val="00FD5AF9"/>
    <w:rsid w:val="00FD5C10"/>
    <w:rsid w:val="00FD5C6D"/>
    <w:rsid w:val="00FD5EBB"/>
    <w:rsid w:val="00FD66A7"/>
    <w:rsid w:val="00FD7DBA"/>
    <w:rsid w:val="00FE06A3"/>
    <w:rsid w:val="00FE1CAB"/>
    <w:rsid w:val="00FE1FB4"/>
    <w:rsid w:val="00FE2EDD"/>
    <w:rsid w:val="00FE3DE7"/>
    <w:rsid w:val="00FE3E0D"/>
    <w:rsid w:val="00FE4B1D"/>
    <w:rsid w:val="00FE4B39"/>
    <w:rsid w:val="00FE4D10"/>
    <w:rsid w:val="00FE50DA"/>
    <w:rsid w:val="00FE53FB"/>
    <w:rsid w:val="00FE5BCE"/>
    <w:rsid w:val="00FE6156"/>
    <w:rsid w:val="00FE64A5"/>
    <w:rsid w:val="00FE7940"/>
    <w:rsid w:val="00FE7B0B"/>
    <w:rsid w:val="00FF06B3"/>
    <w:rsid w:val="00FF16B4"/>
    <w:rsid w:val="00FF243A"/>
    <w:rsid w:val="00FF2715"/>
    <w:rsid w:val="00FF4658"/>
    <w:rsid w:val="00FF4734"/>
    <w:rsid w:val="00FF4B26"/>
    <w:rsid w:val="00FF545D"/>
    <w:rsid w:val="00FF63B9"/>
    <w:rsid w:val="00FF6EE2"/>
    <w:rsid w:val="00FF72F4"/>
    <w:rsid w:val="00FF77B6"/>
    <w:rsid w:val="00FF79F6"/>
    <w:rsid w:val="00FF7DE3"/>
    <w:rsid w:val="01001C35"/>
    <w:rsid w:val="010C3643"/>
    <w:rsid w:val="013C198F"/>
    <w:rsid w:val="015123B9"/>
    <w:rsid w:val="01556417"/>
    <w:rsid w:val="0167471E"/>
    <w:rsid w:val="016D0EAE"/>
    <w:rsid w:val="01746FB4"/>
    <w:rsid w:val="01A46DFF"/>
    <w:rsid w:val="01A97668"/>
    <w:rsid w:val="01AA3877"/>
    <w:rsid w:val="01B02A3A"/>
    <w:rsid w:val="01C2190C"/>
    <w:rsid w:val="01D0086C"/>
    <w:rsid w:val="01DD4866"/>
    <w:rsid w:val="01EA5D02"/>
    <w:rsid w:val="01ECD302"/>
    <w:rsid w:val="01EED958"/>
    <w:rsid w:val="020134AC"/>
    <w:rsid w:val="023672F4"/>
    <w:rsid w:val="025561CF"/>
    <w:rsid w:val="025A704C"/>
    <w:rsid w:val="025E0000"/>
    <w:rsid w:val="02641C78"/>
    <w:rsid w:val="027413A5"/>
    <w:rsid w:val="029B40CE"/>
    <w:rsid w:val="02A93626"/>
    <w:rsid w:val="02A94568"/>
    <w:rsid w:val="02B524D4"/>
    <w:rsid w:val="02B557CA"/>
    <w:rsid w:val="02BF6D41"/>
    <w:rsid w:val="02F40C3D"/>
    <w:rsid w:val="03113440"/>
    <w:rsid w:val="032B7792"/>
    <w:rsid w:val="032E45F7"/>
    <w:rsid w:val="0334385F"/>
    <w:rsid w:val="0344272D"/>
    <w:rsid w:val="0353327C"/>
    <w:rsid w:val="036328D5"/>
    <w:rsid w:val="0369EBFE"/>
    <w:rsid w:val="037C7496"/>
    <w:rsid w:val="03872212"/>
    <w:rsid w:val="038E3E27"/>
    <w:rsid w:val="03B94246"/>
    <w:rsid w:val="03BC33DF"/>
    <w:rsid w:val="03BE44DA"/>
    <w:rsid w:val="03C11C59"/>
    <w:rsid w:val="03CA500E"/>
    <w:rsid w:val="03DAF410"/>
    <w:rsid w:val="03DC1737"/>
    <w:rsid w:val="03E57267"/>
    <w:rsid w:val="040272A1"/>
    <w:rsid w:val="040D00EE"/>
    <w:rsid w:val="040E5683"/>
    <w:rsid w:val="041908F6"/>
    <w:rsid w:val="04206073"/>
    <w:rsid w:val="043F37C2"/>
    <w:rsid w:val="04674C72"/>
    <w:rsid w:val="04A647CA"/>
    <w:rsid w:val="04B2316F"/>
    <w:rsid w:val="04D4C9F3"/>
    <w:rsid w:val="04D90F82"/>
    <w:rsid w:val="04DF2FB1"/>
    <w:rsid w:val="04E833C1"/>
    <w:rsid w:val="04E945ED"/>
    <w:rsid w:val="05097AA9"/>
    <w:rsid w:val="050F0379"/>
    <w:rsid w:val="051476F0"/>
    <w:rsid w:val="05562AEC"/>
    <w:rsid w:val="055B0D7C"/>
    <w:rsid w:val="056703FD"/>
    <w:rsid w:val="056F6520"/>
    <w:rsid w:val="057958C0"/>
    <w:rsid w:val="058F16CA"/>
    <w:rsid w:val="05E742CE"/>
    <w:rsid w:val="06021ECD"/>
    <w:rsid w:val="063512B6"/>
    <w:rsid w:val="0638524B"/>
    <w:rsid w:val="063F4F71"/>
    <w:rsid w:val="065D3E89"/>
    <w:rsid w:val="06610D6F"/>
    <w:rsid w:val="067F1777"/>
    <w:rsid w:val="06907D10"/>
    <w:rsid w:val="06925CBB"/>
    <w:rsid w:val="06F350BB"/>
    <w:rsid w:val="06F35C48"/>
    <w:rsid w:val="06F63CB4"/>
    <w:rsid w:val="06FB4DE7"/>
    <w:rsid w:val="06FD4130"/>
    <w:rsid w:val="0721282E"/>
    <w:rsid w:val="0748117C"/>
    <w:rsid w:val="074D0183"/>
    <w:rsid w:val="0750142A"/>
    <w:rsid w:val="07565EB2"/>
    <w:rsid w:val="075F5050"/>
    <w:rsid w:val="07680ECC"/>
    <w:rsid w:val="077E6CFB"/>
    <w:rsid w:val="078F6815"/>
    <w:rsid w:val="07B40B69"/>
    <w:rsid w:val="07B73066"/>
    <w:rsid w:val="07C6062B"/>
    <w:rsid w:val="07CA5E46"/>
    <w:rsid w:val="07DE1B9A"/>
    <w:rsid w:val="07ED7FAB"/>
    <w:rsid w:val="07F44EAE"/>
    <w:rsid w:val="08011F96"/>
    <w:rsid w:val="0812512E"/>
    <w:rsid w:val="081C3795"/>
    <w:rsid w:val="0822632F"/>
    <w:rsid w:val="08387E2F"/>
    <w:rsid w:val="083EA784"/>
    <w:rsid w:val="08462BC7"/>
    <w:rsid w:val="087A0447"/>
    <w:rsid w:val="08A45A7F"/>
    <w:rsid w:val="08B34758"/>
    <w:rsid w:val="08BA7A87"/>
    <w:rsid w:val="08C90A87"/>
    <w:rsid w:val="08CC56F8"/>
    <w:rsid w:val="08DF4347"/>
    <w:rsid w:val="08F65717"/>
    <w:rsid w:val="08F6CF93"/>
    <w:rsid w:val="0902099F"/>
    <w:rsid w:val="090B7FC9"/>
    <w:rsid w:val="092252DC"/>
    <w:rsid w:val="09303426"/>
    <w:rsid w:val="093C3D88"/>
    <w:rsid w:val="093D63B2"/>
    <w:rsid w:val="094445B2"/>
    <w:rsid w:val="09476803"/>
    <w:rsid w:val="097D6718"/>
    <w:rsid w:val="098350DA"/>
    <w:rsid w:val="099B16CA"/>
    <w:rsid w:val="09CC6BBA"/>
    <w:rsid w:val="09E00823"/>
    <w:rsid w:val="09E716CF"/>
    <w:rsid w:val="09F305E8"/>
    <w:rsid w:val="09FD6A6F"/>
    <w:rsid w:val="0A040FB9"/>
    <w:rsid w:val="0A20159F"/>
    <w:rsid w:val="0A257876"/>
    <w:rsid w:val="0A6477D8"/>
    <w:rsid w:val="0A65397E"/>
    <w:rsid w:val="0A8E3ADB"/>
    <w:rsid w:val="0A910093"/>
    <w:rsid w:val="0AB83D00"/>
    <w:rsid w:val="0ACB1F93"/>
    <w:rsid w:val="0ACC3C97"/>
    <w:rsid w:val="0ADF508F"/>
    <w:rsid w:val="0AE20526"/>
    <w:rsid w:val="0AE93662"/>
    <w:rsid w:val="0AF838A6"/>
    <w:rsid w:val="0B0E2F7E"/>
    <w:rsid w:val="0B2B6B81"/>
    <w:rsid w:val="0B31710A"/>
    <w:rsid w:val="0B3C6DA8"/>
    <w:rsid w:val="0B642CE9"/>
    <w:rsid w:val="0B6E2281"/>
    <w:rsid w:val="0B7551DF"/>
    <w:rsid w:val="0B7D6A04"/>
    <w:rsid w:val="0B9D7938"/>
    <w:rsid w:val="0B9F5186"/>
    <w:rsid w:val="0BA08867"/>
    <w:rsid w:val="0BA23811"/>
    <w:rsid w:val="0BB03317"/>
    <w:rsid w:val="0BB86BE8"/>
    <w:rsid w:val="0BC6F1D2"/>
    <w:rsid w:val="0BCB6AAD"/>
    <w:rsid w:val="0BCD4D32"/>
    <w:rsid w:val="0BE0753C"/>
    <w:rsid w:val="0BEC763E"/>
    <w:rsid w:val="0C0EE901"/>
    <w:rsid w:val="0C2C0734"/>
    <w:rsid w:val="0C2D3942"/>
    <w:rsid w:val="0C376ACB"/>
    <w:rsid w:val="0C403756"/>
    <w:rsid w:val="0C453A12"/>
    <w:rsid w:val="0C57BC5C"/>
    <w:rsid w:val="0C6F00E5"/>
    <w:rsid w:val="0C910D8D"/>
    <w:rsid w:val="0C962B0F"/>
    <w:rsid w:val="0C9D233E"/>
    <w:rsid w:val="0CA57A5D"/>
    <w:rsid w:val="0CA957FF"/>
    <w:rsid w:val="0CBA06E7"/>
    <w:rsid w:val="0CBB1FE4"/>
    <w:rsid w:val="0CD9F3FF"/>
    <w:rsid w:val="0CDF3DAB"/>
    <w:rsid w:val="0CE73BD2"/>
    <w:rsid w:val="0CE76FFC"/>
    <w:rsid w:val="0CFE0AAC"/>
    <w:rsid w:val="0D0E0A6E"/>
    <w:rsid w:val="0D3037CB"/>
    <w:rsid w:val="0D3D12F9"/>
    <w:rsid w:val="0D40222C"/>
    <w:rsid w:val="0D444814"/>
    <w:rsid w:val="0D454E0B"/>
    <w:rsid w:val="0D496892"/>
    <w:rsid w:val="0D515C83"/>
    <w:rsid w:val="0D551638"/>
    <w:rsid w:val="0D5B1297"/>
    <w:rsid w:val="0D5BEA4A"/>
    <w:rsid w:val="0D6C1864"/>
    <w:rsid w:val="0D726239"/>
    <w:rsid w:val="0D7336B7"/>
    <w:rsid w:val="0D766336"/>
    <w:rsid w:val="0D766750"/>
    <w:rsid w:val="0D827EF0"/>
    <w:rsid w:val="0D892575"/>
    <w:rsid w:val="0DD15005"/>
    <w:rsid w:val="0DDA6113"/>
    <w:rsid w:val="0DE82A9B"/>
    <w:rsid w:val="0DF91165"/>
    <w:rsid w:val="0E0662D9"/>
    <w:rsid w:val="0E116FC1"/>
    <w:rsid w:val="0E1E1875"/>
    <w:rsid w:val="0E22282F"/>
    <w:rsid w:val="0E440B11"/>
    <w:rsid w:val="0E6123C3"/>
    <w:rsid w:val="0E63576F"/>
    <w:rsid w:val="0E647F9D"/>
    <w:rsid w:val="0E72448D"/>
    <w:rsid w:val="0E7A4F95"/>
    <w:rsid w:val="0E882F5F"/>
    <w:rsid w:val="0E8B7C5C"/>
    <w:rsid w:val="0E91B3AC"/>
    <w:rsid w:val="0EB346D0"/>
    <w:rsid w:val="0ED02F14"/>
    <w:rsid w:val="0ED60128"/>
    <w:rsid w:val="0EE01909"/>
    <w:rsid w:val="0EE02FCE"/>
    <w:rsid w:val="0EE228A3"/>
    <w:rsid w:val="0EE67F35"/>
    <w:rsid w:val="0EEA107A"/>
    <w:rsid w:val="0EEE5EB2"/>
    <w:rsid w:val="0F091DE5"/>
    <w:rsid w:val="0F1A6EEB"/>
    <w:rsid w:val="0F202319"/>
    <w:rsid w:val="0F4821D9"/>
    <w:rsid w:val="0F4B669A"/>
    <w:rsid w:val="0F583B9F"/>
    <w:rsid w:val="0F611CF7"/>
    <w:rsid w:val="0F6B1308"/>
    <w:rsid w:val="0F87109F"/>
    <w:rsid w:val="0F9352E6"/>
    <w:rsid w:val="0FA91612"/>
    <w:rsid w:val="0FB1C05F"/>
    <w:rsid w:val="0FB2348D"/>
    <w:rsid w:val="0FB436F8"/>
    <w:rsid w:val="0FB941DD"/>
    <w:rsid w:val="0FE244A6"/>
    <w:rsid w:val="0FEF000C"/>
    <w:rsid w:val="1002130E"/>
    <w:rsid w:val="103C741A"/>
    <w:rsid w:val="10505510"/>
    <w:rsid w:val="10641A02"/>
    <w:rsid w:val="106A1212"/>
    <w:rsid w:val="10A9577F"/>
    <w:rsid w:val="10AB0178"/>
    <w:rsid w:val="10AB5770"/>
    <w:rsid w:val="10AC6861"/>
    <w:rsid w:val="10B451A3"/>
    <w:rsid w:val="10B85FB1"/>
    <w:rsid w:val="10C13D4D"/>
    <w:rsid w:val="10C4576F"/>
    <w:rsid w:val="10CA1840"/>
    <w:rsid w:val="10DB0E07"/>
    <w:rsid w:val="10DF7C4F"/>
    <w:rsid w:val="10ED5049"/>
    <w:rsid w:val="11086B5C"/>
    <w:rsid w:val="111C7210"/>
    <w:rsid w:val="115327BC"/>
    <w:rsid w:val="11586D14"/>
    <w:rsid w:val="115E561D"/>
    <w:rsid w:val="117C6359"/>
    <w:rsid w:val="119011CC"/>
    <w:rsid w:val="119523FD"/>
    <w:rsid w:val="11A006BD"/>
    <w:rsid w:val="11BE590D"/>
    <w:rsid w:val="11C92E33"/>
    <w:rsid w:val="11D41D2F"/>
    <w:rsid w:val="11FC011F"/>
    <w:rsid w:val="12063920"/>
    <w:rsid w:val="124D57FF"/>
    <w:rsid w:val="124E53FA"/>
    <w:rsid w:val="124F64A1"/>
    <w:rsid w:val="12534A6C"/>
    <w:rsid w:val="126A4B86"/>
    <w:rsid w:val="126E094E"/>
    <w:rsid w:val="126F320F"/>
    <w:rsid w:val="12771554"/>
    <w:rsid w:val="12A33C8C"/>
    <w:rsid w:val="12B91095"/>
    <w:rsid w:val="12BA2282"/>
    <w:rsid w:val="12C549DA"/>
    <w:rsid w:val="12D61D40"/>
    <w:rsid w:val="12D76EEE"/>
    <w:rsid w:val="12E0282A"/>
    <w:rsid w:val="12F16025"/>
    <w:rsid w:val="12F80B84"/>
    <w:rsid w:val="12FD6864"/>
    <w:rsid w:val="13050EFD"/>
    <w:rsid w:val="1327349E"/>
    <w:rsid w:val="13315BA7"/>
    <w:rsid w:val="133A1148"/>
    <w:rsid w:val="134C5ADD"/>
    <w:rsid w:val="134E0A43"/>
    <w:rsid w:val="137365ED"/>
    <w:rsid w:val="138B5A8D"/>
    <w:rsid w:val="138F3713"/>
    <w:rsid w:val="139A2BA0"/>
    <w:rsid w:val="13E95CBB"/>
    <w:rsid w:val="13F31684"/>
    <w:rsid w:val="13FD4EBE"/>
    <w:rsid w:val="14061E89"/>
    <w:rsid w:val="14435418"/>
    <w:rsid w:val="1449051D"/>
    <w:rsid w:val="144A0D71"/>
    <w:rsid w:val="144B2329"/>
    <w:rsid w:val="145C6C53"/>
    <w:rsid w:val="14616023"/>
    <w:rsid w:val="14694849"/>
    <w:rsid w:val="14845562"/>
    <w:rsid w:val="14855814"/>
    <w:rsid w:val="14907C28"/>
    <w:rsid w:val="14927E71"/>
    <w:rsid w:val="14972381"/>
    <w:rsid w:val="14AB4693"/>
    <w:rsid w:val="14B33131"/>
    <w:rsid w:val="14BB014F"/>
    <w:rsid w:val="14C52A4A"/>
    <w:rsid w:val="14CF3310"/>
    <w:rsid w:val="14DB05D0"/>
    <w:rsid w:val="14DF1495"/>
    <w:rsid w:val="14E82BDD"/>
    <w:rsid w:val="14E91A93"/>
    <w:rsid w:val="14ED2B94"/>
    <w:rsid w:val="14FA03E6"/>
    <w:rsid w:val="14FE3BA1"/>
    <w:rsid w:val="1506492D"/>
    <w:rsid w:val="1506568C"/>
    <w:rsid w:val="150B638B"/>
    <w:rsid w:val="150BA6ED"/>
    <w:rsid w:val="150C1EB8"/>
    <w:rsid w:val="150C7E84"/>
    <w:rsid w:val="1511012C"/>
    <w:rsid w:val="15165BC8"/>
    <w:rsid w:val="15175270"/>
    <w:rsid w:val="15243624"/>
    <w:rsid w:val="15383871"/>
    <w:rsid w:val="15542020"/>
    <w:rsid w:val="1556065A"/>
    <w:rsid w:val="156A53A0"/>
    <w:rsid w:val="15701248"/>
    <w:rsid w:val="157A56C9"/>
    <w:rsid w:val="158217F1"/>
    <w:rsid w:val="159F45F6"/>
    <w:rsid w:val="15A5506D"/>
    <w:rsid w:val="15AC7E84"/>
    <w:rsid w:val="15CE3B81"/>
    <w:rsid w:val="15D849FF"/>
    <w:rsid w:val="15FED2E0"/>
    <w:rsid w:val="1609204E"/>
    <w:rsid w:val="161A0483"/>
    <w:rsid w:val="161B1FE5"/>
    <w:rsid w:val="161B404A"/>
    <w:rsid w:val="162665CA"/>
    <w:rsid w:val="16377978"/>
    <w:rsid w:val="16435524"/>
    <w:rsid w:val="164E7445"/>
    <w:rsid w:val="165C03E3"/>
    <w:rsid w:val="16627DFE"/>
    <w:rsid w:val="1671146D"/>
    <w:rsid w:val="16794A2F"/>
    <w:rsid w:val="16A71DAD"/>
    <w:rsid w:val="16AE4900"/>
    <w:rsid w:val="16CF633B"/>
    <w:rsid w:val="16D019CC"/>
    <w:rsid w:val="16D8D611"/>
    <w:rsid w:val="16E502C5"/>
    <w:rsid w:val="170468BE"/>
    <w:rsid w:val="170815C3"/>
    <w:rsid w:val="170944B2"/>
    <w:rsid w:val="170AB26E"/>
    <w:rsid w:val="170F4F7C"/>
    <w:rsid w:val="1723AD29"/>
    <w:rsid w:val="172938FF"/>
    <w:rsid w:val="173328A2"/>
    <w:rsid w:val="173A1561"/>
    <w:rsid w:val="174A4171"/>
    <w:rsid w:val="175F19DD"/>
    <w:rsid w:val="17645F96"/>
    <w:rsid w:val="17887D6C"/>
    <w:rsid w:val="17922CE8"/>
    <w:rsid w:val="17931DB3"/>
    <w:rsid w:val="179B43BA"/>
    <w:rsid w:val="17A2297F"/>
    <w:rsid w:val="17A50911"/>
    <w:rsid w:val="17AA7EB8"/>
    <w:rsid w:val="17B2164C"/>
    <w:rsid w:val="17D658BD"/>
    <w:rsid w:val="17DB5DBD"/>
    <w:rsid w:val="17EE1F50"/>
    <w:rsid w:val="17FB5F90"/>
    <w:rsid w:val="1811244B"/>
    <w:rsid w:val="1815B365"/>
    <w:rsid w:val="181A12FF"/>
    <w:rsid w:val="18242DE7"/>
    <w:rsid w:val="18250294"/>
    <w:rsid w:val="18253800"/>
    <w:rsid w:val="18335F1D"/>
    <w:rsid w:val="183A1D2B"/>
    <w:rsid w:val="186520BE"/>
    <w:rsid w:val="18757060"/>
    <w:rsid w:val="188E0589"/>
    <w:rsid w:val="18A37048"/>
    <w:rsid w:val="18AC646C"/>
    <w:rsid w:val="18D31763"/>
    <w:rsid w:val="18D42B21"/>
    <w:rsid w:val="18E15BC5"/>
    <w:rsid w:val="18E62CAD"/>
    <w:rsid w:val="18EE62E8"/>
    <w:rsid w:val="18FC0A05"/>
    <w:rsid w:val="190744C9"/>
    <w:rsid w:val="19082A51"/>
    <w:rsid w:val="190C25BA"/>
    <w:rsid w:val="192964D8"/>
    <w:rsid w:val="192D0BBE"/>
    <w:rsid w:val="192F367F"/>
    <w:rsid w:val="1966063C"/>
    <w:rsid w:val="19665B1E"/>
    <w:rsid w:val="19852BBC"/>
    <w:rsid w:val="199A166E"/>
    <w:rsid w:val="19A15A80"/>
    <w:rsid w:val="19A56207"/>
    <w:rsid w:val="19FE3D94"/>
    <w:rsid w:val="1A002745"/>
    <w:rsid w:val="1A0E61A6"/>
    <w:rsid w:val="1A1571EC"/>
    <w:rsid w:val="1A281749"/>
    <w:rsid w:val="1A301FC8"/>
    <w:rsid w:val="1A35E86F"/>
    <w:rsid w:val="1A365B17"/>
    <w:rsid w:val="1A3A32CE"/>
    <w:rsid w:val="1A5D59EC"/>
    <w:rsid w:val="1A6C2877"/>
    <w:rsid w:val="1A716B96"/>
    <w:rsid w:val="1A814D60"/>
    <w:rsid w:val="1A8A716A"/>
    <w:rsid w:val="1A995208"/>
    <w:rsid w:val="1ACD049E"/>
    <w:rsid w:val="1ADF5A08"/>
    <w:rsid w:val="1AE300CE"/>
    <w:rsid w:val="1AE46DA9"/>
    <w:rsid w:val="1AE479A2"/>
    <w:rsid w:val="1AE63440"/>
    <w:rsid w:val="1AEA568F"/>
    <w:rsid w:val="1AF23E6D"/>
    <w:rsid w:val="1B0335EA"/>
    <w:rsid w:val="1B0436C6"/>
    <w:rsid w:val="1B060993"/>
    <w:rsid w:val="1B2C00DF"/>
    <w:rsid w:val="1B2C0866"/>
    <w:rsid w:val="1B4641B9"/>
    <w:rsid w:val="1B5B6DBA"/>
    <w:rsid w:val="1BA37AB2"/>
    <w:rsid w:val="1BC06D73"/>
    <w:rsid w:val="1BE43985"/>
    <w:rsid w:val="1BFF2D22"/>
    <w:rsid w:val="1C0E187E"/>
    <w:rsid w:val="1C1466B5"/>
    <w:rsid w:val="1C1B218C"/>
    <w:rsid w:val="1C237656"/>
    <w:rsid w:val="1C2576E5"/>
    <w:rsid w:val="1C2947A8"/>
    <w:rsid w:val="1C5474E6"/>
    <w:rsid w:val="1C616BBB"/>
    <w:rsid w:val="1C620F7E"/>
    <w:rsid w:val="1C6977EE"/>
    <w:rsid w:val="1C750501"/>
    <w:rsid w:val="1C8962E1"/>
    <w:rsid w:val="1C8D7751"/>
    <w:rsid w:val="1CB11B06"/>
    <w:rsid w:val="1CB615F4"/>
    <w:rsid w:val="1CBB5AF5"/>
    <w:rsid w:val="1CBC1AA4"/>
    <w:rsid w:val="1CE60F71"/>
    <w:rsid w:val="1D021D30"/>
    <w:rsid w:val="1D116D0E"/>
    <w:rsid w:val="1D33265B"/>
    <w:rsid w:val="1D3474C4"/>
    <w:rsid w:val="1D4A70A8"/>
    <w:rsid w:val="1D4C09C4"/>
    <w:rsid w:val="1D4C266F"/>
    <w:rsid w:val="1D520B6A"/>
    <w:rsid w:val="1D6729B3"/>
    <w:rsid w:val="1D6D0123"/>
    <w:rsid w:val="1D7079A4"/>
    <w:rsid w:val="1DC87107"/>
    <w:rsid w:val="1DE034C7"/>
    <w:rsid w:val="1E0274D8"/>
    <w:rsid w:val="1E041B9F"/>
    <w:rsid w:val="1E0B72E8"/>
    <w:rsid w:val="1E2A7765"/>
    <w:rsid w:val="1E312F40"/>
    <w:rsid w:val="1E3173A3"/>
    <w:rsid w:val="1E4C5491"/>
    <w:rsid w:val="1E551D10"/>
    <w:rsid w:val="1E585B93"/>
    <w:rsid w:val="1E5AD940"/>
    <w:rsid w:val="1E7A2E3A"/>
    <w:rsid w:val="1E8F186F"/>
    <w:rsid w:val="1E99A1D7"/>
    <w:rsid w:val="1EA65D35"/>
    <w:rsid w:val="1EBB23B0"/>
    <w:rsid w:val="1EBD5A69"/>
    <w:rsid w:val="1EC943B8"/>
    <w:rsid w:val="1ED28671"/>
    <w:rsid w:val="1EFB31FF"/>
    <w:rsid w:val="1F0E2725"/>
    <w:rsid w:val="1F1B4165"/>
    <w:rsid w:val="1F214E3E"/>
    <w:rsid w:val="1F4623D2"/>
    <w:rsid w:val="1F550844"/>
    <w:rsid w:val="1F6E1822"/>
    <w:rsid w:val="1F8009E4"/>
    <w:rsid w:val="1F8249C1"/>
    <w:rsid w:val="1F8E5491"/>
    <w:rsid w:val="1FAC0ED9"/>
    <w:rsid w:val="1FC1C6D5"/>
    <w:rsid w:val="1FD8CB74"/>
    <w:rsid w:val="1FE3480E"/>
    <w:rsid w:val="200808D2"/>
    <w:rsid w:val="203E1903"/>
    <w:rsid w:val="204743EB"/>
    <w:rsid w:val="204C6B07"/>
    <w:rsid w:val="20564E9E"/>
    <w:rsid w:val="208B0D98"/>
    <w:rsid w:val="20A46C7B"/>
    <w:rsid w:val="20B45646"/>
    <w:rsid w:val="20B756A8"/>
    <w:rsid w:val="20BC43D2"/>
    <w:rsid w:val="20C1DF52"/>
    <w:rsid w:val="20C335FC"/>
    <w:rsid w:val="20D90C8E"/>
    <w:rsid w:val="20E66C73"/>
    <w:rsid w:val="20EA16D6"/>
    <w:rsid w:val="2105BC6D"/>
    <w:rsid w:val="211E789C"/>
    <w:rsid w:val="21395522"/>
    <w:rsid w:val="213F1A88"/>
    <w:rsid w:val="21431B83"/>
    <w:rsid w:val="21442587"/>
    <w:rsid w:val="21472397"/>
    <w:rsid w:val="215B20D1"/>
    <w:rsid w:val="21673B97"/>
    <w:rsid w:val="217742E0"/>
    <w:rsid w:val="21796D01"/>
    <w:rsid w:val="21803C49"/>
    <w:rsid w:val="218368F4"/>
    <w:rsid w:val="21850995"/>
    <w:rsid w:val="21852AE4"/>
    <w:rsid w:val="219914E7"/>
    <w:rsid w:val="21CD10DD"/>
    <w:rsid w:val="21D74148"/>
    <w:rsid w:val="21D91475"/>
    <w:rsid w:val="21DE424F"/>
    <w:rsid w:val="21EE282F"/>
    <w:rsid w:val="21F40844"/>
    <w:rsid w:val="22007D31"/>
    <w:rsid w:val="22056B7C"/>
    <w:rsid w:val="220C4BAB"/>
    <w:rsid w:val="222114F3"/>
    <w:rsid w:val="222F763D"/>
    <w:rsid w:val="226A6BEA"/>
    <w:rsid w:val="226F64BB"/>
    <w:rsid w:val="22807A97"/>
    <w:rsid w:val="229029AA"/>
    <w:rsid w:val="22B02748"/>
    <w:rsid w:val="22CC58EC"/>
    <w:rsid w:val="22E21E1E"/>
    <w:rsid w:val="22E426CE"/>
    <w:rsid w:val="22EF3824"/>
    <w:rsid w:val="22F8775B"/>
    <w:rsid w:val="23030129"/>
    <w:rsid w:val="23057C2B"/>
    <w:rsid w:val="231F6037"/>
    <w:rsid w:val="234F0ECF"/>
    <w:rsid w:val="239006C7"/>
    <w:rsid w:val="2390ED8C"/>
    <w:rsid w:val="23915F20"/>
    <w:rsid w:val="23AC7BD9"/>
    <w:rsid w:val="23CC3C7A"/>
    <w:rsid w:val="23DB38E3"/>
    <w:rsid w:val="23DE5935"/>
    <w:rsid w:val="23E826E3"/>
    <w:rsid w:val="23E913EA"/>
    <w:rsid w:val="23F84093"/>
    <w:rsid w:val="240078E2"/>
    <w:rsid w:val="24208372"/>
    <w:rsid w:val="24403E39"/>
    <w:rsid w:val="24415794"/>
    <w:rsid w:val="24433F1C"/>
    <w:rsid w:val="244F4C86"/>
    <w:rsid w:val="245B62C2"/>
    <w:rsid w:val="246C6614"/>
    <w:rsid w:val="24702FD2"/>
    <w:rsid w:val="24707D7F"/>
    <w:rsid w:val="24850A9B"/>
    <w:rsid w:val="24A00DBA"/>
    <w:rsid w:val="24BB5EBC"/>
    <w:rsid w:val="24C55AA4"/>
    <w:rsid w:val="24C71EA8"/>
    <w:rsid w:val="24C9474B"/>
    <w:rsid w:val="24DE4BCE"/>
    <w:rsid w:val="24E1A86E"/>
    <w:rsid w:val="24F26C94"/>
    <w:rsid w:val="250042F7"/>
    <w:rsid w:val="25046F54"/>
    <w:rsid w:val="25184E18"/>
    <w:rsid w:val="25292B82"/>
    <w:rsid w:val="252C08C4"/>
    <w:rsid w:val="253373C6"/>
    <w:rsid w:val="25461726"/>
    <w:rsid w:val="255B4D05"/>
    <w:rsid w:val="25754019"/>
    <w:rsid w:val="25823163"/>
    <w:rsid w:val="258E59D0"/>
    <w:rsid w:val="25916979"/>
    <w:rsid w:val="25AC5C74"/>
    <w:rsid w:val="25B07943"/>
    <w:rsid w:val="25B961F1"/>
    <w:rsid w:val="25BB5011"/>
    <w:rsid w:val="25BC18EC"/>
    <w:rsid w:val="25D03B2C"/>
    <w:rsid w:val="25E06888"/>
    <w:rsid w:val="25EC2E24"/>
    <w:rsid w:val="25F46845"/>
    <w:rsid w:val="25F9090A"/>
    <w:rsid w:val="25F9581A"/>
    <w:rsid w:val="260B00CA"/>
    <w:rsid w:val="26143832"/>
    <w:rsid w:val="262A02CB"/>
    <w:rsid w:val="26372545"/>
    <w:rsid w:val="263C6C62"/>
    <w:rsid w:val="264952C6"/>
    <w:rsid w:val="265811B8"/>
    <w:rsid w:val="266B63A5"/>
    <w:rsid w:val="2678146B"/>
    <w:rsid w:val="2680B3A4"/>
    <w:rsid w:val="268A129D"/>
    <w:rsid w:val="26AF2B39"/>
    <w:rsid w:val="26BD21A7"/>
    <w:rsid w:val="26C70F12"/>
    <w:rsid w:val="26D07BD3"/>
    <w:rsid w:val="26D93AF9"/>
    <w:rsid w:val="26E02C80"/>
    <w:rsid w:val="26E11A97"/>
    <w:rsid w:val="26E7647D"/>
    <w:rsid w:val="26F85C3C"/>
    <w:rsid w:val="27061066"/>
    <w:rsid w:val="272A4522"/>
    <w:rsid w:val="272B051A"/>
    <w:rsid w:val="272D624F"/>
    <w:rsid w:val="276C748B"/>
    <w:rsid w:val="277B0E76"/>
    <w:rsid w:val="278F2385"/>
    <w:rsid w:val="27B846EC"/>
    <w:rsid w:val="27C88A15"/>
    <w:rsid w:val="27D26ED4"/>
    <w:rsid w:val="27E809C4"/>
    <w:rsid w:val="27E90132"/>
    <w:rsid w:val="27E9770D"/>
    <w:rsid w:val="27FA2A03"/>
    <w:rsid w:val="27FC7E50"/>
    <w:rsid w:val="28094EEC"/>
    <w:rsid w:val="280C5EDE"/>
    <w:rsid w:val="28245882"/>
    <w:rsid w:val="28314191"/>
    <w:rsid w:val="28380CC8"/>
    <w:rsid w:val="28581F53"/>
    <w:rsid w:val="285D303B"/>
    <w:rsid w:val="285D4849"/>
    <w:rsid w:val="286805E2"/>
    <w:rsid w:val="286B2DCA"/>
    <w:rsid w:val="287A103B"/>
    <w:rsid w:val="287E7867"/>
    <w:rsid w:val="287F6F5C"/>
    <w:rsid w:val="289C18BC"/>
    <w:rsid w:val="28A32BC0"/>
    <w:rsid w:val="28AA3FD9"/>
    <w:rsid w:val="28B51B6C"/>
    <w:rsid w:val="28C74C7F"/>
    <w:rsid w:val="28E747DA"/>
    <w:rsid w:val="28E82760"/>
    <w:rsid w:val="28EB4775"/>
    <w:rsid w:val="28F05942"/>
    <w:rsid w:val="28FB3187"/>
    <w:rsid w:val="29053084"/>
    <w:rsid w:val="292D5F9D"/>
    <w:rsid w:val="292F44DF"/>
    <w:rsid w:val="29351724"/>
    <w:rsid w:val="29471828"/>
    <w:rsid w:val="29477F0D"/>
    <w:rsid w:val="29670061"/>
    <w:rsid w:val="29736AD1"/>
    <w:rsid w:val="298A7967"/>
    <w:rsid w:val="299474BD"/>
    <w:rsid w:val="29955C15"/>
    <w:rsid w:val="29BF2426"/>
    <w:rsid w:val="29D2181C"/>
    <w:rsid w:val="29D65FFE"/>
    <w:rsid w:val="29E000B3"/>
    <w:rsid w:val="29E52D49"/>
    <w:rsid w:val="29F378B4"/>
    <w:rsid w:val="29F5459D"/>
    <w:rsid w:val="2A202546"/>
    <w:rsid w:val="2A451F97"/>
    <w:rsid w:val="2A46716A"/>
    <w:rsid w:val="2A4C3C4A"/>
    <w:rsid w:val="2A6A092B"/>
    <w:rsid w:val="2AC53A02"/>
    <w:rsid w:val="2ADE52CB"/>
    <w:rsid w:val="2AE3324F"/>
    <w:rsid w:val="2AED33DF"/>
    <w:rsid w:val="2AF00D0F"/>
    <w:rsid w:val="2AF95FFE"/>
    <w:rsid w:val="2AFE6969"/>
    <w:rsid w:val="2B2382DF"/>
    <w:rsid w:val="2B27677C"/>
    <w:rsid w:val="2B334F2D"/>
    <w:rsid w:val="2B455BA7"/>
    <w:rsid w:val="2B545A78"/>
    <w:rsid w:val="2B581C2C"/>
    <w:rsid w:val="2B7408CF"/>
    <w:rsid w:val="2B753FF7"/>
    <w:rsid w:val="2B881690"/>
    <w:rsid w:val="2B8976F1"/>
    <w:rsid w:val="2B8C3E6A"/>
    <w:rsid w:val="2BAB74EF"/>
    <w:rsid w:val="2BB512A2"/>
    <w:rsid w:val="2BB84222"/>
    <w:rsid w:val="2BBB0F69"/>
    <w:rsid w:val="2BC41856"/>
    <w:rsid w:val="2BC8623A"/>
    <w:rsid w:val="2BCA5EF0"/>
    <w:rsid w:val="2BD96984"/>
    <w:rsid w:val="2BDD5185"/>
    <w:rsid w:val="2BF106A5"/>
    <w:rsid w:val="2BFA7D3F"/>
    <w:rsid w:val="2BFF288E"/>
    <w:rsid w:val="2C04447A"/>
    <w:rsid w:val="2C1A0A74"/>
    <w:rsid w:val="2C34AD29"/>
    <w:rsid w:val="2C5D25AF"/>
    <w:rsid w:val="2C8916B8"/>
    <w:rsid w:val="2CA22EE3"/>
    <w:rsid w:val="2CBF5B79"/>
    <w:rsid w:val="2CD92CB7"/>
    <w:rsid w:val="2CDC52FA"/>
    <w:rsid w:val="2CDE573B"/>
    <w:rsid w:val="2CE34C8D"/>
    <w:rsid w:val="2CF07E2E"/>
    <w:rsid w:val="2CF463FB"/>
    <w:rsid w:val="2CFD320A"/>
    <w:rsid w:val="2D1A7254"/>
    <w:rsid w:val="2D1B5761"/>
    <w:rsid w:val="2D364E06"/>
    <w:rsid w:val="2D3F35E1"/>
    <w:rsid w:val="2D450D7A"/>
    <w:rsid w:val="2D7673F7"/>
    <w:rsid w:val="2D803858"/>
    <w:rsid w:val="2D830477"/>
    <w:rsid w:val="2D870D8D"/>
    <w:rsid w:val="2D9F7AB6"/>
    <w:rsid w:val="2DB007F4"/>
    <w:rsid w:val="2DB468C3"/>
    <w:rsid w:val="2DBC96D6"/>
    <w:rsid w:val="2DBDB5CC"/>
    <w:rsid w:val="2DC0604D"/>
    <w:rsid w:val="2DCD73CE"/>
    <w:rsid w:val="2DCE3A57"/>
    <w:rsid w:val="2DD508AB"/>
    <w:rsid w:val="2E183D98"/>
    <w:rsid w:val="2E491586"/>
    <w:rsid w:val="2E4A3E2B"/>
    <w:rsid w:val="2E703312"/>
    <w:rsid w:val="2E79FDF7"/>
    <w:rsid w:val="2E82D7B6"/>
    <w:rsid w:val="2E8D4470"/>
    <w:rsid w:val="2E900AE0"/>
    <w:rsid w:val="2E9E364D"/>
    <w:rsid w:val="2EB53DDC"/>
    <w:rsid w:val="2ECA1845"/>
    <w:rsid w:val="2EEF2C7F"/>
    <w:rsid w:val="2EF6D334"/>
    <w:rsid w:val="2EF71F61"/>
    <w:rsid w:val="2EFC51FA"/>
    <w:rsid w:val="2F0368FC"/>
    <w:rsid w:val="2F087CAC"/>
    <w:rsid w:val="2F133170"/>
    <w:rsid w:val="2F1B028B"/>
    <w:rsid w:val="2F292630"/>
    <w:rsid w:val="2F2A0DC5"/>
    <w:rsid w:val="2F2C34B9"/>
    <w:rsid w:val="2F365C8B"/>
    <w:rsid w:val="2F436A59"/>
    <w:rsid w:val="2F587D36"/>
    <w:rsid w:val="2F5D7FDC"/>
    <w:rsid w:val="2F652887"/>
    <w:rsid w:val="2F6754CE"/>
    <w:rsid w:val="2F6F3228"/>
    <w:rsid w:val="2F7E138E"/>
    <w:rsid w:val="2F9E174C"/>
    <w:rsid w:val="2FA45FA7"/>
    <w:rsid w:val="2FB730E6"/>
    <w:rsid w:val="2FB8018F"/>
    <w:rsid w:val="2FD143BF"/>
    <w:rsid w:val="2FDF5713"/>
    <w:rsid w:val="2FE076FA"/>
    <w:rsid w:val="2FE37463"/>
    <w:rsid w:val="2FEF6512"/>
    <w:rsid w:val="2FF129D1"/>
    <w:rsid w:val="2FF41FDE"/>
    <w:rsid w:val="3010073C"/>
    <w:rsid w:val="30215ADF"/>
    <w:rsid w:val="302F0CCF"/>
    <w:rsid w:val="304A602C"/>
    <w:rsid w:val="30503420"/>
    <w:rsid w:val="3068C4FD"/>
    <w:rsid w:val="307E8B76"/>
    <w:rsid w:val="307F5E40"/>
    <w:rsid w:val="30814C1D"/>
    <w:rsid w:val="308275EA"/>
    <w:rsid w:val="308934AE"/>
    <w:rsid w:val="308B3DC1"/>
    <w:rsid w:val="3092D6FB"/>
    <w:rsid w:val="30A74D42"/>
    <w:rsid w:val="30B05046"/>
    <w:rsid w:val="30B27FAA"/>
    <w:rsid w:val="30B31670"/>
    <w:rsid w:val="30B85F86"/>
    <w:rsid w:val="30BB3C3D"/>
    <w:rsid w:val="30D64AE4"/>
    <w:rsid w:val="30D928DF"/>
    <w:rsid w:val="30D93BDA"/>
    <w:rsid w:val="30DF5D2E"/>
    <w:rsid w:val="30E9631C"/>
    <w:rsid w:val="30FC6620"/>
    <w:rsid w:val="30FD5995"/>
    <w:rsid w:val="310D015B"/>
    <w:rsid w:val="311FC1BB"/>
    <w:rsid w:val="312132A7"/>
    <w:rsid w:val="313776BC"/>
    <w:rsid w:val="313D57BE"/>
    <w:rsid w:val="31434C18"/>
    <w:rsid w:val="31592805"/>
    <w:rsid w:val="31A619F8"/>
    <w:rsid w:val="31D9148B"/>
    <w:rsid w:val="31F2219C"/>
    <w:rsid w:val="320712C3"/>
    <w:rsid w:val="320D2892"/>
    <w:rsid w:val="3210672D"/>
    <w:rsid w:val="32152283"/>
    <w:rsid w:val="321A66B6"/>
    <w:rsid w:val="321EE5B1"/>
    <w:rsid w:val="32344CFC"/>
    <w:rsid w:val="323A0F23"/>
    <w:rsid w:val="32472899"/>
    <w:rsid w:val="326066AE"/>
    <w:rsid w:val="328D5F5E"/>
    <w:rsid w:val="328F234D"/>
    <w:rsid w:val="329632E1"/>
    <w:rsid w:val="32C2211D"/>
    <w:rsid w:val="32C421AB"/>
    <w:rsid w:val="32CC64CA"/>
    <w:rsid w:val="32CE0A78"/>
    <w:rsid w:val="32F21962"/>
    <w:rsid w:val="33064848"/>
    <w:rsid w:val="333E2FB8"/>
    <w:rsid w:val="336F5671"/>
    <w:rsid w:val="33701D6B"/>
    <w:rsid w:val="33704B70"/>
    <w:rsid w:val="3384FE5C"/>
    <w:rsid w:val="33C111C5"/>
    <w:rsid w:val="33DD6947"/>
    <w:rsid w:val="33DD710A"/>
    <w:rsid w:val="33EB27EC"/>
    <w:rsid w:val="33F82D2E"/>
    <w:rsid w:val="340A2BBB"/>
    <w:rsid w:val="341C4D21"/>
    <w:rsid w:val="3429465F"/>
    <w:rsid w:val="3432031C"/>
    <w:rsid w:val="343706EB"/>
    <w:rsid w:val="3465D67D"/>
    <w:rsid w:val="34A55F9D"/>
    <w:rsid w:val="34AE47F0"/>
    <w:rsid w:val="34C56693"/>
    <w:rsid w:val="34C66064"/>
    <w:rsid w:val="34D07B27"/>
    <w:rsid w:val="34EA00F5"/>
    <w:rsid w:val="352B6235"/>
    <w:rsid w:val="35354012"/>
    <w:rsid w:val="3537256A"/>
    <w:rsid w:val="3572123D"/>
    <w:rsid w:val="35753BC1"/>
    <w:rsid w:val="358920EA"/>
    <w:rsid w:val="358A69E5"/>
    <w:rsid w:val="358F4C83"/>
    <w:rsid w:val="35904625"/>
    <w:rsid w:val="35995392"/>
    <w:rsid w:val="35B50461"/>
    <w:rsid w:val="35DF5F34"/>
    <w:rsid w:val="35E37C0B"/>
    <w:rsid w:val="35FC3EF1"/>
    <w:rsid w:val="3603463A"/>
    <w:rsid w:val="360D2313"/>
    <w:rsid w:val="360D7B43"/>
    <w:rsid w:val="36150C99"/>
    <w:rsid w:val="361D7021"/>
    <w:rsid w:val="3642278C"/>
    <w:rsid w:val="36475AF5"/>
    <w:rsid w:val="365D1321"/>
    <w:rsid w:val="365F7894"/>
    <w:rsid w:val="36600B6B"/>
    <w:rsid w:val="366233BC"/>
    <w:rsid w:val="36737072"/>
    <w:rsid w:val="36945CA9"/>
    <w:rsid w:val="36976311"/>
    <w:rsid w:val="36A5516C"/>
    <w:rsid w:val="36B50719"/>
    <w:rsid w:val="36B66E18"/>
    <w:rsid w:val="36B73A42"/>
    <w:rsid w:val="36C13925"/>
    <w:rsid w:val="36CA6F9D"/>
    <w:rsid w:val="36CC5FBD"/>
    <w:rsid w:val="36EF0B81"/>
    <w:rsid w:val="36F36A10"/>
    <w:rsid w:val="36FE751B"/>
    <w:rsid w:val="37054A87"/>
    <w:rsid w:val="37117919"/>
    <w:rsid w:val="3726435C"/>
    <w:rsid w:val="37390C2F"/>
    <w:rsid w:val="374B2AE9"/>
    <w:rsid w:val="376174C4"/>
    <w:rsid w:val="37790A74"/>
    <w:rsid w:val="378B4670"/>
    <w:rsid w:val="37951417"/>
    <w:rsid w:val="37A2192B"/>
    <w:rsid w:val="37B93098"/>
    <w:rsid w:val="37BA4433"/>
    <w:rsid w:val="37C06C76"/>
    <w:rsid w:val="3808188D"/>
    <w:rsid w:val="380B6117"/>
    <w:rsid w:val="380E6632"/>
    <w:rsid w:val="383A5930"/>
    <w:rsid w:val="38480226"/>
    <w:rsid w:val="38501CD4"/>
    <w:rsid w:val="3882524A"/>
    <w:rsid w:val="388C62D1"/>
    <w:rsid w:val="389A7E27"/>
    <w:rsid w:val="389F0E0F"/>
    <w:rsid w:val="38A02E47"/>
    <w:rsid w:val="38BAFC33"/>
    <w:rsid w:val="38BE5ACE"/>
    <w:rsid w:val="38BE654E"/>
    <w:rsid w:val="38C42E95"/>
    <w:rsid w:val="38C727F1"/>
    <w:rsid w:val="38C809AB"/>
    <w:rsid w:val="38F703C3"/>
    <w:rsid w:val="390362C3"/>
    <w:rsid w:val="390D0209"/>
    <w:rsid w:val="39273424"/>
    <w:rsid w:val="3935233A"/>
    <w:rsid w:val="393D508F"/>
    <w:rsid w:val="3940664A"/>
    <w:rsid w:val="39615D49"/>
    <w:rsid w:val="396F1FE4"/>
    <w:rsid w:val="397434F9"/>
    <w:rsid w:val="39756260"/>
    <w:rsid w:val="39A20D1C"/>
    <w:rsid w:val="39BED868"/>
    <w:rsid w:val="39C4CD46"/>
    <w:rsid w:val="39CE7F43"/>
    <w:rsid w:val="39D419A0"/>
    <w:rsid w:val="39F23498"/>
    <w:rsid w:val="39F44054"/>
    <w:rsid w:val="3A036670"/>
    <w:rsid w:val="3A1258C5"/>
    <w:rsid w:val="3A4D72FB"/>
    <w:rsid w:val="3A4E5FAD"/>
    <w:rsid w:val="3A510C44"/>
    <w:rsid w:val="3A6A61A7"/>
    <w:rsid w:val="3A6D02B3"/>
    <w:rsid w:val="3AA322A6"/>
    <w:rsid w:val="3AAF721F"/>
    <w:rsid w:val="3AB24F6F"/>
    <w:rsid w:val="3AB46F3A"/>
    <w:rsid w:val="3AB87A33"/>
    <w:rsid w:val="3ADD2F34"/>
    <w:rsid w:val="3AED23D4"/>
    <w:rsid w:val="3AF17180"/>
    <w:rsid w:val="3AFA03C5"/>
    <w:rsid w:val="3B013F0D"/>
    <w:rsid w:val="3B1E43B3"/>
    <w:rsid w:val="3B2151B4"/>
    <w:rsid w:val="3B245E6D"/>
    <w:rsid w:val="3B3167A5"/>
    <w:rsid w:val="3B3B6D15"/>
    <w:rsid w:val="3B48344E"/>
    <w:rsid w:val="3B494436"/>
    <w:rsid w:val="3B4C0562"/>
    <w:rsid w:val="3B4E2EEA"/>
    <w:rsid w:val="3B567F5D"/>
    <w:rsid w:val="3B7566C9"/>
    <w:rsid w:val="3B833A43"/>
    <w:rsid w:val="3B85690B"/>
    <w:rsid w:val="3B86168A"/>
    <w:rsid w:val="3B954675"/>
    <w:rsid w:val="3B9A61D2"/>
    <w:rsid w:val="3BA205FC"/>
    <w:rsid w:val="3BC62A80"/>
    <w:rsid w:val="3BE8159F"/>
    <w:rsid w:val="3BE98895"/>
    <w:rsid w:val="3BEA330B"/>
    <w:rsid w:val="3C091204"/>
    <w:rsid w:val="3C09F0F0"/>
    <w:rsid w:val="3C352CBA"/>
    <w:rsid w:val="3C3C17A7"/>
    <w:rsid w:val="3C421B06"/>
    <w:rsid w:val="3C4B9506"/>
    <w:rsid w:val="3C594AF0"/>
    <w:rsid w:val="3C6B77C7"/>
    <w:rsid w:val="3CB56A49"/>
    <w:rsid w:val="3CB85F01"/>
    <w:rsid w:val="3CC7280E"/>
    <w:rsid w:val="3CCC41CB"/>
    <w:rsid w:val="3CCD2B03"/>
    <w:rsid w:val="3CE356FC"/>
    <w:rsid w:val="3CF77C2D"/>
    <w:rsid w:val="3D306466"/>
    <w:rsid w:val="3D3B52C4"/>
    <w:rsid w:val="3D677191"/>
    <w:rsid w:val="3D6F0E12"/>
    <w:rsid w:val="3D8557BD"/>
    <w:rsid w:val="3D995463"/>
    <w:rsid w:val="3DB15F3F"/>
    <w:rsid w:val="3DC310A1"/>
    <w:rsid w:val="3DDF2EBC"/>
    <w:rsid w:val="3DFD3BF5"/>
    <w:rsid w:val="3E0F4769"/>
    <w:rsid w:val="3E2148E6"/>
    <w:rsid w:val="3E2406E2"/>
    <w:rsid w:val="3E2A0069"/>
    <w:rsid w:val="3E31538C"/>
    <w:rsid w:val="3E3829E0"/>
    <w:rsid w:val="3E3C56DD"/>
    <w:rsid w:val="3E416D36"/>
    <w:rsid w:val="3E424E26"/>
    <w:rsid w:val="3E4649FE"/>
    <w:rsid w:val="3E466716"/>
    <w:rsid w:val="3E5B4BFB"/>
    <w:rsid w:val="3E6279AA"/>
    <w:rsid w:val="3E7277C4"/>
    <w:rsid w:val="3E7845A9"/>
    <w:rsid w:val="3EA0426E"/>
    <w:rsid w:val="3EA66A5A"/>
    <w:rsid w:val="3EA6AFF0"/>
    <w:rsid w:val="3EC61B14"/>
    <w:rsid w:val="3ECA49EF"/>
    <w:rsid w:val="3ED170AB"/>
    <w:rsid w:val="3ED554CE"/>
    <w:rsid w:val="3EDB3D37"/>
    <w:rsid w:val="3EF42F3F"/>
    <w:rsid w:val="3EF43DA9"/>
    <w:rsid w:val="3EF74684"/>
    <w:rsid w:val="3EF9704E"/>
    <w:rsid w:val="3F161BEC"/>
    <w:rsid w:val="3F271D07"/>
    <w:rsid w:val="3F326A4B"/>
    <w:rsid w:val="3F544847"/>
    <w:rsid w:val="3F717A24"/>
    <w:rsid w:val="3F7B3080"/>
    <w:rsid w:val="3F7F5122"/>
    <w:rsid w:val="3F8B11D6"/>
    <w:rsid w:val="3F900667"/>
    <w:rsid w:val="3F9D1F97"/>
    <w:rsid w:val="3F9F7FD2"/>
    <w:rsid w:val="3FA3480D"/>
    <w:rsid w:val="3FA52EF3"/>
    <w:rsid w:val="3FC001B0"/>
    <w:rsid w:val="3FCA1C0A"/>
    <w:rsid w:val="3FD372D5"/>
    <w:rsid w:val="3FE102C6"/>
    <w:rsid w:val="40075B89"/>
    <w:rsid w:val="40185432"/>
    <w:rsid w:val="40195F6F"/>
    <w:rsid w:val="403A203A"/>
    <w:rsid w:val="405821A8"/>
    <w:rsid w:val="40616103"/>
    <w:rsid w:val="40780F4A"/>
    <w:rsid w:val="407E7225"/>
    <w:rsid w:val="40AA29B1"/>
    <w:rsid w:val="40AD6541"/>
    <w:rsid w:val="40C12189"/>
    <w:rsid w:val="40C17CBA"/>
    <w:rsid w:val="40C449AE"/>
    <w:rsid w:val="40D74BB9"/>
    <w:rsid w:val="40DC2D46"/>
    <w:rsid w:val="40E165AE"/>
    <w:rsid w:val="40E701B8"/>
    <w:rsid w:val="40FC4C3F"/>
    <w:rsid w:val="411E16A6"/>
    <w:rsid w:val="411E5325"/>
    <w:rsid w:val="41233624"/>
    <w:rsid w:val="412A3433"/>
    <w:rsid w:val="41427B33"/>
    <w:rsid w:val="415CCFD0"/>
    <w:rsid w:val="41654AEA"/>
    <w:rsid w:val="417019BF"/>
    <w:rsid w:val="41721ACC"/>
    <w:rsid w:val="41792995"/>
    <w:rsid w:val="418F55AC"/>
    <w:rsid w:val="41A05DA0"/>
    <w:rsid w:val="41AA5BF9"/>
    <w:rsid w:val="41C81E57"/>
    <w:rsid w:val="41FF1D4E"/>
    <w:rsid w:val="42002212"/>
    <w:rsid w:val="421309EA"/>
    <w:rsid w:val="423E5075"/>
    <w:rsid w:val="424C7A58"/>
    <w:rsid w:val="424E1856"/>
    <w:rsid w:val="424E37D0"/>
    <w:rsid w:val="42596363"/>
    <w:rsid w:val="42685493"/>
    <w:rsid w:val="42703155"/>
    <w:rsid w:val="4286201A"/>
    <w:rsid w:val="429E78CA"/>
    <w:rsid w:val="42BA7414"/>
    <w:rsid w:val="42DD0C54"/>
    <w:rsid w:val="42DD5A9D"/>
    <w:rsid w:val="42E65195"/>
    <w:rsid w:val="43010842"/>
    <w:rsid w:val="43074F8B"/>
    <w:rsid w:val="430B2E6E"/>
    <w:rsid w:val="4340580E"/>
    <w:rsid w:val="434335F7"/>
    <w:rsid w:val="434526B6"/>
    <w:rsid w:val="43455072"/>
    <w:rsid w:val="43504DBE"/>
    <w:rsid w:val="43577C9C"/>
    <w:rsid w:val="43686EA5"/>
    <w:rsid w:val="43947908"/>
    <w:rsid w:val="43A136A6"/>
    <w:rsid w:val="43A6247B"/>
    <w:rsid w:val="43B00545"/>
    <w:rsid w:val="43CA50D8"/>
    <w:rsid w:val="43CD66F2"/>
    <w:rsid w:val="43F51187"/>
    <w:rsid w:val="43F93DAB"/>
    <w:rsid w:val="44285E98"/>
    <w:rsid w:val="443042AC"/>
    <w:rsid w:val="44421112"/>
    <w:rsid w:val="44601E36"/>
    <w:rsid w:val="4473751E"/>
    <w:rsid w:val="44817B3A"/>
    <w:rsid w:val="44A22A6F"/>
    <w:rsid w:val="44AE7297"/>
    <w:rsid w:val="44B63651"/>
    <w:rsid w:val="44B963F2"/>
    <w:rsid w:val="44CD33CB"/>
    <w:rsid w:val="44DB3B2C"/>
    <w:rsid w:val="44E1092B"/>
    <w:rsid w:val="44EA2615"/>
    <w:rsid w:val="44F20D8A"/>
    <w:rsid w:val="45021A21"/>
    <w:rsid w:val="451A4648"/>
    <w:rsid w:val="451F161B"/>
    <w:rsid w:val="4523973F"/>
    <w:rsid w:val="45256B3F"/>
    <w:rsid w:val="453C7898"/>
    <w:rsid w:val="453F73F1"/>
    <w:rsid w:val="45464C32"/>
    <w:rsid w:val="454F3FBF"/>
    <w:rsid w:val="455C1569"/>
    <w:rsid w:val="4564201C"/>
    <w:rsid w:val="457A32EE"/>
    <w:rsid w:val="457B0D80"/>
    <w:rsid w:val="45837191"/>
    <w:rsid w:val="45875897"/>
    <w:rsid w:val="45910879"/>
    <w:rsid w:val="4594599D"/>
    <w:rsid w:val="45A66E02"/>
    <w:rsid w:val="45BD6050"/>
    <w:rsid w:val="45D12548"/>
    <w:rsid w:val="45DA6B9F"/>
    <w:rsid w:val="45E40B6E"/>
    <w:rsid w:val="45E5517C"/>
    <w:rsid w:val="45E91C44"/>
    <w:rsid w:val="45F721A1"/>
    <w:rsid w:val="45FD0226"/>
    <w:rsid w:val="4626771B"/>
    <w:rsid w:val="462907EA"/>
    <w:rsid w:val="462C19E9"/>
    <w:rsid w:val="462F5510"/>
    <w:rsid w:val="46364CA7"/>
    <w:rsid w:val="46447044"/>
    <w:rsid w:val="46455839"/>
    <w:rsid w:val="468E0C5F"/>
    <w:rsid w:val="468F3BCE"/>
    <w:rsid w:val="46C406C4"/>
    <w:rsid w:val="46CBF9F9"/>
    <w:rsid w:val="46D51A72"/>
    <w:rsid w:val="46D6401C"/>
    <w:rsid w:val="46EE195C"/>
    <w:rsid w:val="46EE5861"/>
    <w:rsid w:val="46F766E3"/>
    <w:rsid w:val="46FD0EB1"/>
    <w:rsid w:val="46FF4261"/>
    <w:rsid w:val="470578AE"/>
    <w:rsid w:val="470E4D17"/>
    <w:rsid w:val="470F6E50"/>
    <w:rsid w:val="47273D83"/>
    <w:rsid w:val="472A28FB"/>
    <w:rsid w:val="475F4207"/>
    <w:rsid w:val="476508AF"/>
    <w:rsid w:val="478055C7"/>
    <w:rsid w:val="4785332D"/>
    <w:rsid w:val="478957EF"/>
    <w:rsid w:val="4791660D"/>
    <w:rsid w:val="47A23289"/>
    <w:rsid w:val="47AF7C1C"/>
    <w:rsid w:val="47BF4AEB"/>
    <w:rsid w:val="47CD163B"/>
    <w:rsid w:val="47CD7B38"/>
    <w:rsid w:val="47CE19D8"/>
    <w:rsid w:val="47DA0316"/>
    <w:rsid w:val="47EA7EAE"/>
    <w:rsid w:val="47F0E5E4"/>
    <w:rsid w:val="47F71BF8"/>
    <w:rsid w:val="47FE1CD2"/>
    <w:rsid w:val="48002004"/>
    <w:rsid w:val="48087683"/>
    <w:rsid w:val="48302ED0"/>
    <w:rsid w:val="483A1A84"/>
    <w:rsid w:val="484713ED"/>
    <w:rsid w:val="48552C82"/>
    <w:rsid w:val="48593D6C"/>
    <w:rsid w:val="4860226E"/>
    <w:rsid w:val="486A4DAE"/>
    <w:rsid w:val="48724E89"/>
    <w:rsid w:val="487A3533"/>
    <w:rsid w:val="488A43B9"/>
    <w:rsid w:val="48AC32B3"/>
    <w:rsid w:val="48AF18EA"/>
    <w:rsid w:val="48C40F94"/>
    <w:rsid w:val="48CF2CE2"/>
    <w:rsid w:val="48D53EF9"/>
    <w:rsid w:val="48DC0375"/>
    <w:rsid w:val="48F88821"/>
    <w:rsid w:val="48FC3563"/>
    <w:rsid w:val="491E6003"/>
    <w:rsid w:val="492321DD"/>
    <w:rsid w:val="493D6932"/>
    <w:rsid w:val="49491B55"/>
    <w:rsid w:val="496960E0"/>
    <w:rsid w:val="49817868"/>
    <w:rsid w:val="49AF5E93"/>
    <w:rsid w:val="49C05FC4"/>
    <w:rsid w:val="49CD0897"/>
    <w:rsid w:val="49D2190B"/>
    <w:rsid w:val="49E76F36"/>
    <w:rsid w:val="49EE1450"/>
    <w:rsid w:val="49F56C35"/>
    <w:rsid w:val="49F801EC"/>
    <w:rsid w:val="4A0D21C2"/>
    <w:rsid w:val="4A0F4434"/>
    <w:rsid w:val="4A2848B7"/>
    <w:rsid w:val="4A362E26"/>
    <w:rsid w:val="4A452197"/>
    <w:rsid w:val="4A4D3ADA"/>
    <w:rsid w:val="4A5163B0"/>
    <w:rsid w:val="4A534079"/>
    <w:rsid w:val="4A8C3F9F"/>
    <w:rsid w:val="4A8D73EA"/>
    <w:rsid w:val="4ABE20DB"/>
    <w:rsid w:val="4AD54935"/>
    <w:rsid w:val="4AE84DE5"/>
    <w:rsid w:val="4B25790C"/>
    <w:rsid w:val="4B290120"/>
    <w:rsid w:val="4B2A4A88"/>
    <w:rsid w:val="4B2E2C15"/>
    <w:rsid w:val="4B710EAF"/>
    <w:rsid w:val="4B8607EF"/>
    <w:rsid w:val="4B966242"/>
    <w:rsid w:val="4BAB620E"/>
    <w:rsid w:val="4BAB6845"/>
    <w:rsid w:val="4BB96D45"/>
    <w:rsid w:val="4BDA4326"/>
    <w:rsid w:val="4BE455D1"/>
    <w:rsid w:val="4BF6260F"/>
    <w:rsid w:val="4BF90652"/>
    <w:rsid w:val="4C024840"/>
    <w:rsid w:val="4C1530B9"/>
    <w:rsid w:val="4C236DBA"/>
    <w:rsid w:val="4C375CE9"/>
    <w:rsid w:val="4C45773E"/>
    <w:rsid w:val="4C545E87"/>
    <w:rsid w:val="4C5B7215"/>
    <w:rsid w:val="4C89CD61"/>
    <w:rsid w:val="4CA44180"/>
    <w:rsid w:val="4CA587A3"/>
    <w:rsid w:val="4CA94BBB"/>
    <w:rsid w:val="4CC72FC3"/>
    <w:rsid w:val="4CCB12D7"/>
    <w:rsid w:val="4D0D3832"/>
    <w:rsid w:val="4D352599"/>
    <w:rsid w:val="4D4B42C9"/>
    <w:rsid w:val="4D5300D0"/>
    <w:rsid w:val="4D5A5B60"/>
    <w:rsid w:val="4D626D22"/>
    <w:rsid w:val="4D761E2D"/>
    <w:rsid w:val="4D76D4E4"/>
    <w:rsid w:val="4D7C2976"/>
    <w:rsid w:val="4DA42E20"/>
    <w:rsid w:val="4DB323C4"/>
    <w:rsid w:val="4DBF7733"/>
    <w:rsid w:val="4DCE4644"/>
    <w:rsid w:val="4DD51ABF"/>
    <w:rsid w:val="4DD74672"/>
    <w:rsid w:val="4DE23F04"/>
    <w:rsid w:val="4DEC6B9B"/>
    <w:rsid w:val="4E0C0D2D"/>
    <w:rsid w:val="4E170A30"/>
    <w:rsid w:val="4E3904C4"/>
    <w:rsid w:val="4E3B72FE"/>
    <w:rsid w:val="4E43479F"/>
    <w:rsid w:val="4E464D79"/>
    <w:rsid w:val="4E4B37D3"/>
    <w:rsid w:val="4E7B4367"/>
    <w:rsid w:val="4EA257B3"/>
    <w:rsid w:val="4EAB0426"/>
    <w:rsid w:val="4EB84820"/>
    <w:rsid w:val="4EC6E15C"/>
    <w:rsid w:val="4ED96C3D"/>
    <w:rsid w:val="4EDF7428"/>
    <w:rsid w:val="4EEF6F26"/>
    <w:rsid w:val="4EFD57A9"/>
    <w:rsid w:val="4EFF5B7A"/>
    <w:rsid w:val="4F3319E9"/>
    <w:rsid w:val="4F5056B2"/>
    <w:rsid w:val="4F782B44"/>
    <w:rsid w:val="4F7A5FD9"/>
    <w:rsid w:val="4F8E2EAC"/>
    <w:rsid w:val="4F920A5A"/>
    <w:rsid w:val="4FA979F0"/>
    <w:rsid w:val="4FAE5C05"/>
    <w:rsid w:val="4FAF4381"/>
    <w:rsid w:val="4FB76BFF"/>
    <w:rsid w:val="4FCE22AA"/>
    <w:rsid w:val="4FDF1F0B"/>
    <w:rsid w:val="4FE400EE"/>
    <w:rsid w:val="4FE45E79"/>
    <w:rsid w:val="4FFC0D0F"/>
    <w:rsid w:val="50106AF7"/>
    <w:rsid w:val="50166A06"/>
    <w:rsid w:val="502960A6"/>
    <w:rsid w:val="502A762A"/>
    <w:rsid w:val="502F527D"/>
    <w:rsid w:val="503A700C"/>
    <w:rsid w:val="503B7E2C"/>
    <w:rsid w:val="504C6B10"/>
    <w:rsid w:val="50566671"/>
    <w:rsid w:val="506C3536"/>
    <w:rsid w:val="50767153"/>
    <w:rsid w:val="507A1C34"/>
    <w:rsid w:val="50845A65"/>
    <w:rsid w:val="509E27A0"/>
    <w:rsid w:val="50B75D3E"/>
    <w:rsid w:val="50C524F1"/>
    <w:rsid w:val="50C75947"/>
    <w:rsid w:val="50F71B40"/>
    <w:rsid w:val="50FA247F"/>
    <w:rsid w:val="510065DD"/>
    <w:rsid w:val="510A5C19"/>
    <w:rsid w:val="5117237B"/>
    <w:rsid w:val="514624AD"/>
    <w:rsid w:val="514B5E29"/>
    <w:rsid w:val="514C01BB"/>
    <w:rsid w:val="51586836"/>
    <w:rsid w:val="515D3F82"/>
    <w:rsid w:val="516A7BBB"/>
    <w:rsid w:val="51740737"/>
    <w:rsid w:val="518D70E5"/>
    <w:rsid w:val="51A76A58"/>
    <w:rsid w:val="51D153F6"/>
    <w:rsid w:val="51E25C30"/>
    <w:rsid w:val="52023C94"/>
    <w:rsid w:val="5203450C"/>
    <w:rsid w:val="520800A5"/>
    <w:rsid w:val="520A2D52"/>
    <w:rsid w:val="52646933"/>
    <w:rsid w:val="527652FB"/>
    <w:rsid w:val="527862EE"/>
    <w:rsid w:val="529602EA"/>
    <w:rsid w:val="52E33AC0"/>
    <w:rsid w:val="52F938A3"/>
    <w:rsid w:val="53000849"/>
    <w:rsid w:val="53183133"/>
    <w:rsid w:val="534A3713"/>
    <w:rsid w:val="534E7803"/>
    <w:rsid w:val="53525838"/>
    <w:rsid w:val="536606C7"/>
    <w:rsid w:val="536D782E"/>
    <w:rsid w:val="53784EF9"/>
    <w:rsid w:val="53915C12"/>
    <w:rsid w:val="53AF566C"/>
    <w:rsid w:val="53B72C63"/>
    <w:rsid w:val="53BA3913"/>
    <w:rsid w:val="53BAC8B3"/>
    <w:rsid w:val="53BC59DD"/>
    <w:rsid w:val="53C4E943"/>
    <w:rsid w:val="53C9715A"/>
    <w:rsid w:val="53E63623"/>
    <w:rsid w:val="53EA271C"/>
    <w:rsid w:val="53FC17CE"/>
    <w:rsid w:val="54092D01"/>
    <w:rsid w:val="540C7047"/>
    <w:rsid w:val="541114BC"/>
    <w:rsid w:val="541C6673"/>
    <w:rsid w:val="54284049"/>
    <w:rsid w:val="542B2B59"/>
    <w:rsid w:val="5437502E"/>
    <w:rsid w:val="544308BF"/>
    <w:rsid w:val="5449144D"/>
    <w:rsid w:val="545D5D9B"/>
    <w:rsid w:val="546D7050"/>
    <w:rsid w:val="54C34539"/>
    <w:rsid w:val="54C8611F"/>
    <w:rsid w:val="54CC02EF"/>
    <w:rsid w:val="54E8294F"/>
    <w:rsid w:val="54E82F69"/>
    <w:rsid w:val="54F57F10"/>
    <w:rsid w:val="551F2164"/>
    <w:rsid w:val="55236764"/>
    <w:rsid w:val="556160BB"/>
    <w:rsid w:val="55622BFB"/>
    <w:rsid w:val="55954FB0"/>
    <w:rsid w:val="559830A2"/>
    <w:rsid w:val="559C6CA5"/>
    <w:rsid w:val="55A04616"/>
    <w:rsid w:val="55B106B1"/>
    <w:rsid w:val="55DD7B77"/>
    <w:rsid w:val="55E137D0"/>
    <w:rsid w:val="55FF7504"/>
    <w:rsid w:val="561541C3"/>
    <w:rsid w:val="56253C7F"/>
    <w:rsid w:val="5627786C"/>
    <w:rsid w:val="562D690B"/>
    <w:rsid w:val="562F5EFE"/>
    <w:rsid w:val="56300E0A"/>
    <w:rsid w:val="563E026C"/>
    <w:rsid w:val="56415DC3"/>
    <w:rsid w:val="565C5A21"/>
    <w:rsid w:val="5664483F"/>
    <w:rsid w:val="566719DC"/>
    <w:rsid w:val="566BF412"/>
    <w:rsid w:val="567406D4"/>
    <w:rsid w:val="5675241C"/>
    <w:rsid w:val="56827347"/>
    <w:rsid w:val="569D42F1"/>
    <w:rsid w:val="56A17DE6"/>
    <w:rsid w:val="56A88EC8"/>
    <w:rsid w:val="56B52C2D"/>
    <w:rsid w:val="56CC11C5"/>
    <w:rsid w:val="56D1D715"/>
    <w:rsid w:val="56E434D8"/>
    <w:rsid w:val="56E812A3"/>
    <w:rsid w:val="56EC014E"/>
    <w:rsid w:val="57293DA7"/>
    <w:rsid w:val="572C3A66"/>
    <w:rsid w:val="575046AD"/>
    <w:rsid w:val="575304EC"/>
    <w:rsid w:val="57706F3A"/>
    <w:rsid w:val="577AFBB1"/>
    <w:rsid w:val="57815C85"/>
    <w:rsid w:val="578416DF"/>
    <w:rsid w:val="578A6C00"/>
    <w:rsid w:val="579C693F"/>
    <w:rsid w:val="57A831C9"/>
    <w:rsid w:val="57C61D7D"/>
    <w:rsid w:val="57C9597B"/>
    <w:rsid w:val="57CE7903"/>
    <w:rsid w:val="57D4431F"/>
    <w:rsid w:val="57D56969"/>
    <w:rsid w:val="57D5E4E9"/>
    <w:rsid w:val="57D75CF1"/>
    <w:rsid w:val="57DE7B77"/>
    <w:rsid w:val="57E246E6"/>
    <w:rsid w:val="57E539F7"/>
    <w:rsid w:val="57EC72F5"/>
    <w:rsid w:val="57F02DBA"/>
    <w:rsid w:val="57F20E0F"/>
    <w:rsid w:val="5801622C"/>
    <w:rsid w:val="58100DB8"/>
    <w:rsid w:val="58187F9E"/>
    <w:rsid w:val="58214470"/>
    <w:rsid w:val="5848635E"/>
    <w:rsid w:val="58504777"/>
    <w:rsid w:val="587C3671"/>
    <w:rsid w:val="588E40C3"/>
    <w:rsid w:val="58922210"/>
    <w:rsid w:val="58A07E1B"/>
    <w:rsid w:val="58A37382"/>
    <w:rsid w:val="58BA52C3"/>
    <w:rsid w:val="58C1031C"/>
    <w:rsid w:val="58DC1E15"/>
    <w:rsid w:val="58F72C59"/>
    <w:rsid w:val="58F81A7E"/>
    <w:rsid w:val="59103C07"/>
    <w:rsid w:val="591FD831"/>
    <w:rsid w:val="592E3870"/>
    <w:rsid w:val="594EDAF1"/>
    <w:rsid w:val="59593098"/>
    <w:rsid w:val="595E580C"/>
    <w:rsid w:val="5962BC83"/>
    <w:rsid w:val="596942DB"/>
    <w:rsid w:val="59790F68"/>
    <w:rsid w:val="598919F4"/>
    <w:rsid w:val="598E1E00"/>
    <w:rsid w:val="59965427"/>
    <w:rsid w:val="59AC6EE1"/>
    <w:rsid w:val="59B16498"/>
    <w:rsid w:val="59BB10CF"/>
    <w:rsid w:val="59D71C5C"/>
    <w:rsid w:val="59E24AD2"/>
    <w:rsid w:val="59E959BB"/>
    <w:rsid w:val="59ED39B7"/>
    <w:rsid w:val="5A0A74C7"/>
    <w:rsid w:val="5A0B5463"/>
    <w:rsid w:val="5A19DCD7"/>
    <w:rsid w:val="5A230493"/>
    <w:rsid w:val="5A285A0E"/>
    <w:rsid w:val="5A6657C1"/>
    <w:rsid w:val="5A843D83"/>
    <w:rsid w:val="5A847D1C"/>
    <w:rsid w:val="5A8621AC"/>
    <w:rsid w:val="5AE969BB"/>
    <w:rsid w:val="5AFF3EBC"/>
    <w:rsid w:val="5B1155A2"/>
    <w:rsid w:val="5B1C0AFF"/>
    <w:rsid w:val="5B282809"/>
    <w:rsid w:val="5B35FA82"/>
    <w:rsid w:val="5B3A6B8F"/>
    <w:rsid w:val="5B427FE3"/>
    <w:rsid w:val="5B480E57"/>
    <w:rsid w:val="5B4F3ED7"/>
    <w:rsid w:val="5B6663C4"/>
    <w:rsid w:val="5B667984"/>
    <w:rsid w:val="5B66D99F"/>
    <w:rsid w:val="5B6B0308"/>
    <w:rsid w:val="5B6F7D64"/>
    <w:rsid w:val="5B7B5B76"/>
    <w:rsid w:val="5B7E7FAA"/>
    <w:rsid w:val="5BA03ACB"/>
    <w:rsid w:val="5BB66CA7"/>
    <w:rsid w:val="5BD2585B"/>
    <w:rsid w:val="5BD40809"/>
    <w:rsid w:val="5BD6772F"/>
    <w:rsid w:val="5BDF078B"/>
    <w:rsid w:val="5BFA612C"/>
    <w:rsid w:val="5C442DF7"/>
    <w:rsid w:val="5C51AC4C"/>
    <w:rsid w:val="5C66374E"/>
    <w:rsid w:val="5C7B59A2"/>
    <w:rsid w:val="5C897AEB"/>
    <w:rsid w:val="5C8D606C"/>
    <w:rsid w:val="5C9968B1"/>
    <w:rsid w:val="5CC2459D"/>
    <w:rsid w:val="5CCC719C"/>
    <w:rsid w:val="5CCE758F"/>
    <w:rsid w:val="5CE50AAC"/>
    <w:rsid w:val="5CEA069B"/>
    <w:rsid w:val="5CF840F2"/>
    <w:rsid w:val="5D0222AF"/>
    <w:rsid w:val="5D076C82"/>
    <w:rsid w:val="5D124F9A"/>
    <w:rsid w:val="5D1C2595"/>
    <w:rsid w:val="5D2F3C01"/>
    <w:rsid w:val="5D304CAB"/>
    <w:rsid w:val="5D365C91"/>
    <w:rsid w:val="5D3F223B"/>
    <w:rsid w:val="5D431425"/>
    <w:rsid w:val="5D504448"/>
    <w:rsid w:val="5D610BE1"/>
    <w:rsid w:val="5D704A46"/>
    <w:rsid w:val="5D747693"/>
    <w:rsid w:val="5D761735"/>
    <w:rsid w:val="5D8365CC"/>
    <w:rsid w:val="5D94266E"/>
    <w:rsid w:val="5DC310BE"/>
    <w:rsid w:val="5DC56BE4"/>
    <w:rsid w:val="5DC80482"/>
    <w:rsid w:val="5DC90D7E"/>
    <w:rsid w:val="5DCD1661"/>
    <w:rsid w:val="5DDE0FF9"/>
    <w:rsid w:val="5DE62A78"/>
    <w:rsid w:val="5DFD00AD"/>
    <w:rsid w:val="5E00022A"/>
    <w:rsid w:val="5E003E17"/>
    <w:rsid w:val="5E103207"/>
    <w:rsid w:val="5E1F2931"/>
    <w:rsid w:val="5E2F1F21"/>
    <w:rsid w:val="5E41FAA4"/>
    <w:rsid w:val="5E545309"/>
    <w:rsid w:val="5E916AC6"/>
    <w:rsid w:val="5E9B37B5"/>
    <w:rsid w:val="5EA23333"/>
    <w:rsid w:val="5EAD2373"/>
    <w:rsid w:val="5EBD164C"/>
    <w:rsid w:val="5EDE33C0"/>
    <w:rsid w:val="5EE24BEA"/>
    <w:rsid w:val="5F053010"/>
    <w:rsid w:val="5F0D62EF"/>
    <w:rsid w:val="5F1A6ABC"/>
    <w:rsid w:val="5F1A7047"/>
    <w:rsid w:val="5F24D4A4"/>
    <w:rsid w:val="5F376813"/>
    <w:rsid w:val="5F381500"/>
    <w:rsid w:val="5F511A8B"/>
    <w:rsid w:val="5F623411"/>
    <w:rsid w:val="5F8F7441"/>
    <w:rsid w:val="5F941B1D"/>
    <w:rsid w:val="5F974B63"/>
    <w:rsid w:val="5FA2617E"/>
    <w:rsid w:val="5FAD38D2"/>
    <w:rsid w:val="5FB011CE"/>
    <w:rsid w:val="5FB10E83"/>
    <w:rsid w:val="5FC174BF"/>
    <w:rsid w:val="5FC64AFD"/>
    <w:rsid w:val="5FCD537C"/>
    <w:rsid w:val="5FD504FC"/>
    <w:rsid w:val="5FD807EF"/>
    <w:rsid w:val="5FDC30E1"/>
    <w:rsid w:val="5FF32001"/>
    <w:rsid w:val="600AEC1C"/>
    <w:rsid w:val="600B3771"/>
    <w:rsid w:val="60356E5E"/>
    <w:rsid w:val="60593779"/>
    <w:rsid w:val="60777BA5"/>
    <w:rsid w:val="607D7090"/>
    <w:rsid w:val="6098009C"/>
    <w:rsid w:val="60A05C73"/>
    <w:rsid w:val="60BA3F90"/>
    <w:rsid w:val="60CA02AA"/>
    <w:rsid w:val="60E61857"/>
    <w:rsid w:val="60F964EC"/>
    <w:rsid w:val="61315446"/>
    <w:rsid w:val="61397339"/>
    <w:rsid w:val="615390A9"/>
    <w:rsid w:val="6155E654"/>
    <w:rsid w:val="61638AE9"/>
    <w:rsid w:val="61712162"/>
    <w:rsid w:val="61C177A6"/>
    <w:rsid w:val="61E36654"/>
    <w:rsid w:val="61EFB163"/>
    <w:rsid w:val="62001C84"/>
    <w:rsid w:val="62350240"/>
    <w:rsid w:val="627800B0"/>
    <w:rsid w:val="62804F1E"/>
    <w:rsid w:val="628B110A"/>
    <w:rsid w:val="628F23C2"/>
    <w:rsid w:val="62BA5B89"/>
    <w:rsid w:val="62CA6A4B"/>
    <w:rsid w:val="62E461C6"/>
    <w:rsid w:val="62F4531A"/>
    <w:rsid w:val="62F45876"/>
    <w:rsid w:val="637040FC"/>
    <w:rsid w:val="63821C34"/>
    <w:rsid w:val="639168F5"/>
    <w:rsid w:val="63952F38"/>
    <w:rsid w:val="63C17048"/>
    <w:rsid w:val="63C340F4"/>
    <w:rsid w:val="63DC4C34"/>
    <w:rsid w:val="64014A91"/>
    <w:rsid w:val="64043E5B"/>
    <w:rsid w:val="64063C18"/>
    <w:rsid w:val="6414CE7E"/>
    <w:rsid w:val="6415585C"/>
    <w:rsid w:val="641937E6"/>
    <w:rsid w:val="64382287"/>
    <w:rsid w:val="643B5DD7"/>
    <w:rsid w:val="644E7EFB"/>
    <w:rsid w:val="64521574"/>
    <w:rsid w:val="64542A70"/>
    <w:rsid w:val="6456157F"/>
    <w:rsid w:val="6458B4E5"/>
    <w:rsid w:val="645D3A85"/>
    <w:rsid w:val="646B3837"/>
    <w:rsid w:val="64801FDE"/>
    <w:rsid w:val="64AE696E"/>
    <w:rsid w:val="64CF48EA"/>
    <w:rsid w:val="64E17B0F"/>
    <w:rsid w:val="64EE23B1"/>
    <w:rsid w:val="64EE5D87"/>
    <w:rsid w:val="64EEA704"/>
    <w:rsid w:val="64F007B6"/>
    <w:rsid w:val="64F15B46"/>
    <w:rsid w:val="64F4751A"/>
    <w:rsid w:val="64F838A8"/>
    <w:rsid w:val="65076C82"/>
    <w:rsid w:val="65135533"/>
    <w:rsid w:val="65280A6E"/>
    <w:rsid w:val="65354494"/>
    <w:rsid w:val="653E53D4"/>
    <w:rsid w:val="657DA605"/>
    <w:rsid w:val="65822F92"/>
    <w:rsid w:val="658E3990"/>
    <w:rsid w:val="659770B8"/>
    <w:rsid w:val="659C36D4"/>
    <w:rsid w:val="65A334C3"/>
    <w:rsid w:val="65B47E16"/>
    <w:rsid w:val="65B53D15"/>
    <w:rsid w:val="65E06610"/>
    <w:rsid w:val="65E141CA"/>
    <w:rsid w:val="65E8472C"/>
    <w:rsid w:val="65EA4DB8"/>
    <w:rsid w:val="66071AE7"/>
    <w:rsid w:val="66103F56"/>
    <w:rsid w:val="66175E8F"/>
    <w:rsid w:val="6617E2F4"/>
    <w:rsid w:val="661E9C65"/>
    <w:rsid w:val="66235D32"/>
    <w:rsid w:val="66252916"/>
    <w:rsid w:val="66383CCB"/>
    <w:rsid w:val="66667CC6"/>
    <w:rsid w:val="666F0C16"/>
    <w:rsid w:val="66720020"/>
    <w:rsid w:val="66760283"/>
    <w:rsid w:val="669641B8"/>
    <w:rsid w:val="66997839"/>
    <w:rsid w:val="669F4100"/>
    <w:rsid w:val="66A63D9A"/>
    <w:rsid w:val="66B75538"/>
    <w:rsid w:val="66C8504F"/>
    <w:rsid w:val="66D3160C"/>
    <w:rsid w:val="66ED2CD5"/>
    <w:rsid w:val="67027FFB"/>
    <w:rsid w:val="67541570"/>
    <w:rsid w:val="675646F4"/>
    <w:rsid w:val="67655FA1"/>
    <w:rsid w:val="67781DBB"/>
    <w:rsid w:val="678B0E72"/>
    <w:rsid w:val="678E2BB2"/>
    <w:rsid w:val="67A37331"/>
    <w:rsid w:val="67B81568"/>
    <w:rsid w:val="67CF30B8"/>
    <w:rsid w:val="67D6064A"/>
    <w:rsid w:val="67E792E9"/>
    <w:rsid w:val="67F50A8B"/>
    <w:rsid w:val="68163397"/>
    <w:rsid w:val="682976F6"/>
    <w:rsid w:val="68377CF5"/>
    <w:rsid w:val="68432F4E"/>
    <w:rsid w:val="68463D3F"/>
    <w:rsid w:val="6846655A"/>
    <w:rsid w:val="684E363B"/>
    <w:rsid w:val="685D514D"/>
    <w:rsid w:val="688095CC"/>
    <w:rsid w:val="68A26F33"/>
    <w:rsid w:val="68C36A23"/>
    <w:rsid w:val="68CC420A"/>
    <w:rsid w:val="68F60F02"/>
    <w:rsid w:val="68FA50D8"/>
    <w:rsid w:val="69025488"/>
    <w:rsid w:val="691100F4"/>
    <w:rsid w:val="691762DC"/>
    <w:rsid w:val="692CBC56"/>
    <w:rsid w:val="693434AC"/>
    <w:rsid w:val="693A709E"/>
    <w:rsid w:val="694516B0"/>
    <w:rsid w:val="6960590B"/>
    <w:rsid w:val="69634448"/>
    <w:rsid w:val="69782D5D"/>
    <w:rsid w:val="6987607B"/>
    <w:rsid w:val="69914D2A"/>
    <w:rsid w:val="699F3323"/>
    <w:rsid w:val="69B011A8"/>
    <w:rsid w:val="69EE4381"/>
    <w:rsid w:val="69F42ED2"/>
    <w:rsid w:val="69F4500E"/>
    <w:rsid w:val="69FC488C"/>
    <w:rsid w:val="6A2939D1"/>
    <w:rsid w:val="6A2F0557"/>
    <w:rsid w:val="6A520D1E"/>
    <w:rsid w:val="6A5B4B1E"/>
    <w:rsid w:val="6A6F77B8"/>
    <w:rsid w:val="6A7B77E5"/>
    <w:rsid w:val="6A813864"/>
    <w:rsid w:val="6A871DCA"/>
    <w:rsid w:val="6A9C67D4"/>
    <w:rsid w:val="6AB115DD"/>
    <w:rsid w:val="6AD17A38"/>
    <w:rsid w:val="6AD36521"/>
    <w:rsid w:val="6AFC480B"/>
    <w:rsid w:val="6B0845B4"/>
    <w:rsid w:val="6B5A6629"/>
    <w:rsid w:val="6B5E41D4"/>
    <w:rsid w:val="6B6D74AD"/>
    <w:rsid w:val="6B6F2521"/>
    <w:rsid w:val="6B811C71"/>
    <w:rsid w:val="6BA77572"/>
    <w:rsid w:val="6BCF263E"/>
    <w:rsid w:val="6BD7406F"/>
    <w:rsid w:val="6BDA511C"/>
    <w:rsid w:val="6BED1418"/>
    <w:rsid w:val="6C016617"/>
    <w:rsid w:val="6C0C0043"/>
    <w:rsid w:val="6C117C69"/>
    <w:rsid w:val="6C123DC2"/>
    <w:rsid w:val="6C28405C"/>
    <w:rsid w:val="6C3C01B9"/>
    <w:rsid w:val="6C580E79"/>
    <w:rsid w:val="6C7F3A33"/>
    <w:rsid w:val="6C927AFA"/>
    <w:rsid w:val="6C9555EB"/>
    <w:rsid w:val="6C9C74EA"/>
    <w:rsid w:val="6CA004C6"/>
    <w:rsid w:val="6CAE5601"/>
    <w:rsid w:val="6CB02278"/>
    <w:rsid w:val="6CC1B74F"/>
    <w:rsid w:val="6CC412E6"/>
    <w:rsid w:val="6CDB1F80"/>
    <w:rsid w:val="6CEF1588"/>
    <w:rsid w:val="6D097245"/>
    <w:rsid w:val="6D1A2F53"/>
    <w:rsid w:val="6D1D7C93"/>
    <w:rsid w:val="6D21678D"/>
    <w:rsid w:val="6D336BE5"/>
    <w:rsid w:val="6D4A6B25"/>
    <w:rsid w:val="6D620D3C"/>
    <w:rsid w:val="6D655CEE"/>
    <w:rsid w:val="6D6B522C"/>
    <w:rsid w:val="6D7A2CA7"/>
    <w:rsid w:val="6D7A48E9"/>
    <w:rsid w:val="6D85FBCE"/>
    <w:rsid w:val="6DC33939"/>
    <w:rsid w:val="6DC44A8A"/>
    <w:rsid w:val="6DCE746D"/>
    <w:rsid w:val="6DD7629D"/>
    <w:rsid w:val="6DE76133"/>
    <w:rsid w:val="6DEA13C4"/>
    <w:rsid w:val="6DEA46B7"/>
    <w:rsid w:val="6DEE5CE3"/>
    <w:rsid w:val="6E0A107E"/>
    <w:rsid w:val="6E130516"/>
    <w:rsid w:val="6E2C3207"/>
    <w:rsid w:val="6E406A38"/>
    <w:rsid w:val="6E5FC2FB"/>
    <w:rsid w:val="6E73020F"/>
    <w:rsid w:val="6E8679E1"/>
    <w:rsid w:val="6E9116FB"/>
    <w:rsid w:val="6EB365E5"/>
    <w:rsid w:val="6EBE184F"/>
    <w:rsid w:val="6EC138B8"/>
    <w:rsid w:val="6EC503F9"/>
    <w:rsid w:val="6EC707D9"/>
    <w:rsid w:val="6ED16832"/>
    <w:rsid w:val="6ED36123"/>
    <w:rsid w:val="6ED42224"/>
    <w:rsid w:val="6ED67A67"/>
    <w:rsid w:val="6EDF37FE"/>
    <w:rsid w:val="6EF2310D"/>
    <w:rsid w:val="6EF32607"/>
    <w:rsid w:val="6EF931CA"/>
    <w:rsid w:val="6F16E1DB"/>
    <w:rsid w:val="6F1928EC"/>
    <w:rsid w:val="6F307C36"/>
    <w:rsid w:val="6F4E3BE4"/>
    <w:rsid w:val="6F516166"/>
    <w:rsid w:val="6F5D6229"/>
    <w:rsid w:val="6F5E0E95"/>
    <w:rsid w:val="6F716F2F"/>
    <w:rsid w:val="6F733567"/>
    <w:rsid w:val="6F733C5D"/>
    <w:rsid w:val="6F915350"/>
    <w:rsid w:val="6FA7543D"/>
    <w:rsid w:val="6FBC0C63"/>
    <w:rsid w:val="6FC82564"/>
    <w:rsid w:val="6FEA46AC"/>
    <w:rsid w:val="6FF15617"/>
    <w:rsid w:val="6FFC7E4C"/>
    <w:rsid w:val="701A1E83"/>
    <w:rsid w:val="701B08E6"/>
    <w:rsid w:val="701F405A"/>
    <w:rsid w:val="7034465E"/>
    <w:rsid w:val="70394F30"/>
    <w:rsid w:val="70715E97"/>
    <w:rsid w:val="707A560C"/>
    <w:rsid w:val="70907AAB"/>
    <w:rsid w:val="70A408DB"/>
    <w:rsid w:val="70A61B65"/>
    <w:rsid w:val="70A84617"/>
    <w:rsid w:val="70C82973"/>
    <w:rsid w:val="70C935FC"/>
    <w:rsid w:val="70CF096E"/>
    <w:rsid w:val="70D9CCB2"/>
    <w:rsid w:val="70F33611"/>
    <w:rsid w:val="70F41329"/>
    <w:rsid w:val="71033854"/>
    <w:rsid w:val="71092F52"/>
    <w:rsid w:val="710B26BE"/>
    <w:rsid w:val="714C256E"/>
    <w:rsid w:val="715727BF"/>
    <w:rsid w:val="7164387A"/>
    <w:rsid w:val="71874CB1"/>
    <w:rsid w:val="719F0766"/>
    <w:rsid w:val="71A30B93"/>
    <w:rsid w:val="71A52E8F"/>
    <w:rsid w:val="71BC1C54"/>
    <w:rsid w:val="71D36EFF"/>
    <w:rsid w:val="71E47B83"/>
    <w:rsid w:val="71F641B1"/>
    <w:rsid w:val="71FA5F0A"/>
    <w:rsid w:val="7205BEA6"/>
    <w:rsid w:val="721035FD"/>
    <w:rsid w:val="724118F3"/>
    <w:rsid w:val="727146D9"/>
    <w:rsid w:val="727B55A0"/>
    <w:rsid w:val="72862222"/>
    <w:rsid w:val="728873C3"/>
    <w:rsid w:val="72930AC8"/>
    <w:rsid w:val="729EDBBD"/>
    <w:rsid w:val="72AA4197"/>
    <w:rsid w:val="72AD687C"/>
    <w:rsid w:val="72BC63B0"/>
    <w:rsid w:val="72E60AFA"/>
    <w:rsid w:val="72E62A82"/>
    <w:rsid w:val="72FDF143"/>
    <w:rsid w:val="7305498B"/>
    <w:rsid w:val="7310996D"/>
    <w:rsid w:val="73164AEF"/>
    <w:rsid w:val="731676BE"/>
    <w:rsid w:val="73385847"/>
    <w:rsid w:val="734608C8"/>
    <w:rsid w:val="73523B65"/>
    <w:rsid w:val="73A46757"/>
    <w:rsid w:val="73A96C88"/>
    <w:rsid w:val="73BE3BC0"/>
    <w:rsid w:val="73D3501C"/>
    <w:rsid w:val="73DD20B5"/>
    <w:rsid w:val="73EF4563"/>
    <w:rsid w:val="73F30A24"/>
    <w:rsid w:val="740F13A0"/>
    <w:rsid w:val="740F1732"/>
    <w:rsid w:val="741F3753"/>
    <w:rsid w:val="742D6E39"/>
    <w:rsid w:val="744F52AA"/>
    <w:rsid w:val="74625526"/>
    <w:rsid w:val="74737229"/>
    <w:rsid w:val="747B78B3"/>
    <w:rsid w:val="748C038F"/>
    <w:rsid w:val="74B4AB20"/>
    <w:rsid w:val="74C5678E"/>
    <w:rsid w:val="74C6742F"/>
    <w:rsid w:val="74C7692B"/>
    <w:rsid w:val="74C81F26"/>
    <w:rsid w:val="74D36C4C"/>
    <w:rsid w:val="754B0E6C"/>
    <w:rsid w:val="754C51FF"/>
    <w:rsid w:val="755A1920"/>
    <w:rsid w:val="75650CA6"/>
    <w:rsid w:val="75997CEB"/>
    <w:rsid w:val="75A37283"/>
    <w:rsid w:val="75B67E87"/>
    <w:rsid w:val="75CD4A45"/>
    <w:rsid w:val="75D60992"/>
    <w:rsid w:val="75F35AB0"/>
    <w:rsid w:val="75F81B85"/>
    <w:rsid w:val="75FC2B54"/>
    <w:rsid w:val="76047964"/>
    <w:rsid w:val="760E4029"/>
    <w:rsid w:val="76230938"/>
    <w:rsid w:val="763027E7"/>
    <w:rsid w:val="763F27B7"/>
    <w:rsid w:val="764C17F9"/>
    <w:rsid w:val="76604420"/>
    <w:rsid w:val="766BD3CD"/>
    <w:rsid w:val="767B19C5"/>
    <w:rsid w:val="768076F4"/>
    <w:rsid w:val="76CE1700"/>
    <w:rsid w:val="76D503B8"/>
    <w:rsid w:val="76E012FB"/>
    <w:rsid w:val="76E7FA49"/>
    <w:rsid w:val="76E82CAC"/>
    <w:rsid w:val="76EB3BED"/>
    <w:rsid w:val="77040F0F"/>
    <w:rsid w:val="77057BFA"/>
    <w:rsid w:val="770C08ED"/>
    <w:rsid w:val="771F2441"/>
    <w:rsid w:val="772D266D"/>
    <w:rsid w:val="774E31E5"/>
    <w:rsid w:val="77A96CB8"/>
    <w:rsid w:val="77AC7F9D"/>
    <w:rsid w:val="77B52D54"/>
    <w:rsid w:val="77C27C4C"/>
    <w:rsid w:val="77CE623E"/>
    <w:rsid w:val="77CEAFA5"/>
    <w:rsid w:val="77F65404"/>
    <w:rsid w:val="780103C1"/>
    <w:rsid w:val="780B27B5"/>
    <w:rsid w:val="780D5D50"/>
    <w:rsid w:val="78127739"/>
    <w:rsid w:val="78127DE8"/>
    <w:rsid w:val="781C0DDF"/>
    <w:rsid w:val="7827392D"/>
    <w:rsid w:val="782D2E4E"/>
    <w:rsid w:val="7847E6AD"/>
    <w:rsid w:val="78537322"/>
    <w:rsid w:val="788318A0"/>
    <w:rsid w:val="7884B588"/>
    <w:rsid w:val="78890E39"/>
    <w:rsid w:val="78913191"/>
    <w:rsid w:val="78973DD4"/>
    <w:rsid w:val="789D458E"/>
    <w:rsid w:val="78A9006F"/>
    <w:rsid w:val="78BA2C76"/>
    <w:rsid w:val="78BC362E"/>
    <w:rsid w:val="78E71CAD"/>
    <w:rsid w:val="78ED0BD0"/>
    <w:rsid w:val="78FA6DBD"/>
    <w:rsid w:val="78FF3A9E"/>
    <w:rsid w:val="7907DD4A"/>
    <w:rsid w:val="79175E86"/>
    <w:rsid w:val="7919798C"/>
    <w:rsid w:val="79286D28"/>
    <w:rsid w:val="794739E7"/>
    <w:rsid w:val="79533C02"/>
    <w:rsid w:val="795860BB"/>
    <w:rsid w:val="79936FCC"/>
    <w:rsid w:val="79992730"/>
    <w:rsid w:val="79AB0782"/>
    <w:rsid w:val="79AC4A13"/>
    <w:rsid w:val="79CD165B"/>
    <w:rsid w:val="79D3527B"/>
    <w:rsid w:val="79DE4E5E"/>
    <w:rsid w:val="79E60525"/>
    <w:rsid w:val="79E96FA6"/>
    <w:rsid w:val="79FEF801"/>
    <w:rsid w:val="7A0120B0"/>
    <w:rsid w:val="7A036DE6"/>
    <w:rsid w:val="7A12251E"/>
    <w:rsid w:val="7A154DC9"/>
    <w:rsid w:val="7A182217"/>
    <w:rsid w:val="7A185606"/>
    <w:rsid w:val="7A185B76"/>
    <w:rsid w:val="7A445D7B"/>
    <w:rsid w:val="7A4B2275"/>
    <w:rsid w:val="7A5D5C88"/>
    <w:rsid w:val="7A6A36D7"/>
    <w:rsid w:val="7A7D3BF2"/>
    <w:rsid w:val="7A903C7E"/>
    <w:rsid w:val="7AA00365"/>
    <w:rsid w:val="7AD03B49"/>
    <w:rsid w:val="7AD4603F"/>
    <w:rsid w:val="7AD83C49"/>
    <w:rsid w:val="7AF06B00"/>
    <w:rsid w:val="7AF20149"/>
    <w:rsid w:val="7AFE508C"/>
    <w:rsid w:val="7B234A9A"/>
    <w:rsid w:val="7B295B47"/>
    <w:rsid w:val="7B2E771F"/>
    <w:rsid w:val="7B3B008E"/>
    <w:rsid w:val="7B56B43E"/>
    <w:rsid w:val="7B6DA345"/>
    <w:rsid w:val="7B6E5B6C"/>
    <w:rsid w:val="7B8241C6"/>
    <w:rsid w:val="7B8B5655"/>
    <w:rsid w:val="7B9667BA"/>
    <w:rsid w:val="7B9A6B62"/>
    <w:rsid w:val="7BA068ED"/>
    <w:rsid w:val="7BA10EA9"/>
    <w:rsid w:val="7BD14CD9"/>
    <w:rsid w:val="7BEE3352"/>
    <w:rsid w:val="7BF20D61"/>
    <w:rsid w:val="7C0A7D5E"/>
    <w:rsid w:val="7C1D555F"/>
    <w:rsid w:val="7C2A6772"/>
    <w:rsid w:val="7C526968"/>
    <w:rsid w:val="7C57649B"/>
    <w:rsid w:val="7C5B6A3F"/>
    <w:rsid w:val="7C5D20C8"/>
    <w:rsid w:val="7C631D89"/>
    <w:rsid w:val="7C6E7C1A"/>
    <w:rsid w:val="7C894643"/>
    <w:rsid w:val="7C9079E3"/>
    <w:rsid w:val="7CAC1CD8"/>
    <w:rsid w:val="7CAD172D"/>
    <w:rsid w:val="7CBC2FB3"/>
    <w:rsid w:val="7CC52EA6"/>
    <w:rsid w:val="7CCF6CE0"/>
    <w:rsid w:val="7CD80920"/>
    <w:rsid w:val="7CDB9E54"/>
    <w:rsid w:val="7CDF5E82"/>
    <w:rsid w:val="7CFE0B2D"/>
    <w:rsid w:val="7D012775"/>
    <w:rsid w:val="7D0E3A8C"/>
    <w:rsid w:val="7D0E8505"/>
    <w:rsid w:val="7D142945"/>
    <w:rsid w:val="7D157114"/>
    <w:rsid w:val="7D1E04AA"/>
    <w:rsid w:val="7D221B52"/>
    <w:rsid w:val="7D2A02EF"/>
    <w:rsid w:val="7D312E86"/>
    <w:rsid w:val="7D5F1288"/>
    <w:rsid w:val="7D641B1E"/>
    <w:rsid w:val="7D7E5154"/>
    <w:rsid w:val="7D8115D4"/>
    <w:rsid w:val="7D8128DF"/>
    <w:rsid w:val="7D9B0433"/>
    <w:rsid w:val="7DB3F99B"/>
    <w:rsid w:val="7DB8492A"/>
    <w:rsid w:val="7DC81AF2"/>
    <w:rsid w:val="7DCDE89D"/>
    <w:rsid w:val="7DD4080A"/>
    <w:rsid w:val="7DF6DB8A"/>
    <w:rsid w:val="7DFB6886"/>
    <w:rsid w:val="7E027FE3"/>
    <w:rsid w:val="7E14223D"/>
    <w:rsid w:val="7E4D18AA"/>
    <w:rsid w:val="7E5E26EE"/>
    <w:rsid w:val="7E64482E"/>
    <w:rsid w:val="7E650485"/>
    <w:rsid w:val="7E6A2CF9"/>
    <w:rsid w:val="7E881ED2"/>
    <w:rsid w:val="7E922066"/>
    <w:rsid w:val="7E9572DE"/>
    <w:rsid w:val="7E9878BA"/>
    <w:rsid w:val="7E9FA644"/>
    <w:rsid w:val="7EA84ECA"/>
    <w:rsid w:val="7EBE3FD4"/>
    <w:rsid w:val="7EE3E01D"/>
    <w:rsid w:val="7F0E407C"/>
    <w:rsid w:val="7F1B46D7"/>
    <w:rsid w:val="7F6A3571"/>
    <w:rsid w:val="7F6C3D50"/>
    <w:rsid w:val="7F742459"/>
    <w:rsid w:val="7F8B3B28"/>
    <w:rsid w:val="7F983776"/>
    <w:rsid w:val="7FA385F2"/>
    <w:rsid w:val="7FC36FDD"/>
    <w:rsid w:val="815D45D3"/>
    <w:rsid w:val="81C489F2"/>
    <w:rsid w:val="81CBEA39"/>
    <w:rsid w:val="81CF624E"/>
    <w:rsid w:val="825E8A63"/>
    <w:rsid w:val="82880544"/>
    <w:rsid w:val="82A1363F"/>
    <w:rsid w:val="842D8551"/>
    <w:rsid w:val="855F7A0C"/>
    <w:rsid w:val="85C8F573"/>
    <w:rsid w:val="85DE0D1E"/>
    <w:rsid w:val="85F74D40"/>
    <w:rsid w:val="863191DF"/>
    <w:rsid w:val="869A0824"/>
    <w:rsid w:val="86CF7773"/>
    <w:rsid w:val="871C433C"/>
    <w:rsid w:val="8736A10B"/>
    <w:rsid w:val="87462CC2"/>
    <w:rsid w:val="87D739E9"/>
    <w:rsid w:val="88363D3A"/>
    <w:rsid w:val="8865E0AA"/>
    <w:rsid w:val="895052C8"/>
    <w:rsid w:val="89595529"/>
    <w:rsid w:val="89A05FF8"/>
    <w:rsid w:val="8AFF99D9"/>
    <w:rsid w:val="8BA9993A"/>
    <w:rsid w:val="8C1426B3"/>
    <w:rsid w:val="8D6D93EB"/>
    <w:rsid w:val="8E387917"/>
    <w:rsid w:val="8EB53A38"/>
    <w:rsid w:val="8EEF074B"/>
    <w:rsid w:val="8FC25D5B"/>
    <w:rsid w:val="902A8A8F"/>
    <w:rsid w:val="90495A93"/>
    <w:rsid w:val="90655946"/>
    <w:rsid w:val="906764F3"/>
    <w:rsid w:val="9082A08C"/>
    <w:rsid w:val="9213F3EF"/>
    <w:rsid w:val="9255419B"/>
    <w:rsid w:val="92ECD8F6"/>
    <w:rsid w:val="92EFA03A"/>
    <w:rsid w:val="938DAA7A"/>
    <w:rsid w:val="9406F983"/>
    <w:rsid w:val="940AEFB5"/>
    <w:rsid w:val="94B38D50"/>
    <w:rsid w:val="94B6B687"/>
    <w:rsid w:val="959BDAC4"/>
    <w:rsid w:val="964BA021"/>
    <w:rsid w:val="968D08AD"/>
    <w:rsid w:val="96CDAE63"/>
    <w:rsid w:val="96D10F72"/>
    <w:rsid w:val="9746BCDC"/>
    <w:rsid w:val="988A3FC8"/>
    <w:rsid w:val="98B5ED45"/>
    <w:rsid w:val="9A1B7584"/>
    <w:rsid w:val="9A58B76F"/>
    <w:rsid w:val="9BF73E76"/>
    <w:rsid w:val="9BF90BD3"/>
    <w:rsid w:val="9C0431BC"/>
    <w:rsid w:val="9C4CE787"/>
    <w:rsid w:val="9C9CF0A7"/>
    <w:rsid w:val="9CCF0251"/>
    <w:rsid w:val="9D7B6C20"/>
    <w:rsid w:val="A0423F4C"/>
    <w:rsid w:val="A0753DE4"/>
    <w:rsid w:val="A0D61FBB"/>
    <w:rsid w:val="A1B86BA4"/>
    <w:rsid w:val="A21E7CD4"/>
    <w:rsid w:val="A29432E4"/>
    <w:rsid w:val="A411544A"/>
    <w:rsid w:val="A433B70A"/>
    <w:rsid w:val="A443D049"/>
    <w:rsid w:val="A4535C0A"/>
    <w:rsid w:val="A45EBF13"/>
    <w:rsid w:val="A5357876"/>
    <w:rsid w:val="A5D7CA9E"/>
    <w:rsid w:val="A6081D0F"/>
    <w:rsid w:val="A615308D"/>
    <w:rsid w:val="A6602DBF"/>
    <w:rsid w:val="A7344BEE"/>
    <w:rsid w:val="A75FE230"/>
    <w:rsid w:val="A82B9E91"/>
    <w:rsid w:val="A86BD89E"/>
    <w:rsid w:val="A86FC1D4"/>
    <w:rsid w:val="A88E6534"/>
    <w:rsid w:val="A8BEEB65"/>
    <w:rsid w:val="A8DA5B92"/>
    <w:rsid w:val="AA77A50B"/>
    <w:rsid w:val="AACDD43E"/>
    <w:rsid w:val="AB3B5A64"/>
    <w:rsid w:val="AD43DD82"/>
    <w:rsid w:val="AE726E54"/>
    <w:rsid w:val="B008F4B7"/>
    <w:rsid w:val="B01EDF56"/>
    <w:rsid w:val="B0299B1A"/>
    <w:rsid w:val="B10825E1"/>
    <w:rsid w:val="B16115AC"/>
    <w:rsid w:val="B25C5A21"/>
    <w:rsid w:val="B267DEDF"/>
    <w:rsid w:val="B28BDAC6"/>
    <w:rsid w:val="B2BA9AD5"/>
    <w:rsid w:val="B34B1E32"/>
    <w:rsid w:val="B38D3C80"/>
    <w:rsid w:val="B38F5CD6"/>
    <w:rsid w:val="B4F719AB"/>
    <w:rsid w:val="B517B867"/>
    <w:rsid w:val="B54724AE"/>
    <w:rsid w:val="B556C168"/>
    <w:rsid w:val="B5C884F4"/>
    <w:rsid w:val="B66B7B24"/>
    <w:rsid w:val="B6859ED6"/>
    <w:rsid w:val="B68E5B2F"/>
    <w:rsid w:val="B6B6F1DA"/>
    <w:rsid w:val="B7066DD9"/>
    <w:rsid w:val="B87AE262"/>
    <w:rsid w:val="B8B42B1F"/>
    <w:rsid w:val="B9E0510A"/>
    <w:rsid w:val="B9E080BC"/>
    <w:rsid w:val="BA36AC09"/>
    <w:rsid w:val="BA7D7EF2"/>
    <w:rsid w:val="BAFBC9FC"/>
    <w:rsid w:val="BC774970"/>
    <w:rsid w:val="BCCFBD97"/>
    <w:rsid w:val="BD069A6E"/>
    <w:rsid w:val="BDA0323A"/>
    <w:rsid w:val="BDAB9D0C"/>
    <w:rsid w:val="BE272DAF"/>
    <w:rsid w:val="BF7B4D5B"/>
    <w:rsid w:val="C0693078"/>
    <w:rsid w:val="C078693C"/>
    <w:rsid w:val="C0974243"/>
    <w:rsid w:val="C0C54371"/>
    <w:rsid w:val="C19E8C96"/>
    <w:rsid w:val="C1F0ECC3"/>
    <w:rsid w:val="C2437B8A"/>
    <w:rsid w:val="C327489A"/>
    <w:rsid w:val="C352C627"/>
    <w:rsid w:val="C35CBEFD"/>
    <w:rsid w:val="C3B498B0"/>
    <w:rsid w:val="C3D8FE08"/>
    <w:rsid w:val="C426A47F"/>
    <w:rsid w:val="C4799483"/>
    <w:rsid w:val="C6A31856"/>
    <w:rsid w:val="C6ADF10B"/>
    <w:rsid w:val="C70076C0"/>
    <w:rsid w:val="C8173597"/>
    <w:rsid w:val="C84541F7"/>
    <w:rsid w:val="C9B9DBE9"/>
    <w:rsid w:val="CADFE8D2"/>
    <w:rsid w:val="CB1D981C"/>
    <w:rsid w:val="CB4783B1"/>
    <w:rsid w:val="CB50AD2E"/>
    <w:rsid w:val="CBD4172E"/>
    <w:rsid w:val="CC53E3E9"/>
    <w:rsid w:val="CC82D264"/>
    <w:rsid w:val="CD7B8D6C"/>
    <w:rsid w:val="CE24C05A"/>
    <w:rsid w:val="CE834359"/>
    <w:rsid w:val="CE9A4710"/>
    <w:rsid w:val="CEC49205"/>
    <w:rsid w:val="CEFA3746"/>
    <w:rsid w:val="CF47F4C9"/>
    <w:rsid w:val="CFC7AE5D"/>
    <w:rsid w:val="D06D65EA"/>
    <w:rsid w:val="D0F7472E"/>
    <w:rsid w:val="D19FC85D"/>
    <w:rsid w:val="D1A612CF"/>
    <w:rsid w:val="D20AC37C"/>
    <w:rsid w:val="D263E0DF"/>
    <w:rsid w:val="D3026467"/>
    <w:rsid w:val="D4AB3698"/>
    <w:rsid w:val="D549A56F"/>
    <w:rsid w:val="D5529B35"/>
    <w:rsid w:val="D65FF33E"/>
    <w:rsid w:val="D6E05096"/>
    <w:rsid w:val="D774A8A3"/>
    <w:rsid w:val="D8174F1B"/>
    <w:rsid w:val="D826C7AF"/>
    <w:rsid w:val="D940AA7C"/>
    <w:rsid w:val="D9804CD7"/>
    <w:rsid w:val="D9918B7C"/>
    <w:rsid w:val="DA48CF4C"/>
    <w:rsid w:val="DAC9A9BC"/>
    <w:rsid w:val="DB1FDF15"/>
    <w:rsid w:val="DB5033A8"/>
    <w:rsid w:val="DB83A1A5"/>
    <w:rsid w:val="DBACCF6A"/>
    <w:rsid w:val="DCFF995B"/>
    <w:rsid w:val="DD1D316E"/>
    <w:rsid w:val="DD27902E"/>
    <w:rsid w:val="DDC5944B"/>
    <w:rsid w:val="DE032200"/>
    <w:rsid w:val="DE3DB8D3"/>
    <w:rsid w:val="DE88AB67"/>
    <w:rsid w:val="DF61F323"/>
    <w:rsid w:val="DFBC08CB"/>
    <w:rsid w:val="E0DFDE49"/>
    <w:rsid w:val="E140ADA8"/>
    <w:rsid w:val="E15F969C"/>
    <w:rsid w:val="E27DB72B"/>
    <w:rsid w:val="E30910E7"/>
    <w:rsid w:val="E3484BD9"/>
    <w:rsid w:val="E3FC5201"/>
    <w:rsid w:val="E41D66E0"/>
    <w:rsid w:val="E4202B2F"/>
    <w:rsid w:val="E46F218F"/>
    <w:rsid w:val="E4859783"/>
    <w:rsid w:val="E54FDCDC"/>
    <w:rsid w:val="E59BD697"/>
    <w:rsid w:val="E5AC5E59"/>
    <w:rsid w:val="E5D0C9A5"/>
    <w:rsid w:val="E5DC66C1"/>
    <w:rsid w:val="E6896E57"/>
    <w:rsid w:val="E7A86F72"/>
    <w:rsid w:val="E7B5A841"/>
    <w:rsid w:val="E7BEB275"/>
    <w:rsid w:val="E7E1D530"/>
    <w:rsid w:val="E829DA99"/>
    <w:rsid w:val="E866FA5E"/>
    <w:rsid w:val="E89A5BFD"/>
    <w:rsid w:val="E958C6DE"/>
    <w:rsid w:val="E95DB733"/>
    <w:rsid w:val="EC0CF28D"/>
    <w:rsid w:val="EC237187"/>
    <w:rsid w:val="EC5DFEF0"/>
    <w:rsid w:val="ED6049D3"/>
    <w:rsid w:val="EE88C759"/>
    <w:rsid w:val="EEA8D897"/>
    <w:rsid w:val="EECF9DAA"/>
    <w:rsid w:val="EF1ECBB2"/>
    <w:rsid w:val="EF709EB3"/>
    <w:rsid w:val="EF9940AB"/>
    <w:rsid w:val="EF9B5C93"/>
    <w:rsid w:val="EFB981E6"/>
    <w:rsid w:val="F022F41D"/>
    <w:rsid w:val="F095D3C1"/>
    <w:rsid w:val="F0962FDA"/>
    <w:rsid w:val="F19D0F0B"/>
    <w:rsid w:val="F19F5720"/>
    <w:rsid w:val="F1A3CD0C"/>
    <w:rsid w:val="F1BCC56D"/>
    <w:rsid w:val="F2AEB39F"/>
    <w:rsid w:val="F2CEDF74"/>
    <w:rsid w:val="F2D2431D"/>
    <w:rsid w:val="F428C0CE"/>
    <w:rsid w:val="F57F40B7"/>
    <w:rsid w:val="F5F36B7D"/>
    <w:rsid w:val="F61C54FF"/>
    <w:rsid w:val="F6288F44"/>
    <w:rsid w:val="F649FBB5"/>
    <w:rsid w:val="F6633F8B"/>
    <w:rsid w:val="F6902486"/>
    <w:rsid w:val="F7941D08"/>
    <w:rsid w:val="F819A319"/>
    <w:rsid w:val="F81A2641"/>
    <w:rsid w:val="F869D9D8"/>
    <w:rsid w:val="F8F35A9B"/>
    <w:rsid w:val="F974033D"/>
    <w:rsid w:val="FA7A8E70"/>
    <w:rsid w:val="FA9FE61C"/>
    <w:rsid w:val="FAD11090"/>
    <w:rsid w:val="FB59D600"/>
    <w:rsid w:val="FCA37699"/>
    <w:rsid w:val="FE0D56CC"/>
    <w:rsid w:val="FE951F29"/>
    <w:rsid w:val="FED26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name="Body Text 2"/>
    <w:lsdException w:qFormat="1" w:unhideWhenUsed="0" w:uiPriority="0" w:name="Body Text 3"/>
    <w:lsdException w:qFormat="1" w:unhideWhenUsed="0" w:uiPriority="0" w:semiHidden="0" w:name="Body Text Indent 2"/>
    <w:lsdException w:qFormat="1" w:uiPriority="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6"/>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58"/>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102"/>
    <w:qFormat/>
    <w:uiPriority w:val="0"/>
    <w:pPr>
      <w:keepNext/>
      <w:keepLines/>
      <w:spacing w:before="260" w:after="260" w:line="413" w:lineRule="auto"/>
      <w:outlineLvl w:val="2"/>
    </w:pPr>
    <w:rPr>
      <w:rFonts w:ascii="Times New Roman" w:hAnsi="Times New Roman"/>
      <w:b/>
      <w:bCs/>
      <w:sz w:val="32"/>
      <w:szCs w:val="32"/>
    </w:rPr>
  </w:style>
  <w:style w:type="paragraph" w:styleId="5">
    <w:name w:val="heading 4"/>
    <w:basedOn w:val="1"/>
    <w:next w:val="1"/>
    <w:link w:val="68"/>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link w:val="88"/>
    <w:qFormat/>
    <w:uiPriority w:val="0"/>
    <w:pPr>
      <w:keepNext/>
      <w:keepLines/>
      <w:spacing w:before="280" w:after="290" w:line="372"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spacing w:before="240" w:after="64" w:line="317" w:lineRule="auto"/>
      <w:outlineLvl w:val="5"/>
    </w:pPr>
    <w:rPr>
      <w:rFonts w:ascii="Cambria" w:hAnsi="Cambria"/>
      <w:b/>
      <w:bCs/>
      <w:sz w:val="24"/>
      <w:szCs w:val="24"/>
    </w:rPr>
  </w:style>
  <w:style w:type="paragraph" w:styleId="8">
    <w:name w:val="heading 7"/>
    <w:basedOn w:val="1"/>
    <w:next w:val="1"/>
    <w:link w:val="96"/>
    <w:qFormat/>
    <w:uiPriority w:val="0"/>
    <w:pPr>
      <w:keepNext/>
      <w:keepLines/>
      <w:spacing w:before="240" w:after="64" w:line="317" w:lineRule="auto"/>
      <w:outlineLvl w:val="6"/>
    </w:pPr>
    <w:rPr>
      <w:rFonts w:ascii="Times New Roman" w:hAnsi="Times New Roman"/>
      <w:b/>
      <w:bCs/>
      <w:sz w:val="24"/>
      <w:szCs w:val="24"/>
    </w:rPr>
  </w:style>
  <w:style w:type="paragraph" w:styleId="9">
    <w:name w:val="heading 8"/>
    <w:basedOn w:val="1"/>
    <w:next w:val="1"/>
    <w:link w:val="98"/>
    <w:qFormat/>
    <w:uiPriority w:val="0"/>
    <w:pPr>
      <w:keepNext/>
      <w:keepLines/>
      <w:spacing w:before="240" w:after="64" w:line="317" w:lineRule="auto"/>
      <w:outlineLvl w:val="7"/>
    </w:pPr>
    <w:rPr>
      <w:rFonts w:ascii="Cambria" w:hAnsi="Cambria"/>
      <w:sz w:val="24"/>
      <w:szCs w:val="24"/>
    </w:rPr>
  </w:style>
  <w:style w:type="paragraph" w:styleId="10">
    <w:name w:val="heading 9"/>
    <w:basedOn w:val="1"/>
    <w:next w:val="1"/>
    <w:link w:val="91"/>
    <w:qFormat/>
    <w:uiPriority w:val="0"/>
    <w:pPr>
      <w:keepNext/>
      <w:keepLines/>
      <w:spacing w:before="240" w:after="64" w:line="317" w:lineRule="auto"/>
      <w:outlineLvl w:val="8"/>
    </w:pPr>
    <w:rPr>
      <w:rFonts w:ascii="Cambria" w:hAnsi="Cambria"/>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Times New Roman" w:hAnsi="Times New Roman"/>
    </w:rPr>
  </w:style>
  <w:style w:type="paragraph" w:styleId="12">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59"/>
    <w:qFormat/>
    <w:uiPriority w:val="0"/>
    <w:pPr>
      <w:shd w:val="clear" w:color="auto" w:fill="000080"/>
    </w:pPr>
    <w:rPr>
      <w:rFonts w:ascii="Times New Roman" w:hAnsi="Times New Roman"/>
      <w:szCs w:val="24"/>
      <w:shd w:val="clear" w:color="auto" w:fill="000080"/>
    </w:rPr>
  </w:style>
  <w:style w:type="paragraph" w:styleId="15">
    <w:name w:val="toa heading"/>
    <w:basedOn w:val="1"/>
    <w:next w:val="1"/>
    <w:semiHidden/>
    <w:qFormat/>
    <w:uiPriority w:val="0"/>
    <w:pPr>
      <w:widowControl/>
      <w:tabs>
        <w:tab w:val="left" w:pos="9000"/>
        <w:tab w:val="right" w:pos="9360"/>
      </w:tabs>
      <w:suppressAutoHyphens/>
      <w:jc w:val="left"/>
    </w:pPr>
    <w:rPr>
      <w:rFonts w:ascii="Courier" w:hAnsi="Courier"/>
      <w:kern w:val="0"/>
      <w:sz w:val="24"/>
      <w:szCs w:val="20"/>
    </w:rPr>
  </w:style>
  <w:style w:type="paragraph" w:styleId="16">
    <w:name w:val="annotation text"/>
    <w:basedOn w:val="1"/>
    <w:link w:val="85"/>
    <w:qFormat/>
    <w:uiPriority w:val="0"/>
    <w:pPr>
      <w:jc w:val="left"/>
    </w:pPr>
    <w:rPr>
      <w:rFonts w:ascii="Times New Roman" w:hAnsi="Times New Roman"/>
    </w:rPr>
  </w:style>
  <w:style w:type="paragraph" w:styleId="17">
    <w:name w:val="Body Text 3"/>
    <w:basedOn w:val="1"/>
    <w:link w:val="152"/>
    <w:semiHidden/>
    <w:qFormat/>
    <w:uiPriority w:val="0"/>
    <w:pPr>
      <w:widowControl/>
      <w:jc w:val="center"/>
    </w:pPr>
    <w:rPr>
      <w:rFonts w:ascii="宋体" w:hAnsi="Times New Roman"/>
      <w:spacing w:val="20"/>
      <w:kern w:val="0"/>
      <w:sz w:val="22"/>
      <w:szCs w:val="20"/>
    </w:rPr>
  </w:style>
  <w:style w:type="paragraph" w:styleId="18">
    <w:name w:val="Body Text"/>
    <w:basedOn w:val="1"/>
    <w:link w:val="74"/>
    <w:qFormat/>
    <w:uiPriority w:val="0"/>
    <w:pPr>
      <w:adjustRightInd w:val="0"/>
      <w:spacing w:after="60" w:line="360" w:lineRule="atLeast"/>
      <w:ind w:left="72" w:leftChars="30" w:right="30" w:rightChars="30"/>
      <w:jc w:val="center"/>
      <w:textAlignment w:val="baseline"/>
    </w:pPr>
    <w:rPr>
      <w:rFonts w:ascii="Times New Roman" w:hAnsi="Times New Roman"/>
    </w:rPr>
  </w:style>
  <w:style w:type="paragraph" w:styleId="19">
    <w:name w:val="Body Text Indent"/>
    <w:basedOn w:val="1"/>
    <w:link w:val="153"/>
    <w:semiHidden/>
    <w:qFormat/>
    <w:uiPriority w:val="0"/>
    <w:pPr>
      <w:spacing w:line="360" w:lineRule="auto"/>
      <w:ind w:firstLine="420"/>
    </w:pPr>
    <w:rPr>
      <w:rFonts w:ascii="宋体" w:hAnsi="Times New Roman"/>
      <w:spacing w:val="20"/>
      <w:sz w:val="24"/>
      <w:szCs w:val="24"/>
    </w:rPr>
  </w:style>
  <w:style w:type="paragraph" w:styleId="20">
    <w:name w:val="index 4"/>
    <w:basedOn w:val="1"/>
    <w:next w:val="1"/>
    <w:qFormat/>
    <w:uiPriority w:val="0"/>
    <w:pPr>
      <w:ind w:left="600" w:leftChars="600"/>
    </w:pPr>
    <w:rPr>
      <w:rFonts w:ascii="Times New Roman" w:hAnsi="Times New Roman"/>
      <w:szCs w:val="24"/>
    </w:rPr>
  </w:style>
  <w:style w:type="paragraph" w:styleId="21">
    <w:name w:val="toc 5"/>
    <w:basedOn w:val="1"/>
    <w:next w:val="1"/>
    <w:qFormat/>
    <w:uiPriority w:val="0"/>
    <w:pPr>
      <w:tabs>
        <w:tab w:val="right" w:leader="dot" w:pos="8296"/>
      </w:tabs>
      <w:ind w:left="1050" w:leftChars="500"/>
    </w:pPr>
    <w:rPr>
      <w:rFonts w:ascii="Times New Roman" w:hAnsi="Times New Roman"/>
    </w:rPr>
  </w:style>
  <w:style w:type="paragraph" w:styleId="22">
    <w:name w:val="toc 3"/>
    <w:basedOn w:val="1"/>
    <w:next w:val="1"/>
    <w:qFormat/>
    <w:uiPriority w:val="0"/>
    <w:pPr>
      <w:ind w:left="840" w:leftChars="400"/>
    </w:pPr>
    <w:rPr>
      <w:rFonts w:ascii="Times New Roman" w:hAnsi="Times New Roman"/>
    </w:rPr>
  </w:style>
  <w:style w:type="paragraph" w:styleId="23">
    <w:name w:val="toc 8"/>
    <w:basedOn w:val="1"/>
    <w:next w:val="1"/>
    <w:qFormat/>
    <w:uiPriority w:val="0"/>
    <w:pPr>
      <w:ind w:left="2940" w:leftChars="1400"/>
    </w:pPr>
    <w:rPr>
      <w:rFonts w:ascii="Times New Roman" w:hAnsi="Times New Roman"/>
    </w:rPr>
  </w:style>
  <w:style w:type="paragraph" w:styleId="24">
    <w:name w:val="Date"/>
    <w:basedOn w:val="1"/>
    <w:next w:val="1"/>
    <w:link w:val="54"/>
    <w:qFormat/>
    <w:uiPriority w:val="99"/>
    <w:pPr>
      <w:ind w:left="100" w:leftChars="2500"/>
    </w:pPr>
    <w:rPr>
      <w:rFonts w:ascii="宋体" w:hAnsi="Times New Roman"/>
      <w:sz w:val="28"/>
    </w:rPr>
  </w:style>
  <w:style w:type="paragraph" w:styleId="25">
    <w:name w:val="Body Text Indent 2"/>
    <w:basedOn w:val="1"/>
    <w:link w:val="99"/>
    <w:qFormat/>
    <w:uiPriority w:val="0"/>
    <w:pPr>
      <w:spacing w:line="300" w:lineRule="auto"/>
      <w:ind w:left="418" w:leftChars="199"/>
    </w:pPr>
    <w:rPr>
      <w:rFonts w:ascii="Times New Roman" w:hAnsi="Times New Roman"/>
      <w:sz w:val="24"/>
      <w:szCs w:val="20"/>
    </w:rPr>
  </w:style>
  <w:style w:type="paragraph" w:styleId="26">
    <w:name w:val="Balloon Text"/>
    <w:basedOn w:val="1"/>
    <w:link w:val="73"/>
    <w:qFormat/>
    <w:uiPriority w:val="0"/>
    <w:rPr>
      <w:rFonts w:ascii="宋体" w:hAnsi="Times New Roman"/>
      <w:sz w:val="18"/>
      <w:szCs w:val="18"/>
    </w:rPr>
  </w:style>
  <w:style w:type="paragraph" w:styleId="27">
    <w:name w:val="footer"/>
    <w:basedOn w:val="1"/>
    <w:link w:val="100"/>
    <w:qFormat/>
    <w:uiPriority w:val="0"/>
    <w:pPr>
      <w:tabs>
        <w:tab w:val="center" w:pos="4153"/>
        <w:tab w:val="right" w:pos="8306"/>
      </w:tabs>
      <w:snapToGrid w:val="0"/>
      <w:jc w:val="left"/>
    </w:pPr>
    <w:rPr>
      <w:rFonts w:ascii="Times New Roman" w:hAnsi="Times New Roman"/>
      <w:sz w:val="18"/>
      <w:szCs w:val="18"/>
    </w:rPr>
  </w:style>
  <w:style w:type="paragraph" w:styleId="28">
    <w:name w:val="header"/>
    <w:basedOn w:val="1"/>
    <w:link w:val="5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9">
    <w:name w:val="toc 1"/>
    <w:basedOn w:val="1"/>
    <w:next w:val="1"/>
    <w:qFormat/>
    <w:uiPriority w:val="39"/>
    <w:pPr>
      <w:tabs>
        <w:tab w:val="right" w:leader="dot" w:pos="8296"/>
      </w:tabs>
    </w:pPr>
    <w:rPr>
      <w:rFonts w:ascii="宋体" w:hAnsi="Times New Roman" w:eastAsia="楷体_GB2312" w:cs="TimesNewRomanPSMT"/>
      <w:b/>
      <w:kern w:val="0"/>
      <w:sz w:val="28"/>
      <w:szCs w:val="20"/>
    </w:rPr>
  </w:style>
  <w:style w:type="paragraph" w:styleId="30">
    <w:name w:val="toc 4"/>
    <w:basedOn w:val="1"/>
    <w:next w:val="1"/>
    <w:qFormat/>
    <w:uiPriority w:val="0"/>
    <w:pPr>
      <w:tabs>
        <w:tab w:val="left" w:pos="1890"/>
        <w:tab w:val="right" w:leader="dot" w:pos="8296"/>
      </w:tabs>
      <w:ind w:left="630" w:leftChars="300"/>
    </w:pPr>
    <w:rPr>
      <w:rFonts w:ascii="Times New Roman" w:hAnsi="Times New Roman"/>
    </w:rPr>
  </w:style>
  <w:style w:type="paragraph" w:styleId="31">
    <w:name w:val="Subtitle"/>
    <w:basedOn w:val="1"/>
    <w:next w:val="1"/>
    <w:link w:val="84"/>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0"/>
    <w:pPr>
      <w:ind w:left="2100" w:leftChars="1000"/>
    </w:pPr>
    <w:rPr>
      <w:rFonts w:ascii="Times New Roman" w:hAnsi="Times New Roman"/>
    </w:rPr>
  </w:style>
  <w:style w:type="paragraph" w:styleId="33">
    <w:name w:val="Body Text Indent 3"/>
    <w:basedOn w:val="1"/>
    <w:link w:val="122"/>
    <w:semiHidden/>
    <w:unhideWhenUsed/>
    <w:qFormat/>
    <w:uiPriority w:val="0"/>
    <w:pPr>
      <w:spacing w:after="120"/>
      <w:ind w:left="420" w:leftChars="200"/>
    </w:pPr>
    <w:rPr>
      <w:sz w:val="16"/>
      <w:szCs w:val="16"/>
    </w:rPr>
  </w:style>
  <w:style w:type="paragraph" w:styleId="34">
    <w:name w:val="table of figures"/>
    <w:basedOn w:val="1"/>
    <w:next w:val="1"/>
    <w:qFormat/>
    <w:uiPriority w:val="0"/>
    <w:pPr>
      <w:ind w:left="200" w:leftChars="200" w:hanging="200" w:hangingChars="200"/>
    </w:pPr>
    <w:rPr>
      <w:rFonts w:ascii="Times New Roman" w:hAnsi="Times New Roman"/>
    </w:rPr>
  </w:style>
  <w:style w:type="paragraph" w:styleId="35">
    <w:name w:val="toc 2"/>
    <w:basedOn w:val="1"/>
    <w:next w:val="1"/>
    <w:qFormat/>
    <w:uiPriority w:val="0"/>
    <w:pPr>
      <w:ind w:left="420" w:leftChars="200"/>
    </w:pPr>
    <w:rPr>
      <w:rFonts w:ascii="宋体" w:hAnsi="Times New Roman"/>
      <w:b/>
      <w:sz w:val="28"/>
      <w:szCs w:val="20"/>
    </w:rPr>
  </w:style>
  <w:style w:type="paragraph" w:styleId="36">
    <w:name w:val="toc 9"/>
    <w:basedOn w:val="1"/>
    <w:next w:val="1"/>
    <w:qFormat/>
    <w:uiPriority w:val="0"/>
    <w:pPr>
      <w:ind w:left="3360" w:leftChars="1600"/>
    </w:pPr>
    <w:rPr>
      <w:rFonts w:ascii="Times New Roman" w:hAnsi="Times New Roman"/>
    </w:rPr>
  </w:style>
  <w:style w:type="paragraph" w:styleId="37">
    <w:name w:val="Body Text 2"/>
    <w:basedOn w:val="1"/>
    <w:link w:val="154"/>
    <w:semiHidden/>
    <w:qFormat/>
    <w:uiPriority w:val="0"/>
    <w:pPr>
      <w:widowControl/>
      <w:jc w:val="center"/>
    </w:pPr>
    <w:rPr>
      <w:rFonts w:ascii="宋体" w:hAnsi="Times New Roman"/>
      <w:spacing w:val="20"/>
      <w:kern w:val="0"/>
      <w:sz w:val="24"/>
      <w:szCs w:val="20"/>
    </w:rPr>
  </w:style>
  <w:style w:type="paragraph" w:styleId="38">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39">
    <w:name w:val="Title"/>
    <w:basedOn w:val="1"/>
    <w:next w:val="1"/>
    <w:link w:val="82"/>
    <w:qFormat/>
    <w:uiPriority w:val="0"/>
    <w:pPr>
      <w:spacing w:before="240" w:after="60"/>
      <w:jc w:val="center"/>
      <w:outlineLvl w:val="0"/>
    </w:pPr>
    <w:rPr>
      <w:rFonts w:ascii="Cambria" w:hAnsi="Cambria"/>
      <w:b/>
      <w:bCs/>
      <w:sz w:val="32"/>
      <w:szCs w:val="32"/>
    </w:rPr>
  </w:style>
  <w:style w:type="paragraph" w:styleId="40">
    <w:name w:val="annotation subject"/>
    <w:basedOn w:val="16"/>
    <w:next w:val="16"/>
    <w:link w:val="90"/>
    <w:qFormat/>
    <w:uiPriority w:val="99"/>
    <w:rPr>
      <w:rFonts w:ascii="宋体"/>
      <w:b/>
      <w:bCs/>
      <w:sz w:val="28"/>
    </w:rPr>
  </w:style>
  <w:style w:type="table" w:styleId="42">
    <w:name w:val="Table Grid"/>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22"/>
    <w:rPr>
      <w:rFonts w:ascii="Times New Roman" w:hAnsi="Times New Roman" w:eastAsia="宋体" w:cs="Times New Roman"/>
      <w:b/>
      <w:bCs/>
    </w:rPr>
  </w:style>
  <w:style w:type="character" w:styleId="45">
    <w:name w:val="page number"/>
    <w:qFormat/>
    <w:uiPriority w:val="0"/>
    <w:rPr>
      <w:rFonts w:ascii="Times New Roman" w:hAnsi="Times New Roman" w:eastAsia="宋体" w:cs="Times New Roman"/>
    </w:rPr>
  </w:style>
  <w:style w:type="character" w:styleId="46">
    <w:name w:val="FollowedHyperlink"/>
    <w:unhideWhenUsed/>
    <w:qFormat/>
    <w:uiPriority w:val="99"/>
    <w:rPr>
      <w:rFonts w:ascii="Times New Roman" w:hAnsi="Times New Roman" w:eastAsia="宋体" w:cs="Times New Roman"/>
      <w:color w:val="954F72"/>
      <w:u w:val="single"/>
    </w:rPr>
  </w:style>
  <w:style w:type="character" w:styleId="47">
    <w:name w:val="Emphasis"/>
    <w:qFormat/>
    <w:uiPriority w:val="0"/>
    <w:rPr>
      <w:rFonts w:ascii="Times New Roman" w:hAnsi="Times New Roman" w:eastAsia="宋体" w:cs="Times New Roman"/>
      <w:i/>
      <w:iCs/>
    </w:rPr>
  </w:style>
  <w:style w:type="character" w:styleId="48">
    <w:name w:val="Hyperlink"/>
    <w:qFormat/>
    <w:uiPriority w:val="99"/>
    <w:rPr>
      <w:rFonts w:ascii="Times New Roman" w:hAnsi="Times New Roman" w:eastAsia="宋体" w:cs="Times New Roman"/>
      <w:color w:val="0000FF"/>
      <w:u w:val="single"/>
    </w:rPr>
  </w:style>
  <w:style w:type="character" w:styleId="49">
    <w:name w:val="annotation reference"/>
    <w:qFormat/>
    <w:uiPriority w:val="99"/>
    <w:rPr>
      <w:rFonts w:ascii="Times New Roman" w:hAnsi="Times New Roman" w:eastAsia="宋体" w:cs="Times New Roman"/>
      <w:sz w:val="21"/>
      <w:szCs w:val="21"/>
    </w:rPr>
  </w:style>
  <w:style w:type="character" w:customStyle="1" w:styleId="50">
    <w:name w:val="页眉 字符"/>
    <w:link w:val="28"/>
    <w:qFormat/>
    <w:uiPriority w:val="0"/>
    <w:rPr>
      <w:rFonts w:ascii="Times New Roman" w:hAnsi="Times New Roman" w:eastAsia="宋体" w:cs="Times New Roman"/>
      <w:kern w:val="2"/>
      <w:sz w:val="18"/>
      <w:szCs w:val="18"/>
    </w:rPr>
  </w:style>
  <w:style w:type="character" w:customStyle="1" w:styleId="51">
    <w:name w:val="段 字符"/>
    <w:link w:val="52"/>
    <w:qFormat/>
    <w:uiPriority w:val="0"/>
    <w:rPr>
      <w:rFonts w:ascii="宋体" w:hAnsi="Times New Roman" w:eastAsia="宋体" w:cs="Times New Roman"/>
      <w:color w:val="000000"/>
      <w:sz w:val="21"/>
    </w:rPr>
  </w:style>
  <w:style w:type="paragraph" w:customStyle="1" w:styleId="52">
    <w:name w:val="段"/>
    <w:basedOn w:val="1"/>
    <w:link w:val="51"/>
    <w:qFormat/>
    <w:uiPriority w:val="0"/>
    <w:pPr>
      <w:widowControl/>
      <w:tabs>
        <w:tab w:val="center" w:pos="4201"/>
        <w:tab w:val="right" w:leader="dot" w:pos="9298"/>
      </w:tabs>
      <w:autoSpaceDE w:val="0"/>
      <w:autoSpaceDN w:val="0"/>
      <w:adjustRightInd w:val="0"/>
      <w:snapToGrid w:val="0"/>
      <w:spacing w:line="360" w:lineRule="auto"/>
      <w:ind w:firstLine="420" w:firstLineChars="200"/>
    </w:pPr>
    <w:rPr>
      <w:rFonts w:ascii="宋体" w:hAnsi="Times New Roman"/>
      <w:color w:val="000000"/>
      <w:kern w:val="0"/>
      <w:szCs w:val="20"/>
    </w:rPr>
  </w:style>
  <w:style w:type="character" w:customStyle="1" w:styleId="53">
    <w:name w:val="不明显强调1"/>
    <w:qFormat/>
    <w:uiPriority w:val="0"/>
    <w:rPr>
      <w:rFonts w:ascii="Times New Roman" w:hAnsi="Times New Roman" w:eastAsia="宋体" w:cs="Times New Roman"/>
      <w:i/>
      <w:iCs/>
      <w:color w:val="808080"/>
    </w:rPr>
  </w:style>
  <w:style w:type="character" w:customStyle="1" w:styleId="54">
    <w:name w:val="日期 字符"/>
    <w:link w:val="24"/>
    <w:qFormat/>
    <w:uiPriority w:val="99"/>
    <w:rPr>
      <w:rFonts w:ascii="宋体" w:hAnsi="Times New Roman" w:eastAsia="宋体" w:cs="Times New Roman"/>
      <w:sz w:val="28"/>
    </w:rPr>
  </w:style>
  <w:style w:type="character" w:customStyle="1" w:styleId="55">
    <w:name w:val="样式1-正文 Char"/>
    <w:link w:val="56"/>
    <w:qFormat/>
    <w:uiPriority w:val="0"/>
    <w:rPr>
      <w:rFonts w:ascii="Times New Roman" w:hAnsi="Times New Roman" w:eastAsia="仿宋_GB2312" w:cs="Times New Roman"/>
      <w:color w:val="000000"/>
      <w:sz w:val="21"/>
      <w:szCs w:val="32"/>
    </w:rPr>
  </w:style>
  <w:style w:type="paragraph" w:customStyle="1" w:styleId="56">
    <w:name w:val="样式1-正文"/>
    <w:basedOn w:val="1"/>
    <w:link w:val="55"/>
    <w:qFormat/>
    <w:uiPriority w:val="0"/>
    <w:pPr>
      <w:autoSpaceDE w:val="0"/>
      <w:autoSpaceDN w:val="0"/>
      <w:adjustRightInd w:val="0"/>
      <w:spacing w:line="360" w:lineRule="auto"/>
      <w:ind w:firstLine="600" w:firstLineChars="200"/>
      <w:jc w:val="left"/>
    </w:pPr>
    <w:rPr>
      <w:rFonts w:ascii="Times New Roman" w:hAnsi="Times New Roman" w:eastAsia="仿宋_GB2312"/>
      <w:color w:val="000000"/>
      <w:kern w:val="0"/>
      <w:szCs w:val="32"/>
    </w:rPr>
  </w:style>
  <w:style w:type="character" w:customStyle="1" w:styleId="57">
    <w:name w:val="textcontents"/>
    <w:qFormat/>
    <w:uiPriority w:val="0"/>
    <w:rPr>
      <w:rFonts w:ascii="Times New Roman" w:hAnsi="Times New Roman" w:eastAsia="宋体" w:cs="Times New Roman"/>
    </w:rPr>
  </w:style>
  <w:style w:type="character" w:customStyle="1" w:styleId="58">
    <w:name w:val="标题 2 字符"/>
    <w:link w:val="3"/>
    <w:qFormat/>
    <w:uiPriority w:val="0"/>
    <w:rPr>
      <w:rFonts w:ascii="Cambria" w:hAnsi="Cambria" w:eastAsia="宋体" w:cs="Times New Roman"/>
      <w:b/>
      <w:bCs/>
      <w:kern w:val="2"/>
      <w:sz w:val="32"/>
      <w:szCs w:val="32"/>
    </w:rPr>
  </w:style>
  <w:style w:type="character" w:customStyle="1" w:styleId="59">
    <w:name w:val="文档结构图 字符"/>
    <w:link w:val="14"/>
    <w:qFormat/>
    <w:uiPriority w:val="0"/>
    <w:rPr>
      <w:rFonts w:ascii="Times New Roman" w:hAnsi="Times New Roman" w:eastAsia="宋体" w:cs="Times New Roman"/>
      <w:szCs w:val="24"/>
      <w:shd w:val="clear" w:color="auto" w:fill="000080"/>
    </w:rPr>
  </w:style>
  <w:style w:type="character" w:customStyle="1" w:styleId="60">
    <w:name w:val="文档结构图 Char1"/>
    <w:qFormat/>
    <w:uiPriority w:val="0"/>
    <w:rPr>
      <w:rFonts w:ascii="宋体" w:hAnsi="Times New Roman" w:eastAsia="宋体" w:cs="Times New Roman"/>
      <w:kern w:val="2"/>
      <w:sz w:val="18"/>
      <w:szCs w:val="18"/>
    </w:rPr>
  </w:style>
  <w:style w:type="character" w:customStyle="1" w:styleId="61">
    <w:name w:val="标题5 Char Char"/>
    <w:link w:val="62"/>
    <w:qFormat/>
    <w:uiPriority w:val="0"/>
    <w:rPr>
      <w:rFonts w:ascii="Arial" w:hAnsi="Arial" w:eastAsia="宋体" w:cs="Times New Roman"/>
      <w:b/>
      <w:bCs/>
      <w:sz w:val="24"/>
      <w:szCs w:val="32"/>
    </w:rPr>
  </w:style>
  <w:style w:type="paragraph" w:customStyle="1" w:styleId="62">
    <w:name w:val="标题5"/>
    <w:basedOn w:val="4"/>
    <w:link w:val="61"/>
    <w:qFormat/>
    <w:uiPriority w:val="0"/>
    <w:rPr>
      <w:rFonts w:ascii="Arial" w:hAnsi="Arial"/>
      <w:b w:val="0"/>
      <w:bCs w:val="0"/>
      <w:sz w:val="24"/>
    </w:rPr>
  </w:style>
  <w:style w:type="character" w:customStyle="1" w:styleId="63">
    <w:name w:val="不明显参考1"/>
    <w:qFormat/>
    <w:uiPriority w:val="0"/>
    <w:rPr>
      <w:rFonts w:ascii="Times New Roman" w:hAnsi="Times New Roman" w:eastAsia="宋体" w:cs="Times New Roman"/>
      <w:smallCaps/>
      <w:color w:val="C0504D"/>
      <w:u w:val="single"/>
    </w:rPr>
  </w:style>
  <w:style w:type="character" w:customStyle="1" w:styleId="64">
    <w:name w:val="标题4 Char Char"/>
    <w:link w:val="65"/>
    <w:qFormat/>
    <w:uiPriority w:val="0"/>
    <w:rPr>
      <w:rFonts w:ascii="Arial" w:hAnsi="Arial" w:eastAsia="宋体" w:cs="Times New Roman"/>
      <w:b/>
      <w:bCs/>
      <w:sz w:val="24"/>
      <w:szCs w:val="32"/>
    </w:rPr>
  </w:style>
  <w:style w:type="paragraph" w:customStyle="1" w:styleId="65">
    <w:name w:val="标题4"/>
    <w:basedOn w:val="3"/>
    <w:next w:val="20"/>
    <w:link w:val="64"/>
    <w:qFormat/>
    <w:uiPriority w:val="0"/>
    <w:rPr>
      <w:rFonts w:ascii="Arial" w:hAnsi="Arial"/>
      <w:b w:val="0"/>
      <w:bCs w:val="0"/>
      <w:sz w:val="24"/>
    </w:rPr>
  </w:style>
  <w:style w:type="character" w:customStyle="1" w:styleId="66">
    <w:name w:val="明显强调1"/>
    <w:qFormat/>
    <w:uiPriority w:val="0"/>
    <w:rPr>
      <w:rFonts w:ascii="Times New Roman" w:hAnsi="Times New Roman" w:eastAsia="宋体" w:cs="Times New Roman"/>
      <w:b/>
      <w:bCs/>
      <w:i/>
      <w:iCs/>
      <w:color w:val="4F81BD"/>
    </w:rPr>
  </w:style>
  <w:style w:type="character" w:customStyle="1" w:styleId="67">
    <w:name w:val="标题 6 字符"/>
    <w:link w:val="7"/>
    <w:qFormat/>
    <w:uiPriority w:val="0"/>
    <w:rPr>
      <w:rFonts w:ascii="Cambria" w:hAnsi="Cambria" w:eastAsia="宋体" w:cs="Times New Roman"/>
      <w:b/>
      <w:bCs/>
      <w:kern w:val="2"/>
      <w:sz w:val="24"/>
      <w:szCs w:val="24"/>
    </w:rPr>
  </w:style>
  <w:style w:type="character" w:customStyle="1" w:styleId="68">
    <w:name w:val="标题 4 字符"/>
    <w:link w:val="5"/>
    <w:qFormat/>
    <w:uiPriority w:val="0"/>
    <w:rPr>
      <w:rFonts w:ascii="Cambria" w:hAnsi="Cambria" w:eastAsia="宋体" w:cs="Times New Roman"/>
      <w:b/>
      <w:bCs/>
      <w:kern w:val="2"/>
      <w:sz w:val="28"/>
      <w:szCs w:val="28"/>
    </w:rPr>
  </w:style>
  <w:style w:type="character" w:customStyle="1" w:styleId="69">
    <w:name w:val="引用 字符"/>
    <w:link w:val="70"/>
    <w:qFormat/>
    <w:uiPriority w:val="0"/>
    <w:rPr>
      <w:rFonts w:ascii="Times New Roman" w:hAnsi="Times New Roman" w:eastAsia="宋体" w:cs="Times New Roman"/>
      <w:i/>
      <w:iCs/>
      <w:color w:val="000000"/>
      <w:kern w:val="2"/>
      <w:sz w:val="21"/>
      <w:szCs w:val="22"/>
    </w:rPr>
  </w:style>
  <w:style w:type="paragraph" w:styleId="70">
    <w:name w:val="Quote"/>
    <w:basedOn w:val="1"/>
    <w:next w:val="1"/>
    <w:link w:val="69"/>
    <w:qFormat/>
    <w:uiPriority w:val="0"/>
    <w:rPr>
      <w:rFonts w:ascii="Times New Roman" w:hAnsi="Times New Roman"/>
      <w:i/>
      <w:iCs/>
      <w:color w:val="000000"/>
    </w:rPr>
  </w:style>
  <w:style w:type="character" w:customStyle="1" w:styleId="71">
    <w:name w:val="样式2-标题1 Char"/>
    <w:link w:val="72"/>
    <w:qFormat/>
    <w:uiPriority w:val="0"/>
    <w:rPr>
      <w:rFonts w:ascii="华文中宋" w:hAnsi="华文中宋" w:eastAsia="华文中宋" w:cs="Times New Roman"/>
      <w:b/>
      <w:bCs/>
      <w:kern w:val="2"/>
      <w:sz w:val="36"/>
      <w:szCs w:val="44"/>
    </w:rPr>
  </w:style>
  <w:style w:type="paragraph" w:customStyle="1" w:styleId="72">
    <w:name w:val="样式2-标题1"/>
    <w:basedOn w:val="4"/>
    <w:link w:val="71"/>
    <w:qFormat/>
    <w:uiPriority w:val="0"/>
    <w:pPr>
      <w:jc w:val="center"/>
      <w:outlineLvl w:val="0"/>
    </w:pPr>
    <w:rPr>
      <w:rFonts w:ascii="华文中宋" w:hAnsi="华文中宋" w:eastAsia="华文中宋"/>
      <w:sz w:val="36"/>
      <w:szCs w:val="44"/>
    </w:rPr>
  </w:style>
  <w:style w:type="character" w:customStyle="1" w:styleId="73">
    <w:name w:val="批注框文本 字符"/>
    <w:link w:val="26"/>
    <w:qFormat/>
    <w:uiPriority w:val="0"/>
    <w:rPr>
      <w:rFonts w:ascii="宋体" w:hAnsi="Times New Roman" w:eastAsia="宋体" w:cs="Times New Roman"/>
      <w:sz w:val="18"/>
      <w:szCs w:val="18"/>
    </w:rPr>
  </w:style>
  <w:style w:type="character" w:customStyle="1" w:styleId="74">
    <w:name w:val="正文文本 字符"/>
    <w:link w:val="18"/>
    <w:qFormat/>
    <w:uiPriority w:val="0"/>
    <w:rPr>
      <w:rFonts w:ascii="Times New Roman" w:hAnsi="Times New Roman" w:eastAsia="宋体" w:cs="Times New Roman"/>
    </w:rPr>
  </w:style>
  <w:style w:type="character" w:customStyle="1" w:styleId="75">
    <w:name w:val="明显参考1"/>
    <w:qFormat/>
    <w:uiPriority w:val="0"/>
    <w:rPr>
      <w:rFonts w:ascii="Times New Roman" w:hAnsi="Times New Roman" w:eastAsia="宋体" w:cs="Times New Roman"/>
      <w:b/>
      <w:bCs/>
      <w:smallCaps/>
      <w:color w:val="C0504D"/>
      <w:spacing w:val="5"/>
      <w:u w:val="single"/>
    </w:rPr>
  </w:style>
  <w:style w:type="character" w:customStyle="1" w:styleId="76">
    <w:name w:val="样式3-标题2 Char"/>
    <w:link w:val="77"/>
    <w:qFormat/>
    <w:uiPriority w:val="0"/>
    <w:rPr>
      <w:rFonts w:ascii="Times New Roman" w:hAnsi="Times New Roman" w:eastAsia="黑体" w:cs="Times New Roman"/>
      <w:bCs/>
      <w:color w:val="000000"/>
      <w:kern w:val="2"/>
      <w:sz w:val="30"/>
      <w:szCs w:val="32"/>
    </w:rPr>
  </w:style>
  <w:style w:type="paragraph" w:customStyle="1" w:styleId="77">
    <w:name w:val="样式3-标题2"/>
    <w:basedOn w:val="5"/>
    <w:link w:val="76"/>
    <w:qFormat/>
    <w:uiPriority w:val="0"/>
    <w:pPr>
      <w:spacing w:before="120" w:after="120" w:line="360" w:lineRule="auto"/>
      <w:outlineLvl w:val="1"/>
    </w:pPr>
    <w:rPr>
      <w:rFonts w:ascii="Times New Roman" w:hAnsi="Times New Roman" w:eastAsia="黑体"/>
      <w:b w:val="0"/>
      <w:color w:val="000000"/>
      <w:sz w:val="30"/>
      <w:szCs w:val="32"/>
    </w:rPr>
  </w:style>
  <w:style w:type="character" w:customStyle="1" w:styleId="78">
    <w:name w:val="样式5-标题4 Char"/>
    <w:link w:val="79"/>
    <w:qFormat/>
    <w:uiPriority w:val="0"/>
    <w:rPr>
      <w:rFonts w:ascii="Times New Roman" w:hAnsi="Times New Roman" w:eastAsia="仿宋_GB2312" w:cs="Times New Roman"/>
      <w:b/>
      <w:color w:val="000000"/>
      <w:sz w:val="21"/>
      <w:szCs w:val="32"/>
    </w:rPr>
  </w:style>
  <w:style w:type="paragraph" w:customStyle="1" w:styleId="79">
    <w:name w:val="样式5-标题4"/>
    <w:basedOn w:val="56"/>
    <w:link w:val="78"/>
    <w:qFormat/>
    <w:uiPriority w:val="0"/>
    <w:pPr>
      <w:ind w:firstLine="200"/>
      <w:outlineLvl w:val="3"/>
    </w:pPr>
    <w:rPr>
      <w:rFonts w:eastAsia="宋体"/>
      <w:b/>
    </w:rPr>
  </w:style>
  <w:style w:type="character" w:customStyle="1" w:styleId="80">
    <w:name w:val="样式4-标题3 Char"/>
    <w:link w:val="81"/>
    <w:qFormat/>
    <w:uiPriority w:val="0"/>
    <w:rPr>
      <w:rFonts w:ascii="Times New Roman" w:hAnsi="Times New Roman" w:eastAsia="黑体" w:cs="Times New Roman"/>
      <w:bCs/>
      <w:color w:val="000000"/>
      <w:kern w:val="2"/>
      <w:sz w:val="24"/>
      <w:szCs w:val="32"/>
    </w:rPr>
  </w:style>
  <w:style w:type="paragraph" w:customStyle="1" w:styleId="81">
    <w:name w:val="样式4-标题3"/>
    <w:basedOn w:val="6"/>
    <w:link w:val="80"/>
    <w:qFormat/>
    <w:uiPriority w:val="0"/>
    <w:pPr>
      <w:spacing w:before="120" w:after="120" w:line="360" w:lineRule="auto"/>
      <w:ind w:firstLine="200" w:firstLineChars="200"/>
      <w:outlineLvl w:val="2"/>
    </w:pPr>
    <w:rPr>
      <w:rFonts w:eastAsia="黑体"/>
      <w:b w:val="0"/>
      <w:color w:val="000000"/>
      <w:sz w:val="24"/>
      <w:szCs w:val="32"/>
    </w:rPr>
  </w:style>
  <w:style w:type="character" w:customStyle="1" w:styleId="82">
    <w:name w:val="标题 字符"/>
    <w:link w:val="39"/>
    <w:qFormat/>
    <w:uiPriority w:val="0"/>
    <w:rPr>
      <w:rFonts w:ascii="Cambria" w:hAnsi="Cambria" w:eastAsia="宋体" w:cs="Times New Roman"/>
      <w:b/>
      <w:bCs/>
      <w:kern w:val="2"/>
      <w:sz w:val="32"/>
      <w:szCs w:val="32"/>
    </w:rPr>
  </w:style>
  <w:style w:type="character" w:customStyle="1" w:styleId="83">
    <w:name w:val="表格文字"/>
    <w:qFormat/>
    <w:uiPriority w:val="0"/>
    <w:rPr>
      <w:rFonts w:ascii="宋体" w:hAnsi="Times New Roman" w:eastAsia="宋体" w:cs="Times New Roman"/>
      <w:sz w:val="18"/>
    </w:rPr>
  </w:style>
  <w:style w:type="character" w:customStyle="1" w:styleId="84">
    <w:name w:val="副标题 字符"/>
    <w:link w:val="31"/>
    <w:qFormat/>
    <w:uiPriority w:val="0"/>
    <w:rPr>
      <w:rFonts w:ascii="Cambria" w:hAnsi="Cambria" w:eastAsia="宋体" w:cs="Times New Roman"/>
      <w:b/>
      <w:bCs/>
      <w:kern w:val="28"/>
      <w:sz w:val="32"/>
      <w:szCs w:val="32"/>
    </w:rPr>
  </w:style>
  <w:style w:type="character" w:customStyle="1" w:styleId="85">
    <w:name w:val="批注文字 字符"/>
    <w:link w:val="16"/>
    <w:qFormat/>
    <w:uiPriority w:val="0"/>
    <w:rPr>
      <w:rFonts w:ascii="Times New Roman" w:hAnsi="Times New Roman" w:eastAsia="宋体" w:cs="Times New Roman"/>
      <w:kern w:val="2"/>
      <w:sz w:val="21"/>
      <w:szCs w:val="22"/>
    </w:rPr>
  </w:style>
  <w:style w:type="character" w:customStyle="1" w:styleId="86">
    <w:name w:val="正文哈哈 Char"/>
    <w:link w:val="87"/>
    <w:qFormat/>
    <w:uiPriority w:val="0"/>
    <w:rPr>
      <w:rFonts w:ascii="宋体" w:hAnsi="宋体" w:eastAsia="楷体_GB2312"/>
      <w:bCs/>
      <w:sz w:val="21"/>
      <w:szCs w:val="28"/>
    </w:rPr>
  </w:style>
  <w:style w:type="paragraph" w:customStyle="1" w:styleId="87">
    <w:name w:val="正文哈哈"/>
    <w:basedOn w:val="1"/>
    <w:link w:val="86"/>
    <w:qFormat/>
    <w:uiPriority w:val="0"/>
    <w:pPr>
      <w:numPr>
        <w:ilvl w:val="0"/>
        <w:numId w:val="1"/>
      </w:numPr>
      <w:adjustRightInd w:val="0"/>
      <w:snapToGrid w:val="0"/>
      <w:spacing w:line="360" w:lineRule="auto"/>
      <w:jc w:val="left"/>
    </w:pPr>
    <w:rPr>
      <w:rFonts w:ascii="宋体" w:hAnsi="宋体" w:eastAsia="楷体_GB2312"/>
      <w:bCs/>
      <w:kern w:val="0"/>
      <w:szCs w:val="28"/>
    </w:rPr>
  </w:style>
  <w:style w:type="character" w:customStyle="1" w:styleId="88">
    <w:name w:val="标题 5 字符"/>
    <w:link w:val="6"/>
    <w:qFormat/>
    <w:uiPriority w:val="0"/>
    <w:rPr>
      <w:rFonts w:ascii="Times New Roman" w:hAnsi="Times New Roman" w:eastAsia="宋体" w:cs="Times New Roman"/>
      <w:b/>
      <w:bCs/>
      <w:kern w:val="2"/>
      <w:sz w:val="28"/>
      <w:szCs w:val="28"/>
    </w:rPr>
  </w:style>
  <w:style w:type="character" w:customStyle="1" w:styleId="89">
    <w:name w:val="书籍标题1"/>
    <w:qFormat/>
    <w:uiPriority w:val="0"/>
    <w:rPr>
      <w:rFonts w:ascii="Times New Roman" w:hAnsi="Times New Roman" w:eastAsia="宋体" w:cs="Times New Roman"/>
      <w:b/>
      <w:bCs/>
      <w:smallCaps/>
      <w:spacing w:val="5"/>
    </w:rPr>
  </w:style>
  <w:style w:type="character" w:customStyle="1" w:styleId="90">
    <w:name w:val="批注主题 字符"/>
    <w:link w:val="40"/>
    <w:qFormat/>
    <w:uiPriority w:val="99"/>
    <w:rPr>
      <w:rFonts w:ascii="宋体" w:hAnsi="Times New Roman" w:eastAsia="宋体" w:cs="Times New Roman"/>
      <w:b/>
      <w:bCs/>
      <w:sz w:val="28"/>
    </w:rPr>
  </w:style>
  <w:style w:type="character" w:customStyle="1" w:styleId="91">
    <w:name w:val="标题 9 字符"/>
    <w:link w:val="10"/>
    <w:qFormat/>
    <w:uiPriority w:val="0"/>
    <w:rPr>
      <w:rFonts w:ascii="Cambria" w:hAnsi="Cambria" w:eastAsia="宋体" w:cs="Times New Roman"/>
      <w:kern w:val="2"/>
      <w:sz w:val="21"/>
      <w:szCs w:val="21"/>
    </w:rPr>
  </w:style>
  <w:style w:type="character" w:customStyle="1" w:styleId="92">
    <w:name w:val="二级标题 Char"/>
    <w:link w:val="93"/>
    <w:qFormat/>
    <w:uiPriority w:val="0"/>
    <w:rPr>
      <w:rFonts w:ascii="楷体" w:hAnsi="楷体" w:eastAsia="楷体" w:cs="Times New Roman"/>
      <w:b/>
      <w:bCs/>
      <w:kern w:val="2"/>
      <w:sz w:val="24"/>
      <w:szCs w:val="24"/>
    </w:rPr>
  </w:style>
  <w:style w:type="paragraph" w:customStyle="1" w:styleId="93">
    <w:name w:val="二级标题"/>
    <w:basedOn w:val="4"/>
    <w:link w:val="92"/>
    <w:qFormat/>
    <w:uiPriority w:val="0"/>
    <w:pPr>
      <w:adjustRightInd w:val="0"/>
      <w:snapToGrid w:val="0"/>
      <w:spacing w:before="0" w:after="0" w:line="360" w:lineRule="auto"/>
      <w:jc w:val="left"/>
    </w:pPr>
    <w:rPr>
      <w:rFonts w:ascii="楷体" w:hAnsi="楷体" w:eastAsia="楷体"/>
      <w:sz w:val="24"/>
      <w:szCs w:val="24"/>
    </w:rPr>
  </w:style>
  <w:style w:type="character" w:customStyle="1" w:styleId="94">
    <w:name w:val="批注文字 Char Char"/>
    <w:qFormat/>
    <w:uiPriority w:val="0"/>
    <w:rPr>
      <w:rFonts w:ascii="宋体" w:hAnsi="Times New Roman" w:eastAsia="宋体" w:cs="Times New Roman"/>
      <w:sz w:val="28"/>
      <w:szCs w:val="20"/>
    </w:rPr>
  </w:style>
  <w:style w:type="character" w:customStyle="1" w:styleId="95">
    <w:name w:val="正文文本 Char1"/>
    <w:qFormat/>
    <w:uiPriority w:val="0"/>
    <w:rPr>
      <w:rFonts w:ascii="Times New Roman" w:hAnsi="Times New Roman" w:eastAsia="宋体" w:cs="Times New Roman"/>
      <w:kern w:val="2"/>
      <w:sz w:val="21"/>
      <w:szCs w:val="22"/>
    </w:rPr>
  </w:style>
  <w:style w:type="character" w:customStyle="1" w:styleId="96">
    <w:name w:val="标题 7 字符"/>
    <w:link w:val="8"/>
    <w:qFormat/>
    <w:uiPriority w:val="0"/>
    <w:rPr>
      <w:rFonts w:ascii="Times New Roman" w:hAnsi="Times New Roman" w:eastAsia="宋体" w:cs="Times New Roman"/>
      <w:b/>
      <w:bCs/>
      <w:kern w:val="2"/>
      <w:sz w:val="24"/>
      <w:szCs w:val="24"/>
    </w:rPr>
  </w:style>
  <w:style w:type="character" w:customStyle="1" w:styleId="97">
    <w:name w:val="批注框文本 Char1"/>
    <w:qFormat/>
    <w:uiPriority w:val="0"/>
    <w:rPr>
      <w:rFonts w:ascii="Times New Roman" w:hAnsi="Times New Roman" w:eastAsia="宋体" w:cs="Times New Roman"/>
      <w:kern w:val="2"/>
      <w:sz w:val="18"/>
      <w:szCs w:val="18"/>
    </w:rPr>
  </w:style>
  <w:style w:type="character" w:customStyle="1" w:styleId="98">
    <w:name w:val="标题 8 字符"/>
    <w:link w:val="9"/>
    <w:qFormat/>
    <w:uiPriority w:val="0"/>
    <w:rPr>
      <w:rFonts w:ascii="Cambria" w:hAnsi="Cambria" w:eastAsia="宋体" w:cs="Times New Roman"/>
      <w:kern w:val="2"/>
      <w:sz w:val="24"/>
      <w:szCs w:val="24"/>
    </w:rPr>
  </w:style>
  <w:style w:type="character" w:customStyle="1" w:styleId="99">
    <w:name w:val="正文文本缩进 2 字符"/>
    <w:link w:val="25"/>
    <w:qFormat/>
    <w:uiPriority w:val="0"/>
    <w:rPr>
      <w:rFonts w:ascii="Times New Roman" w:hAnsi="Times New Roman" w:eastAsia="宋体" w:cs="Times New Roman"/>
      <w:kern w:val="2"/>
      <w:sz w:val="24"/>
    </w:rPr>
  </w:style>
  <w:style w:type="character" w:customStyle="1" w:styleId="100">
    <w:name w:val="页脚 字符"/>
    <w:link w:val="27"/>
    <w:qFormat/>
    <w:uiPriority w:val="0"/>
    <w:rPr>
      <w:rFonts w:ascii="Times New Roman" w:hAnsi="Times New Roman" w:eastAsia="宋体" w:cs="Times New Roman"/>
      <w:kern w:val="2"/>
      <w:sz w:val="18"/>
      <w:szCs w:val="18"/>
    </w:rPr>
  </w:style>
  <w:style w:type="character" w:customStyle="1" w:styleId="101">
    <w:name w:val="日期 Char1"/>
    <w:qFormat/>
    <w:uiPriority w:val="0"/>
    <w:rPr>
      <w:rFonts w:ascii="Times New Roman" w:hAnsi="Times New Roman" w:eastAsia="宋体" w:cs="Times New Roman"/>
      <w:kern w:val="2"/>
      <w:sz w:val="21"/>
      <w:szCs w:val="22"/>
    </w:rPr>
  </w:style>
  <w:style w:type="character" w:customStyle="1" w:styleId="102">
    <w:name w:val="标题 3 字符"/>
    <w:link w:val="4"/>
    <w:qFormat/>
    <w:uiPriority w:val="0"/>
    <w:rPr>
      <w:rFonts w:ascii="Times New Roman" w:hAnsi="Times New Roman" w:eastAsia="宋体" w:cs="Times New Roman"/>
      <w:b/>
      <w:bCs/>
      <w:kern w:val="2"/>
      <w:sz w:val="32"/>
      <w:szCs w:val="32"/>
    </w:rPr>
  </w:style>
  <w:style w:type="character" w:customStyle="1" w:styleId="103">
    <w:name w:val="明显引用 字符"/>
    <w:link w:val="104"/>
    <w:qFormat/>
    <w:uiPriority w:val="0"/>
    <w:rPr>
      <w:rFonts w:ascii="Times New Roman" w:hAnsi="Times New Roman" w:eastAsia="宋体" w:cs="Times New Roman"/>
      <w:b/>
      <w:bCs/>
      <w:i/>
      <w:iCs/>
      <w:color w:val="4F81BD"/>
      <w:kern w:val="2"/>
      <w:sz w:val="21"/>
      <w:szCs w:val="22"/>
    </w:rPr>
  </w:style>
  <w:style w:type="paragraph" w:styleId="104">
    <w:name w:val="Intense Quote"/>
    <w:basedOn w:val="1"/>
    <w:next w:val="1"/>
    <w:link w:val="103"/>
    <w:qFormat/>
    <w:uiPriority w:val="0"/>
    <w:pPr>
      <w:pBdr>
        <w:bottom w:val="single" w:color="4F81BD" w:sz="4" w:space="4"/>
      </w:pBdr>
      <w:spacing w:before="200" w:after="280"/>
      <w:ind w:left="936" w:right="936"/>
    </w:pPr>
    <w:rPr>
      <w:rFonts w:ascii="Times New Roman" w:hAnsi="Times New Roman"/>
      <w:b/>
      <w:bCs/>
      <w:i/>
      <w:iCs/>
      <w:color w:val="4F81BD"/>
    </w:rPr>
  </w:style>
  <w:style w:type="character" w:customStyle="1" w:styleId="105">
    <w:name w:val="批注主题 Char1"/>
    <w:qFormat/>
    <w:uiPriority w:val="0"/>
    <w:rPr>
      <w:rFonts w:ascii="Times New Roman" w:hAnsi="Times New Roman" w:eastAsia="宋体" w:cs="Times New Roman"/>
      <w:b/>
      <w:bCs/>
      <w:kern w:val="2"/>
      <w:sz w:val="21"/>
      <w:szCs w:val="22"/>
    </w:rPr>
  </w:style>
  <w:style w:type="character" w:customStyle="1" w:styleId="106">
    <w:name w:val="标题 1 字符"/>
    <w:link w:val="2"/>
    <w:qFormat/>
    <w:uiPriority w:val="0"/>
    <w:rPr>
      <w:rFonts w:ascii="Times New Roman" w:hAnsi="Times New Roman" w:eastAsia="宋体" w:cs="Times New Roman"/>
      <w:b/>
      <w:bCs/>
      <w:kern w:val="44"/>
      <w:sz w:val="44"/>
      <w:szCs w:val="44"/>
    </w:rPr>
  </w:style>
  <w:style w:type="paragraph" w:customStyle="1" w:styleId="10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08">
    <w:name w:val="列出段落12"/>
    <w:basedOn w:val="1"/>
    <w:qFormat/>
    <w:uiPriority w:val="0"/>
    <w:pPr>
      <w:ind w:firstLine="420" w:firstLineChars="200"/>
    </w:pPr>
    <w:rPr>
      <w:rFonts w:ascii="Times New Roman" w:hAnsi="Times New Roman"/>
    </w:rPr>
  </w:style>
  <w:style w:type="paragraph" w:customStyle="1" w:styleId="109">
    <w:name w:val="智慧工地--【条文说明】"/>
    <w:basedOn w:val="1"/>
    <w:next w:val="1"/>
    <w:qFormat/>
    <w:uiPriority w:val="0"/>
    <w:pPr>
      <w:spacing w:line="360" w:lineRule="auto"/>
    </w:pPr>
    <w:rPr>
      <w:rFonts w:ascii="Times New Roman" w:hAnsi="Times New Roman"/>
      <w:i/>
      <w:szCs w:val="24"/>
    </w:rPr>
  </w:style>
  <w:style w:type="paragraph" w:customStyle="1" w:styleId="110">
    <w:name w:val="1"/>
    <w:basedOn w:val="1"/>
    <w:next w:val="111"/>
    <w:qFormat/>
    <w:uiPriority w:val="0"/>
    <w:pPr>
      <w:spacing w:line="360" w:lineRule="auto"/>
      <w:ind w:firstLine="420" w:firstLineChars="200"/>
    </w:pPr>
    <w:rPr>
      <w:rFonts w:ascii="Times New Roman" w:hAnsi="Times New Roman"/>
      <w:szCs w:val="24"/>
    </w:rPr>
  </w:style>
  <w:style w:type="paragraph" w:styleId="111">
    <w:name w:val="List Paragraph"/>
    <w:basedOn w:val="1"/>
    <w:qFormat/>
    <w:uiPriority w:val="34"/>
    <w:pPr>
      <w:ind w:firstLine="420" w:firstLineChars="200"/>
    </w:pPr>
    <w:rPr>
      <w:rFonts w:ascii="Times New Roman" w:hAnsi="Times New Roman"/>
    </w:rPr>
  </w:style>
  <w:style w:type="paragraph" w:customStyle="1" w:styleId="112">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113">
    <w:name w:val="修订1"/>
    <w:qFormat/>
    <w:uiPriority w:val="99"/>
    <w:rPr>
      <w:rFonts w:ascii="Calibri" w:hAnsi="Calibri" w:eastAsia="宋体" w:cs="Times New Roman"/>
      <w:kern w:val="2"/>
      <w:sz w:val="21"/>
      <w:szCs w:val="24"/>
      <w:lang w:val="en-US" w:eastAsia="zh-CN" w:bidi="ar-SA"/>
    </w:rPr>
  </w:style>
  <w:style w:type="paragraph" w:customStyle="1" w:styleId="114">
    <w:name w:val="TOC 标题1"/>
    <w:basedOn w:val="2"/>
    <w:next w:val="1"/>
    <w:qFormat/>
    <w:uiPriority w:val="0"/>
    <w:pPr>
      <w:outlineLvl w:val="9"/>
    </w:pPr>
  </w:style>
  <w:style w:type="paragraph" w:customStyle="1" w:styleId="115">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styleId="11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8">
    <w:name w:val="居中 ctrl+m"/>
    <w:basedOn w:val="1"/>
    <w:qFormat/>
    <w:uiPriority w:val="0"/>
    <w:pPr>
      <w:widowControl/>
      <w:adjustRightInd w:val="0"/>
      <w:snapToGrid w:val="0"/>
      <w:spacing w:line="360" w:lineRule="auto"/>
      <w:jc w:val="center"/>
    </w:pPr>
    <w:rPr>
      <w:rFonts w:ascii="宋体" w:cs="宋体"/>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120">
    <w:name w:val="样式 正文缩进正文（首行缩进两字）正文（首行缩进两字） Char Char2正文（首行缩进两字） Char Char Ch..."/>
    <w:basedOn w:val="12"/>
    <w:qFormat/>
    <w:uiPriority w:val="0"/>
    <w:pPr>
      <w:snapToGrid w:val="0"/>
      <w:spacing w:line="480" w:lineRule="auto"/>
      <w:ind w:firstLine="437"/>
    </w:pPr>
    <w:rPr>
      <w:rFonts w:ascii="宋体" w:hAnsi="宋体"/>
    </w:rPr>
  </w:style>
  <w:style w:type="table" w:customStyle="1" w:styleId="121">
    <w:name w:val="网格型1"/>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2">
    <w:name w:val="正文文本缩进 3 字符"/>
    <w:basedOn w:val="43"/>
    <w:link w:val="33"/>
    <w:semiHidden/>
    <w:qFormat/>
    <w:uiPriority w:val="99"/>
    <w:rPr>
      <w:kern w:val="2"/>
      <w:sz w:val="16"/>
      <w:szCs w:val="16"/>
    </w:rPr>
  </w:style>
  <w:style w:type="paragraph" w:customStyle="1" w:styleId="123">
    <w:name w:val="font5"/>
    <w:basedOn w:val="1"/>
    <w:qFormat/>
    <w:uiPriority w:val="0"/>
    <w:pPr>
      <w:widowControl/>
      <w:spacing w:before="100" w:beforeAutospacing="1" w:after="100" w:afterAutospacing="1"/>
      <w:jc w:val="left"/>
    </w:pPr>
    <w:rPr>
      <w:rFonts w:ascii="宋体" w:hAnsi="宋体" w:cs="宋体"/>
      <w:b/>
      <w:bCs/>
      <w:kern w:val="0"/>
      <w:sz w:val="22"/>
    </w:rPr>
  </w:style>
  <w:style w:type="paragraph" w:customStyle="1" w:styleId="124">
    <w:name w:val="font6"/>
    <w:basedOn w:val="1"/>
    <w:qFormat/>
    <w:uiPriority w:val="0"/>
    <w:pPr>
      <w:widowControl/>
      <w:spacing w:before="100" w:beforeAutospacing="1" w:after="100" w:afterAutospacing="1"/>
      <w:jc w:val="left"/>
    </w:pPr>
    <w:rPr>
      <w:rFonts w:ascii="宋体" w:hAnsi="宋体" w:cs="宋体"/>
      <w:b/>
      <w:bCs/>
      <w:color w:val="FF0000"/>
      <w:kern w:val="0"/>
      <w:sz w:val="22"/>
    </w:rPr>
  </w:style>
  <w:style w:type="paragraph" w:customStyle="1" w:styleId="125">
    <w:name w:val="xl67"/>
    <w:basedOn w:val="1"/>
    <w:qFormat/>
    <w:uiPriority w:val="0"/>
    <w:pPr>
      <w:widowControl/>
      <w:spacing w:before="100" w:beforeAutospacing="1" w:after="100" w:afterAutospacing="1"/>
      <w:jc w:val="left"/>
    </w:pPr>
    <w:rPr>
      <w:rFonts w:ascii="宋体" w:hAnsi="宋体" w:cs="宋体"/>
      <w:color w:val="FF0000"/>
      <w:kern w:val="0"/>
      <w:sz w:val="24"/>
      <w:szCs w:val="24"/>
    </w:rPr>
  </w:style>
  <w:style w:type="paragraph" w:customStyle="1" w:styleId="126">
    <w:name w:val="xl6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1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3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3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3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FF00"/>
      <w:kern w:val="0"/>
      <w:sz w:val="20"/>
      <w:szCs w:val="20"/>
    </w:rPr>
  </w:style>
  <w:style w:type="paragraph" w:customStyle="1" w:styleId="13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14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143">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8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修订2"/>
    <w:hidden/>
    <w:unhideWhenUsed/>
    <w:qFormat/>
    <w:uiPriority w:val="99"/>
    <w:rPr>
      <w:rFonts w:ascii="Calibri" w:hAnsi="Calibri" w:eastAsia="宋体" w:cs="Times New Roman"/>
      <w:kern w:val="2"/>
      <w:sz w:val="21"/>
      <w:szCs w:val="22"/>
      <w:lang w:val="en-US" w:eastAsia="zh-CN" w:bidi="ar-SA"/>
    </w:rPr>
  </w:style>
  <w:style w:type="paragraph" w:customStyle="1" w:styleId="147">
    <w:name w:val="修订3"/>
    <w:hidden/>
    <w:semiHidden/>
    <w:qFormat/>
    <w:uiPriority w:val="99"/>
    <w:rPr>
      <w:rFonts w:ascii="Calibri" w:hAnsi="Calibri" w:eastAsia="宋体" w:cs="Times New Roman"/>
      <w:kern w:val="2"/>
      <w:sz w:val="21"/>
      <w:szCs w:val="22"/>
      <w:lang w:val="en-US" w:eastAsia="zh-CN" w:bidi="ar-SA"/>
    </w:rPr>
  </w:style>
  <w:style w:type="table" w:customStyle="1" w:styleId="148">
    <w:name w:val="无格式表格 11"/>
    <w:basedOn w:val="41"/>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149">
    <w:name w:val="修订4"/>
    <w:hidden/>
    <w:semiHidden/>
    <w:qFormat/>
    <w:uiPriority w:val="99"/>
    <w:rPr>
      <w:rFonts w:ascii="Calibri" w:hAnsi="Calibri" w:eastAsia="宋体" w:cs="Times New Roman"/>
      <w:kern w:val="2"/>
      <w:sz w:val="21"/>
      <w:szCs w:val="22"/>
      <w:lang w:val="en-US" w:eastAsia="zh-CN" w:bidi="ar-SA"/>
    </w:rPr>
  </w:style>
  <w:style w:type="character" w:customStyle="1" w:styleId="150">
    <w:name w:val="标题 2 Char1"/>
    <w:qFormat/>
    <w:uiPriority w:val="0"/>
    <w:rPr>
      <w:rFonts w:ascii="宋体" w:hAnsi="宋体" w:eastAsia="宋体"/>
      <w:b/>
      <w:bCs/>
      <w:snapToGrid/>
      <w:color w:val="000000"/>
      <w:kern w:val="0"/>
      <w:sz w:val="28"/>
      <w:szCs w:val="32"/>
    </w:rPr>
  </w:style>
  <w:style w:type="character" w:customStyle="1" w:styleId="151">
    <w:name w:val="批注文字 Char1"/>
    <w:semiHidden/>
    <w:qFormat/>
    <w:uiPriority w:val="99"/>
    <w:rPr>
      <w:kern w:val="2"/>
      <w:sz w:val="21"/>
      <w:szCs w:val="24"/>
    </w:rPr>
  </w:style>
  <w:style w:type="character" w:customStyle="1" w:styleId="152">
    <w:name w:val="正文文本 3 字符"/>
    <w:basedOn w:val="43"/>
    <w:link w:val="17"/>
    <w:semiHidden/>
    <w:qFormat/>
    <w:uiPriority w:val="0"/>
    <w:rPr>
      <w:rFonts w:ascii="宋体"/>
      <w:spacing w:val="20"/>
      <w:sz w:val="22"/>
    </w:rPr>
  </w:style>
  <w:style w:type="character" w:customStyle="1" w:styleId="153">
    <w:name w:val="正文文本缩进 字符"/>
    <w:basedOn w:val="43"/>
    <w:link w:val="19"/>
    <w:semiHidden/>
    <w:qFormat/>
    <w:uiPriority w:val="0"/>
    <w:rPr>
      <w:rFonts w:ascii="宋体"/>
      <w:spacing w:val="20"/>
      <w:kern w:val="2"/>
      <w:sz w:val="24"/>
      <w:szCs w:val="24"/>
    </w:rPr>
  </w:style>
  <w:style w:type="character" w:customStyle="1" w:styleId="154">
    <w:name w:val="正文文本 2 字符"/>
    <w:basedOn w:val="43"/>
    <w:link w:val="37"/>
    <w:semiHidden/>
    <w:qFormat/>
    <w:uiPriority w:val="0"/>
    <w:rPr>
      <w:rFonts w:ascii="宋体"/>
      <w:spacing w:val="20"/>
      <w:sz w:val="24"/>
    </w:rPr>
  </w:style>
  <w:style w:type="character" w:customStyle="1" w:styleId="155">
    <w:name w:val="文一 Char"/>
    <w:link w:val="156"/>
    <w:qFormat/>
    <w:uiPriority w:val="0"/>
    <w:rPr>
      <w:spacing w:val="4"/>
      <w:sz w:val="24"/>
      <w:szCs w:val="24"/>
    </w:rPr>
  </w:style>
  <w:style w:type="paragraph" w:customStyle="1" w:styleId="156">
    <w:name w:val="文一"/>
    <w:basedOn w:val="1"/>
    <w:link w:val="155"/>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character" w:customStyle="1" w:styleId="157">
    <w:name w:val="括号索引 Char"/>
    <w:qFormat/>
    <w:uiPriority w:val="0"/>
    <w:rPr>
      <w:kern w:val="2"/>
      <w:sz w:val="24"/>
      <w:szCs w:val="24"/>
    </w:rPr>
  </w:style>
  <w:style w:type="paragraph" w:customStyle="1" w:styleId="158">
    <w:name w:val="列出段落1"/>
    <w:basedOn w:val="1"/>
    <w:qFormat/>
    <w:uiPriority w:val="0"/>
    <w:pPr>
      <w:ind w:firstLine="420" w:firstLineChars="200"/>
    </w:pPr>
    <w:rPr>
      <w:rFonts w:ascii="Times New Roman" w:hAnsi="Times New Roman"/>
      <w:szCs w:val="24"/>
    </w:rPr>
  </w:style>
  <w:style w:type="paragraph" w:customStyle="1" w:styleId="159">
    <w:name w:val="修订5"/>
    <w:unhideWhenUsed/>
    <w:qFormat/>
    <w:uiPriority w:val="99"/>
    <w:rPr>
      <w:rFonts w:ascii="Times New Roman" w:hAnsi="Times New Roman" w:eastAsia="宋体" w:cs="Times New Roman"/>
      <w:kern w:val="2"/>
      <w:sz w:val="21"/>
      <w:szCs w:val="24"/>
      <w:lang w:val="en-US" w:eastAsia="zh-CN" w:bidi="ar-SA"/>
    </w:rPr>
  </w:style>
  <w:style w:type="paragraph" w:customStyle="1" w:styleId="160">
    <w:name w:val="括号索引"/>
    <w:basedOn w:val="1"/>
    <w:qFormat/>
    <w:uiPriority w:val="0"/>
    <w:pPr>
      <w:numPr>
        <w:ilvl w:val="0"/>
        <w:numId w:val="2"/>
      </w:numPr>
      <w:spacing w:line="360" w:lineRule="auto"/>
      <w:ind w:left="480"/>
    </w:pPr>
    <w:rPr>
      <w:rFonts w:ascii="Times New Roman" w:hAnsi="Times New Roman"/>
      <w:sz w:val="24"/>
      <w:szCs w:val="24"/>
    </w:rPr>
  </w:style>
  <w:style w:type="paragraph" w:customStyle="1" w:styleId="161">
    <w:name w:val="WPSOffice手动目录 1"/>
    <w:qFormat/>
    <w:uiPriority w:val="0"/>
    <w:rPr>
      <w:rFonts w:ascii="Times New Roman" w:hAnsi="Times New Roman" w:eastAsia="宋体" w:cs="Times New Roman"/>
      <w:lang w:val="en-US" w:eastAsia="zh-CN" w:bidi="ar-SA"/>
    </w:rPr>
  </w:style>
  <w:style w:type="table" w:customStyle="1" w:styleId="162">
    <w:name w:val="网格型2"/>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3">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64">
    <w:name w:val="font41"/>
    <w:basedOn w:val="43"/>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85</Pages>
  <Words>21674</Words>
  <Characters>22465</Characters>
  <Lines>805</Lines>
  <Paragraphs>226</Paragraphs>
  <TotalTime>0</TotalTime>
  <ScaleCrop>false</ScaleCrop>
  <LinksUpToDate>false</LinksUpToDate>
  <CharactersWithSpaces>23238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2022-10-11T03:05:00Z</dcterms:created>
  <dc:creator>熊又球</dc:creator>
  <cp:lastModifiedBy>竺益杭</cp:lastModifiedBy>
  <cp:lastPrinted>2022-12-20T09:46:00Z</cp:lastPrinted>
  <dcterms:modified xsi:type="dcterms:W3CDTF">2025-09-08T01:47:39Z</dcterms:modified>
  <dc:title>建设工程施工合同</dc:title>
  <cp:revision>1068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07D968AF860147E2BDC048C04F96B562</vt:lpwstr>
  </property>
  <property fmtid="{D5CDD505-2E9C-101B-9397-08002B2CF9AE}" pid="4" name="KSOTemplateDocerSaveRecord">
    <vt:lpwstr>eyJoZGlkIjoiMzBhYmRjMzgyMmIxOTYyM2Q2MTEyZDU5M2IxNTU1NmEiLCJ1c2VySWQiOiIxNjk1MDE2MjY1In0=</vt:lpwstr>
  </property>
</Properties>
</file>