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hint="eastAsia" w:ascii="宋体" w:hAnsi="宋体" w:eastAsia="宋体" w:cs="宋体"/>
          <w:color w:val="auto"/>
          <w:highlight w:val="none"/>
        </w:rPr>
      </w:pPr>
    </w:p>
    <w:p>
      <w:pPr>
        <w:spacing w:line="400" w:lineRule="exact"/>
        <w:jc w:val="center"/>
        <w:rPr>
          <w:rFonts w:hint="eastAsia" w:ascii="宋体" w:hAnsi="宋体" w:eastAsia="宋体" w:cs="宋体"/>
          <w:color w:val="auto"/>
          <w:highlight w:val="none"/>
        </w:rPr>
      </w:pPr>
    </w:p>
    <w:p>
      <w:pPr>
        <w:topLinePunct/>
        <w:spacing w:line="360" w:lineRule="auto"/>
        <w:jc w:val="center"/>
        <w:rPr>
          <w:rFonts w:hint="eastAsia" w:ascii="宋体" w:hAnsi="宋体" w:eastAsia="宋体" w:cs="宋体"/>
          <w:b/>
          <w:color w:val="auto"/>
          <w:sz w:val="48"/>
          <w:szCs w:val="48"/>
          <w:highlight w:val="none"/>
          <w:lang w:eastAsia="zh-CN"/>
        </w:rPr>
      </w:pPr>
      <w:bookmarkStart w:id="0" w:name="_Hlk32512775"/>
      <w:r>
        <w:rPr>
          <w:rFonts w:hint="eastAsia" w:ascii="宋体" w:hAnsi="宋体" w:cs="宋体"/>
          <w:b/>
          <w:color w:val="auto"/>
          <w:sz w:val="48"/>
          <w:szCs w:val="48"/>
          <w:highlight w:val="none"/>
          <w:lang w:eastAsia="zh-CN"/>
        </w:rPr>
        <w:t>潮州市危险废弃物安全处置中心医废车间主设备采购</w:t>
      </w:r>
    </w:p>
    <w:bookmarkEnd w:id="0"/>
    <w:p>
      <w:pPr>
        <w:spacing w:line="360" w:lineRule="auto"/>
        <w:jc w:val="left"/>
        <w:rPr>
          <w:rFonts w:hint="eastAsia" w:ascii="宋体" w:hAnsi="宋体" w:eastAsia="宋体" w:cs="宋体"/>
          <w:color w:val="auto"/>
          <w:highlight w:val="none"/>
        </w:rPr>
      </w:pPr>
    </w:p>
    <w:p>
      <w:pPr>
        <w:spacing w:line="360" w:lineRule="auto"/>
        <w:jc w:val="left"/>
        <w:rPr>
          <w:rFonts w:hint="eastAsia" w:ascii="宋体" w:hAnsi="宋体" w:eastAsia="宋体" w:cs="宋体"/>
          <w:color w:val="auto"/>
          <w:highlight w:val="none"/>
        </w:rPr>
      </w:pPr>
    </w:p>
    <w:p>
      <w:pPr>
        <w:spacing w:line="360" w:lineRule="auto"/>
        <w:jc w:val="left"/>
        <w:rPr>
          <w:rFonts w:hint="eastAsia" w:ascii="宋体" w:hAnsi="宋体" w:eastAsia="宋体" w:cs="宋体"/>
          <w:color w:val="auto"/>
          <w:highlight w:val="none"/>
        </w:rPr>
      </w:pPr>
    </w:p>
    <w:p>
      <w:pPr>
        <w:spacing w:line="360" w:lineRule="auto"/>
        <w:jc w:val="left"/>
        <w:rPr>
          <w:rFonts w:hint="eastAsia" w:ascii="宋体" w:hAnsi="宋体" w:eastAsia="宋体" w:cs="宋体"/>
          <w:color w:val="auto"/>
          <w:highlight w:val="none"/>
        </w:rPr>
      </w:pPr>
    </w:p>
    <w:p>
      <w:pPr>
        <w:spacing w:line="360" w:lineRule="auto"/>
        <w:jc w:val="center"/>
        <w:rPr>
          <w:rFonts w:hint="eastAsia" w:ascii="宋体" w:hAnsi="宋体" w:eastAsia="宋体" w:cs="宋体"/>
          <w:b/>
          <w:color w:val="auto"/>
          <w:sz w:val="96"/>
          <w:szCs w:val="96"/>
          <w:highlight w:val="none"/>
        </w:rPr>
      </w:pPr>
      <w:r>
        <w:rPr>
          <w:rFonts w:hint="eastAsia" w:ascii="宋体" w:hAnsi="宋体" w:eastAsia="宋体" w:cs="宋体"/>
          <w:b/>
          <w:color w:val="auto"/>
          <w:sz w:val="96"/>
          <w:szCs w:val="96"/>
          <w:highlight w:val="none"/>
        </w:rPr>
        <w:t>招标文件</w:t>
      </w:r>
    </w:p>
    <w:p>
      <w:pPr>
        <w:spacing w:line="360" w:lineRule="auto"/>
        <w:jc w:val="left"/>
        <w:rPr>
          <w:rFonts w:hint="eastAsia" w:ascii="宋体" w:hAnsi="宋体" w:eastAsia="宋体" w:cs="宋体"/>
          <w:color w:val="auto"/>
          <w:highlight w:val="none"/>
        </w:rPr>
      </w:pPr>
    </w:p>
    <w:p>
      <w:pPr>
        <w:spacing w:line="360" w:lineRule="auto"/>
        <w:jc w:val="left"/>
        <w:rPr>
          <w:rFonts w:hint="eastAsia" w:ascii="宋体" w:hAnsi="宋体" w:eastAsia="宋体" w:cs="宋体"/>
          <w:color w:val="auto"/>
          <w:highlight w:val="none"/>
        </w:rPr>
      </w:pPr>
    </w:p>
    <w:p>
      <w:pPr>
        <w:spacing w:line="360" w:lineRule="auto"/>
        <w:jc w:val="left"/>
        <w:rPr>
          <w:rFonts w:hint="eastAsia" w:ascii="宋体" w:hAnsi="宋体" w:eastAsia="宋体" w:cs="宋体"/>
          <w:color w:val="auto"/>
          <w:highlight w:val="none"/>
          <w:lang w:val="en-US" w:eastAsia="zh-CN"/>
        </w:rPr>
      </w:pPr>
    </w:p>
    <w:p>
      <w:pPr>
        <w:spacing w:line="360" w:lineRule="auto"/>
        <w:jc w:val="left"/>
        <w:rPr>
          <w:rFonts w:hint="eastAsia" w:ascii="宋体" w:hAnsi="宋体" w:eastAsia="宋体" w:cs="宋体"/>
          <w:color w:val="auto"/>
          <w:highlight w:val="none"/>
        </w:rPr>
      </w:pPr>
    </w:p>
    <w:p>
      <w:pPr>
        <w:spacing w:line="360" w:lineRule="auto"/>
        <w:jc w:val="left"/>
        <w:rPr>
          <w:rFonts w:hint="eastAsia" w:ascii="宋体" w:hAnsi="宋体" w:eastAsia="宋体" w:cs="宋体"/>
          <w:color w:val="auto"/>
          <w:highlight w:val="none"/>
        </w:rPr>
      </w:pPr>
    </w:p>
    <w:p>
      <w:pPr>
        <w:spacing w:line="360" w:lineRule="auto"/>
        <w:jc w:val="left"/>
        <w:rPr>
          <w:rFonts w:hint="eastAsia" w:ascii="宋体" w:hAnsi="宋体" w:eastAsia="宋体" w:cs="宋体"/>
          <w:color w:val="auto"/>
          <w:highlight w:val="none"/>
        </w:rPr>
      </w:pPr>
    </w:p>
    <w:p>
      <w:pPr>
        <w:spacing w:line="360" w:lineRule="auto"/>
        <w:jc w:val="left"/>
        <w:rPr>
          <w:rFonts w:hint="eastAsia" w:ascii="宋体" w:hAnsi="宋体" w:eastAsia="宋体" w:cs="宋体"/>
          <w:color w:val="auto"/>
          <w:highlight w:val="none"/>
        </w:rPr>
      </w:pPr>
    </w:p>
    <w:p>
      <w:pPr>
        <w:spacing w:line="360" w:lineRule="auto"/>
        <w:jc w:val="left"/>
        <w:rPr>
          <w:rFonts w:hint="eastAsia" w:ascii="宋体" w:hAnsi="宋体" w:eastAsia="宋体" w:cs="宋体"/>
          <w:color w:val="auto"/>
          <w:highlight w:val="none"/>
        </w:rPr>
      </w:pPr>
    </w:p>
    <w:p>
      <w:pPr>
        <w:spacing w:line="360" w:lineRule="auto"/>
        <w:jc w:val="left"/>
        <w:rPr>
          <w:rFonts w:hint="eastAsia" w:ascii="宋体" w:hAnsi="宋体" w:eastAsia="宋体" w:cs="宋体"/>
          <w:color w:val="auto"/>
          <w:highlight w:val="none"/>
        </w:rPr>
      </w:pPr>
    </w:p>
    <w:p>
      <w:pPr>
        <w:spacing w:line="360" w:lineRule="auto"/>
        <w:jc w:val="left"/>
        <w:rPr>
          <w:rFonts w:hint="eastAsia" w:ascii="宋体" w:hAnsi="宋体" w:eastAsia="宋体" w:cs="宋体"/>
          <w:color w:val="auto"/>
          <w:highlight w:val="none"/>
        </w:rPr>
      </w:pPr>
    </w:p>
    <w:p>
      <w:pPr>
        <w:spacing w:line="360" w:lineRule="auto"/>
        <w:jc w:val="left"/>
        <w:rPr>
          <w:rFonts w:hint="eastAsia" w:ascii="宋体" w:hAnsi="宋体" w:eastAsia="宋体" w:cs="宋体"/>
          <w:color w:val="auto"/>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1124" w:firstLineChars="400"/>
        <w:jc w:val="left"/>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招标人</w:t>
      </w:r>
      <w:r>
        <w:rPr>
          <w:rFonts w:hint="eastAsia" w:ascii="宋体" w:hAnsi="宋体" w:eastAsia="宋体" w:cs="宋体"/>
          <w:b/>
          <w:color w:val="auto"/>
          <w:sz w:val="28"/>
          <w:szCs w:val="28"/>
          <w:highlight w:val="none"/>
        </w:rPr>
        <w:t>：广东广业绿色科技有限公司（盖单位章）</w:t>
      </w:r>
    </w:p>
    <w:p>
      <w:pPr>
        <w:keepNext w:val="0"/>
        <w:keepLines w:val="0"/>
        <w:pageBreakBefore w:val="0"/>
        <w:widowControl w:val="0"/>
        <w:kinsoku/>
        <w:wordWrap/>
        <w:overflowPunct/>
        <w:topLinePunct w:val="0"/>
        <w:autoSpaceDE/>
        <w:autoSpaceDN/>
        <w:bidi w:val="0"/>
        <w:adjustRightInd/>
        <w:snapToGrid/>
        <w:spacing w:line="360" w:lineRule="auto"/>
        <w:ind w:firstLine="1124" w:firstLineChars="400"/>
        <w:jc w:val="left"/>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招标代理机构：广东省机电设备招标有限公司（盖单位章）</w:t>
      </w:r>
    </w:p>
    <w:p>
      <w:pPr>
        <w:spacing w:line="360" w:lineRule="auto"/>
        <w:jc w:val="center"/>
        <w:rPr>
          <w:rFonts w:hint="eastAsia" w:ascii="宋体" w:hAnsi="宋体" w:eastAsia="宋体" w:cs="宋体"/>
          <w:b/>
          <w:color w:val="auto"/>
          <w:sz w:val="28"/>
          <w:szCs w:val="28"/>
          <w:highlight w:val="none"/>
        </w:rPr>
        <w:sectPr>
          <w:footerReference r:id="rId3" w:type="default"/>
          <w:pgSz w:w="11906" w:h="16838"/>
          <w:pgMar w:top="1134" w:right="1134" w:bottom="1134" w:left="1134" w:header="709" w:footer="709" w:gutter="0"/>
          <w:pgBorders>
            <w:top w:val="none" w:sz="0" w:space="0"/>
            <w:left w:val="none" w:sz="0" w:space="0"/>
            <w:bottom w:val="none" w:sz="0" w:space="0"/>
            <w:right w:val="none" w:sz="0" w:space="0"/>
          </w:pgBorders>
          <w:pgNumType w:fmt="decimal"/>
          <w:cols w:space="720" w:num="1"/>
          <w:titlePg/>
          <w:docGrid w:type="lines" w:linePitch="312" w:charSpace="0"/>
        </w:sectPr>
      </w:pPr>
      <w:bookmarkStart w:id="205" w:name="_GoBack"/>
      <w:bookmarkEnd w:id="205"/>
      <w:r>
        <w:rPr>
          <w:rFonts w:hint="eastAsia" w:ascii="宋体" w:hAnsi="宋体" w:eastAsia="宋体" w:cs="宋体"/>
          <w:b/>
          <w:color w:val="auto"/>
          <w:sz w:val="28"/>
          <w:szCs w:val="28"/>
          <w:highlight w:val="none"/>
        </w:rPr>
        <w:t>202</w:t>
      </w:r>
      <w:r>
        <w:rPr>
          <w:rFonts w:hint="eastAsia" w:ascii="宋体" w:hAnsi="宋体" w:cs="宋体"/>
          <w:b/>
          <w:color w:val="auto"/>
          <w:sz w:val="28"/>
          <w:szCs w:val="28"/>
          <w:highlight w:val="none"/>
          <w:lang w:val="en-US" w:eastAsia="zh-CN"/>
        </w:rPr>
        <w:t>5</w:t>
      </w:r>
      <w:r>
        <w:rPr>
          <w:rFonts w:hint="eastAsia" w:ascii="宋体" w:hAnsi="宋体" w:eastAsia="宋体" w:cs="宋体"/>
          <w:b/>
          <w:color w:val="auto"/>
          <w:sz w:val="28"/>
          <w:szCs w:val="28"/>
          <w:highlight w:val="none"/>
        </w:rPr>
        <w:t>年</w:t>
      </w:r>
      <w:r>
        <w:rPr>
          <w:rFonts w:hint="eastAsia" w:ascii="宋体" w:hAnsi="宋体" w:cs="宋体"/>
          <w:b/>
          <w:color w:val="auto"/>
          <w:sz w:val="28"/>
          <w:szCs w:val="28"/>
          <w:highlight w:val="none"/>
          <w:lang w:val="en-US" w:eastAsia="zh-CN"/>
        </w:rPr>
        <w:t>9</w:t>
      </w:r>
      <w:r>
        <w:rPr>
          <w:rFonts w:hint="eastAsia" w:ascii="宋体" w:hAnsi="宋体" w:eastAsia="宋体" w:cs="宋体"/>
          <w:b/>
          <w:color w:val="auto"/>
          <w:sz w:val="28"/>
          <w:szCs w:val="28"/>
          <w:highlight w:val="none"/>
        </w:rPr>
        <w:t>月</w:t>
      </w:r>
    </w:p>
    <w:p>
      <w:pPr>
        <w:spacing w:line="360" w:lineRule="auto"/>
        <w:jc w:val="center"/>
        <w:rPr>
          <w:rFonts w:ascii="宋体" w:hAnsi="宋体"/>
          <w:b/>
          <w:color w:val="auto"/>
          <w:sz w:val="44"/>
          <w:highlight w:val="none"/>
        </w:rPr>
      </w:pPr>
      <w:r>
        <w:rPr>
          <w:rFonts w:hint="eastAsia" w:ascii="宋体" w:hAnsi="宋体"/>
          <w:b/>
          <w:color w:val="auto"/>
          <w:sz w:val="44"/>
          <w:highlight w:val="none"/>
        </w:rPr>
        <w:t>重要提示</w:t>
      </w:r>
    </w:p>
    <w:p>
      <w:pPr>
        <w:spacing w:line="360" w:lineRule="auto"/>
        <w:ind w:firstLine="537" w:firstLineChars="224"/>
        <w:jc w:val="center"/>
        <w:rPr>
          <w:rFonts w:ascii="宋体"/>
          <w:bCs/>
          <w:color w:val="auto"/>
          <w:sz w:val="24"/>
          <w:highlight w:val="none"/>
        </w:rPr>
      </w:pPr>
    </w:p>
    <w:p>
      <w:pPr>
        <w:spacing w:line="360" w:lineRule="auto"/>
        <w:ind w:firstLine="480" w:firstLineChars="200"/>
        <w:rPr>
          <w:rFonts w:hint="eastAsia"/>
          <w:b/>
          <w:color w:val="auto"/>
          <w:sz w:val="24"/>
          <w:szCs w:val="24"/>
          <w:highlight w:val="none"/>
        </w:rPr>
      </w:pPr>
      <w:r>
        <w:rPr>
          <w:rFonts w:hint="eastAsia"/>
          <w:color w:val="auto"/>
          <w:sz w:val="24"/>
          <w:szCs w:val="24"/>
          <w:highlight w:val="none"/>
        </w:rPr>
        <w:t xml:space="preserve">本项目实施电子招投标，投标人应先认真阅读《建设工程全流程电子化项目操作指南》。 </w:t>
      </w:r>
    </w:p>
    <w:p>
      <w:pPr>
        <w:pStyle w:val="100"/>
        <w:spacing w:line="240" w:lineRule="auto"/>
        <w:jc w:val="center"/>
        <w:rPr>
          <w:rFonts w:hint="eastAsia" w:ascii="宋体" w:hAnsi="宋体" w:cs="宋体"/>
          <w:b/>
          <w:bCs/>
          <w:color w:val="auto"/>
          <w:sz w:val="40"/>
          <w:szCs w:val="40"/>
          <w:highlight w:val="none"/>
          <w:lang w:val="zh-CN"/>
        </w:rPr>
        <w:sectPr>
          <w:footerReference r:id="rId4" w:type="default"/>
          <w:pgSz w:w="12240" w:h="15840"/>
          <w:pgMar w:top="1346" w:right="1795" w:bottom="1121" w:left="1807" w:header="0" w:footer="894" w:gutter="0"/>
          <w:pgNumType w:fmt="decimal"/>
          <w:cols w:space="720" w:num="1"/>
        </w:sectPr>
      </w:pPr>
      <w:bookmarkStart w:id="1" w:name="_Toc24149"/>
      <w:bookmarkStart w:id="2" w:name="_Toc8974"/>
    </w:p>
    <w:p>
      <w:pPr>
        <w:pStyle w:val="100"/>
        <w:spacing w:line="240" w:lineRule="auto"/>
        <w:jc w:val="center"/>
        <w:rPr>
          <w:rFonts w:hint="eastAsia" w:ascii="宋体" w:hAnsi="宋体" w:cs="宋体"/>
          <w:b/>
          <w:bCs/>
          <w:color w:val="auto"/>
          <w:sz w:val="40"/>
          <w:szCs w:val="40"/>
          <w:highlight w:val="none"/>
        </w:rPr>
      </w:pPr>
      <w:r>
        <w:rPr>
          <w:rFonts w:hint="eastAsia" w:ascii="宋体" w:hAnsi="宋体" w:cs="宋体"/>
          <w:b/>
          <w:bCs/>
          <w:color w:val="auto"/>
          <w:sz w:val="40"/>
          <w:szCs w:val="40"/>
          <w:highlight w:val="none"/>
          <w:lang w:val="zh-CN"/>
        </w:rPr>
        <w:t>目  录</w:t>
      </w:r>
      <w:bookmarkEnd w:id="1"/>
      <w:bookmarkEnd w:id="2"/>
    </w:p>
    <w:p>
      <w:pPr>
        <w:pStyle w:val="24"/>
        <w:tabs>
          <w:tab w:val="right" w:leader="dot" w:pos="9638"/>
        </w:tabs>
        <w:rPr>
          <w:rFonts w:hint="eastAsia" w:ascii="宋体" w:hAnsi="宋体" w:cs="宋体"/>
          <w:color w:val="auto"/>
          <w:sz w:val="28"/>
          <w:szCs w:val="28"/>
          <w:highlight w:val="none"/>
        </w:rPr>
      </w:pP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TOC \o "1-3" \h \z \u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HYPERLINK \l _Toc9598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第一卷</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_Toc9598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2</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pPr>
        <w:pStyle w:val="24"/>
        <w:tabs>
          <w:tab w:val="right" w:leader="dot" w:pos="9638"/>
        </w:tabs>
        <w:rPr>
          <w:rFonts w:hint="eastAsia" w:ascii="宋体" w:hAnsi="宋体" w:cs="宋体"/>
          <w:color w:val="auto"/>
          <w:sz w:val="28"/>
          <w:szCs w:val="28"/>
          <w:highlight w:val="none"/>
        </w:rPr>
      </w:pP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HYPERLINK \l _Toc7428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第一章</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招标公告</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_Toc7428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3</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pPr>
        <w:pStyle w:val="24"/>
        <w:tabs>
          <w:tab w:val="right" w:leader="dot" w:pos="9638"/>
        </w:tabs>
        <w:rPr>
          <w:rFonts w:hint="eastAsia" w:ascii="宋体" w:hAnsi="宋体" w:cs="宋体"/>
          <w:color w:val="auto"/>
          <w:sz w:val="28"/>
          <w:szCs w:val="28"/>
          <w:highlight w:val="none"/>
        </w:rPr>
      </w:pP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HYPERLINK \l _Toc31329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第二章</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投标人须知</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_Toc31329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4</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pPr>
        <w:pStyle w:val="24"/>
        <w:tabs>
          <w:tab w:val="right" w:leader="dot" w:pos="9638"/>
        </w:tabs>
        <w:rPr>
          <w:rFonts w:hint="eastAsia" w:ascii="宋体" w:hAnsi="宋体" w:cs="宋体"/>
          <w:color w:val="auto"/>
          <w:sz w:val="28"/>
          <w:szCs w:val="28"/>
          <w:highlight w:val="none"/>
        </w:rPr>
      </w:pP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HYPERLINK \l _Toc5420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第三章</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评标办法（综合评估法）</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_Toc5420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29</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pPr>
        <w:pStyle w:val="24"/>
        <w:tabs>
          <w:tab w:val="right" w:leader="dot" w:pos="9638"/>
        </w:tabs>
        <w:rPr>
          <w:rFonts w:hint="eastAsia" w:ascii="宋体" w:hAnsi="宋体" w:cs="宋体"/>
          <w:color w:val="auto"/>
          <w:sz w:val="28"/>
          <w:szCs w:val="28"/>
          <w:highlight w:val="none"/>
        </w:rPr>
      </w:pP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HYPERLINK \l _Toc28698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第四章</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合同条款及格式</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_Toc28698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35</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pPr>
        <w:pStyle w:val="24"/>
        <w:tabs>
          <w:tab w:val="right" w:leader="dot" w:pos="9638"/>
        </w:tabs>
        <w:rPr>
          <w:rFonts w:hint="eastAsia" w:ascii="宋体" w:hAnsi="宋体" w:cs="宋体"/>
          <w:color w:val="auto"/>
          <w:sz w:val="28"/>
          <w:szCs w:val="28"/>
          <w:highlight w:val="none"/>
        </w:rPr>
      </w:pP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HYPERLINK \l _Toc20882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第二卷</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_Toc20882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36</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pPr>
        <w:pStyle w:val="24"/>
        <w:tabs>
          <w:tab w:val="right" w:leader="dot" w:pos="9638"/>
        </w:tabs>
        <w:rPr>
          <w:rFonts w:hint="eastAsia" w:ascii="宋体" w:hAnsi="宋体" w:cs="宋体"/>
          <w:color w:val="auto"/>
          <w:sz w:val="28"/>
          <w:szCs w:val="28"/>
          <w:highlight w:val="none"/>
        </w:rPr>
      </w:pP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HYPERLINK \l _Toc14804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第五章</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lang w:eastAsia="zh-CN"/>
        </w:rPr>
        <w:t>供货要求</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_Toc14804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37</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pPr>
        <w:pStyle w:val="24"/>
        <w:tabs>
          <w:tab w:val="right" w:leader="dot" w:pos="9638"/>
        </w:tabs>
        <w:rPr>
          <w:rFonts w:hint="eastAsia" w:ascii="宋体" w:hAnsi="宋体" w:cs="宋体"/>
          <w:color w:val="auto"/>
          <w:sz w:val="28"/>
          <w:szCs w:val="28"/>
          <w:highlight w:val="none"/>
        </w:rPr>
      </w:pP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HYPERLINK \l _Toc28865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第三卷</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_Toc28865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38</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pPr>
        <w:pStyle w:val="24"/>
        <w:tabs>
          <w:tab w:val="right" w:leader="dot" w:pos="9638"/>
        </w:tabs>
        <w:rPr>
          <w:rFonts w:hint="eastAsia" w:ascii="宋体" w:hAnsi="宋体" w:cs="宋体"/>
          <w:color w:val="auto"/>
          <w:sz w:val="28"/>
          <w:szCs w:val="28"/>
          <w:highlight w:val="none"/>
        </w:rPr>
      </w:pP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HYPERLINK \l _Toc31697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第六章</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投标文件格式</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_Toc31697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39</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pPr>
        <w:rPr>
          <w:rFonts w:hint="eastAsia" w:ascii="宋体" w:hAnsi="宋体" w:eastAsia="宋体" w:cs="宋体"/>
          <w:color w:val="auto"/>
          <w:highlight w:val="none"/>
        </w:rPr>
      </w:pPr>
      <w:r>
        <w:rPr>
          <w:rFonts w:hint="eastAsia" w:ascii="宋体" w:hAnsi="宋体" w:eastAsia="宋体" w:cs="宋体"/>
          <w:color w:val="auto"/>
          <w:sz w:val="24"/>
          <w:szCs w:val="28"/>
          <w:highlight w:val="none"/>
        </w:rPr>
        <w:fldChar w:fldCharType="end"/>
      </w:r>
    </w:p>
    <w:p>
      <w:pPr>
        <w:widowControl/>
        <w:spacing w:line="360" w:lineRule="auto"/>
        <w:jc w:val="center"/>
        <w:rPr>
          <w:rFonts w:hint="eastAsia" w:ascii="宋体" w:hAnsi="宋体" w:eastAsia="宋体" w:cs="宋体"/>
          <w:snapToGrid w:val="0"/>
          <w:color w:val="auto"/>
          <w:sz w:val="20"/>
          <w:highlight w:val="none"/>
          <w:lang w:val="zh-CN"/>
        </w:rPr>
      </w:pPr>
      <w:r>
        <w:rPr>
          <w:rFonts w:hint="eastAsia" w:ascii="宋体" w:hAnsi="宋体" w:eastAsia="宋体" w:cs="宋体"/>
          <w:b/>
          <w:color w:val="auto"/>
          <w:sz w:val="44"/>
          <w:highlight w:val="none"/>
        </w:rPr>
        <w:br w:type="page"/>
      </w:r>
    </w:p>
    <w:p>
      <w:pPr>
        <w:pStyle w:val="3"/>
        <w:jc w:val="center"/>
        <w:rPr>
          <w:rFonts w:hint="eastAsia" w:ascii="宋体" w:hAnsi="宋体" w:eastAsia="宋体" w:cs="宋体"/>
          <w:color w:val="auto"/>
          <w:highlight w:val="none"/>
        </w:rPr>
      </w:pPr>
      <w:bookmarkStart w:id="3" w:name="_Toc14275"/>
      <w:bookmarkStart w:id="4" w:name="_Toc25513662"/>
      <w:bookmarkStart w:id="5" w:name="_Toc9598"/>
      <w:r>
        <w:rPr>
          <w:rFonts w:hint="eastAsia" w:ascii="宋体" w:hAnsi="宋体" w:eastAsia="宋体" w:cs="宋体"/>
          <w:color w:val="auto"/>
          <w:highlight w:val="none"/>
        </w:rPr>
        <w:t>第一卷</w:t>
      </w:r>
      <w:bookmarkEnd w:id="3"/>
      <w:bookmarkEnd w:id="4"/>
      <w:bookmarkEnd w:id="5"/>
    </w:p>
    <w:p>
      <w:pPr>
        <w:widowControl/>
        <w:spacing w:line="259" w:lineRule="auto"/>
        <w:ind w:right="1604"/>
        <w:jc w:val="right"/>
        <w:rPr>
          <w:rFonts w:hint="eastAsia" w:ascii="宋体" w:hAnsi="宋体" w:eastAsia="宋体" w:cs="宋体"/>
          <w:color w:val="auto"/>
          <w:sz w:val="22"/>
          <w:highlight w:val="none"/>
        </w:rPr>
      </w:pPr>
      <w:r>
        <w:rPr>
          <w:rFonts w:hint="eastAsia" w:ascii="宋体" w:hAnsi="宋体" w:eastAsia="宋体" w:cs="宋体"/>
          <w:b/>
          <w:color w:val="auto"/>
          <w:sz w:val="44"/>
          <w:highlight w:val="none"/>
        </w:rPr>
        <w:br w:type="page"/>
      </w:r>
    </w:p>
    <w:p>
      <w:pPr>
        <w:pStyle w:val="3"/>
        <w:jc w:val="center"/>
        <w:rPr>
          <w:rFonts w:hint="eastAsia" w:ascii="宋体" w:hAnsi="宋体" w:eastAsia="宋体" w:cs="宋体"/>
          <w:color w:val="auto"/>
          <w:highlight w:val="none"/>
        </w:rPr>
      </w:pPr>
      <w:bookmarkStart w:id="6" w:name="_Toc25222"/>
      <w:bookmarkStart w:id="7" w:name="_Toc25513663"/>
      <w:bookmarkStart w:id="8" w:name="_Toc7428"/>
      <w:r>
        <w:rPr>
          <w:rFonts w:hint="eastAsia" w:ascii="宋体" w:hAnsi="宋体" w:eastAsia="宋体" w:cs="宋体"/>
          <w:color w:val="auto"/>
          <w:highlight w:val="none"/>
        </w:rPr>
        <w:t>第一章招标公告</w:t>
      </w:r>
      <w:bookmarkEnd w:id="6"/>
      <w:bookmarkEnd w:id="7"/>
      <w:bookmarkEnd w:id="8"/>
    </w:p>
    <w:p>
      <w:pPr>
        <w:spacing w:line="360" w:lineRule="auto"/>
        <w:jc w:val="center"/>
        <w:rPr>
          <w:rFonts w:hint="eastAsia" w:ascii="宋体" w:hAnsi="宋体" w:eastAsia="宋体" w:cs="宋体"/>
          <w:color w:val="auto"/>
          <w:sz w:val="32"/>
          <w:szCs w:val="32"/>
          <w:highlight w:val="none"/>
        </w:rPr>
      </w:pPr>
    </w:p>
    <w:p>
      <w:pPr>
        <w:spacing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（另册）</w:t>
      </w:r>
    </w:p>
    <w:p>
      <w:pPr>
        <w:spacing w:line="24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pPr>
        <w:pStyle w:val="3"/>
        <w:jc w:val="center"/>
        <w:rPr>
          <w:rFonts w:hint="eastAsia" w:ascii="宋体" w:hAnsi="宋体" w:eastAsia="宋体" w:cs="宋体"/>
          <w:color w:val="auto"/>
          <w:highlight w:val="none"/>
        </w:rPr>
      </w:pPr>
      <w:bookmarkStart w:id="9" w:name="_Toc23297"/>
      <w:bookmarkStart w:id="10" w:name="_Toc31329"/>
      <w:bookmarkStart w:id="11" w:name="_Toc25513664"/>
      <w:r>
        <w:rPr>
          <w:rFonts w:hint="eastAsia" w:ascii="宋体" w:hAnsi="宋体" w:eastAsia="宋体" w:cs="宋体"/>
          <w:color w:val="auto"/>
          <w:highlight w:val="none"/>
        </w:rPr>
        <w:t>第二章投标人须知</w:t>
      </w:r>
      <w:bookmarkEnd w:id="9"/>
      <w:bookmarkEnd w:id="10"/>
      <w:bookmarkEnd w:id="11"/>
    </w:p>
    <w:p>
      <w:pPr>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投标人须知前附表</w:t>
      </w:r>
    </w:p>
    <w:tbl>
      <w:tblPr>
        <w:tblStyle w:val="33"/>
        <w:tblW w:w="8675" w:type="dxa"/>
        <w:tblInd w:w="185" w:type="dxa"/>
        <w:tblLayout w:type="fixed"/>
        <w:tblCellMar>
          <w:top w:w="0" w:type="dxa"/>
          <w:left w:w="108" w:type="dxa"/>
          <w:bottom w:w="0" w:type="dxa"/>
          <w:right w:w="108" w:type="dxa"/>
        </w:tblCellMar>
      </w:tblPr>
      <w:tblGrid>
        <w:gridCol w:w="1084"/>
        <w:gridCol w:w="2100"/>
        <w:gridCol w:w="5491"/>
      </w:tblGrid>
      <w:tr>
        <w:tblPrEx>
          <w:tblCellMar>
            <w:top w:w="0" w:type="dxa"/>
            <w:left w:w="108" w:type="dxa"/>
            <w:bottom w:w="0" w:type="dxa"/>
            <w:right w:w="108" w:type="dxa"/>
          </w:tblCellMar>
        </w:tblPrEx>
        <w:trPr>
          <w:trHeight w:val="106" w:hRule="atLeast"/>
          <w:tblHeader/>
        </w:trPr>
        <w:tc>
          <w:tcPr>
            <w:tcW w:w="10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21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条款名称</w:t>
            </w:r>
          </w:p>
        </w:tc>
        <w:tc>
          <w:tcPr>
            <w:tcW w:w="549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编列内容</w:t>
            </w:r>
          </w:p>
        </w:tc>
      </w:tr>
      <w:tr>
        <w:tblPrEx>
          <w:tblCellMar>
            <w:top w:w="0" w:type="dxa"/>
            <w:left w:w="108" w:type="dxa"/>
            <w:bottom w:w="0" w:type="dxa"/>
            <w:right w:w="108" w:type="dxa"/>
          </w:tblCellMar>
        </w:tblPrEx>
        <w:trPr>
          <w:trHeight w:val="427" w:hRule="atLeast"/>
        </w:trPr>
        <w:tc>
          <w:tcPr>
            <w:tcW w:w="10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w:t>
            </w:r>
          </w:p>
        </w:tc>
        <w:tc>
          <w:tcPr>
            <w:tcW w:w="21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w:t>
            </w:r>
          </w:p>
        </w:tc>
        <w:tc>
          <w:tcPr>
            <w:tcW w:w="5491"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名称：广东广业绿色科技有限公司</w:t>
            </w:r>
          </w:p>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地址：潮州市湘桥区铁铺镇中山大道中段</w:t>
            </w:r>
          </w:p>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联系人：余工</w:t>
            </w:r>
          </w:p>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电话：0768-2509802</w:t>
            </w:r>
          </w:p>
        </w:tc>
      </w:tr>
      <w:tr>
        <w:tblPrEx>
          <w:tblCellMar>
            <w:top w:w="0" w:type="dxa"/>
            <w:left w:w="108" w:type="dxa"/>
            <w:bottom w:w="0" w:type="dxa"/>
            <w:right w:w="108" w:type="dxa"/>
          </w:tblCellMar>
        </w:tblPrEx>
        <w:trPr>
          <w:trHeight w:val="427" w:hRule="atLeast"/>
        </w:trPr>
        <w:tc>
          <w:tcPr>
            <w:tcW w:w="10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1.1.3</w:t>
            </w:r>
          </w:p>
        </w:tc>
        <w:tc>
          <w:tcPr>
            <w:tcW w:w="21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招标代理机构</w:t>
            </w:r>
          </w:p>
        </w:tc>
        <w:tc>
          <w:tcPr>
            <w:tcW w:w="5491"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w:t>
            </w:r>
            <w:r>
              <w:rPr>
                <w:rFonts w:hint="eastAsia" w:ascii="宋体" w:hAnsi="宋体" w:eastAsia="宋体" w:cs="宋体"/>
                <w:color w:val="auto"/>
                <w:szCs w:val="21"/>
                <w:highlight w:val="none"/>
                <w:u w:val="none"/>
              </w:rPr>
              <w:t>广东省机电设备招标有限公司</w:t>
            </w:r>
          </w:p>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none"/>
              </w:rPr>
              <w:t>广州市越秀区环市中路316号金鹰大厦13楼</w:t>
            </w:r>
          </w:p>
          <w:p>
            <w:pPr>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联系人：</w:t>
            </w:r>
            <w:r>
              <w:rPr>
                <w:rFonts w:hint="eastAsia" w:ascii="宋体" w:hAnsi="宋体" w:cs="宋体"/>
                <w:color w:val="auto"/>
                <w:szCs w:val="21"/>
                <w:highlight w:val="none"/>
              </w:rPr>
              <w:t>于工、黄工</w:t>
            </w:r>
          </w:p>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电话：020-83545535</w:t>
            </w:r>
          </w:p>
        </w:tc>
      </w:tr>
      <w:tr>
        <w:tblPrEx>
          <w:tblCellMar>
            <w:top w:w="0" w:type="dxa"/>
            <w:left w:w="108" w:type="dxa"/>
            <w:bottom w:w="0" w:type="dxa"/>
            <w:right w:w="108" w:type="dxa"/>
          </w:tblCellMar>
        </w:tblPrEx>
        <w:trPr>
          <w:trHeight w:val="106" w:hRule="atLeast"/>
        </w:trPr>
        <w:tc>
          <w:tcPr>
            <w:tcW w:w="10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1.1.4</w:t>
            </w:r>
          </w:p>
        </w:tc>
        <w:tc>
          <w:tcPr>
            <w:tcW w:w="21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招标项目名称</w:t>
            </w:r>
          </w:p>
        </w:tc>
        <w:tc>
          <w:tcPr>
            <w:tcW w:w="5491"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潮州市危险废弃物安全处置中心医废车间主设备采购</w:t>
            </w:r>
          </w:p>
        </w:tc>
      </w:tr>
      <w:tr>
        <w:tblPrEx>
          <w:tblCellMar>
            <w:top w:w="0" w:type="dxa"/>
            <w:left w:w="108" w:type="dxa"/>
            <w:bottom w:w="0" w:type="dxa"/>
            <w:right w:w="108" w:type="dxa"/>
          </w:tblCellMar>
        </w:tblPrEx>
        <w:trPr>
          <w:trHeight w:val="106" w:hRule="atLeast"/>
        </w:trPr>
        <w:tc>
          <w:tcPr>
            <w:tcW w:w="10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1.1.5</w:t>
            </w:r>
          </w:p>
        </w:tc>
        <w:tc>
          <w:tcPr>
            <w:tcW w:w="21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工程项目名称</w:t>
            </w:r>
          </w:p>
        </w:tc>
        <w:tc>
          <w:tcPr>
            <w:tcW w:w="5491"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潮州市危险废弃物安全处置中心</w:t>
            </w:r>
          </w:p>
        </w:tc>
      </w:tr>
      <w:tr>
        <w:tblPrEx>
          <w:tblCellMar>
            <w:top w:w="0" w:type="dxa"/>
            <w:left w:w="108" w:type="dxa"/>
            <w:bottom w:w="0" w:type="dxa"/>
            <w:right w:w="108" w:type="dxa"/>
          </w:tblCellMar>
        </w:tblPrEx>
        <w:trPr>
          <w:trHeight w:val="106" w:hRule="atLeast"/>
        </w:trPr>
        <w:tc>
          <w:tcPr>
            <w:tcW w:w="10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w:t>
            </w:r>
          </w:p>
        </w:tc>
        <w:tc>
          <w:tcPr>
            <w:tcW w:w="21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资金来源及比例</w:t>
            </w:r>
          </w:p>
        </w:tc>
        <w:tc>
          <w:tcPr>
            <w:tcW w:w="5491"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详见招标公告。</w:t>
            </w:r>
          </w:p>
        </w:tc>
      </w:tr>
      <w:tr>
        <w:tblPrEx>
          <w:tblCellMar>
            <w:top w:w="0" w:type="dxa"/>
            <w:left w:w="108" w:type="dxa"/>
            <w:bottom w:w="0" w:type="dxa"/>
            <w:right w:w="108" w:type="dxa"/>
          </w:tblCellMar>
        </w:tblPrEx>
        <w:trPr>
          <w:trHeight w:val="106" w:hRule="atLeast"/>
        </w:trPr>
        <w:tc>
          <w:tcPr>
            <w:tcW w:w="10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w:t>
            </w:r>
          </w:p>
        </w:tc>
        <w:tc>
          <w:tcPr>
            <w:tcW w:w="21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资金落实情况</w:t>
            </w:r>
          </w:p>
        </w:tc>
        <w:tc>
          <w:tcPr>
            <w:tcW w:w="5491"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已落实。</w:t>
            </w:r>
          </w:p>
        </w:tc>
      </w:tr>
      <w:tr>
        <w:tblPrEx>
          <w:tblCellMar>
            <w:top w:w="0" w:type="dxa"/>
            <w:left w:w="108" w:type="dxa"/>
            <w:bottom w:w="0" w:type="dxa"/>
            <w:right w:w="108" w:type="dxa"/>
          </w:tblCellMar>
        </w:tblPrEx>
        <w:trPr>
          <w:trHeight w:val="90" w:hRule="atLeast"/>
        </w:trPr>
        <w:tc>
          <w:tcPr>
            <w:tcW w:w="10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1.3.1</w:t>
            </w:r>
          </w:p>
        </w:tc>
        <w:tc>
          <w:tcPr>
            <w:tcW w:w="21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招标范围</w:t>
            </w:r>
          </w:p>
        </w:tc>
        <w:tc>
          <w:tcPr>
            <w:tcW w:w="5491"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详见招标公告。</w:t>
            </w:r>
          </w:p>
        </w:tc>
      </w:tr>
      <w:tr>
        <w:tblPrEx>
          <w:tblCellMar>
            <w:top w:w="0" w:type="dxa"/>
            <w:left w:w="108" w:type="dxa"/>
            <w:bottom w:w="0" w:type="dxa"/>
            <w:right w:w="108" w:type="dxa"/>
          </w:tblCellMar>
        </w:tblPrEx>
        <w:trPr>
          <w:trHeight w:val="106" w:hRule="atLeast"/>
        </w:trPr>
        <w:tc>
          <w:tcPr>
            <w:tcW w:w="10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1.3.2</w:t>
            </w:r>
          </w:p>
        </w:tc>
        <w:tc>
          <w:tcPr>
            <w:tcW w:w="21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交货期</w:t>
            </w:r>
          </w:p>
        </w:tc>
        <w:tc>
          <w:tcPr>
            <w:tcW w:w="5491"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详见招标公告。</w:t>
            </w:r>
          </w:p>
        </w:tc>
      </w:tr>
      <w:tr>
        <w:tblPrEx>
          <w:tblCellMar>
            <w:top w:w="0" w:type="dxa"/>
            <w:left w:w="108" w:type="dxa"/>
            <w:bottom w:w="0" w:type="dxa"/>
            <w:right w:w="108" w:type="dxa"/>
          </w:tblCellMar>
        </w:tblPrEx>
        <w:trPr>
          <w:trHeight w:val="106" w:hRule="atLeast"/>
        </w:trPr>
        <w:tc>
          <w:tcPr>
            <w:tcW w:w="10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1.3.3</w:t>
            </w:r>
          </w:p>
        </w:tc>
        <w:tc>
          <w:tcPr>
            <w:tcW w:w="21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交货地点</w:t>
            </w:r>
          </w:p>
        </w:tc>
        <w:tc>
          <w:tcPr>
            <w:tcW w:w="5491"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详见招标公告。</w:t>
            </w:r>
          </w:p>
        </w:tc>
      </w:tr>
      <w:tr>
        <w:tblPrEx>
          <w:tblCellMar>
            <w:top w:w="0" w:type="dxa"/>
            <w:left w:w="108" w:type="dxa"/>
            <w:bottom w:w="0" w:type="dxa"/>
            <w:right w:w="108" w:type="dxa"/>
          </w:tblCellMar>
        </w:tblPrEx>
        <w:trPr>
          <w:trHeight w:val="106" w:hRule="atLeast"/>
        </w:trPr>
        <w:tc>
          <w:tcPr>
            <w:tcW w:w="10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1.3.4</w:t>
            </w:r>
          </w:p>
        </w:tc>
        <w:tc>
          <w:tcPr>
            <w:tcW w:w="21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技术性能指标</w:t>
            </w:r>
          </w:p>
        </w:tc>
        <w:tc>
          <w:tcPr>
            <w:tcW w:w="5491"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详见第五章“</w:t>
            </w:r>
            <w:r>
              <w:rPr>
                <w:rFonts w:hint="eastAsia" w:ascii="宋体" w:hAnsi="宋体" w:cs="宋体"/>
                <w:color w:val="auto"/>
                <w:szCs w:val="21"/>
                <w:highlight w:val="none"/>
                <w:lang w:eastAsia="zh-CN"/>
              </w:rPr>
              <w:t>供货要求</w:t>
            </w:r>
            <w:r>
              <w:rPr>
                <w:rFonts w:hint="eastAsia" w:ascii="宋体" w:hAnsi="宋体" w:eastAsia="宋体" w:cs="宋体"/>
                <w:color w:val="auto"/>
                <w:szCs w:val="21"/>
                <w:highlight w:val="none"/>
              </w:rPr>
              <w:t>”。其中，对于技术需求书</w:t>
            </w:r>
            <w:r>
              <w:rPr>
                <w:rFonts w:hint="eastAsia" w:ascii="宋体" w:hAnsi="宋体" w:cs="宋体"/>
                <w:color w:val="auto"/>
                <w:szCs w:val="21"/>
                <w:highlight w:val="none"/>
                <w:lang w:val="en-US" w:eastAsia="zh-CN"/>
              </w:rPr>
              <w:t>中</w:t>
            </w:r>
            <w:r>
              <w:rPr>
                <w:rFonts w:hint="eastAsia" w:ascii="宋体" w:hAnsi="宋体" w:eastAsia="宋体" w:cs="宋体"/>
                <w:color w:val="auto"/>
                <w:szCs w:val="21"/>
                <w:highlight w:val="none"/>
              </w:rPr>
              <w:t>打“★”号条款为实质性条款，若有任何一条负偏离或不满足则导致投标无效。</w:t>
            </w:r>
          </w:p>
        </w:tc>
      </w:tr>
      <w:tr>
        <w:tblPrEx>
          <w:tblCellMar>
            <w:top w:w="0" w:type="dxa"/>
            <w:left w:w="108" w:type="dxa"/>
            <w:bottom w:w="0" w:type="dxa"/>
            <w:right w:w="108" w:type="dxa"/>
          </w:tblCellMar>
        </w:tblPrEx>
        <w:trPr>
          <w:trHeight w:val="1873" w:hRule="atLeast"/>
        </w:trPr>
        <w:tc>
          <w:tcPr>
            <w:tcW w:w="10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1.4.1</w:t>
            </w:r>
          </w:p>
        </w:tc>
        <w:tc>
          <w:tcPr>
            <w:tcW w:w="21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投标人资质条件、能力、信誉</w:t>
            </w:r>
          </w:p>
        </w:tc>
        <w:tc>
          <w:tcPr>
            <w:tcW w:w="5491"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（1）资质要求：</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w:t>
            </w:r>
          </w:p>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（2）财务要求：/。</w:t>
            </w:r>
          </w:p>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（3）投标人业绩：/。</w:t>
            </w:r>
          </w:p>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投标设备业绩：/。</w:t>
            </w:r>
          </w:p>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（4）信誉要求：/。</w:t>
            </w:r>
          </w:p>
          <w:p>
            <w:pPr>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（5）其他要求：见招标公告投标人资格要求。</w:t>
            </w:r>
          </w:p>
        </w:tc>
      </w:tr>
      <w:tr>
        <w:tblPrEx>
          <w:tblCellMar>
            <w:top w:w="0" w:type="dxa"/>
            <w:left w:w="108" w:type="dxa"/>
            <w:bottom w:w="0" w:type="dxa"/>
            <w:right w:w="108" w:type="dxa"/>
          </w:tblCellMar>
        </w:tblPrEx>
        <w:trPr>
          <w:trHeight w:val="211" w:hRule="atLeast"/>
        </w:trPr>
        <w:tc>
          <w:tcPr>
            <w:tcW w:w="10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1.4.2</w:t>
            </w:r>
          </w:p>
        </w:tc>
        <w:tc>
          <w:tcPr>
            <w:tcW w:w="21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是否接受联合体投标</w:t>
            </w:r>
          </w:p>
        </w:tc>
        <w:tc>
          <w:tcPr>
            <w:tcW w:w="5491" w:type="dxa"/>
            <w:tcBorders>
              <w:top w:val="single" w:color="auto" w:sz="4" w:space="0"/>
              <w:left w:val="single" w:color="auto" w:sz="4" w:space="0"/>
              <w:bottom w:val="single" w:color="auto" w:sz="4" w:space="0"/>
              <w:right w:val="single" w:color="auto" w:sz="4" w:space="0"/>
            </w:tcBorders>
            <w:vAlign w:val="center"/>
          </w:tcPr>
          <w:p>
            <w:pPr>
              <w:topLinePunct/>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rPr>
              <w:t>不接受</w:t>
            </w:r>
          </w:p>
          <w:p>
            <w:pPr>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接受，应满足下列要求：</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w:t>
            </w:r>
          </w:p>
        </w:tc>
      </w:tr>
      <w:tr>
        <w:tblPrEx>
          <w:tblCellMar>
            <w:top w:w="0" w:type="dxa"/>
            <w:left w:w="108" w:type="dxa"/>
            <w:bottom w:w="0" w:type="dxa"/>
            <w:right w:w="108" w:type="dxa"/>
          </w:tblCellMar>
        </w:tblPrEx>
        <w:trPr>
          <w:trHeight w:val="106" w:hRule="atLeast"/>
        </w:trPr>
        <w:tc>
          <w:tcPr>
            <w:tcW w:w="10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1.4.3</w:t>
            </w:r>
          </w:p>
        </w:tc>
        <w:tc>
          <w:tcPr>
            <w:tcW w:w="21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投标人不得存在的其他情形</w:t>
            </w:r>
          </w:p>
        </w:tc>
        <w:tc>
          <w:tcPr>
            <w:tcW w:w="5491" w:type="dxa"/>
            <w:tcBorders>
              <w:top w:val="single" w:color="auto" w:sz="4" w:space="0"/>
              <w:left w:val="single" w:color="auto" w:sz="4" w:space="0"/>
              <w:bottom w:val="single" w:color="auto" w:sz="4" w:space="0"/>
              <w:right w:val="single" w:color="auto" w:sz="4" w:space="0"/>
            </w:tcBorders>
            <w:vAlign w:val="center"/>
          </w:tcPr>
          <w:p>
            <w:pPr>
              <w:topLinePunct/>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w:t>
            </w:r>
          </w:p>
        </w:tc>
      </w:tr>
      <w:tr>
        <w:tblPrEx>
          <w:tblCellMar>
            <w:top w:w="0" w:type="dxa"/>
            <w:left w:w="108" w:type="dxa"/>
            <w:bottom w:w="0" w:type="dxa"/>
            <w:right w:w="108" w:type="dxa"/>
          </w:tblCellMar>
        </w:tblPrEx>
        <w:trPr>
          <w:trHeight w:val="234" w:hRule="atLeast"/>
        </w:trPr>
        <w:tc>
          <w:tcPr>
            <w:tcW w:w="10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1.9.1</w:t>
            </w:r>
          </w:p>
        </w:tc>
        <w:tc>
          <w:tcPr>
            <w:tcW w:w="21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投标预备会</w:t>
            </w:r>
          </w:p>
        </w:tc>
        <w:tc>
          <w:tcPr>
            <w:tcW w:w="5491" w:type="dxa"/>
            <w:tcBorders>
              <w:top w:val="single" w:color="auto" w:sz="4" w:space="0"/>
              <w:left w:val="single" w:color="auto" w:sz="4" w:space="0"/>
              <w:bottom w:val="single" w:color="auto" w:sz="4" w:space="0"/>
              <w:right w:val="single" w:color="auto" w:sz="4" w:space="0"/>
            </w:tcBorders>
            <w:vAlign w:val="center"/>
          </w:tcPr>
          <w:p>
            <w:pPr>
              <w:topLinePun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■不召开</w:t>
            </w:r>
          </w:p>
          <w:p>
            <w:pPr>
              <w:jc w:val="left"/>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召开，召开时间：</w:t>
            </w:r>
          </w:p>
          <w:p>
            <w:pPr>
              <w:topLinePunct/>
              <w:ind w:firstLine="840" w:firstLineChars="4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召开地点：</w:t>
            </w:r>
          </w:p>
        </w:tc>
      </w:tr>
      <w:tr>
        <w:tblPrEx>
          <w:tblCellMar>
            <w:top w:w="0" w:type="dxa"/>
            <w:left w:w="108" w:type="dxa"/>
            <w:bottom w:w="0" w:type="dxa"/>
            <w:right w:w="108" w:type="dxa"/>
          </w:tblCellMar>
        </w:tblPrEx>
        <w:trPr>
          <w:trHeight w:val="106" w:hRule="atLeast"/>
        </w:trPr>
        <w:tc>
          <w:tcPr>
            <w:tcW w:w="1084" w:type="dxa"/>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1.9.2</w:t>
            </w:r>
          </w:p>
        </w:tc>
        <w:tc>
          <w:tcPr>
            <w:tcW w:w="2100" w:type="dxa"/>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投标人在投标预备会前提出问题</w:t>
            </w:r>
          </w:p>
        </w:tc>
        <w:tc>
          <w:tcPr>
            <w:tcW w:w="5491"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时间：/。</w:t>
            </w:r>
          </w:p>
        </w:tc>
      </w:tr>
      <w:tr>
        <w:tblPrEx>
          <w:tblCellMar>
            <w:top w:w="0" w:type="dxa"/>
            <w:left w:w="108" w:type="dxa"/>
            <w:bottom w:w="0" w:type="dxa"/>
            <w:right w:w="108" w:type="dxa"/>
          </w:tblCellMar>
        </w:tblPrEx>
        <w:trPr>
          <w:trHeight w:val="35" w:hRule="atLeast"/>
        </w:trPr>
        <w:tc>
          <w:tcPr>
            <w:tcW w:w="1084" w:type="dxa"/>
            <w:vMerge w:val="continue"/>
            <w:tcBorders>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p>
        </w:tc>
        <w:tc>
          <w:tcPr>
            <w:tcW w:w="2100" w:type="dxa"/>
            <w:vMerge w:val="continue"/>
            <w:tcBorders>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p>
        </w:tc>
        <w:tc>
          <w:tcPr>
            <w:tcW w:w="5491"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形式：/。</w:t>
            </w:r>
          </w:p>
        </w:tc>
      </w:tr>
      <w:tr>
        <w:tblPrEx>
          <w:tblCellMar>
            <w:top w:w="0" w:type="dxa"/>
            <w:left w:w="108" w:type="dxa"/>
            <w:bottom w:w="0" w:type="dxa"/>
            <w:right w:w="108" w:type="dxa"/>
          </w:tblCellMar>
        </w:tblPrEx>
        <w:trPr>
          <w:trHeight w:val="106" w:hRule="atLeast"/>
        </w:trPr>
        <w:tc>
          <w:tcPr>
            <w:tcW w:w="1084" w:type="dxa"/>
            <w:tcBorders>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1.9.3</w:t>
            </w:r>
          </w:p>
        </w:tc>
        <w:tc>
          <w:tcPr>
            <w:tcW w:w="2100" w:type="dxa"/>
            <w:tcBorders>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招标文件澄清发出的形式</w:t>
            </w:r>
          </w:p>
        </w:tc>
        <w:tc>
          <w:tcPr>
            <w:tcW w:w="5491"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以电子文件形式通过广州公共资源交易中心交易平台发布。</w:t>
            </w:r>
          </w:p>
        </w:tc>
      </w:tr>
      <w:tr>
        <w:tblPrEx>
          <w:tblCellMar>
            <w:top w:w="0" w:type="dxa"/>
            <w:left w:w="108" w:type="dxa"/>
            <w:bottom w:w="0" w:type="dxa"/>
            <w:right w:w="108" w:type="dxa"/>
          </w:tblCellMar>
        </w:tblPrEx>
        <w:trPr>
          <w:trHeight w:val="427" w:hRule="atLeast"/>
        </w:trPr>
        <w:tc>
          <w:tcPr>
            <w:tcW w:w="1084" w:type="dxa"/>
            <w:tcBorders>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1.10.1</w:t>
            </w:r>
          </w:p>
        </w:tc>
        <w:tc>
          <w:tcPr>
            <w:tcW w:w="2100" w:type="dxa"/>
            <w:tcBorders>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分包</w:t>
            </w:r>
          </w:p>
        </w:tc>
        <w:tc>
          <w:tcPr>
            <w:tcW w:w="5491"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rPr>
              <w:t>不允许</w:t>
            </w:r>
          </w:p>
          <w:p>
            <w:pPr>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允许，分包内容要求：</w:t>
            </w:r>
          </w:p>
          <w:p>
            <w:pPr>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分包金额要求：</w:t>
            </w:r>
          </w:p>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对分包人的资质要求：</w:t>
            </w:r>
          </w:p>
        </w:tc>
      </w:tr>
      <w:tr>
        <w:tblPrEx>
          <w:tblCellMar>
            <w:top w:w="0" w:type="dxa"/>
            <w:left w:w="108" w:type="dxa"/>
            <w:bottom w:w="0" w:type="dxa"/>
            <w:right w:w="108" w:type="dxa"/>
          </w:tblCellMar>
        </w:tblPrEx>
        <w:trPr>
          <w:trHeight w:val="106" w:hRule="atLeast"/>
        </w:trPr>
        <w:tc>
          <w:tcPr>
            <w:tcW w:w="1084" w:type="dxa"/>
            <w:tcBorders>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1.11.1</w:t>
            </w:r>
          </w:p>
        </w:tc>
        <w:tc>
          <w:tcPr>
            <w:tcW w:w="2100" w:type="dxa"/>
            <w:tcBorders>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实质性要求和条件</w:t>
            </w:r>
          </w:p>
        </w:tc>
        <w:tc>
          <w:tcPr>
            <w:tcW w:w="5491"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w:t>
            </w:r>
          </w:p>
        </w:tc>
      </w:tr>
      <w:tr>
        <w:tblPrEx>
          <w:tblCellMar>
            <w:top w:w="0" w:type="dxa"/>
            <w:left w:w="108" w:type="dxa"/>
            <w:bottom w:w="0" w:type="dxa"/>
            <w:right w:w="108" w:type="dxa"/>
          </w:tblCellMar>
        </w:tblPrEx>
        <w:trPr>
          <w:trHeight w:val="124" w:hRule="atLeast"/>
        </w:trPr>
        <w:tc>
          <w:tcPr>
            <w:tcW w:w="10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1.11.3</w:t>
            </w:r>
          </w:p>
        </w:tc>
        <w:tc>
          <w:tcPr>
            <w:tcW w:w="21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其他可以被接受的技术支持资料</w:t>
            </w:r>
          </w:p>
        </w:tc>
        <w:tc>
          <w:tcPr>
            <w:tcW w:w="5491" w:type="dxa"/>
            <w:tcBorders>
              <w:top w:val="single" w:color="auto" w:sz="4" w:space="0"/>
              <w:left w:val="single" w:color="auto" w:sz="4" w:space="0"/>
              <w:bottom w:val="single" w:color="auto" w:sz="4" w:space="0"/>
              <w:right w:val="single" w:color="auto" w:sz="4" w:space="0"/>
            </w:tcBorders>
            <w:vAlign w:val="center"/>
          </w:tcPr>
          <w:p>
            <w:pPr>
              <w:topLinePun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r>
      <w:tr>
        <w:tblPrEx>
          <w:tblCellMar>
            <w:top w:w="0" w:type="dxa"/>
            <w:left w:w="108" w:type="dxa"/>
            <w:bottom w:w="0" w:type="dxa"/>
            <w:right w:w="108" w:type="dxa"/>
          </w:tblCellMar>
        </w:tblPrEx>
        <w:trPr>
          <w:trHeight w:val="361" w:hRule="atLeast"/>
        </w:trPr>
        <w:tc>
          <w:tcPr>
            <w:tcW w:w="10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1.11.4</w:t>
            </w:r>
          </w:p>
        </w:tc>
        <w:tc>
          <w:tcPr>
            <w:tcW w:w="21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偏差</w:t>
            </w:r>
          </w:p>
        </w:tc>
        <w:tc>
          <w:tcPr>
            <w:tcW w:w="5491" w:type="dxa"/>
            <w:tcBorders>
              <w:top w:val="single" w:color="auto" w:sz="4" w:space="0"/>
              <w:left w:val="single" w:color="auto" w:sz="4" w:space="0"/>
              <w:bottom w:val="single" w:color="auto" w:sz="4" w:space="0"/>
              <w:right w:val="single" w:color="auto" w:sz="4" w:space="0"/>
            </w:tcBorders>
            <w:vAlign w:val="top"/>
          </w:tcPr>
          <w:p>
            <w:pPr>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rPr>
              <w:t>不允许</w:t>
            </w:r>
          </w:p>
          <w:p>
            <w:pPr>
              <w:topLinePun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□允许，偏差范围：</w:t>
            </w:r>
          </w:p>
          <w:p>
            <w:pPr>
              <w:topLinePunct/>
              <w:ind w:firstLine="840" w:firstLineChars="4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最高项数：</w:t>
            </w:r>
          </w:p>
        </w:tc>
      </w:tr>
      <w:tr>
        <w:tblPrEx>
          <w:tblCellMar>
            <w:top w:w="0" w:type="dxa"/>
            <w:left w:w="108" w:type="dxa"/>
            <w:bottom w:w="0" w:type="dxa"/>
            <w:right w:w="108" w:type="dxa"/>
          </w:tblCellMar>
        </w:tblPrEx>
        <w:trPr>
          <w:trHeight w:val="106" w:hRule="atLeast"/>
        </w:trPr>
        <w:tc>
          <w:tcPr>
            <w:tcW w:w="10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21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构成招标文件的其他资料</w:t>
            </w:r>
          </w:p>
        </w:tc>
        <w:tc>
          <w:tcPr>
            <w:tcW w:w="5491"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r>
        <w:tblPrEx>
          <w:tblCellMar>
            <w:top w:w="0" w:type="dxa"/>
            <w:left w:w="108" w:type="dxa"/>
            <w:bottom w:w="0" w:type="dxa"/>
            <w:right w:w="108" w:type="dxa"/>
          </w:tblCellMar>
        </w:tblPrEx>
        <w:trPr>
          <w:trHeight w:val="106" w:hRule="atLeast"/>
        </w:trPr>
        <w:tc>
          <w:tcPr>
            <w:tcW w:w="1084" w:type="dxa"/>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2.2.1</w:t>
            </w:r>
          </w:p>
        </w:tc>
        <w:tc>
          <w:tcPr>
            <w:tcW w:w="2100" w:type="dxa"/>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投标人要求澄清招标文件</w:t>
            </w:r>
          </w:p>
        </w:tc>
        <w:tc>
          <w:tcPr>
            <w:tcW w:w="5491"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疑问提交时间：在提交投标文件截止时间18天前提出。</w:t>
            </w:r>
          </w:p>
        </w:tc>
      </w:tr>
      <w:tr>
        <w:tblPrEx>
          <w:tblCellMar>
            <w:top w:w="0" w:type="dxa"/>
            <w:left w:w="108" w:type="dxa"/>
            <w:bottom w:w="0" w:type="dxa"/>
            <w:right w:w="108" w:type="dxa"/>
          </w:tblCellMar>
        </w:tblPrEx>
        <w:trPr>
          <w:trHeight w:val="35" w:hRule="atLeast"/>
        </w:trPr>
        <w:tc>
          <w:tcPr>
            <w:tcW w:w="1084" w:type="dxa"/>
            <w:vMerge w:val="continue"/>
            <w:tcBorders>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p>
        </w:tc>
        <w:tc>
          <w:tcPr>
            <w:tcW w:w="2100" w:type="dxa"/>
            <w:vMerge w:val="continue"/>
            <w:tcBorders>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p>
        </w:tc>
        <w:tc>
          <w:tcPr>
            <w:tcW w:w="5491"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b w:val="0"/>
                <w:color w:val="auto"/>
                <w:szCs w:val="21"/>
                <w:highlight w:val="none"/>
                <w:u w:val="none"/>
              </w:rPr>
            </w:pPr>
            <w:r>
              <w:rPr>
                <w:rFonts w:hint="eastAsia" w:ascii="宋体" w:hAnsi="宋体" w:eastAsia="宋体" w:cs="宋体"/>
                <w:b w:val="0"/>
                <w:color w:val="auto"/>
                <w:szCs w:val="21"/>
                <w:highlight w:val="none"/>
                <w:u w:val="none"/>
              </w:rPr>
              <w:t>形式：在广州公共资源交易中心网站通过项目网上答疑</w:t>
            </w:r>
          </w:p>
          <w:p>
            <w:pPr>
              <w:jc w:val="left"/>
              <w:rPr>
                <w:rFonts w:hint="eastAsia" w:ascii="宋体" w:hAnsi="宋体" w:eastAsia="宋体" w:cs="宋体"/>
                <w:b w:val="0"/>
                <w:color w:val="auto"/>
                <w:szCs w:val="21"/>
                <w:highlight w:val="none"/>
                <w:u w:val="none"/>
              </w:rPr>
            </w:pPr>
            <w:r>
              <w:rPr>
                <w:rFonts w:hint="eastAsia" w:ascii="宋体" w:hAnsi="宋体" w:eastAsia="宋体" w:cs="宋体"/>
                <w:b w:val="0"/>
                <w:color w:val="auto"/>
                <w:szCs w:val="21"/>
                <w:highlight w:val="none"/>
                <w:u w:val="none"/>
              </w:rPr>
              <w:t>（1）招标答疑采用网上答疑方式进行。投标人若对招标文件有疑问的，可在规定的时间内通过广州公共资源交易中心网站进入“招标答疑提问”页面将问题提交给招标人或招标代理人，提交问题时一律不得署名。</w:t>
            </w:r>
          </w:p>
          <w:p>
            <w:pPr>
              <w:jc w:val="left"/>
              <w:rPr>
                <w:rFonts w:hint="eastAsia" w:ascii="宋体" w:hAnsi="宋体" w:eastAsia="宋体" w:cs="宋体"/>
                <w:b w:val="0"/>
                <w:color w:val="auto"/>
                <w:szCs w:val="21"/>
                <w:highlight w:val="none"/>
                <w:u w:val="none"/>
                <w:lang w:eastAsia="zh-CN"/>
              </w:rPr>
            </w:pPr>
            <w:r>
              <w:rPr>
                <w:rFonts w:hint="eastAsia" w:ascii="宋体" w:hAnsi="宋体" w:eastAsia="宋体" w:cs="宋体"/>
                <w:b w:val="0"/>
                <w:color w:val="auto"/>
                <w:szCs w:val="21"/>
                <w:highlight w:val="none"/>
                <w:u w:val="none"/>
              </w:rPr>
              <w:t>网上答疑的操作指南为：登录广州公共资源交易中心数字交易平台→进入“我的投标”页面→进入“招标答疑提问”页面→通过项目编号或名称找到所需的项目→在上述的答疑时间内点击“答疑提问”→无记名或匿名提出问题。具体</w:t>
            </w:r>
            <w:r>
              <w:rPr>
                <w:rFonts w:hint="eastAsia" w:ascii="宋体" w:hAnsi="宋体" w:cs="宋体"/>
                <w:b w:val="0"/>
                <w:color w:val="auto"/>
                <w:szCs w:val="21"/>
                <w:highlight w:val="none"/>
                <w:u w:val="none"/>
                <w:lang w:val="en-US" w:eastAsia="zh-CN"/>
              </w:rPr>
              <w:t>要</w:t>
            </w:r>
            <w:r>
              <w:rPr>
                <w:rFonts w:hint="eastAsia" w:ascii="宋体" w:hAnsi="宋体" w:eastAsia="宋体" w:cs="宋体"/>
                <w:b w:val="0"/>
                <w:color w:val="auto"/>
                <w:szCs w:val="21"/>
                <w:highlight w:val="none"/>
                <w:u w:val="none"/>
                <w:lang w:val="en-US" w:eastAsia="zh-CN"/>
              </w:rPr>
              <w:t>求：</w:t>
            </w:r>
            <w:r>
              <w:rPr>
                <w:rFonts w:hint="default" w:ascii="宋体" w:hAnsi="宋体" w:eastAsia="宋体" w:cs="宋体"/>
                <w:b w:val="0"/>
                <w:color w:val="auto"/>
                <w:szCs w:val="21"/>
                <w:highlight w:val="none"/>
                <w:u w:val="none"/>
              </w:rPr>
              <w:t>操作详见附件《房屋建筑和市政基础设施工程全流程电子化项目专章》。</w:t>
            </w:r>
          </w:p>
        </w:tc>
      </w:tr>
      <w:tr>
        <w:tblPrEx>
          <w:tblCellMar>
            <w:top w:w="0" w:type="dxa"/>
            <w:left w:w="108" w:type="dxa"/>
            <w:bottom w:w="0" w:type="dxa"/>
            <w:right w:w="108" w:type="dxa"/>
          </w:tblCellMar>
        </w:tblPrEx>
        <w:trPr>
          <w:trHeight w:val="560" w:hRule="atLeast"/>
        </w:trPr>
        <w:tc>
          <w:tcPr>
            <w:tcW w:w="1084" w:type="dxa"/>
            <w:tcBorders>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2.2.2</w:t>
            </w:r>
          </w:p>
        </w:tc>
        <w:tc>
          <w:tcPr>
            <w:tcW w:w="2100" w:type="dxa"/>
            <w:tcBorders>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招标文件澄清发出的形式</w:t>
            </w:r>
          </w:p>
        </w:tc>
        <w:tc>
          <w:tcPr>
            <w:tcW w:w="549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r>
              <w:rPr>
                <w:rFonts w:hint="eastAsia" w:ascii="宋体" w:hAnsi="宋体" w:eastAsia="宋体" w:cs="宋体"/>
                <w:color w:val="auto"/>
                <w:highlight w:val="none"/>
              </w:rPr>
              <w:t>在递交投标文件截止时间15天前，在</w:t>
            </w:r>
            <w:r>
              <w:rPr>
                <w:rFonts w:hint="eastAsia" w:ascii="宋体" w:hAnsi="宋体" w:eastAsia="宋体" w:cs="宋体"/>
                <w:color w:val="auto"/>
                <w:szCs w:val="21"/>
                <w:highlight w:val="none"/>
                <w:u w:val="single"/>
              </w:rPr>
              <w:t>广州交易集团有限公司（广州公共资源交易中心）</w:t>
            </w:r>
            <w:r>
              <w:rPr>
                <w:rFonts w:hint="eastAsia" w:ascii="宋体" w:hAnsi="宋体" w:eastAsia="宋体" w:cs="宋体"/>
                <w:color w:val="auto"/>
                <w:highlight w:val="none"/>
              </w:rPr>
              <w:t>网站通过答疑纪要专区网上公开发布。</w:t>
            </w:r>
          </w:p>
        </w:tc>
      </w:tr>
      <w:tr>
        <w:tblPrEx>
          <w:tblCellMar>
            <w:top w:w="0" w:type="dxa"/>
            <w:left w:w="108" w:type="dxa"/>
            <w:bottom w:w="0" w:type="dxa"/>
            <w:right w:w="108" w:type="dxa"/>
          </w:tblCellMar>
        </w:tblPrEx>
        <w:trPr>
          <w:trHeight w:val="106" w:hRule="atLeast"/>
        </w:trPr>
        <w:tc>
          <w:tcPr>
            <w:tcW w:w="1084" w:type="dxa"/>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2.2.3</w:t>
            </w:r>
          </w:p>
        </w:tc>
        <w:tc>
          <w:tcPr>
            <w:tcW w:w="2100" w:type="dxa"/>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投标人确认收到招标文件澄清</w:t>
            </w:r>
          </w:p>
        </w:tc>
        <w:tc>
          <w:tcPr>
            <w:tcW w:w="5491"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时间：发出即视作收到。</w:t>
            </w:r>
          </w:p>
        </w:tc>
      </w:tr>
      <w:tr>
        <w:tblPrEx>
          <w:tblCellMar>
            <w:top w:w="0" w:type="dxa"/>
            <w:left w:w="108" w:type="dxa"/>
            <w:bottom w:w="0" w:type="dxa"/>
            <w:right w:w="108" w:type="dxa"/>
          </w:tblCellMar>
        </w:tblPrEx>
        <w:trPr>
          <w:trHeight w:val="35" w:hRule="atLeast"/>
        </w:trPr>
        <w:tc>
          <w:tcPr>
            <w:tcW w:w="1084" w:type="dxa"/>
            <w:vMerge w:val="continue"/>
            <w:tcBorders>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p>
        </w:tc>
        <w:tc>
          <w:tcPr>
            <w:tcW w:w="2100" w:type="dxa"/>
            <w:vMerge w:val="continue"/>
            <w:tcBorders>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p>
        </w:tc>
        <w:tc>
          <w:tcPr>
            <w:tcW w:w="5491"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形式：招标文件澄清（招标答疑纪要）一经在广州交易集团有限公司（广州公共资源交易中心）网站发布，视作已发放给所有投标人。</w:t>
            </w:r>
          </w:p>
        </w:tc>
      </w:tr>
      <w:tr>
        <w:tblPrEx>
          <w:tblCellMar>
            <w:top w:w="0" w:type="dxa"/>
            <w:left w:w="108" w:type="dxa"/>
            <w:bottom w:w="0" w:type="dxa"/>
            <w:right w:w="108" w:type="dxa"/>
          </w:tblCellMar>
        </w:tblPrEx>
        <w:trPr>
          <w:trHeight w:val="90" w:hRule="atLeast"/>
        </w:trPr>
        <w:tc>
          <w:tcPr>
            <w:tcW w:w="1084" w:type="dxa"/>
            <w:tcBorders>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2.3.1</w:t>
            </w:r>
          </w:p>
        </w:tc>
        <w:tc>
          <w:tcPr>
            <w:tcW w:w="2100" w:type="dxa"/>
            <w:tcBorders>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招标文件修改发出的形式</w:t>
            </w:r>
          </w:p>
        </w:tc>
        <w:tc>
          <w:tcPr>
            <w:tcW w:w="5491"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发出形式：</w:t>
            </w:r>
            <w:r>
              <w:rPr>
                <w:rFonts w:hint="eastAsia" w:ascii="宋体" w:hAnsi="宋体" w:eastAsia="宋体" w:cs="宋体"/>
                <w:color w:val="auto"/>
                <w:szCs w:val="21"/>
                <w:highlight w:val="none"/>
                <w:u w:val="single"/>
              </w:rPr>
              <w:t>以补充公告或项目答疑澄清的方式在广州公共资源交易中心网站发布。</w:t>
            </w:r>
          </w:p>
        </w:tc>
      </w:tr>
      <w:tr>
        <w:tblPrEx>
          <w:tblCellMar>
            <w:top w:w="0" w:type="dxa"/>
            <w:left w:w="108" w:type="dxa"/>
            <w:bottom w:w="0" w:type="dxa"/>
            <w:right w:w="108" w:type="dxa"/>
          </w:tblCellMar>
        </w:tblPrEx>
        <w:trPr>
          <w:trHeight w:val="106" w:hRule="atLeast"/>
        </w:trPr>
        <w:tc>
          <w:tcPr>
            <w:tcW w:w="1084" w:type="dxa"/>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2.3.2</w:t>
            </w:r>
          </w:p>
        </w:tc>
        <w:tc>
          <w:tcPr>
            <w:tcW w:w="2100" w:type="dxa"/>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投标人确认收到招标文件修改</w:t>
            </w:r>
          </w:p>
        </w:tc>
        <w:tc>
          <w:tcPr>
            <w:tcW w:w="549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时间：发出即视作收到。</w:t>
            </w:r>
          </w:p>
        </w:tc>
      </w:tr>
      <w:tr>
        <w:tblPrEx>
          <w:tblCellMar>
            <w:top w:w="0" w:type="dxa"/>
            <w:left w:w="108" w:type="dxa"/>
            <w:bottom w:w="0" w:type="dxa"/>
            <w:right w:w="108" w:type="dxa"/>
          </w:tblCellMar>
        </w:tblPrEx>
        <w:trPr>
          <w:trHeight w:val="35" w:hRule="atLeast"/>
        </w:trPr>
        <w:tc>
          <w:tcPr>
            <w:tcW w:w="1084" w:type="dxa"/>
            <w:vMerge w:val="continue"/>
            <w:tcBorders>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p>
        </w:tc>
        <w:tc>
          <w:tcPr>
            <w:tcW w:w="2100" w:type="dxa"/>
            <w:vMerge w:val="continue"/>
            <w:tcBorders>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p>
        </w:tc>
        <w:tc>
          <w:tcPr>
            <w:tcW w:w="549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形式：招标文件修改一经在广州交易集团有限公司（广州公共资源交易中心）网站发布，视作已发放给所有投标人。</w:t>
            </w:r>
          </w:p>
        </w:tc>
      </w:tr>
      <w:tr>
        <w:tblPrEx>
          <w:tblCellMar>
            <w:top w:w="0" w:type="dxa"/>
            <w:left w:w="108" w:type="dxa"/>
            <w:bottom w:w="0" w:type="dxa"/>
            <w:right w:w="108" w:type="dxa"/>
          </w:tblCellMar>
        </w:tblPrEx>
        <w:trPr>
          <w:trHeight w:val="106" w:hRule="atLeast"/>
        </w:trPr>
        <w:tc>
          <w:tcPr>
            <w:tcW w:w="10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3.1.1</w:t>
            </w:r>
          </w:p>
        </w:tc>
        <w:tc>
          <w:tcPr>
            <w:tcW w:w="21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构成投标文件的其他资料</w:t>
            </w:r>
          </w:p>
        </w:tc>
        <w:tc>
          <w:tcPr>
            <w:tcW w:w="5491"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满足本项目评审要求的其他资料。</w:t>
            </w:r>
          </w:p>
        </w:tc>
      </w:tr>
      <w:tr>
        <w:tblPrEx>
          <w:tblCellMar>
            <w:top w:w="0" w:type="dxa"/>
            <w:left w:w="108" w:type="dxa"/>
            <w:bottom w:w="0" w:type="dxa"/>
            <w:right w:w="108" w:type="dxa"/>
          </w:tblCellMar>
        </w:tblPrEx>
        <w:trPr>
          <w:trHeight w:val="106" w:hRule="atLeast"/>
        </w:trPr>
        <w:tc>
          <w:tcPr>
            <w:tcW w:w="10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3.2.1</w:t>
            </w:r>
          </w:p>
        </w:tc>
        <w:tc>
          <w:tcPr>
            <w:tcW w:w="21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增值税税金的计算方法</w:t>
            </w:r>
          </w:p>
        </w:tc>
        <w:tc>
          <w:tcPr>
            <w:tcW w:w="5491"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r>
        <w:tblPrEx>
          <w:tblCellMar>
            <w:top w:w="0" w:type="dxa"/>
            <w:left w:w="108" w:type="dxa"/>
            <w:bottom w:w="0" w:type="dxa"/>
            <w:right w:w="108" w:type="dxa"/>
          </w:tblCellMar>
        </w:tblPrEx>
        <w:trPr>
          <w:trHeight w:val="211" w:hRule="atLeast"/>
        </w:trPr>
        <w:tc>
          <w:tcPr>
            <w:tcW w:w="10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3.2.4</w:t>
            </w:r>
          </w:p>
        </w:tc>
        <w:tc>
          <w:tcPr>
            <w:tcW w:w="21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最高投标限价</w:t>
            </w:r>
          </w:p>
        </w:tc>
        <w:tc>
          <w:tcPr>
            <w:tcW w:w="5491"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□无</w:t>
            </w:r>
          </w:p>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■有，最高投标限价</w:t>
            </w:r>
            <w:r>
              <w:rPr>
                <w:rFonts w:hint="eastAsia" w:ascii="宋体" w:hAnsi="宋体" w:eastAsia="宋体" w:cs="宋体"/>
                <w:b/>
                <w:bCs/>
                <w:color w:val="auto"/>
                <w:szCs w:val="21"/>
                <w:highlight w:val="none"/>
              </w:rPr>
              <w:t>：</w:t>
            </w:r>
            <w:r>
              <w:rPr>
                <w:rFonts w:hint="eastAsia" w:ascii="宋体" w:hAnsi="宋体" w:cs="宋体"/>
                <w:b/>
                <w:bCs/>
                <w:color w:val="auto"/>
                <w:szCs w:val="21"/>
                <w:highlight w:val="none"/>
                <w:u w:val="single"/>
                <w:lang w:val="en-US" w:eastAsia="zh-CN"/>
              </w:rPr>
              <w:t>230.00</w:t>
            </w:r>
            <w:r>
              <w:rPr>
                <w:rFonts w:hint="eastAsia" w:ascii="宋体" w:hAnsi="宋体" w:eastAsia="宋体" w:cs="宋体"/>
                <w:b/>
                <w:bCs/>
                <w:color w:val="auto"/>
                <w:szCs w:val="21"/>
                <w:highlight w:val="none"/>
                <w:u w:val="single"/>
              </w:rPr>
              <w:t>万元；</w:t>
            </w:r>
            <w:r>
              <w:rPr>
                <w:rFonts w:hint="eastAsia" w:ascii="宋体" w:hAnsi="宋体" w:eastAsia="宋体" w:cs="宋体"/>
                <w:b/>
                <w:color w:val="auto"/>
                <w:szCs w:val="21"/>
                <w:highlight w:val="none"/>
                <w:u w:val="single"/>
              </w:rPr>
              <w:t>投标总价超过最高投标限价的投标文件将被否决其投标。</w:t>
            </w:r>
          </w:p>
        </w:tc>
      </w:tr>
      <w:tr>
        <w:tblPrEx>
          <w:tblCellMar>
            <w:top w:w="0" w:type="dxa"/>
            <w:left w:w="108" w:type="dxa"/>
            <w:bottom w:w="0" w:type="dxa"/>
            <w:right w:w="108" w:type="dxa"/>
          </w:tblCellMar>
        </w:tblPrEx>
        <w:trPr>
          <w:trHeight w:val="106" w:hRule="atLeast"/>
        </w:trPr>
        <w:tc>
          <w:tcPr>
            <w:tcW w:w="10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3.2.5</w:t>
            </w:r>
          </w:p>
        </w:tc>
        <w:tc>
          <w:tcPr>
            <w:tcW w:w="21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投标报价的其他要求</w:t>
            </w:r>
          </w:p>
        </w:tc>
        <w:tc>
          <w:tcPr>
            <w:tcW w:w="5491"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1、各投标单位在最高投标限价内根据企业自身实力进行</w:t>
            </w:r>
            <w:r>
              <w:rPr>
                <w:rFonts w:hint="eastAsia" w:ascii="宋体" w:hAnsi="宋体" w:eastAsia="宋体" w:cs="宋体"/>
                <w:color w:val="auto"/>
                <w:szCs w:val="21"/>
                <w:highlight w:val="none"/>
                <w:lang w:val="en-US" w:eastAsia="zh-CN"/>
              </w:rPr>
              <w:t>报价</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含税，</w:t>
            </w:r>
            <w:r>
              <w:rPr>
                <w:rFonts w:hint="eastAsia" w:ascii="宋体" w:hAnsi="宋体" w:eastAsia="宋体" w:cs="宋体"/>
                <w:color w:val="auto"/>
                <w:szCs w:val="21"/>
                <w:highlight w:val="none"/>
              </w:rPr>
              <w:t>以元为单位，保留两位小数，第三位小数四舍五入）。</w:t>
            </w:r>
          </w:p>
          <w:p>
            <w:pPr>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2、投标人在投标截止时间前修改投标函中的投标总价的，应同时修改第六章“投标文件格式”中</w:t>
            </w:r>
            <w:r>
              <w:rPr>
                <w:rFonts w:hint="eastAsia" w:ascii="宋体" w:hAnsi="宋体" w:cs="宋体"/>
                <w:b/>
                <w:color w:val="auto"/>
                <w:szCs w:val="21"/>
                <w:highlight w:val="none"/>
                <w:lang w:eastAsia="zh-CN"/>
              </w:rPr>
              <w:t>分项报价表</w:t>
            </w:r>
            <w:r>
              <w:rPr>
                <w:rFonts w:hint="eastAsia" w:ascii="宋体" w:hAnsi="宋体" w:eastAsia="宋体" w:cs="宋体"/>
                <w:b/>
                <w:color w:val="auto"/>
                <w:szCs w:val="21"/>
                <w:highlight w:val="none"/>
              </w:rPr>
              <w:t>的相应报价，投标函及其附录与投标文件的其他部分就同一事项出现不一致的情况下，该事项以投标函及其附录的描述为准（招标文件另有约定的除外）。</w:t>
            </w:r>
          </w:p>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3、投标人的报价，应是其按第五章“技术需求书”完成</w:t>
            </w:r>
            <w:r>
              <w:rPr>
                <w:rFonts w:hint="eastAsia" w:ascii="宋体" w:hAnsi="宋体" w:cs="宋体"/>
                <w:color w:val="auto"/>
                <w:szCs w:val="21"/>
                <w:highlight w:val="none"/>
                <w:lang w:val="en-US" w:eastAsia="zh-CN"/>
              </w:rPr>
              <w:t>本项目</w:t>
            </w:r>
            <w:r>
              <w:rPr>
                <w:rFonts w:hint="eastAsia" w:ascii="宋体" w:hAnsi="宋体" w:eastAsia="宋体" w:cs="宋体"/>
                <w:color w:val="auto"/>
                <w:szCs w:val="21"/>
                <w:highlight w:val="none"/>
              </w:rPr>
              <w:t>的所有费用，包括设备价、材料价、包装费、随机工具价、随机备品价、安装配件、税费、保险费、利润、市场价格变化、不可预见等运抵施工现场、保管费、运输费、安装、调试、试运行费、培训费的全部费用。</w:t>
            </w:r>
          </w:p>
          <w:p>
            <w:pPr>
              <w:jc w:val="left"/>
              <w:rPr>
                <w:rFonts w:hint="eastAsia" w:ascii="宋体" w:hAnsi="宋体" w:eastAsia="宋体" w:cs="宋体"/>
                <w:color w:val="auto"/>
                <w:szCs w:val="21"/>
                <w:highlight w:val="none"/>
              </w:rPr>
            </w:pPr>
            <w:r>
              <w:rPr>
                <w:rFonts w:hint="eastAsia" w:ascii="宋体" w:hAnsi="宋体" w:eastAsia="宋体" w:cs="宋体"/>
                <w:b/>
                <w:color w:val="auto"/>
                <w:szCs w:val="21"/>
                <w:highlight w:val="none"/>
                <w:u w:val="single"/>
              </w:rPr>
              <w:t>4、投标报价总价超过相应的最高投标限价的投标文件将被否决其投标。</w:t>
            </w:r>
          </w:p>
        </w:tc>
      </w:tr>
      <w:tr>
        <w:tblPrEx>
          <w:tblCellMar>
            <w:top w:w="0" w:type="dxa"/>
            <w:left w:w="108" w:type="dxa"/>
            <w:bottom w:w="0" w:type="dxa"/>
            <w:right w:w="108" w:type="dxa"/>
          </w:tblCellMar>
        </w:tblPrEx>
        <w:trPr>
          <w:trHeight w:val="110" w:hRule="atLeast"/>
        </w:trPr>
        <w:tc>
          <w:tcPr>
            <w:tcW w:w="10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3.3.1</w:t>
            </w:r>
          </w:p>
        </w:tc>
        <w:tc>
          <w:tcPr>
            <w:tcW w:w="21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投标有效期</w:t>
            </w:r>
          </w:p>
        </w:tc>
        <w:tc>
          <w:tcPr>
            <w:tcW w:w="5491"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b/>
                <w:color w:val="auto"/>
                <w:szCs w:val="21"/>
                <w:highlight w:val="none"/>
                <w:u w:val="single"/>
              </w:rPr>
            </w:pPr>
            <w:r>
              <w:rPr>
                <w:rFonts w:hint="eastAsia" w:ascii="宋体" w:hAnsi="宋体" w:eastAsia="宋体" w:cs="宋体"/>
                <w:color w:val="auto"/>
                <w:szCs w:val="21"/>
                <w:highlight w:val="none"/>
              </w:rPr>
              <w:t>90日历天（从投标截止之日算起）</w:t>
            </w:r>
          </w:p>
        </w:tc>
      </w:tr>
      <w:tr>
        <w:tblPrEx>
          <w:tblCellMar>
            <w:top w:w="0" w:type="dxa"/>
            <w:left w:w="108" w:type="dxa"/>
            <w:bottom w:w="0" w:type="dxa"/>
            <w:right w:w="108" w:type="dxa"/>
          </w:tblCellMar>
        </w:tblPrEx>
        <w:trPr>
          <w:trHeight w:val="221" w:hRule="atLeast"/>
        </w:trPr>
        <w:tc>
          <w:tcPr>
            <w:tcW w:w="10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w:t>
            </w:r>
          </w:p>
        </w:tc>
        <w:tc>
          <w:tcPr>
            <w:tcW w:w="21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投标保证金</w:t>
            </w:r>
          </w:p>
        </w:tc>
        <w:tc>
          <w:tcPr>
            <w:tcW w:w="5491" w:type="dxa"/>
            <w:tcBorders>
              <w:top w:val="single" w:color="auto" w:sz="4" w:space="0"/>
              <w:left w:val="single" w:color="auto" w:sz="4" w:space="0"/>
              <w:bottom w:val="single" w:color="auto" w:sz="4" w:space="0"/>
              <w:right w:val="single" w:color="auto" w:sz="4" w:space="0"/>
            </w:tcBorders>
            <w:vAlign w:val="center"/>
          </w:tcPr>
          <w:p>
            <w:pPr>
              <w:topLinePunct w:val="0"/>
              <w:snapToGrid w:val="0"/>
              <w:spacing w:line="3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1、投标保证金额度：</w:t>
            </w:r>
            <w:r>
              <w:rPr>
                <w:rFonts w:hint="eastAsia" w:ascii="宋体" w:hAnsi="宋体" w:cs="宋体"/>
                <w:b/>
                <w:bCs/>
                <w:color w:val="auto"/>
                <w:kern w:val="0"/>
                <w:szCs w:val="21"/>
                <w:highlight w:val="none"/>
                <w:u w:val="single"/>
                <w:lang w:val="en-US" w:eastAsia="zh-CN"/>
              </w:rPr>
              <w:t>4.00</w:t>
            </w:r>
            <w:r>
              <w:rPr>
                <w:rFonts w:hint="eastAsia" w:ascii="宋体" w:hAnsi="宋体" w:eastAsia="宋体" w:cs="宋体"/>
                <w:b/>
                <w:bCs/>
                <w:color w:val="auto"/>
                <w:kern w:val="0"/>
                <w:szCs w:val="21"/>
                <w:highlight w:val="none"/>
                <w:u w:val="single"/>
              </w:rPr>
              <w:t>万元人民币。</w:t>
            </w:r>
          </w:p>
          <w:p>
            <w:pPr>
              <w:snapToGrid w:val="0"/>
              <w:spacing w:line="360" w:lineRule="exact"/>
              <w:jc w:val="left"/>
              <w:rPr>
                <w:rFonts w:ascii="宋体" w:hAnsi="宋体" w:cs="宋体"/>
                <w:color w:val="auto"/>
                <w:szCs w:val="21"/>
                <w:highlight w:val="none"/>
                <w:u w:val="single"/>
              </w:rPr>
            </w:pPr>
            <w:r>
              <w:rPr>
                <w:rFonts w:hint="eastAsia" w:ascii="宋体" w:hAnsi="宋体" w:eastAsia="宋体" w:cs="宋体"/>
                <w:color w:val="auto"/>
                <w:kern w:val="0"/>
                <w:szCs w:val="21"/>
                <w:highlight w:val="none"/>
              </w:rPr>
              <w:t>2、</w:t>
            </w:r>
            <w:r>
              <w:rPr>
                <w:rFonts w:hint="eastAsia" w:ascii="宋体" w:hAnsi="宋体" w:cs="宋体"/>
                <w:color w:val="auto"/>
                <w:szCs w:val="21"/>
                <w:highlight w:val="none"/>
                <w:u w:val="single"/>
              </w:rPr>
              <w:t>投标保证金可采用现金、银行保函、保证保险、担保</w:t>
            </w:r>
            <w:r>
              <w:rPr>
                <w:rFonts w:hint="eastAsia" w:ascii="宋体" w:hAnsi="宋体" w:cs="宋体"/>
                <w:color w:val="auto"/>
                <w:szCs w:val="21"/>
                <w:highlight w:val="none"/>
                <w:u w:val="single"/>
                <w:lang w:val="en-US" w:eastAsia="zh-CN"/>
              </w:rPr>
              <w:t>保函</w:t>
            </w:r>
            <w:r>
              <w:rPr>
                <w:rFonts w:hint="eastAsia" w:ascii="宋体" w:hAnsi="宋体" w:cs="宋体"/>
                <w:color w:val="auto"/>
                <w:szCs w:val="21"/>
                <w:highlight w:val="none"/>
                <w:u w:val="single"/>
              </w:rPr>
              <w:t>等的形式，须在递交投标文件截止时间前完成缴纳。</w:t>
            </w:r>
          </w:p>
          <w:p>
            <w:pPr>
              <w:snapToGrid w:val="0"/>
              <w:spacing w:line="360" w:lineRule="exact"/>
              <w:rPr>
                <w:rFonts w:hint="eastAsia" w:ascii="宋体" w:hAnsi="宋体" w:cs="宋体"/>
                <w:color w:val="auto"/>
                <w:szCs w:val="21"/>
                <w:highlight w:val="none"/>
                <w:u w:val="single"/>
              </w:rPr>
            </w:pPr>
            <w:r>
              <w:rPr>
                <w:rFonts w:hint="eastAsia" w:ascii="宋体" w:hAnsi="宋体" w:cs="宋体"/>
                <w:color w:val="auto"/>
                <w:szCs w:val="21"/>
                <w:highlight w:val="none"/>
                <w:u w:val="single"/>
              </w:rPr>
              <w:t>（</w:t>
            </w:r>
            <w:r>
              <w:rPr>
                <w:rFonts w:ascii="宋体" w:hAnsi="宋体" w:cs="宋体"/>
                <w:color w:val="auto"/>
                <w:szCs w:val="21"/>
                <w:highlight w:val="none"/>
                <w:u w:val="single"/>
              </w:rPr>
              <w:t>1）</w:t>
            </w:r>
            <w:r>
              <w:rPr>
                <w:rFonts w:hint="eastAsia" w:ascii="宋体" w:hAnsi="宋体" w:cs="宋体"/>
                <w:color w:val="auto"/>
                <w:szCs w:val="21"/>
                <w:highlight w:val="none"/>
                <w:u w:val="single"/>
              </w:rPr>
              <w:t>如采用现金或者支票形式提交的，投标保证金从投标人基本账户递交，由广州公共资源交易中心代收。具体操作要求详见广州公共资源交易中心有关指引，递交事宜请自行咨询交易中心；请各投标人在投标文件递交截止时间前按上述金额递交至广州公共资源交易中心，到账情况以开标时广州公共资源交易中心数据库查询的信息为准。</w:t>
            </w:r>
          </w:p>
          <w:p>
            <w:pPr>
              <w:snapToGrid w:val="0"/>
              <w:spacing w:line="360" w:lineRule="exact"/>
              <w:rPr>
                <w:rFonts w:hint="eastAsia" w:ascii="宋体" w:hAnsi="宋体" w:cs="宋体"/>
                <w:color w:val="auto"/>
                <w:szCs w:val="21"/>
                <w:highlight w:val="none"/>
                <w:u w:val="single"/>
              </w:rPr>
            </w:pPr>
            <w:r>
              <w:rPr>
                <w:rFonts w:hint="eastAsia" w:ascii="宋体" w:hAnsi="宋体" w:cs="宋体"/>
                <w:color w:val="auto"/>
                <w:szCs w:val="21"/>
                <w:highlight w:val="none"/>
                <w:u w:val="single"/>
              </w:rPr>
              <w:t>投标人需在交易系统中将汇入投标保证金与投标项目进行绑定，绑定成功后才能被认定为完成缴交投标保证金义务。</w:t>
            </w:r>
          </w:p>
          <w:p>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u w:val="single"/>
              </w:rPr>
              <w:t>收款单位：广州交易集团有限公司，开户银行：中国建设银行广州天润路支行，银行账号：44001583404059333333；</w:t>
            </w:r>
            <w:r>
              <w:rPr>
                <w:rFonts w:ascii="宋体" w:hAnsi="宋体" w:cs="宋体"/>
                <w:color w:val="auto"/>
                <w:szCs w:val="21"/>
                <w:highlight w:val="none"/>
              </w:rPr>
              <w:t xml:space="preserve"> </w:t>
            </w:r>
          </w:p>
          <w:p>
            <w:pPr>
              <w:spacing w:line="400" w:lineRule="exact"/>
              <w:rPr>
                <w:rFonts w:hint="eastAsia" w:ascii="宋体" w:hAnsi="宋体"/>
                <w:color w:val="auto"/>
                <w:szCs w:val="21"/>
                <w:highlight w:val="none"/>
                <w:u w:val="single"/>
              </w:rPr>
            </w:pPr>
            <w:r>
              <w:rPr>
                <w:rFonts w:hint="eastAsia" w:ascii="宋体" w:hAnsi="宋体"/>
                <w:color w:val="auto"/>
                <w:szCs w:val="21"/>
                <w:highlight w:val="none"/>
                <w:u w:val="single"/>
                <w:lang w:eastAsia="zh-CN"/>
              </w:rPr>
              <w:t>（</w:t>
            </w:r>
            <w:r>
              <w:rPr>
                <w:rFonts w:hint="eastAsia" w:ascii="宋体" w:hAnsi="宋体"/>
                <w:color w:val="auto"/>
                <w:szCs w:val="21"/>
                <w:highlight w:val="none"/>
                <w:u w:val="single"/>
                <w:lang w:val="en-US" w:eastAsia="zh-CN"/>
              </w:rPr>
              <w:t>2</w:t>
            </w:r>
            <w:r>
              <w:rPr>
                <w:rFonts w:hint="eastAsia" w:ascii="宋体" w:hAnsi="宋体"/>
                <w:color w:val="auto"/>
                <w:szCs w:val="21"/>
                <w:highlight w:val="none"/>
                <w:u w:val="single"/>
                <w:lang w:eastAsia="zh-CN"/>
              </w:rPr>
              <w:t>）</w:t>
            </w:r>
            <w:r>
              <w:rPr>
                <w:rFonts w:hint="eastAsia" w:ascii="宋体" w:hAnsi="宋体"/>
                <w:color w:val="auto"/>
                <w:szCs w:val="21"/>
                <w:highlight w:val="none"/>
                <w:u w:val="single"/>
              </w:rPr>
              <w:t>如采用非电子投标保函或投标保证保险或专业担保公司担保的形式提交投标保证金的，在开标前不强制要求投标人提交纸质原件，</w:t>
            </w:r>
            <w:r>
              <w:rPr>
                <w:rFonts w:hint="eastAsia" w:ascii="宋体" w:hAnsi="宋体"/>
                <w:b/>
                <w:color w:val="auto"/>
                <w:szCs w:val="21"/>
                <w:highlight w:val="none"/>
                <w:u w:val="single"/>
              </w:rPr>
              <w:t>但投标人应在投标文件中提交投标保函或投标保证保险或专业担保公司担保的文本扫描件并加盖投标人印章。</w:t>
            </w:r>
            <w:r>
              <w:rPr>
                <w:rFonts w:hint="eastAsia" w:ascii="宋体" w:hAnsi="宋体"/>
                <w:color w:val="auto"/>
                <w:szCs w:val="21"/>
                <w:highlight w:val="none"/>
                <w:u w:val="single"/>
              </w:rPr>
              <w:t>评审结束后，中标候选人应在中标候选人公示前提交其办理的投标保函或投标保证保险或专业担保公司担保的原件以供招标人在网上予以公示。</w:t>
            </w:r>
          </w:p>
          <w:p>
            <w:pPr>
              <w:spacing w:line="400" w:lineRule="exact"/>
              <w:rPr>
                <w:rFonts w:hint="eastAsia" w:ascii="宋体" w:hAnsi="宋体"/>
                <w:color w:val="auto"/>
                <w:szCs w:val="21"/>
                <w:highlight w:val="none"/>
                <w:u w:val="single"/>
              </w:rPr>
            </w:pPr>
            <w:r>
              <w:rPr>
                <w:rFonts w:hint="eastAsia" w:ascii="宋体" w:hAnsi="宋体"/>
                <w:color w:val="auto"/>
                <w:szCs w:val="21"/>
                <w:highlight w:val="none"/>
                <w:u w:val="single"/>
                <w:lang w:eastAsia="zh-CN"/>
              </w:rPr>
              <w:t>（</w:t>
            </w:r>
            <w:r>
              <w:rPr>
                <w:rFonts w:hint="eastAsia" w:ascii="宋体" w:hAnsi="宋体"/>
                <w:color w:val="auto"/>
                <w:szCs w:val="21"/>
                <w:highlight w:val="none"/>
                <w:u w:val="single"/>
                <w:lang w:val="en-US" w:eastAsia="zh-CN"/>
              </w:rPr>
              <w:t>3</w:t>
            </w:r>
            <w:r>
              <w:rPr>
                <w:rFonts w:hint="eastAsia" w:ascii="宋体" w:hAnsi="宋体"/>
                <w:color w:val="auto"/>
                <w:szCs w:val="21"/>
                <w:highlight w:val="none"/>
                <w:u w:val="single"/>
                <w:lang w:eastAsia="zh-CN"/>
              </w:rPr>
              <w:t>）</w:t>
            </w:r>
            <w:r>
              <w:rPr>
                <w:rFonts w:hint="eastAsia" w:ascii="宋体" w:hAnsi="宋体"/>
                <w:color w:val="auto"/>
                <w:szCs w:val="21"/>
                <w:highlight w:val="none"/>
                <w:u w:val="single"/>
              </w:rPr>
              <w:t>如采用电子投标保函方式提交投标保证金，具体操作详见广州公共资源交易中心电子保函操作指引。</w:t>
            </w:r>
          </w:p>
          <w:p>
            <w:pPr>
              <w:snapToGrid w:val="0"/>
              <w:spacing w:line="360" w:lineRule="exact"/>
              <w:rPr>
                <w:rFonts w:hint="eastAsia" w:ascii="宋体" w:hAnsi="宋体" w:eastAsia="宋体" w:cs="宋体"/>
                <w:color w:val="auto"/>
                <w:kern w:val="0"/>
                <w:szCs w:val="21"/>
                <w:highlight w:val="none"/>
                <w:lang w:val="en-US" w:eastAsia="zh-CN"/>
              </w:rPr>
            </w:pPr>
            <w:r>
              <w:rPr>
                <w:rFonts w:hint="eastAsia" w:ascii="宋体" w:hAnsi="宋体"/>
                <w:color w:val="auto"/>
                <w:szCs w:val="21"/>
                <w:highlight w:val="none"/>
                <w:u w:val="single"/>
                <w:lang w:eastAsia="zh-CN"/>
              </w:rPr>
              <w:t>（</w:t>
            </w:r>
            <w:r>
              <w:rPr>
                <w:rFonts w:hint="eastAsia" w:ascii="宋体" w:hAnsi="宋体"/>
                <w:color w:val="auto"/>
                <w:szCs w:val="21"/>
                <w:highlight w:val="none"/>
                <w:u w:val="single"/>
                <w:lang w:val="en-US" w:eastAsia="zh-CN"/>
              </w:rPr>
              <w:t>4</w:t>
            </w:r>
            <w:r>
              <w:rPr>
                <w:rFonts w:hint="eastAsia" w:ascii="宋体" w:hAnsi="宋体"/>
                <w:color w:val="auto"/>
                <w:szCs w:val="21"/>
                <w:highlight w:val="none"/>
                <w:u w:val="single"/>
                <w:lang w:eastAsia="zh-CN"/>
              </w:rPr>
              <w:t>）</w:t>
            </w:r>
            <w:r>
              <w:rPr>
                <w:rFonts w:hint="eastAsia" w:ascii="宋体" w:hAnsi="宋体"/>
                <w:color w:val="auto"/>
                <w:szCs w:val="21"/>
                <w:highlight w:val="none"/>
                <w:u w:val="single"/>
              </w:rPr>
              <w:t>联合体投标的，其投标保证金可以由牵头人递交。</w:t>
            </w:r>
          </w:p>
        </w:tc>
      </w:tr>
      <w:tr>
        <w:tblPrEx>
          <w:tblCellMar>
            <w:top w:w="0" w:type="dxa"/>
            <w:left w:w="108" w:type="dxa"/>
            <w:bottom w:w="0" w:type="dxa"/>
            <w:right w:w="108" w:type="dxa"/>
          </w:tblCellMar>
        </w:tblPrEx>
        <w:trPr>
          <w:trHeight w:val="221" w:hRule="atLeast"/>
        </w:trPr>
        <w:tc>
          <w:tcPr>
            <w:tcW w:w="10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3.4.4</w:t>
            </w:r>
          </w:p>
        </w:tc>
        <w:tc>
          <w:tcPr>
            <w:tcW w:w="21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其他可以不予退还投标保证金的情形</w:t>
            </w:r>
          </w:p>
        </w:tc>
        <w:tc>
          <w:tcPr>
            <w:tcW w:w="5491"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除3.4.4款情形外，其他投标保证金不予退还的情形包括：</w:t>
            </w:r>
            <w:r>
              <w:rPr>
                <w:rFonts w:hint="eastAsia" w:ascii="宋体" w:hAnsi="宋体" w:eastAsia="宋体" w:cs="宋体"/>
                <w:color w:val="auto"/>
                <w:szCs w:val="21"/>
                <w:highlight w:val="none"/>
                <w:u w:val="single"/>
              </w:rPr>
              <w:t>（1）因投标人原因造成投标文件未解密的；</w:t>
            </w:r>
          </w:p>
          <w:p>
            <w:pPr>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（2）按投标报价的算术校核原则及方法调整或修正投标文件的投标报价，调整后的投标报价对投标人起约束作用。如果投标人不接受修正后的报价，其投标担保也将被没收。</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lang w:val="en-US" w:eastAsia="zh-CN"/>
              </w:rPr>
              <w:t>3</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中标人未能在规定期限内按要求提交履约担保；</w:t>
            </w:r>
          </w:p>
          <w:p>
            <w:pPr>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val="en-US" w:eastAsia="zh-CN"/>
              </w:rPr>
              <w:t>4</w:t>
            </w:r>
            <w:r>
              <w:rPr>
                <w:rFonts w:hint="eastAsia" w:ascii="宋体" w:hAnsi="宋体" w:eastAsia="宋体" w:cs="宋体"/>
                <w:color w:val="auto"/>
                <w:szCs w:val="21"/>
                <w:highlight w:val="none"/>
                <w:u w:val="single"/>
              </w:rPr>
              <w:t>）中标人未能在规定期限内签署合同协议。</w:t>
            </w:r>
          </w:p>
          <w:p>
            <w:pPr>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val="en-US" w:eastAsia="zh-CN"/>
              </w:rPr>
              <w:t>5</w:t>
            </w:r>
            <w:r>
              <w:rPr>
                <w:rFonts w:hint="eastAsia" w:ascii="宋体" w:hAnsi="宋体" w:eastAsia="宋体" w:cs="宋体"/>
                <w:color w:val="auto"/>
                <w:szCs w:val="21"/>
                <w:highlight w:val="none"/>
                <w:u w:val="single"/>
              </w:rPr>
              <w:t>）投标人采用不正当的手段骗取中标经查实；</w:t>
            </w:r>
          </w:p>
          <w:p>
            <w:pPr>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val="en-US" w:eastAsia="zh-CN"/>
              </w:rPr>
              <w:t>6</w:t>
            </w:r>
            <w:r>
              <w:rPr>
                <w:rFonts w:hint="eastAsia" w:ascii="宋体" w:hAnsi="宋体" w:eastAsia="宋体" w:cs="宋体"/>
                <w:color w:val="auto"/>
                <w:szCs w:val="21"/>
                <w:highlight w:val="none"/>
                <w:u w:val="single"/>
              </w:rPr>
              <w:t>）投标人以他人名义投标或者允许他人挂靠投标或借用本公司名义投标的；</w:t>
            </w:r>
          </w:p>
          <w:p>
            <w:pPr>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val="en-US" w:eastAsia="zh-CN"/>
              </w:rPr>
              <w:t>7</w:t>
            </w:r>
            <w:r>
              <w:rPr>
                <w:rFonts w:hint="eastAsia" w:ascii="宋体" w:hAnsi="宋体" w:eastAsia="宋体" w:cs="宋体"/>
                <w:color w:val="auto"/>
                <w:szCs w:val="21"/>
                <w:highlight w:val="none"/>
                <w:u w:val="single"/>
              </w:rPr>
              <w:t>）提供虚假投标文件、虚假承诺/声明/保证或者以其他方式弄虚作假的；</w:t>
            </w:r>
          </w:p>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val="en-US" w:eastAsia="zh-CN"/>
              </w:rPr>
              <w:t>8</w:t>
            </w:r>
            <w:r>
              <w:rPr>
                <w:rFonts w:hint="eastAsia" w:ascii="宋体" w:hAnsi="宋体" w:eastAsia="宋体" w:cs="宋体"/>
                <w:color w:val="auto"/>
                <w:szCs w:val="21"/>
                <w:highlight w:val="none"/>
                <w:u w:val="single"/>
              </w:rPr>
              <w:t>）法律或者本招标文件规定的其他情形。</w:t>
            </w:r>
          </w:p>
        </w:tc>
      </w:tr>
      <w:tr>
        <w:tblPrEx>
          <w:tblCellMar>
            <w:top w:w="0" w:type="dxa"/>
            <w:left w:w="108" w:type="dxa"/>
            <w:bottom w:w="0" w:type="dxa"/>
            <w:right w:w="108" w:type="dxa"/>
          </w:tblCellMar>
        </w:tblPrEx>
        <w:trPr>
          <w:trHeight w:val="221" w:hRule="atLeast"/>
        </w:trPr>
        <w:tc>
          <w:tcPr>
            <w:tcW w:w="10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3.5</w:t>
            </w:r>
          </w:p>
        </w:tc>
        <w:tc>
          <w:tcPr>
            <w:tcW w:w="21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资格审查资料的特殊要求</w:t>
            </w:r>
          </w:p>
        </w:tc>
        <w:tc>
          <w:tcPr>
            <w:tcW w:w="5491" w:type="dxa"/>
            <w:tcBorders>
              <w:top w:val="single" w:color="auto" w:sz="4" w:space="0"/>
              <w:left w:val="single" w:color="auto" w:sz="4" w:space="0"/>
              <w:bottom w:val="single" w:color="auto" w:sz="4" w:space="0"/>
              <w:right w:val="single" w:color="auto" w:sz="4" w:space="0"/>
            </w:tcBorders>
            <w:vAlign w:val="center"/>
          </w:tcPr>
          <w:p>
            <w:pPr>
              <w:topLinePun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■无</w:t>
            </w:r>
          </w:p>
          <w:p>
            <w:pPr>
              <w:topLinePun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□有，具体要求：</w:t>
            </w:r>
          </w:p>
        </w:tc>
      </w:tr>
      <w:tr>
        <w:tblPrEx>
          <w:tblCellMar>
            <w:top w:w="0" w:type="dxa"/>
            <w:left w:w="108" w:type="dxa"/>
            <w:bottom w:w="0" w:type="dxa"/>
            <w:right w:w="108" w:type="dxa"/>
          </w:tblCellMar>
        </w:tblPrEx>
        <w:trPr>
          <w:trHeight w:val="221" w:hRule="atLeast"/>
        </w:trPr>
        <w:tc>
          <w:tcPr>
            <w:tcW w:w="108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3.5.1</w:t>
            </w:r>
          </w:p>
        </w:tc>
        <w:tc>
          <w:tcPr>
            <w:tcW w:w="21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近年财务状况的年份要求</w:t>
            </w:r>
          </w:p>
        </w:tc>
        <w:tc>
          <w:tcPr>
            <w:tcW w:w="5491" w:type="dxa"/>
            <w:tcBorders>
              <w:top w:val="single" w:color="auto" w:sz="4" w:space="0"/>
              <w:left w:val="single" w:color="auto" w:sz="4" w:space="0"/>
              <w:bottom w:val="single" w:color="auto" w:sz="4" w:space="0"/>
              <w:right w:val="single" w:color="auto" w:sz="4" w:space="0"/>
            </w:tcBorders>
            <w:vAlign w:val="center"/>
          </w:tcPr>
          <w:p>
            <w:pPr>
              <w:ind w:firstLine="103" w:firstLineChars="50"/>
              <w:jc w:val="left"/>
              <w:rPr>
                <w:rFonts w:hint="eastAsia" w:ascii="宋体" w:hAnsi="宋体" w:eastAsia="宋体" w:cs="宋体"/>
                <w:color w:val="auto"/>
                <w:szCs w:val="21"/>
                <w:highlight w:val="none"/>
              </w:rPr>
            </w:pPr>
            <w:r>
              <w:rPr>
                <w:rFonts w:hint="eastAsia" w:ascii="宋体" w:hAnsi="宋体" w:eastAsia="宋体" w:cs="宋体"/>
                <w:color w:val="auto"/>
                <w:spacing w:val="-2"/>
                <w:szCs w:val="21"/>
                <w:highlight w:val="none"/>
              </w:rPr>
              <w:t>本项目不适用</w:t>
            </w:r>
          </w:p>
        </w:tc>
      </w:tr>
      <w:tr>
        <w:tblPrEx>
          <w:tblCellMar>
            <w:top w:w="0" w:type="dxa"/>
            <w:left w:w="108" w:type="dxa"/>
            <w:bottom w:w="0" w:type="dxa"/>
            <w:right w:w="108" w:type="dxa"/>
          </w:tblCellMar>
        </w:tblPrEx>
        <w:trPr>
          <w:trHeight w:val="90" w:hRule="atLeast"/>
        </w:trPr>
        <w:tc>
          <w:tcPr>
            <w:tcW w:w="108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3.5.2</w:t>
            </w:r>
          </w:p>
        </w:tc>
        <w:tc>
          <w:tcPr>
            <w:tcW w:w="21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近年完成的类似设备供货项目情况的时间要求</w:t>
            </w:r>
          </w:p>
        </w:tc>
        <w:tc>
          <w:tcPr>
            <w:tcW w:w="5491" w:type="dxa"/>
            <w:tcBorders>
              <w:top w:val="single" w:color="auto" w:sz="4" w:space="0"/>
              <w:left w:val="single" w:color="auto" w:sz="4" w:space="0"/>
              <w:bottom w:val="single" w:color="auto" w:sz="4" w:space="0"/>
              <w:right w:val="single" w:color="auto" w:sz="4" w:space="0"/>
            </w:tcBorders>
            <w:vAlign w:val="center"/>
          </w:tcPr>
          <w:p>
            <w:pPr>
              <w:ind w:firstLine="103" w:firstLineChars="50"/>
              <w:jc w:val="left"/>
              <w:rPr>
                <w:rFonts w:hint="default" w:ascii="宋体" w:hAnsi="宋体" w:eastAsia="宋体" w:cs="宋体"/>
                <w:color w:val="auto"/>
                <w:szCs w:val="21"/>
                <w:highlight w:val="none"/>
                <w:lang w:val="en-US" w:eastAsia="zh-CN"/>
              </w:rPr>
            </w:pPr>
            <w:r>
              <w:rPr>
                <w:rFonts w:hint="eastAsia" w:ascii="宋体" w:hAnsi="宋体" w:cs="宋体"/>
                <w:color w:val="auto"/>
                <w:spacing w:val="-2"/>
                <w:szCs w:val="21"/>
                <w:highlight w:val="none"/>
                <w:lang w:val="en-US" w:eastAsia="zh-CN"/>
              </w:rPr>
              <w:t>详见《评标办法前附表》相关要求</w:t>
            </w:r>
          </w:p>
        </w:tc>
      </w:tr>
      <w:tr>
        <w:tblPrEx>
          <w:tblCellMar>
            <w:top w:w="0" w:type="dxa"/>
            <w:left w:w="108" w:type="dxa"/>
            <w:bottom w:w="0" w:type="dxa"/>
            <w:right w:w="108" w:type="dxa"/>
          </w:tblCellMar>
        </w:tblPrEx>
        <w:trPr>
          <w:trHeight w:val="221" w:hRule="atLeast"/>
        </w:trPr>
        <w:tc>
          <w:tcPr>
            <w:tcW w:w="108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3.5.3</w:t>
            </w:r>
          </w:p>
        </w:tc>
        <w:tc>
          <w:tcPr>
            <w:tcW w:w="21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近年发生的诉讼及仲裁情况的时间要求</w:t>
            </w:r>
          </w:p>
        </w:tc>
        <w:tc>
          <w:tcPr>
            <w:tcW w:w="5491" w:type="dxa"/>
            <w:tcBorders>
              <w:top w:val="single" w:color="auto" w:sz="4" w:space="0"/>
              <w:left w:val="single" w:color="auto" w:sz="4" w:space="0"/>
              <w:bottom w:val="single" w:color="auto" w:sz="4" w:space="0"/>
              <w:right w:val="single" w:color="auto" w:sz="4" w:space="0"/>
            </w:tcBorders>
            <w:vAlign w:val="center"/>
          </w:tcPr>
          <w:p>
            <w:pPr>
              <w:ind w:firstLine="103" w:firstLineChars="50"/>
              <w:jc w:val="left"/>
              <w:rPr>
                <w:rFonts w:hint="eastAsia" w:ascii="宋体" w:hAnsi="宋体" w:eastAsia="宋体" w:cs="宋体"/>
                <w:color w:val="auto"/>
                <w:szCs w:val="21"/>
                <w:highlight w:val="none"/>
              </w:rPr>
            </w:pPr>
            <w:r>
              <w:rPr>
                <w:rFonts w:hint="eastAsia" w:ascii="宋体" w:hAnsi="宋体" w:eastAsia="宋体" w:cs="宋体"/>
                <w:color w:val="auto"/>
                <w:spacing w:val="-2"/>
                <w:szCs w:val="21"/>
                <w:highlight w:val="none"/>
              </w:rPr>
              <w:t>本项目不适用</w:t>
            </w:r>
          </w:p>
        </w:tc>
      </w:tr>
      <w:tr>
        <w:tblPrEx>
          <w:tblCellMar>
            <w:top w:w="0" w:type="dxa"/>
            <w:left w:w="108" w:type="dxa"/>
            <w:bottom w:w="0" w:type="dxa"/>
            <w:right w:w="108" w:type="dxa"/>
          </w:tblCellMar>
        </w:tblPrEx>
        <w:trPr>
          <w:trHeight w:val="221" w:hRule="atLeast"/>
        </w:trPr>
        <w:tc>
          <w:tcPr>
            <w:tcW w:w="10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3.6.1</w:t>
            </w:r>
          </w:p>
        </w:tc>
        <w:tc>
          <w:tcPr>
            <w:tcW w:w="21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是否允许递交备选投标方案</w:t>
            </w:r>
          </w:p>
        </w:tc>
        <w:tc>
          <w:tcPr>
            <w:tcW w:w="5491" w:type="dxa"/>
            <w:tcBorders>
              <w:top w:val="single" w:color="auto" w:sz="4" w:space="0"/>
              <w:left w:val="single" w:color="auto" w:sz="4" w:space="0"/>
              <w:bottom w:val="single" w:color="auto" w:sz="4" w:space="0"/>
              <w:right w:val="single" w:color="auto" w:sz="4" w:space="0"/>
            </w:tcBorders>
            <w:vAlign w:val="center"/>
          </w:tcPr>
          <w:p>
            <w:pPr>
              <w:topLinePun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■不允许</w:t>
            </w:r>
          </w:p>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□允许</w:t>
            </w:r>
          </w:p>
        </w:tc>
      </w:tr>
      <w:tr>
        <w:tblPrEx>
          <w:tblCellMar>
            <w:top w:w="0" w:type="dxa"/>
            <w:left w:w="108" w:type="dxa"/>
            <w:bottom w:w="0" w:type="dxa"/>
            <w:right w:w="108" w:type="dxa"/>
          </w:tblCellMar>
        </w:tblPrEx>
        <w:trPr>
          <w:trHeight w:val="35" w:hRule="atLeast"/>
        </w:trPr>
        <w:tc>
          <w:tcPr>
            <w:tcW w:w="10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3.7.3A（2）</w:t>
            </w:r>
          </w:p>
        </w:tc>
        <w:tc>
          <w:tcPr>
            <w:tcW w:w="21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投标文件副本份数及其他要求</w:t>
            </w:r>
          </w:p>
        </w:tc>
        <w:tc>
          <w:tcPr>
            <w:tcW w:w="5491"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r>
        <w:tblPrEx>
          <w:tblCellMar>
            <w:top w:w="0" w:type="dxa"/>
            <w:left w:w="108" w:type="dxa"/>
            <w:bottom w:w="0" w:type="dxa"/>
            <w:right w:w="108" w:type="dxa"/>
          </w:tblCellMar>
        </w:tblPrEx>
        <w:trPr>
          <w:trHeight w:val="35" w:hRule="atLeast"/>
        </w:trPr>
        <w:tc>
          <w:tcPr>
            <w:tcW w:w="10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3.7.3A（3）</w:t>
            </w:r>
          </w:p>
        </w:tc>
        <w:tc>
          <w:tcPr>
            <w:tcW w:w="21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投标文件是否需分册装订</w:t>
            </w:r>
          </w:p>
        </w:tc>
        <w:tc>
          <w:tcPr>
            <w:tcW w:w="5491"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w:t>
            </w:r>
          </w:p>
        </w:tc>
      </w:tr>
      <w:tr>
        <w:tblPrEx>
          <w:tblCellMar>
            <w:top w:w="0" w:type="dxa"/>
            <w:left w:w="108" w:type="dxa"/>
            <w:bottom w:w="0" w:type="dxa"/>
            <w:right w:w="108" w:type="dxa"/>
          </w:tblCellMar>
        </w:tblPrEx>
        <w:trPr>
          <w:trHeight w:val="35" w:hRule="atLeast"/>
        </w:trPr>
        <w:tc>
          <w:tcPr>
            <w:tcW w:w="10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3.7.3（B）</w:t>
            </w:r>
          </w:p>
        </w:tc>
        <w:tc>
          <w:tcPr>
            <w:tcW w:w="21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投标文件所附证书证件要求</w:t>
            </w:r>
          </w:p>
        </w:tc>
        <w:tc>
          <w:tcPr>
            <w:tcW w:w="5491" w:type="dxa"/>
            <w:tcBorders>
              <w:top w:val="single" w:color="auto" w:sz="4" w:space="0"/>
              <w:left w:val="single" w:color="auto" w:sz="4" w:space="0"/>
              <w:bottom w:val="single" w:color="auto" w:sz="4" w:space="0"/>
              <w:right w:val="single" w:color="auto" w:sz="4" w:space="0"/>
            </w:tcBorders>
            <w:vAlign w:val="center"/>
          </w:tcPr>
          <w:p>
            <w:pPr>
              <w:topLinePun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证书证件需为原件清晰扫描件，并采用单位数字证书，按照招标文件要求加盖电子印章。</w:t>
            </w:r>
          </w:p>
        </w:tc>
      </w:tr>
      <w:tr>
        <w:tblPrEx>
          <w:tblCellMar>
            <w:top w:w="0" w:type="dxa"/>
            <w:left w:w="108" w:type="dxa"/>
            <w:bottom w:w="0" w:type="dxa"/>
            <w:right w:w="108" w:type="dxa"/>
          </w:tblCellMar>
        </w:tblPrEx>
        <w:trPr>
          <w:trHeight w:val="35" w:hRule="atLeast"/>
        </w:trPr>
        <w:tc>
          <w:tcPr>
            <w:tcW w:w="10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3.7.3（B）</w:t>
            </w:r>
          </w:p>
        </w:tc>
        <w:tc>
          <w:tcPr>
            <w:tcW w:w="21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投标文件签字或盖章要求</w:t>
            </w:r>
          </w:p>
        </w:tc>
        <w:tc>
          <w:tcPr>
            <w:tcW w:w="5491" w:type="dxa"/>
            <w:tcBorders>
              <w:top w:val="single" w:color="auto" w:sz="4" w:space="0"/>
              <w:left w:val="single" w:color="auto" w:sz="4" w:space="0"/>
              <w:bottom w:val="single" w:color="auto" w:sz="4" w:space="0"/>
              <w:right w:val="single" w:color="auto" w:sz="4" w:space="0"/>
            </w:tcBorders>
            <w:vAlign w:val="center"/>
          </w:tcPr>
          <w:p>
            <w:pPr>
              <w:topLinePunct/>
              <w:jc w:val="left"/>
              <w:rPr>
                <w:rFonts w:hint="eastAsia" w:ascii="宋体" w:hAnsi="宋体" w:eastAsia="宋体" w:cs="宋体"/>
                <w:color w:val="auto"/>
                <w:kern w:val="0"/>
                <w:szCs w:val="21"/>
                <w:highlight w:val="none"/>
              </w:rPr>
            </w:pPr>
            <w:r>
              <w:rPr>
                <w:rFonts w:hint="eastAsia" w:ascii="宋体" w:hAnsi="宋体" w:eastAsia="宋体" w:cs="宋体"/>
                <w:color w:val="auto"/>
                <w:highlight w:val="none"/>
              </w:rPr>
              <w:t>投标文件全部采用电子文档，投标文件所附证书证件均为原件扫描件，并采用单位数字证书，按招标文件要求加盖电子印章。投标文件中需个人签字或盖章的，应手签后扫描上传。具体操作详见附件《房屋建筑和市政基础设施工程全流程电子化项目专章》。</w:t>
            </w:r>
          </w:p>
        </w:tc>
      </w:tr>
      <w:tr>
        <w:tblPrEx>
          <w:tblCellMar>
            <w:top w:w="0" w:type="dxa"/>
            <w:left w:w="108" w:type="dxa"/>
            <w:bottom w:w="0" w:type="dxa"/>
            <w:right w:w="108" w:type="dxa"/>
          </w:tblCellMar>
        </w:tblPrEx>
        <w:trPr>
          <w:trHeight w:val="35" w:hRule="atLeast"/>
        </w:trPr>
        <w:tc>
          <w:tcPr>
            <w:tcW w:w="10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4.1.1（B）</w:t>
            </w:r>
          </w:p>
        </w:tc>
        <w:tc>
          <w:tcPr>
            <w:tcW w:w="21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投标文件加密要求</w:t>
            </w:r>
          </w:p>
        </w:tc>
        <w:tc>
          <w:tcPr>
            <w:tcW w:w="5491" w:type="dxa"/>
            <w:tcBorders>
              <w:top w:val="single" w:color="auto" w:sz="4" w:space="0"/>
              <w:left w:val="single" w:color="auto" w:sz="4" w:space="0"/>
              <w:bottom w:val="single" w:color="auto" w:sz="4" w:space="0"/>
              <w:right w:val="single" w:color="auto" w:sz="4" w:space="0"/>
            </w:tcBorders>
            <w:vAlign w:val="center"/>
          </w:tcPr>
          <w:p>
            <w:pPr>
              <w:topLinePunct/>
              <w:jc w:val="left"/>
              <w:rPr>
                <w:rFonts w:hint="eastAsia" w:ascii="宋体" w:hAnsi="宋体" w:eastAsia="宋体" w:cs="宋体"/>
                <w:color w:val="auto"/>
                <w:kern w:val="0"/>
                <w:szCs w:val="21"/>
                <w:highlight w:val="none"/>
              </w:rPr>
            </w:pPr>
            <w:r>
              <w:rPr>
                <w:rFonts w:hint="eastAsia" w:ascii="宋体" w:hAnsi="宋体" w:eastAsia="宋体" w:cs="宋体"/>
                <w:color w:val="auto"/>
                <w:highlight w:val="none"/>
              </w:rPr>
              <w:t>网上递交的电子投标文件须进行加密。具体操作详见</w:t>
            </w:r>
            <w:r>
              <w:rPr>
                <w:rFonts w:hint="eastAsia" w:ascii="宋体" w:hAnsi="宋体" w:eastAsia="宋体" w:cs="宋体"/>
                <w:color w:val="auto"/>
                <w:szCs w:val="21"/>
                <w:highlight w:val="none"/>
                <w:u w:val="single"/>
              </w:rPr>
              <w:t>广州交易集团有限公司（广州公共资源交易中心）</w:t>
            </w:r>
            <w:r>
              <w:rPr>
                <w:rFonts w:hint="eastAsia" w:ascii="宋体" w:hAnsi="宋体" w:eastAsia="宋体" w:cs="宋体"/>
                <w:color w:val="auto"/>
                <w:highlight w:val="none"/>
              </w:rPr>
              <w:t>网站最新发布的《房屋建筑和市政基础设施工程全流程电子化项目专章》。</w:t>
            </w:r>
          </w:p>
        </w:tc>
      </w:tr>
      <w:tr>
        <w:tblPrEx>
          <w:tblCellMar>
            <w:top w:w="0" w:type="dxa"/>
            <w:left w:w="108" w:type="dxa"/>
            <w:bottom w:w="0" w:type="dxa"/>
            <w:right w:w="108" w:type="dxa"/>
          </w:tblCellMar>
        </w:tblPrEx>
        <w:trPr>
          <w:trHeight w:val="35" w:hRule="atLeast"/>
        </w:trPr>
        <w:tc>
          <w:tcPr>
            <w:tcW w:w="10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4.1.2</w:t>
            </w:r>
          </w:p>
        </w:tc>
        <w:tc>
          <w:tcPr>
            <w:tcW w:w="21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封套上应载明的信息</w:t>
            </w:r>
          </w:p>
        </w:tc>
        <w:tc>
          <w:tcPr>
            <w:tcW w:w="5491" w:type="dxa"/>
            <w:tcBorders>
              <w:top w:val="single" w:color="auto" w:sz="4" w:space="0"/>
              <w:left w:val="single" w:color="auto" w:sz="4" w:space="0"/>
              <w:bottom w:val="single" w:color="auto" w:sz="4" w:space="0"/>
              <w:right w:val="single" w:color="auto" w:sz="4" w:space="0"/>
            </w:tcBorders>
            <w:vAlign w:val="center"/>
          </w:tcPr>
          <w:p>
            <w:pPr>
              <w:topLinePunct/>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w:t>
            </w:r>
          </w:p>
        </w:tc>
      </w:tr>
      <w:tr>
        <w:tblPrEx>
          <w:tblCellMar>
            <w:top w:w="0" w:type="dxa"/>
            <w:left w:w="108" w:type="dxa"/>
            <w:bottom w:w="0" w:type="dxa"/>
            <w:right w:w="108" w:type="dxa"/>
          </w:tblCellMar>
        </w:tblPrEx>
        <w:trPr>
          <w:trHeight w:val="35" w:hRule="atLeast"/>
        </w:trPr>
        <w:tc>
          <w:tcPr>
            <w:tcW w:w="10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4.2.1</w:t>
            </w:r>
          </w:p>
        </w:tc>
        <w:tc>
          <w:tcPr>
            <w:tcW w:w="21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投标截止时间</w:t>
            </w:r>
          </w:p>
        </w:tc>
        <w:tc>
          <w:tcPr>
            <w:tcW w:w="549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r>
              <w:rPr>
                <w:rFonts w:hint="eastAsia" w:ascii="宋体" w:hAnsi="宋体" w:eastAsia="宋体" w:cs="宋体"/>
                <w:color w:val="auto"/>
                <w:highlight w:val="none"/>
              </w:rPr>
              <w:t>投标截止时间：</w:t>
            </w:r>
            <w:r>
              <w:rPr>
                <w:rFonts w:hint="eastAsia" w:ascii="宋体" w:hAnsi="宋体" w:cs="宋体"/>
                <w:color w:val="auto"/>
                <w:highlight w:val="none"/>
                <w:lang w:eastAsia="zh-CN"/>
              </w:rPr>
              <w:t>2025</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时</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分（北京时间）</w:t>
            </w:r>
          </w:p>
          <w:p>
            <w:pPr>
              <w:jc w:val="left"/>
              <w:rPr>
                <w:rFonts w:hint="eastAsia" w:ascii="宋体" w:hAnsi="宋体" w:eastAsia="宋体" w:cs="宋体"/>
                <w:color w:val="auto"/>
                <w:szCs w:val="21"/>
                <w:highlight w:val="none"/>
                <w:u w:val="single"/>
              </w:rPr>
            </w:pPr>
            <w:r>
              <w:rPr>
                <w:rFonts w:hint="eastAsia" w:ascii="宋体" w:hAnsi="宋体" w:eastAsia="宋体" w:cs="宋体"/>
                <w:color w:val="auto"/>
                <w:highlight w:val="none"/>
                <w:u w:val="single"/>
              </w:rPr>
              <w:t>（详见</w:t>
            </w:r>
            <w:r>
              <w:rPr>
                <w:rFonts w:hint="eastAsia" w:ascii="宋体" w:hAnsi="宋体" w:eastAsia="宋体" w:cs="宋体"/>
                <w:color w:val="auto"/>
                <w:szCs w:val="21"/>
                <w:highlight w:val="none"/>
                <w:u w:val="single"/>
              </w:rPr>
              <w:t>广州交易集团有限公司（广州公共资源交易中心）</w:t>
            </w:r>
            <w:r>
              <w:rPr>
                <w:rFonts w:hint="eastAsia" w:ascii="宋体" w:hAnsi="宋体" w:eastAsia="宋体" w:cs="宋体"/>
                <w:color w:val="auto"/>
                <w:highlight w:val="none"/>
                <w:u w:val="single"/>
              </w:rPr>
              <w:t>网站信息）</w:t>
            </w:r>
          </w:p>
        </w:tc>
      </w:tr>
      <w:tr>
        <w:tblPrEx>
          <w:tblCellMar>
            <w:top w:w="0" w:type="dxa"/>
            <w:left w:w="108" w:type="dxa"/>
            <w:bottom w:w="0" w:type="dxa"/>
            <w:right w:w="108" w:type="dxa"/>
          </w:tblCellMar>
        </w:tblPrEx>
        <w:trPr>
          <w:trHeight w:val="35" w:hRule="atLeast"/>
        </w:trPr>
        <w:tc>
          <w:tcPr>
            <w:tcW w:w="10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4.2.2（A）</w:t>
            </w:r>
          </w:p>
        </w:tc>
        <w:tc>
          <w:tcPr>
            <w:tcW w:w="21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递交投标文件地点</w:t>
            </w:r>
          </w:p>
        </w:tc>
        <w:tc>
          <w:tcPr>
            <w:tcW w:w="5491"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宋体" w:hAnsi="宋体" w:eastAsia="宋体" w:cs="宋体"/>
                <w:color w:val="auto"/>
                <w:highlight w:val="none"/>
                <w:u w:val="single"/>
              </w:rPr>
            </w:pPr>
            <w:r>
              <w:rPr>
                <w:rFonts w:hint="eastAsia" w:ascii="宋体" w:hAnsi="宋体" w:eastAsia="宋体" w:cs="宋体"/>
                <w:color w:val="auto"/>
                <w:highlight w:val="none"/>
                <w:u w:val="single"/>
              </w:rPr>
              <w:t>1.递交方式：网上递交投标文件</w:t>
            </w:r>
          </w:p>
          <w:p>
            <w:pPr>
              <w:snapToGrid w:val="0"/>
              <w:rPr>
                <w:rFonts w:hint="eastAsia" w:ascii="宋体" w:hAnsi="宋体" w:eastAsia="宋体" w:cs="宋体"/>
                <w:color w:val="auto"/>
                <w:highlight w:val="none"/>
                <w:u w:val="single"/>
              </w:rPr>
            </w:pPr>
            <w:r>
              <w:rPr>
                <w:rFonts w:hint="eastAsia" w:ascii="宋体" w:hAnsi="宋体" w:eastAsia="宋体" w:cs="宋体"/>
                <w:color w:val="auto"/>
                <w:highlight w:val="none"/>
                <w:u w:val="single"/>
              </w:rPr>
              <w:t>2.递交投标文件的起始时间：（详见</w:t>
            </w:r>
            <w:r>
              <w:rPr>
                <w:rFonts w:hint="eastAsia" w:ascii="宋体" w:hAnsi="宋体" w:eastAsia="宋体" w:cs="宋体"/>
                <w:color w:val="auto"/>
                <w:szCs w:val="21"/>
                <w:highlight w:val="none"/>
                <w:u w:val="single"/>
              </w:rPr>
              <w:t>广州交易集团有限公司（广州公共资源交易中心）</w:t>
            </w:r>
            <w:r>
              <w:rPr>
                <w:rFonts w:hint="eastAsia" w:ascii="宋体" w:hAnsi="宋体" w:eastAsia="宋体" w:cs="宋体"/>
                <w:color w:val="auto"/>
                <w:highlight w:val="none"/>
                <w:u w:val="single"/>
              </w:rPr>
              <w:t>网站信息）。</w:t>
            </w:r>
          </w:p>
          <w:p>
            <w:pPr>
              <w:snapToGrid w:val="0"/>
              <w:rPr>
                <w:rFonts w:hint="eastAsia" w:ascii="宋体" w:hAnsi="宋体" w:eastAsia="宋体" w:cs="宋体"/>
                <w:color w:val="auto"/>
                <w:highlight w:val="none"/>
                <w:u w:val="single"/>
              </w:rPr>
            </w:pPr>
            <w:r>
              <w:rPr>
                <w:rFonts w:hint="eastAsia" w:ascii="宋体" w:hAnsi="宋体" w:eastAsia="宋体" w:cs="宋体"/>
                <w:color w:val="auto"/>
                <w:highlight w:val="none"/>
                <w:u w:val="single"/>
              </w:rPr>
              <w:t>截止时间：（详见</w:t>
            </w:r>
            <w:r>
              <w:rPr>
                <w:rFonts w:hint="eastAsia" w:ascii="宋体" w:hAnsi="宋体" w:eastAsia="宋体" w:cs="宋体"/>
                <w:color w:val="auto"/>
                <w:szCs w:val="21"/>
                <w:highlight w:val="none"/>
                <w:u w:val="single"/>
              </w:rPr>
              <w:t>广州交易集团有限公司（广州公共资源交易中心）</w:t>
            </w:r>
            <w:r>
              <w:rPr>
                <w:rFonts w:hint="eastAsia" w:ascii="宋体" w:hAnsi="宋体" w:eastAsia="宋体" w:cs="宋体"/>
                <w:color w:val="auto"/>
                <w:highlight w:val="none"/>
                <w:u w:val="single"/>
              </w:rPr>
              <w:t>网站信息）</w:t>
            </w:r>
          </w:p>
          <w:p>
            <w:pPr>
              <w:snapToGrid w:val="0"/>
              <w:rPr>
                <w:rFonts w:hint="eastAsia" w:ascii="宋体" w:hAnsi="宋体" w:eastAsia="宋体" w:cs="宋体"/>
                <w:color w:val="auto"/>
                <w:highlight w:val="none"/>
                <w:u w:val="single"/>
              </w:rPr>
            </w:pPr>
            <w:r>
              <w:rPr>
                <w:rFonts w:hint="eastAsia" w:ascii="宋体" w:hAnsi="宋体" w:eastAsia="宋体" w:cs="宋体"/>
                <w:color w:val="auto"/>
                <w:highlight w:val="none"/>
                <w:u w:val="single"/>
              </w:rPr>
              <w:t>3.地点：</w:t>
            </w:r>
            <w:r>
              <w:rPr>
                <w:rFonts w:hint="eastAsia" w:ascii="宋体" w:hAnsi="宋体" w:eastAsia="宋体" w:cs="宋体"/>
                <w:color w:val="auto"/>
                <w:szCs w:val="21"/>
                <w:highlight w:val="none"/>
                <w:u w:val="single"/>
              </w:rPr>
              <w:t>广州交易集团有限公司（广州公共资源交易中心）</w:t>
            </w:r>
            <w:r>
              <w:rPr>
                <w:rFonts w:hint="eastAsia" w:ascii="宋体" w:hAnsi="宋体" w:eastAsia="宋体" w:cs="宋体"/>
                <w:color w:val="auto"/>
                <w:highlight w:val="none"/>
                <w:u w:val="single"/>
              </w:rPr>
              <w:t>网站。</w:t>
            </w:r>
          </w:p>
          <w:p>
            <w:pPr>
              <w:jc w:val="left"/>
              <w:rPr>
                <w:rFonts w:hint="eastAsia" w:ascii="宋体" w:hAnsi="宋体" w:eastAsia="宋体" w:cs="宋体"/>
                <w:color w:val="auto"/>
                <w:szCs w:val="21"/>
                <w:highlight w:val="none"/>
              </w:rPr>
            </w:pPr>
            <w:r>
              <w:rPr>
                <w:rFonts w:hint="eastAsia" w:ascii="宋体" w:hAnsi="宋体" w:eastAsia="宋体" w:cs="宋体"/>
                <w:color w:val="auto"/>
                <w:highlight w:val="none"/>
                <w:u w:val="single"/>
              </w:rPr>
              <w:t>4.上述时间及地点是否有改变，请密切留意</w:t>
            </w:r>
            <w:r>
              <w:rPr>
                <w:rFonts w:hint="eastAsia" w:ascii="宋体" w:hAnsi="宋体" w:cs="宋体"/>
                <w:color w:val="auto"/>
                <w:highlight w:val="none"/>
                <w:u w:val="single"/>
                <w:lang w:val="en-US" w:eastAsia="zh-CN"/>
              </w:rPr>
              <w:t>补充公告、</w:t>
            </w:r>
            <w:r>
              <w:rPr>
                <w:rFonts w:hint="eastAsia" w:ascii="宋体" w:hAnsi="宋体" w:eastAsia="宋体" w:cs="宋体"/>
                <w:color w:val="auto"/>
                <w:highlight w:val="none"/>
                <w:u w:val="single"/>
              </w:rPr>
              <w:t>招标答疑纪要的相关信息。</w:t>
            </w:r>
          </w:p>
        </w:tc>
      </w:tr>
      <w:tr>
        <w:tblPrEx>
          <w:tblCellMar>
            <w:top w:w="0" w:type="dxa"/>
            <w:left w:w="108" w:type="dxa"/>
            <w:bottom w:w="0" w:type="dxa"/>
            <w:right w:w="108" w:type="dxa"/>
          </w:tblCellMar>
        </w:tblPrEx>
        <w:trPr>
          <w:trHeight w:val="35" w:hRule="atLeast"/>
        </w:trPr>
        <w:tc>
          <w:tcPr>
            <w:tcW w:w="10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4.2.3</w:t>
            </w:r>
          </w:p>
        </w:tc>
        <w:tc>
          <w:tcPr>
            <w:tcW w:w="21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投标文件是否退还</w:t>
            </w:r>
          </w:p>
        </w:tc>
        <w:tc>
          <w:tcPr>
            <w:tcW w:w="5491" w:type="dxa"/>
            <w:tcBorders>
              <w:top w:val="single" w:color="auto" w:sz="4" w:space="0"/>
              <w:left w:val="single" w:color="auto" w:sz="4" w:space="0"/>
              <w:bottom w:val="single" w:color="auto" w:sz="4" w:space="0"/>
              <w:right w:val="single" w:color="auto" w:sz="4" w:space="0"/>
            </w:tcBorders>
            <w:vAlign w:val="center"/>
          </w:tcPr>
          <w:p>
            <w:pPr>
              <w:topLinePun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■否</w:t>
            </w:r>
          </w:p>
          <w:p>
            <w:pPr>
              <w:topLinePun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□是，退还时间：</w:t>
            </w:r>
          </w:p>
        </w:tc>
      </w:tr>
      <w:tr>
        <w:tblPrEx>
          <w:tblCellMar>
            <w:top w:w="0" w:type="dxa"/>
            <w:left w:w="108" w:type="dxa"/>
            <w:bottom w:w="0" w:type="dxa"/>
            <w:right w:w="108" w:type="dxa"/>
          </w:tblCellMar>
        </w:tblPrEx>
        <w:trPr>
          <w:trHeight w:val="214" w:hRule="atLeast"/>
        </w:trPr>
        <w:tc>
          <w:tcPr>
            <w:tcW w:w="1084" w:type="dxa"/>
            <w:tcBorders>
              <w:top w:val="single" w:color="auto" w:sz="4" w:space="0"/>
              <w:left w:val="single" w:color="auto" w:sz="4" w:space="0"/>
              <w:bottom w:val="nil"/>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5.1（A）</w:t>
            </w:r>
          </w:p>
        </w:tc>
        <w:tc>
          <w:tcPr>
            <w:tcW w:w="2100" w:type="dxa"/>
            <w:tcBorders>
              <w:top w:val="single" w:color="auto" w:sz="4" w:space="0"/>
              <w:left w:val="single" w:color="auto" w:sz="4" w:space="0"/>
              <w:bottom w:val="nil"/>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开标时间和地点</w:t>
            </w:r>
          </w:p>
        </w:tc>
        <w:tc>
          <w:tcPr>
            <w:tcW w:w="5491" w:type="dxa"/>
            <w:tcBorders>
              <w:top w:val="single" w:color="auto" w:sz="4" w:space="0"/>
              <w:left w:val="single" w:color="auto" w:sz="4" w:space="0"/>
              <w:bottom w:val="nil"/>
              <w:right w:val="single" w:color="auto" w:sz="4" w:space="0"/>
            </w:tcBorders>
            <w:vAlign w:val="center"/>
          </w:tcPr>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r>
        <w:tblPrEx>
          <w:tblCellMar>
            <w:top w:w="0" w:type="dxa"/>
            <w:left w:w="108" w:type="dxa"/>
            <w:bottom w:w="0" w:type="dxa"/>
            <w:right w:w="108" w:type="dxa"/>
          </w:tblCellMar>
        </w:tblPrEx>
        <w:trPr>
          <w:trHeight w:val="133" w:hRule="atLeast"/>
        </w:trPr>
        <w:tc>
          <w:tcPr>
            <w:tcW w:w="1084" w:type="dxa"/>
            <w:tcBorders>
              <w:top w:val="single" w:color="auto" w:sz="4" w:space="0"/>
              <w:left w:val="single" w:color="auto" w:sz="4" w:space="0"/>
              <w:bottom w:val="nil"/>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5.1（B）（新增）</w:t>
            </w:r>
          </w:p>
        </w:tc>
        <w:tc>
          <w:tcPr>
            <w:tcW w:w="2100" w:type="dxa"/>
            <w:tcBorders>
              <w:top w:val="single" w:color="auto" w:sz="4" w:space="0"/>
              <w:left w:val="single" w:color="auto" w:sz="4" w:space="0"/>
              <w:bottom w:val="nil"/>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开标时间和地点</w:t>
            </w:r>
          </w:p>
        </w:tc>
        <w:tc>
          <w:tcPr>
            <w:tcW w:w="5491" w:type="dxa"/>
            <w:tcBorders>
              <w:top w:val="single" w:color="auto" w:sz="4" w:space="0"/>
              <w:left w:val="single" w:color="auto" w:sz="4" w:space="0"/>
              <w:bottom w:val="nil"/>
              <w:right w:val="single" w:color="auto" w:sz="4" w:space="0"/>
            </w:tcBorders>
            <w:vAlign w:val="center"/>
          </w:tcPr>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开标时间：同投标截止时间</w:t>
            </w:r>
          </w:p>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开标地点：广州交易集团有限公司（广州公共资源交易中心）</w:t>
            </w:r>
          </w:p>
          <w:p>
            <w:pPr>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本电子招投标项目在本章4.2.1项规定的投标截止时间（开标时间），在广州交易集团有限公司（广州公共资源交易中心）公开开标，并邀请所有投标人的法定代表人（单位负责人）或其委托代理人准时参加。</w:t>
            </w:r>
            <w:r>
              <w:rPr>
                <w:rFonts w:hint="eastAsia" w:ascii="宋体" w:hAnsi="宋体" w:eastAsia="宋体" w:cs="宋体"/>
                <w:b/>
                <w:color w:val="auto"/>
                <w:szCs w:val="21"/>
                <w:highlight w:val="none"/>
                <w:u w:val="single"/>
              </w:rPr>
              <w:t>开标时，投标人代表有权出席开标会，也可以自主决定不参加开标会，若投标人代表对开标过程提出异议，该投标人代表须同时出示本人身份证原件。</w:t>
            </w:r>
          </w:p>
        </w:tc>
      </w:tr>
      <w:tr>
        <w:tblPrEx>
          <w:tblCellMar>
            <w:top w:w="0" w:type="dxa"/>
            <w:left w:w="108" w:type="dxa"/>
            <w:bottom w:w="0" w:type="dxa"/>
            <w:right w:w="108" w:type="dxa"/>
          </w:tblCellMar>
        </w:tblPrEx>
        <w:trPr>
          <w:trHeight w:val="93" w:hRule="atLeast"/>
        </w:trPr>
        <w:tc>
          <w:tcPr>
            <w:tcW w:w="1084" w:type="dxa"/>
            <w:tcBorders>
              <w:top w:val="single" w:color="auto" w:sz="4" w:space="0"/>
              <w:left w:val="single" w:color="auto" w:sz="4" w:space="0"/>
              <w:bottom w:val="nil"/>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5.2（4）（A）</w:t>
            </w:r>
          </w:p>
        </w:tc>
        <w:tc>
          <w:tcPr>
            <w:tcW w:w="2100" w:type="dxa"/>
            <w:tcBorders>
              <w:top w:val="single" w:color="auto" w:sz="4" w:space="0"/>
              <w:left w:val="single" w:color="auto" w:sz="4" w:space="0"/>
              <w:bottom w:val="nil"/>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开标程序</w:t>
            </w:r>
          </w:p>
        </w:tc>
        <w:tc>
          <w:tcPr>
            <w:tcW w:w="5491" w:type="dxa"/>
            <w:tcBorders>
              <w:top w:val="single" w:color="auto" w:sz="4" w:space="0"/>
              <w:left w:val="single" w:color="auto" w:sz="4" w:space="0"/>
              <w:bottom w:val="nil"/>
              <w:right w:val="single" w:color="auto" w:sz="4" w:space="0"/>
            </w:tcBorders>
            <w:vAlign w:val="center"/>
          </w:tcPr>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开标顺序：/</w:t>
            </w:r>
          </w:p>
        </w:tc>
      </w:tr>
      <w:tr>
        <w:tblPrEx>
          <w:tblCellMar>
            <w:top w:w="0" w:type="dxa"/>
            <w:left w:w="108" w:type="dxa"/>
            <w:bottom w:w="0" w:type="dxa"/>
            <w:right w:w="108" w:type="dxa"/>
          </w:tblCellMar>
        </w:tblPrEx>
        <w:trPr>
          <w:trHeight w:val="93" w:hRule="atLeast"/>
        </w:trPr>
        <w:tc>
          <w:tcPr>
            <w:tcW w:w="1084" w:type="dxa"/>
            <w:tcBorders>
              <w:top w:val="single" w:color="auto" w:sz="4" w:space="0"/>
              <w:left w:val="single" w:color="auto" w:sz="4" w:space="0"/>
              <w:bottom w:val="nil"/>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5.2（B）(新增)</w:t>
            </w:r>
          </w:p>
        </w:tc>
        <w:tc>
          <w:tcPr>
            <w:tcW w:w="2100" w:type="dxa"/>
            <w:tcBorders>
              <w:top w:val="single" w:color="auto" w:sz="4" w:space="0"/>
              <w:left w:val="single" w:color="auto" w:sz="4" w:space="0"/>
              <w:bottom w:val="nil"/>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开标程序</w:t>
            </w:r>
          </w:p>
        </w:tc>
        <w:tc>
          <w:tcPr>
            <w:tcW w:w="5491" w:type="dxa"/>
            <w:tcBorders>
              <w:top w:val="single" w:color="auto" w:sz="4" w:space="0"/>
              <w:left w:val="single" w:color="auto" w:sz="4" w:space="0"/>
              <w:bottom w:val="nil"/>
              <w:right w:val="single" w:color="auto" w:sz="4" w:space="0"/>
            </w:tcBorders>
            <w:vAlign w:val="center"/>
          </w:tcPr>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电子招投标项目开标按下列程序进行：</w:t>
            </w:r>
          </w:p>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5.2.1主持人按下列程序进行开标：</w:t>
            </w:r>
          </w:p>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（1）宣布开标纪律；</w:t>
            </w:r>
          </w:p>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（2）公布在投标截止时间前递交投标文件的投标人名称；</w:t>
            </w:r>
          </w:p>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（3）宣布开标人、唱标人、记录人、监标人等有关人员姓名；</w:t>
            </w:r>
          </w:p>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（4）（B）投标人通过电子招标投标交易平台对已递交的电子投标文件进行解密，公布招标项目名称、投标人名称、投标保证金的递交情况、投标报价及其他内容，并记录在案；</w:t>
            </w:r>
          </w:p>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（5）（B）投标人代表、招标人代表、监标人、记录人等有关人员在开标记录上签字确认；若有关人员不签字的，不影响开标程序；</w:t>
            </w:r>
          </w:p>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（6）开标结束。</w:t>
            </w:r>
          </w:p>
          <w:p>
            <w:pPr>
              <w:ind w:firstLine="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5.2.2投标截止时间前未完成投标文件传输的或因投标人之外的原因造成投标文件未解密的，视为投标人撤回其投标文件。</w:t>
            </w:r>
            <w:r>
              <w:rPr>
                <w:rFonts w:hint="eastAsia" w:ascii="宋体" w:hAnsi="宋体" w:eastAsia="宋体" w:cs="宋体"/>
                <w:color w:val="auto"/>
                <w:kern w:val="0"/>
                <w:szCs w:val="21"/>
                <w:highlight w:val="none"/>
              </w:rPr>
              <w:t>因投标人原因造成投标文件未解密的，或未在投标截止时间后半小时内解密的，视为撤销其投标文件。</w:t>
            </w:r>
          </w:p>
          <w:p>
            <w:pPr>
              <w:ind w:firstLine="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5.2.3开标时，两个（含两个）以上的投标人加密打包投标文件的电脑机器特征码一致的，不参与下一程序，并由评标委员会否决其投标。</w:t>
            </w:r>
          </w:p>
        </w:tc>
      </w:tr>
      <w:tr>
        <w:tblPrEx>
          <w:tblCellMar>
            <w:top w:w="0" w:type="dxa"/>
            <w:left w:w="108" w:type="dxa"/>
            <w:bottom w:w="0" w:type="dxa"/>
            <w:right w:w="108" w:type="dxa"/>
          </w:tblCellMar>
        </w:tblPrEx>
        <w:trPr>
          <w:trHeight w:val="214" w:hRule="atLeast"/>
        </w:trPr>
        <w:tc>
          <w:tcPr>
            <w:tcW w:w="10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6.1.1</w:t>
            </w:r>
          </w:p>
        </w:tc>
        <w:tc>
          <w:tcPr>
            <w:tcW w:w="21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评标委员会的组建</w:t>
            </w:r>
          </w:p>
        </w:tc>
        <w:tc>
          <w:tcPr>
            <w:tcW w:w="5491"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评标委员会由招标人依法组建</w:t>
            </w:r>
            <w:r>
              <w:rPr>
                <w:rFonts w:hint="eastAsia" w:ascii="宋体" w:hAnsi="宋体" w:eastAsia="宋体" w:cs="宋体"/>
                <w:color w:val="auto"/>
                <w:szCs w:val="21"/>
                <w:highlight w:val="none"/>
              </w:rPr>
              <w:t>。</w:t>
            </w:r>
          </w:p>
        </w:tc>
      </w:tr>
      <w:tr>
        <w:tblPrEx>
          <w:tblCellMar>
            <w:top w:w="0" w:type="dxa"/>
            <w:left w:w="108" w:type="dxa"/>
            <w:bottom w:w="0" w:type="dxa"/>
            <w:right w:w="108" w:type="dxa"/>
          </w:tblCellMar>
        </w:tblPrEx>
        <w:trPr>
          <w:trHeight w:val="214" w:hRule="atLeast"/>
        </w:trPr>
        <w:tc>
          <w:tcPr>
            <w:tcW w:w="10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6.3.2</w:t>
            </w:r>
          </w:p>
        </w:tc>
        <w:tc>
          <w:tcPr>
            <w:tcW w:w="21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评标委员会推荐中标候选人的人数</w:t>
            </w:r>
          </w:p>
        </w:tc>
        <w:tc>
          <w:tcPr>
            <w:tcW w:w="549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推荐中标候选人3人</w:t>
            </w:r>
          </w:p>
        </w:tc>
      </w:tr>
      <w:tr>
        <w:tblPrEx>
          <w:tblCellMar>
            <w:top w:w="0" w:type="dxa"/>
            <w:left w:w="108" w:type="dxa"/>
            <w:bottom w:w="0" w:type="dxa"/>
            <w:right w:w="108" w:type="dxa"/>
          </w:tblCellMar>
        </w:tblPrEx>
        <w:trPr>
          <w:trHeight w:val="214" w:hRule="atLeast"/>
        </w:trPr>
        <w:tc>
          <w:tcPr>
            <w:tcW w:w="10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7.1</w:t>
            </w:r>
          </w:p>
        </w:tc>
        <w:tc>
          <w:tcPr>
            <w:tcW w:w="21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中标候选人公示媒介及期限</w:t>
            </w:r>
          </w:p>
        </w:tc>
        <w:tc>
          <w:tcPr>
            <w:tcW w:w="549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lang w:eastAsia="zh-CN"/>
              </w:rPr>
            </w:pPr>
            <w:r>
              <w:rPr>
                <w:rFonts w:hint="eastAsia" w:ascii="宋体" w:hAnsi="宋体" w:eastAsia="宋体" w:cs="宋体"/>
                <w:color w:val="auto"/>
                <w:highlight w:val="none"/>
              </w:rPr>
              <w:t>公示媒介：广州公共资源交易中心、广东省招标投标监管网、中国招标投标公共服务平台</w:t>
            </w:r>
            <w:r>
              <w:rPr>
                <w:rFonts w:hint="eastAsia" w:ascii="宋体" w:hAnsi="宋体" w:cs="宋体"/>
                <w:color w:val="auto"/>
                <w:highlight w:val="none"/>
                <w:lang w:eastAsia="zh-CN"/>
              </w:rPr>
              <w:t>、阳光采购平台和广咨电子招投标交易平台网站</w:t>
            </w:r>
          </w:p>
          <w:p>
            <w:pPr>
              <w:rPr>
                <w:rFonts w:hint="eastAsia" w:ascii="宋体" w:hAnsi="宋体" w:eastAsia="宋体" w:cs="宋体"/>
                <w:color w:val="auto"/>
                <w:highlight w:val="none"/>
              </w:rPr>
            </w:pPr>
            <w:r>
              <w:rPr>
                <w:rFonts w:hint="eastAsia" w:ascii="宋体" w:hAnsi="宋体" w:eastAsia="宋体" w:cs="宋体"/>
                <w:color w:val="auto"/>
                <w:highlight w:val="none"/>
              </w:rPr>
              <w:t>公示期限：3日（最后一天为工作日）</w:t>
            </w:r>
          </w:p>
          <w:p>
            <w:pPr>
              <w:rPr>
                <w:rFonts w:hint="eastAsia" w:ascii="宋体" w:hAnsi="宋体" w:eastAsia="宋体" w:cs="宋体"/>
                <w:color w:val="auto"/>
                <w:highlight w:val="none"/>
              </w:rPr>
            </w:pPr>
            <w:r>
              <w:rPr>
                <w:rFonts w:hint="eastAsia" w:ascii="宋体" w:hAnsi="宋体" w:eastAsia="宋体" w:cs="宋体"/>
                <w:color w:val="auto"/>
                <w:highlight w:val="none"/>
              </w:rPr>
              <w:t>备注：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tc>
      </w:tr>
      <w:tr>
        <w:tblPrEx>
          <w:tblCellMar>
            <w:top w:w="0" w:type="dxa"/>
            <w:left w:w="108" w:type="dxa"/>
            <w:bottom w:w="0" w:type="dxa"/>
            <w:right w:w="108" w:type="dxa"/>
          </w:tblCellMar>
        </w:tblPrEx>
        <w:trPr>
          <w:trHeight w:val="214" w:hRule="atLeast"/>
        </w:trPr>
        <w:tc>
          <w:tcPr>
            <w:tcW w:w="10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7.4</w:t>
            </w:r>
          </w:p>
        </w:tc>
        <w:tc>
          <w:tcPr>
            <w:tcW w:w="21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是否授权评标委员会确定中标人</w:t>
            </w:r>
          </w:p>
        </w:tc>
        <w:tc>
          <w:tcPr>
            <w:tcW w:w="5491"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w:t>
            </w:r>
          </w:p>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■否</w:t>
            </w:r>
          </w:p>
        </w:tc>
      </w:tr>
      <w:tr>
        <w:tblPrEx>
          <w:tblCellMar>
            <w:top w:w="0" w:type="dxa"/>
            <w:left w:w="108" w:type="dxa"/>
            <w:bottom w:w="0" w:type="dxa"/>
            <w:right w:w="108" w:type="dxa"/>
          </w:tblCellMar>
        </w:tblPrEx>
        <w:trPr>
          <w:trHeight w:val="214" w:hRule="atLeast"/>
        </w:trPr>
        <w:tc>
          <w:tcPr>
            <w:tcW w:w="10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7.6.1</w:t>
            </w:r>
          </w:p>
        </w:tc>
        <w:tc>
          <w:tcPr>
            <w:tcW w:w="21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5491" w:type="dxa"/>
            <w:tcBorders>
              <w:top w:val="single" w:color="auto" w:sz="4" w:space="0"/>
              <w:left w:val="single" w:color="auto" w:sz="4" w:space="0"/>
              <w:bottom w:val="single" w:color="auto" w:sz="4" w:space="0"/>
              <w:right w:val="single" w:color="auto" w:sz="4" w:space="0"/>
            </w:tcBorders>
            <w:vAlign w:val="center"/>
          </w:tcPr>
          <w:p>
            <w:pPr>
              <w:topLinePun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是否要求中标人提交履约保证金：</w:t>
            </w:r>
          </w:p>
          <w:p>
            <w:pPr>
              <w:topLinePunct/>
              <w:jc w:val="left"/>
              <w:rPr>
                <w:rFonts w:ascii="宋体" w:hAnsi="宋体" w:cs="宋体"/>
                <w:color w:val="auto"/>
                <w:kern w:val="0"/>
                <w:szCs w:val="21"/>
                <w:highlight w:val="none"/>
              </w:rPr>
            </w:pPr>
            <w:r>
              <w:rPr>
                <w:rFonts w:hint="eastAsia" w:ascii="宋体" w:hAnsi="宋体" w:cs="宋体"/>
                <w:color w:val="auto"/>
                <w:kern w:val="0"/>
                <w:szCs w:val="21"/>
                <w:highlight w:val="none"/>
              </w:rPr>
              <w:t>■要求，履约保证金的形式：可采用</w:t>
            </w:r>
            <w:r>
              <w:rPr>
                <w:rFonts w:hint="eastAsia" w:ascii="宋体" w:hAnsi="宋体" w:cs="宋体"/>
                <w:color w:val="auto"/>
                <w:szCs w:val="21"/>
                <w:highlight w:val="none"/>
                <w:u w:val="single"/>
              </w:rPr>
              <w:t>现金</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银行保函、保证保险、担保</w:t>
            </w:r>
            <w:r>
              <w:rPr>
                <w:rFonts w:hint="eastAsia" w:ascii="宋体" w:hAnsi="宋体" w:cs="宋体"/>
                <w:color w:val="auto"/>
                <w:szCs w:val="21"/>
                <w:highlight w:val="none"/>
                <w:u w:val="single"/>
                <w:lang w:val="en-US" w:eastAsia="zh-CN"/>
              </w:rPr>
              <w:t>保函</w:t>
            </w:r>
            <w:r>
              <w:rPr>
                <w:rFonts w:hint="eastAsia" w:ascii="宋体" w:hAnsi="宋体" w:cs="宋体"/>
                <w:color w:val="auto"/>
                <w:kern w:val="0"/>
                <w:szCs w:val="21"/>
                <w:highlight w:val="none"/>
                <w:lang w:val="en-US" w:eastAsia="zh-CN"/>
              </w:rPr>
              <w:t>等</w:t>
            </w:r>
            <w:r>
              <w:rPr>
                <w:rFonts w:hint="eastAsia" w:ascii="宋体" w:hAnsi="宋体" w:cs="宋体"/>
                <w:color w:val="auto"/>
                <w:kern w:val="0"/>
                <w:szCs w:val="21"/>
                <w:highlight w:val="none"/>
              </w:rPr>
              <w:t>形式。</w:t>
            </w:r>
          </w:p>
          <w:p>
            <w:pPr>
              <w:topLinePunct/>
              <w:ind w:firstLine="840" w:firstLineChars="400"/>
              <w:jc w:val="left"/>
              <w:rPr>
                <w:rFonts w:hint="eastAsia"/>
                <w:color w:val="auto"/>
                <w:highlight w:val="none"/>
              </w:rPr>
            </w:pPr>
            <w:r>
              <w:rPr>
                <w:rFonts w:hint="eastAsia" w:ascii="宋体" w:hAnsi="宋体" w:cs="宋体"/>
                <w:color w:val="auto"/>
                <w:szCs w:val="21"/>
                <w:highlight w:val="none"/>
              </w:rPr>
              <w:t xml:space="preserve">履约保证金的金额：为中标价的 </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%（以万元为单位取整数）；中标后签订合同前，中标人应提交履约保证金。履约保证金在项目竣工验收合格后 5 日内不计息退还中标人。</w:t>
            </w:r>
            <w:r>
              <w:rPr>
                <w:rFonts w:hint="eastAsia"/>
                <w:color w:val="auto"/>
                <w:highlight w:val="none"/>
              </w:rPr>
              <w:t>建设单位依法提供工程款支付担保。</w:t>
            </w:r>
          </w:p>
          <w:p>
            <w:pPr>
              <w:topLinePun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□不要求</w:t>
            </w:r>
          </w:p>
        </w:tc>
      </w:tr>
      <w:tr>
        <w:tblPrEx>
          <w:tblCellMar>
            <w:top w:w="0" w:type="dxa"/>
            <w:left w:w="108" w:type="dxa"/>
            <w:bottom w:w="0" w:type="dxa"/>
            <w:right w:w="108" w:type="dxa"/>
          </w:tblCellMar>
        </w:tblPrEx>
        <w:trPr>
          <w:trHeight w:val="214" w:hRule="atLeast"/>
        </w:trPr>
        <w:tc>
          <w:tcPr>
            <w:tcW w:w="10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21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是否采用电子招标投标</w:t>
            </w:r>
          </w:p>
        </w:tc>
        <w:tc>
          <w:tcPr>
            <w:tcW w:w="5491"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□否</w:t>
            </w:r>
          </w:p>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■是，具体要求：</w:t>
            </w:r>
          </w:p>
          <w:p>
            <w:pPr>
              <w:jc w:val="left"/>
              <w:rPr>
                <w:rFonts w:hint="eastAsia" w:ascii="宋体" w:hAnsi="宋体" w:eastAsia="宋体" w:cs="宋体"/>
                <w:color w:val="auto"/>
                <w:szCs w:val="21"/>
                <w:highlight w:val="none"/>
              </w:rPr>
            </w:pPr>
            <w:r>
              <w:rPr>
                <w:rFonts w:hint="eastAsia" w:ascii="宋体" w:hAnsi="宋体" w:eastAsia="宋体" w:cs="宋体"/>
                <w:color w:val="auto"/>
                <w:highlight w:val="none"/>
              </w:rPr>
              <w:t>具体操作详见</w:t>
            </w:r>
            <w:r>
              <w:rPr>
                <w:rFonts w:hint="eastAsia" w:ascii="宋体" w:hAnsi="宋体" w:eastAsia="宋体" w:cs="宋体"/>
                <w:color w:val="auto"/>
                <w:szCs w:val="21"/>
                <w:highlight w:val="none"/>
                <w:u w:val="single"/>
              </w:rPr>
              <w:t>广州交易集团有限公司（广州公共资源交易中心）</w:t>
            </w:r>
            <w:r>
              <w:rPr>
                <w:rFonts w:hint="eastAsia" w:ascii="宋体" w:hAnsi="宋体" w:eastAsia="宋体" w:cs="宋体"/>
                <w:color w:val="auto"/>
                <w:highlight w:val="none"/>
              </w:rPr>
              <w:t>网站最新发布的《房屋建筑和市政基础设施工程全流程电子化项目专章》。</w:t>
            </w:r>
          </w:p>
        </w:tc>
      </w:tr>
      <w:tr>
        <w:tblPrEx>
          <w:tblCellMar>
            <w:top w:w="0" w:type="dxa"/>
            <w:left w:w="108" w:type="dxa"/>
            <w:bottom w:w="0" w:type="dxa"/>
            <w:right w:w="108" w:type="dxa"/>
          </w:tblCellMar>
        </w:tblPrEx>
        <w:trPr>
          <w:trHeight w:val="214" w:hRule="atLeast"/>
        </w:trPr>
        <w:tc>
          <w:tcPr>
            <w:tcW w:w="10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21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需要补充的其他内容</w:t>
            </w:r>
          </w:p>
        </w:tc>
        <w:tc>
          <w:tcPr>
            <w:tcW w:w="5491"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r>
        <w:tblPrEx>
          <w:tblCellMar>
            <w:top w:w="0" w:type="dxa"/>
            <w:left w:w="108" w:type="dxa"/>
            <w:bottom w:w="0" w:type="dxa"/>
            <w:right w:w="108" w:type="dxa"/>
          </w:tblCellMar>
        </w:tblPrEx>
        <w:trPr>
          <w:trHeight w:val="214" w:hRule="atLeast"/>
        </w:trPr>
        <w:tc>
          <w:tcPr>
            <w:tcW w:w="1084"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w:t>
            </w:r>
          </w:p>
        </w:tc>
        <w:tc>
          <w:tcPr>
            <w:tcW w:w="21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特别提示</w:t>
            </w:r>
          </w:p>
        </w:tc>
        <w:tc>
          <w:tcPr>
            <w:tcW w:w="5491"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投标人在本项目招标人的工程项目中存在下列行为的，将被拒绝1年内参与我单位后续工程项目投标。（注：拒绝投标时限由招标人视严重程度确定，最低三个月起，自招标人发出通知之日起计）：</w:t>
            </w:r>
          </w:p>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（1）将中标项目转包或者违法分包的；</w:t>
            </w:r>
          </w:p>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（2）在中标项目中不执行质量、安全生产相关规定的，造成质量或安全事故的；</w:t>
            </w:r>
          </w:p>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（3）存在围标或串标情形的；</w:t>
            </w:r>
          </w:p>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（4）存在弄虚作假骗取中标情形的；</w:t>
            </w:r>
          </w:p>
        </w:tc>
      </w:tr>
      <w:tr>
        <w:tblPrEx>
          <w:tblCellMar>
            <w:top w:w="0" w:type="dxa"/>
            <w:left w:w="108" w:type="dxa"/>
            <w:bottom w:w="0" w:type="dxa"/>
            <w:right w:w="108" w:type="dxa"/>
          </w:tblCellMar>
        </w:tblPrEx>
        <w:trPr>
          <w:trHeight w:val="214" w:hRule="atLeast"/>
        </w:trPr>
        <w:tc>
          <w:tcPr>
            <w:tcW w:w="1084"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10.2</w:t>
            </w:r>
          </w:p>
        </w:tc>
        <w:tc>
          <w:tcPr>
            <w:tcW w:w="21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招标失败的情形</w:t>
            </w:r>
          </w:p>
        </w:tc>
        <w:tc>
          <w:tcPr>
            <w:tcW w:w="5491"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本项目采用资格后审方式，满足资格审查合格条件或通过初步评审的投标申请人不足3名时为招标失败。招标人分析招标失败原因，修正招标方案，报有关管理部门核准后，重新组织招标。</w:t>
            </w:r>
          </w:p>
        </w:tc>
      </w:tr>
      <w:tr>
        <w:tblPrEx>
          <w:tblCellMar>
            <w:top w:w="0" w:type="dxa"/>
            <w:left w:w="108" w:type="dxa"/>
            <w:bottom w:w="0" w:type="dxa"/>
            <w:right w:w="108" w:type="dxa"/>
          </w:tblCellMar>
        </w:tblPrEx>
        <w:trPr>
          <w:trHeight w:val="214" w:hRule="atLeast"/>
        </w:trPr>
        <w:tc>
          <w:tcPr>
            <w:tcW w:w="10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10.3</w:t>
            </w:r>
          </w:p>
        </w:tc>
        <w:tc>
          <w:tcPr>
            <w:tcW w:w="2100" w:type="dxa"/>
            <w:tcBorders>
              <w:top w:val="single" w:color="auto" w:sz="4" w:space="0"/>
              <w:left w:val="single" w:color="auto" w:sz="4" w:space="0"/>
              <w:bottom w:val="single" w:color="auto" w:sz="4" w:space="0"/>
              <w:right w:val="single" w:color="auto" w:sz="4" w:space="0"/>
            </w:tcBorders>
            <w:vAlign w:val="center"/>
          </w:tcPr>
          <w:p>
            <w:pPr>
              <w:spacing w:line="400" w:lineRule="exact"/>
              <w:ind w:right="174" w:rightChars="83"/>
              <w:jc w:val="center"/>
              <w:rPr>
                <w:rFonts w:hint="eastAsia" w:ascii="宋体" w:hAnsi="宋体" w:eastAsia="宋体" w:cs="宋体"/>
                <w:color w:val="auto"/>
                <w:highlight w:val="none"/>
              </w:rPr>
            </w:pPr>
            <w:r>
              <w:rPr>
                <w:rFonts w:hint="eastAsia" w:ascii="宋体" w:hAnsi="宋体" w:eastAsia="宋体" w:cs="宋体"/>
                <w:color w:val="auto"/>
                <w:highlight w:val="none"/>
              </w:rPr>
              <w:t>否决投标条款</w:t>
            </w:r>
          </w:p>
        </w:tc>
        <w:tc>
          <w:tcPr>
            <w:tcW w:w="549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cs="宋体"/>
                <w:color w:val="auto"/>
                <w:highlight w:val="none"/>
                <w:u w:val="single"/>
              </w:rPr>
            </w:pPr>
            <w:r>
              <w:rPr>
                <w:rFonts w:hint="eastAsia" w:ascii="宋体" w:hAnsi="宋体" w:eastAsia="宋体" w:cs="宋体"/>
                <w:color w:val="auto"/>
                <w:highlight w:val="none"/>
                <w:u w:val="single"/>
              </w:rPr>
              <w:t>否决投标条款：</w:t>
            </w:r>
          </w:p>
          <w:p>
            <w:pPr>
              <w:spacing w:line="300" w:lineRule="exact"/>
              <w:rPr>
                <w:rFonts w:hint="eastAsia" w:ascii="宋体" w:hAnsi="宋体" w:eastAsia="宋体" w:cs="宋体"/>
                <w:color w:val="auto"/>
                <w:highlight w:val="none"/>
                <w:u w:val="single"/>
              </w:rPr>
            </w:pPr>
            <w:r>
              <w:rPr>
                <w:rFonts w:hint="eastAsia" w:ascii="宋体" w:hAnsi="宋体" w:eastAsia="宋体" w:cs="宋体"/>
                <w:color w:val="auto"/>
                <w:highlight w:val="none"/>
                <w:u w:val="single"/>
              </w:rPr>
              <w:t>1、在投标截止</w:t>
            </w:r>
            <w:r>
              <w:rPr>
                <w:rFonts w:hint="eastAsia" w:ascii="宋体" w:hAnsi="宋体" w:cs="宋体"/>
                <w:color w:val="auto"/>
                <w:highlight w:val="none"/>
                <w:u w:val="single"/>
                <w:lang w:val="en-US" w:eastAsia="zh-CN"/>
              </w:rPr>
              <w:t>时间</w:t>
            </w:r>
            <w:r>
              <w:rPr>
                <w:rFonts w:hint="eastAsia" w:ascii="宋体" w:hAnsi="宋体" w:eastAsia="宋体" w:cs="宋体"/>
                <w:color w:val="auto"/>
                <w:highlight w:val="none"/>
                <w:u w:val="single"/>
              </w:rPr>
              <w:t>后逾期或未在</w:t>
            </w:r>
            <w:r>
              <w:rPr>
                <w:rFonts w:hint="eastAsia" w:ascii="宋体" w:hAnsi="宋体" w:eastAsia="宋体" w:cs="宋体"/>
                <w:color w:val="auto"/>
                <w:szCs w:val="21"/>
                <w:highlight w:val="none"/>
                <w:u w:val="single"/>
              </w:rPr>
              <w:t>广州交易集团有限公司（广州公共资源交易中心）</w:t>
            </w:r>
            <w:r>
              <w:rPr>
                <w:rFonts w:hint="eastAsia" w:ascii="宋体" w:hAnsi="宋体" w:eastAsia="宋体" w:cs="宋体"/>
                <w:color w:val="auto"/>
                <w:highlight w:val="none"/>
                <w:u w:val="single"/>
              </w:rPr>
              <w:t>数字交易平台（http://ggzy.gz.gov.cn）递交电子投标文件的，电子招标投标交易平台将拒绝接收其投标文件。</w:t>
            </w:r>
          </w:p>
          <w:p>
            <w:pPr>
              <w:spacing w:line="300" w:lineRule="exact"/>
              <w:rPr>
                <w:rFonts w:hint="eastAsia" w:ascii="宋体" w:hAnsi="宋体" w:eastAsia="宋体" w:cs="宋体"/>
                <w:color w:val="auto"/>
                <w:highlight w:val="none"/>
                <w:u w:val="single"/>
              </w:rPr>
            </w:pPr>
            <w:r>
              <w:rPr>
                <w:rFonts w:hint="eastAsia" w:ascii="宋体" w:hAnsi="宋体" w:eastAsia="宋体" w:cs="宋体"/>
                <w:color w:val="auto"/>
                <w:highlight w:val="none"/>
                <w:u w:val="single"/>
              </w:rPr>
              <w:t>2、投标文件符合列于《评标办法前附表》“形式评审标准”“资格评审标准”“响应性评审标准”中所有情形的，为有效投标文件。任一情形不符合均为无效投标文件，经评标委员会认定后，其投标文件将被否决。</w:t>
            </w:r>
          </w:p>
          <w:p>
            <w:pPr>
              <w:spacing w:line="300" w:lineRule="exact"/>
              <w:rPr>
                <w:rFonts w:hint="eastAsia" w:ascii="宋体" w:hAnsi="宋体" w:eastAsia="宋体" w:cs="宋体"/>
                <w:color w:val="auto"/>
                <w:highlight w:val="none"/>
                <w:u w:val="single"/>
              </w:rPr>
            </w:pPr>
            <w:r>
              <w:rPr>
                <w:rFonts w:hint="eastAsia" w:ascii="宋体" w:hAnsi="宋体" w:eastAsia="宋体" w:cs="宋体"/>
                <w:color w:val="auto"/>
                <w:highlight w:val="none"/>
                <w:u w:val="single"/>
              </w:rPr>
              <w:t>3、资审合格后，投标人的资格发生变化而不满足投标人合格条件，在发出中标通知书前，资格问题仍未解决的，招标人将取消其中标资格。</w:t>
            </w:r>
          </w:p>
          <w:p>
            <w:pPr>
              <w:spacing w:line="300" w:lineRule="exact"/>
              <w:rPr>
                <w:rFonts w:hint="eastAsia" w:ascii="宋体" w:hAnsi="宋体" w:eastAsia="宋体" w:cs="宋体"/>
                <w:color w:val="auto"/>
                <w:highlight w:val="none"/>
                <w:u w:val="single"/>
              </w:rPr>
            </w:pPr>
            <w:r>
              <w:rPr>
                <w:rFonts w:hint="eastAsia" w:ascii="宋体" w:hAnsi="宋体" w:cs="宋体"/>
                <w:color w:val="auto"/>
                <w:highlight w:val="none"/>
                <w:u w:val="single"/>
                <w:lang w:val="en-US" w:eastAsia="zh-CN"/>
              </w:rPr>
              <w:t>4</w:t>
            </w:r>
            <w:r>
              <w:rPr>
                <w:rFonts w:hint="eastAsia" w:ascii="宋体" w:hAnsi="宋体" w:eastAsia="宋体" w:cs="宋体"/>
                <w:color w:val="auto"/>
                <w:highlight w:val="none"/>
                <w:u w:val="single"/>
              </w:rPr>
              <w:t>、中标人未按本招标文件第二章 投标人须知 第7.6.1项规定提交履约担保，视为放弃中标，其投标担保不予退还，给招标人造成的损失超过投标担保数额的，中标人还应当对超过部分予以赔偿。</w:t>
            </w:r>
          </w:p>
          <w:p>
            <w:pPr>
              <w:spacing w:line="300" w:lineRule="exact"/>
              <w:ind w:left="0" w:leftChars="0" w:firstLine="0" w:firstLineChars="0"/>
              <w:rPr>
                <w:rFonts w:hint="eastAsia" w:ascii="宋体" w:hAnsi="宋体" w:eastAsia="宋体" w:cs="宋体"/>
                <w:color w:val="auto"/>
                <w:highlight w:val="none"/>
                <w:u w:val="single"/>
              </w:rPr>
            </w:pPr>
            <w:r>
              <w:rPr>
                <w:rFonts w:hint="eastAsia" w:ascii="宋体" w:hAnsi="宋体" w:cs="宋体"/>
                <w:color w:val="auto"/>
                <w:highlight w:val="none"/>
                <w:u w:val="single"/>
                <w:lang w:val="en-US" w:eastAsia="zh-CN"/>
              </w:rPr>
              <w:t>5</w:t>
            </w:r>
            <w:r>
              <w:rPr>
                <w:rFonts w:hint="eastAsia" w:ascii="宋体" w:hAnsi="宋体" w:eastAsia="宋体" w:cs="宋体"/>
                <w:color w:val="auto"/>
                <w:highlight w:val="none"/>
                <w:u w:val="single"/>
              </w:rPr>
              <w:t>、投标人如在本项目中存在串通投标、弄虚作假、行贿情形的，中标无效，该投标人将被招标人列入黑名单并限制其投标。行政监督部门将对其违法行为进行政处罚并通报。</w:t>
            </w:r>
          </w:p>
          <w:p>
            <w:pPr>
              <w:spacing w:line="300" w:lineRule="exact"/>
              <w:ind w:left="38" w:leftChars="17" w:hanging="2" w:hangingChars="1"/>
              <w:rPr>
                <w:rFonts w:hint="eastAsia" w:ascii="宋体" w:hAnsi="宋体" w:eastAsia="宋体" w:cs="宋体"/>
                <w:color w:val="auto"/>
                <w:highlight w:val="none"/>
                <w:u w:val="single"/>
              </w:rPr>
            </w:pPr>
            <w:r>
              <w:rPr>
                <w:rFonts w:hint="eastAsia" w:ascii="宋体" w:hAnsi="宋体" w:eastAsia="宋体" w:cs="宋体"/>
                <w:color w:val="auto"/>
                <w:highlight w:val="none"/>
                <w:u w:val="single"/>
              </w:rPr>
              <w:t>注:评委发现投标文件中含义不明确、对同类问题表述不一致、有明显文字和计算错误的，应当要求投标人作必要的澄清、说明后再判定投标人是否通过有效性审查，不得直接否决投标。</w:t>
            </w:r>
          </w:p>
        </w:tc>
      </w:tr>
      <w:tr>
        <w:tblPrEx>
          <w:tblCellMar>
            <w:top w:w="0" w:type="dxa"/>
            <w:left w:w="108" w:type="dxa"/>
            <w:bottom w:w="0" w:type="dxa"/>
            <w:right w:w="108" w:type="dxa"/>
          </w:tblCellMar>
        </w:tblPrEx>
        <w:trPr>
          <w:trHeight w:val="214" w:hRule="atLeast"/>
        </w:trPr>
        <w:tc>
          <w:tcPr>
            <w:tcW w:w="10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10.4</w:t>
            </w:r>
          </w:p>
        </w:tc>
        <w:tc>
          <w:tcPr>
            <w:tcW w:w="21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招标人拒绝接收其投标文件情况</w:t>
            </w:r>
          </w:p>
        </w:tc>
        <w:tc>
          <w:tcPr>
            <w:tcW w:w="5491" w:type="dxa"/>
            <w:tcBorders>
              <w:top w:val="single" w:color="auto" w:sz="4" w:space="0"/>
              <w:left w:val="single" w:color="auto" w:sz="4" w:space="0"/>
              <w:bottom w:val="single" w:color="auto" w:sz="4" w:space="0"/>
              <w:right w:val="single" w:color="auto" w:sz="4" w:space="0"/>
            </w:tcBorders>
            <w:vAlign w:val="center"/>
          </w:tcPr>
          <w:p>
            <w:pPr>
              <w:pStyle w:val="98"/>
              <w:snapToGrid w:val="0"/>
              <w:rPr>
                <w:rFonts w:hint="eastAsia" w:eastAsia="宋体"/>
                <w:color w:val="auto"/>
                <w:highlight w:val="none"/>
              </w:rPr>
            </w:pPr>
            <w:r>
              <w:rPr>
                <w:rFonts w:hint="eastAsia" w:eastAsia="宋体"/>
                <w:color w:val="auto"/>
                <w:highlight w:val="none"/>
              </w:rPr>
              <w:t>1、在投标截止期后逾期上传递交电子投标文件的；</w:t>
            </w:r>
          </w:p>
          <w:p>
            <w:pPr>
              <w:pStyle w:val="98"/>
              <w:snapToGrid w:val="0"/>
              <w:rPr>
                <w:rFonts w:hint="eastAsia" w:eastAsia="宋体"/>
                <w:color w:val="auto"/>
                <w:highlight w:val="none"/>
              </w:rPr>
            </w:pPr>
            <w:r>
              <w:rPr>
                <w:rFonts w:hint="eastAsia" w:eastAsia="宋体"/>
                <w:color w:val="auto"/>
                <w:highlight w:val="none"/>
              </w:rPr>
              <w:t>2、在投标截止期前投标人没有按要求提供投标担保的。</w:t>
            </w:r>
          </w:p>
        </w:tc>
      </w:tr>
      <w:tr>
        <w:tblPrEx>
          <w:tblCellMar>
            <w:top w:w="0" w:type="dxa"/>
            <w:left w:w="108" w:type="dxa"/>
            <w:bottom w:w="0" w:type="dxa"/>
            <w:right w:w="108" w:type="dxa"/>
          </w:tblCellMar>
        </w:tblPrEx>
        <w:trPr>
          <w:trHeight w:val="214" w:hRule="atLeast"/>
        </w:trPr>
        <w:tc>
          <w:tcPr>
            <w:tcW w:w="10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10.5</w:t>
            </w:r>
          </w:p>
        </w:tc>
        <w:tc>
          <w:tcPr>
            <w:tcW w:w="21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其他</w:t>
            </w:r>
          </w:p>
        </w:tc>
        <w:tc>
          <w:tcPr>
            <w:tcW w:w="5491" w:type="dxa"/>
            <w:tcBorders>
              <w:top w:val="single" w:color="auto" w:sz="4" w:space="0"/>
              <w:left w:val="single" w:color="auto" w:sz="4" w:space="0"/>
              <w:bottom w:val="single" w:color="auto" w:sz="4" w:space="0"/>
              <w:right w:val="single" w:color="auto" w:sz="4" w:space="0"/>
            </w:tcBorders>
            <w:vAlign w:val="center"/>
          </w:tcPr>
          <w:p>
            <w:pPr>
              <w:pStyle w:val="98"/>
              <w:snapToGrid w:val="0"/>
              <w:rPr>
                <w:rFonts w:hint="eastAsia" w:eastAsia="宋体"/>
                <w:color w:val="auto"/>
                <w:highlight w:val="none"/>
              </w:rPr>
            </w:pPr>
            <w:r>
              <w:rPr>
                <w:rFonts w:hint="eastAsia" w:eastAsia="宋体" w:cs="宋体"/>
                <w:color w:val="auto"/>
                <w:highlight w:val="none"/>
              </w:rPr>
              <w:t>1、在产生中标候选人后，招标人将中标候选人的投标文件商务部分的电子版（报价清单、</w:t>
            </w:r>
            <w:r>
              <w:rPr>
                <w:rFonts w:hint="eastAsia" w:cs="宋体"/>
                <w:color w:val="auto"/>
                <w:highlight w:val="none"/>
                <w:lang w:val="en-US" w:eastAsia="zh-CN"/>
              </w:rPr>
              <w:t>技术</w:t>
            </w:r>
            <w:r>
              <w:rPr>
                <w:rFonts w:hint="eastAsia" w:eastAsia="宋体" w:cs="宋体"/>
                <w:color w:val="auto"/>
                <w:highlight w:val="none"/>
              </w:rPr>
              <w:t>方案等涉及商业秘密的内容除外）在</w:t>
            </w:r>
            <w:r>
              <w:rPr>
                <w:rFonts w:hint="eastAsia" w:eastAsia="宋体"/>
                <w:color w:val="auto"/>
                <w:szCs w:val="21"/>
                <w:highlight w:val="none"/>
                <w:u w:val="single"/>
              </w:rPr>
              <w:t>广州交易集团有限公司（广州公共资源交易中心）</w:t>
            </w:r>
            <w:r>
              <w:rPr>
                <w:rFonts w:hint="eastAsia" w:eastAsia="宋体" w:cs="宋体"/>
                <w:color w:val="auto"/>
                <w:highlight w:val="none"/>
              </w:rPr>
              <w:t>网站公开。</w:t>
            </w:r>
          </w:p>
          <w:p>
            <w:pPr>
              <w:pStyle w:val="98"/>
              <w:snapToGrid w:val="0"/>
              <w:rPr>
                <w:rFonts w:hint="eastAsia" w:eastAsia="宋体"/>
                <w:color w:val="auto"/>
                <w:highlight w:val="none"/>
              </w:rPr>
            </w:pPr>
            <w:r>
              <w:rPr>
                <w:rFonts w:hint="eastAsia" w:eastAsia="宋体" w:cs="宋体"/>
                <w:color w:val="auto"/>
                <w:highlight w:val="none"/>
              </w:rPr>
              <w:t>3、招标公告、招标文件、</w:t>
            </w:r>
            <w:r>
              <w:rPr>
                <w:rFonts w:hint="eastAsia" w:cs="宋体"/>
                <w:color w:val="auto"/>
                <w:highlight w:val="none"/>
                <w:lang w:val="en-US" w:eastAsia="zh-CN"/>
              </w:rPr>
              <w:t>补充公告、</w:t>
            </w:r>
            <w:r>
              <w:rPr>
                <w:rFonts w:hint="eastAsia" w:eastAsia="宋体" w:cs="宋体"/>
                <w:color w:val="auto"/>
                <w:highlight w:val="none"/>
              </w:rPr>
              <w:t>答疑纪要、图纸等招标资料全部发布在</w:t>
            </w:r>
            <w:r>
              <w:rPr>
                <w:rFonts w:hint="eastAsia" w:eastAsia="宋体"/>
                <w:color w:val="auto"/>
                <w:szCs w:val="21"/>
                <w:highlight w:val="none"/>
                <w:u w:val="single"/>
              </w:rPr>
              <w:t>广州交易集团有限公司（广州公共资源交易中心）</w:t>
            </w:r>
            <w:r>
              <w:rPr>
                <w:rFonts w:hint="eastAsia" w:eastAsia="宋体" w:cs="宋体"/>
                <w:color w:val="auto"/>
                <w:highlight w:val="none"/>
              </w:rPr>
              <w:t>网站，由投标人自行下载查阅。</w:t>
            </w:r>
          </w:p>
          <w:p>
            <w:pPr>
              <w:pStyle w:val="98"/>
              <w:snapToGrid w:val="0"/>
              <w:rPr>
                <w:rFonts w:hint="eastAsia" w:eastAsia="宋体" w:cs="宋体"/>
                <w:color w:val="auto"/>
                <w:highlight w:val="none"/>
              </w:rPr>
            </w:pPr>
            <w:r>
              <w:rPr>
                <w:rFonts w:hint="eastAsia" w:eastAsia="宋体" w:cs="宋体"/>
                <w:color w:val="auto"/>
                <w:highlight w:val="none"/>
              </w:rPr>
              <w:t>4、投标截止时间、开标时间和地点：发布在</w:t>
            </w:r>
            <w:r>
              <w:rPr>
                <w:rFonts w:hint="eastAsia" w:eastAsia="宋体"/>
                <w:color w:val="auto"/>
                <w:szCs w:val="21"/>
                <w:highlight w:val="none"/>
                <w:u w:val="single"/>
              </w:rPr>
              <w:t>广州交易集团有限公司（广州公共资源交易中心）</w:t>
            </w:r>
            <w:r>
              <w:rPr>
                <w:rFonts w:hint="eastAsia" w:eastAsia="宋体" w:cs="宋体"/>
                <w:color w:val="auto"/>
                <w:highlight w:val="none"/>
              </w:rPr>
              <w:t>网站（具体在网站主页“服务指南”中“交易活动安排”栏目上以“项目名称”或“项目编号”进行查询）。</w:t>
            </w:r>
          </w:p>
          <w:p>
            <w:pPr>
              <w:pStyle w:val="98"/>
              <w:autoSpaceDE w:val="0"/>
              <w:snapToGrid w:val="0"/>
              <w:rPr>
                <w:rFonts w:hint="eastAsia" w:eastAsia="宋体"/>
                <w:color w:val="auto"/>
                <w:highlight w:val="none"/>
              </w:rPr>
            </w:pPr>
            <w:r>
              <w:rPr>
                <w:rFonts w:hint="eastAsia" w:eastAsia="宋体"/>
                <w:color w:val="auto"/>
                <w:highlight w:val="none"/>
              </w:rPr>
              <w:t>5、招标人根据评标委员会递交的评标报告，最终依法</w:t>
            </w:r>
            <w:r>
              <w:rPr>
                <w:rFonts w:hint="eastAsia"/>
                <w:color w:val="auto"/>
                <w:highlight w:val="none"/>
                <w:lang w:val="en-US" w:eastAsia="zh-CN"/>
              </w:rPr>
              <w:t>确</w:t>
            </w:r>
            <w:r>
              <w:rPr>
                <w:rFonts w:hint="eastAsia" w:eastAsia="宋体"/>
                <w:color w:val="auto"/>
                <w:highlight w:val="none"/>
              </w:rPr>
              <w:t>定中标人。但在签订合同前的任何时候，评委、招标人以及其他人员发现投标人在招标过程有弄虚作假、虚报资料情况的，一经查实，立即取消其中标人资格。</w:t>
            </w:r>
          </w:p>
          <w:p>
            <w:pPr>
              <w:pStyle w:val="98"/>
              <w:autoSpaceDE w:val="0"/>
              <w:snapToGrid w:val="0"/>
              <w:rPr>
                <w:rFonts w:hint="eastAsia" w:eastAsia="宋体"/>
                <w:color w:val="auto"/>
                <w:highlight w:val="none"/>
              </w:rPr>
            </w:pPr>
            <w:r>
              <w:rPr>
                <w:rFonts w:hint="eastAsia" w:eastAsia="宋体"/>
                <w:color w:val="auto"/>
                <w:highlight w:val="none"/>
              </w:rPr>
              <w:t>6、中标后，中标单位须提交与网上上传电子投标文件完全一致的纸质投标文件（</w:t>
            </w:r>
            <w:r>
              <w:rPr>
                <w:rFonts w:hint="eastAsia"/>
                <w:color w:val="auto"/>
                <w:highlight w:val="none"/>
                <w:lang w:val="en-US" w:eastAsia="zh-CN"/>
              </w:rPr>
              <w:t>三份</w:t>
            </w:r>
            <w:r>
              <w:rPr>
                <w:rFonts w:hint="eastAsia" w:eastAsia="宋体"/>
                <w:color w:val="auto"/>
                <w:highlight w:val="none"/>
              </w:rPr>
              <w:t>，加盖公章）给招标单位。</w:t>
            </w:r>
          </w:p>
          <w:p>
            <w:pPr>
              <w:pStyle w:val="98"/>
              <w:autoSpaceDE w:val="0"/>
              <w:snapToGrid w:val="0"/>
              <w:rPr>
                <w:rFonts w:hint="eastAsia" w:eastAsia="宋体"/>
                <w:color w:val="auto"/>
                <w:highlight w:val="none"/>
              </w:rPr>
            </w:pPr>
            <w:r>
              <w:rPr>
                <w:rFonts w:hint="eastAsia" w:eastAsia="宋体"/>
                <w:color w:val="auto"/>
                <w:highlight w:val="none"/>
              </w:rPr>
              <w:t>7、中标人代缴广州交易集团有限公司交易服务费，其费用包含在中标人报价中，由广州交易集团有限公司向中标人开具发票。</w:t>
            </w:r>
          </w:p>
          <w:p>
            <w:pPr>
              <w:pStyle w:val="98"/>
              <w:autoSpaceDE w:val="0"/>
              <w:snapToGrid w:val="0"/>
              <w:rPr>
                <w:rFonts w:hint="eastAsia" w:eastAsia="宋体"/>
                <w:color w:val="auto"/>
                <w:highlight w:val="none"/>
                <w:u w:val="none"/>
              </w:rPr>
            </w:pPr>
            <w:r>
              <w:rPr>
                <w:rFonts w:hint="eastAsia" w:eastAsia="宋体"/>
                <w:color w:val="auto"/>
                <w:highlight w:val="none"/>
              </w:rPr>
              <w:t>8、</w:t>
            </w:r>
            <w:r>
              <w:rPr>
                <w:rFonts w:hint="eastAsia" w:eastAsia="宋体"/>
                <w:color w:val="auto"/>
                <w:highlight w:val="none"/>
                <w:u w:val="none"/>
              </w:rPr>
              <w:t>本项目向中标人收取中标服务费，招标人不另行支付。</w:t>
            </w:r>
          </w:p>
          <w:p>
            <w:pPr>
              <w:pStyle w:val="98"/>
              <w:autoSpaceDE w:val="0"/>
              <w:snapToGrid w:val="0"/>
              <w:rPr>
                <w:rFonts w:hint="eastAsia" w:eastAsia="宋体"/>
                <w:color w:val="auto"/>
                <w:highlight w:val="none"/>
                <w:u w:val="none"/>
                <w:lang w:eastAsia="zh-CN"/>
              </w:rPr>
            </w:pPr>
            <w:r>
              <w:rPr>
                <w:rFonts w:hint="eastAsia" w:ascii="宋体" w:hAnsi="宋体" w:eastAsia="宋体" w:cs="Times New Roman"/>
                <w:color w:val="auto"/>
                <w:szCs w:val="21"/>
                <w:highlight w:val="none"/>
                <w:u w:val="none"/>
              </w:rPr>
              <w:t>招标代理服务费按差额定率累进法计算，以</w:t>
            </w:r>
            <w:r>
              <w:rPr>
                <w:rFonts w:hint="eastAsia" w:ascii="宋体" w:hAnsi="宋体" w:eastAsia="宋体" w:cs="Times New Roman"/>
                <w:color w:val="auto"/>
                <w:szCs w:val="21"/>
                <w:highlight w:val="none"/>
                <w:u w:val="none"/>
                <w:lang w:eastAsia="zh-CN"/>
              </w:rPr>
              <w:t>中标金额</w:t>
            </w:r>
            <w:r>
              <w:rPr>
                <w:rFonts w:hint="eastAsia" w:ascii="宋体" w:hAnsi="宋体" w:eastAsia="宋体" w:cs="Times New Roman"/>
                <w:color w:val="auto"/>
                <w:szCs w:val="21"/>
                <w:highlight w:val="none"/>
                <w:u w:val="none"/>
              </w:rPr>
              <w:t>作为计算基数计取。中标金额100万元以下部分费率：1.</w:t>
            </w:r>
            <w:r>
              <w:rPr>
                <w:rFonts w:hint="eastAsia" w:ascii="宋体" w:hAnsi="宋体" w:eastAsia="宋体" w:cs="Times New Roman"/>
                <w:color w:val="auto"/>
                <w:szCs w:val="21"/>
                <w:highlight w:val="none"/>
                <w:u w:val="none"/>
                <w:lang w:val="en-US" w:eastAsia="zh-CN"/>
              </w:rPr>
              <w:t>5</w:t>
            </w:r>
            <w:r>
              <w:rPr>
                <w:rFonts w:hint="eastAsia" w:ascii="宋体" w:hAnsi="宋体" w:eastAsia="宋体" w:cs="Times New Roman"/>
                <w:color w:val="auto"/>
                <w:szCs w:val="21"/>
                <w:highlight w:val="none"/>
                <w:u w:val="none"/>
              </w:rPr>
              <w:t>%；中标金额100-500万元部分费率：</w:t>
            </w:r>
            <w:r>
              <w:rPr>
                <w:rFonts w:hint="eastAsia" w:ascii="宋体" w:hAnsi="宋体" w:eastAsia="宋体" w:cs="Times New Roman"/>
                <w:color w:val="auto"/>
                <w:szCs w:val="21"/>
                <w:highlight w:val="none"/>
                <w:u w:val="none"/>
                <w:lang w:val="en-US" w:eastAsia="zh-CN"/>
              </w:rPr>
              <w:t>1.1</w:t>
            </w:r>
            <w:r>
              <w:rPr>
                <w:rFonts w:hint="eastAsia" w:ascii="宋体" w:hAnsi="宋体" w:eastAsia="宋体" w:cs="Times New Roman"/>
                <w:color w:val="auto"/>
                <w:szCs w:val="21"/>
                <w:highlight w:val="none"/>
                <w:u w:val="none"/>
              </w:rPr>
              <w:t>%</w:t>
            </w:r>
            <w:r>
              <w:rPr>
                <w:rFonts w:hint="eastAsia" w:ascii="宋体" w:hAnsi="宋体" w:eastAsia="宋体" w:cs="Times New Roman"/>
                <w:color w:val="auto"/>
                <w:szCs w:val="21"/>
                <w:highlight w:val="none"/>
                <w:u w:val="none"/>
                <w:lang w:eastAsia="zh-CN"/>
              </w:rPr>
              <w:t>。</w:t>
            </w:r>
          </w:p>
          <w:p>
            <w:pPr>
              <w:pStyle w:val="98"/>
              <w:autoSpaceDE w:val="0"/>
              <w:snapToGrid w:val="0"/>
              <w:rPr>
                <w:rFonts w:hint="eastAsia" w:eastAsia="宋体"/>
                <w:color w:val="auto"/>
                <w:highlight w:val="none"/>
              </w:rPr>
            </w:pPr>
            <w:r>
              <w:rPr>
                <w:rFonts w:hint="eastAsia" w:eastAsia="宋体"/>
                <w:color w:val="auto"/>
                <w:highlight w:val="none"/>
              </w:rPr>
              <w:t>代理报酬的收取比例：在根据计价收费依据计算得出的基础价基础上，下浮36.00%收取。</w:t>
            </w:r>
          </w:p>
        </w:tc>
      </w:tr>
    </w:tbl>
    <w:p>
      <w:pPr>
        <w:pStyle w:val="32"/>
        <w:ind w:firstLine="400"/>
        <w:rPr>
          <w:rFonts w:hint="eastAsia" w:ascii="宋体" w:hAnsi="宋体" w:eastAsia="宋体" w:cs="宋体"/>
          <w:color w:val="auto"/>
          <w:highlight w:val="none"/>
        </w:rPr>
      </w:pPr>
    </w:p>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color w:val="auto"/>
          <w:sz w:val="18"/>
          <w:szCs w:val="18"/>
          <w:highlight w:val="none"/>
        </w:rPr>
        <w:br w:type="page"/>
      </w:r>
    </w:p>
    <w:p>
      <w:pPr>
        <w:spacing w:before="140" w:line="239" w:lineRule="auto"/>
        <w:ind w:left="11"/>
        <w:outlineLvl w:val="1"/>
        <w:rPr>
          <w:rFonts w:ascii="黑体" w:hAnsi="黑体" w:eastAsia="黑体" w:cs="黑体"/>
          <w:color w:val="auto"/>
          <w:sz w:val="31"/>
          <w:szCs w:val="31"/>
          <w:highlight w:val="none"/>
        </w:rPr>
      </w:pPr>
      <w:r>
        <w:rPr>
          <w:rFonts w:ascii="Times New Roman" w:hAnsi="Times New Roman" w:eastAsia="Times New Roman" w:cs="Times New Roman"/>
          <w:b/>
          <w:bCs/>
          <w:color w:val="auto"/>
          <w:spacing w:val="-5"/>
          <w:sz w:val="31"/>
          <w:szCs w:val="31"/>
          <w:highlight w:val="none"/>
        </w:rPr>
        <w:t>1.</w:t>
      </w:r>
      <w:r>
        <w:rPr>
          <w:rFonts w:ascii="Times New Roman" w:hAnsi="Times New Roman" w:eastAsia="Times New Roman" w:cs="Times New Roman"/>
          <w:b/>
          <w:bCs/>
          <w:color w:val="auto"/>
          <w:spacing w:val="12"/>
          <w:sz w:val="31"/>
          <w:szCs w:val="31"/>
          <w:highlight w:val="none"/>
        </w:rPr>
        <w:t xml:space="preserve">  </w:t>
      </w:r>
      <w:r>
        <w:rPr>
          <w:rFonts w:ascii="黑体" w:hAnsi="黑体" w:eastAsia="黑体" w:cs="黑体"/>
          <w:b/>
          <w:bCs/>
          <w:color w:val="auto"/>
          <w:spacing w:val="-5"/>
          <w:sz w:val="31"/>
          <w:szCs w:val="31"/>
          <w:highlight w:val="none"/>
        </w:rPr>
        <w:t>总则</w:t>
      </w:r>
    </w:p>
    <w:p>
      <w:pPr>
        <w:spacing w:line="470" w:lineRule="auto"/>
        <w:rPr>
          <w:rFonts w:ascii="Arial"/>
          <w:color w:val="auto"/>
          <w:sz w:val="21"/>
          <w:highlight w:val="none"/>
        </w:rPr>
      </w:pPr>
    </w:p>
    <w:p>
      <w:pPr>
        <w:spacing w:before="91" w:line="232" w:lineRule="auto"/>
        <w:ind w:left="160"/>
        <w:outlineLvl w:val="2"/>
        <w:rPr>
          <w:rFonts w:ascii="黑体" w:hAnsi="黑体" w:eastAsia="黑体" w:cs="黑体"/>
          <w:color w:val="auto"/>
          <w:sz w:val="28"/>
          <w:szCs w:val="28"/>
          <w:highlight w:val="none"/>
        </w:rPr>
      </w:pPr>
      <w:bookmarkStart w:id="12" w:name="bookmark178"/>
      <w:bookmarkEnd w:id="12"/>
      <w:r>
        <w:rPr>
          <w:rFonts w:ascii="Times New Roman" w:hAnsi="Times New Roman" w:eastAsia="Times New Roman" w:cs="Times New Roman"/>
          <w:color w:val="auto"/>
          <w:spacing w:val="-3"/>
          <w:sz w:val="28"/>
          <w:szCs w:val="28"/>
          <w:highlight w:val="none"/>
        </w:rPr>
        <w:t xml:space="preserve">1.1  </w:t>
      </w:r>
      <w:r>
        <w:rPr>
          <w:rFonts w:ascii="黑体" w:hAnsi="黑体" w:eastAsia="黑体" w:cs="黑体"/>
          <w:color w:val="auto"/>
          <w:spacing w:val="-3"/>
          <w:sz w:val="28"/>
          <w:szCs w:val="28"/>
          <w:highlight w:val="none"/>
        </w:rPr>
        <w:t>招标项目概况</w:t>
      </w:r>
    </w:p>
    <w:p>
      <w:pPr>
        <w:spacing w:line="299" w:lineRule="auto"/>
        <w:rPr>
          <w:rFonts w:ascii="Arial"/>
          <w:color w:val="auto"/>
          <w:sz w:val="21"/>
          <w:highlight w:val="none"/>
        </w:rPr>
      </w:pPr>
    </w:p>
    <w:p>
      <w:pPr>
        <w:pStyle w:val="13"/>
        <w:spacing w:before="68" w:line="285" w:lineRule="auto"/>
        <w:ind w:firstLine="435"/>
        <w:rPr>
          <w:color w:val="auto"/>
          <w:sz w:val="21"/>
          <w:szCs w:val="21"/>
          <w:highlight w:val="none"/>
        </w:rPr>
      </w:pPr>
      <w:r>
        <w:rPr>
          <w:rFonts w:ascii="Times New Roman" w:hAnsi="Times New Roman" w:eastAsia="Times New Roman" w:cs="Times New Roman"/>
          <w:color w:val="auto"/>
          <w:spacing w:val="-6"/>
          <w:sz w:val="21"/>
          <w:szCs w:val="21"/>
          <w:highlight w:val="none"/>
        </w:rPr>
        <w:t xml:space="preserve">1.1.1 </w:t>
      </w:r>
      <w:r>
        <w:rPr>
          <w:color w:val="auto"/>
          <w:spacing w:val="-6"/>
          <w:sz w:val="21"/>
          <w:szCs w:val="21"/>
          <w:highlight w:val="none"/>
        </w:rPr>
        <w:t>根据《中华人民共和国招标投标法》、《中华人民共和国招标投标法实施条例》等有关</w:t>
      </w:r>
      <w:r>
        <w:rPr>
          <w:color w:val="auto"/>
          <w:spacing w:val="9"/>
          <w:sz w:val="21"/>
          <w:szCs w:val="21"/>
          <w:highlight w:val="none"/>
        </w:rPr>
        <w:t xml:space="preserve"> </w:t>
      </w:r>
      <w:r>
        <w:rPr>
          <w:color w:val="auto"/>
          <w:spacing w:val="-1"/>
          <w:sz w:val="21"/>
          <w:szCs w:val="21"/>
          <w:highlight w:val="none"/>
        </w:rPr>
        <w:t>法律、法规和规章的规定，本招标项目已具备招标条件，现对设备采购进行招标。</w:t>
      </w:r>
    </w:p>
    <w:p>
      <w:pPr>
        <w:pStyle w:val="13"/>
        <w:spacing w:before="150" w:line="234" w:lineRule="auto"/>
        <w:ind w:left="435"/>
        <w:rPr>
          <w:color w:val="auto"/>
          <w:sz w:val="21"/>
          <w:szCs w:val="21"/>
          <w:highlight w:val="none"/>
        </w:rPr>
      </w:pPr>
      <w:r>
        <w:rPr>
          <w:rFonts w:ascii="Times New Roman" w:hAnsi="Times New Roman" w:eastAsia="Times New Roman" w:cs="Times New Roman"/>
          <w:color w:val="auto"/>
          <w:spacing w:val="-2"/>
          <w:sz w:val="21"/>
          <w:szCs w:val="21"/>
          <w:highlight w:val="none"/>
        </w:rPr>
        <w:t xml:space="preserve">1.1.2  </w:t>
      </w:r>
      <w:r>
        <w:rPr>
          <w:color w:val="auto"/>
          <w:spacing w:val="-2"/>
          <w:sz w:val="21"/>
          <w:szCs w:val="21"/>
          <w:highlight w:val="none"/>
        </w:rPr>
        <w:t>招标人：见投标人须知前附表。</w:t>
      </w:r>
    </w:p>
    <w:p>
      <w:pPr>
        <w:pStyle w:val="13"/>
        <w:spacing w:before="135" w:line="234" w:lineRule="auto"/>
        <w:ind w:left="435"/>
        <w:rPr>
          <w:color w:val="auto"/>
          <w:sz w:val="21"/>
          <w:szCs w:val="21"/>
          <w:highlight w:val="none"/>
        </w:rPr>
      </w:pPr>
      <w:r>
        <w:rPr>
          <w:rFonts w:ascii="Times New Roman" w:hAnsi="Times New Roman" w:eastAsia="Times New Roman" w:cs="Times New Roman"/>
          <w:color w:val="auto"/>
          <w:spacing w:val="-1"/>
          <w:sz w:val="21"/>
          <w:szCs w:val="21"/>
          <w:highlight w:val="none"/>
        </w:rPr>
        <w:t xml:space="preserve">1.1.3  </w:t>
      </w:r>
      <w:r>
        <w:rPr>
          <w:color w:val="auto"/>
          <w:spacing w:val="-1"/>
          <w:sz w:val="21"/>
          <w:szCs w:val="21"/>
          <w:highlight w:val="none"/>
        </w:rPr>
        <w:t>招标代理机构：见投标人须知前附表。</w:t>
      </w:r>
    </w:p>
    <w:p>
      <w:pPr>
        <w:pStyle w:val="13"/>
        <w:spacing w:before="132" w:line="234" w:lineRule="auto"/>
        <w:ind w:left="435"/>
        <w:rPr>
          <w:color w:val="auto"/>
          <w:sz w:val="21"/>
          <w:szCs w:val="21"/>
          <w:highlight w:val="none"/>
        </w:rPr>
      </w:pPr>
      <w:r>
        <w:rPr>
          <w:rFonts w:ascii="Times New Roman" w:hAnsi="Times New Roman" w:eastAsia="Times New Roman" w:cs="Times New Roman"/>
          <w:color w:val="auto"/>
          <w:spacing w:val="-1"/>
          <w:sz w:val="21"/>
          <w:szCs w:val="21"/>
          <w:highlight w:val="none"/>
        </w:rPr>
        <w:t xml:space="preserve">1.1.4 </w:t>
      </w:r>
      <w:r>
        <w:rPr>
          <w:color w:val="auto"/>
          <w:spacing w:val="-1"/>
          <w:sz w:val="21"/>
          <w:szCs w:val="21"/>
          <w:highlight w:val="none"/>
        </w:rPr>
        <w:t>招标项目名称：见投标人须知前附表。</w:t>
      </w:r>
    </w:p>
    <w:p>
      <w:pPr>
        <w:pStyle w:val="13"/>
        <w:spacing w:before="135" w:line="234" w:lineRule="auto"/>
        <w:ind w:left="435"/>
        <w:rPr>
          <w:color w:val="auto"/>
          <w:sz w:val="21"/>
          <w:szCs w:val="21"/>
          <w:highlight w:val="none"/>
        </w:rPr>
      </w:pPr>
      <w:r>
        <w:rPr>
          <w:rFonts w:ascii="Times New Roman" w:hAnsi="Times New Roman" w:eastAsia="Times New Roman" w:cs="Times New Roman"/>
          <w:color w:val="auto"/>
          <w:spacing w:val="-1"/>
          <w:sz w:val="21"/>
          <w:szCs w:val="21"/>
          <w:highlight w:val="none"/>
        </w:rPr>
        <w:t xml:space="preserve">1.1.5 </w:t>
      </w:r>
      <w:r>
        <w:rPr>
          <w:color w:val="auto"/>
          <w:spacing w:val="-1"/>
          <w:sz w:val="21"/>
          <w:szCs w:val="21"/>
          <w:highlight w:val="none"/>
        </w:rPr>
        <w:t>工程项目名称：即招标项目所属的工程建设项目，见投标人须知前附表。</w:t>
      </w:r>
    </w:p>
    <w:p>
      <w:pPr>
        <w:spacing w:before="297" w:line="232" w:lineRule="auto"/>
        <w:ind w:left="160"/>
        <w:outlineLvl w:val="2"/>
        <w:rPr>
          <w:rFonts w:ascii="黑体" w:hAnsi="黑体" w:eastAsia="黑体" w:cs="黑体"/>
          <w:color w:val="auto"/>
          <w:sz w:val="28"/>
          <w:szCs w:val="28"/>
          <w:highlight w:val="none"/>
        </w:rPr>
      </w:pPr>
      <w:bookmarkStart w:id="13" w:name="bookmark23"/>
      <w:bookmarkEnd w:id="13"/>
      <w:r>
        <w:rPr>
          <w:rFonts w:ascii="Times New Roman" w:hAnsi="Times New Roman" w:eastAsia="Times New Roman" w:cs="Times New Roman"/>
          <w:color w:val="auto"/>
          <w:spacing w:val="-2"/>
          <w:sz w:val="28"/>
          <w:szCs w:val="28"/>
          <w:highlight w:val="none"/>
        </w:rPr>
        <w:t xml:space="preserve">1.2  </w:t>
      </w:r>
      <w:r>
        <w:rPr>
          <w:rFonts w:ascii="黑体" w:hAnsi="黑体" w:eastAsia="黑体" w:cs="黑体"/>
          <w:color w:val="auto"/>
          <w:spacing w:val="-2"/>
          <w:sz w:val="28"/>
          <w:szCs w:val="28"/>
          <w:highlight w:val="none"/>
        </w:rPr>
        <w:t>招标项目的资金来源和落实情况</w:t>
      </w:r>
    </w:p>
    <w:p>
      <w:pPr>
        <w:spacing w:line="299" w:lineRule="auto"/>
        <w:rPr>
          <w:rFonts w:ascii="Arial"/>
          <w:color w:val="auto"/>
          <w:sz w:val="21"/>
          <w:highlight w:val="none"/>
        </w:rPr>
      </w:pPr>
    </w:p>
    <w:p>
      <w:pPr>
        <w:pStyle w:val="13"/>
        <w:spacing w:before="68" w:line="234" w:lineRule="auto"/>
        <w:ind w:left="435"/>
        <w:rPr>
          <w:color w:val="auto"/>
          <w:sz w:val="21"/>
          <w:szCs w:val="21"/>
          <w:highlight w:val="none"/>
        </w:rPr>
      </w:pPr>
      <w:r>
        <w:rPr>
          <w:rFonts w:ascii="Times New Roman" w:hAnsi="Times New Roman" w:eastAsia="Times New Roman" w:cs="Times New Roman"/>
          <w:color w:val="auto"/>
          <w:spacing w:val="-2"/>
          <w:sz w:val="21"/>
          <w:szCs w:val="21"/>
          <w:highlight w:val="none"/>
        </w:rPr>
        <w:t xml:space="preserve">1.2.1  </w:t>
      </w:r>
      <w:r>
        <w:rPr>
          <w:color w:val="auto"/>
          <w:spacing w:val="-2"/>
          <w:sz w:val="21"/>
          <w:szCs w:val="21"/>
          <w:highlight w:val="none"/>
        </w:rPr>
        <w:t>资金来源及比例：见投标人须知前附表。</w:t>
      </w:r>
    </w:p>
    <w:p>
      <w:pPr>
        <w:pStyle w:val="13"/>
        <w:spacing w:before="132" w:line="234" w:lineRule="auto"/>
        <w:ind w:left="435"/>
        <w:rPr>
          <w:color w:val="auto"/>
          <w:sz w:val="21"/>
          <w:szCs w:val="21"/>
          <w:highlight w:val="none"/>
        </w:rPr>
      </w:pPr>
      <w:r>
        <w:rPr>
          <w:rFonts w:ascii="Times New Roman" w:hAnsi="Times New Roman" w:eastAsia="Times New Roman" w:cs="Times New Roman"/>
          <w:color w:val="auto"/>
          <w:spacing w:val="-1"/>
          <w:sz w:val="21"/>
          <w:szCs w:val="21"/>
          <w:highlight w:val="none"/>
        </w:rPr>
        <w:t xml:space="preserve">1.2.2  </w:t>
      </w:r>
      <w:r>
        <w:rPr>
          <w:color w:val="auto"/>
          <w:spacing w:val="-1"/>
          <w:sz w:val="21"/>
          <w:szCs w:val="21"/>
          <w:highlight w:val="none"/>
        </w:rPr>
        <w:t>资金落实情况：见投标人须知前附表。</w:t>
      </w:r>
    </w:p>
    <w:p>
      <w:pPr>
        <w:spacing w:before="297" w:line="233" w:lineRule="auto"/>
        <w:ind w:left="160"/>
        <w:outlineLvl w:val="2"/>
        <w:rPr>
          <w:rFonts w:ascii="黑体" w:hAnsi="黑体" w:eastAsia="黑体" w:cs="黑体"/>
          <w:color w:val="auto"/>
          <w:sz w:val="28"/>
          <w:szCs w:val="28"/>
          <w:highlight w:val="none"/>
        </w:rPr>
      </w:pPr>
      <w:bookmarkStart w:id="14" w:name="bookmark24"/>
      <w:bookmarkEnd w:id="14"/>
      <w:r>
        <w:rPr>
          <w:rFonts w:ascii="Times New Roman" w:hAnsi="Times New Roman" w:eastAsia="Times New Roman" w:cs="Times New Roman"/>
          <w:color w:val="auto"/>
          <w:spacing w:val="-2"/>
          <w:sz w:val="28"/>
          <w:szCs w:val="28"/>
          <w:highlight w:val="none"/>
        </w:rPr>
        <w:t xml:space="preserve">1.3 </w:t>
      </w:r>
      <w:r>
        <w:rPr>
          <w:rFonts w:ascii="黑体" w:hAnsi="黑体" w:eastAsia="黑体" w:cs="黑体"/>
          <w:color w:val="auto"/>
          <w:spacing w:val="-2"/>
          <w:sz w:val="28"/>
          <w:szCs w:val="28"/>
          <w:highlight w:val="none"/>
        </w:rPr>
        <w:t>招标范围、交货期、交货地点和技术性能指标</w:t>
      </w:r>
    </w:p>
    <w:p>
      <w:pPr>
        <w:spacing w:line="298" w:lineRule="auto"/>
        <w:rPr>
          <w:rFonts w:ascii="Arial"/>
          <w:color w:val="auto"/>
          <w:sz w:val="21"/>
          <w:highlight w:val="none"/>
        </w:rPr>
      </w:pPr>
    </w:p>
    <w:p>
      <w:pPr>
        <w:pStyle w:val="13"/>
        <w:spacing w:before="68" w:line="234" w:lineRule="auto"/>
        <w:ind w:left="435"/>
        <w:rPr>
          <w:color w:val="auto"/>
          <w:sz w:val="21"/>
          <w:szCs w:val="21"/>
          <w:highlight w:val="none"/>
        </w:rPr>
      </w:pPr>
      <w:r>
        <w:rPr>
          <w:rFonts w:ascii="Times New Roman" w:hAnsi="Times New Roman" w:eastAsia="Times New Roman" w:cs="Times New Roman"/>
          <w:color w:val="auto"/>
          <w:spacing w:val="-1"/>
          <w:sz w:val="21"/>
          <w:szCs w:val="21"/>
          <w:highlight w:val="none"/>
        </w:rPr>
        <w:t xml:space="preserve">1.3.1  </w:t>
      </w:r>
      <w:r>
        <w:rPr>
          <w:color w:val="auto"/>
          <w:spacing w:val="-1"/>
          <w:sz w:val="21"/>
          <w:szCs w:val="21"/>
          <w:highlight w:val="none"/>
        </w:rPr>
        <w:t>招标范围：见投标人须知前附表。</w:t>
      </w:r>
    </w:p>
    <w:p>
      <w:pPr>
        <w:pStyle w:val="13"/>
        <w:spacing w:before="135" w:line="234" w:lineRule="auto"/>
        <w:ind w:left="435"/>
        <w:rPr>
          <w:color w:val="auto"/>
          <w:sz w:val="21"/>
          <w:szCs w:val="21"/>
          <w:highlight w:val="none"/>
        </w:rPr>
      </w:pPr>
      <w:r>
        <w:rPr>
          <w:rFonts w:ascii="Times New Roman" w:hAnsi="Times New Roman" w:eastAsia="Times New Roman" w:cs="Times New Roman"/>
          <w:color w:val="auto"/>
          <w:spacing w:val="-2"/>
          <w:sz w:val="21"/>
          <w:szCs w:val="21"/>
          <w:highlight w:val="none"/>
        </w:rPr>
        <w:t xml:space="preserve">1.3.2  </w:t>
      </w:r>
      <w:r>
        <w:rPr>
          <w:color w:val="auto"/>
          <w:spacing w:val="-2"/>
          <w:sz w:val="21"/>
          <w:szCs w:val="21"/>
          <w:highlight w:val="none"/>
        </w:rPr>
        <w:t>交货期：见投标人须知前附表。</w:t>
      </w:r>
    </w:p>
    <w:p>
      <w:pPr>
        <w:pStyle w:val="13"/>
        <w:spacing w:before="132" w:line="234" w:lineRule="auto"/>
        <w:ind w:left="435"/>
        <w:rPr>
          <w:color w:val="auto"/>
          <w:sz w:val="21"/>
          <w:szCs w:val="21"/>
          <w:highlight w:val="none"/>
        </w:rPr>
      </w:pPr>
      <w:r>
        <w:rPr>
          <w:rFonts w:ascii="Times New Roman" w:hAnsi="Times New Roman" w:eastAsia="Times New Roman" w:cs="Times New Roman"/>
          <w:color w:val="auto"/>
          <w:spacing w:val="-1"/>
          <w:sz w:val="21"/>
          <w:szCs w:val="21"/>
          <w:highlight w:val="none"/>
        </w:rPr>
        <w:t xml:space="preserve">1.3.3  </w:t>
      </w:r>
      <w:r>
        <w:rPr>
          <w:color w:val="auto"/>
          <w:spacing w:val="-1"/>
          <w:sz w:val="21"/>
          <w:szCs w:val="21"/>
          <w:highlight w:val="none"/>
        </w:rPr>
        <w:t>交货地点：见投标人须知前附表。</w:t>
      </w:r>
    </w:p>
    <w:p>
      <w:pPr>
        <w:pStyle w:val="13"/>
        <w:spacing w:before="135" w:line="234" w:lineRule="auto"/>
        <w:ind w:left="435"/>
        <w:rPr>
          <w:color w:val="auto"/>
          <w:sz w:val="21"/>
          <w:szCs w:val="21"/>
          <w:highlight w:val="none"/>
        </w:rPr>
      </w:pPr>
      <w:r>
        <w:rPr>
          <w:rFonts w:ascii="Times New Roman" w:hAnsi="Times New Roman" w:eastAsia="Times New Roman" w:cs="Times New Roman"/>
          <w:color w:val="auto"/>
          <w:spacing w:val="-1"/>
          <w:sz w:val="21"/>
          <w:szCs w:val="21"/>
          <w:highlight w:val="none"/>
        </w:rPr>
        <w:t xml:space="preserve">1.3.4  </w:t>
      </w:r>
      <w:r>
        <w:rPr>
          <w:color w:val="auto"/>
          <w:spacing w:val="-1"/>
          <w:sz w:val="21"/>
          <w:szCs w:val="21"/>
          <w:highlight w:val="none"/>
        </w:rPr>
        <w:t>技术性能指标：见投标人须知前附表。</w:t>
      </w:r>
    </w:p>
    <w:p>
      <w:pPr>
        <w:spacing w:before="296" w:line="233" w:lineRule="auto"/>
        <w:ind w:left="160"/>
        <w:outlineLvl w:val="2"/>
        <w:rPr>
          <w:rFonts w:ascii="黑体" w:hAnsi="黑体" w:eastAsia="黑体" w:cs="黑体"/>
          <w:color w:val="auto"/>
          <w:sz w:val="28"/>
          <w:szCs w:val="28"/>
          <w:highlight w:val="none"/>
        </w:rPr>
      </w:pPr>
      <w:bookmarkStart w:id="15" w:name="bookmark25"/>
      <w:bookmarkEnd w:id="15"/>
      <w:r>
        <w:rPr>
          <w:rFonts w:ascii="Times New Roman" w:hAnsi="Times New Roman" w:eastAsia="Times New Roman" w:cs="Times New Roman"/>
          <w:color w:val="auto"/>
          <w:spacing w:val="-3"/>
          <w:sz w:val="28"/>
          <w:szCs w:val="28"/>
          <w:highlight w:val="none"/>
        </w:rPr>
        <w:t xml:space="preserve">1.4 </w:t>
      </w:r>
      <w:r>
        <w:rPr>
          <w:rFonts w:ascii="黑体" w:hAnsi="黑体" w:eastAsia="黑体" w:cs="黑体"/>
          <w:color w:val="auto"/>
          <w:spacing w:val="-3"/>
          <w:sz w:val="28"/>
          <w:szCs w:val="28"/>
          <w:highlight w:val="none"/>
        </w:rPr>
        <w:t>投标人资格要求</w:t>
      </w:r>
    </w:p>
    <w:p>
      <w:pPr>
        <w:spacing w:line="298" w:lineRule="auto"/>
        <w:rPr>
          <w:rFonts w:ascii="Arial"/>
          <w:color w:val="auto"/>
          <w:sz w:val="21"/>
          <w:highlight w:val="none"/>
        </w:rPr>
      </w:pPr>
    </w:p>
    <w:p>
      <w:pPr>
        <w:pStyle w:val="13"/>
        <w:spacing w:before="69" w:line="234" w:lineRule="auto"/>
        <w:ind w:left="435"/>
        <w:rPr>
          <w:color w:val="auto"/>
          <w:sz w:val="21"/>
          <w:szCs w:val="21"/>
          <w:highlight w:val="none"/>
        </w:rPr>
      </w:pPr>
      <w:r>
        <w:rPr>
          <w:rFonts w:ascii="Times New Roman" w:hAnsi="Times New Roman" w:eastAsia="Times New Roman" w:cs="Times New Roman"/>
          <w:color w:val="auto"/>
          <w:spacing w:val="-1"/>
          <w:sz w:val="21"/>
          <w:szCs w:val="21"/>
          <w:highlight w:val="none"/>
        </w:rPr>
        <w:t xml:space="preserve">1.4.1  </w:t>
      </w:r>
      <w:r>
        <w:rPr>
          <w:color w:val="auto"/>
          <w:spacing w:val="-1"/>
          <w:sz w:val="21"/>
          <w:szCs w:val="21"/>
          <w:highlight w:val="none"/>
        </w:rPr>
        <w:t>投标人应具备承担本招标项目资质条件、能力和信誉：</w:t>
      </w:r>
    </w:p>
    <w:p>
      <w:pPr>
        <w:pStyle w:val="13"/>
        <w:spacing w:before="132" w:line="234" w:lineRule="auto"/>
        <w:ind w:left="319"/>
        <w:rPr>
          <w:color w:val="auto"/>
          <w:sz w:val="21"/>
          <w:szCs w:val="21"/>
          <w:highlight w:val="none"/>
        </w:rPr>
      </w:pPr>
      <w:r>
        <w:rPr>
          <w:color w:val="auto"/>
          <w:spacing w:val="-1"/>
          <w:sz w:val="21"/>
          <w:szCs w:val="21"/>
          <w:highlight w:val="none"/>
        </w:rPr>
        <w:t>（</w:t>
      </w:r>
      <w:r>
        <w:rPr>
          <w:rFonts w:ascii="Times New Roman" w:hAnsi="Times New Roman" w:eastAsia="Times New Roman" w:cs="Times New Roman"/>
          <w:color w:val="auto"/>
          <w:spacing w:val="-1"/>
          <w:sz w:val="21"/>
          <w:szCs w:val="21"/>
          <w:highlight w:val="none"/>
        </w:rPr>
        <w:t>1</w:t>
      </w:r>
      <w:r>
        <w:rPr>
          <w:color w:val="auto"/>
          <w:spacing w:val="-1"/>
          <w:sz w:val="21"/>
          <w:szCs w:val="21"/>
          <w:highlight w:val="none"/>
        </w:rPr>
        <w:t>）资质要求：见投标人须知前附表；</w:t>
      </w:r>
    </w:p>
    <w:p>
      <w:pPr>
        <w:pStyle w:val="13"/>
        <w:spacing w:before="135" w:line="234" w:lineRule="auto"/>
        <w:ind w:left="319"/>
        <w:rPr>
          <w:color w:val="auto"/>
          <w:sz w:val="21"/>
          <w:szCs w:val="21"/>
          <w:highlight w:val="none"/>
        </w:rPr>
      </w:pPr>
      <w:r>
        <w:rPr>
          <w:color w:val="auto"/>
          <w:spacing w:val="-1"/>
          <w:sz w:val="21"/>
          <w:szCs w:val="21"/>
          <w:highlight w:val="none"/>
        </w:rPr>
        <w:t>（</w:t>
      </w:r>
      <w:r>
        <w:rPr>
          <w:rFonts w:ascii="Times New Roman" w:hAnsi="Times New Roman" w:eastAsia="Times New Roman" w:cs="Times New Roman"/>
          <w:color w:val="auto"/>
          <w:spacing w:val="-1"/>
          <w:sz w:val="21"/>
          <w:szCs w:val="21"/>
          <w:highlight w:val="none"/>
        </w:rPr>
        <w:t>2</w:t>
      </w:r>
      <w:r>
        <w:rPr>
          <w:color w:val="auto"/>
          <w:spacing w:val="-1"/>
          <w:sz w:val="21"/>
          <w:szCs w:val="21"/>
          <w:highlight w:val="none"/>
        </w:rPr>
        <w:t>）财务要求：见投标人须知前附表；</w:t>
      </w:r>
    </w:p>
    <w:p>
      <w:pPr>
        <w:pStyle w:val="13"/>
        <w:spacing w:before="134" w:line="234" w:lineRule="auto"/>
        <w:ind w:left="319"/>
        <w:rPr>
          <w:color w:val="auto"/>
          <w:sz w:val="21"/>
          <w:szCs w:val="21"/>
          <w:highlight w:val="none"/>
        </w:rPr>
      </w:pPr>
      <w:r>
        <w:rPr>
          <w:color w:val="auto"/>
          <w:spacing w:val="-1"/>
          <w:sz w:val="21"/>
          <w:szCs w:val="21"/>
          <w:highlight w:val="none"/>
        </w:rPr>
        <w:t>（</w:t>
      </w:r>
      <w:r>
        <w:rPr>
          <w:rFonts w:ascii="Times New Roman" w:hAnsi="Times New Roman" w:eastAsia="Times New Roman" w:cs="Times New Roman"/>
          <w:color w:val="auto"/>
          <w:spacing w:val="-1"/>
          <w:sz w:val="21"/>
          <w:szCs w:val="21"/>
          <w:highlight w:val="none"/>
        </w:rPr>
        <w:t>3</w:t>
      </w:r>
      <w:r>
        <w:rPr>
          <w:color w:val="auto"/>
          <w:spacing w:val="-1"/>
          <w:sz w:val="21"/>
          <w:szCs w:val="21"/>
          <w:highlight w:val="none"/>
        </w:rPr>
        <w:t>）业绩要求：见投标人须知前附表；</w:t>
      </w:r>
    </w:p>
    <w:p>
      <w:pPr>
        <w:pStyle w:val="13"/>
        <w:spacing w:before="133" w:line="234" w:lineRule="auto"/>
        <w:ind w:left="319"/>
        <w:rPr>
          <w:color w:val="auto"/>
          <w:sz w:val="21"/>
          <w:szCs w:val="21"/>
          <w:highlight w:val="none"/>
        </w:rPr>
      </w:pPr>
      <w:r>
        <w:rPr>
          <w:color w:val="auto"/>
          <w:spacing w:val="-1"/>
          <w:sz w:val="21"/>
          <w:szCs w:val="21"/>
          <w:highlight w:val="none"/>
        </w:rPr>
        <w:t>（</w:t>
      </w:r>
      <w:r>
        <w:rPr>
          <w:rFonts w:ascii="Times New Roman" w:hAnsi="Times New Roman" w:eastAsia="Times New Roman" w:cs="Times New Roman"/>
          <w:color w:val="auto"/>
          <w:spacing w:val="-1"/>
          <w:sz w:val="21"/>
          <w:szCs w:val="21"/>
          <w:highlight w:val="none"/>
        </w:rPr>
        <w:t>4</w:t>
      </w:r>
      <w:r>
        <w:rPr>
          <w:color w:val="auto"/>
          <w:spacing w:val="-1"/>
          <w:sz w:val="21"/>
          <w:szCs w:val="21"/>
          <w:highlight w:val="none"/>
        </w:rPr>
        <w:t>）信誉要求：见投标人须知前附表；</w:t>
      </w:r>
    </w:p>
    <w:p>
      <w:pPr>
        <w:pStyle w:val="13"/>
        <w:spacing w:before="134" w:line="234" w:lineRule="auto"/>
        <w:ind w:left="319"/>
        <w:rPr>
          <w:color w:val="auto"/>
          <w:sz w:val="21"/>
          <w:szCs w:val="21"/>
          <w:highlight w:val="none"/>
        </w:rPr>
      </w:pPr>
      <w:r>
        <w:rPr>
          <w:color w:val="auto"/>
          <w:spacing w:val="-1"/>
          <w:sz w:val="21"/>
          <w:szCs w:val="21"/>
          <w:highlight w:val="none"/>
        </w:rPr>
        <w:t>（</w:t>
      </w:r>
      <w:r>
        <w:rPr>
          <w:rFonts w:ascii="Times New Roman" w:hAnsi="Times New Roman" w:eastAsia="Times New Roman" w:cs="Times New Roman"/>
          <w:color w:val="auto"/>
          <w:spacing w:val="-1"/>
          <w:sz w:val="21"/>
          <w:szCs w:val="21"/>
          <w:highlight w:val="none"/>
        </w:rPr>
        <w:t>5</w:t>
      </w:r>
      <w:r>
        <w:rPr>
          <w:color w:val="auto"/>
          <w:spacing w:val="-1"/>
          <w:sz w:val="21"/>
          <w:szCs w:val="21"/>
          <w:highlight w:val="none"/>
        </w:rPr>
        <w:t>）其他要求：见投标人须知前附表。</w:t>
      </w:r>
    </w:p>
    <w:p>
      <w:pPr>
        <w:pStyle w:val="13"/>
        <w:spacing w:before="136" w:line="351" w:lineRule="auto"/>
        <w:ind w:firstLine="421"/>
        <w:rPr>
          <w:color w:val="auto"/>
          <w:sz w:val="21"/>
          <w:szCs w:val="21"/>
          <w:highlight w:val="none"/>
        </w:rPr>
      </w:pPr>
      <w:r>
        <w:rPr>
          <w:color w:val="auto"/>
          <w:spacing w:val="1"/>
          <w:sz w:val="21"/>
          <w:szCs w:val="21"/>
          <w:highlight w:val="none"/>
        </w:rPr>
        <w:t>投标人为代理经销商的，对投标人的资质要求包</w:t>
      </w:r>
      <w:r>
        <w:rPr>
          <w:color w:val="auto"/>
          <w:sz w:val="21"/>
          <w:szCs w:val="21"/>
          <w:highlight w:val="none"/>
        </w:rPr>
        <w:t xml:space="preserve">含对制造商的资质要求，对投标人的业绩 </w:t>
      </w:r>
      <w:r>
        <w:rPr>
          <w:color w:val="auto"/>
          <w:spacing w:val="-1"/>
          <w:sz w:val="21"/>
          <w:szCs w:val="21"/>
          <w:highlight w:val="none"/>
        </w:rPr>
        <w:t>要求包含对投标设备的业绩要求。</w:t>
      </w:r>
    </w:p>
    <w:p>
      <w:pPr>
        <w:pStyle w:val="13"/>
        <w:spacing w:before="1" w:line="233" w:lineRule="auto"/>
        <w:ind w:left="429"/>
        <w:rPr>
          <w:color w:val="auto"/>
          <w:spacing w:val="-2"/>
          <w:sz w:val="21"/>
          <w:szCs w:val="21"/>
          <w:highlight w:val="none"/>
        </w:rPr>
      </w:pPr>
      <w:r>
        <w:rPr>
          <w:color w:val="auto"/>
          <w:spacing w:val="-2"/>
          <w:sz w:val="21"/>
          <w:szCs w:val="21"/>
          <w:highlight w:val="none"/>
        </w:rPr>
        <w:t>需要提交的相关证明材料见本章第</w:t>
      </w:r>
      <w:r>
        <w:rPr>
          <w:color w:val="auto"/>
          <w:spacing w:val="-34"/>
          <w:sz w:val="21"/>
          <w:szCs w:val="21"/>
          <w:highlight w:val="none"/>
        </w:rPr>
        <w:t xml:space="preserve"> </w:t>
      </w:r>
      <w:r>
        <w:rPr>
          <w:rFonts w:ascii="Times New Roman" w:hAnsi="Times New Roman" w:eastAsia="Times New Roman" w:cs="Times New Roman"/>
          <w:color w:val="auto"/>
          <w:spacing w:val="-2"/>
          <w:sz w:val="21"/>
          <w:szCs w:val="21"/>
          <w:highlight w:val="none"/>
        </w:rPr>
        <w:t xml:space="preserve">3.5 </w:t>
      </w:r>
      <w:r>
        <w:rPr>
          <w:color w:val="auto"/>
          <w:spacing w:val="-2"/>
          <w:sz w:val="21"/>
          <w:szCs w:val="21"/>
          <w:highlight w:val="none"/>
        </w:rPr>
        <w:t>款的规定。</w:t>
      </w:r>
    </w:p>
    <w:p>
      <w:pPr>
        <w:pStyle w:val="13"/>
        <w:spacing w:before="136" w:line="351" w:lineRule="auto"/>
        <w:ind w:firstLine="421"/>
        <w:rPr>
          <w:rFonts w:eastAsia="宋体" w:cs="Times New Roman"/>
          <w:color w:val="auto"/>
          <w:spacing w:val="1"/>
          <w:sz w:val="21"/>
          <w:szCs w:val="21"/>
          <w:highlight w:val="none"/>
        </w:rPr>
      </w:pPr>
      <w:r>
        <w:rPr>
          <w:rFonts w:eastAsia="宋体" w:cs="Times New Roman"/>
          <w:color w:val="auto"/>
          <w:spacing w:val="1"/>
          <w:sz w:val="21"/>
          <w:szCs w:val="21"/>
          <w:highlight w:val="none"/>
        </w:rPr>
        <w:t>1.4.2 投标人须知前附表规定接受联合体投标的，联合体除应符合本章第 1.4.1 项和投标人须知前附表的要求外，还应遵守以下规定：</w:t>
      </w:r>
    </w:p>
    <w:p>
      <w:pPr>
        <w:pStyle w:val="13"/>
        <w:spacing w:before="17" w:line="286" w:lineRule="auto"/>
        <w:ind w:left="1" w:right="11" w:firstLine="319"/>
        <w:rPr>
          <w:color w:val="auto"/>
          <w:sz w:val="21"/>
          <w:szCs w:val="21"/>
          <w:highlight w:val="none"/>
        </w:rPr>
      </w:pPr>
      <w:r>
        <w:rPr>
          <w:color w:val="auto"/>
          <w:sz w:val="21"/>
          <w:szCs w:val="21"/>
          <w:highlight w:val="none"/>
        </w:rPr>
        <w:t>（</w:t>
      </w:r>
      <w:r>
        <w:rPr>
          <w:rFonts w:ascii="Times New Roman" w:hAnsi="Times New Roman" w:eastAsia="Times New Roman" w:cs="Times New Roman"/>
          <w:color w:val="auto"/>
          <w:sz w:val="21"/>
          <w:szCs w:val="21"/>
          <w:highlight w:val="none"/>
        </w:rPr>
        <w:t>1</w:t>
      </w:r>
      <w:r>
        <w:rPr>
          <w:color w:val="auto"/>
          <w:sz w:val="21"/>
          <w:szCs w:val="21"/>
          <w:highlight w:val="none"/>
        </w:rPr>
        <w:t>）联合体各方应按招标文件提供的格式签订联合体协议书，明确联合体牵头人和各方权</w:t>
      </w:r>
      <w:r>
        <w:rPr>
          <w:color w:val="auto"/>
          <w:spacing w:val="-1"/>
          <w:sz w:val="21"/>
          <w:szCs w:val="21"/>
          <w:highlight w:val="none"/>
        </w:rPr>
        <w:t>利义务，并承诺就中标项目向招标人承担连带责任；</w:t>
      </w:r>
    </w:p>
    <w:p>
      <w:pPr>
        <w:pStyle w:val="13"/>
        <w:spacing w:before="150" w:line="234" w:lineRule="auto"/>
        <w:ind w:left="321"/>
        <w:rPr>
          <w:color w:val="auto"/>
          <w:sz w:val="21"/>
          <w:szCs w:val="21"/>
          <w:highlight w:val="none"/>
        </w:rPr>
      </w:pPr>
      <w:r>
        <w:rPr>
          <w:color w:val="auto"/>
          <w:spacing w:val="-1"/>
          <w:sz w:val="21"/>
          <w:szCs w:val="21"/>
          <w:highlight w:val="none"/>
        </w:rPr>
        <w:t>（</w:t>
      </w:r>
      <w:r>
        <w:rPr>
          <w:rFonts w:ascii="Times New Roman" w:hAnsi="Times New Roman" w:eastAsia="Times New Roman" w:cs="Times New Roman"/>
          <w:color w:val="auto"/>
          <w:spacing w:val="-1"/>
          <w:sz w:val="21"/>
          <w:szCs w:val="21"/>
          <w:highlight w:val="none"/>
        </w:rPr>
        <w:t>2</w:t>
      </w:r>
      <w:r>
        <w:rPr>
          <w:color w:val="auto"/>
          <w:spacing w:val="-1"/>
          <w:sz w:val="21"/>
          <w:szCs w:val="21"/>
          <w:highlight w:val="none"/>
        </w:rPr>
        <w:t>）由同一专业的单位组成的联合体，按照资质等级较低的单位确定资质等级；</w:t>
      </w:r>
    </w:p>
    <w:p>
      <w:pPr>
        <w:pStyle w:val="13"/>
        <w:spacing w:before="131" w:line="287" w:lineRule="auto"/>
        <w:ind w:left="4" w:right="20" w:firstLine="317"/>
        <w:rPr>
          <w:color w:val="auto"/>
          <w:sz w:val="21"/>
          <w:szCs w:val="21"/>
          <w:highlight w:val="none"/>
        </w:rPr>
      </w:pPr>
      <w:r>
        <w:rPr>
          <w:color w:val="auto"/>
          <w:sz w:val="21"/>
          <w:szCs w:val="21"/>
          <w:highlight w:val="none"/>
        </w:rPr>
        <w:t>（</w:t>
      </w:r>
      <w:r>
        <w:rPr>
          <w:rFonts w:ascii="Times New Roman" w:hAnsi="Times New Roman" w:eastAsia="Times New Roman" w:cs="Times New Roman"/>
          <w:color w:val="auto"/>
          <w:sz w:val="21"/>
          <w:szCs w:val="21"/>
          <w:highlight w:val="none"/>
        </w:rPr>
        <w:t>3</w:t>
      </w:r>
      <w:r>
        <w:rPr>
          <w:color w:val="auto"/>
          <w:sz w:val="21"/>
          <w:szCs w:val="21"/>
          <w:highlight w:val="none"/>
        </w:rPr>
        <w:t>）联合体各方不得再以自己名义单独或参加其他联合体在本招标项目中投标，否则各相</w:t>
      </w:r>
      <w:r>
        <w:rPr>
          <w:color w:val="auto"/>
          <w:spacing w:val="-4"/>
          <w:sz w:val="21"/>
          <w:szCs w:val="21"/>
          <w:highlight w:val="none"/>
        </w:rPr>
        <w:t>关投标均无效。</w:t>
      </w:r>
    </w:p>
    <w:p>
      <w:pPr>
        <w:pStyle w:val="13"/>
        <w:spacing w:before="150" w:line="234" w:lineRule="auto"/>
        <w:ind w:left="437"/>
        <w:rPr>
          <w:color w:val="auto"/>
          <w:sz w:val="21"/>
          <w:szCs w:val="21"/>
          <w:highlight w:val="none"/>
        </w:rPr>
      </w:pPr>
      <w:r>
        <w:rPr>
          <w:rFonts w:ascii="Times New Roman" w:hAnsi="Times New Roman" w:eastAsia="Times New Roman" w:cs="Times New Roman"/>
          <w:color w:val="auto"/>
          <w:spacing w:val="-2"/>
          <w:sz w:val="21"/>
          <w:szCs w:val="21"/>
          <w:highlight w:val="none"/>
        </w:rPr>
        <w:t xml:space="preserve">1.4.3  </w:t>
      </w:r>
      <w:r>
        <w:rPr>
          <w:color w:val="auto"/>
          <w:spacing w:val="-2"/>
          <w:sz w:val="21"/>
          <w:szCs w:val="21"/>
          <w:highlight w:val="none"/>
        </w:rPr>
        <w:t>投标人不得存在下列情形之一：</w:t>
      </w:r>
    </w:p>
    <w:p>
      <w:pPr>
        <w:pStyle w:val="13"/>
        <w:spacing w:before="132" w:line="234" w:lineRule="auto"/>
        <w:ind w:left="427"/>
        <w:rPr>
          <w:color w:val="auto"/>
          <w:sz w:val="21"/>
          <w:szCs w:val="21"/>
          <w:highlight w:val="none"/>
        </w:rPr>
      </w:pPr>
      <w:r>
        <w:rPr>
          <w:color w:val="auto"/>
          <w:spacing w:val="-1"/>
          <w:sz w:val="21"/>
          <w:szCs w:val="21"/>
          <w:highlight w:val="none"/>
        </w:rPr>
        <w:t>（</w:t>
      </w:r>
      <w:r>
        <w:rPr>
          <w:rFonts w:ascii="Times New Roman" w:hAnsi="Times New Roman" w:eastAsia="Times New Roman" w:cs="Times New Roman"/>
          <w:color w:val="auto"/>
          <w:spacing w:val="-1"/>
          <w:sz w:val="21"/>
          <w:szCs w:val="21"/>
          <w:highlight w:val="none"/>
        </w:rPr>
        <w:t>1</w:t>
      </w:r>
      <w:r>
        <w:rPr>
          <w:color w:val="auto"/>
          <w:spacing w:val="-1"/>
          <w:sz w:val="21"/>
          <w:szCs w:val="21"/>
          <w:highlight w:val="none"/>
        </w:rPr>
        <w:t>）与招标人存在利害关系且可能影响招标公正性；</w:t>
      </w:r>
    </w:p>
    <w:p>
      <w:pPr>
        <w:pStyle w:val="13"/>
        <w:spacing w:before="134" w:line="234" w:lineRule="auto"/>
        <w:ind w:left="427"/>
        <w:rPr>
          <w:color w:val="auto"/>
          <w:sz w:val="21"/>
          <w:szCs w:val="21"/>
          <w:highlight w:val="none"/>
        </w:rPr>
      </w:pPr>
      <w:r>
        <w:rPr>
          <w:color w:val="auto"/>
          <w:spacing w:val="-1"/>
          <w:sz w:val="21"/>
          <w:szCs w:val="21"/>
          <w:highlight w:val="none"/>
        </w:rPr>
        <w:t>（</w:t>
      </w:r>
      <w:r>
        <w:rPr>
          <w:rFonts w:ascii="Times New Roman" w:hAnsi="Times New Roman" w:eastAsia="Times New Roman" w:cs="Times New Roman"/>
          <w:color w:val="auto"/>
          <w:spacing w:val="-1"/>
          <w:sz w:val="21"/>
          <w:szCs w:val="21"/>
          <w:highlight w:val="none"/>
        </w:rPr>
        <w:t>2</w:t>
      </w:r>
      <w:r>
        <w:rPr>
          <w:color w:val="auto"/>
          <w:spacing w:val="-1"/>
          <w:sz w:val="21"/>
          <w:szCs w:val="21"/>
          <w:highlight w:val="none"/>
        </w:rPr>
        <w:t>）与本招标项目的其他投标人为同一个单位负责人；</w:t>
      </w:r>
    </w:p>
    <w:p>
      <w:pPr>
        <w:pStyle w:val="13"/>
        <w:spacing w:before="135" w:line="234" w:lineRule="auto"/>
        <w:ind w:left="427"/>
        <w:rPr>
          <w:color w:val="auto"/>
          <w:sz w:val="21"/>
          <w:szCs w:val="21"/>
          <w:highlight w:val="none"/>
        </w:rPr>
      </w:pPr>
      <w:r>
        <w:rPr>
          <w:color w:val="auto"/>
          <w:spacing w:val="-2"/>
          <w:sz w:val="21"/>
          <w:szCs w:val="21"/>
          <w:highlight w:val="none"/>
        </w:rPr>
        <w:t>（</w:t>
      </w:r>
      <w:r>
        <w:rPr>
          <w:rFonts w:ascii="Times New Roman" w:hAnsi="Times New Roman" w:eastAsia="Times New Roman" w:cs="Times New Roman"/>
          <w:color w:val="auto"/>
          <w:spacing w:val="-2"/>
          <w:sz w:val="21"/>
          <w:szCs w:val="21"/>
          <w:highlight w:val="none"/>
        </w:rPr>
        <w:t>3</w:t>
      </w:r>
      <w:r>
        <w:rPr>
          <w:color w:val="auto"/>
          <w:spacing w:val="-2"/>
          <w:sz w:val="21"/>
          <w:szCs w:val="21"/>
          <w:highlight w:val="none"/>
        </w:rPr>
        <w:t>）与本招标项目的其他投标人存在控股、管理关系；</w:t>
      </w:r>
    </w:p>
    <w:p>
      <w:pPr>
        <w:pStyle w:val="13"/>
        <w:spacing w:before="132" w:line="234" w:lineRule="auto"/>
        <w:ind w:left="427"/>
        <w:rPr>
          <w:color w:val="auto"/>
          <w:sz w:val="21"/>
          <w:szCs w:val="21"/>
          <w:highlight w:val="none"/>
        </w:rPr>
      </w:pPr>
      <w:r>
        <w:rPr>
          <w:color w:val="auto"/>
          <w:spacing w:val="-1"/>
          <w:sz w:val="21"/>
          <w:szCs w:val="21"/>
          <w:highlight w:val="none"/>
        </w:rPr>
        <w:t>（</w:t>
      </w:r>
      <w:r>
        <w:rPr>
          <w:rFonts w:ascii="Times New Roman" w:hAnsi="Times New Roman" w:eastAsia="Times New Roman" w:cs="Times New Roman"/>
          <w:color w:val="auto"/>
          <w:spacing w:val="-1"/>
          <w:sz w:val="21"/>
          <w:szCs w:val="21"/>
          <w:highlight w:val="none"/>
        </w:rPr>
        <w:t>4</w:t>
      </w:r>
      <w:r>
        <w:rPr>
          <w:color w:val="auto"/>
          <w:spacing w:val="-1"/>
          <w:sz w:val="21"/>
          <w:szCs w:val="21"/>
          <w:highlight w:val="none"/>
        </w:rPr>
        <w:t>）与本招标项目其他投标人代理同一个制造商同一品牌同一型号的设备投标；</w:t>
      </w:r>
    </w:p>
    <w:p>
      <w:pPr>
        <w:pStyle w:val="13"/>
        <w:spacing w:before="134" w:line="234" w:lineRule="auto"/>
        <w:ind w:left="427"/>
        <w:rPr>
          <w:color w:val="auto"/>
          <w:sz w:val="21"/>
          <w:szCs w:val="21"/>
          <w:highlight w:val="none"/>
        </w:rPr>
      </w:pPr>
      <w:r>
        <w:rPr>
          <w:color w:val="auto"/>
          <w:spacing w:val="-1"/>
          <w:sz w:val="21"/>
          <w:szCs w:val="21"/>
          <w:highlight w:val="none"/>
        </w:rPr>
        <w:t>（</w:t>
      </w:r>
      <w:r>
        <w:rPr>
          <w:rFonts w:ascii="Times New Roman" w:hAnsi="Times New Roman" w:eastAsia="Times New Roman" w:cs="Times New Roman"/>
          <w:color w:val="auto"/>
          <w:spacing w:val="-1"/>
          <w:sz w:val="21"/>
          <w:szCs w:val="21"/>
          <w:highlight w:val="none"/>
        </w:rPr>
        <w:t>5</w:t>
      </w:r>
      <w:r>
        <w:rPr>
          <w:color w:val="auto"/>
          <w:spacing w:val="-1"/>
          <w:sz w:val="21"/>
          <w:szCs w:val="21"/>
          <w:highlight w:val="none"/>
        </w:rPr>
        <w:t>）为本招标项目提供过设计、编制技术规范和其他文件的咨询</w:t>
      </w:r>
      <w:r>
        <w:rPr>
          <w:color w:val="auto"/>
          <w:spacing w:val="-2"/>
          <w:sz w:val="21"/>
          <w:szCs w:val="21"/>
          <w:highlight w:val="none"/>
        </w:rPr>
        <w:t>服务；</w:t>
      </w:r>
    </w:p>
    <w:p>
      <w:pPr>
        <w:pStyle w:val="13"/>
        <w:spacing w:before="135" w:line="286" w:lineRule="auto"/>
        <w:ind w:left="1" w:right="8" w:firstLine="425"/>
        <w:rPr>
          <w:color w:val="auto"/>
          <w:sz w:val="21"/>
          <w:szCs w:val="21"/>
          <w:highlight w:val="none"/>
        </w:rPr>
      </w:pPr>
      <w:r>
        <w:rPr>
          <w:color w:val="auto"/>
          <w:spacing w:val="-2"/>
          <w:sz w:val="21"/>
          <w:szCs w:val="21"/>
          <w:highlight w:val="none"/>
        </w:rPr>
        <w:t>（</w:t>
      </w:r>
      <w:r>
        <w:rPr>
          <w:rFonts w:ascii="Times New Roman" w:hAnsi="Times New Roman" w:eastAsia="Times New Roman" w:cs="Times New Roman"/>
          <w:color w:val="auto"/>
          <w:spacing w:val="-2"/>
          <w:sz w:val="21"/>
          <w:szCs w:val="21"/>
          <w:highlight w:val="none"/>
        </w:rPr>
        <w:t>6</w:t>
      </w:r>
      <w:r>
        <w:rPr>
          <w:color w:val="auto"/>
          <w:spacing w:val="-2"/>
          <w:sz w:val="21"/>
          <w:szCs w:val="21"/>
          <w:highlight w:val="none"/>
        </w:rPr>
        <w:t>）为本工程项目的相关监理人，或者与本工程项目的相关</w:t>
      </w:r>
      <w:r>
        <w:rPr>
          <w:color w:val="auto"/>
          <w:spacing w:val="-3"/>
          <w:sz w:val="21"/>
          <w:szCs w:val="21"/>
          <w:highlight w:val="none"/>
        </w:rPr>
        <w:t>监理人存在隶属关系或者其他</w:t>
      </w:r>
      <w:r>
        <w:rPr>
          <w:color w:val="auto"/>
          <w:spacing w:val="-7"/>
          <w:sz w:val="21"/>
          <w:szCs w:val="21"/>
          <w:highlight w:val="none"/>
        </w:rPr>
        <w:t>利害关系；</w:t>
      </w:r>
    </w:p>
    <w:p>
      <w:pPr>
        <w:pStyle w:val="13"/>
        <w:spacing w:before="149" w:line="234" w:lineRule="auto"/>
        <w:ind w:left="427"/>
        <w:rPr>
          <w:color w:val="auto"/>
          <w:sz w:val="21"/>
          <w:szCs w:val="21"/>
          <w:highlight w:val="none"/>
        </w:rPr>
      </w:pPr>
      <w:r>
        <w:rPr>
          <w:color w:val="auto"/>
          <w:spacing w:val="-3"/>
          <w:sz w:val="21"/>
          <w:szCs w:val="21"/>
          <w:highlight w:val="none"/>
        </w:rPr>
        <w:t>（</w:t>
      </w:r>
      <w:r>
        <w:rPr>
          <w:rFonts w:ascii="Times New Roman" w:hAnsi="Times New Roman" w:eastAsia="Times New Roman" w:cs="Times New Roman"/>
          <w:color w:val="auto"/>
          <w:spacing w:val="-3"/>
          <w:sz w:val="21"/>
          <w:szCs w:val="21"/>
          <w:highlight w:val="none"/>
        </w:rPr>
        <w:t>7</w:t>
      </w:r>
      <w:r>
        <w:rPr>
          <w:color w:val="auto"/>
          <w:spacing w:val="-3"/>
          <w:sz w:val="21"/>
          <w:szCs w:val="21"/>
          <w:highlight w:val="none"/>
        </w:rPr>
        <w:t>）为本招标项目的代建人；</w:t>
      </w:r>
    </w:p>
    <w:p>
      <w:pPr>
        <w:pStyle w:val="13"/>
        <w:spacing w:before="135" w:line="234" w:lineRule="auto"/>
        <w:ind w:left="427"/>
        <w:rPr>
          <w:color w:val="auto"/>
          <w:sz w:val="21"/>
          <w:szCs w:val="21"/>
          <w:highlight w:val="none"/>
        </w:rPr>
      </w:pPr>
      <w:r>
        <w:rPr>
          <w:color w:val="auto"/>
          <w:spacing w:val="-3"/>
          <w:sz w:val="21"/>
          <w:szCs w:val="21"/>
          <w:highlight w:val="none"/>
        </w:rPr>
        <w:t>（</w:t>
      </w:r>
      <w:r>
        <w:rPr>
          <w:rFonts w:ascii="Times New Roman" w:hAnsi="Times New Roman" w:eastAsia="Times New Roman" w:cs="Times New Roman"/>
          <w:color w:val="auto"/>
          <w:spacing w:val="-3"/>
          <w:sz w:val="21"/>
          <w:szCs w:val="21"/>
          <w:highlight w:val="none"/>
        </w:rPr>
        <w:t>8</w:t>
      </w:r>
      <w:r>
        <w:rPr>
          <w:color w:val="auto"/>
          <w:spacing w:val="-3"/>
          <w:sz w:val="21"/>
          <w:szCs w:val="21"/>
          <w:highlight w:val="none"/>
        </w:rPr>
        <w:t>）为本招标项目的招标代理机构；</w:t>
      </w:r>
    </w:p>
    <w:p>
      <w:pPr>
        <w:pStyle w:val="13"/>
        <w:spacing w:before="132" w:line="234" w:lineRule="auto"/>
        <w:ind w:left="427"/>
        <w:rPr>
          <w:color w:val="auto"/>
          <w:sz w:val="21"/>
          <w:szCs w:val="21"/>
          <w:highlight w:val="none"/>
        </w:rPr>
      </w:pPr>
      <w:r>
        <w:rPr>
          <w:color w:val="auto"/>
          <w:spacing w:val="-1"/>
          <w:sz w:val="21"/>
          <w:szCs w:val="21"/>
          <w:highlight w:val="none"/>
        </w:rPr>
        <w:t>（</w:t>
      </w:r>
      <w:r>
        <w:rPr>
          <w:rFonts w:ascii="Times New Roman" w:hAnsi="Times New Roman" w:eastAsia="Times New Roman" w:cs="Times New Roman"/>
          <w:color w:val="auto"/>
          <w:spacing w:val="-1"/>
          <w:sz w:val="21"/>
          <w:szCs w:val="21"/>
          <w:highlight w:val="none"/>
        </w:rPr>
        <w:t>9</w:t>
      </w:r>
      <w:r>
        <w:rPr>
          <w:color w:val="auto"/>
          <w:spacing w:val="-1"/>
          <w:sz w:val="21"/>
          <w:szCs w:val="21"/>
          <w:highlight w:val="none"/>
        </w:rPr>
        <w:t>）与本招标项目的监理人或代建人或招标代理机构同为一个法定代表人；</w:t>
      </w:r>
    </w:p>
    <w:p>
      <w:pPr>
        <w:pStyle w:val="13"/>
        <w:spacing w:before="134" w:line="234" w:lineRule="auto"/>
        <w:ind w:left="427"/>
        <w:rPr>
          <w:color w:val="auto"/>
          <w:sz w:val="21"/>
          <w:szCs w:val="21"/>
          <w:highlight w:val="none"/>
        </w:rPr>
      </w:pPr>
      <w:r>
        <w:rPr>
          <w:color w:val="auto"/>
          <w:sz w:val="21"/>
          <w:szCs w:val="21"/>
          <w:highlight w:val="none"/>
        </w:rPr>
        <w:t>（</w:t>
      </w:r>
      <w:r>
        <w:rPr>
          <w:rFonts w:ascii="Times New Roman" w:hAnsi="Times New Roman" w:eastAsia="Times New Roman" w:cs="Times New Roman"/>
          <w:color w:val="auto"/>
          <w:sz w:val="21"/>
          <w:szCs w:val="21"/>
          <w:highlight w:val="none"/>
        </w:rPr>
        <w:t>10</w:t>
      </w:r>
      <w:r>
        <w:rPr>
          <w:color w:val="auto"/>
          <w:sz w:val="21"/>
          <w:szCs w:val="21"/>
          <w:highlight w:val="none"/>
        </w:rPr>
        <w:t>）与本招标项目的监理人或代建人或招标代理机构存</w:t>
      </w:r>
      <w:r>
        <w:rPr>
          <w:color w:val="auto"/>
          <w:spacing w:val="-1"/>
          <w:sz w:val="21"/>
          <w:szCs w:val="21"/>
          <w:highlight w:val="none"/>
        </w:rPr>
        <w:t>在控股或参股关系；</w:t>
      </w:r>
    </w:p>
    <w:p>
      <w:pPr>
        <w:pStyle w:val="13"/>
        <w:spacing w:before="135" w:line="234" w:lineRule="auto"/>
        <w:ind w:left="427"/>
        <w:rPr>
          <w:color w:val="auto"/>
          <w:sz w:val="21"/>
          <w:szCs w:val="21"/>
          <w:highlight w:val="none"/>
        </w:rPr>
      </w:pPr>
      <w:r>
        <w:rPr>
          <w:color w:val="auto"/>
          <w:spacing w:val="-2"/>
          <w:sz w:val="21"/>
          <w:szCs w:val="21"/>
          <w:highlight w:val="none"/>
        </w:rPr>
        <w:t>（</w:t>
      </w:r>
      <w:r>
        <w:rPr>
          <w:rFonts w:ascii="Times New Roman" w:hAnsi="Times New Roman" w:eastAsia="Times New Roman" w:cs="Times New Roman"/>
          <w:color w:val="auto"/>
          <w:spacing w:val="-2"/>
          <w:sz w:val="21"/>
          <w:szCs w:val="21"/>
          <w:highlight w:val="none"/>
        </w:rPr>
        <w:t>11</w:t>
      </w:r>
      <w:r>
        <w:rPr>
          <w:color w:val="auto"/>
          <w:spacing w:val="-2"/>
          <w:sz w:val="21"/>
          <w:szCs w:val="21"/>
          <w:highlight w:val="none"/>
        </w:rPr>
        <w:t>）被依法暂停或者取消投标资格；</w:t>
      </w:r>
    </w:p>
    <w:p>
      <w:pPr>
        <w:pStyle w:val="13"/>
        <w:spacing w:before="132" w:line="234" w:lineRule="auto"/>
        <w:ind w:left="427"/>
        <w:rPr>
          <w:color w:val="auto"/>
          <w:sz w:val="21"/>
          <w:szCs w:val="21"/>
          <w:highlight w:val="none"/>
        </w:rPr>
      </w:pPr>
      <w:r>
        <w:rPr>
          <w:color w:val="auto"/>
          <w:sz w:val="21"/>
          <w:szCs w:val="21"/>
          <w:highlight w:val="none"/>
        </w:rPr>
        <w:t>（</w:t>
      </w:r>
      <w:r>
        <w:rPr>
          <w:rFonts w:ascii="Times New Roman" w:hAnsi="Times New Roman" w:eastAsia="Times New Roman" w:cs="Times New Roman"/>
          <w:color w:val="auto"/>
          <w:sz w:val="21"/>
          <w:szCs w:val="21"/>
          <w:highlight w:val="none"/>
        </w:rPr>
        <w:t>12</w:t>
      </w:r>
      <w:r>
        <w:rPr>
          <w:color w:val="auto"/>
          <w:sz w:val="21"/>
          <w:szCs w:val="21"/>
          <w:highlight w:val="none"/>
        </w:rPr>
        <w:t>）被责令停产停业、暂扣或者吊销许可证、</w:t>
      </w:r>
      <w:r>
        <w:rPr>
          <w:color w:val="auto"/>
          <w:spacing w:val="-1"/>
          <w:sz w:val="21"/>
          <w:szCs w:val="21"/>
          <w:highlight w:val="none"/>
        </w:rPr>
        <w:t>暂扣或者吊销执照；</w:t>
      </w:r>
    </w:p>
    <w:p>
      <w:pPr>
        <w:pStyle w:val="13"/>
        <w:spacing w:before="135" w:line="233" w:lineRule="auto"/>
        <w:ind w:left="427"/>
        <w:rPr>
          <w:color w:val="auto"/>
          <w:sz w:val="21"/>
          <w:szCs w:val="21"/>
          <w:highlight w:val="none"/>
        </w:rPr>
      </w:pPr>
      <w:r>
        <w:rPr>
          <w:color w:val="auto"/>
          <w:sz w:val="21"/>
          <w:szCs w:val="21"/>
          <w:highlight w:val="none"/>
        </w:rPr>
        <w:t>（</w:t>
      </w:r>
      <w:r>
        <w:rPr>
          <w:rFonts w:ascii="Times New Roman" w:hAnsi="Times New Roman" w:eastAsia="Times New Roman" w:cs="Times New Roman"/>
          <w:color w:val="auto"/>
          <w:sz w:val="21"/>
          <w:szCs w:val="21"/>
          <w:highlight w:val="none"/>
        </w:rPr>
        <w:t>13</w:t>
      </w:r>
      <w:r>
        <w:rPr>
          <w:color w:val="auto"/>
          <w:sz w:val="21"/>
          <w:szCs w:val="21"/>
          <w:highlight w:val="none"/>
        </w:rPr>
        <w:t>）进入清算程序，或被宣告破产，或其他丧</w:t>
      </w:r>
      <w:r>
        <w:rPr>
          <w:color w:val="auto"/>
          <w:spacing w:val="-1"/>
          <w:sz w:val="21"/>
          <w:szCs w:val="21"/>
          <w:highlight w:val="none"/>
        </w:rPr>
        <w:t>失履约能力的情形；</w:t>
      </w:r>
    </w:p>
    <w:p>
      <w:pPr>
        <w:pStyle w:val="13"/>
        <w:spacing w:before="137" w:line="285" w:lineRule="auto"/>
        <w:ind w:right="1" w:firstLine="427"/>
        <w:rPr>
          <w:color w:val="auto"/>
          <w:sz w:val="21"/>
          <w:szCs w:val="21"/>
          <w:highlight w:val="none"/>
        </w:rPr>
      </w:pPr>
      <w:r>
        <w:rPr>
          <w:color w:val="auto"/>
          <w:sz w:val="21"/>
          <w:szCs w:val="21"/>
          <w:highlight w:val="none"/>
        </w:rPr>
        <w:t>（</w:t>
      </w:r>
      <w:r>
        <w:rPr>
          <w:rFonts w:ascii="Times New Roman" w:hAnsi="Times New Roman" w:eastAsia="Times New Roman" w:cs="Times New Roman"/>
          <w:color w:val="auto"/>
          <w:sz w:val="21"/>
          <w:szCs w:val="21"/>
          <w:highlight w:val="none"/>
        </w:rPr>
        <w:t>14</w:t>
      </w:r>
      <w:r>
        <w:rPr>
          <w:color w:val="auto"/>
          <w:sz w:val="21"/>
          <w:szCs w:val="21"/>
          <w:highlight w:val="none"/>
        </w:rPr>
        <w:t>）在最近三年内发生重大产品质量问题（以相关行业主管部门的行政处罚决定或司法</w:t>
      </w:r>
      <w:r>
        <w:rPr>
          <w:color w:val="auto"/>
          <w:spacing w:val="-1"/>
          <w:sz w:val="21"/>
          <w:szCs w:val="21"/>
          <w:highlight w:val="none"/>
        </w:rPr>
        <w:t>机关出具的有关法律文书为准</w:t>
      </w:r>
      <w:r>
        <w:rPr>
          <w:color w:val="auto"/>
          <w:spacing w:val="-55"/>
          <w:sz w:val="21"/>
          <w:szCs w:val="21"/>
          <w:highlight w:val="none"/>
        </w:rPr>
        <w:t>）；</w:t>
      </w:r>
    </w:p>
    <w:p>
      <w:pPr>
        <w:pStyle w:val="13"/>
        <w:spacing w:before="150" w:line="234" w:lineRule="auto"/>
        <w:ind w:right="27"/>
        <w:jc w:val="right"/>
        <w:rPr>
          <w:color w:val="auto"/>
          <w:sz w:val="21"/>
          <w:szCs w:val="21"/>
          <w:highlight w:val="none"/>
        </w:rPr>
      </w:pPr>
      <w:r>
        <w:rPr>
          <w:color w:val="auto"/>
          <w:sz w:val="21"/>
          <w:szCs w:val="21"/>
          <w:highlight w:val="none"/>
        </w:rPr>
        <w:t>（</w:t>
      </w:r>
      <w:r>
        <w:rPr>
          <w:rFonts w:ascii="Times New Roman" w:hAnsi="Times New Roman" w:eastAsia="Times New Roman" w:cs="Times New Roman"/>
          <w:color w:val="auto"/>
          <w:sz w:val="21"/>
          <w:szCs w:val="21"/>
          <w:highlight w:val="none"/>
        </w:rPr>
        <w:t>15</w:t>
      </w:r>
      <w:r>
        <w:rPr>
          <w:color w:val="auto"/>
          <w:sz w:val="21"/>
          <w:szCs w:val="21"/>
          <w:highlight w:val="none"/>
        </w:rPr>
        <w:t>）被工商行政管理机关在全国企业信用信息公示系统中列入严重违</w:t>
      </w:r>
      <w:r>
        <w:rPr>
          <w:color w:val="auto"/>
          <w:spacing w:val="-1"/>
          <w:sz w:val="21"/>
          <w:szCs w:val="21"/>
          <w:highlight w:val="none"/>
        </w:rPr>
        <w:t>法失信企业名单；</w:t>
      </w:r>
    </w:p>
    <w:p>
      <w:pPr>
        <w:pStyle w:val="13"/>
        <w:spacing w:before="136" w:line="285" w:lineRule="auto"/>
        <w:ind w:left="17" w:right="9" w:firstLine="409"/>
        <w:rPr>
          <w:color w:val="auto"/>
          <w:spacing w:val="-2"/>
          <w:sz w:val="21"/>
          <w:szCs w:val="21"/>
          <w:highlight w:val="none"/>
        </w:rPr>
      </w:pPr>
      <w:r>
        <w:rPr>
          <w:color w:val="auto"/>
          <w:spacing w:val="-2"/>
          <w:sz w:val="21"/>
          <w:szCs w:val="21"/>
          <w:highlight w:val="none"/>
        </w:rPr>
        <w:t>（</w:t>
      </w:r>
      <w:r>
        <w:rPr>
          <w:rFonts w:ascii="Times New Roman" w:hAnsi="Times New Roman" w:eastAsia="Times New Roman" w:cs="Times New Roman"/>
          <w:color w:val="auto"/>
          <w:spacing w:val="-2"/>
          <w:sz w:val="21"/>
          <w:szCs w:val="21"/>
          <w:highlight w:val="none"/>
        </w:rPr>
        <w:t>16</w:t>
      </w:r>
      <w:r>
        <w:rPr>
          <w:color w:val="auto"/>
          <w:spacing w:val="-2"/>
          <w:sz w:val="21"/>
          <w:szCs w:val="21"/>
          <w:highlight w:val="none"/>
        </w:rPr>
        <w:t>）被最高人民法院在</w:t>
      </w:r>
      <w:r>
        <w:rPr>
          <w:rFonts w:ascii="Times New Roman" w:hAnsi="Times New Roman" w:eastAsia="Times New Roman" w:cs="Times New Roman"/>
          <w:color w:val="auto"/>
          <w:spacing w:val="-2"/>
          <w:sz w:val="21"/>
          <w:szCs w:val="21"/>
          <w:highlight w:val="none"/>
        </w:rPr>
        <w:t>“</w:t>
      </w:r>
      <w:r>
        <w:rPr>
          <w:color w:val="auto"/>
          <w:spacing w:val="-2"/>
          <w:sz w:val="21"/>
          <w:szCs w:val="21"/>
          <w:highlight w:val="none"/>
        </w:rPr>
        <w:t>信用中国</w:t>
      </w:r>
      <w:r>
        <w:rPr>
          <w:rFonts w:ascii="Times New Roman" w:hAnsi="Times New Roman" w:eastAsia="Times New Roman" w:cs="Times New Roman"/>
          <w:color w:val="auto"/>
          <w:spacing w:val="-2"/>
          <w:sz w:val="21"/>
          <w:szCs w:val="21"/>
          <w:highlight w:val="none"/>
        </w:rPr>
        <w:t>”</w:t>
      </w:r>
      <w:r>
        <w:rPr>
          <w:color w:val="auto"/>
          <w:spacing w:val="-2"/>
          <w:sz w:val="21"/>
          <w:szCs w:val="21"/>
          <w:highlight w:val="none"/>
        </w:rPr>
        <w:t>网站（</w:t>
      </w:r>
      <w:r>
        <w:rPr>
          <w:color w:val="auto"/>
          <w:highlight w:val="none"/>
        </w:rPr>
        <w:fldChar w:fldCharType="begin"/>
      </w:r>
      <w:r>
        <w:rPr>
          <w:color w:val="auto"/>
          <w:highlight w:val="none"/>
        </w:rPr>
        <w:instrText xml:space="preserve"> HYPERLINK "https://www.creditchina.gov.cn" </w:instrText>
      </w:r>
      <w:r>
        <w:rPr>
          <w:color w:val="auto"/>
          <w:highlight w:val="none"/>
        </w:rPr>
        <w:fldChar w:fldCharType="separate"/>
      </w:r>
      <w:r>
        <w:rPr>
          <w:rFonts w:ascii="Times New Roman" w:hAnsi="Times New Roman" w:eastAsia="Times New Roman" w:cs="Times New Roman"/>
          <w:color w:val="auto"/>
          <w:spacing w:val="-2"/>
          <w:sz w:val="21"/>
          <w:szCs w:val="21"/>
          <w:highlight w:val="none"/>
        </w:rPr>
        <w:t>www.cr</w:t>
      </w:r>
      <w:r>
        <w:rPr>
          <w:rFonts w:ascii="Times New Roman" w:hAnsi="Times New Roman" w:eastAsia="Times New Roman" w:cs="Times New Roman"/>
          <w:color w:val="auto"/>
          <w:spacing w:val="-3"/>
          <w:sz w:val="21"/>
          <w:szCs w:val="21"/>
          <w:highlight w:val="none"/>
        </w:rPr>
        <w:t>editchina.gov.cn</w:t>
      </w:r>
      <w:r>
        <w:rPr>
          <w:rFonts w:ascii="Times New Roman" w:hAnsi="Times New Roman" w:eastAsia="Times New Roman" w:cs="Times New Roman"/>
          <w:color w:val="auto"/>
          <w:spacing w:val="-3"/>
          <w:sz w:val="21"/>
          <w:szCs w:val="21"/>
          <w:highlight w:val="none"/>
        </w:rPr>
        <w:fldChar w:fldCharType="end"/>
      </w:r>
      <w:r>
        <w:rPr>
          <w:color w:val="auto"/>
          <w:spacing w:val="-3"/>
          <w:sz w:val="21"/>
          <w:szCs w:val="21"/>
          <w:highlight w:val="none"/>
        </w:rPr>
        <w:t>）或各级信用信息共享平</w:t>
      </w:r>
      <w:r>
        <w:rPr>
          <w:color w:val="auto"/>
          <w:spacing w:val="-2"/>
          <w:sz w:val="21"/>
          <w:szCs w:val="21"/>
          <w:highlight w:val="none"/>
        </w:rPr>
        <w:t>台中列入失信被执行人名单；</w:t>
      </w:r>
    </w:p>
    <w:p>
      <w:pPr>
        <w:pStyle w:val="13"/>
        <w:spacing w:before="136" w:line="285" w:lineRule="auto"/>
        <w:ind w:left="17" w:right="9" w:firstLine="409"/>
        <w:rPr>
          <w:color w:val="auto"/>
          <w:spacing w:val="-54"/>
          <w:sz w:val="21"/>
          <w:szCs w:val="21"/>
          <w:highlight w:val="none"/>
        </w:rPr>
      </w:pPr>
      <w:r>
        <w:rPr>
          <w:color w:val="auto"/>
          <w:sz w:val="21"/>
          <w:szCs w:val="21"/>
          <w:highlight w:val="none"/>
        </w:rPr>
        <w:t>（</w:t>
      </w:r>
      <w:r>
        <w:rPr>
          <w:rFonts w:ascii="Times New Roman" w:hAnsi="Times New Roman" w:eastAsia="Times New Roman" w:cs="Times New Roman"/>
          <w:color w:val="auto"/>
          <w:sz w:val="21"/>
          <w:szCs w:val="21"/>
          <w:highlight w:val="none"/>
        </w:rPr>
        <w:t>17</w:t>
      </w:r>
      <w:r>
        <w:rPr>
          <w:color w:val="auto"/>
          <w:sz w:val="21"/>
          <w:szCs w:val="21"/>
          <w:highlight w:val="none"/>
        </w:rPr>
        <w:t>）在近三年内投标人或其法定代表人、拟委任的项目负责人有行贿犯罪行为的</w:t>
      </w:r>
      <w:r>
        <w:rPr>
          <w:strike/>
          <w:dstrike w:val="0"/>
          <w:color w:val="auto"/>
          <w:sz w:val="21"/>
          <w:szCs w:val="21"/>
          <w:highlight w:val="none"/>
        </w:rPr>
        <w:t>（以检</w:t>
      </w:r>
      <w:r>
        <w:rPr>
          <w:strike/>
          <w:dstrike w:val="0"/>
          <w:color w:val="auto"/>
          <w:spacing w:val="-1"/>
          <w:sz w:val="21"/>
          <w:szCs w:val="21"/>
          <w:highlight w:val="none"/>
        </w:rPr>
        <w:t>察机关职务犯罪预防部门出具的查询结果为准</w:t>
      </w:r>
      <w:r>
        <w:rPr>
          <w:strike/>
          <w:dstrike w:val="0"/>
          <w:color w:val="auto"/>
          <w:spacing w:val="-54"/>
          <w:sz w:val="21"/>
          <w:szCs w:val="21"/>
          <w:highlight w:val="none"/>
        </w:rPr>
        <w:t>）</w:t>
      </w:r>
      <w:r>
        <w:rPr>
          <w:color w:val="auto"/>
          <w:spacing w:val="-54"/>
          <w:sz w:val="21"/>
          <w:szCs w:val="21"/>
          <w:highlight w:val="none"/>
        </w:rPr>
        <w:t>；</w:t>
      </w:r>
    </w:p>
    <w:p>
      <w:pPr>
        <w:pStyle w:val="13"/>
        <w:spacing w:before="136" w:line="285" w:lineRule="auto"/>
        <w:ind w:left="17" w:right="9" w:firstLine="409"/>
        <w:rPr>
          <w:color w:val="auto"/>
          <w:spacing w:val="-1"/>
          <w:sz w:val="21"/>
          <w:szCs w:val="21"/>
          <w:highlight w:val="none"/>
        </w:rPr>
      </w:pPr>
      <w:r>
        <w:rPr>
          <w:color w:val="auto"/>
          <w:spacing w:val="-1"/>
          <w:sz w:val="21"/>
          <w:szCs w:val="21"/>
          <w:highlight w:val="none"/>
        </w:rPr>
        <w:t>（</w:t>
      </w:r>
      <w:r>
        <w:rPr>
          <w:rFonts w:ascii="Times New Roman" w:hAnsi="Times New Roman" w:eastAsia="Times New Roman" w:cs="Times New Roman"/>
          <w:color w:val="auto"/>
          <w:spacing w:val="-1"/>
          <w:sz w:val="21"/>
          <w:szCs w:val="21"/>
          <w:highlight w:val="none"/>
        </w:rPr>
        <w:t>18</w:t>
      </w:r>
      <w:r>
        <w:rPr>
          <w:color w:val="auto"/>
          <w:spacing w:val="-1"/>
          <w:sz w:val="21"/>
          <w:szCs w:val="21"/>
          <w:highlight w:val="none"/>
        </w:rPr>
        <w:t>）法律法规或投标人须知前附表规定的其他情形。</w:t>
      </w:r>
      <w:bookmarkStart w:id="16" w:name="bookmark27"/>
      <w:bookmarkEnd w:id="16"/>
      <w:bookmarkStart w:id="17" w:name="bookmark26"/>
      <w:bookmarkEnd w:id="17"/>
    </w:p>
    <w:p>
      <w:pPr>
        <w:spacing w:before="308" w:line="232" w:lineRule="auto"/>
        <w:ind w:left="161"/>
        <w:outlineLvl w:val="2"/>
        <w:rPr>
          <w:rFonts w:ascii="黑体" w:hAnsi="黑体" w:eastAsia="黑体" w:cs="黑体"/>
          <w:color w:val="auto"/>
          <w:spacing w:val="-7"/>
          <w:sz w:val="28"/>
          <w:szCs w:val="28"/>
          <w:highlight w:val="none"/>
        </w:rPr>
      </w:pPr>
      <w:r>
        <w:rPr>
          <w:rFonts w:ascii="黑体" w:hAnsi="黑体" w:eastAsia="黑体" w:cs="黑体"/>
          <w:color w:val="auto"/>
          <w:spacing w:val="-7"/>
          <w:sz w:val="28"/>
          <w:szCs w:val="28"/>
          <w:highlight w:val="none"/>
        </w:rPr>
        <w:t>1.5  费用承担</w:t>
      </w:r>
    </w:p>
    <w:p>
      <w:pPr>
        <w:spacing w:line="297" w:lineRule="auto"/>
        <w:rPr>
          <w:rFonts w:ascii="Arial"/>
          <w:color w:val="auto"/>
          <w:sz w:val="21"/>
          <w:highlight w:val="none"/>
        </w:rPr>
      </w:pPr>
    </w:p>
    <w:p>
      <w:pPr>
        <w:pStyle w:val="13"/>
        <w:spacing w:before="68" w:line="221" w:lineRule="auto"/>
        <w:ind w:left="422"/>
        <w:rPr>
          <w:color w:val="auto"/>
          <w:sz w:val="21"/>
          <w:szCs w:val="21"/>
          <w:highlight w:val="none"/>
        </w:rPr>
      </w:pPr>
      <w:r>
        <w:rPr>
          <w:color w:val="auto"/>
          <w:spacing w:val="-2"/>
          <w:sz w:val="21"/>
          <w:szCs w:val="21"/>
          <w:highlight w:val="none"/>
        </w:rPr>
        <w:t>投标人准备和参加投标活动发生的费用自理。</w:t>
      </w:r>
    </w:p>
    <w:p>
      <w:pPr>
        <w:spacing w:before="308" w:line="232" w:lineRule="auto"/>
        <w:ind w:left="161"/>
        <w:outlineLvl w:val="2"/>
        <w:rPr>
          <w:rFonts w:ascii="黑体" w:hAnsi="黑体" w:eastAsia="黑体" w:cs="黑体"/>
          <w:color w:val="auto"/>
          <w:sz w:val="28"/>
          <w:szCs w:val="28"/>
          <w:highlight w:val="none"/>
        </w:rPr>
      </w:pPr>
      <w:bookmarkStart w:id="18" w:name="bookmark179"/>
      <w:bookmarkEnd w:id="18"/>
      <w:r>
        <w:rPr>
          <w:rFonts w:ascii="Times New Roman" w:hAnsi="Times New Roman" w:eastAsia="Times New Roman" w:cs="Times New Roman"/>
          <w:color w:val="auto"/>
          <w:spacing w:val="-7"/>
          <w:sz w:val="28"/>
          <w:szCs w:val="28"/>
          <w:highlight w:val="none"/>
        </w:rPr>
        <w:t>1.6</w:t>
      </w:r>
      <w:r>
        <w:rPr>
          <w:rFonts w:ascii="Times New Roman" w:hAnsi="Times New Roman" w:eastAsia="Times New Roman" w:cs="Times New Roman"/>
          <w:color w:val="auto"/>
          <w:spacing w:val="6"/>
          <w:sz w:val="28"/>
          <w:szCs w:val="28"/>
          <w:highlight w:val="none"/>
        </w:rPr>
        <w:t xml:space="preserve"> </w:t>
      </w:r>
      <w:r>
        <w:rPr>
          <w:rFonts w:ascii="黑体" w:hAnsi="黑体" w:eastAsia="黑体" w:cs="黑体"/>
          <w:color w:val="auto"/>
          <w:spacing w:val="-7"/>
          <w:sz w:val="28"/>
          <w:szCs w:val="28"/>
          <w:highlight w:val="none"/>
        </w:rPr>
        <w:t>保密</w:t>
      </w:r>
    </w:p>
    <w:p>
      <w:pPr>
        <w:spacing w:line="300" w:lineRule="auto"/>
        <w:rPr>
          <w:rFonts w:ascii="Arial"/>
          <w:color w:val="auto"/>
          <w:sz w:val="21"/>
          <w:highlight w:val="none"/>
        </w:rPr>
      </w:pPr>
    </w:p>
    <w:p>
      <w:pPr>
        <w:pStyle w:val="13"/>
        <w:spacing w:before="68" w:line="354" w:lineRule="auto"/>
        <w:ind w:right="62" w:firstLine="420"/>
        <w:rPr>
          <w:color w:val="auto"/>
          <w:sz w:val="21"/>
          <w:szCs w:val="21"/>
          <w:highlight w:val="none"/>
        </w:rPr>
      </w:pPr>
      <w:r>
        <w:rPr>
          <w:color w:val="auto"/>
          <w:spacing w:val="1"/>
          <w:sz w:val="21"/>
          <w:szCs w:val="21"/>
          <w:highlight w:val="none"/>
        </w:rPr>
        <w:t>参与招标投标活动的各方应对招标文件和投标文</w:t>
      </w:r>
      <w:r>
        <w:rPr>
          <w:color w:val="auto"/>
          <w:sz w:val="21"/>
          <w:szCs w:val="21"/>
          <w:highlight w:val="none"/>
        </w:rPr>
        <w:t xml:space="preserve">件中的商业和技术等秘密保密，否则应承 </w:t>
      </w:r>
      <w:r>
        <w:rPr>
          <w:color w:val="auto"/>
          <w:spacing w:val="-3"/>
          <w:sz w:val="21"/>
          <w:szCs w:val="21"/>
          <w:highlight w:val="none"/>
        </w:rPr>
        <w:t>担相应的法律责任。</w:t>
      </w:r>
    </w:p>
    <w:p>
      <w:pPr>
        <w:spacing w:before="157" w:line="233" w:lineRule="auto"/>
        <w:ind w:left="161"/>
        <w:outlineLvl w:val="2"/>
        <w:rPr>
          <w:rFonts w:ascii="黑体" w:hAnsi="黑体" w:eastAsia="黑体" w:cs="黑体"/>
          <w:color w:val="auto"/>
          <w:sz w:val="28"/>
          <w:szCs w:val="28"/>
          <w:highlight w:val="none"/>
        </w:rPr>
      </w:pPr>
      <w:bookmarkStart w:id="19" w:name="bookmark28"/>
      <w:bookmarkEnd w:id="19"/>
      <w:r>
        <w:rPr>
          <w:rFonts w:ascii="Times New Roman" w:hAnsi="Times New Roman" w:eastAsia="Times New Roman" w:cs="Times New Roman"/>
          <w:color w:val="auto"/>
          <w:spacing w:val="-4"/>
          <w:sz w:val="28"/>
          <w:szCs w:val="28"/>
          <w:highlight w:val="none"/>
        </w:rPr>
        <w:t xml:space="preserve">1.7  </w:t>
      </w:r>
      <w:r>
        <w:rPr>
          <w:rFonts w:ascii="黑体" w:hAnsi="黑体" w:eastAsia="黑体" w:cs="黑体"/>
          <w:color w:val="auto"/>
          <w:spacing w:val="-4"/>
          <w:sz w:val="28"/>
          <w:szCs w:val="28"/>
          <w:highlight w:val="none"/>
        </w:rPr>
        <w:t>语言文字</w:t>
      </w:r>
    </w:p>
    <w:p>
      <w:pPr>
        <w:spacing w:line="298" w:lineRule="auto"/>
        <w:rPr>
          <w:rFonts w:ascii="Arial"/>
          <w:color w:val="auto"/>
          <w:sz w:val="21"/>
          <w:highlight w:val="none"/>
        </w:rPr>
      </w:pPr>
    </w:p>
    <w:p>
      <w:pPr>
        <w:pStyle w:val="13"/>
        <w:spacing w:before="69" w:line="220" w:lineRule="auto"/>
        <w:ind w:left="420"/>
        <w:rPr>
          <w:color w:val="auto"/>
          <w:sz w:val="21"/>
          <w:szCs w:val="21"/>
          <w:highlight w:val="none"/>
        </w:rPr>
      </w:pPr>
      <w:r>
        <w:rPr>
          <w:color w:val="auto"/>
          <w:spacing w:val="-1"/>
          <w:sz w:val="21"/>
          <w:szCs w:val="21"/>
          <w:highlight w:val="none"/>
        </w:rPr>
        <w:t>招标投标文件使用的语言文字为中文。专用术语使用外文的，应附有中文注释。</w:t>
      </w:r>
    </w:p>
    <w:p>
      <w:pPr>
        <w:spacing w:before="309" w:line="234" w:lineRule="auto"/>
        <w:ind w:left="161"/>
        <w:outlineLvl w:val="2"/>
        <w:rPr>
          <w:rFonts w:ascii="黑体" w:hAnsi="黑体" w:eastAsia="黑体" w:cs="黑体"/>
          <w:color w:val="auto"/>
          <w:sz w:val="28"/>
          <w:szCs w:val="28"/>
          <w:highlight w:val="none"/>
        </w:rPr>
      </w:pPr>
      <w:bookmarkStart w:id="20" w:name="bookmark29"/>
      <w:bookmarkEnd w:id="20"/>
      <w:r>
        <w:rPr>
          <w:rFonts w:ascii="Times New Roman" w:hAnsi="Times New Roman" w:eastAsia="Times New Roman" w:cs="Times New Roman"/>
          <w:color w:val="auto"/>
          <w:spacing w:val="-4"/>
          <w:sz w:val="28"/>
          <w:szCs w:val="28"/>
          <w:highlight w:val="none"/>
        </w:rPr>
        <w:t xml:space="preserve">1.8 </w:t>
      </w:r>
      <w:r>
        <w:rPr>
          <w:rFonts w:ascii="黑体" w:hAnsi="黑体" w:eastAsia="黑体" w:cs="黑体"/>
          <w:color w:val="auto"/>
          <w:spacing w:val="-4"/>
          <w:sz w:val="28"/>
          <w:szCs w:val="28"/>
          <w:highlight w:val="none"/>
        </w:rPr>
        <w:t>计量单位</w:t>
      </w:r>
    </w:p>
    <w:p>
      <w:pPr>
        <w:spacing w:line="297" w:lineRule="auto"/>
        <w:rPr>
          <w:rFonts w:ascii="Arial"/>
          <w:color w:val="auto"/>
          <w:sz w:val="21"/>
          <w:highlight w:val="none"/>
        </w:rPr>
      </w:pPr>
    </w:p>
    <w:p>
      <w:pPr>
        <w:pStyle w:val="13"/>
        <w:spacing w:before="68" w:line="220" w:lineRule="auto"/>
        <w:ind w:left="419"/>
        <w:rPr>
          <w:color w:val="auto"/>
          <w:sz w:val="21"/>
          <w:szCs w:val="21"/>
          <w:highlight w:val="none"/>
        </w:rPr>
      </w:pPr>
      <w:r>
        <w:rPr>
          <w:color w:val="auto"/>
          <w:spacing w:val="-1"/>
          <w:sz w:val="21"/>
          <w:szCs w:val="21"/>
          <w:highlight w:val="none"/>
        </w:rPr>
        <w:t>所有计量均采用中华人民共和国法定计量单位。</w:t>
      </w:r>
    </w:p>
    <w:p>
      <w:pPr>
        <w:spacing w:before="312" w:line="233" w:lineRule="auto"/>
        <w:ind w:left="161"/>
        <w:outlineLvl w:val="2"/>
        <w:rPr>
          <w:rFonts w:ascii="黑体" w:hAnsi="黑体" w:eastAsia="黑体" w:cs="黑体"/>
          <w:color w:val="auto"/>
          <w:sz w:val="28"/>
          <w:szCs w:val="28"/>
          <w:highlight w:val="none"/>
        </w:rPr>
      </w:pPr>
      <w:bookmarkStart w:id="21" w:name="bookmark30"/>
      <w:bookmarkEnd w:id="21"/>
      <w:r>
        <w:rPr>
          <w:rFonts w:ascii="Times New Roman" w:hAnsi="Times New Roman" w:eastAsia="Times New Roman" w:cs="Times New Roman"/>
          <w:color w:val="auto"/>
          <w:spacing w:val="-4"/>
          <w:sz w:val="28"/>
          <w:szCs w:val="28"/>
          <w:highlight w:val="none"/>
        </w:rPr>
        <w:t xml:space="preserve">1.9 </w:t>
      </w:r>
      <w:r>
        <w:rPr>
          <w:rFonts w:ascii="黑体" w:hAnsi="黑体" w:eastAsia="黑体" w:cs="黑体"/>
          <w:color w:val="auto"/>
          <w:spacing w:val="-4"/>
          <w:sz w:val="28"/>
          <w:szCs w:val="28"/>
          <w:highlight w:val="none"/>
        </w:rPr>
        <w:t>投标预备会</w:t>
      </w:r>
    </w:p>
    <w:p>
      <w:pPr>
        <w:spacing w:line="299" w:lineRule="auto"/>
        <w:rPr>
          <w:rFonts w:ascii="Arial"/>
          <w:color w:val="auto"/>
          <w:sz w:val="21"/>
          <w:highlight w:val="none"/>
        </w:rPr>
      </w:pPr>
    </w:p>
    <w:p>
      <w:pPr>
        <w:pStyle w:val="13"/>
        <w:spacing w:before="69" w:line="286" w:lineRule="auto"/>
        <w:ind w:right="59" w:firstLine="436"/>
        <w:rPr>
          <w:color w:val="auto"/>
          <w:sz w:val="21"/>
          <w:szCs w:val="21"/>
          <w:highlight w:val="none"/>
        </w:rPr>
      </w:pPr>
      <w:r>
        <w:rPr>
          <w:rFonts w:ascii="Times New Roman" w:hAnsi="Times New Roman" w:eastAsia="Times New Roman" w:cs="Times New Roman"/>
          <w:color w:val="auto"/>
          <w:spacing w:val="-2"/>
          <w:sz w:val="21"/>
          <w:szCs w:val="21"/>
          <w:highlight w:val="none"/>
        </w:rPr>
        <w:t xml:space="preserve">1.9.1  </w:t>
      </w:r>
      <w:r>
        <w:rPr>
          <w:color w:val="auto"/>
          <w:spacing w:val="-2"/>
          <w:sz w:val="21"/>
          <w:szCs w:val="21"/>
          <w:highlight w:val="none"/>
        </w:rPr>
        <w:t>投标人须知前附表规定召开投标预备会的，招标人按投标人须知前附</w:t>
      </w:r>
      <w:r>
        <w:rPr>
          <w:color w:val="auto"/>
          <w:spacing w:val="-3"/>
          <w:sz w:val="21"/>
          <w:szCs w:val="21"/>
          <w:highlight w:val="none"/>
        </w:rPr>
        <w:t>表规定的时间和</w:t>
      </w:r>
      <w:r>
        <w:rPr>
          <w:color w:val="auto"/>
          <w:sz w:val="21"/>
          <w:szCs w:val="21"/>
          <w:highlight w:val="none"/>
        </w:rPr>
        <w:t xml:space="preserve"> </w:t>
      </w:r>
      <w:r>
        <w:rPr>
          <w:color w:val="auto"/>
          <w:spacing w:val="-1"/>
          <w:sz w:val="21"/>
          <w:szCs w:val="21"/>
          <w:highlight w:val="none"/>
        </w:rPr>
        <w:t>地点召开投标预备会，澄清投标人提出的问题。</w:t>
      </w:r>
    </w:p>
    <w:p>
      <w:pPr>
        <w:pStyle w:val="13"/>
        <w:spacing w:before="148" w:line="286" w:lineRule="auto"/>
        <w:ind w:left="1" w:right="59" w:firstLine="434"/>
        <w:rPr>
          <w:color w:val="auto"/>
          <w:sz w:val="21"/>
          <w:szCs w:val="21"/>
          <w:highlight w:val="none"/>
        </w:rPr>
      </w:pPr>
      <w:r>
        <w:rPr>
          <w:rFonts w:ascii="Times New Roman" w:hAnsi="Times New Roman" w:eastAsia="Times New Roman" w:cs="Times New Roman"/>
          <w:color w:val="auto"/>
          <w:spacing w:val="-2"/>
          <w:sz w:val="21"/>
          <w:szCs w:val="21"/>
          <w:highlight w:val="none"/>
        </w:rPr>
        <w:t xml:space="preserve">1.9.2  </w:t>
      </w:r>
      <w:r>
        <w:rPr>
          <w:color w:val="auto"/>
          <w:spacing w:val="-2"/>
          <w:sz w:val="21"/>
          <w:szCs w:val="21"/>
          <w:highlight w:val="none"/>
        </w:rPr>
        <w:t>投标人应按投标人须知前附表规定的时间和形式将提出的问题送达招</w:t>
      </w:r>
      <w:r>
        <w:rPr>
          <w:color w:val="auto"/>
          <w:spacing w:val="-3"/>
          <w:sz w:val="21"/>
          <w:szCs w:val="21"/>
          <w:highlight w:val="none"/>
        </w:rPr>
        <w:t>标人，以便招标</w:t>
      </w:r>
      <w:r>
        <w:rPr>
          <w:color w:val="auto"/>
          <w:sz w:val="21"/>
          <w:szCs w:val="21"/>
          <w:highlight w:val="none"/>
        </w:rPr>
        <w:t xml:space="preserve"> </w:t>
      </w:r>
      <w:r>
        <w:rPr>
          <w:color w:val="auto"/>
          <w:spacing w:val="-3"/>
          <w:sz w:val="21"/>
          <w:szCs w:val="21"/>
          <w:highlight w:val="none"/>
        </w:rPr>
        <w:t>人在会议期间澄清。</w:t>
      </w:r>
    </w:p>
    <w:p>
      <w:pPr>
        <w:pStyle w:val="13"/>
        <w:spacing w:before="152" w:line="285" w:lineRule="auto"/>
        <w:ind w:right="59" w:firstLine="436"/>
        <w:rPr>
          <w:color w:val="auto"/>
          <w:sz w:val="21"/>
          <w:szCs w:val="21"/>
          <w:highlight w:val="none"/>
        </w:rPr>
      </w:pPr>
      <w:r>
        <w:rPr>
          <w:rFonts w:ascii="Times New Roman" w:hAnsi="Times New Roman" w:eastAsia="Times New Roman" w:cs="Times New Roman"/>
          <w:color w:val="auto"/>
          <w:spacing w:val="-2"/>
          <w:sz w:val="21"/>
          <w:szCs w:val="21"/>
          <w:highlight w:val="none"/>
        </w:rPr>
        <w:t xml:space="preserve">1.9.3  </w:t>
      </w:r>
      <w:r>
        <w:rPr>
          <w:color w:val="auto"/>
          <w:spacing w:val="-2"/>
          <w:sz w:val="21"/>
          <w:szCs w:val="21"/>
          <w:highlight w:val="none"/>
        </w:rPr>
        <w:t>投标预备会后，招标人将对投标人所提问题的澄清，以投标人须知前</w:t>
      </w:r>
      <w:r>
        <w:rPr>
          <w:color w:val="auto"/>
          <w:spacing w:val="-3"/>
          <w:sz w:val="21"/>
          <w:szCs w:val="21"/>
          <w:highlight w:val="none"/>
        </w:rPr>
        <w:t>附表规定的形式</w:t>
      </w:r>
      <w:r>
        <w:rPr>
          <w:color w:val="auto"/>
          <w:sz w:val="21"/>
          <w:szCs w:val="21"/>
          <w:highlight w:val="none"/>
        </w:rPr>
        <w:t xml:space="preserve"> </w:t>
      </w:r>
      <w:r>
        <w:rPr>
          <w:color w:val="auto"/>
          <w:spacing w:val="-1"/>
          <w:sz w:val="21"/>
          <w:szCs w:val="21"/>
          <w:highlight w:val="none"/>
        </w:rPr>
        <w:t>通知所有购买招标文件的投标人。该澄清内容为招标文件的组成部分。</w:t>
      </w:r>
    </w:p>
    <w:p>
      <w:pPr>
        <w:spacing w:before="311" w:line="234" w:lineRule="auto"/>
        <w:ind w:left="161"/>
        <w:outlineLvl w:val="2"/>
        <w:rPr>
          <w:rFonts w:ascii="黑体" w:hAnsi="黑体" w:eastAsia="黑体" w:cs="黑体"/>
          <w:color w:val="auto"/>
          <w:sz w:val="28"/>
          <w:szCs w:val="28"/>
          <w:highlight w:val="none"/>
        </w:rPr>
      </w:pPr>
      <w:bookmarkStart w:id="22" w:name="bookmark31"/>
      <w:bookmarkEnd w:id="22"/>
      <w:r>
        <w:rPr>
          <w:rFonts w:ascii="Times New Roman" w:hAnsi="Times New Roman" w:eastAsia="Times New Roman" w:cs="Times New Roman"/>
          <w:color w:val="auto"/>
          <w:spacing w:val="-7"/>
          <w:sz w:val="28"/>
          <w:szCs w:val="28"/>
          <w:highlight w:val="none"/>
        </w:rPr>
        <w:t>1.10</w:t>
      </w:r>
      <w:r>
        <w:rPr>
          <w:rFonts w:ascii="Times New Roman" w:hAnsi="Times New Roman" w:eastAsia="Times New Roman" w:cs="Times New Roman"/>
          <w:color w:val="auto"/>
          <w:spacing w:val="8"/>
          <w:sz w:val="28"/>
          <w:szCs w:val="28"/>
          <w:highlight w:val="none"/>
        </w:rPr>
        <w:t xml:space="preserve">  </w:t>
      </w:r>
      <w:r>
        <w:rPr>
          <w:rFonts w:ascii="黑体" w:hAnsi="黑体" w:eastAsia="黑体" w:cs="黑体"/>
          <w:color w:val="auto"/>
          <w:spacing w:val="-7"/>
          <w:sz w:val="28"/>
          <w:szCs w:val="28"/>
          <w:highlight w:val="none"/>
        </w:rPr>
        <w:t>分包</w:t>
      </w:r>
    </w:p>
    <w:p>
      <w:pPr>
        <w:spacing w:line="296" w:lineRule="auto"/>
        <w:rPr>
          <w:rFonts w:ascii="Arial"/>
          <w:color w:val="auto"/>
          <w:sz w:val="21"/>
          <w:highlight w:val="none"/>
        </w:rPr>
      </w:pPr>
    </w:p>
    <w:p>
      <w:pPr>
        <w:pStyle w:val="13"/>
        <w:spacing w:before="69" w:line="308" w:lineRule="auto"/>
        <w:ind w:right="61" w:firstLine="435"/>
        <w:rPr>
          <w:color w:val="auto"/>
          <w:sz w:val="21"/>
          <w:szCs w:val="21"/>
          <w:highlight w:val="none"/>
        </w:rPr>
      </w:pPr>
      <w:r>
        <w:rPr>
          <w:rFonts w:ascii="Times New Roman" w:hAnsi="Times New Roman" w:eastAsia="Times New Roman" w:cs="Times New Roman"/>
          <w:color w:val="auto"/>
          <w:sz w:val="21"/>
          <w:szCs w:val="21"/>
          <w:highlight w:val="none"/>
        </w:rPr>
        <w:t xml:space="preserve">1.10.1  </w:t>
      </w:r>
      <w:r>
        <w:rPr>
          <w:color w:val="auto"/>
          <w:sz w:val="21"/>
          <w:szCs w:val="21"/>
          <w:highlight w:val="none"/>
        </w:rPr>
        <w:t>投标人拟在中标后将中标项目的非主体设备进行分包的，应符合投标人须知前附表</w:t>
      </w:r>
      <w:r>
        <w:rPr>
          <w:color w:val="auto"/>
          <w:spacing w:val="7"/>
          <w:sz w:val="21"/>
          <w:szCs w:val="21"/>
          <w:highlight w:val="none"/>
        </w:rPr>
        <w:t xml:space="preserve"> </w:t>
      </w:r>
      <w:r>
        <w:rPr>
          <w:color w:val="auto"/>
          <w:spacing w:val="1"/>
          <w:sz w:val="21"/>
          <w:szCs w:val="21"/>
          <w:highlight w:val="none"/>
        </w:rPr>
        <w:t>规定的分包内容、分包金额和资质要求等限制性条件</w:t>
      </w:r>
      <w:r>
        <w:rPr>
          <w:color w:val="auto"/>
          <w:sz w:val="21"/>
          <w:szCs w:val="21"/>
          <w:highlight w:val="none"/>
        </w:rPr>
        <w:t xml:space="preserve">，除投标人须知前附表规定的非主体设备 </w:t>
      </w:r>
      <w:r>
        <w:rPr>
          <w:color w:val="auto"/>
          <w:spacing w:val="-2"/>
          <w:sz w:val="21"/>
          <w:szCs w:val="21"/>
          <w:highlight w:val="none"/>
        </w:rPr>
        <w:t>外，其他工作不得分包。</w:t>
      </w:r>
    </w:p>
    <w:p>
      <w:pPr>
        <w:pStyle w:val="13"/>
        <w:spacing w:before="151" w:line="285" w:lineRule="auto"/>
        <w:ind w:left="3" w:right="62" w:firstLine="433"/>
        <w:rPr>
          <w:color w:val="auto"/>
          <w:sz w:val="21"/>
          <w:szCs w:val="21"/>
          <w:highlight w:val="none"/>
        </w:rPr>
      </w:pPr>
      <w:r>
        <w:rPr>
          <w:rFonts w:ascii="Times New Roman" w:hAnsi="Times New Roman" w:eastAsia="Times New Roman" w:cs="Times New Roman"/>
          <w:color w:val="auto"/>
          <w:sz w:val="21"/>
          <w:szCs w:val="21"/>
          <w:highlight w:val="none"/>
        </w:rPr>
        <w:t>1.10.2</w:t>
      </w:r>
      <w:r>
        <w:rPr>
          <w:rFonts w:ascii="Times New Roman" w:hAnsi="Times New Roman" w:eastAsia="Times New Roman" w:cs="Times New Roman"/>
          <w:color w:val="auto"/>
          <w:spacing w:val="14"/>
          <w:w w:val="101"/>
          <w:sz w:val="21"/>
          <w:szCs w:val="21"/>
          <w:highlight w:val="none"/>
        </w:rPr>
        <w:t xml:space="preserve">  </w:t>
      </w:r>
      <w:r>
        <w:rPr>
          <w:color w:val="auto"/>
          <w:sz w:val="21"/>
          <w:szCs w:val="21"/>
          <w:highlight w:val="none"/>
        </w:rPr>
        <w:t>中标人不得向他人转让中标项目</w:t>
      </w:r>
      <w:r>
        <w:rPr>
          <w:color w:val="auto"/>
          <w:spacing w:val="-1"/>
          <w:sz w:val="21"/>
          <w:szCs w:val="21"/>
          <w:highlight w:val="none"/>
        </w:rPr>
        <w:t>，接受分包的人不得再次分包。中标人应当就分包</w:t>
      </w:r>
      <w:r>
        <w:rPr>
          <w:color w:val="auto"/>
          <w:sz w:val="21"/>
          <w:szCs w:val="21"/>
          <w:highlight w:val="none"/>
        </w:rPr>
        <w:t xml:space="preserve"> </w:t>
      </w:r>
      <w:r>
        <w:rPr>
          <w:color w:val="auto"/>
          <w:spacing w:val="-1"/>
          <w:sz w:val="21"/>
          <w:szCs w:val="21"/>
          <w:highlight w:val="none"/>
        </w:rPr>
        <w:t>项目向招标人负责，接受分包的人就分包项目承担连带责任。</w:t>
      </w:r>
    </w:p>
    <w:p>
      <w:pPr>
        <w:spacing w:before="311" w:line="234" w:lineRule="auto"/>
        <w:ind w:left="161"/>
        <w:outlineLvl w:val="2"/>
        <w:rPr>
          <w:rFonts w:ascii="黑体" w:hAnsi="黑体" w:eastAsia="黑体" w:cs="黑体"/>
          <w:color w:val="auto"/>
          <w:sz w:val="28"/>
          <w:szCs w:val="28"/>
          <w:highlight w:val="none"/>
        </w:rPr>
      </w:pPr>
      <w:bookmarkStart w:id="23" w:name="bookmark32"/>
      <w:bookmarkEnd w:id="23"/>
      <w:r>
        <w:rPr>
          <w:rFonts w:ascii="Times New Roman" w:hAnsi="Times New Roman" w:eastAsia="Times New Roman" w:cs="Times New Roman"/>
          <w:color w:val="auto"/>
          <w:spacing w:val="-7"/>
          <w:sz w:val="28"/>
          <w:szCs w:val="28"/>
          <w:highlight w:val="none"/>
        </w:rPr>
        <w:t>1.11</w:t>
      </w:r>
      <w:r>
        <w:rPr>
          <w:rFonts w:ascii="Times New Roman" w:hAnsi="Times New Roman" w:eastAsia="Times New Roman" w:cs="Times New Roman"/>
          <w:color w:val="auto"/>
          <w:spacing w:val="21"/>
          <w:w w:val="101"/>
          <w:sz w:val="28"/>
          <w:szCs w:val="28"/>
          <w:highlight w:val="none"/>
        </w:rPr>
        <w:t xml:space="preserve"> </w:t>
      </w:r>
      <w:r>
        <w:rPr>
          <w:rFonts w:ascii="黑体" w:hAnsi="黑体" w:eastAsia="黑体" w:cs="黑体"/>
          <w:color w:val="auto"/>
          <w:spacing w:val="-7"/>
          <w:sz w:val="28"/>
          <w:szCs w:val="28"/>
          <w:highlight w:val="none"/>
        </w:rPr>
        <w:t>响应和偏差</w:t>
      </w:r>
    </w:p>
    <w:p>
      <w:pPr>
        <w:spacing w:line="298" w:lineRule="auto"/>
        <w:rPr>
          <w:rFonts w:ascii="Arial"/>
          <w:color w:val="auto"/>
          <w:sz w:val="21"/>
          <w:highlight w:val="none"/>
        </w:rPr>
      </w:pPr>
    </w:p>
    <w:p>
      <w:pPr>
        <w:pStyle w:val="13"/>
        <w:spacing w:before="69" w:line="308" w:lineRule="auto"/>
        <w:ind w:right="61" w:firstLine="435"/>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z w:val="21"/>
          <w:szCs w:val="21"/>
          <w:highlight w:val="none"/>
        </w:rPr>
        <w:t>1.11.1 投标文件应当对招标文件的实质性要求和条件作出满足性或更有利于招标人的响应，否则，投标人的投标将被否决。实质性要求和条件见投标人须知前附表。</w:t>
      </w:r>
    </w:p>
    <w:p>
      <w:pPr>
        <w:pStyle w:val="13"/>
        <w:spacing w:before="69" w:line="308" w:lineRule="auto"/>
        <w:ind w:right="61" w:firstLine="435"/>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z w:val="21"/>
          <w:szCs w:val="21"/>
          <w:highlight w:val="none"/>
        </w:rPr>
        <w:t>1.11.2  投标人应根据招标文件的要求提供投标设备技术性能指标的详细描述、技术支持资 料及技术服务和质保期服务计划等内容以对招标文件作出响应。</w:t>
      </w:r>
    </w:p>
    <w:p>
      <w:pPr>
        <w:pStyle w:val="13"/>
        <w:spacing w:before="148" w:line="308" w:lineRule="auto"/>
        <w:ind w:left="1" w:right="3" w:firstLine="435"/>
        <w:rPr>
          <w:color w:val="auto"/>
          <w:sz w:val="21"/>
          <w:szCs w:val="21"/>
          <w:highlight w:val="none"/>
        </w:rPr>
      </w:pPr>
      <w:r>
        <w:rPr>
          <w:rFonts w:ascii="Times New Roman" w:hAnsi="Times New Roman" w:eastAsia="Times New Roman" w:cs="Times New Roman"/>
          <w:color w:val="auto"/>
          <w:sz w:val="21"/>
          <w:szCs w:val="21"/>
          <w:highlight w:val="none"/>
        </w:rPr>
        <w:t xml:space="preserve">1.11.3  </w:t>
      </w:r>
      <w:r>
        <w:rPr>
          <w:color w:val="auto"/>
          <w:sz w:val="21"/>
          <w:szCs w:val="21"/>
          <w:highlight w:val="none"/>
        </w:rPr>
        <w:t>投标文件中应针对实质性要求和条件中列明的技术要求提供技术支持资料。技术支</w:t>
      </w:r>
      <w:r>
        <w:rPr>
          <w:color w:val="auto"/>
          <w:spacing w:val="5"/>
          <w:sz w:val="21"/>
          <w:szCs w:val="21"/>
          <w:highlight w:val="none"/>
        </w:rPr>
        <w:t xml:space="preserve"> </w:t>
      </w:r>
      <w:r>
        <w:rPr>
          <w:color w:val="auto"/>
          <w:spacing w:val="1"/>
          <w:sz w:val="21"/>
          <w:szCs w:val="21"/>
          <w:highlight w:val="none"/>
        </w:rPr>
        <w:t>持资料以制造商公开发布的印刷资料，或检测机构</w:t>
      </w:r>
      <w:r>
        <w:rPr>
          <w:color w:val="auto"/>
          <w:sz w:val="21"/>
          <w:szCs w:val="21"/>
          <w:highlight w:val="none"/>
        </w:rPr>
        <w:t>出具的检测报告或投标人须知前附表允许的 其他形式为准，不符合前述要求的，视为无技术支持资料，其投标将</w:t>
      </w:r>
      <w:r>
        <w:rPr>
          <w:color w:val="auto"/>
          <w:spacing w:val="-1"/>
          <w:sz w:val="21"/>
          <w:szCs w:val="21"/>
          <w:highlight w:val="none"/>
        </w:rPr>
        <w:t>被否决。</w:t>
      </w:r>
    </w:p>
    <w:p>
      <w:pPr>
        <w:pStyle w:val="13"/>
        <w:spacing w:before="150" w:line="286" w:lineRule="auto"/>
        <w:ind w:left="3" w:right="5" w:firstLine="433"/>
        <w:rPr>
          <w:color w:val="auto"/>
          <w:sz w:val="21"/>
          <w:szCs w:val="21"/>
          <w:highlight w:val="none"/>
        </w:rPr>
      </w:pPr>
      <w:r>
        <w:rPr>
          <w:rFonts w:ascii="Times New Roman" w:hAnsi="Times New Roman" w:eastAsia="Times New Roman" w:cs="Times New Roman"/>
          <w:color w:val="auto"/>
          <w:sz w:val="21"/>
          <w:szCs w:val="21"/>
          <w:highlight w:val="none"/>
        </w:rPr>
        <w:t xml:space="preserve">1.11.4  </w:t>
      </w:r>
      <w:r>
        <w:rPr>
          <w:color w:val="auto"/>
          <w:sz w:val="21"/>
          <w:szCs w:val="21"/>
          <w:highlight w:val="none"/>
        </w:rPr>
        <w:t>投标人须知前附表规定了可以偏差的范围和最高偏差项数的，偏差应当符合投标人</w:t>
      </w:r>
      <w:r>
        <w:rPr>
          <w:color w:val="auto"/>
          <w:spacing w:val="4"/>
          <w:sz w:val="21"/>
          <w:szCs w:val="21"/>
          <w:highlight w:val="none"/>
        </w:rPr>
        <w:t xml:space="preserve"> </w:t>
      </w:r>
      <w:r>
        <w:rPr>
          <w:color w:val="auto"/>
          <w:sz w:val="21"/>
          <w:szCs w:val="21"/>
          <w:highlight w:val="none"/>
        </w:rPr>
        <w:t>须知前附表规定的偏差范围和最高项数，超出偏差范围和最高偏差项数的投标</w:t>
      </w:r>
      <w:r>
        <w:rPr>
          <w:color w:val="auto"/>
          <w:spacing w:val="-1"/>
          <w:sz w:val="21"/>
          <w:szCs w:val="21"/>
          <w:highlight w:val="none"/>
        </w:rPr>
        <w:t>将被否决。</w:t>
      </w:r>
    </w:p>
    <w:p>
      <w:pPr>
        <w:pStyle w:val="13"/>
        <w:spacing w:before="150" w:line="286" w:lineRule="auto"/>
        <w:ind w:left="4" w:right="5" w:firstLine="432"/>
        <w:rPr>
          <w:color w:val="auto"/>
          <w:sz w:val="21"/>
          <w:szCs w:val="21"/>
          <w:highlight w:val="none"/>
        </w:rPr>
      </w:pPr>
      <w:r>
        <w:rPr>
          <w:rFonts w:ascii="Times New Roman" w:hAnsi="Times New Roman" w:eastAsia="Times New Roman" w:cs="Times New Roman"/>
          <w:color w:val="auto"/>
          <w:sz w:val="21"/>
          <w:szCs w:val="21"/>
          <w:highlight w:val="none"/>
        </w:rPr>
        <w:t xml:space="preserve">1.11.5  </w:t>
      </w:r>
      <w:r>
        <w:rPr>
          <w:color w:val="auto"/>
          <w:sz w:val="21"/>
          <w:szCs w:val="21"/>
          <w:highlight w:val="none"/>
        </w:rPr>
        <w:t>投标文件对招标文件的全部偏差，均应在投标文件的商务和技术偏差表中列明，除</w:t>
      </w:r>
      <w:r>
        <w:rPr>
          <w:color w:val="auto"/>
          <w:spacing w:val="5"/>
          <w:sz w:val="21"/>
          <w:szCs w:val="21"/>
          <w:highlight w:val="none"/>
        </w:rPr>
        <w:t xml:space="preserve"> </w:t>
      </w:r>
      <w:r>
        <w:rPr>
          <w:color w:val="auto"/>
          <w:spacing w:val="-1"/>
          <w:sz w:val="21"/>
          <w:szCs w:val="21"/>
          <w:highlight w:val="none"/>
        </w:rPr>
        <w:t>列明的内容外，视为投标人响应招标文件的全部要求。</w:t>
      </w:r>
    </w:p>
    <w:p>
      <w:pPr>
        <w:spacing w:before="318" w:line="239" w:lineRule="auto"/>
        <w:outlineLvl w:val="1"/>
        <w:rPr>
          <w:rFonts w:ascii="黑体" w:hAnsi="黑体" w:eastAsia="黑体" w:cs="黑体"/>
          <w:color w:val="auto"/>
          <w:sz w:val="31"/>
          <w:szCs w:val="31"/>
          <w:highlight w:val="none"/>
        </w:rPr>
      </w:pPr>
      <w:bookmarkStart w:id="24" w:name="bookmark34"/>
      <w:bookmarkEnd w:id="24"/>
      <w:bookmarkStart w:id="25" w:name="bookmark33"/>
      <w:bookmarkEnd w:id="25"/>
      <w:r>
        <w:rPr>
          <w:rFonts w:ascii="Times New Roman" w:hAnsi="Times New Roman" w:eastAsia="Times New Roman" w:cs="Times New Roman"/>
          <w:b/>
          <w:bCs/>
          <w:color w:val="auto"/>
          <w:spacing w:val="4"/>
          <w:sz w:val="31"/>
          <w:szCs w:val="31"/>
          <w:highlight w:val="none"/>
        </w:rPr>
        <w:t xml:space="preserve">2.  </w:t>
      </w:r>
      <w:r>
        <w:rPr>
          <w:rFonts w:ascii="黑体" w:hAnsi="黑体" w:eastAsia="黑体" w:cs="黑体"/>
          <w:b/>
          <w:bCs/>
          <w:color w:val="auto"/>
          <w:spacing w:val="4"/>
          <w:sz w:val="31"/>
          <w:szCs w:val="31"/>
          <w:highlight w:val="none"/>
        </w:rPr>
        <w:t>招标文件</w:t>
      </w:r>
    </w:p>
    <w:p>
      <w:pPr>
        <w:spacing w:line="470" w:lineRule="auto"/>
        <w:rPr>
          <w:rFonts w:ascii="Arial"/>
          <w:color w:val="auto"/>
          <w:sz w:val="21"/>
          <w:highlight w:val="none"/>
        </w:rPr>
      </w:pPr>
    </w:p>
    <w:p>
      <w:pPr>
        <w:spacing w:before="91" w:line="233" w:lineRule="auto"/>
        <w:ind w:left="135"/>
        <w:outlineLvl w:val="2"/>
        <w:rPr>
          <w:rFonts w:ascii="黑体" w:hAnsi="黑体" w:eastAsia="黑体" w:cs="黑体"/>
          <w:color w:val="auto"/>
          <w:sz w:val="28"/>
          <w:szCs w:val="28"/>
          <w:highlight w:val="none"/>
        </w:rPr>
      </w:pPr>
      <w:bookmarkStart w:id="26" w:name="bookmark180"/>
      <w:bookmarkEnd w:id="26"/>
      <w:r>
        <w:rPr>
          <w:rFonts w:ascii="Times New Roman" w:hAnsi="Times New Roman" w:eastAsia="Times New Roman" w:cs="Times New Roman"/>
          <w:color w:val="auto"/>
          <w:spacing w:val="-1"/>
          <w:sz w:val="28"/>
          <w:szCs w:val="28"/>
          <w:highlight w:val="none"/>
        </w:rPr>
        <w:t xml:space="preserve">2.1  </w:t>
      </w:r>
      <w:r>
        <w:rPr>
          <w:rFonts w:ascii="黑体" w:hAnsi="黑体" w:eastAsia="黑体" w:cs="黑体"/>
          <w:color w:val="auto"/>
          <w:spacing w:val="-1"/>
          <w:sz w:val="28"/>
          <w:szCs w:val="28"/>
          <w:highlight w:val="none"/>
        </w:rPr>
        <w:t>招标文件的组成</w:t>
      </w:r>
    </w:p>
    <w:p>
      <w:pPr>
        <w:spacing w:line="298" w:lineRule="auto"/>
        <w:rPr>
          <w:rFonts w:ascii="Arial"/>
          <w:color w:val="auto"/>
          <w:sz w:val="21"/>
          <w:highlight w:val="none"/>
        </w:rPr>
      </w:pPr>
    </w:p>
    <w:p>
      <w:pPr>
        <w:pStyle w:val="13"/>
        <w:spacing w:before="69" w:line="220" w:lineRule="auto"/>
        <w:ind w:left="361"/>
        <w:rPr>
          <w:color w:val="auto"/>
          <w:sz w:val="21"/>
          <w:szCs w:val="21"/>
          <w:highlight w:val="none"/>
        </w:rPr>
      </w:pPr>
      <w:r>
        <w:rPr>
          <w:color w:val="auto"/>
          <w:spacing w:val="-1"/>
          <w:sz w:val="21"/>
          <w:szCs w:val="21"/>
          <w:highlight w:val="none"/>
        </w:rPr>
        <w:t>本招标文件包括：</w:t>
      </w:r>
    </w:p>
    <w:p>
      <w:pPr>
        <w:pStyle w:val="13"/>
        <w:spacing w:before="148" w:line="233" w:lineRule="auto"/>
        <w:ind w:left="366"/>
        <w:rPr>
          <w:color w:val="auto"/>
          <w:sz w:val="21"/>
          <w:szCs w:val="21"/>
          <w:highlight w:val="none"/>
        </w:rPr>
      </w:pPr>
      <w:r>
        <w:rPr>
          <w:color w:val="auto"/>
          <w:spacing w:val="-7"/>
          <w:sz w:val="21"/>
          <w:szCs w:val="21"/>
          <w:highlight w:val="none"/>
        </w:rPr>
        <w:t>（</w:t>
      </w:r>
      <w:r>
        <w:rPr>
          <w:rFonts w:ascii="Times New Roman" w:hAnsi="Times New Roman" w:eastAsia="Times New Roman" w:cs="Times New Roman"/>
          <w:color w:val="auto"/>
          <w:spacing w:val="-7"/>
          <w:sz w:val="21"/>
          <w:szCs w:val="21"/>
          <w:highlight w:val="none"/>
        </w:rPr>
        <w:t>1</w:t>
      </w:r>
      <w:r>
        <w:rPr>
          <w:color w:val="auto"/>
          <w:spacing w:val="-7"/>
          <w:sz w:val="21"/>
          <w:szCs w:val="21"/>
          <w:highlight w:val="none"/>
        </w:rPr>
        <w:t>）招标公告（或投标邀请书</w:t>
      </w:r>
      <w:r>
        <w:rPr>
          <w:color w:val="auto"/>
          <w:spacing w:val="-17"/>
          <w:sz w:val="21"/>
          <w:szCs w:val="21"/>
          <w:highlight w:val="none"/>
        </w:rPr>
        <w:t>）；</w:t>
      </w:r>
    </w:p>
    <w:p>
      <w:pPr>
        <w:pStyle w:val="13"/>
        <w:spacing w:before="136" w:line="235" w:lineRule="auto"/>
        <w:ind w:left="366"/>
        <w:rPr>
          <w:color w:val="auto"/>
          <w:sz w:val="21"/>
          <w:szCs w:val="21"/>
          <w:highlight w:val="none"/>
        </w:rPr>
      </w:pPr>
      <w:r>
        <w:rPr>
          <w:color w:val="auto"/>
          <w:spacing w:val="-4"/>
          <w:sz w:val="21"/>
          <w:szCs w:val="21"/>
          <w:highlight w:val="none"/>
        </w:rPr>
        <w:t>（</w:t>
      </w:r>
      <w:r>
        <w:rPr>
          <w:rFonts w:ascii="Times New Roman" w:hAnsi="Times New Roman" w:eastAsia="Times New Roman" w:cs="Times New Roman"/>
          <w:color w:val="auto"/>
          <w:spacing w:val="-4"/>
          <w:sz w:val="21"/>
          <w:szCs w:val="21"/>
          <w:highlight w:val="none"/>
        </w:rPr>
        <w:t>2</w:t>
      </w:r>
      <w:r>
        <w:rPr>
          <w:color w:val="auto"/>
          <w:spacing w:val="-4"/>
          <w:sz w:val="21"/>
          <w:szCs w:val="21"/>
          <w:highlight w:val="none"/>
        </w:rPr>
        <w:t>）投标人须知；</w:t>
      </w:r>
    </w:p>
    <w:p>
      <w:pPr>
        <w:pStyle w:val="13"/>
        <w:spacing w:before="134" w:line="234" w:lineRule="auto"/>
        <w:ind w:left="366"/>
        <w:rPr>
          <w:color w:val="auto"/>
          <w:sz w:val="21"/>
          <w:szCs w:val="21"/>
          <w:highlight w:val="none"/>
        </w:rPr>
      </w:pPr>
      <w:r>
        <w:rPr>
          <w:color w:val="auto"/>
          <w:spacing w:val="-2"/>
          <w:sz w:val="21"/>
          <w:szCs w:val="21"/>
          <w:highlight w:val="none"/>
        </w:rPr>
        <w:t>（</w:t>
      </w:r>
      <w:r>
        <w:rPr>
          <w:rFonts w:ascii="Times New Roman" w:hAnsi="Times New Roman" w:eastAsia="Times New Roman" w:cs="Times New Roman"/>
          <w:color w:val="auto"/>
          <w:spacing w:val="-2"/>
          <w:sz w:val="21"/>
          <w:szCs w:val="21"/>
          <w:highlight w:val="none"/>
        </w:rPr>
        <w:t>3</w:t>
      </w:r>
      <w:r>
        <w:rPr>
          <w:color w:val="auto"/>
          <w:spacing w:val="-2"/>
          <w:sz w:val="21"/>
          <w:szCs w:val="21"/>
          <w:highlight w:val="none"/>
        </w:rPr>
        <w:t>）评标办法；</w:t>
      </w:r>
    </w:p>
    <w:p>
      <w:pPr>
        <w:pStyle w:val="13"/>
        <w:spacing w:before="132" w:line="234" w:lineRule="auto"/>
        <w:ind w:left="366"/>
        <w:rPr>
          <w:color w:val="auto"/>
          <w:sz w:val="21"/>
          <w:szCs w:val="21"/>
          <w:highlight w:val="none"/>
        </w:rPr>
      </w:pPr>
      <w:r>
        <w:rPr>
          <w:color w:val="auto"/>
          <w:spacing w:val="-4"/>
          <w:sz w:val="21"/>
          <w:szCs w:val="21"/>
          <w:highlight w:val="none"/>
        </w:rPr>
        <w:t>（</w:t>
      </w:r>
      <w:r>
        <w:rPr>
          <w:rFonts w:ascii="Times New Roman" w:hAnsi="Times New Roman" w:eastAsia="Times New Roman" w:cs="Times New Roman"/>
          <w:color w:val="auto"/>
          <w:spacing w:val="-4"/>
          <w:sz w:val="21"/>
          <w:szCs w:val="21"/>
          <w:highlight w:val="none"/>
        </w:rPr>
        <w:t>4</w:t>
      </w:r>
      <w:r>
        <w:rPr>
          <w:color w:val="auto"/>
          <w:spacing w:val="-4"/>
          <w:sz w:val="21"/>
          <w:szCs w:val="21"/>
          <w:highlight w:val="none"/>
        </w:rPr>
        <w:t>）合同条款及格式；</w:t>
      </w:r>
    </w:p>
    <w:p>
      <w:pPr>
        <w:pStyle w:val="13"/>
        <w:spacing w:before="134" w:line="234" w:lineRule="auto"/>
        <w:ind w:left="366"/>
        <w:rPr>
          <w:color w:val="auto"/>
          <w:sz w:val="21"/>
          <w:szCs w:val="21"/>
          <w:highlight w:val="none"/>
        </w:rPr>
      </w:pPr>
      <w:r>
        <w:rPr>
          <w:color w:val="auto"/>
          <w:spacing w:val="-2"/>
          <w:sz w:val="21"/>
          <w:szCs w:val="21"/>
          <w:highlight w:val="none"/>
        </w:rPr>
        <w:t>（</w:t>
      </w:r>
      <w:r>
        <w:rPr>
          <w:rFonts w:ascii="Times New Roman" w:hAnsi="Times New Roman" w:eastAsia="Times New Roman" w:cs="Times New Roman"/>
          <w:color w:val="auto"/>
          <w:spacing w:val="-2"/>
          <w:sz w:val="21"/>
          <w:szCs w:val="21"/>
          <w:highlight w:val="none"/>
        </w:rPr>
        <w:t>5</w:t>
      </w:r>
      <w:r>
        <w:rPr>
          <w:color w:val="auto"/>
          <w:spacing w:val="-2"/>
          <w:sz w:val="21"/>
          <w:szCs w:val="21"/>
          <w:highlight w:val="none"/>
        </w:rPr>
        <w:t>）供货要求；</w:t>
      </w:r>
    </w:p>
    <w:p>
      <w:pPr>
        <w:pStyle w:val="13"/>
        <w:spacing w:before="135" w:line="234" w:lineRule="auto"/>
        <w:ind w:left="366"/>
        <w:rPr>
          <w:color w:val="auto"/>
          <w:sz w:val="21"/>
          <w:szCs w:val="21"/>
          <w:highlight w:val="none"/>
        </w:rPr>
      </w:pPr>
      <w:r>
        <w:rPr>
          <w:color w:val="auto"/>
          <w:spacing w:val="-2"/>
          <w:sz w:val="21"/>
          <w:szCs w:val="21"/>
          <w:highlight w:val="none"/>
        </w:rPr>
        <w:t>（</w:t>
      </w:r>
      <w:r>
        <w:rPr>
          <w:rFonts w:ascii="Times New Roman" w:hAnsi="Times New Roman" w:eastAsia="Times New Roman" w:cs="Times New Roman"/>
          <w:color w:val="auto"/>
          <w:spacing w:val="-2"/>
          <w:sz w:val="21"/>
          <w:szCs w:val="21"/>
          <w:highlight w:val="none"/>
        </w:rPr>
        <w:t>6</w:t>
      </w:r>
      <w:r>
        <w:rPr>
          <w:color w:val="auto"/>
          <w:spacing w:val="-2"/>
          <w:sz w:val="21"/>
          <w:szCs w:val="21"/>
          <w:highlight w:val="none"/>
        </w:rPr>
        <w:t>）投标文件格式；</w:t>
      </w:r>
    </w:p>
    <w:p>
      <w:pPr>
        <w:pStyle w:val="13"/>
        <w:spacing w:before="132" w:line="234" w:lineRule="auto"/>
        <w:ind w:left="366"/>
        <w:rPr>
          <w:color w:val="auto"/>
          <w:sz w:val="21"/>
          <w:szCs w:val="21"/>
          <w:highlight w:val="none"/>
        </w:rPr>
      </w:pPr>
      <w:r>
        <w:rPr>
          <w:color w:val="auto"/>
          <w:spacing w:val="-2"/>
          <w:sz w:val="21"/>
          <w:szCs w:val="21"/>
          <w:highlight w:val="none"/>
        </w:rPr>
        <w:t>（</w:t>
      </w:r>
      <w:r>
        <w:rPr>
          <w:rFonts w:ascii="Times New Roman" w:hAnsi="Times New Roman" w:eastAsia="Times New Roman" w:cs="Times New Roman"/>
          <w:color w:val="auto"/>
          <w:spacing w:val="-2"/>
          <w:sz w:val="21"/>
          <w:szCs w:val="21"/>
          <w:highlight w:val="none"/>
        </w:rPr>
        <w:t>7</w:t>
      </w:r>
      <w:r>
        <w:rPr>
          <w:color w:val="auto"/>
          <w:spacing w:val="-2"/>
          <w:sz w:val="21"/>
          <w:szCs w:val="21"/>
          <w:highlight w:val="none"/>
        </w:rPr>
        <w:t>）投标人须知前附表规定的其他资料。</w:t>
      </w:r>
    </w:p>
    <w:p>
      <w:pPr>
        <w:pStyle w:val="13"/>
        <w:spacing w:before="136" w:line="344" w:lineRule="auto"/>
        <w:ind w:left="2" w:right="2" w:firstLine="418"/>
        <w:rPr>
          <w:color w:val="auto"/>
          <w:sz w:val="21"/>
          <w:szCs w:val="21"/>
          <w:highlight w:val="none"/>
        </w:rPr>
      </w:pPr>
      <w:r>
        <w:rPr>
          <w:color w:val="auto"/>
          <w:sz w:val="21"/>
          <w:szCs w:val="21"/>
          <w:highlight w:val="none"/>
        </w:rPr>
        <w:t>根据本章第</w:t>
      </w:r>
      <w:r>
        <w:rPr>
          <w:color w:val="auto"/>
          <w:spacing w:val="-28"/>
          <w:sz w:val="21"/>
          <w:szCs w:val="21"/>
          <w:highlight w:val="none"/>
        </w:rPr>
        <w:t xml:space="preserve"> </w:t>
      </w:r>
      <w:r>
        <w:rPr>
          <w:rFonts w:ascii="Times New Roman" w:hAnsi="Times New Roman" w:eastAsia="Times New Roman" w:cs="Times New Roman"/>
          <w:color w:val="auto"/>
          <w:sz w:val="21"/>
          <w:szCs w:val="21"/>
          <w:highlight w:val="none"/>
        </w:rPr>
        <w:t xml:space="preserve">1.9 </w:t>
      </w:r>
      <w:r>
        <w:rPr>
          <w:color w:val="auto"/>
          <w:sz w:val="21"/>
          <w:szCs w:val="21"/>
          <w:highlight w:val="none"/>
        </w:rPr>
        <w:t>款、第</w:t>
      </w:r>
      <w:r>
        <w:rPr>
          <w:color w:val="auto"/>
          <w:spacing w:val="-47"/>
          <w:sz w:val="21"/>
          <w:szCs w:val="21"/>
          <w:highlight w:val="none"/>
        </w:rPr>
        <w:t xml:space="preserve"> </w:t>
      </w:r>
      <w:r>
        <w:rPr>
          <w:rFonts w:ascii="Times New Roman" w:hAnsi="Times New Roman" w:eastAsia="Times New Roman" w:cs="Times New Roman"/>
          <w:color w:val="auto"/>
          <w:sz w:val="21"/>
          <w:szCs w:val="21"/>
          <w:highlight w:val="none"/>
        </w:rPr>
        <w:t xml:space="preserve">2.2 </w:t>
      </w:r>
      <w:r>
        <w:rPr>
          <w:color w:val="auto"/>
          <w:sz w:val="21"/>
          <w:szCs w:val="21"/>
          <w:highlight w:val="none"/>
        </w:rPr>
        <w:t>款和第</w:t>
      </w:r>
      <w:r>
        <w:rPr>
          <w:rFonts w:ascii="Times New Roman" w:hAnsi="Times New Roman" w:eastAsia="Times New Roman" w:cs="Times New Roman"/>
          <w:color w:val="auto"/>
          <w:sz w:val="21"/>
          <w:szCs w:val="21"/>
          <w:highlight w:val="none"/>
        </w:rPr>
        <w:t xml:space="preserve">2.3 </w:t>
      </w:r>
      <w:r>
        <w:rPr>
          <w:color w:val="auto"/>
          <w:sz w:val="21"/>
          <w:szCs w:val="21"/>
          <w:highlight w:val="none"/>
        </w:rPr>
        <w:t>款对招标文件所作的澄清、修改，构成</w:t>
      </w:r>
      <w:r>
        <w:rPr>
          <w:color w:val="auto"/>
          <w:spacing w:val="-1"/>
          <w:sz w:val="21"/>
          <w:szCs w:val="21"/>
          <w:highlight w:val="none"/>
        </w:rPr>
        <w:t>招标文件的组</w:t>
      </w:r>
      <w:r>
        <w:rPr>
          <w:color w:val="auto"/>
          <w:sz w:val="21"/>
          <w:szCs w:val="21"/>
          <w:highlight w:val="none"/>
        </w:rPr>
        <w:t xml:space="preserve"> </w:t>
      </w:r>
      <w:r>
        <w:rPr>
          <w:color w:val="auto"/>
          <w:spacing w:val="-2"/>
          <w:sz w:val="21"/>
          <w:szCs w:val="21"/>
          <w:highlight w:val="none"/>
        </w:rPr>
        <w:t>成部分。</w:t>
      </w:r>
    </w:p>
    <w:p>
      <w:pPr>
        <w:spacing w:before="177" w:line="233" w:lineRule="auto"/>
        <w:ind w:left="135"/>
        <w:outlineLvl w:val="2"/>
        <w:rPr>
          <w:rFonts w:ascii="黑体" w:hAnsi="黑体" w:eastAsia="黑体" w:cs="黑体"/>
          <w:color w:val="auto"/>
          <w:sz w:val="28"/>
          <w:szCs w:val="28"/>
          <w:highlight w:val="none"/>
        </w:rPr>
      </w:pPr>
      <w:bookmarkStart w:id="27" w:name="bookmark35"/>
      <w:bookmarkEnd w:id="27"/>
      <w:r>
        <w:rPr>
          <w:rFonts w:ascii="Times New Roman" w:hAnsi="Times New Roman" w:eastAsia="Times New Roman" w:cs="Times New Roman"/>
          <w:color w:val="auto"/>
          <w:spacing w:val="-1"/>
          <w:sz w:val="28"/>
          <w:szCs w:val="28"/>
          <w:highlight w:val="none"/>
        </w:rPr>
        <w:t xml:space="preserve">2.2  </w:t>
      </w:r>
      <w:r>
        <w:rPr>
          <w:rFonts w:ascii="黑体" w:hAnsi="黑体" w:eastAsia="黑体" w:cs="黑体"/>
          <w:color w:val="auto"/>
          <w:spacing w:val="-1"/>
          <w:sz w:val="28"/>
          <w:szCs w:val="28"/>
          <w:highlight w:val="none"/>
        </w:rPr>
        <w:t>招标文件的澄清</w:t>
      </w:r>
    </w:p>
    <w:p>
      <w:pPr>
        <w:spacing w:line="299" w:lineRule="auto"/>
        <w:rPr>
          <w:rFonts w:ascii="Arial"/>
          <w:color w:val="auto"/>
          <w:sz w:val="21"/>
          <w:highlight w:val="none"/>
        </w:rPr>
      </w:pPr>
    </w:p>
    <w:p>
      <w:pPr>
        <w:pStyle w:val="13"/>
        <w:spacing w:before="69" w:line="308" w:lineRule="auto"/>
        <w:ind w:left="1" w:firstLine="415"/>
        <w:rPr>
          <w:color w:val="auto"/>
          <w:sz w:val="21"/>
          <w:szCs w:val="21"/>
          <w:highlight w:val="none"/>
        </w:rPr>
      </w:pPr>
      <w:r>
        <w:rPr>
          <w:rFonts w:ascii="Times New Roman" w:hAnsi="Times New Roman" w:eastAsia="Times New Roman" w:cs="Times New Roman"/>
          <w:color w:val="auto"/>
          <w:spacing w:val="-2"/>
          <w:sz w:val="21"/>
          <w:szCs w:val="21"/>
          <w:highlight w:val="none"/>
        </w:rPr>
        <w:t xml:space="preserve">2.2.1  </w:t>
      </w:r>
      <w:r>
        <w:rPr>
          <w:color w:val="auto"/>
          <w:spacing w:val="-2"/>
          <w:sz w:val="21"/>
          <w:szCs w:val="21"/>
          <w:highlight w:val="none"/>
        </w:rPr>
        <w:t>投标人应仔细阅读和检查招标文件的全部内容。如发现缺页或附件不全，应及时向招</w:t>
      </w:r>
      <w:r>
        <w:rPr>
          <w:color w:val="auto"/>
          <w:spacing w:val="13"/>
          <w:sz w:val="21"/>
          <w:szCs w:val="21"/>
          <w:highlight w:val="none"/>
        </w:rPr>
        <w:t xml:space="preserve"> </w:t>
      </w:r>
      <w:r>
        <w:rPr>
          <w:color w:val="auto"/>
          <w:spacing w:val="1"/>
          <w:sz w:val="21"/>
          <w:szCs w:val="21"/>
          <w:highlight w:val="none"/>
        </w:rPr>
        <w:t>标人提出，以便补齐。如有疑问，应按投标人须知</w:t>
      </w:r>
      <w:r>
        <w:rPr>
          <w:color w:val="auto"/>
          <w:sz w:val="21"/>
          <w:szCs w:val="21"/>
          <w:highlight w:val="none"/>
        </w:rPr>
        <w:t xml:space="preserve">前附表规定的时间和形式将提出的问题送达 </w:t>
      </w:r>
      <w:r>
        <w:rPr>
          <w:color w:val="auto"/>
          <w:spacing w:val="-1"/>
          <w:sz w:val="21"/>
          <w:szCs w:val="21"/>
          <w:highlight w:val="none"/>
        </w:rPr>
        <w:t>招标人，要求招标人对招标文件予以澄清。</w:t>
      </w:r>
    </w:p>
    <w:p>
      <w:pPr>
        <w:pStyle w:val="13"/>
        <w:spacing w:before="148" w:line="293" w:lineRule="auto"/>
        <w:ind w:left="3" w:firstLine="412"/>
        <w:rPr>
          <w:color w:val="auto"/>
          <w:sz w:val="21"/>
          <w:szCs w:val="21"/>
          <w:highlight w:val="none"/>
        </w:rPr>
      </w:pPr>
      <w:r>
        <w:rPr>
          <w:rFonts w:ascii="Times New Roman" w:hAnsi="Times New Roman" w:eastAsia="Times New Roman" w:cs="Times New Roman"/>
          <w:color w:val="auto"/>
          <w:sz w:val="21"/>
          <w:szCs w:val="21"/>
          <w:highlight w:val="none"/>
        </w:rPr>
        <w:t xml:space="preserve">2.2.2 </w:t>
      </w:r>
      <w:r>
        <w:rPr>
          <w:color w:val="auto"/>
          <w:sz w:val="21"/>
          <w:szCs w:val="21"/>
          <w:highlight w:val="none"/>
        </w:rPr>
        <w:t>招标文件的澄清以投标人须知前附</w:t>
      </w:r>
      <w:r>
        <w:rPr>
          <w:color w:val="auto"/>
          <w:spacing w:val="-1"/>
          <w:sz w:val="21"/>
          <w:szCs w:val="21"/>
          <w:highlight w:val="none"/>
        </w:rPr>
        <w:t>表规定的形式发给所有购买招标文件的投标人，但</w:t>
      </w:r>
      <w:r>
        <w:rPr>
          <w:color w:val="auto"/>
          <w:sz w:val="21"/>
          <w:szCs w:val="21"/>
          <w:highlight w:val="none"/>
        </w:rPr>
        <w:t xml:space="preserve"> </w:t>
      </w:r>
      <w:r>
        <w:rPr>
          <w:color w:val="auto"/>
          <w:spacing w:val="-2"/>
          <w:sz w:val="21"/>
          <w:szCs w:val="21"/>
          <w:highlight w:val="none"/>
        </w:rPr>
        <w:t>不指明澄清问题的来源。澄清发出的时间距本章第</w:t>
      </w:r>
      <w:r>
        <w:rPr>
          <w:color w:val="auto"/>
          <w:spacing w:val="-44"/>
          <w:sz w:val="21"/>
          <w:szCs w:val="21"/>
          <w:highlight w:val="none"/>
        </w:rPr>
        <w:t xml:space="preserve"> </w:t>
      </w:r>
      <w:r>
        <w:rPr>
          <w:rFonts w:ascii="Times New Roman" w:hAnsi="Times New Roman" w:eastAsia="Times New Roman" w:cs="Times New Roman"/>
          <w:color w:val="auto"/>
          <w:spacing w:val="-2"/>
          <w:sz w:val="21"/>
          <w:szCs w:val="21"/>
          <w:highlight w:val="none"/>
        </w:rPr>
        <w:t>4.2.1</w:t>
      </w:r>
      <w:r>
        <w:rPr>
          <w:rFonts w:ascii="Times New Roman" w:hAnsi="Times New Roman" w:eastAsia="Times New Roman" w:cs="Times New Roman"/>
          <w:color w:val="auto"/>
          <w:spacing w:val="19"/>
          <w:w w:val="101"/>
          <w:sz w:val="21"/>
          <w:szCs w:val="21"/>
          <w:highlight w:val="none"/>
        </w:rPr>
        <w:t xml:space="preserve"> </w:t>
      </w:r>
      <w:r>
        <w:rPr>
          <w:color w:val="auto"/>
          <w:spacing w:val="-2"/>
          <w:sz w:val="21"/>
          <w:szCs w:val="21"/>
          <w:highlight w:val="none"/>
        </w:rPr>
        <w:t>项规定的投标截止时</w:t>
      </w:r>
      <w:r>
        <w:rPr>
          <w:color w:val="auto"/>
          <w:spacing w:val="-3"/>
          <w:sz w:val="21"/>
          <w:szCs w:val="21"/>
          <w:highlight w:val="none"/>
        </w:rPr>
        <w:t>间不足</w:t>
      </w:r>
      <w:r>
        <w:rPr>
          <w:color w:val="auto"/>
          <w:spacing w:val="-23"/>
          <w:sz w:val="21"/>
          <w:szCs w:val="21"/>
          <w:highlight w:val="none"/>
        </w:rPr>
        <w:t xml:space="preserve"> </w:t>
      </w:r>
      <w:r>
        <w:rPr>
          <w:rFonts w:ascii="Times New Roman" w:hAnsi="Times New Roman" w:eastAsia="Times New Roman" w:cs="Times New Roman"/>
          <w:color w:val="auto"/>
          <w:spacing w:val="-3"/>
          <w:sz w:val="21"/>
          <w:szCs w:val="21"/>
          <w:highlight w:val="none"/>
        </w:rPr>
        <w:t xml:space="preserve">15  </w:t>
      </w:r>
      <w:r>
        <w:rPr>
          <w:color w:val="auto"/>
          <w:spacing w:val="-3"/>
          <w:sz w:val="21"/>
          <w:szCs w:val="21"/>
          <w:highlight w:val="none"/>
        </w:rPr>
        <w:t>日的，</w:t>
      </w:r>
      <w:r>
        <w:rPr>
          <w:color w:val="auto"/>
          <w:sz w:val="21"/>
          <w:szCs w:val="21"/>
          <w:highlight w:val="none"/>
        </w:rPr>
        <w:t>并且澄清内容可能影响投标文件编制的，将相应延</w:t>
      </w:r>
      <w:r>
        <w:rPr>
          <w:color w:val="auto"/>
          <w:spacing w:val="-1"/>
          <w:sz w:val="21"/>
          <w:szCs w:val="21"/>
          <w:highlight w:val="none"/>
        </w:rPr>
        <w:t>长投标截止时间。</w:t>
      </w:r>
    </w:p>
    <w:p>
      <w:pPr>
        <w:pStyle w:val="13"/>
        <w:spacing w:before="150" w:line="285" w:lineRule="auto"/>
        <w:ind w:left="10" w:right="2" w:firstLine="408"/>
        <w:rPr>
          <w:color w:val="auto"/>
          <w:sz w:val="21"/>
          <w:szCs w:val="21"/>
          <w:highlight w:val="none"/>
        </w:rPr>
      </w:pPr>
      <w:r>
        <w:rPr>
          <w:rFonts w:ascii="Times New Roman" w:hAnsi="Times New Roman" w:eastAsia="Times New Roman" w:cs="Times New Roman"/>
          <w:color w:val="auto"/>
          <w:spacing w:val="-2"/>
          <w:sz w:val="21"/>
          <w:szCs w:val="21"/>
          <w:highlight w:val="none"/>
        </w:rPr>
        <w:t xml:space="preserve">2.2.3  </w:t>
      </w:r>
      <w:r>
        <w:rPr>
          <w:color w:val="auto"/>
          <w:spacing w:val="-2"/>
          <w:sz w:val="21"/>
          <w:szCs w:val="21"/>
          <w:highlight w:val="none"/>
        </w:rPr>
        <w:t>投标人在收到澄清后，应按投标人须知前附表规定的时间和形式通知招标人，确认已</w:t>
      </w:r>
      <w:r>
        <w:rPr>
          <w:color w:val="auto"/>
          <w:spacing w:val="11"/>
          <w:sz w:val="21"/>
          <w:szCs w:val="21"/>
          <w:highlight w:val="none"/>
        </w:rPr>
        <w:t xml:space="preserve"> </w:t>
      </w:r>
      <w:r>
        <w:rPr>
          <w:color w:val="auto"/>
          <w:spacing w:val="-2"/>
          <w:sz w:val="21"/>
          <w:szCs w:val="21"/>
          <w:highlight w:val="none"/>
        </w:rPr>
        <w:t>收到该澄清。</w:t>
      </w:r>
    </w:p>
    <w:p>
      <w:pPr>
        <w:pStyle w:val="13"/>
        <w:spacing w:before="150" w:line="286" w:lineRule="auto"/>
        <w:ind w:left="3" w:firstLine="415"/>
        <w:rPr>
          <w:color w:val="auto"/>
          <w:sz w:val="21"/>
          <w:szCs w:val="21"/>
          <w:highlight w:val="none"/>
        </w:rPr>
      </w:pPr>
      <w:r>
        <w:rPr>
          <w:rFonts w:ascii="Times New Roman" w:hAnsi="Times New Roman" w:eastAsia="Times New Roman" w:cs="Times New Roman"/>
          <w:color w:val="auto"/>
          <w:sz w:val="21"/>
          <w:szCs w:val="21"/>
          <w:highlight w:val="none"/>
        </w:rPr>
        <w:t xml:space="preserve">2.2.4  </w:t>
      </w:r>
      <w:r>
        <w:rPr>
          <w:color w:val="auto"/>
          <w:sz w:val="21"/>
          <w:szCs w:val="21"/>
          <w:highlight w:val="none"/>
        </w:rPr>
        <w:t>除非招标人认为确有必要答复，否则，招标人有权拒绝</w:t>
      </w:r>
      <w:r>
        <w:rPr>
          <w:color w:val="auto"/>
          <w:spacing w:val="-1"/>
          <w:sz w:val="21"/>
          <w:szCs w:val="21"/>
          <w:highlight w:val="none"/>
        </w:rPr>
        <w:t>回复投标人在本章第</w:t>
      </w:r>
      <w:r>
        <w:rPr>
          <w:color w:val="auto"/>
          <w:spacing w:val="-33"/>
          <w:sz w:val="21"/>
          <w:szCs w:val="21"/>
          <w:highlight w:val="none"/>
        </w:rPr>
        <w:t xml:space="preserve"> </w:t>
      </w:r>
      <w:r>
        <w:rPr>
          <w:rFonts w:ascii="Times New Roman" w:hAnsi="Times New Roman" w:eastAsia="Times New Roman" w:cs="Times New Roman"/>
          <w:color w:val="auto"/>
          <w:spacing w:val="-1"/>
          <w:sz w:val="21"/>
          <w:szCs w:val="21"/>
          <w:highlight w:val="none"/>
        </w:rPr>
        <w:t>2.2.1</w:t>
      </w:r>
      <w:r>
        <w:rPr>
          <w:rFonts w:ascii="Times New Roman" w:hAnsi="Times New Roman" w:eastAsia="Times New Roman" w:cs="Times New Roman"/>
          <w:color w:val="auto"/>
          <w:spacing w:val="26"/>
          <w:sz w:val="21"/>
          <w:szCs w:val="21"/>
          <w:highlight w:val="none"/>
        </w:rPr>
        <w:t xml:space="preserve"> </w:t>
      </w:r>
      <w:r>
        <w:rPr>
          <w:color w:val="auto"/>
          <w:spacing w:val="-1"/>
          <w:sz w:val="21"/>
          <w:szCs w:val="21"/>
          <w:highlight w:val="none"/>
        </w:rPr>
        <w:t>项</w:t>
      </w:r>
      <w:r>
        <w:rPr>
          <w:color w:val="auto"/>
          <w:sz w:val="21"/>
          <w:szCs w:val="21"/>
          <w:highlight w:val="none"/>
        </w:rPr>
        <w:t xml:space="preserve"> </w:t>
      </w:r>
      <w:r>
        <w:rPr>
          <w:color w:val="auto"/>
          <w:spacing w:val="-2"/>
          <w:sz w:val="21"/>
          <w:szCs w:val="21"/>
          <w:highlight w:val="none"/>
        </w:rPr>
        <w:t>规定的时间后的任何澄清要求。</w:t>
      </w:r>
    </w:p>
    <w:p>
      <w:pPr>
        <w:spacing w:before="308" w:line="233" w:lineRule="auto"/>
        <w:ind w:left="137"/>
        <w:outlineLvl w:val="2"/>
        <w:rPr>
          <w:rFonts w:ascii="黑体" w:hAnsi="黑体" w:eastAsia="黑体" w:cs="黑体"/>
          <w:color w:val="auto"/>
          <w:sz w:val="28"/>
          <w:szCs w:val="28"/>
          <w:highlight w:val="none"/>
        </w:rPr>
      </w:pPr>
      <w:bookmarkStart w:id="28" w:name="bookmark36"/>
      <w:bookmarkEnd w:id="28"/>
      <w:r>
        <w:rPr>
          <w:rFonts w:ascii="Times New Roman" w:hAnsi="Times New Roman" w:eastAsia="Times New Roman" w:cs="Times New Roman"/>
          <w:color w:val="auto"/>
          <w:spacing w:val="-1"/>
          <w:sz w:val="28"/>
          <w:szCs w:val="28"/>
          <w:highlight w:val="none"/>
        </w:rPr>
        <w:t xml:space="preserve">2.3  </w:t>
      </w:r>
      <w:r>
        <w:rPr>
          <w:rFonts w:ascii="黑体" w:hAnsi="黑体" w:eastAsia="黑体" w:cs="黑体"/>
          <w:color w:val="auto"/>
          <w:spacing w:val="-1"/>
          <w:sz w:val="28"/>
          <w:szCs w:val="28"/>
          <w:highlight w:val="none"/>
        </w:rPr>
        <w:t>招标文件的修改</w:t>
      </w:r>
    </w:p>
    <w:p>
      <w:pPr>
        <w:spacing w:line="300" w:lineRule="auto"/>
        <w:rPr>
          <w:rFonts w:ascii="Arial"/>
          <w:color w:val="auto"/>
          <w:sz w:val="21"/>
          <w:highlight w:val="none"/>
        </w:rPr>
      </w:pPr>
    </w:p>
    <w:p>
      <w:pPr>
        <w:pStyle w:val="13"/>
        <w:spacing w:before="69" w:line="308" w:lineRule="auto"/>
        <w:ind w:left="5" w:firstLine="413"/>
        <w:rPr>
          <w:color w:val="auto"/>
          <w:sz w:val="21"/>
          <w:szCs w:val="21"/>
          <w:highlight w:val="none"/>
        </w:rPr>
      </w:pPr>
      <w:r>
        <w:rPr>
          <w:rFonts w:ascii="Times New Roman" w:hAnsi="Times New Roman" w:eastAsia="Times New Roman" w:cs="Times New Roman"/>
          <w:color w:val="auto"/>
          <w:spacing w:val="-1"/>
          <w:sz w:val="21"/>
          <w:szCs w:val="21"/>
          <w:highlight w:val="none"/>
        </w:rPr>
        <w:t xml:space="preserve">2.3.1 </w:t>
      </w:r>
      <w:r>
        <w:rPr>
          <w:color w:val="auto"/>
          <w:spacing w:val="-1"/>
          <w:sz w:val="21"/>
          <w:szCs w:val="21"/>
          <w:highlight w:val="none"/>
        </w:rPr>
        <w:t>招标人以投标人须知前附表规定的形式修改招标文件，并通知所有已购买招标文件的</w:t>
      </w:r>
      <w:r>
        <w:rPr>
          <w:color w:val="auto"/>
          <w:spacing w:val="18"/>
          <w:sz w:val="21"/>
          <w:szCs w:val="21"/>
          <w:highlight w:val="none"/>
        </w:rPr>
        <w:t xml:space="preserve"> </w:t>
      </w:r>
      <w:r>
        <w:rPr>
          <w:color w:val="auto"/>
          <w:spacing w:val="-2"/>
          <w:sz w:val="21"/>
          <w:szCs w:val="21"/>
          <w:highlight w:val="none"/>
        </w:rPr>
        <w:t>投标人。修改招标文件的时间距本章第</w:t>
      </w:r>
      <w:r>
        <w:rPr>
          <w:color w:val="auto"/>
          <w:spacing w:val="-38"/>
          <w:sz w:val="21"/>
          <w:szCs w:val="21"/>
          <w:highlight w:val="none"/>
        </w:rPr>
        <w:t xml:space="preserve"> </w:t>
      </w:r>
      <w:r>
        <w:rPr>
          <w:rFonts w:ascii="Times New Roman" w:hAnsi="Times New Roman" w:eastAsia="Times New Roman" w:cs="Times New Roman"/>
          <w:color w:val="auto"/>
          <w:spacing w:val="-2"/>
          <w:sz w:val="21"/>
          <w:szCs w:val="21"/>
          <w:highlight w:val="none"/>
        </w:rPr>
        <w:t>4.2.1</w:t>
      </w:r>
      <w:r>
        <w:rPr>
          <w:rFonts w:ascii="Times New Roman" w:hAnsi="Times New Roman" w:eastAsia="Times New Roman" w:cs="Times New Roman"/>
          <w:color w:val="auto"/>
          <w:spacing w:val="19"/>
          <w:sz w:val="21"/>
          <w:szCs w:val="21"/>
          <w:highlight w:val="none"/>
        </w:rPr>
        <w:t xml:space="preserve"> </w:t>
      </w:r>
      <w:r>
        <w:rPr>
          <w:color w:val="auto"/>
          <w:spacing w:val="-2"/>
          <w:sz w:val="21"/>
          <w:szCs w:val="21"/>
          <w:highlight w:val="none"/>
        </w:rPr>
        <w:t>项规定的投标截止时间不足</w:t>
      </w:r>
      <w:r>
        <w:rPr>
          <w:color w:val="auto"/>
          <w:spacing w:val="-23"/>
          <w:sz w:val="21"/>
          <w:szCs w:val="21"/>
          <w:highlight w:val="none"/>
        </w:rPr>
        <w:t xml:space="preserve"> </w:t>
      </w:r>
      <w:r>
        <w:rPr>
          <w:rFonts w:ascii="Times New Roman" w:hAnsi="Times New Roman" w:eastAsia="Times New Roman" w:cs="Times New Roman"/>
          <w:color w:val="auto"/>
          <w:spacing w:val="-2"/>
          <w:sz w:val="21"/>
          <w:szCs w:val="21"/>
          <w:highlight w:val="none"/>
        </w:rPr>
        <w:t xml:space="preserve">15  </w:t>
      </w:r>
      <w:r>
        <w:rPr>
          <w:color w:val="auto"/>
          <w:spacing w:val="-2"/>
          <w:sz w:val="21"/>
          <w:szCs w:val="21"/>
          <w:highlight w:val="none"/>
        </w:rPr>
        <w:t>日的，并且修改内</w:t>
      </w:r>
      <w:r>
        <w:rPr>
          <w:color w:val="auto"/>
          <w:sz w:val="21"/>
          <w:szCs w:val="21"/>
          <w:highlight w:val="none"/>
        </w:rPr>
        <w:t xml:space="preserve"> </w:t>
      </w:r>
      <w:r>
        <w:rPr>
          <w:color w:val="auto"/>
          <w:spacing w:val="-1"/>
          <w:sz w:val="21"/>
          <w:szCs w:val="21"/>
          <w:highlight w:val="none"/>
        </w:rPr>
        <w:t>容可能影响投标文件编制的，将相应延长投标截止时间。</w:t>
      </w:r>
    </w:p>
    <w:p>
      <w:pPr>
        <w:pStyle w:val="13"/>
        <w:spacing w:before="149" w:line="286" w:lineRule="auto"/>
        <w:ind w:left="26" w:right="2" w:firstLine="393"/>
        <w:rPr>
          <w:color w:val="auto"/>
          <w:sz w:val="21"/>
          <w:szCs w:val="21"/>
          <w:highlight w:val="none"/>
        </w:rPr>
      </w:pPr>
      <w:r>
        <w:rPr>
          <w:rFonts w:ascii="Times New Roman" w:hAnsi="Times New Roman" w:eastAsia="Times New Roman" w:cs="Times New Roman"/>
          <w:color w:val="auto"/>
          <w:spacing w:val="-2"/>
          <w:sz w:val="21"/>
          <w:szCs w:val="21"/>
          <w:highlight w:val="none"/>
        </w:rPr>
        <w:t xml:space="preserve">2.3.2  </w:t>
      </w:r>
      <w:r>
        <w:rPr>
          <w:color w:val="auto"/>
          <w:spacing w:val="-2"/>
          <w:sz w:val="21"/>
          <w:szCs w:val="21"/>
          <w:highlight w:val="none"/>
        </w:rPr>
        <w:t>投标人收到修改内容后，应按投标人须知前附表规定的时间和形式通知招标人，确认</w:t>
      </w:r>
      <w:r>
        <w:rPr>
          <w:color w:val="auto"/>
          <w:spacing w:val="11"/>
          <w:sz w:val="21"/>
          <w:szCs w:val="21"/>
          <w:highlight w:val="none"/>
        </w:rPr>
        <w:t xml:space="preserve"> </w:t>
      </w:r>
      <w:r>
        <w:rPr>
          <w:color w:val="auto"/>
          <w:spacing w:val="-7"/>
          <w:sz w:val="21"/>
          <w:szCs w:val="21"/>
          <w:highlight w:val="none"/>
        </w:rPr>
        <w:t>已收到该修改。</w:t>
      </w:r>
    </w:p>
    <w:p>
      <w:pPr>
        <w:spacing w:before="311" w:line="233" w:lineRule="auto"/>
        <w:ind w:left="137"/>
        <w:outlineLvl w:val="2"/>
        <w:rPr>
          <w:rFonts w:ascii="黑体" w:hAnsi="黑体" w:eastAsia="黑体" w:cs="黑体"/>
          <w:color w:val="auto"/>
          <w:sz w:val="28"/>
          <w:szCs w:val="28"/>
          <w:highlight w:val="none"/>
        </w:rPr>
      </w:pPr>
      <w:bookmarkStart w:id="29" w:name="bookmark37"/>
      <w:bookmarkEnd w:id="29"/>
      <w:r>
        <w:rPr>
          <w:rFonts w:ascii="Times New Roman" w:hAnsi="Times New Roman" w:eastAsia="Times New Roman" w:cs="Times New Roman"/>
          <w:color w:val="auto"/>
          <w:spacing w:val="-1"/>
          <w:sz w:val="28"/>
          <w:szCs w:val="28"/>
          <w:highlight w:val="none"/>
        </w:rPr>
        <w:t xml:space="preserve">2.4  </w:t>
      </w:r>
      <w:r>
        <w:rPr>
          <w:rFonts w:ascii="黑体" w:hAnsi="黑体" w:eastAsia="黑体" w:cs="黑体"/>
          <w:color w:val="auto"/>
          <w:spacing w:val="-1"/>
          <w:sz w:val="28"/>
          <w:szCs w:val="28"/>
          <w:highlight w:val="none"/>
        </w:rPr>
        <w:t>招标文件的异议</w:t>
      </w:r>
    </w:p>
    <w:p>
      <w:pPr>
        <w:spacing w:line="298" w:lineRule="auto"/>
        <w:rPr>
          <w:rFonts w:ascii="Arial"/>
          <w:color w:val="auto"/>
          <w:sz w:val="21"/>
          <w:highlight w:val="none"/>
        </w:rPr>
      </w:pPr>
    </w:p>
    <w:p>
      <w:pPr>
        <w:pStyle w:val="13"/>
        <w:spacing w:before="69" w:line="351" w:lineRule="auto"/>
        <w:ind w:left="3" w:firstLine="421"/>
        <w:rPr>
          <w:color w:val="auto"/>
          <w:sz w:val="21"/>
          <w:szCs w:val="21"/>
          <w:highlight w:val="none"/>
        </w:rPr>
      </w:pPr>
      <w:r>
        <w:rPr>
          <w:color w:val="auto"/>
          <w:spacing w:val="-4"/>
          <w:sz w:val="21"/>
          <w:szCs w:val="21"/>
          <w:highlight w:val="none"/>
        </w:rPr>
        <w:t>投标人或者其他利害关系人对招标文件有异议的，应当在投标截止时间</w:t>
      </w:r>
      <w:r>
        <w:rPr>
          <w:color w:val="auto"/>
          <w:spacing w:val="-19"/>
          <w:sz w:val="21"/>
          <w:szCs w:val="21"/>
          <w:highlight w:val="none"/>
        </w:rPr>
        <w:t xml:space="preserve"> </w:t>
      </w:r>
      <w:r>
        <w:rPr>
          <w:rFonts w:ascii="Times New Roman" w:hAnsi="Times New Roman" w:eastAsia="Times New Roman" w:cs="Times New Roman"/>
          <w:color w:val="auto"/>
          <w:spacing w:val="-4"/>
          <w:sz w:val="21"/>
          <w:szCs w:val="21"/>
          <w:highlight w:val="none"/>
        </w:rPr>
        <w:t>10</w:t>
      </w:r>
      <w:r>
        <w:rPr>
          <w:rFonts w:ascii="Times New Roman" w:hAnsi="Times New Roman" w:eastAsia="Times New Roman" w:cs="Times New Roman"/>
          <w:color w:val="auto"/>
          <w:spacing w:val="45"/>
          <w:w w:val="101"/>
          <w:sz w:val="21"/>
          <w:szCs w:val="21"/>
          <w:highlight w:val="none"/>
        </w:rPr>
        <w:t xml:space="preserve"> </w:t>
      </w:r>
      <w:r>
        <w:rPr>
          <w:color w:val="auto"/>
          <w:spacing w:val="-4"/>
          <w:sz w:val="21"/>
          <w:szCs w:val="21"/>
          <w:highlight w:val="none"/>
        </w:rPr>
        <w:t>日前以书面形式</w:t>
      </w:r>
      <w:r>
        <w:rPr>
          <w:color w:val="auto"/>
          <w:sz w:val="21"/>
          <w:szCs w:val="21"/>
          <w:highlight w:val="none"/>
        </w:rPr>
        <w:t xml:space="preserve"> </w:t>
      </w:r>
      <w:r>
        <w:rPr>
          <w:color w:val="auto"/>
          <w:spacing w:val="-1"/>
          <w:sz w:val="21"/>
          <w:szCs w:val="21"/>
          <w:highlight w:val="none"/>
        </w:rPr>
        <w:t>提出。招标人将在收到异议之日起</w:t>
      </w:r>
      <w:r>
        <w:rPr>
          <w:color w:val="auto"/>
          <w:spacing w:val="-43"/>
          <w:sz w:val="21"/>
          <w:szCs w:val="21"/>
          <w:highlight w:val="none"/>
        </w:rPr>
        <w:t xml:space="preserve"> </w:t>
      </w:r>
      <w:r>
        <w:rPr>
          <w:rFonts w:ascii="Times New Roman" w:hAnsi="Times New Roman" w:eastAsia="Times New Roman" w:cs="Times New Roman"/>
          <w:color w:val="auto"/>
          <w:spacing w:val="-1"/>
          <w:sz w:val="21"/>
          <w:szCs w:val="21"/>
          <w:highlight w:val="none"/>
        </w:rPr>
        <w:t>3</w:t>
      </w:r>
      <w:r>
        <w:rPr>
          <w:rFonts w:ascii="Times New Roman" w:hAnsi="Times New Roman" w:eastAsia="Times New Roman" w:cs="Times New Roman"/>
          <w:color w:val="auto"/>
          <w:spacing w:val="42"/>
          <w:w w:val="101"/>
          <w:sz w:val="21"/>
          <w:szCs w:val="21"/>
          <w:highlight w:val="none"/>
        </w:rPr>
        <w:t xml:space="preserve"> </w:t>
      </w:r>
      <w:r>
        <w:rPr>
          <w:color w:val="auto"/>
          <w:spacing w:val="-1"/>
          <w:sz w:val="21"/>
          <w:szCs w:val="21"/>
          <w:highlight w:val="none"/>
        </w:rPr>
        <w:t>日内作出答复；作</w:t>
      </w:r>
      <w:r>
        <w:rPr>
          <w:color w:val="auto"/>
          <w:spacing w:val="-2"/>
          <w:sz w:val="21"/>
          <w:szCs w:val="21"/>
          <w:highlight w:val="none"/>
        </w:rPr>
        <w:t>出答复前，将暂停招标投标活动。</w:t>
      </w:r>
    </w:p>
    <w:p>
      <w:pPr>
        <w:spacing w:before="169" w:line="239" w:lineRule="auto"/>
        <w:outlineLvl w:val="1"/>
        <w:rPr>
          <w:rFonts w:ascii="黑体" w:hAnsi="黑体" w:eastAsia="黑体" w:cs="黑体"/>
          <w:color w:val="auto"/>
          <w:sz w:val="31"/>
          <w:szCs w:val="31"/>
          <w:highlight w:val="none"/>
        </w:rPr>
      </w:pPr>
      <w:bookmarkStart w:id="30" w:name="bookmark38"/>
      <w:bookmarkEnd w:id="30"/>
      <w:bookmarkStart w:id="31" w:name="bookmark39"/>
      <w:bookmarkEnd w:id="31"/>
      <w:r>
        <w:rPr>
          <w:rFonts w:ascii="Times New Roman" w:hAnsi="Times New Roman" w:eastAsia="Times New Roman" w:cs="Times New Roman"/>
          <w:b/>
          <w:bCs/>
          <w:color w:val="auto"/>
          <w:spacing w:val="4"/>
          <w:sz w:val="31"/>
          <w:szCs w:val="31"/>
          <w:highlight w:val="none"/>
        </w:rPr>
        <w:t xml:space="preserve">3.  </w:t>
      </w:r>
      <w:r>
        <w:rPr>
          <w:rFonts w:ascii="黑体" w:hAnsi="黑体" w:eastAsia="黑体" w:cs="黑体"/>
          <w:b/>
          <w:bCs/>
          <w:color w:val="auto"/>
          <w:spacing w:val="4"/>
          <w:sz w:val="31"/>
          <w:szCs w:val="31"/>
          <w:highlight w:val="none"/>
        </w:rPr>
        <w:t>投标文件</w:t>
      </w:r>
    </w:p>
    <w:p>
      <w:pPr>
        <w:spacing w:line="470" w:lineRule="auto"/>
        <w:rPr>
          <w:rFonts w:ascii="Arial"/>
          <w:color w:val="auto"/>
          <w:sz w:val="21"/>
          <w:highlight w:val="none"/>
        </w:rPr>
      </w:pPr>
    </w:p>
    <w:p>
      <w:pPr>
        <w:spacing w:before="91" w:line="233" w:lineRule="auto"/>
        <w:ind w:left="143"/>
        <w:outlineLvl w:val="2"/>
        <w:rPr>
          <w:rFonts w:ascii="黑体" w:hAnsi="黑体" w:eastAsia="黑体" w:cs="黑体"/>
          <w:color w:val="auto"/>
          <w:sz w:val="28"/>
          <w:szCs w:val="28"/>
          <w:highlight w:val="none"/>
        </w:rPr>
      </w:pPr>
      <w:bookmarkStart w:id="32" w:name="bookmark181"/>
      <w:bookmarkEnd w:id="32"/>
      <w:r>
        <w:rPr>
          <w:rFonts w:ascii="Times New Roman" w:hAnsi="Times New Roman" w:eastAsia="Times New Roman" w:cs="Times New Roman"/>
          <w:color w:val="auto"/>
          <w:spacing w:val="-1"/>
          <w:sz w:val="28"/>
          <w:szCs w:val="28"/>
          <w:highlight w:val="none"/>
        </w:rPr>
        <w:t xml:space="preserve">3.1  </w:t>
      </w:r>
      <w:r>
        <w:rPr>
          <w:rFonts w:ascii="黑体" w:hAnsi="黑体" w:eastAsia="黑体" w:cs="黑体"/>
          <w:color w:val="auto"/>
          <w:spacing w:val="-1"/>
          <w:sz w:val="28"/>
          <w:szCs w:val="28"/>
          <w:highlight w:val="none"/>
        </w:rPr>
        <w:t>投标文件的组成</w:t>
      </w:r>
    </w:p>
    <w:p>
      <w:pPr>
        <w:spacing w:line="298" w:lineRule="auto"/>
        <w:rPr>
          <w:rFonts w:ascii="Arial"/>
          <w:color w:val="auto"/>
          <w:sz w:val="21"/>
          <w:highlight w:val="none"/>
        </w:rPr>
      </w:pPr>
    </w:p>
    <w:p>
      <w:pPr>
        <w:pStyle w:val="13"/>
        <w:spacing w:before="69" w:line="234" w:lineRule="auto"/>
        <w:ind w:left="425"/>
        <w:rPr>
          <w:color w:val="auto"/>
          <w:sz w:val="21"/>
          <w:szCs w:val="21"/>
          <w:highlight w:val="none"/>
        </w:rPr>
      </w:pPr>
      <w:r>
        <w:rPr>
          <w:rFonts w:ascii="Times New Roman" w:hAnsi="Times New Roman" w:eastAsia="Times New Roman" w:cs="Times New Roman"/>
          <w:color w:val="auto"/>
          <w:spacing w:val="-2"/>
          <w:sz w:val="21"/>
          <w:szCs w:val="21"/>
          <w:highlight w:val="none"/>
        </w:rPr>
        <w:t xml:space="preserve">3.1.1  </w:t>
      </w:r>
      <w:r>
        <w:rPr>
          <w:color w:val="auto"/>
          <w:spacing w:val="-2"/>
          <w:sz w:val="21"/>
          <w:szCs w:val="21"/>
          <w:highlight w:val="none"/>
        </w:rPr>
        <w:t>投标文件应包括下列内容：</w:t>
      </w:r>
      <w:r>
        <w:rPr>
          <w:rFonts w:hint="eastAsia"/>
          <w:color w:val="auto"/>
          <w:spacing w:val="-2"/>
          <w:sz w:val="21"/>
          <w:szCs w:val="21"/>
          <w:highlight w:val="none"/>
          <w:u w:val="single"/>
        </w:rPr>
        <w:t>（详见</w:t>
      </w:r>
      <w:r>
        <w:rPr>
          <w:rFonts w:hint="eastAsia"/>
          <w:color w:val="auto"/>
          <w:spacing w:val="-2"/>
          <w:sz w:val="21"/>
          <w:szCs w:val="21"/>
          <w:highlight w:val="none"/>
          <w:u w:val="single"/>
          <w:lang w:val="en-US" w:eastAsia="zh-CN"/>
        </w:rPr>
        <w:t>招标文件</w:t>
      </w:r>
      <w:r>
        <w:rPr>
          <w:rFonts w:hint="eastAsia"/>
          <w:color w:val="auto"/>
          <w:spacing w:val="-2"/>
          <w:sz w:val="21"/>
          <w:szCs w:val="21"/>
          <w:highlight w:val="none"/>
          <w:u w:val="single"/>
        </w:rPr>
        <w:t>第六章</w:t>
      </w:r>
      <w:r>
        <w:rPr>
          <w:rFonts w:hint="eastAsia"/>
          <w:color w:val="auto"/>
          <w:spacing w:val="-2"/>
          <w:sz w:val="21"/>
          <w:szCs w:val="21"/>
          <w:highlight w:val="none"/>
          <w:u w:val="single"/>
          <w:lang w:val="en-US" w:eastAsia="zh-CN"/>
        </w:rPr>
        <w:t>要求</w:t>
      </w:r>
      <w:r>
        <w:rPr>
          <w:rFonts w:hint="eastAsia"/>
          <w:color w:val="auto"/>
          <w:spacing w:val="-2"/>
          <w:sz w:val="21"/>
          <w:szCs w:val="21"/>
          <w:highlight w:val="none"/>
          <w:u w:val="single"/>
        </w:rPr>
        <w:t>）</w:t>
      </w:r>
    </w:p>
    <w:p>
      <w:pPr>
        <w:pStyle w:val="13"/>
        <w:spacing w:before="135" w:line="351" w:lineRule="auto"/>
        <w:ind w:left="49" w:right="3" w:firstLine="420"/>
        <w:rPr>
          <w:color w:val="auto"/>
          <w:sz w:val="21"/>
          <w:szCs w:val="21"/>
          <w:highlight w:val="none"/>
        </w:rPr>
      </w:pPr>
      <w:r>
        <w:rPr>
          <w:color w:val="auto"/>
          <w:spacing w:val="1"/>
          <w:sz w:val="21"/>
          <w:szCs w:val="21"/>
          <w:highlight w:val="none"/>
        </w:rPr>
        <w:t>投标人在评标过程中作出的符合法律法规和招标</w:t>
      </w:r>
      <w:r>
        <w:rPr>
          <w:color w:val="auto"/>
          <w:sz w:val="21"/>
          <w:szCs w:val="21"/>
          <w:highlight w:val="none"/>
        </w:rPr>
        <w:t xml:space="preserve">文件规定的澄清确认，构成投标文件的组 </w:t>
      </w:r>
      <w:r>
        <w:rPr>
          <w:color w:val="auto"/>
          <w:spacing w:val="-2"/>
          <w:sz w:val="21"/>
          <w:szCs w:val="21"/>
          <w:highlight w:val="none"/>
        </w:rPr>
        <w:t>成部分。</w:t>
      </w:r>
    </w:p>
    <w:p>
      <w:pPr>
        <w:pStyle w:val="13"/>
        <w:spacing w:line="293" w:lineRule="auto"/>
        <w:ind w:left="51" w:firstLine="356"/>
        <w:rPr>
          <w:color w:val="auto"/>
          <w:sz w:val="21"/>
          <w:szCs w:val="21"/>
          <w:highlight w:val="none"/>
        </w:rPr>
      </w:pPr>
      <w:r>
        <w:rPr>
          <w:rFonts w:ascii="Times New Roman" w:hAnsi="Times New Roman" w:eastAsia="Times New Roman" w:cs="Times New Roman"/>
          <w:color w:val="auto"/>
          <w:sz w:val="21"/>
          <w:szCs w:val="21"/>
          <w:highlight w:val="none"/>
        </w:rPr>
        <w:t xml:space="preserve">3.1.2  </w:t>
      </w:r>
      <w:r>
        <w:rPr>
          <w:color w:val="auto"/>
          <w:sz w:val="21"/>
          <w:szCs w:val="21"/>
          <w:highlight w:val="none"/>
        </w:rPr>
        <w:t>投标人须知前附表规定不接受联合体投标</w:t>
      </w:r>
      <w:r>
        <w:rPr>
          <w:color w:val="auto"/>
          <w:spacing w:val="-1"/>
          <w:sz w:val="21"/>
          <w:szCs w:val="21"/>
          <w:highlight w:val="none"/>
        </w:rPr>
        <w:t>的，或投标人没有组成联合体的，投标文件</w:t>
      </w:r>
      <w:r>
        <w:rPr>
          <w:color w:val="auto"/>
          <w:sz w:val="21"/>
          <w:szCs w:val="21"/>
          <w:highlight w:val="none"/>
        </w:rPr>
        <w:t xml:space="preserve"> </w:t>
      </w:r>
      <w:r>
        <w:rPr>
          <w:color w:val="auto"/>
          <w:spacing w:val="-3"/>
          <w:sz w:val="21"/>
          <w:szCs w:val="21"/>
          <w:highlight w:val="none"/>
        </w:rPr>
        <w:t>不包括本章第</w:t>
      </w:r>
      <w:r>
        <w:rPr>
          <w:color w:val="auto"/>
          <w:spacing w:val="-43"/>
          <w:sz w:val="21"/>
          <w:szCs w:val="21"/>
          <w:highlight w:val="none"/>
        </w:rPr>
        <w:t xml:space="preserve"> </w:t>
      </w:r>
      <w:r>
        <w:rPr>
          <w:rFonts w:ascii="Times New Roman" w:hAnsi="Times New Roman" w:eastAsia="Times New Roman" w:cs="Times New Roman"/>
          <w:color w:val="auto"/>
          <w:spacing w:val="-3"/>
          <w:sz w:val="21"/>
          <w:szCs w:val="21"/>
          <w:highlight w:val="none"/>
        </w:rPr>
        <w:t>3.1.1</w:t>
      </w:r>
      <w:r>
        <w:rPr>
          <w:color w:val="auto"/>
          <w:spacing w:val="-3"/>
          <w:sz w:val="21"/>
          <w:szCs w:val="21"/>
          <w:highlight w:val="none"/>
        </w:rPr>
        <w:t>（</w:t>
      </w:r>
      <w:r>
        <w:rPr>
          <w:rFonts w:ascii="Times New Roman" w:hAnsi="Times New Roman" w:eastAsia="Times New Roman" w:cs="Times New Roman"/>
          <w:color w:val="auto"/>
          <w:spacing w:val="-3"/>
          <w:sz w:val="21"/>
          <w:szCs w:val="21"/>
          <w:highlight w:val="none"/>
        </w:rPr>
        <w:t>3</w:t>
      </w:r>
      <w:r>
        <w:rPr>
          <w:color w:val="auto"/>
          <w:spacing w:val="-3"/>
          <w:sz w:val="21"/>
          <w:szCs w:val="21"/>
          <w:highlight w:val="none"/>
        </w:rPr>
        <w:t>）</w:t>
      </w:r>
      <w:r>
        <w:rPr>
          <w:color w:val="auto"/>
          <w:spacing w:val="-58"/>
          <w:sz w:val="21"/>
          <w:szCs w:val="21"/>
          <w:highlight w:val="none"/>
        </w:rPr>
        <w:t xml:space="preserve"> </w:t>
      </w:r>
      <w:r>
        <w:rPr>
          <w:color w:val="auto"/>
          <w:spacing w:val="-3"/>
          <w:sz w:val="21"/>
          <w:szCs w:val="21"/>
          <w:highlight w:val="none"/>
        </w:rPr>
        <w:t>目所指的联合</w:t>
      </w:r>
      <w:r>
        <w:rPr>
          <w:color w:val="auto"/>
          <w:spacing w:val="-4"/>
          <w:sz w:val="21"/>
          <w:szCs w:val="21"/>
          <w:highlight w:val="none"/>
        </w:rPr>
        <w:t>体协议书。</w:t>
      </w:r>
    </w:p>
    <w:p>
      <w:pPr>
        <w:pStyle w:val="13"/>
        <w:spacing w:before="132" w:line="287" w:lineRule="auto"/>
        <w:ind w:left="50" w:right="9" w:firstLine="357"/>
        <w:rPr>
          <w:color w:val="auto"/>
          <w:sz w:val="21"/>
          <w:szCs w:val="21"/>
          <w:highlight w:val="none"/>
        </w:rPr>
      </w:pPr>
      <w:r>
        <w:rPr>
          <w:rFonts w:ascii="Times New Roman" w:hAnsi="Times New Roman" w:eastAsia="Times New Roman" w:cs="Times New Roman"/>
          <w:color w:val="auto"/>
          <w:sz w:val="21"/>
          <w:szCs w:val="21"/>
          <w:highlight w:val="none"/>
        </w:rPr>
        <w:t xml:space="preserve">3.1.3  </w:t>
      </w:r>
      <w:r>
        <w:rPr>
          <w:color w:val="auto"/>
          <w:sz w:val="21"/>
          <w:szCs w:val="21"/>
          <w:highlight w:val="none"/>
        </w:rPr>
        <w:t>投标人须知前附表未要求提交</w:t>
      </w:r>
      <w:r>
        <w:rPr>
          <w:color w:val="auto"/>
          <w:spacing w:val="-1"/>
          <w:sz w:val="21"/>
          <w:szCs w:val="21"/>
          <w:highlight w:val="none"/>
        </w:rPr>
        <w:t xml:space="preserve">投标保证金的，投标文件不包括本章第 </w:t>
      </w:r>
      <w:r>
        <w:rPr>
          <w:rFonts w:ascii="Times New Roman" w:hAnsi="Times New Roman" w:eastAsia="Times New Roman" w:cs="Times New Roman"/>
          <w:color w:val="auto"/>
          <w:spacing w:val="-1"/>
          <w:sz w:val="21"/>
          <w:szCs w:val="21"/>
          <w:highlight w:val="none"/>
        </w:rPr>
        <w:t>3.1.1</w:t>
      </w:r>
      <w:r>
        <w:rPr>
          <w:color w:val="auto"/>
          <w:spacing w:val="-1"/>
          <w:sz w:val="21"/>
          <w:szCs w:val="21"/>
          <w:highlight w:val="none"/>
        </w:rPr>
        <w:t>（</w:t>
      </w:r>
      <w:r>
        <w:rPr>
          <w:rFonts w:ascii="Times New Roman" w:hAnsi="Times New Roman" w:eastAsia="Times New Roman" w:cs="Times New Roman"/>
          <w:color w:val="auto"/>
          <w:spacing w:val="-1"/>
          <w:sz w:val="21"/>
          <w:szCs w:val="21"/>
          <w:highlight w:val="none"/>
        </w:rPr>
        <w:t>4</w:t>
      </w:r>
      <w:r>
        <w:rPr>
          <w:color w:val="auto"/>
          <w:spacing w:val="-1"/>
          <w:sz w:val="21"/>
          <w:szCs w:val="21"/>
          <w:highlight w:val="none"/>
        </w:rPr>
        <w:t>）目所</w:t>
      </w:r>
      <w:r>
        <w:rPr>
          <w:color w:val="auto"/>
          <w:sz w:val="21"/>
          <w:szCs w:val="21"/>
          <w:highlight w:val="none"/>
        </w:rPr>
        <w:t xml:space="preserve"> </w:t>
      </w:r>
      <w:r>
        <w:rPr>
          <w:color w:val="auto"/>
          <w:spacing w:val="-1"/>
          <w:sz w:val="21"/>
          <w:szCs w:val="21"/>
          <w:highlight w:val="none"/>
        </w:rPr>
        <w:t>指的投标保证金。</w:t>
      </w:r>
    </w:p>
    <w:p>
      <w:pPr>
        <w:spacing w:before="311" w:line="233" w:lineRule="auto"/>
        <w:ind w:left="187"/>
        <w:outlineLvl w:val="2"/>
        <w:rPr>
          <w:rFonts w:ascii="黑体" w:hAnsi="黑体" w:eastAsia="黑体" w:cs="黑体"/>
          <w:color w:val="auto"/>
          <w:sz w:val="28"/>
          <w:szCs w:val="28"/>
          <w:highlight w:val="none"/>
        </w:rPr>
      </w:pPr>
      <w:bookmarkStart w:id="33" w:name="bookmark40"/>
      <w:bookmarkEnd w:id="33"/>
      <w:r>
        <w:rPr>
          <w:rFonts w:ascii="Times New Roman" w:hAnsi="Times New Roman" w:eastAsia="Times New Roman" w:cs="Times New Roman"/>
          <w:color w:val="auto"/>
          <w:spacing w:val="-1"/>
          <w:sz w:val="28"/>
          <w:szCs w:val="28"/>
          <w:highlight w:val="none"/>
        </w:rPr>
        <w:t xml:space="preserve">3.2  </w:t>
      </w:r>
      <w:r>
        <w:rPr>
          <w:rFonts w:ascii="黑体" w:hAnsi="黑体" w:eastAsia="黑体" w:cs="黑体"/>
          <w:color w:val="auto"/>
          <w:spacing w:val="-1"/>
          <w:sz w:val="28"/>
          <w:szCs w:val="28"/>
          <w:highlight w:val="none"/>
        </w:rPr>
        <w:t>投标报价</w:t>
      </w:r>
    </w:p>
    <w:p>
      <w:pPr>
        <w:spacing w:line="299" w:lineRule="auto"/>
        <w:rPr>
          <w:rFonts w:ascii="Arial"/>
          <w:color w:val="auto"/>
          <w:sz w:val="21"/>
          <w:highlight w:val="none"/>
        </w:rPr>
      </w:pPr>
    </w:p>
    <w:p>
      <w:pPr>
        <w:pStyle w:val="13"/>
        <w:spacing w:before="68" w:line="307" w:lineRule="auto"/>
        <w:ind w:left="49" w:firstLine="418"/>
        <w:rPr>
          <w:color w:val="auto"/>
          <w:sz w:val="21"/>
          <w:szCs w:val="21"/>
          <w:highlight w:val="none"/>
        </w:rPr>
      </w:pPr>
      <w:r>
        <w:rPr>
          <w:rFonts w:ascii="Times New Roman" w:hAnsi="Times New Roman" w:eastAsia="Times New Roman" w:cs="Times New Roman"/>
          <w:color w:val="auto"/>
          <w:spacing w:val="-2"/>
          <w:sz w:val="21"/>
          <w:szCs w:val="21"/>
          <w:highlight w:val="none"/>
        </w:rPr>
        <w:t xml:space="preserve">3.2.1  </w:t>
      </w:r>
      <w:r>
        <w:rPr>
          <w:color w:val="auto"/>
          <w:spacing w:val="-2"/>
          <w:sz w:val="21"/>
          <w:szCs w:val="21"/>
          <w:highlight w:val="none"/>
        </w:rPr>
        <w:t>投标报价应包括国家规定的增值税税金，除投标人须知前附表另有规定外，增值税税</w:t>
      </w:r>
      <w:r>
        <w:rPr>
          <w:color w:val="auto"/>
          <w:spacing w:val="1"/>
          <w:sz w:val="21"/>
          <w:szCs w:val="21"/>
          <w:highlight w:val="none"/>
        </w:rPr>
        <w:t>金按一般计税方法计算。投标人应按第六章</w:t>
      </w:r>
      <w:r>
        <w:rPr>
          <w:rFonts w:ascii="Times New Roman" w:hAnsi="Times New Roman" w:eastAsia="Times New Roman" w:cs="Times New Roman"/>
          <w:color w:val="auto"/>
          <w:spacing w:val="1"/>
          <w:sz w:val="21"/>
          <w:szCs w:val="21"/>
          <w:highlight w:val="none"/>
        </w:rPr>
        <w:t>“</w:t>
      </w:r>
      <w:r>
        <w:rPr>
          <w:color w:val="auto"/>
          <w:spacing w:val="1"/>
          <w:sz w:val="21"/>
          <w:szCs w:val="21"/>
          <w:highlight w:val="none"/>
        </w:rPr>
        <w:t>投标文件格式</w:t>
      </w:r>
      <w:r>
        <w:rPr>
          <w:rFonts w:ascii="Times New Roman" w:hAnsi="Times New Roman" w:eastAsia="Times New Roman" w:cs="Times New Roman"/>
          <w:color w:val="auto"/>
          <w:spacing w:val="1"/>
          <w:sz w:val="21"/>
          <w:szCs w:val="21"/>
          <w:highlight w:val="none"/>
        </w:rPr>
        <w:t>”</w:t>
      </w:r>
      <w:r>
        <w:rPr>
          <w:color w:val="auto"/>
          <w:spacing w:val="1"/>
          <w:sz w:val="21"/>
          <w:szCs w:val="21"/>
          <w:highlight w:val="none"/>
        </w:rPr>
        <w:t>的要求在投标函中进行报价并填写</w:t>
      </w:r>
      <w:r>
        <w:rPr>
          <w:color w:val="auto"/>
          <w:spacing w:val="-2"/>
          <w:sz w:val="21"/>
          <w:szCs w:val="21"/>
          <w:highlight w:val="none"/>
        </w:rPr>
        <w:t>分项报价表。</w:t>
      </w:r>
    </w:p>
    <w:p>
      <w:pPr>
        <w:pStyle w:val="13"/>
        <w:spacing w:before="151" w:line="233" w:lineRule="auto"/>
        <w:ind w:left="468"/>
        <w:rPr>
          <w:color w:val="auto"/>
          <w:sz w:val="21"/>
          <w:szCs w:val="21"/>
          <w:highlight w:val="none"/>
        </w:rPr>
      </w:pPr>
      <w:r>
        <w:rPr>
          <w:rFonts w:ascii="Times New Roman" w:hAnsi="Times New Roman" w:eastAsia="Times New Roman" w:cs="Times New Roman"/>
          <w:color w:val="auto"/>
          <w:sz w:val="21"/>
          <w:szCs w:val="21"/>
          <w:highlight w:val="none"/>
        </w:rPr>
        <w:t xml:space="preserve">3.2.2  </w:t>
      </w:r>
      <w:r>
        <w:rPr>
          <w:color w:val="auto"/>
          <w:sz w:val="21"/>
          <w:szCs w:val="21"/>
          <w:highlight w:val="none"/>
        </w:rPr>
        <w:t>投标人应充分了解该项目的总体情况以及影响投标报价的</w:t>
      </w:r>
      <w:r>
        <w:rPr>
          <w:color w:val="auto"/>
          <w:spacing w:val="-1"/>
          <w:sz w:val="21"/>
          <w:szCs w:val="21"/>
          <w:highlight w:val="none"/>
        </w:rPr>
        <w:t>其他要素。</w:t>
      </w:r>
    </w:p>
    <w:p>
      <w:pPr>
        <w:pStyle w:val="13"/>
        <w:spacing w:before="134" w:line="322" w:lineRule="auto"/>
        <w:ind w:right="2" w:firstLine="468"/>
        <w:rPr>
          <w:color w:val="auto"/>
          <w:sz w:val="21"/>
          <w:szCs w:val="21"/>
          <w:highlight w:val="none"/>
        </w:rPr>
      </w:pPr>
      <w:r>
        <w:rPr>
          <w:rFonts w:ascii="Times New Roman" w:hAnsi="Times New Roman" w:eastAsia="Times New Roman" w:cs="Times New Roman"/>
          <w:color w:val="auto"/>
          <w:spacing w:val="-2"/>
          <w:sz w:val="21"/>
          <w:szCs w:val="21"/>
          <w:highlight w:val="none"/>
        </w:rPr>
        <w:t xml:space="preserve">3.2.3  </w:t>
      </w:r>
      <w:r>
        <w:rPr>
          <w:color w:val="auto"/>
          <w:spacing w:val="-2"/>
          <w:sz w:val="21"/>
          <w:szCs w:val="21"/>
          <w:highlight w:val="none"/>
        </w:rPr>
        <w:t>投标报价为各分项报价金额之和，投标报价与分项报价的合价不一致的，应以各分项</w:t>
      </w:r>
      <w:r>
        <w:rPr>
          <w:color w:val="auto"/>
          <w:sz w:val="21"/>
          <w:szCs w:val="21"/>
          <w:highlight w:val="none"/>
        </w:rPr>
        <w:t>合价累计数为准，</w:t>
      </w:r>
      <w:r>
        <w:rPr>
          <w:color w:val="auto"/>
          <w:spacing w:val="-34"/>
          <w:sz w:val="21"/>
          <w:szCs w:val="21"/>
          <w:highlight w:val="none"/>
        </w:rPr>
        <w:t xml:space="preserve"> </w:t>
      </w:r>
      <w:r>
        <w:rPr>
          <w:color w:val="auto"/>
          <w:sz w:val="21"/>
          <w:szCs w:val="21"/>
          <w:highlight w:val="none"/>
        </w:rPr>
        <w:t>修正投标报价；如分项报价中存在缺漏项，则视为缺漏项价格已包含在其他分项报价之中。</w:t>
      </w:r>
      <w:r>
        <w:rPr>
          <w:color w:val="auto"/>
          <w:spacing w:val="-34"/>
          <w:sz w:val="21"/>
          <w:szCs w:val="21"/>
          <w:highlight w:val="none"/>
        </w:rPr>
        <w:t xml:space="preserve"> </w:t>
      </w:r>
      <w:r>
        <w:rPr>
          <w:color w:val="auto"/>
          <w:sz w:val="21"/>
          <w:szCs w:val="21"/>
          <w:highlight w:val="none"/>
        </w:rPr>
        <w:t>投标人在投标截止时间前修改投标函中的投标报价总额，应同时修改投标文件</w:t>
      </w:r>
      <w:r>
        <w:rPr>
          <w:rFonts w:ascii="Times New Roman" w:hAnsi="Times New Roman" w:eastAsia="Times New Roman" w:cs="Times New Roman"/>
          <w:color w:val="auto"/>
          <w:spacing w:val="2"/>
          <w:sz w:val="21"/>
          <w:szCs w:val="21"/>
          <w:highlight w:val="none"/>
        </w:rPr>
        <w:t>“</w:t>
      </w:r>
      <w:r>
        <w:rPr>
          <w:color w:val="auto"/>
          <w:spacing w:val="2"/>
          <w:sz w:val="21"/>
          <w:szCs w:val="21"/>
          <w:highlight w:val="none"/>
        </w:rPr>
        <w:t>分项报价表</w:t>
      </w:r>
      <w:r>
        <w:rPr>
          <w:rFonts w:ascii="Times New Roman" w:hAnsi="Times New Roman" w:eastAsia="Times New Roman" w:cs="Times New Roman"/>
          <w:color w:val="auto"/>
          <w:spacing w:val="2"/>
          <w:sz w:val="21"/>
          <w:szCs w:val="21"/>
          <w:highlight w:val="none"/>
        </w:rPr>
        <w:t>”</w:t>
      </w:r>
      <w:r>
        <w:rPr>
          <w:color w:val="auto"/>
          <w:spacing w:val="2"/>
          <w:sz w:val="21"/>
          <w:szCs w:val="21"/>
          <w:highlight w:val="none"/>
        </w:rPr>
        <w:t>中的相应报价。此修改须符合本章第</w:t>
      </w:r>
      <w:r>
        <w:rPr>
          <w:rFonts w:ascii="Times New Roman" w:hAnsi="Times New Roman" w:eastAsia="Times New Roman" w:cs="Times New Roman"/>
          <w:color w:val="auto"/>
          <w:spacing w:val="2"/>
          <w:sz w:val="21"/>
          <w:szCs w:val="21"/>
          <w:highlight w:val="none"/>
        </w:rPr>
        <w:t xml:space="preserve">4.3 </w:t>
      </w:r>
      <w:r>
        <w:rPr>
          <w:color w:val="auto"/>
          <w:spacing w:val="2"/>
          <w:sz w:val="21"/>
          <w:szCs w:val="21"/>
          <w:highlight w:val="none"/>
        </w:rPr>
        <w:t>款的有关要求。</w:t>
      </w:r>
    </w:p>
    <w:p>
      <w:pPr>
        <w:pStyle w:val="13"/>
        <w:spacing w:before="135" w:line="286" w:lineRule="auto"/>
        <w:ind w:left="48" w:right="2" w:firstLine="419"/>
        <w:rPr>
          <w:color w:val="auto"/>
          <w:sz w:val="21"/>
          <w:szCs w:val="21"/>
          <w:highlight w:val="none"/>
        </w:rPr>
      </w:pPr>
      <w:r>
        <w:rPr>
          <w:rFonts w:ascii="Times New Roman" w:hAnsi="Times New Roman" w:eastAsia="Times New Roman" w:cs="Times New Roman"/>
          <w:color w:val="auto"/>
          <w:spacing w:val="-2"/>
          <w:sz w:val="21"/>
          <w:szCs w:val="21"/>
          <w:highlight w:val="none"/>
        </w:rPr>
        <w:t xml:space="preserve">3.2.4  </w:t>
      </w:r>
      <w:r>
        <w:rPr>
          <w:color w:val="auto"/>
          <w:spacing w:val="-2"/>
          <w:sz w:val="21"/>
          <w:szCs w:val="21"/>
          <w:highlight w:val="none"/>
        </w:rPr>
        <w:t>招标人设有最高投标限价的，投标人的投标报价不得超过最高投标限价，最高投标限价在投标人须知前附表中载明。</w:t>
      </w:r>
    </w:p>
    <w:p>
      <w:pPr>
        <w:pStyle w:val="13"/>
        <w:spacing w:before="149" w:line="233" w:lineRule="auto"/>
        <w:ind w:left="468"/>
        <w:rPr>
          <w:color w:val="auto"/>
          <w:sz w:val="21"/>
          <w:szCs w:val="21"/>
          <w:highlight w:val="none"/>
        </w:rPr>
      </w:pPr>
      <w:r>
        <w:rPr>
          <w:rFonts w:ascii="Times New Roman" w:hAnsi="Times New Roman" w:eastAsia="Times New Roman" w:cs="Times New Roman"/>
          <w:color w:val="auto"/>
          <w:sz w:val="21"/>
          <w:szCs w:val="21"/>
          <w:highlight w:val="none"/>
        </w:rPr>
        <w:t xml:space="preserve">3.2.5  </w:t>
      </w:r>
      <w:r>
        <w:rPr>
          <w:color w:val="auto"/>
          <w:sz w:val="21"/>
          <w:szCs w:val="21"/>
          <w:highlight w:val="none"/>
        </w:rPr>
        <w:t>投标报价的其他要求见投标</w:t>
      </w:r>
      <w:r>
        <w:rPr>
          <w:color w:val="auto"/>
          <w:spacing w:val="-1"/>
          <w:sz w:val="21"/>
          <w:szCs w:val="21"/>
          <w:highlight w:val="none"/>
        </w:rPr>
        <w:t>人须知前附表。</w:t>
      </w:r>
    </w:p>
    <w:p>
      <w:pPr>
        <w:spacing w:before="297" w:line="232" w:lineRule="auto"/>
        <w:ind w:left="187"/>
        <w:outlineLvl w:val="2"/>
        <w:rPr>
          <w:rFonts w:ascii="黑体" w:hAnsi="黑体" w:eastAsia="黑体" w:cs="黑体"/>
          <w:color w:val="auto"/>
          <w:sz w:val="28"/>
          <w:szCs w:val="28"/>
          <w:highlight w:val="none"/>
        </w:rPr>
      </w:pPr>
      <w:bookmarkStart w:id="34" w:name="bookmark41"/>
      <w:bookmarkEnd w:id="34"/>
      <w:r>
        <w:rPr>
          <w:rFonts w:ascii="Times New Roman" w:hAnsi="Times New Roman" w:eastAsia="Times New Roman" w:cs="Times New Roman"/>
          <w:color w:val="auto"/>
          <w:spacing w:val="-1"/>
          <w:sz w:val="28"/>
          <w:szCs w:val="28"/>
          <w:highlight w:val="none"/>
        </w:rPr>
        <w:t xml:space="preserve">3.3  </w:t>
      </w:r>
      <w:r>
        <w:rPr>
          <w:rFonts w:ascii="黑体" w:hAnsi="黑体" w:eastAsia="黑体" w:cs="黑体"/>
          <w:color w:val="auto"/>
          <w:spacing w:val="-1"/>
          <w:sz w:val="28"/>
          <w:szCs w:val="28"/>
          <w:highlight w:val="none"/>
        </w:rPr>
        <w:t>投标有效期</w:t>
      </w:r>
    </w:p>
    <w:p>
      <w:pPr>
        <w:spacing w:line="299" w:lineRule="auto"/>
        <w:rPr>
          <w:rFonts w:ascii="Arial"/>
          <w:color w:val="auto"/>
          <w:sz w:val="21"/>
          <w:highlight w:val="none"/>
        </w:rPr>
      </w:pPr>
    </w:p>
    <w:p>
      <w:pPr>
        <w:pStyle w:val="13"/>
        <w:spacing w:before="69" w:line="234" w:lineRule="auto"/>
        <w:ind w:left="468"/>
        <w:rPr>
          <w:color w:val="auto"/>
          <w:sz w:val="21"/>
          <w:szCs w:val="21"/>
          <w:highlight w:val="none"/>
        </w:rPr>
      </w:pPr>
      <w:r>
        <w:rPr>
          <w:rFonts w:ascii="Times New Roman" w:hAnsi="Times New Roman" w:eastAsia="Times New Roman" w:cs="Times New Roman"/>
          <w:color w:val="auto"/>
          <w:spacing w:val="-1"/>
          <w:sz w:val="21"/>
          <w:szCs w:val="21"/>
          <w:highlight w:val="none"/>
        </w:rPr>
        <w:t xml:space="preserve">3.3.1  </w:t>
      </w:r>
      <w:r>
        <w:rPr>
          <w:color w:val="auto"/>
          <w:spacing w:val="-1"/>
          <w:sz w:val="21"/>
          <w:szCs w:val="21"/>
          <w:highlight w:val="none"/>
        </w:rPr>
        <w:t>除投标人须知前附表另有规定外，投标有效期为</w:t>
      </w:r>
      <w:r>
        <w:rPr>
          <w:color w:val="auto"/>
          <w:spacing w:val="-26"/>
          <w:sz w:val="21"/>
          <w:szCs w:val="21"/>
          <w:highlight w:val="none"/>
        </w:rPr>
        <w:t xml:space="preserve"> </w:t>
      </w:r>
      <w:r>
        <w:rPr>
          <w:rFonts w:ascii="Times New Roman" w:hAnsi="Times New Roman" w:eastAsia="Times New Roman" w:cs="Times New Roman"/>
          <w:color w:val="auto"/>
          <w:spacing w:val="-1"/>
          <w:sz w:val="21"/>
          <w:szCs w:val="21"/>
          <w:highlight w:val="none"/>
        </w:rPr>
        <w:t xml:space="preserve">90 </w:t>
      </w:r>
      <w:r>
        <w:rPr>
          <w:color w:val="auto"/>
          <w:spacing w:val="-1"/>
          <w:sz w:val="21"/>
          <w:szCs w:val="21"/>
          <w:highlight w:val="none"/>
        </w:rPr>
        <w:t>天。</w:t>
      </w:r>
    </w:p>
    <w:p>
      <w:pPr>
        <w:pStyle w:val="13"/>
        <w:spacing w:before="136" w:line="234" w:lineRule="auto"/>
        <w:ind w:left="468"/>
        <w:rPr>
          <w:color w:val="auto"/>
          <w:sz w:val="21"/>
          <w:szCs w:val="21"/>
          <w:highlight w:val="none"/>
        </w:rPr>
      </w:pPr>
      <w:r>
        <w:rPr>
          <w:rFonts w:ascii="Times New Roman" w:hAnsi="Times New Roman" w:eastAsia="Times New Roman" w:cs="Times New Roman"/>
          <w:color w:val="auto"/>
          <w:sz w:val="21"/>
          <w:szCs w:val="21"/>
          <w:highlight w:val="none"/>
        </w:rPr>
        <w:t xml:space="preserve">3.3.2  </w:t>
      </w:r>
      <w:r>
        <w:rPr>
          <w:color w:val="auto"/>
          <w:sz w:val="21"/>
          <w:szCs w:val="21"/>
          <w:highlight w:val="none"/>
        </w:rPr>
        <w:t>在投标有效期内，投标人撤销投标文件的，应承担招标文件和法律规定</w:t>
      </w:r>
      <w:r>
        <w:rPr>
          <w:color w:val="auto"/>
          <w:spacing w:val="-1"/>
          <w:sz w:val="21"/>
          <w:szCs w:val="21"/>
          <w:highlight w:val="none"/>
        </w:rPr>
        <w:t>的责任。</w:t>
      </w:r>
    </w:p>
    <w:p>
      <w:pPr>
        <w:pStyle w:val="13"/>
        <w:spacing w:before="131" w:line="319" w:lineRule="auto"/>
        <w:ind w:left="47" w:firstLine="421"/>
        <w:rPr>
          <w:color w:val="auto"/>
          <w:sz w:val="21"/>
          <w:szCs w:val="21"/>
          <w:highlight w:val="none"/>
        </w:rPr>
      </w:pPr>
      <w:r>
        <w:rPr>
          <w:rFonts w:ascii="Times New Roman" w:hAnsi="Times New Roman" w:eastAsia="Times New Roman" w:cs="Times New Roman"/>
          <w:color w:val="auto"/>
          <w:spacing w:val="-2"/>
          <w:sz w:val="21"/>
          <w:szCs w:val="21"/>
          <w:highlight w:val="none"/>
        </w:rPr>
        <w:t xml:space="preserve">3.3.3  </w:t>
      </w:r>
      <w:r>
        <w:rPr>
          <w:color w:val="auto"/>
          <w:spacing w:val="-2"/>
          <w:sz w:val="21"/>
          <w:szCs w:val="21"/>
          <w:highlight w:val="none"/>
        </w:rPr>
        <w:t>出现特殊情况需要延长投标有效期的，招标人以书面形式通知所有投标人延长投标有</w:t>
      </w:r>
      <w:r>
        <w:rPr>
          <w:color w:val="auto"/>
          <w:spacing w:val="9"/>
          <w:sz w:val="21"/>
          <w:szCs w:val="21"/>
          <w:highlight w:val="none"/>
        </w:rPr>
        <w:t xml:space="preserve"> </w:t>
      </w:r>
      <w:r>
        <w:rPr>
          <w:color w:val="auto"/>
          <w:spacing w:val="1"/>
          <w:sz w:val="21"/>
          <w:szCs w:val="21"/>
          <w:highlight w:val="none"/>
        </w:rPr>
        <w:t>效期。投标人应予以书面答复，同意延长的，应相应延</w:t>
      </w:r>
      <w:r>
        <w:rPr>
          <w:color w:val="auto"/>
          <w:sz w:val="21"/>
          <w:szCs w:val="21"/>
          <w:highlight w:val="none"/>
        </w:rPr>
        <w:t xml:space="preserve">长其投标保证金的有效期，但不得要求 </w:t>
      </w:r>
      <w:r>
        <w:rPr>
          <w:color w:val="auto"/>
          <w:spacing w:val="1"/>
          <w:sz w:val="21"/>
          <w:szCs w:val="21"/>
          <w:highlight w:val="none"/>
        </w:rPr>
        <w:t>或被允许修改其投标文件；投标人拒绝延长的，其投标失</w:t>
      </w:r>
      <w:r>
        <w:rPr>
          <w:color w:val="auto"/>
          <w:sz w:val="21"/>
          <w:szCs w:val="21"/>
          <w:highlight w:val="none"/>
        </w:rPr>
        <w:t>效，但投标人有权收回其投标保证金 及以现金或者支票形式递交的投标保证金的银行同期存款利</w:t>
      </w:r>
      <w:r>
        <w:rPr>
          <w:color w:val="auto"/>
          <w:spacing w:val="-1"/>
          <w:sz w:val="21"/>
          <w:szCs w:val="21"/>
          <w:highlight w:val="none"/>
        </w:rPr>
        <w:t>息。</w:t>
      </w:r>
    </w:p>
    <w:p>
      <w:pPr>
        <w:spacing w:before="311" w:line="234" w:lineRule="auto"/>
        <w:ind w:left="187"/>
        <w:outlineLvl w:val="2"/>
        <w:rPr>
          <w:rFonts w:ascii="黑体" w:hAnsi="黑体" w:eastAsia="黑体" w:cs="黑体"/>
          <w:color w:val="auto"/>
          <w:sz w:val="28"/>
          <w:szCs w:val="28"/>
          <w:highlight w:val="none"/>
        </w:rPr>
      </w:pPr>
      <w:bookmarkStart w:id="35" w:name="bookmark42"/>
      <w:bookmarkEnd w:id="35"/>
      <w:r>
        <w:rPr>
          <w:rFonts w:ascii="Times New Roman" w:hAnsi="Times New Roman" w:eastAsia="Times New Roman" w:cs="Times New Roman"/>
          <w:color w:val="auto"/>
          <w:spacing w:val="-1"/>
          <w:sz w:val="28"/>
          <w:szCs w:val="28"/>
          <w:highlight w:val="none"/>
        </w:rPr>
        <w:t xml:space="preserve">3.4  </w:t>
      </w:r>
      <w:r>
        <w:rPr>
          <w:rFonts w:ascii="黑体" w:hAnsi="黑体" w:eastAsia="黑体" w:cs="黑体"/>
          <w:color w:val="auto"/>
          <w:spacing w:val="-1"/>
          <w:sz w:val="28"/>
          <w:szCs w:val="28"/>
          <w:highlight w:val="none"/>
        </w:rPr>
        <w:t>投标保证金</w:t>
      </w:r>
    </w:p>
    <w:p>
      <w:pPr>
        <w:spacing w:line="297" w:lineRule="auto"/>
        <w:rPr>
          <w:rFonts w:ascii="Arial"/>
          <w:color w:val="auto"/>
          <w:sz w:val="21"/>
          <w:highlight w:val="none"/>
        </w:rPr>
      </w:pPr>
    </w:p>
    <w:p>
      <w:pPr>
        <w:pStyle w:val="13"/>
        <w:spacing w:before="133" w:line="286" w:lineRule="auto"/>
        <w:ind w:firstLine="420"/>
        <w:rPr>
          <w:rFonts w:eastAsia="宋体" w:cs="Times New Roman"/>
          <w:color w:val="auto"/>
          <w:spacing w:val="-3"/>
          <w:sz w:val="21"/>
          <w:szCs w:val="21"/>
          <w:highlight w:val="none"/>
        </w:rPr>
      </w:pPr>
      <w:r>
        <w:rPr>
          <w:rFonts w:eastAsia="宋体" w:cs="Times New Roman"/>
          <w:color w:val="auto"/>
          <w:spacing w:val="-3"/>
          <w:sz w:val="21"/>
          <w:szCs w:val="21"/>
          <w:highlight w:val="none"/>
        </w:rPr>
        <w:t>3.4.1  投标人在递交投标文件的同时，应按投标人须知前附表规定的金额、形式和第六章“投标文件格式”规定的投标保证金格式递交投标保证金，并作为其投标文件的组成部分。境内投标 人以现金或者支票形式提交的投标保证金，应当从其基本账户转出并在投标文件中附上基本账 户开户证明。联合体投标的，其投标保证金可以由牵头人递交，并应符合投标人须知前附表的 规定。</w:t>
      </w:r>
    </w:p>
    <w:p>
      <w:pPr>
        <w:pStyle w:val="13"/>
        <w:spacing w:line="233" w:lineRule="auto"/>
        <w:ind w:left="420"/>
        <w:rPr>
          <w:color w:val="auto"/>
          <w:sz w:val="21"/>
          <w:szCs w:val="21"/>
          <w:highlight w:val="none"/>
        </w:rPr>
      </w:pPr>
      <w:r>
        <w:rPr>
          <w:rFonts w:ascii="Times New Roman" w:hAnsi="Times New Roman" w:eastAsia="Times New Roman" w:cs="Times New Roman"/>
          <w:color w:val="auto"/>
          <w:spacing w:val="-1"/>
          <w:sz w:val="21"/>
          <w:szCs w:val="21"/>
          <w:highlight w:val="none"/>
        </w:rPr>
        <w:t xml:space="preserve">3.4.2  </w:t>
      </w:r>
      <w:r>
        <w:rPr>
          <w:color w:val="auto"/>
          <w:spacing w:val="-1"/>
          <w:sz w:val="21"/>
          <w:szCs w:val="21"/>
          <w:highlight w:val="none"/>
        </w:rPr>
        <w:t>投标人不按本章第</w:t>
      </w:r>
      <w:r>
        <w:rPr>
          <w:color w:val="auto"/>
          <w:spacing w:val="-33"/>
          <w:sz w:val="21"/>
          <w:szCs w:val="21"/>
          <w:highlight w:val="none"/>
        </w:rPr>
        <w:t xml:space="preserve"> </w:t>
      </w:r>
      <w:r>
        <w:rPr>
          <w:rFonts w:ascii="Times New Roman" w:hAnsi="Times New Roman" w:eastAsia="Times New Roman" w:cs="Times New Roman"/>
          <w:color w:val="auto"/>
          <w:spacing w:val="-1"/>
          <w:sz w:val="21"/>
          <w:szCs w:val="21"/>
          <w:highlight w:val="none"/>
        </w:rPr>
        <w:t xml:space="preserve">3.4.1 </w:t>
      </w:r>
      <w:r>
        <w:rPr>
          <w:color w:val="auto"/>
          <w:spacing w:val="-1"/>
          <w:sz w:val="21"/>
          <w:szCs w:val="21"/>
          <w:highlight w:val="none"/>
        </w:rPr>
        <w:t>项要求提交投标保证金的，评标委员会将否决其投标。</w:t>
      </w:r>
    </w:p>
    <w:p>
      <w:pPr>
        <w:pStyle w:val="13"/>
        <w:spacing w:before="133" w:line="286" w:lineRule="auto"/>
        <w:ind w:firstLine="420"/>
        <w:rPr>
          <w:color w:val="auto"/>
          <w:sz w:val="21"/>
          <w:szCs w:val="21"/>
          <w:highlight w:val="none"/>
        </w:rPr>
      </w:pPr>
      <w:r>
        <w:rPr>
          <w:rFonts w:ascii="Times New Roman" w:hAnsi="Times New Roman" w:eastAsia="Times New Roman" w:cs="Times New Roman"/>
          <w:color w:val="auto"/>
          <w:spacing w:val="-3"/>
          <w:sz w:val="21"/>
          <w:szCs w:val="21"/>
          <w:highlight w:val="none"/>
        </w:rPr>
        <w:t xml:space="preserve">3.4.3  </w:t>
      </w:r>
      <w:r>
        <w:rPr>
          <w:color w:val="auto"/>
          <w:spacing w:val="-3"/>
          <w:sz w:val="21"/>
          <w:szCs w:val="21"/>
          <w:highlight w:val="none"/>
        </w:rPr>
        <w:t>招标人最迟将在与中标人签订合同后</w:t>
      </w:r>
      <w:r>
        <w:rPr>
          <w:color w:val="auto"/>
          <w:spacing w:val="-42"/>
          <w:sz w:val="21"/>
          <w:szCs w:val="21"/>
          <w:highlight w:val="none"/>
        </w:rPr>
        <w:t xml:space="preserve"> </w:t>
      </w:r>
      <w:r>
        <w:rPr>
          <w:rFonts w:ascii="Times New Roman" w:hAnsi="Times New Roman" w:eastAsia="Times New Roman" w:cs="Times New Roman"/>
          <w:color w:val="auto"/>
          <w:spacing w:val="-3"/>
          <w:sz w:val="21"/>
          <w:szCs w:val="21"/>
          <w:highlight w:val="none"/>
        </w:rPr>
        <w:t xml:space="preserve">5  </w:t>
      </w:r>
      <w:r>
        <w:rPr>
          <w:color w:val="auto"/>
          <w:spacing w:val="-3"/>
          <w:sz w:val="21"/>
          <w:szCs w:val="21"/>
          <w:highlight w:val="none"/>
        </w:rPr>
        <w:t>日内，向未中标的投标人和中标人退</w:t>
      </w:r>
      <w:r>
        <w:rPr>
          <w:color w:val="auto"/>
          <w:spacing w:val="-4"/>
          <w:sz w:val="21"/>
          <w:szCs w:val="21"/>
          <w:highlight w:val="none"/>
        </w:rPr>
        <w:t>还投标保</w:t>
      </w:r>
      <w:r>
        <w:rPr>
          <w:color w:val="auto"/>
          <w:sz w:val="21"/>
          <w:szCs w:val="21"/>
          <w:highlight w:val="none"/>
        </w:rPr>
        <w:t xml:space="preserve"> 证金。投标保证金以现金或者支票形式递交的，还应退还银行同期存款</w:t>
      </w:r>
      <w:r>
        <w:rPr>
          <w:color w:val="auto"/>
          <w:spacing w:val="-1"/>
          <w:sz w:val="21"/>
          <w:szCs w:val="21"/>
          <w:highlight w:val="none"/>
        </w:rPr>
        <w:t>利息。</w:t>
      </w:r>
    </w:p>
    <w:p>
      <w:pPr>
        <w:pStyle w:val="13"/>
        <w:spacing w:before="151" w:line="234" w:lineRule="auto"/>
        <w:ind w:left="420"/>
        <w:rPr>
          <w:color w:val="auto"/>
          <w:sz w:val="21"/>
          <w:szCs w:val="21"/>
          <w:highlight w:val="none"/>
        </w:rPr>
      </w:pPr>
      <w:r>
        <w:rPr>
          <w:rFonts w:ascii="Times New Roman" w:hAnsi="Times New Roman" w:eastAsia="Times New Roman" w:cs="Times New Roman"/>
          <w:color w:val="auto"/>
          <w:spacing w:val="-1"/>
          <w:sz w:val="21"/>
          <w:szCs w:val="21"/>
          <w:highlight w:val="none"/>
        </w:rPr>
        <w:t xml:space="preserve">3.4.4  </w:t>
      </w:r>
      <w:r>
        <w:rPr>
          <w:color w:val="auto"/>
          <w:spacing w:val="-1"/>
          <w:sz w:val="21"/>
          <w:szCs w:val="21"/>
          <w:highlight w:val="none"/>
        </w:rPr>
        <w:t>有下列情形之一的，投标保证金将不</w:t>
      </w:r>
      <w:r>
        <w:rPr>
          <w:color w:val="auto"/>
          <w:spacing w:val="-2"/>
          <w:sz w:val="21"/>
          <w:szCs w:val="21"/>
          <w:highlight w:val="none"/>
        </w:rPr>
        <w:t>予退还：</w:t>
      </w:r>
    </w:p>
    <w:p>
      <w:pPr>
        <w:pStyle w:val="13"/>
        <w:spacing w:before="132" w:line="234" w:lineRule="auto"/>
        <w:ind w:left="320"/>
        <w:rPr>
          <w:color w:val="auto"/>
          <w:sz w:val="21"/>
          <w:szCs w:val="21"/>
          <w:highlight w:val="none"/>
        </w:rPr>
      </w:pPr>
      <w:r>
        <w:rPr>
          <w:color w:val="auto"/>
          <w:spacing w:val="-1"/>
          <w:sz w:val="21"/>
          <w:szCs w:val="21"/>
          <w:highlight w:val="none"/>
        </w:rPr>
        <w:t>（</w:t>
      </w:r>
      <w:r>
        <w:rPr>
          <w:rFonts w:ascii="Times New Roman" w:hAnsi="Times New Roman" w:eastAsia="Times New Roman" w:cs="Times New Roman"/>
          <w:color w:val="auto"/>
          <w:spacing w:val="-1"/>
          <w:sz w:val="21"/>
          <w:szCs w:val="21"/>
          <w:highlight w:val="none"/>
        </w:rPr>
        <w:t>1</w:t>
      </w:r>
      <w:r>
        <w:rPr>
          <w:color w:val="auto"/>
          <w:spacing w:val="-1"/>
          <w:sz w:val="21"/>
          <w:szCs w:val="21"/>
          <w:highlight w:val="none"/>
        </w:rPr>
        <w:t>）投标人在投标有效期内撤销投标文件；</w:t>
      </w:r>
    </w:p>
    <w:p>
      <w:pPr>
        <w:pStyle w:val="13"/>
        <w:spacing w:before="134" w:line="286" w:lineRule="auto"/>
        <w:ind w:left="1" w:right="3" w:firstLine="318"/>
        <w:rPr>
          <w:color w:val="auto"/>
          <w:sz w:val="21"/>
          <w:szCs w:val="21"/>
          <w:highlight w:val="none"/>
        </w:rPr>
      </w:pPr>
      <w:r>
        <w:rPr>
          <w:color w:val="auto"/>
          <w:sz w:val="21"/>
          <w:szCs w:val="21"/>
          <w:highlight w:val="none"/>
        </w:rPr>
        <w:t>（</w:t>
      </w:r>
      <w:r>
        <w:rPr>
          <w:rFonts w:ascii="Times New Roman" w:hAnsi="Times New Roman" w:eastAsia="Times New Roman" w:cs="Times New Roman"/>
          <w:color w:val="auto"/>
          <w:sz w:val="21"/>
          <w:szCs w:val="21"/>
          <w:highlight w:val="none"/>
        </w:rPr>
        <w:t>2</w:t>
      </w:r>
      <w:r>
        <w:rPr>
          <w:color w:val="auto"/>
          <w:sz w:val="21"/>
          <w:szCs w:val="21"/>
          <w:highlight w:val="none"/>
        </w:rPr>
        <w:t>）中标人在收到中标通知书后，无正当理由不与招标人订立合同，在签订合同时向招标</w:t>
      </w:r>
      <w:r>
        <w:rPr>
          <w:color w:val="auto"/>
          <w:spacing w:val="17"/>
          <w:sz w:val="21"/>
          <w:szCs w:val="21"/>
          <w:highlight w:val="none"/>
        </w:rPr>
        <w:t xml:space="preserve"> </w:t>
      </w:r>
      <w:r>
        <w:rPr>
          <w:color w:val="auto"/>
          <w:sz w:val="21"/>
          <w:szCs w:val="21"/>
          <w:highlight w:val="none"/>
        </w:rPr>
        <w:t>人提出附加条件，或者不按照招标文件要求提交</w:t>
      </w:r>
      <w:r>
        <w:rPr>
          <w:color w:val="auto"/>
          <w:spacing w:val="-1"/>
          <w:sz w:val="21"/>
          <w:szCs w:val="21"/>
          <w:highlight w:val="none"/>
        </w:rPr>
        <w:t>履约保证金；</w:t>
      </w:r>
    </w:p>
    <w:p>
      <w:pPr>
        <w:pStyle w:val="13"/>
        <w:spacing w:before="149" w:line="234" w:lineRule="auto"/>
        <w:ind w:left="320"/>
        <w:rPr>
          <w:color w:val="auto"/>
          <w:sz w:val="21"/>
          <w:szCs w:val="21"/>
          <w:highlight w:val="none"/>
        </w:rPr>
      </w:pPr>
      <w:r>
        <w:rPr>
          <w:color w:val="auto"/>
          <w:sz w:val="21"/>
          <w:szCs w:val="21"/>
          <w:highlight w:val="none"/>
        </w:rPr>
        <w:t>（</w:t>
      </w:r>
      <w:r>
        <w:rPr>
          <w:rFonts w:ascii="Times New Roman" w:hAnsi="Times New Roman" w:eastAsia="Times New Roman" w:cs="Times New Roman"/>
          <w:color w:val="auto"/>
          <w:sz w:val="21"/>
          <w:szCs w:val="21"/>
          <w:highlight w:val="none"/>
        </w:rPr>
        <w:t>3</w:t>
      </w:r>
      <w:r>
        <w:rPr>
          <w:color w:val="auto"/>
          <w:sz w:val="21"/>
          <w:szCs w:val="21"/>
          <w:highlight w:val="none"/>
        </w:rPr>
        <w:t>）发生投标人须知前附表规定的其他可以不予</w:t>
      </w:r>
      <w:r>
        <w:rPr>
          <w:color w:val="auto"/>
          <w:spacing w:val="-1"/>
          <w:sz w:val="21"/>
          <w:szCs w:val="21"/>
          <w:highlight w:val="none"/>
        </w:rPr>
        <w:t>退还投标保证金的情形。</w:t>
      </w:r>
    </w:p>
    <w:p>
      <w:pPr>
        <w:spacing w:before="296" w:line="233" w:lineRule="auto"/>
        <w:ind w:left="140"/>
        <w:outlineLvl w:val="2"/>
        <w:rPr>
          <w:rFonts w:ascii="黑体" w:hAnsi="黑体" w:eastAsia="黑体" w:cs="黑体"/>
          <w:strike/>
          <w:color w:val="auto"/>
          <w:sz w:val="28"/>
          <w:szCs w:val="28"/>
          <w:highlight w:val="none"/>
        </w:rPr>
      </w:pPr>
      <w:bookmarkStart w:id="36" w:name="bookmark43"/>
      <w:bookmarkEnd w:id="36"/>
      <w:r>
        <w:rPr>
          <w:rFonts w:ascii="Times New Roman" w:hAnsi="Times New Roman" w:eastAsia="Times New Roman" w:cs="Times New Roman"/>
          <w:strike/>
          <w:color w:val="auto"/>
          <w:spacing w:val="-2"/>
          <w:sz w:val="28"/>
          <w:szCs w:val="28"/>
          <w:highlight w:val="none"/>
        </w:rPr>
        <w:t xml:space="preserve">3.5  </w:t>
      </w:r>
      <w:r>
        <w:rPr>
          <w:rFonts w:ascii="黑体" w:hAnsi="黑体" w:eastAsia="黑体" w:cs="黑体"/>
          <w:strike/>
          <w:color w:val="auto"/>
          <w:spacing w:val="-2"/>
          <w:sz w:val="28"/>
          <w:szCs w:val="28"/>
          <w:highlight w:val="none"/>
        </w:rPr>
        <w:t>资格审查资料（适用于已进行资格预审的）</w:t>
      </w:r>
    </w:p>
    <w:p>
      <w:pPr>
        <w:spacing w:line="297" w:lineRule="auto"/>
        <w:rPr>
          <w:rFonts w:ascii="Arial"/>
          <w:strike/>
          <w:color w:val="auto"/>
          <w:sz w:val="21"/>
          <w:highlight w:val="none"/>
        </w:rPr>
      </w:pPr>
    </w:p>
    <w:p>
      <w:pPr>
        <w:pStyle w:val="13"/>
        <w:spacing w:before="69" w:line="353" w:lineRule="auto"/>
        <w:ind w:right="28" w:firstLine="421"/>
        <w:jc w:val="both"/>
        <w:rPr>
          <w:color w:val="auto"/>
          <w:sz w:val="21"/>
          <w:szCs w:val="21"/>
          <w:highlight w:val="none"/>
        </w:rPr>
      </w:pPr>
      <w:r>
        <w:rPr>
          <w:strike/>
          <w:color w:val="auto"/>
          <w:sz w:val="21"/>
          <w:szCs w:val="21"/>
          <w:highlight w:val="none"/>
        </w:rPr>
        <w:t>投标人在递交投标文件前，发生可能影响其投标资格的新情况的，应更新或补</w:t>
      </w:r>
      <w:r>
        <w:rPr>
          <w:strike/>
          <w:color w:val="auto"/>
          <w:spacing w:val="-1"/>
          <w:sz w:val="21"/>
          <w:szCs w:val="21"/>
          <w:highlight w:val="none"/>
        </w:rPr>
        <w:t>充其在申请</w:t>
      </w:r>
      <w:r>
        <w:rPr>
          <w:strike/>
          <w:color w:val="auto"/>
          <w:sz w:val="21"/>
          <w:szCs w:val="21"/>
          <w:highlight w:val="none"/>
        </w:rPr>
        <w:t xml:space="preserve"> 资格预审时提供的资料，以证实其各项资格条件仍能继续满足资格预审文件的要求，且</w:t>
      </w:r>
      <w:r>
        <w:rPr>
          <w:strike/>
          <w:color w:val="auto"/>
          <w:spacing w:val="-1"/>
          <w:sz w:val="21"/>
          <w:szCs w:val="21"/>
          <w:highlight w:val="none"/>
        </w:rPr>
        <w:t>没有实</w:t>
      </w:r>
      <w:r>
        <w:rPr>
          <w:strike/>
          <w:color w:val="auto"/>
          <w:sz w:val="21"/>
          <w:szCs w:val="21"/>
          <w:highlight w:val="none"/>
        </w:rPr>
        <w:t xml:space="preserve"> </w:t>
      </w:r>
      <w:r>
        <w:rPr>
          <w:strike/>
          <w:color w:val="auto"/>
          <w:spacing w:val="-5"/>
          <w:sz w:val="21"/>
          <w:szCs w:val="21"/>
          <w:highlight w:val="none"/>
        </w:rPr>
        <w:t>质性降低。</w:t>
      </w:r>
    </w:p>
    <w:p>
      <w:pPr>
        <w:spacing w:before="158" w:line="233" w:lineRule="auto"/>
        <w:ind w:left="140"/>
        <w:outlineLvl w:val="2"/>
        <w:rPr>
          <w:rFonts w:ascii="黑体" w:hAnsi="黑体" w:eastAsia="黑体" w:cs="黑体"/>
          <w:color w:val="auto"/>
          <w:spacing w:val="-2"/>
          <w:sz w:val="28"/>
          <w:szCs w:val="28"/>
          <w:highlight w:val="none"/>
        </w:rPr>
      </w:pPr>
      <w:bookmarkStart w:id="37" w:name="bookmark44"/>
      <w:bookmarkEnd w:id="37"/>
      <w:r>
        <w:rPr>
          <w:rFonts w:ascii="Times New Roman" w:hAnsi="Times New Roman" w:eastAsia="Times New Roman" w:cs="Times New Roman"/>
          <w:color w:val="auto"/>
          <w:spacing w:val="-2"/>
          <w:sz w:val="28"/>
          <w:szCs w:val="28"/>
          <w:highlight w:val="none"/>
        </w:rPr>
        <w:t xml:space="preserve">3.5  </w:t>
      </w:r>
      <w:r>
        <w:rPr>
          <w:rFonts w:ascii="黑体" w:hAnsi="黑体" w:eastAsia="黑体" w:cs="黑体"/>
          <w:color w:val="auto"/>
          <w:spacing w:val="-2"/>
          <w:sz w:val="28"/>
          <w:szCs w:val="28"/>
          <w:highlight w:val="none"/>
        </w:rPr>
        <w:t>资格审查资料（适用于未进行资格预审的）</w:t>
      </w:r>
    </w:p>
    <w:p>
      <w:pPr>
        <w:pStyle w:val="13"/>
        <w:spacing w:before="68" w:line="351" w:lineRule="auto"/>
        <w:ind w:left="0" w:right="12" w:firstLine="431"/>
        <w:rPr>
          <w:color w:val="auto"/>
          <w:sz w:val="21"/>
          <w:szCs w:val="21"/>
          <w:highlight w:val="none"/>
        </w:rPr>
      </w:pPr>
      <w:r>
        <w:rPr>
          <w:color w:val="auto"/>
          <w:sz w:val="21"/>
          <w:szCs w:val="21"/>
          <w:highlight w:val="none"/>
        </w:rPr>
        <w:t>除投标人须知前附表另有规定外，投标</w:t>
      </w:r>
      <w:r>
        <w:rPr>
          <w:color w:val="auto"/>
          <w:sz w:val="21"/>
          <w:szCs w:val="21"/>
          <w:highlight w:val="none"/>
          <w:u w:val="single"/>
        </w:rPr>
        <w:t>提供资格审查资料</w:t>
      </w:r>
      <w:r>
        <w:rPr>
          <w:rFonts w:hint="eastAsia"/>
          <w:color w:val="auto"/>
          <w:sz w:val="21"/>
          <w:szCs w:val="21"/>
          <w:highlight w:val="none"/>
          <w:u w:val="single"/>
          <w:lang w:val="en-US" w:eastAsia="zh-CN"/>
        </w:rPr>
        <w:t>应符合招标公告“3.投标人资格要求”</w:t>
      </w:r>
      <w:r>
        <w:rPr>
          <w:color w:val="auto"/>
          <w:sz w:val="21"/>
          <w:szCs w:val="21"/>
          <w:highlight w:val="none"/>
        </w:rPr>
        <w:t>，以证明其满足</w:t>
      </w:r>
      <w:r>
        <w:rPr>
          <w:rFonts w:hint="eastAsia"/>
          <w:color w:val="auto"/>
          <w:spacing w:val="2"/>
          <w:sz w:val="21"/>
          <w:szCs w:val="21"/>
          <w:highlight w:val="none"/>
          <w:u w:val="single"/>
          <w:lang w:val="en-US" w:eastAsia="zh-CN"/>
        </w:rPr>
        <w:t>资格要求</w:t>
      </w:r>
      <w:r>
        <w:rPr>
          <w:color w:val="auto"/>
          <w:spacing w:val="-2"/>
          <w:sz w:val="21"/>
          <w:szCs w:val="21"/>
          <w:highlight w:val="none"/>
        </w:rPr>
        <w:t>。</w:t>
      </w:r>
    </w:p>
    <w:p>
      <w:pPr>
        <w:spacing w:before="311" w:line="232" w:lineRule="auto"/>
        <w:ind w:left="140"/>
        <w:outlineLvl w:val="2"/>
        <w:rPr>
          <w:rFonts w:ascii="黑体" w:hAnsi="黑体" w:eastAsia="黑体" w:cs="黑体"/>
          <w:color w:val="auto"/>
          <w:sz w:val="28"/>
          <w:szCs w:val="28"/>
          <w:highlight w:val="none"/>
        </w:rPr>
      </w:pPr>
      <w:bookmarkStart w:id="38" w:name="bookmark45"/>
      <w:bookmarkEnd w:id="38"/>
      <w:r>
        <w:rPr>
          <w:rFonts w:ascii="Times New Roman" w:hAnsi="Times New Roman" w:eastAsia="Times New Roman" w:cs="Times New Roman"/>
          <w:color w:val="auto"/>
          <w:spacing w:val="-1"/>
          <w:sz w:val="28"/>
          <w:szCs w:val="28"/>
          <w:highlight w:val="none"/>
        </w:rPr>
        <w:t xml:space="preserve">3.6  </w:t>
      </w:r>
      <w:r>
        <w:rPr>
          <w:rFonts w:ascii="黑体" w:hAnsi="黑体" w:eastAsia="黑体" w:cs="黑体"/>
          <w:color w:val="auto"/>
          <w:spacing w:val="-1"/>
          <w:sz w:val="28"/>
          <w:szCs w:val="28"/>
          <w:highlight w:val="none"/>
        </w:rPr>
        <w:t>备选投标方案</w:t>
      </w:r>
    </w:p>
    <w:p>
      <w:pPr>
        <w:spacing w:line="300" w:lineRule="auto"/>
        <w:rPr>
          <w:rFonts w:ascii="Arial"/>
          <w:color w:val="auto"/>
          <w:sz w:val="21"/>
          <w:highlight w:val="none"/>
        </w:rPr>
      </w:pPr>
    </w:p>
    <w:p>
      <w:pPr>
        <w:pStyle w:val="13"/>
        <w:spacing w:before="69" w:line="285" w:lineRule="auto"/>
        <w:ind w:left="7" w:right="74" w:firstLine="413"/>
        <w:rPr>
          <w:color w:val="auto"/>
          <w:sz w:val="21"/>
          <w:szCs w:val="21"/>
          <w:highlight w:val="none"/>
        </w:rPr>
      </w:pPr>
      <w:r>
        <w:rPr>
          <w:rFonts w:ascii="Times New Roman" w:hAnsi="Times New Roman" w:eastAsia="Times New Roman" w:cs="Times New Roman"/>
          <w:color w:val="auto"/>
          <w:spacing w:val="-2"/>
          <w:sz w:val="21"/>
          <w:szCs w:val="21"/>
          <w:highlight w:val="none"/>
        </w:rPr>
        <w:t xml:space="preserve">3.6.1  </w:t>
      </w:r>
      <w:r>
        <w:rPr>
          <w:color w:val="auto"/>
          <w:spacing w:val="-2"/>
          <w:sz w:val="21"/>
          <w:szCs w:val="21"/>
          <w:highlight w:val="none"/>
        </w:rPr>
        <w:t>除投标人须知前附表规定允许外，投标人不得递交备选投标方案，否则其投标将被否</w:t>
      </w:r>
      <w:r>
        <w:rPr>
          <w:color w:val="auto"/>
          <w:spacing w:val="6"/>
          <w:sz w:val="21"/>
          <w:szCs w:val="21"/>
          <w:highlight w:val="none"/>
        </w:rPr>
        <w:t xml:space="preserve"> </w:t>
      </w:r>
      <w:r>
        <w:rPr>
          <w:color w:val="auto"/>
          <w:spacing w:val="-11"/>
          <w:sz w:val="21"/>
          <w:szCs w:val="21"/>
          <w:highlight w:val="none"/>
        </w:rPr>
        <w:t>决。</w:t>
      </w:r>
    </w:p>
    <w:p>
      <w:pPr>
        <w:pStyle w:val="13"/>
        <w:spacing w:before="150" w:line="308" w:lineRule="auto"/>
        <w:ind w:firstLine="421"/>
        <w:rPr>
          <w:color w:val="auto"/>
          <w:sz w:val="21"/>
          <w:szCs w:val="21"/>
          <w:highlight w:val="none"/>
        </w:rPr>
      </w:pPr>
      <w:r>
        <w:rPr>
          <w:rFonts w:ascii="Times New Roman" w:hAnsi="Times New Roman" w:eastAsia="Times New Roman" w:cs="Times New Roman"/>
          <w:color w:val="auto"/>
          <w:sz w:val="21"/>
          <w:szCs w:val="21"/>
          <w:highlight w:val="none"/>
        </w:rPr>
        <w:t xml:space="preserve">3.6.2  </w:t>
      </w:r>
      <w:r>
        <w:rPr>
          <w:color w:val="auto"/>
          <w:sz w:val="21"/>
          <w:szCs w:val="21"/>
          <w:highlight w:val="none"/>
        </w:rPr>
        <w:t>允许投标人递交备选投标方案的，只有中标人所递交的备选投标方案</w:t>
      </w:r>
      <w:r>
        <w:rPr>
          <w:color w:val="auto"/>
          <w:spacing w:val="-1"/>
          <w:sz w:val="21"/>
          <w:szCs w:val="21"/>
          <w:highlight w:val="none"/>
        </w:rPr>
        <w:t>方可予以考虑。</w:t>
      </w:r>
      <w:r>
        <w:rPr>
          <w:color w:val="auto"/>
          <w:sz w:val="21"/>
          <w:szCs w:val="21"/>
          <w:highlight w:val="none"/>
        </w:rPr>
        <w:t xml:space="preserve"> </w:t>
      </w:r>
      <w:r>
        <w:rPr>
          <w:color w:val="auto"/>
          <w:spacing w:val="1"/>
          <w:sz w:val="21"/>
          <w:szCs w:val="21"/>
          <w:highlight w:val="none"/>
        </w:rPr>
        <w:t>评标委员会认为中标人的备选投标方案优于其按照招标</w:t>
      </w:r>
      <w:r>
        <w:rPr>
          <w:color w:val="auto"/>
          <w:sz w:val="21"/>
          <w:szCs w:val="21"/>
          <w:highlight w:val="none"/>
        </w:rPr>
        <w:t xml:space="preserve">文件要求编制的投标方案的，招标人可 </w:t>
      </w:r>
      <w:r>
        <w:rPr>
          <w:color w:val="auto"/>
          <w:spacing w:val="-2"/>
          <w:sz w:val="21"/>
          <w:szCs w:val="21"/>
          <w:highlight w:val="none"/>
        </w:rPr>
        <w:t>以接受该备选投标方案。</w:t>
      </w:r>
    </w:p>
    <w:p>
      <w:pPr>
        <w:pStyle w:val="13"/>
        <w:spacing w:before="149" w:line="286" w:lineRule="auto"/>
        <w:ind w:left="1" w:right="74" w:firstLine="419"/>
        <w:rPr>
          <w:color w:val="auto"/>
          <w:sz w:val="21"/>
          <w:szCs w:val="21"/>
          <w:highlight w:val="none"/>
        </w:rPr>
      </w:pPr>
      <w:r>
        <w:rPr>
          <w:rFonts w:ascii="Times New Roman" w:hAnsi="Times New Roman" w:eastAsia="Times New Roman" w:cs="Times New Roman"/>
          <w:color w:val="auto"/>
          <w:spacing w:val="-2"/>
          <w:sz w:val="21"/>
          <w:szCs w:val="21"/>
          <w:highlight w:val="none"/>
        </w:rPr>
        <w:t xml:space="preserve">3.6.3  </w:t>
      </w:r>
      <w:r>
        <w:rPr>
          <w:color w:val="auto"/>
          <w:spacing w:val="-2"/>
          <w:sz w:val="21"/>
          <w:szCs w:val="21"/>
          <w:highlight w:val="none"/>
        </w:rPr>
        <w:t>投标人提供两个或两个以上投标报价，或者在投标文件中提供一个报价，但同时提供</w:t>
      </w:r>
      <w:r>
        <w:rPr>
          <w:color w:val="auto"/>
          <w:spacing w:val="6"/>
          <w:sz w:val="21"/>
          <w:szCs w:val="21"/>
          <w:highlight w:val="none"/>
        </w:rPr>
        <w:t xml:space="preserve"> </w:t>
      </w:r>
      <w:r>
        <w:rPr>
          <w:color w:val="auto"/>
          <w:spacing w:val="-1"/>
          <w:sz w:val="21"/>
          <w:szCs w:val="21"/>
          <w:highlight w:val="none"/>
        </w:rPr>
        <w:t>两个或两个以上供货方案的，视为提供备选方案。</w:t>
      </w:r>
    </w:p>
    <w:p>
      <w:pPr>
        <w:spacing w:before="310" w:line="232" w:lineRule="auto"/>
        <w:ind w:left="140"/>
        <w:outlineLvl w:val="2"/>
        <w:rPr>
          <w:rFonts w:ascii="黑体" w:hAnsi="黑体" w:eastAsia="黑体" w:cs="黑体"/>
          <w:color w:val="auto"/>
          <w:sz w:val="28"/>
          <w:szCs w:val="28"/>
          <w:highlight w:val="none"/>
        </w:rPr>
      </w:pPr>
      <w:bookmarkStart w:id="39" w:name="bookmark46"/>
      <w:bookmarkEnd w:id="39"/>
      <w:r>
        <w:rPr>
          <w:rFonts w:ascii="Times New Roman" w:hAnsi="Times New Roman" w:eastAsia="Times New Roman" w:cs="Times New Roman"/>
          <w:color w:val="auto"/>
          <w:spacing w:val="-1"/>
          <w:sz w:val="28"/>
          <w:szCs w:val="28"/>
          <w:highlight w:val="none"/>
        </w:rPr>
        <w:t xml:space="preserve">3.7  </w:t>
      </w:r>
      <w:r>
        <w:rPr>
          <w:rFonts w:ascii="黑体" w:hAnsi="黑体" w:eastAsia="黑体" w:cs="黑体"/>
          <w:color w:val="auto"/>
          <w:spacing w:val="-1"/>
          <w:sz w:val="28"/>
          <w:szCs w:val="28"/>
          <w:highlight w:val="none"/>
        </w:rPr>
        <w:t>投标文件的编制</w:t>
      </w:r>
    </w:p>
    <w:p>
      <w:pPr>
        <w:spacing w:line="300" w:lineRule="auto"/>
        <w:rPr>
          <w:rFonts w:ascii="Arial"/>
          <w:color w:val="auto"/>
          <w:sz w:val="21"/>
          <w:highlight w:val="none"/>
        </w:rPr>
      </w:pPr>
    </w:p>
    <w:p>
      <w:pPr>
        <w:pStyle w:val="13"/>
        <w:spacing w:before="69" w:line="286" w:lineRule="auto"/>
        <w:ind w:left="2" w:right="74" w:firstLine="418"/>
        <w:rPr>
          <w:color w:val="auto"/>
          <w:sz w:val="21"/>
          <w:szCs w:val="21"/>
          <w:highlight w:val="none"/>
        </w:rPr>
      </w:pPr>
      <w:r>
        <w:rPr>
          <w:rFonts w:ascii="Times New Roman" w:hAnsi="Times New Roman" w:eastAsia="Times New Roman" w:cs="Times New Roman"/>
          <w:color w:val="auto"/>
          <w:spacing w:val="-1"/>
          <w:sz w:val="21"/>
          <w:szCs w:val="21"/>
          <w:highlight w:val="none"/>
        </w:rPr>
        <w:t xml:space="preserve">3.7.1  </w:t>
      </w:r>
      <w:r>
        <w:rPr>
          <w:color w:val="auto"/>
          <w:spacing w:val="-1"/>
          <w:sz w:val="21"/>
          <w:szCs w:val="21"/>
          <w:highlight w:val="none"/>
        </w:rPr>
        <w:t>投标文件应按第六章</w:t>
      </w:r>
      <w:r>
        <w:rPr>
          <w:rFonts w:ascii="Times New Roman" w:hAnsi="Times New Roman" w:eastAsia="Times New Roman" w:cs="Times New Roman"/>
          <w:color w:val="auto"/>
          <w:spacing w:val="-1"/>
          <w:sz w:val="21"/>
          <w:szCs w:val="21"/>
          <w:highlight w:val="none"/>
        </w:rPr>
        <w:t>“</w:t>
      </w:r>
      <w:r>
        <w:rPr>
          <w:color w:val="auto"/>
          <w:spacing w:val="-1"/>
          <w:sz w:val="21"/>
          <w:szCs w:val="21"/>
          <w:highlight w:val="none"/>
        </w:rPr>
        <w:t>投标文件格式</w:t>
      </w:r>
      <w:r>
        <w:rPr>
          <w:rFonts w:ascii="Times New Roman" w:hAnsi="Times New Roman" w:eastAsia="Times New Roman" w:cs="Times New Roman"/>
          <w:color w:val="auto"/>
          <w:spacing w:val="-1"/>
          <w:sz w:val="21"/>
          <w:szCs w:val="21"/>
          <w:highlight w:val="none"/>
        </w:rPr>
        <w:t>”</w:t>
      </w:r>
      <w:r>
        <w:rPr>
          <w:color w:val="auto"/>
          <w:spacing w:val="-1"/>
          <w:sz w:val="21"/>
          <w:szCs w:val="21"/>
          <w:highlight w:val="none"/>
        </w:rPr>
        <w:t>进行编写，如有必</w:t>
      </w:r>
      <w:r>
        <w:rPr>
          <w:color w:val="auto"/>
          <w:spacing w:val="-2"/>
          <w:sz w:val="21"/>
          <w:szCs w:val="21"/>
          <w:highlight w:val="none"/>
        </w:rPr>
        <w:t>要，可以增加附页，作为投标</w:t>
      </w:r>
      <w:r>
        <w:rPr>
          <w:color w:val="auto"/>
          <w:sz w:val="21"/>
          <w:szCs w:val="21"/>
          <w:highlight w:val="none"/>
        </w:rPr>
        <w:t xml:space="preserve"> </w:t>
      </w:r>
      <w:r>
        <w:rPr>
          <w:color w:val="auto"/>
          <w:spacing w:val="-1"/>
          <w:sz w:val="21"/>
          <w:szCs w:val="21"/>
          <w:highlight w:val="none"/>
        </w:rPr>
        <w:t>文件的组成部分。</w:t>
      </w:r>
    </w:p>
    <w:p>
      <w:pPr>
        <w:pStyle w:val="13"/>
        <w:spacing w:before="150" w:line="308" w:lineRule="auto"/>
        <w:ind w:left="3" w:right="74" w:firstLine="417"/>
        <w:rPr>
          <w:color w:val="auto"/>
          <w:sz w:val="21"/>
          <w:szCs w:val="21"/>
          <w:highlight w:val="none"/>
        </w:rPr>
      </w:pPr>
      <w:r>
        <w:rPr>
          <w:rFonts w:ascii="Times New Roman" w:hAnsi="Times New Roman" w:eastAsia="Times New Roman" w:cs="Times New Roman"/>
          <w:color w:val="auto"/>
          <w:spacing w:val="-2"/>
          <w:sz w:val="21"/>
          <w:szCs w:val="21"/>
          <w:highlight w:val="none"/>
        </w:rPr>
        <w:t xml:space="preserve">3.7.2  </w:t>
      </w:r>
      <w:r>
        <w:rPr>
          <w:color w:val="auto"/>
          <w:spacing w:val="-2"/>
          <w:sz w:val="21"/>
          <w:szCs w:val="21"/>
          <w:highlight w:val="none"/>
        </w:rPr>
        <w:t>投标文件应当对招标文件有关供货期、投标有效期、供货要求、招标范围等实质性内</w:t>
      </w:r>
      <w:r>
        <w:rPr>
          <w:color w:val="auto"/>
          <w:spacing w:val="6"/>
          <w:sz w:val="21"/>
          <w:szCs w:val="21"/>
          <w:highlight w:val="none"/>
        </w:rPr>
        <w:t xml:space="preserve"> </w:t>
      </w:r>
      <w:r>
        <w:rPr>
          <w:color w:val="auto"/>
          <w:spacing w:val="1"/>
          <w:sz w:val="21"/>
          <w:szCs w:val="21"/>
          <w:highlight w:val="none"/>
        </w:rPr>
        <w:t>容作出响应。投标文件在满足招标文件实质性要</w:t>
      </w:r>
      <w:r>
        <w:rPr>
          <w:color w:val="auto"/>
          <w:sz w:val="21"/>
          <w:szCs w:val="21"/>
          <w:highlight w:val="none"/>
        </w:rPr>
        <w:t xml:space="preserve">求的基础上，可以提出比招标文件要求更有利 </w:t>
      </w:r>
      <w:r>
        <w:rPr>
          <w:color w:val="auto"/>
          <w:spacing w:val="-1"/>
          <w:sz w:val="21"/>
          <w:szCs w:val="21"/>
          <w:highlight w:val="none"/>
        </w:rPr>
        <w:t>于招标人的承诺。</w:t>
      </w:r>
    </w:p>
    <w:p>
      <w:pPr>
        <w:pStyle w:val="13"/>
        <w:spacing w:before="147" w:line="330" w:lineRule="auto"/>
        <w:ind w:right="72" w:firstLine="420"/>
        <w:rPr>
          <w:strike/>
          <w:color w:val="auto"/>
          <w:sz w:val="21"/>
          <w:szCs w:val="21"/>
          <w:highlight w:val="none"/>
        </w:rPr>
      </w:pPr>
      <w:r>
        <w:rPr>
          <w:rFonts w:ascii="Times New Roman" w:hAnsi="Times New Roman" w:eastAsia="Times New Roman" w:cs="Times New Roman"/>
          <w:strike/>
          <w:color w:val="auto"/>
          <w:spacing w:val="3"/>
          <w:sz w:val="21"/>
          <w:szCs w:val="21"/>
          <w:highlight w:val="none"/>
        </w:rPr>
        <w:t>3.7.3</w:t>
      </w:r>
      <w:r>
        <w:rPr>
          <w:strike/>
          <w:color w:val="auto"/>
          <w:spacing w:val="3"/>
          <w:sz w:val="21"/>
          <w:szCs w:val="21"/>
          <w:highlight w:val="none"/>
        </w:rPr>
        <w:t>（</w:t>
      </w:r>
      <w:r>
        <w:rPr>
          <w:rFonts w:ascii="Times New Roman" w:hAnsi="Times New Roman" w:eastAsia="Times New Roman" w:cs="Times New Roman"/>
          <w:strike/>
          <w:color w:val="auto"/>
          <w:spacing w:val="3"/>
          <w:sz w:val="21"/>
          <w:szCs w:val="21"/>
          <w:highlight w:val="none"/>
        </w:rPr>
        <w:t>A</w:t>
      </w:r>
      <w:r>
        <w:rPr>
          <w:strike/>
          <w:color w:val="auto"/>
          <w:spacing w:val="-58"/>
          <w:w w:val="96"/>
          <w:sz w:val="21"/>
          <w:szCs w:val="21"/>
          <w:highlight w:val="none"/>
        </w:rPr>
        <w:t>）（</w:t>
      </w:r>
      <w:r>
        <w:rPr>
          <w:rFonts w:ascii="Times New Roman" w:hAnsi="Times New Roman" w:eastAsia="Times New Roman" w:cs="Times New Roman"/>
          <w:strike/>
          <w:color w:val="auto"/>
          <w:spacing w:val="3"/>
          <w:sz w:val="21"/>
          <w:szCs w:val="21"/>
          <w:highlight w:val="none"/>
        </w:rPr>
        <w:t>1</w:t>
      </w:r>
      <w:r>
        <w:rPr>
          <w:strike/>
          <w:color w:val="auto"/>
          <w:spacing w:val="3"/>
          <w:sz w:val="21"/>
          <w:szCs w:val="21"/>
          <w:highlight w:val="none"/>
        </w:rPr>
        <w:t>）投标文件应用不褪色的材料书写或打</w:t>
      </w:r>
      <w:r>
        <w:rPr>
          <w:strike/>
          <w:color w:val="auto"/>
          <w:spacing w:val="2"/>
          <w:sz w:val="21"/>
          <w:szCs w:val="21"/>
          <w:highlight w:val="none"/>
        </w:rPr>
        <w:t>印，投标函及对投标文件的澄清、说</w:t>
      </w:r>
      <w:r>
        <w:rPr>
          <w:strike/>
          <w:color w:val="auto"/>
          <w:spacing w:val="3"/>
          <w:sz w:val="21"/>
          <w:szCs w:val="21"/>
          <w:highlight w:val="none"/>
        </w:rPr>
        <w:t xml:space="preserve"> </w:t>
      </w:r>
      <w:r>
        <w:rPr>
          <w:strike/>
          <w:color w:val="auto"/>
          <w:spacing w:val="1"/>
          <w:sz w:val="21"/>
          <w:szCs w:val="21"/>
          <w:highlight w:val="none"/>
        </w:rPr>
        <w:t>明和补正应由投标人的法定代表人（单位负责人）或其</w:t>
      </w:r>
      <w:r>
        <w:rPr>
          <w:strike/>
          <w:color w:val="auto"/>
          <w:sz w:val="21"/>
          <w:szCs w:val="21"/>
          <w:highlight w:val="none"/>
        </w:rPr>
        <w:t xml:space="preserve">授权的代理人签字或盖单位章。由投标 </w:t>
      </w:r>
      <w:r>
        <w:rPr>
          <w:strike/>
          <w:color w:val="auto"/>
          <w:spacing w:val="1"/>
          <w:sz w:val="21"/>
          <w:szCs w:val="21"/>
          <w:highlight w:val="none"/>
        </w:rPr>
        <w:t>人的法定代表人（单位负责人）签字的，应附法定代表</w:t>
      </w:r>
      <w:r>
        <w:rPr>
          <w:strike/>
          <w:color w:val="auto"/>
          <w:sz w:val="21"/>
          <w:szCs w:val="21"/>
          <w:highlight w:val="none"/>
        </w:rPr>
        <w:t xml:space="preserve">人（单位负责人）身份证明，由代理人 </w:t>
      </w:r>
      <w:r>
        <w:rPr>
          <w:strike/>
          <w:color w:val="auto"/>
          <w:spacing w:val="1"/>
          <w:sz w:val="21"/>
          <w:szCs w:val="21"/>
          <w:highlight w:val="none"/>
        </w:rPr>
        <w:t>签字的，应附授权委托书，身份证明或授权委托书应符合第六章</w:t>
      </w:r>
      <w:r>
        <w:rPr>
          <w:rFonts w:ascii="Times New Roman" w:hAnsi="Times New Roman" w:eastAsia="Times New Roman" w:cs="Times New Roman"/>
          <w:strike/>
          <w:color w:val="auto"/>
          <w:spacing w:val="1"/>
          <w:sz w:val="21"/>
          <w:szCs w:val="21"/>
          <w:highlight w:val="none"/>
        </w:rPr>
        <w:t>“</w:t>
      </w:r>
      <w:r>
        <w:rPr>
          <w:strike/>
          <w:color w:val="auto"/>
          <w:spacing w:val="1"/>
          <w:sz w:val="21"/>
          <w:szCs w:val="21"/>
          <w:highlight w:val="none"/>
        </w:rPr>
        <w:t>投标文件格式</w:t>
      </w:r>
      <w:r>
        <w:rPr>
          <w:rFonts w:ascii="Times New Roman" w:hAnsi="Times New Roman" w:eastAsia="Times New Roman" w:cs="Times New Roman"/>
          <w:strike/>
          <w:color w:val="auto"/>
          <w:spacing w:val="1"/>
          <w:sz w:val="21"/>
          <w:szCs w:val="21"/>
          <w:highlight w:val="none"/>
        </w:rPr>
        <w:t>”</w:t>
      </w:r>
      <w:r>
        <w:rPr>
          <w:strike/>
          <w:color w:val="auto"/>
          <w:spacing w:val="1"/>
          <w:sz w:val="21"/>
          <w:szCs w:val="21"/>
          <w:highlight w:val="none"/>
        </w:rPr>
        <w:t>的要求。投标</w:t>
      </w:r>
      <w:r>
        <w:rPr>
          <w:strike/>
          <w:color w:val="auto"/>
          <w:spacing w:val="7"/>
          <w:sz w:val="21"/>
          <w:szCs w:val="21"/>
          <w:highlight w:val="none"/>
        </w:rPr>
        <w:t xml:space="preserve"> </w:t>
      </w:r>
      <w:r>
        <w:rPr>
          <w:strike/>
          <w:color w:val="auto"/>
          <w:spacing w:val="1"/>
          <w:sz w:val="21"/>
          <w:szCs w:val="21"/>
          <w:highlight w:val="none"/>
        </w:rPr>
        <w:t>文件应尽量避免涂改、行间插字或删除。如果出现上述</w:t>
      </w:r>
      <w:r>
        <w:rPr>
          <w:strike/>
          <w:color w:val="auto"/>
          <w:sz w:val="21"/>
          <w:szCs w:val="21"/>
          <w:highlight w:val="none"/>
        </w:rPr>
        <w:t xml:space="preserve">情况，改动之处应由投标人的法定代表 </w:t>
      </w:r>
      <w:r>
        <w:rPr>
          <w:strike/>
          <w:color w:val="auto"/>
          <w:spacing w:val="-1"/>
          <w:sz w:val="21"/>
          <w:szCs w:val="21"/>
          <w:highlight w:val="none"/>
        </w:rPr>
        <w:t>人（单位负责人）或其授权的代理人签字或盖单位章。</w:t>
      </w:r>
    </w:p>
    <w:p>
      <w:pPr>
        <w:pStyle w:val="13"/>
        <w:spacing w:before="147" w:line="330" w:lineRule="auto"/>
        <w:ind w:left="0" w:right="72" w:firstLine="420"/>
        <w:rPr>
          <w:rFonts w:eastAsia="宋体" w:cs="Times New Roman"/>
          <w:strike/>
          <w:color w:val="auto"/>
          <w:spacing w:val="1"/>
          <w:sz w:val="21"/>
          <w:szCs w:val="21"/>
          <w:highlight w:val="none"/>
        </w:rPr>
      </w:pPr>
      <w:r>
        <w:rPr>
          <w:rFonts w:eastAsia="宋体" w:cs="Times New Roman"/>
          <w:strike/>
          <w:color w:val="auto"/>
          <w:spacing w:val="1"/>
          <w:sz w:val="21"/>
          <w:szCs w:val="21"/>
          <w:highlight w:val="none"/>
        </w:rPr>
        <w:t>（</w:t>
      </w:r>
      <w:r>
        <w:rPr>
          <w:rFonts w:ascii="Calibri" w:hAnsi="Calibri" w:eastAsia="宋体" w:cs="Times New Roman"/>
          <w:strike/>
          <w:color w:val="auto"/>
          <w:spacing w:val="1"/>
          <w:sz w:val="21"/>
          <w:szCs w:val="21"/>
          <w:highlight w:val="none"/>
        </w:rPr>
        <w:t>2</w:t>
      </w:r>
      <w:r>
        <w:rPr>
          <w:rFonts w:eastAsia="宋体" w:cs="Times New Roman"/>
          <w:strike/>
          <w:color w:val="auto"/>
          <w:spacing w:val="1"/>
          <w:sz w:val="21"/>
          <w:szCs w:val="21"/>
          <w:highlight w:val="none"/>
        </w:rPr>
        <w:t>）投标文件正本一份，副本份数见投标人须知前附表。正本和副本的封面右上角上应清 楚地标记</w:t>
      </w:r>
      <w:r>
        <w:rPr>
          <w:rFonts w:ascii="Calibri" w:hAnsi="Calibri" w:eastAsia="宋体" w:cs="Times New Roman"/>
          <w:strike/>
          <w:color w:val="auto"/>
          <w:spacing w:val="1"/>
          <w:sz w:val="21"/>
          <w:szCs w:val="21"/>
          <w:highlight w:val="none"/>
        </w:rPr>
        <w:t>“</w:t>
      </w:r>
      <w:r>
        <w:rPr>
          <w:rFonts w:eastAsia="宋体" w:cs="Times New Roman"/>
          <w:strike/>
          <w:color w:val="auto"/>
          <w:spacing w:val="1"/>
          <w:sz w:val="21"/>
          <w:szCs w:val="21"/>
          <w:highlight w:val="none"/>
        </w:rPr>
        <w:t>正本</w:t>
      </w:r>
      <w:r>
        <w:rPr>
          <w:rFonts w:ascii="Calibri" w:hAnsi="Calibri" w:eastAsia="宋体" w:cs="Times New Roman"/>
          <w:strike/>
          <w:color w:val="auto"/>
          <w:spacing w:val="1"/>
          <w:sz w:val="21"/>
          <w:szCs w:val="21"/>
          <w:highlight w:val="none"/>
        </w:rPr>
        <w:t>”</w:t>
      </w:r>
      <w:r>
        <w:rPr>
          <w:rFonts w:eastAsia="宋体" w:cs="Times New Roman"/>
          <w:strike/>
          <w:color w:val="auto"/>
          <w:spacing w:val="1"/>
          <w:sz w:val="21"/>
          <w:szCs w:val="21"/>
          <w:highlight w:val="none"/>
        </w:rPr>
        <w:t>或</w:t>
      </w:r>
      <w:r>
        <w:rPr>
          <w:rFonts w:ascii="Calibri" w:hAnsi="Calibri" w:eastAsia="宋体" w:cs="Times New Roman"/>
          <w:strike/>
          <w:color w:val="auto"/>
          <w:spacing w:val="1"/>
          <w:sz w:val="21"/>
          <w:szCs w:val="21"/>
          <w:highlight w:val="none"/>
        </w:rPr>
        <w:t>“</w:t>
      </w:r>
      <w:r>
        <w:rPr>
          <w:rFonts w:eastAsia="宋体" w:cs="Times New Roman"/>
          <w:strike/>
          <w:color w:val="auto"/>
          <w:spacing w:val="1"/>
          <w:sz w:val="21"/>
          <w:szCs w:val="21"/>
          <w:highlight w:val="none"/>
        </w:rPr>
        <w:t>副本</w:t>
      </w:r>
      <w:r>
        <w:rPr>
          <w:rFonts w:ascii="Calibri" w:hAnsi="Calibri" w:eastAsia="宋体" w:cs="Times New Roman"/>
          <w:strike/>
          <w:color w:val="auto"/>
          <w:spacing w:val="1"/>
          <w:sz w:val="21"/>
          <w:szCs w:val="21"/>
          <w:highlight w:val="none"/>
        </w:rPr>
        <w:t>”</w:t>
      </w:r>
      <w:r>
        <w:rPr>
          <w:rFonts w:eastAsia="宋体" w:cs="Times New Roman"/>
          <w:strike/>
          <w:color w:val="auto"/>
          <w:spacing w:val="1"/>
          <w:sz w:val="21"/>
          <w:szCs w:val="21"/>
          <w:highlight w:val="none"/>
        </w:rPr>
        <w:t>的字样。投标人应根据投标人须知前附表要求提供电子版文件。当副本和正本不一致或电子版文件和纸质正本文件不一致时，以纸质正本文件为准。</w:t>
      </w:r>
    </w:p>
    <w:p>
      <w:pPr>
        <w:pStyle w:val="13"/>
        <w:spacing w:before="147" w:line="330" w:lineRule="auto"/>
        <w:ind w:right="72" w:firstLine="420"/>
        <w:rPr>
          <w:rFonts w:eastAsia="宋体" w:cs="Times New Roman"/>
          <w:strike/>
          <w:color w:val="auto"/>
          <w:spacing w:val="1"/>
          <w:sz w:val="21"/>
          <w:szCs w:val="21"/>
          <w:highlight w:val="none"/>
        </w:rPr>
      </w:pPr>
      <w:r>
        <w:rPr>
          <w:rFonts w:eastAsia="宋体" w:cs="Times New Roman"/>
          <w:strike/>
          <w:color w:val="auto"/>
          <w:spacing w:val="1"/>
          <w:sz w:val="21"/>
          <w:szCs w:val="21"/>
          <w:highlight w:val="none"/>
        </w:rPr>
        <w:t>（</w:t>
      </w:r>
      <w:r>
        <w:rPr>
          <w:rFonts w:ascii="Calibri" w:hAnsi="Calibri" w:eastAsia="宋体" w:cs="Times New Roman"/>
          <w:strike/>
          <w:color w:val="auto"/>
          <w:spacing w:val="1"/>
          <w:sz w:val="21"/>
          <w:szCs w:val="21"/>
          <w:highlight w:val="none"/>
        </w:rPr>
        <w:t>3</w:t>
      </w:r>
      <w:r>
        <w:rPr>
          <w:rFonts w:eastAsia="宋体" w:cs="Times New Roman"/>
          <w:strike/>
          <w:color w:val="auto"/>
          <w:spacing w:val="1"/>
          <w:sz w:val="21"/>
          <w:szCs w:val="21"/>
          <w:highlight w:val="none"/>
        </w:rPr>
        <w:t>）投标文件的正本与副本应分别装订，并编制目录，投标文件需分册装订的，具体分册 装订要求见投标人须知前附表规定。</w:t>
      </w:r>
    </w:p>
    <w:p>
      <w:pPr>
        <w:pStyle w:val="13"/>
        <w:spacing w:before="21" w:line="352" w:lineRule="auto"/>
        <w:ind w:right="1" w:firstLine="420"/>
        <w:jc w:val="both"/>
        <w:rPr>
          <w:color w:val="auto"/>
          <w:sz w:val="21"/>
          <w:szCs w:val="21"/>
          <w:highlight w:val="none"/>
        </w:rPr>
      </w:pPr>
      <w:r>
        <w:rPr>
          <w:rFonts w:ascii="Times New Roman" w:hAnsi="Times New Roman" w:eastAsia="Times New Roman" w:cs="Times New Roman"/>
          <w:color w:val="auto"/>
          <w:spacing w:val="2"/>
          <w:sz w:val="21"/>
          <w:szCs w:val="21"/>
          <w:highlight w:val="none"/>
        </w:rPr>
        <w:t>3.7.3</w:t>
      </w:r>
      <w:r>
        <w:rPr>
          <w:color w:val="auto"/>
          <w:spacing w:val="2"/>
          <w:sz w:val="21"/>
          <w:szCs w:val="21"/>
          <w:highlight w:val="none"/>
        </w:rPr>
        <w:t>（</w:t>
      </w:r>
      <w:r>
        <w:rPr>
          <w:rFonts w:ascii="Times New Roman" w:hAnsi="Times New Roman" w:eastAsia="Times New Roman" w:cs="Times New Roman"/>
          <w:color w:val="auto"/>
          <w:spacing w:val="2"/>
          <w:sz w:val="21"/>
          <w:szCs w:val="21"/>
          <w:highlight w:val="none"/>
        </w:rPr>
        <w:t>B</w:t>
      </w:r>
      <w:r>
        <w:rPr>
          <w:color w:val="auto"/>
          <w:spacing w:val="2"/>
          <w:sz w:val="21"/>
          <w:szCs w:val="21"/>
          <w:highlight w:val="none"/>
        </w:rPr>
        <w:t>）投标文件全部采用电子文档，除投标人须知前附表另有规定外，投标文件所附</w:t>
      </w:r>
      <w:r>
        <w:rPr>
          <w:color w:val="auto"/>
          <w:spacing w:val="10"/>
          <w:sz w:val="21"/>
          <w:szCs w:val="21"/>
          <w:highlight w:val="none"/>
        </w:rPr>
        <w:t xml:space="preserve"> </w:t>
      </w:r>
      <w:r>
        <w:rPr>
          <w:color w:val="auto"/>
          <w:spacing w:val="1"/>
          <w:sz w:val="21"/>
          <w:szCs w:val="21"/>
          <w:highlight w:val="none"/>
        </w:rPr>
        <w:t>证书证件均为原件扫描件，并采用单位和个人数字证书</w:t>
      </w:r>
      <w:r>
        <w:rPr>
          <w:color w:val="auto"/>
          <w:sz w:val="21"/>
          <w:szCs w:val="21"/>
          <w:highlight w:val="none"/>
        </w:rPr>
        <w:t>，</w:t>
      </w:r>
      <w:r>
        <w:rPr>
          <w:color w:val="auto"/>
          <w:sz w:val="21"/>
          <w:szCs w:val="21"/>
          <w:highlight w:val="none"/>
          <w:u w:val="single"/>
        </w:rPr>
        <w:t>按招标文件要求加盖电子</w:t>
      </w:r>
      <w:r>
        <w:rPr>
          <w:color w:val="auto"/>
          <w:spacing w:val="1"/>
          <w:sz w:val="21"/>
          <w:szCs w:val="21"/>
          <w:highlight w:val="none"/>
          <w:u w:val="single"/>
        </w:rPr>
        <w:t>印章</w:t>
      </w:r>
      <w:r>
        <w:rPr>
          <w:color w:val="auto"/>
          <w:spacing w:val="1"/>
          <w:sz w:val="21"/>
          <w:szCs w:val="21"/>
          <w:highlight w:val="none"/>
        </w:rPr>
        <w:t>。由投标人的法定代表人（单位负责人）签字或加</w:t>
      </w:r>
      <w:r>
        <w:rPr>
          <w:color w:val="auto"/>
          <w:sz w:val="21"/>
          <w:szCs w:val="21"/>
          <w:highlight w:val="none"/>
        </w:rPr>
        <w:t>盖电子印章的，应附法定代表人（单位 负责人）身份证明，由代理人签字或加盖电子印</w:t>
      </w:r>
      <w:r>
        <w:rPr>
          <w:color w:val="auto"/>
          <w:spacing w:val="-1"/>
          <w:sz w:val="21"/>
          <w:szCs w:val="21"/>
          <w:highlight w:val="none"/>
        </w:rPr>
        <w:t>章的，应附由法定代表人（单位负责人）</w:t>
      </w:r>
      <w:r>
        <w:rPr>
          <w:color w:val="auto"/>
          <w:spacing w:val="-61"/>
          <w:sz w:val="21"/>
          <w:szCs w:val="21"/>
          <w:highlight w:val="none"/>
        </w:rPr>
        <w:t xml:space="preserve"> </w:t>
      </w:r>
      <w:r>
        <w:rPr>
          <w:color w:val="auto"/>
          <w:spacing w:val="-1"/>
          <w:sz w:val="21"/>
          <w:szCs w:val="21"/>
          <w:highlight w:val="none"/>
        </w:rPr>
        <w:t>签署</w:t>
      </w:r>
      <w:r>
        <w:rPr>
          <w:color w:val="auto"/>
          <w:sz w:val="21"/>
          <w:szCs w:val="21"/>
          <w:highlight w:val="none"/>
        </w:rPr>
        <w:t xml:space="preserve"> </w:t>
      </w:r>
      <w:r>
        <w:rPr>
          <w:color w:val="auto"/>
          <w:spacing w:val="-1"/>
          <w:sz w:val="21"/>
          <w:szCs w:val="21"/>
          <w:highlight w:val="none"/>
        </w:rPr>
        <w:t>的授权委托书。签字或盖章的具体要求见投标人须知前附表。</w:t>
      </w:r>
    </w:p>
    <w:p>
      <w:pPr>
        <w:spacing w:before="167" w:line="239" w:lineRule="auto"/>
        <w:outlineLvl w:val="1"/>
        <w:rPr>
          <w:rFonts w:ascii="黑体" w:hAnsi="黑体" w:eastAsia="黑体" w:cs="黑体"/>
          <w:color w:val="auto"/>
          <w:sz w:val="31"/>
          <w:szCs w:val="31"/>
          <w:highlight w:val="none"/>
        </w:rPr>
      </w:pPr>
      <w:bookmarkStart w:id="40" w:name="bookmark48"/>
      <w:bookmarkEnd w:id="40"/>
      <w:bookmarkStart w:id="41" w:name="bookmark47"/>
      <w:bookmarkEnd w:id="41"/>
      <w:r>
        <w:rPr>
          <w:rFonts w:ascii="Times New Roman" w:hAnsi="Times New Roman" w:eastAsia="Times New Roman" w:cs="Times New Roman"/>
          <w:b/>
          <w:bCs/>
          <w:color w:val="auto"/>
          <w:spacing w:val="1"/>
          <w:sz w:val="31"/>
          <w:szCs w:val="31"/>
          <w:highlight w:val="none"/>
        </w:rPr>
        <w:t>4.</w:t>
      </w:r>
      <w:r>
        <w:rPr>
          <w:rFonts w:ascii="Times New Roman" w:hAnsi="Times New Roman" w:eastAsia="Times New Roman" w:cs="Times New Roman"/>
          <w:b/>
          <w:bCs/>
          <w:color w:val="auto"/>
          <w:spacing w:val="7"/>
          <w:sz w:val="31"/>
          <w:szCs w:val="31"/>
          <w:highlight w:val="none"/>
        </w:rPr>
        <w:t xml:space="preserve">  </w:t>
      </w:r>
      <w:r>
        <w:rPr>
          <w:rFonts w:ascii="黑体" w:hAnsi="黑体" w:eastAsia="黑体" w:cs="黑体"/>
          <w:b/>
          <w:bCs/>
          <w:color w:val="auto"/>
          <w:spacing w:val="1"/>
          <w:sz w:val="31"/>
          <w:szCs w:val="31"/>
          <w:highlight w:val="none"/>
        </w:rPr>
        <w:t>投标</w:t>
      </w:r>
    </w:p>
    <w:p>
      <w:pPr>
        <w:spacing w:line="471" w:lineRule="auto"/>
        <w:rPr>
          <w:rFonts w:ascii="Arial"/>
          <w:color w:val="auto"/>
          <w:sz w:val="21"/>
          <w:highlight w:val="none"/>
        </w:rPr>
      </w:pPr>
    </w:p>
    <w:p>
      <w:pPr>
        <w:spacing w:before="91" w:line="232" w:lineRule="auto"/>
        <w:ind w:left="133"/>
        <w:outlineLvl w:val="2"/>
        <w:rPr>
          <w:rFonts w:ascii="黑体" w:hAnsi="黑体" w:eastAsia="黑体" w:cs="黑体"/>
          <w:color w:val="auto"/>
          <w:sz w:val="28"/>
          <w:szCs w:val="28"/>
          <w:highlight w:val="none"/>
        </w:rPr>
      </w:pPr>
      <w:bookmarkStart w:id="42" w:name="bookmark182"/>
      <w:bookmarkEnd w:id="42"/>
      <w:r>
        <w:rPr>
          <w:rFonts w:ascii="Times New Roman" w:hAnsi="Times New Roman" w:eastAsia="Times New Roman" w:cs="Times New Roman"/>
          <w:color w:val="auto"/>
          <w:spacing w:val="-1"/>
          <w:sz w:val="28"/>
          <w:szCs w:val="28"/>
          <w:highlight w:val="none"/>
        </w:rPr>
        <w:t xml:space="preserve">4.1  </w:t>
      </w:r>
      <w:r>
        <w:rPr>
          <w:rFonts w:ascii="黑体" w:hAnsi="黑体" w:eastAsia="黑体" w:cs="黑体"/>
          <w:color w:val="auto"/>
          <w:spacing w:val="-1"/>
          <w:sz w:val="28"/>
          <w:szCs w:val="28"/>
          <w:highlight w:val="none"/>
        </w:rPr>
        <w:t>投标文件的密封和标记</w:t>
      </w:r>
    </w:p>
    <w:p>
      <w:pPr>
        <w:spacing w:line="298" w:lineRule="auto"/>
        <w:rPr>
          <w:rFonts w:ascii="Arial"/>
          <w:color w:val="auto"/>
          <w:sz w:val="21"/>
          <w:highlight w:val="none"/>
        </w:rPr>
      </w:pPr>
    </w:p>
    <w:p>
      <w:pPr>
        <w:pStyle w:val="13"/>
        <w:spacing w:before="68" w:line="286" w:lineRule="auto"/>
        <w:ind w:right="16" w:firstLine="415"/>
        <w:rPr>
          <w:strike/>
          <w:dstrike w:val="0"/>
          <w:color w:val="auto"/>
          <w:sz w:val="21"/>
          <w:szCs w:val="21"/>
          <w:highlight w:val="none"/>
        </w:rPr>
      </w:pPr>
      <w:r>
        <w:rPr>
          <w:rFonts w:ascii="Times New Roman" w:hAnsi="Times New Roman" w:eastAsia="Times New Roman" w:cs="Times New Roman"/>
          <w:strike/>
          <w:dstrike w:val="0"/>
          <w:color w:val="auto"/>
          <w:spacing w:val="-1"/>
          <w:sz w:val="21"/>
          <w:szCs w:val="21"/>
          <w:highlight w:val="none"/>
        </w:rPr>
        <w:t>4.1.1</w:t>
      </w:r>
      <w:r>
        <w:rPr>
          <w:rFonts w:ascii="Times New Roman" w:hAnsi="Times New Roman" w:eastAsia="Times New Roman" w:cs="Times New Roman"/>
          <w:strike/>
          <w:dstrike w:val="0"/>
          <w:color w:val="auto"/>
          <w:spacing w:val="63"/>
          <w:sz w:val="21"/>
          <w:szCs w:val="21"/>
          <w:highlight w:val="none"/>
        </w:rPr>
        <w:t xml:space="preserve"> </w:t>
      </w:r>
      <w:r>
        <w:rPr>
          <w:strike/>
          <w:dstrike w:val="0"/>
          <w:color w:val="auto"/>
          <w:spacing w:val="-1"/>
          <w:sz w:val="21"/>
          <w:szCs w:val="21"/>
          <w:highlight w:val="none"/>
        </w:rPr>
        <w:t>（</w:t>
      </w:r>
      <w:r>
        <w:rPr>
          <w:rFonts w:ascii="Times New Roman" w:hAnsi="Times New Roman" w:eastAsia="Times New Roman" w:cs="Times New Roman"/>
          <w:strike/>
          <w:dstrike w:val="0"/>
          <w:color w:val="auto"/>
          <w:spacing w:val="-1"/>
          <w:sz w:val="21"/>
          <w:szCs w:val="21"/>
          <w:highlight w:val="none"/>
        </w:rPr>
        <w:t>A</w:t>
      </w:r>
      <w:r>
        <w:rPr>
          <w:strike/>
          <w:dstrike w:val="0"/>
          <w:color w:val="auto"/>
          <w:spacing w:val="-1"/>
          <w:sz w:val="21"/>
          <w:szCs w:val="21"/>
          <w:highlight w:val="none"/>
        </w:rPr>
        <w:t>）投标文件应密封包装，并在封套的封口处加盖投标人单位章或由投标人的法定</w:t>
      </w:r>
      <w:r>
        <w:rPr>
          <w:strike/>
          <w:dstrike w:val="0"/>
          <w:color w:val="auto"/>
          <w:sz w:val="21"/>
          <w:szCs w:val="21"/>
          <w:highlight w:val="none"/>
        </w:rPr>
        <w:t xml:space="preserve"> </w:t>
      </w:r>
      <w:r>
        <w:rPr>
          <w:strike/>
          <w:dstrike w:val="0"/>
          <w:color w:val="auto"/>
          <w:spacing w:val="-1"/>
          <w:sz w:val="21"/>
          <w:szCs w:val="21"/>
          <w:highlight w:val="none"/>
        </w:rPr>
        <w:t>代表人（单位负责人）或其授权的代理人签字。</w:t>
      </w:r>
    </w:p>
    <w:p>
      <w:pPr>
        <w:pStyle w:val="13"/>
        <w:spacing w:before="151" w:line="285" w:lineRule="auto"/>
        <w:ind w:left="1" w:firstLine="414"/>
        <w:rPr>
          <w:color w:val="auto"/>
          <w:sz w:val="21"/>
          <w:szCs w:val="21"/>
          <w:highlight w:val="none"/>
        </w:rPr>
      </w:pPr>
      <w:r>
        <w:rPr>
          <w:rFonts w:ascii="Times New Roman" w:hAnsi="Times New Roman" w:eastAsia="Times New Roman" w:cs="Times New Roman"/>
          <w:color w:val="auto"/>
          <w:sz w:val="21"/>
          <w:szCs w:val="21"/>
          <w:highlight w:val="none"/>
        </w:rPr>
        <w:t>4.1.1</w:t>
      </w:r>
      <w:r>
        <w:rPr>
          <w:rFonts w:ascii="Times New Roman" w:hAnsi="Times New Roman" w:eastAsia="Times New Roman" w:cs="Times New Roman"/>
          <w:color w:val="auto"/>
          <w:spacing w:val="51"/>
          <w:sz w:val="21"/>
          <w:szCs w:val="21"/>
          <w:highlight w:val="none"/>
        </w:rPr>
        <w:t xml:space="preserve"> </w:t>
      </w:r>
      <w:r>
        <w:rPr>
          <w:color w:val="auto"/>
          <w:sz w:val="21"/>
          <w:szCs w:val="21"/>
          <w:highlight w:val="none"/>
        </w:rPr>
        <w:t>（</w:t>
      </w:r>
      <w:r>
        <w:rPr>
          <w:rFonts w:ascii="Times New Roman" w:hAnsi="Times New Roman" w:eastAsia="Times New Roman" w:cs="Times New Roman"/>
          <w:color w:val="auto"/>
          <w:sz w:val="21"/>
          <w:szCs w:val="21"/>
          <w:highlight w:val="none"/>
        </w:rPr>
        <w:t>B</w:t>
      </w:r>
      <w:r>
        <w:rPr>
          <w:color w:val="auto"/>
          <w:sz w:val="21"/>
          <w:szCs w:val="21"/>
          <w:highlight w:val="none"/>
        </w:rPr>
        <w:t>）投标人应当按照招标文件和电子招标投标交易平台的要求加密投标文件，</w:t>
      </w:r>
      <w:r>
        <w:rPr>
          <w:color w:val="auto"/>
          <w:spacing w:val="-1"/>
          <w:sz w:val="21"/>
          <w:szCs w:val="21"/>
          <w:highlight w:val="none"/>
        </w:rPr>
        <w:t>具体</w:t>
      </w:r>
      <w:r>
        <w:rPr>
          <w:color w:val="auto"/>
          <w:sz w:val="21"/>
          <w:szCs w:val="21"/>
          <w:highlight w:val="none"/>
        </w:rPr>
        <w:t xml:space="preserve"> </w:t>
      </w:r>
      <w:r>
        <w:rPr>
          <w:color w:val="auto"/>
          <w:spacing w:val="-1"/>
          <w:sz w:val="21"/>
          <w:szCs w:val="21"/>
          <w:highlight w:val="none"/>
        </w:rPr>
        <w:t>要求见投标人须知前附表。</w:t>
      </w:r>
    </w:p>
    <w:p>
      <w:pPr>
        <w:pStyle w:val="13"/>
        <w:spacing w:before="150" w:line="234" w:lineRule="auto"/>
        <w:ind w:left="415"/>
        <w:rPr>
          <w:color w:val="auto"/>
          <w:sz w:val="21"/>
          <w:szCs w:val="21"/>
          <w:highlight w:val="none"/>
        </w:rPr>
      </w:pPr>
      <w:r>
        <w:rPr>
          <w:rFonts w:ascii="Times New Roman" w:hAnsi="Times New Roman" w:eastAsia="Times New Roman" w:cs="Times New Roman"/>
          <w:color w:val="auto"/>
          <w:spacing w:val="-1"/>
          <w:sz w:val="21"/>
          <w:szCs w:val="21"/>
          <w:highlight w:val="none"/>
        </w:rPr>
        <w:t xml:space="preserve">4.1.2  </w:t>
      </w:r>
      <w:r>
        <w:rPr>
          <w:color w:val="auto"/>
          <w:spacing w:val="-1"/>
          <w:sz w:val="21"/>
          <w:szCs w:val="21"/>
          <w:highlight w:val="none"/>
        </w:rPr>
        <w:t>投标文件封套上应写明的内容见投标人须知前附表。</w:t>
      </w:r>
    </w:p>
    <w:p>
      <w:pPr>
        <w:pStyle w:val="13"/>
        <w:spacing w:before="135" w:line="234" w:lineRule="auto"/>
        <w:ind w:left="415"/>
        <w:rPr>
          <w:color w:val="auto"/>
          <w:sz w:val="21"/>
          <w:szCs w:val="21"/>
          <w:highlight w:val="none"/>
        </w:rPr>
      </w:pPr>
      <w:r>
        <w:rPr>
          <w:rFonts w:ascii="Times New Roman" w:hAnsi="Times New Roman" w:eastAsia="Times New Roman" w:cs="Times New Roman"/>
          <w:color w:val="auto"/>
          <w:sz w:val="21"/>
          <w:szCs w:val="21"/>
          <w:highlight w:val="none"/>
        </w:rPr>
        <w:t xml:space="preserve">4.1.3  </w:t>
      </w:r>
      <w:r>
        <w:rPr>
          <w:color w:val="auto"/>
          <w:sz w:val="21"/>
          <w:szCs w:val="21"/>
          <w:highlight w:val="none"/>
        </w:rPr>
        <w:t>未按本章第</w:t>
      </w:r>
      <w:r>
        <w:rPr>
          <w:color w:val="auto"/>
          <w:spacing w:val="-49"/>
          <w:sz w:val="21"/>
          <w:szCs w:val="21"/>
          <w:highlight w:val="none"/>
        </w:rPr>
        <w:t xml:space="preserve"> </w:t>
      </w:r>
      <w:r>
        <w:rPr>
          <w:rFonts w:ascii="Times New Roman" w:hAnsi="Times New Roman" w:eastAsia="Times New Roman" w:cs="Times New Roman"/>
          <w:color w:val="auto"/>
          <w:sz w:val="21"/>
          <w:szCs w:val="21"/>
          <w:highlight w:val="none"/>
        </w:rPr>
        <w:t xml:space="preserve">4.1.1 </w:t>
      </w:r>
      <w:r>
        <w:rPr>
          <w:color w:val="auto"/>
          <w:sz w:val="21"/>
          <w:szCs w:val="21"/>
          <w:highlight w:val="none"/>
        </w:rPr>
        <w:t>项要求密封的投标文件，招标人将予以拒收。</w:t>
      </w:r>
    </w:p>
    <w:p>
      <w:pPr>
        <w:spacing w:before="293" w:line="233" w:lineRule="auto"/>
        <w:ind w:left="133"/>
        <w:outlineLvl w:val="2"/>
        <w:rPr>
          <w:rFonts w:ascii="黑体" w:hAnsi="黑体" w:eastAsia="黑体" w:cs="黑体"/>
          <w:color w:val="auto"/>
          <w:sz w:val="28"/>
          <w:szCs w:val="28"/>
          <w:highlight w:val="none"/>
        </w:rPr>
      </w:pPr>
      <w:bookmarkStart w:id="43" w:name="bookmark49"/>
      <w:bookmarkEnd w:id="43"/>
      <w:r>
        <w:rPr>
          <w:rFonts w:ascii="Times New Roman" w:hAnsi="Times New Roman" w:eastAsia="Times New Roman" w:cs="Times New Roman"/>
          <w:color w:val="auto"/>
          <w:spacing w:val="-1"/>
          <w:sz w:val="28"/>
          <w:szCs w:val="28"/>
          <w:highlight w:val="none"/>
        </w:rPr>
        <w:t xml:space="preserve">4.2  </w:t>
      </w:r>
      <w:r>
        <w:rPr>
          <w:rFonts w:ascii="黑体" w:hAnsi="黑体" w:eastAsia="黑体" w:cs="黑体"/>
          <w:color w:val="auto"/>
          <w:spacing w:val="-1"/>
          <w:sz w:val="28"/>
          <w:szCs w:val="28"/>
          <w:highlight w:val="none"/>
        </w:rPr>
        <w:t>投标文件的递交</w:t>
      </w:r>
    </w:p>
    <w:p>
      <w:pPr>
        <w:spacing w:line="298" w:lineRule="auto"/>
        <w:rPr>
          <w:rFonts w:ascii="Arial"/>
          <w:color w:val="auto"/>
          <w:sz w:val="21"/>
          <w:highlight w:val="none"/>
        </w:rPr>
      </w:pPr>
    </w:p>
    <w:p>
      <w:pPr>
        <w:pStyle w:val="13"/>
        <w:spacing w:before="69" w:line="234" w:lineRule="auto"/>
        <w:ind w:left="415"/>
        <w:rPr>
          <w:color w:val="auto"/>
          <w:sz w:val="21"/>
          <w:szCs w:val="21"/>
          <w:highlight w:val="none"/>
        </w:rPr>
      </w:pPr>
      <w:r>
        <w:rPr>
          <w:rFonts w:ascii="Times New Roman" w:hAnsi="Times New Roman" w:eastAsia="Times New Roman" w:cs="Times New Roman"/>
          <w:color w:val="auto"/>
          <w:sz w:val="21"/>
          <w:szCs w:val="21"/>
          <w:highlight w:val="none"/>
        </w:rPr>
        <w:t xml:space="preserve">4.2.1  </w:t>
      </w:r>
      <w:r>
        <w:rPr>
          <w:color w:val="auto"/>
          <w:sz w:val="21"/>
          <w:szCs w:val="21"/>
          <w:highlight w:val="none"/>
        </w:rPr>
        <w:t>投标人应在投标人须知前附表规定的投标截止时间前递交投标文件。</w:t>
      </w:r>
    </w:p>
    <w:p>
      <w:pPr>
        <w:pStyle w:val="13"/>
        <w:spacing w:before="134" w:line="234" w:lineRule="auto"/>
        <w:ind w:left="415"/>
        <w:rPr>
          <w:strike/>
          <w:dstrike w:val="0"/>
          <w:color w:val="auto"/>
          <w:sz w:val="21"/>
          <w:szCs w:val="21"/>
          <w:highlight w:val="none"/>
        </w:rPr>
      </w:pPr>
      <w:r>
        <w:rPr>
          <w:rFonts w:ascii="Times New Roman" w:hAnsi="Times New Roman" w:eastAsia="Times New Roman" w:cs="Times New Roman"/>
          <w:strike/>
          <w:dstrike w:val="0"/>
          <w:color w:val="auto"/>
          <w:sz w:val="21"/>
          <w:szCs w:val="21"/>
          <w:highlight w:val="none"/>
        </w:rPr>
        <w:t>4.2.2</w:t>
      </w:r>
      <w:r>
        <w:rPr>
          <w:rFonts w:ascii="Times New Roman" w:hAnsi="Times New Roman" w:eastAsia="Times New Roman" w:cs="Times New Roman"/>
          <w:strike/>
          <w:dstrike w:val="0"/>
          <w:color w:val="auto"/>
          <w:spacing w:val="53"/>
          <w:w w:val="101"/>
          <w:sz w:val="21"/>
          <w:szCs w:val="21"/>
          <w:highlight w:val="none"/>
        </w:rPr>
        <w:t xml:space="preserve"> </w:t>
      </w:r>
      <w:r>
        <w:rPr>
          <w:strike/>
          <w:dstrike w:val="0"/>
          <w:color w:val="auto"/>
          <w:sz w:val="21"/>
          <w:szCs w:val="21"/>
          <w:highlight w:val="none"/>
        </w:rPr>
        <w:t>（</w:t>
      </w:r>
      <w:r>
        <w:rPr>
          <w:rFonts w:ascii="Times New Roman" w:hAnsi="Times New Roman" w:eastAsia="Times New Roman" w:cs="Times New Roman"/>
          <w:strike/>
          <w:dstrike w:val="0"/>
          <w:color w:val="auto"/>
          <w:sz w:val="21"/>
          <w:szCs w:val="21"/>
          <w:highlight w:val="none"/>
        </w:rPr>
        <w:t>A</w:t>
      </w:r>
      <w:r>
        <w:rPr>
          <w:strike/>
          <w:dstrike w:val="0"/>
          <w:color w:val="auto"/>
          <w:sz w:val="21"/>
          <w:szCs w:val="21"/>
          <w:highlight w:val="none"/>
        </w:rPr>
        <w:t>）投标人递交投标文件的地点：见投标人须知前附表。</w:t>
      </w:r>
    </w:p>
    <w:p>
      <w:pPr>
        <w:pStyle w:val="13"/>
        <w:spacing w:before="136" w:line="234" w:lineRule="auto"/>
        <w:ind w:left="415"/>
        <w:rPr>
          <w:color w:val="auto"/>
          <w:sz w:val="21"/>
          <w:szCs w:val="21"/>
          <w:highlight w:val="none"/>
        </w:rPr>
      </w:pPr>
      <w:r>
        <w:rPr>
          <w:rFonts w:ascii="Times New Roman" w:hAnsi="Times New Roman" w:eastAsia="Times New Roman" w:cs="Times New Roman"/>
          <w:color w:val="auto"/>
          <w:sz w:val="21"/>
          <w:szCs w:val="21"/>
          <w:highlight w:val="none"/>
        </w:rPr>
        <w:t>4.2.2</w:t>
      </w:r>
      <w:r>
        <w:rPr>
          <w:rFonts w:ascii="Times New Roman" w:hAnsi="Times New Roman" w:eastAsia="Times New Roman" w:cs="Times New Roman"/>
          <w:color w:val="auto"/>
          <w:spacing w:val="52"/>
          <w:sz w:val="21"/>
          <w:szCs w:val="21"/>
          <w:highlight w:val="none"/>
        </w:rPr>
        <w:t xml:space="preserve"> </w:t>
      </w:r>
      <w:r>
        <w:rPr>
          <w:color w:val="auto"/>
          <w:sz w:val="21"/>
          <w:szCs w:val="21"/>
          <w:highlight w:val="none"/>
        </w:rPr>
        <w:t>（</w:t>
      </w:r>
      <w:r>
        <w:rPr>
          <w:rFonts w:ascii="Times New Roman" w:hAnsi="Times New Roman" w:eastAsia="Times New Roman" w:cs="Times New Roman"/>
          <w:color w:val="auto"/>
          <w:sz w:val="21"/>
          <w:szCs w:val="21"/>
          <w:highlight w:val="none"/>
        </w:rPr>
        <w:t>B</w:t>
      </w:r>
      <w:r>
        <w:rPr>
          <w:color w:val="auto"/>
          <w:sz w:val="21"/>
          <w:szCs w:val="21"/>
          <w:highlight w:val="none"/>
        </w:rPr>
        <w:t>）投标人通过下载招标文件的电</w:t>
      </w:r>
      <w:r>
        <w:rPr>
          <w:color w:val="auto"/>
          <w:spacing w:val="-1"/>
          <w:sz w:val="21"/>
          <w:szCs w:val="21"/>
          <w:highlight w:val="none"/>
        </w:rPr>
        <w:t>子招标投标交易平台递交电子投标文件。</w:t>
      </w:r>
    </w:p>
    <w:p>
      <w:pPr>
        <w:pStyle w:val="13"/>
        <w:spacing w:before="132" w:line="234" w:lineRule="auto"/>
        <w:ind w:left="415"/>
        <w:rPr>
          <w:color w:val="auto"/>
          <w:sz w:val="21"/>
          <w:szCs w:val="21"/>
          <w:highlight w:val="none"/>
        </w:rPr>
      </w:pPr>
      <w:r>
        <w:rPr>
          <w:rFonts w:ascii="Times New Roman" w:hAnsi="Times New Roman" w:eastAsia="Times New Roman" w:cs="Times New Roman"/>
          <w:color w:val="auto"/>
          <w:sz w:val="21"/>
          <w:szCs w:val="21"/>
          <w:highlight w:val="none"/>
        </w:rPr>
        <w:t xml:space="preserve">4.2.3  </w:t>
      </w:r>
      <w:r>
        <w:rPr>
          <w:color w:val="auto"/>
          <w:sz w:val="21"/>
          <w:szCs w:val="21"/>
          <w:highlight w:val="none"/>
        </w:rPr>
        <w:t>除投标人须知前附表另有规定外，投</w:t>
      </w:r>
      <w:r>
        <w:rPr>
          <w:color w:val="auto"/>
          <w:spacing w:val="-1"/>
          <w:sz w:val="21"/>
          <w:szCs w:val="21"/>
          <w:highlight w:val="none"/>
        </w:rPr>
        <w:t>标人所递交的投标文件不予退还。</w:t>
      </w:r>
    </w:p>
    <w:p>
      <w:pPr>
        <w:pStyle w:val="13"/>
        <w:spacing w:before="135" w:line="234" w:lineRule="auto"/>
        <w:ind w:left="415"/>
        <w:rPr>
          <w:strike/>
          <w:dstrike w:val="0"/>
          <w:color w:val="auto"/>
          <w:sz w:val="21"/>
          <w:szCs w:val="21"/>
          <w:highlight w:val="none"/>
        </w:rPr>
      </w:pPr>
      <w:r>
        <w:rPr>
          <w:rFonts w:ascii="Times New Roman" w:hAnsi="Times New Roman" w:eastAsia="Times New Roman" w:cs="Times New Roman"/>
          <w:strike/>
          <w:dstrike w:val="0"/>
          <w:color w:val="auto"/>
          <w:spacing w:val="-1"/>
          <w:sz w:val="21"/>
          <w:szCs w:val="21"/>
          <w:highlight w:val="none"/>
        </w:rPr>
        <w:t>4.2.4</w:t>
      </w:r>
      <w:r>
        <w:rPr>
          <w:rFonts w:ascii="Times New Roman" w:hAnsi="Times New Roman" w:eastAsia="Times New Roman" w:cs="Times New Roman"/>
          <w:strike/>
          <w:dstrike w:val="0"/>
          <w:color w:val="auto"/>
          <w:spacing w:val="68"/>
          <w:w w:val="101"/>
          <w:sz w:val="21"/>
          <w:szCs w:val="21"/>
          <w:highlight w:val="none"/>
        </w:rPr>
        <w:t xml:space="preserve"> </w:t>
      </w:r>
      <w:r>
        <w:rPr>
          <w:strike/>
          <w:dstrike w:val="0"/>
          <w:color w:val="auto"/>
          <w:spacing w:val="-1"/>
          <w:sz w:val="21"/>
          <w:szCs w:val="21"/>
          <w:highlight w:val="none"/>
        </w:rPr>
        <w:t>（</w:t>
      </w:r>
      <w:r>
        <w:rPr>
          <w:rFonts w:ascii="Times New Roman" w:hAnsi="Times New Roman" w:eastAsia="Times New Roman" w:cs="Times New Roman"/>
          <w:strike/>
          <w:dstrike w:val="0"/>
          <w:color w:val="auto"/>
          <w:spacing w:val="-1"/>
          <w:sz w:val="21"/>
          <w:szCs w:val="21"/>
          <w:highlight w:val="none"/>
        </w:rPr>
        <w:t>A</w:t>
      </w:r>
      <w:r>
        <w:rPr>
          <w:strike/>
          <w:dstrike w:val="0"/>
          <w:color w:val="auto"/>
          <w:spacing w:val="-1"/>
          <w:sz w:val="21"/>
          <w:szCs w:val="21"/>
          <w:highlight w:val="none"/>
        </w:rPr>
        <w:t>）招标人收到投标文件后，向投标人出具签收凭证。</w:t>
      </w:r>
    </w:p>
    <w:p>
      <w:pPr>
        <w:pStyle w:val="13"/>
        <w:spacing w:before="134" w:line="285" w:lineRule="auto"/>
        <w:ind w:left="5" w:firstLine="410"/>
        <w:rPr>
          <w:color w:val="auto"/>
          <w:sz w:val="21"/>
          <w:szCs w:val="21"/>
          <w:highlight w:val="none"/>
        </w:rPr>
      </w:pPr>
      <w:r>
        <w:rPr>
          <w:rFonts w:ascii="Times New Roman" w:hAnsi="Times New Roman" w:eastAsia="Times New Roman" w:cs="Times New Roman"/>
          <w:color w:val="auto"/>
          <w:sz w:val="21"/>
          <w:szCs w:val="21"/>
          <w:highlight w:val="none"/>
        </w:rPr>
        <w:t>4.2.4</w:t>
      </w:r>
      <w:r>
        <w:rPr>
          <w:rFonts w:ascii="Times New Roman" w:hAnsi="Times New Roman" w:eastAsia="Times New Roman" w:cs="Times New Roman"/>
          <w:color w:val="auto"/>
          <w:spacing w:val="52"/>
          <w:sz w:val="21"/>
          <w:szCs w:val="21"/>
          <w:highlight w:val="none"/>
        </w:rPr>
        <w:t xml:space="preserve"> </w:t>
      </w:r>
      <w:r>
        <w:rPr>
          <w:color w:val="auto"/>
          <w:sz w:val="21"/>
          <w:szCs w:val="21"/>
          <w:highlight w:val="none"/>
        </w:rPr>
        <w:t>（</w:t>
      </w:r>
      <w:r>
        <w:rPr>
          <w:rFonts w:ascii="Times New Roman" w:hAnsi="Times New Roman" w:eastAsia="Times New Roman" w:cs="Times New Roman"/>
          <w:color w:val="auto"/>
          <w:sz w:val="21"/>
          <w:szCs w:val="21"/>
          <w:highlight w:val="none"/>
        </w:rPr>
        <w:t>B</w:t>
      </w:r>
      <w:r>
        <w:rPr>
          <w:color w:val="auto"/>
          <w:sz w:val="21"/>
          <w:szCs w:val="21"/>
          <w:highlight w:val="none"/>
        </w:rPr>
        <w:t>）投标人完成电子投标文件上传后，电子招标投标交易平台即时向投标人</w:t>
      </w:r>
      <w:r>
        <w:rPr>
          <w:color w:val="auto"/>
          <w:spacing w:val="-1"/>
          <w:sz w:val="21"/>
          <w:szCs w:val="21"/>
          <w:highlight w:val="none"/>
        </w:rPr>
        <w:t>发出递</w:t>
      </w:r>
      <w:r>
        <w:rPr>
          <w:color w:val="auto"/>
          <w:sz w:val="21"/>
          <w:szCs w:val="21"/>
          <w:highlight w:val="none"/>
        </w:rPr>
        <w:t xml:space="preserve"> </w:t>
      </w:r>
      <w:r>
        <w:rPr>
          <w:color w:val="auto"/>
          <w:spacing w:val="-1"/>
          <w:sz w:val="21"/>
          <w:szCs w:val="21"/>
          <w:highlight w:val="none"/>
        </w:rPr>
        <w:t>交回执通知。递交时间以递交回执通知载明的传输完成时间为准。</w:t>
      </w:r>
    </w:p>
    <w:p>
      <w:pPr>
        <w:pStyle w:val="13"/>
        <w:spacing w:before="152" w:line="234" w:lineRule="auto"/>
        <w:ind w:left="415"/>
        <w:rPr>
          <w:strike/>
          <w:dstrike w:val="0"/>
          <w:color w:val="auto"/>
          <w:sz w:val="21"/>
          <w:szCs w:val="21"/>
          <w:highlight w:val="none"/>
        </w:rPr>
      </w:pPr>
      <w:r>
        <w:rPr>
          <w:rFonts w:ascii="Times New Roman" w:hAnsi="Times New Roman" w:eastAsia="Times New Roman" w:cs="Times New Roman"/>
          <w:strike/>
          <w:dstrike w:val="0"/>
          <w:color w:val="auto"/>
          <w:spacing w:val="-1"/>
          <w:sz w:val="21"/>
          <w:szCs w:val="21"/>
          <w:highlight w:val="none"/>
        </w:rPr>
        <w:t>4.2.5</w:t>
      </w:r>
      <w:r>
        <w:rPr>
          <w:rFonts w:ascii="Times New Roman" w:hAnsi="Times New Roman" w:eastAsia="Times New Roman" w:cs="Times New Roman"/>
          <w:strike/>
          <w:dstrike w:val="0"/>
          <w:color w:val="auto"/>
          <w:spacing w:val="64"/>
          <w:sz w:val="21"/>
          <w:szCs w:val="21"/>
          <w:highlight w:val="none"/>
        </w:rPr>
        <w:t xml:space="preserve"> </w:t>
      </w:r>
      <w:r>
        <w:rPr>
          <w:strike/>
          <w:dstrike w:val="0"/>
          <w:color w:val="auto"/>
          <w:spacing w:val="-1"/>
          <w:sz w:val="21"/>
          <w:szCs w:val="21"/>
          <w:highlight w:val="none"/>
        </w:rPr>
        <w:t>（</w:t>
      </w:r>
      <w:r>
        <w:rPr>
          <w:rFonts w:ascii="Times New Roman" w:hAnsi="Times New Roman" w:eastAsia="Times New Roman" w:cs="Times New Roman"/>
          <w:strike/>
          <w:dstrike w:val="0"/>
          <w:color w:val="auto"/>
          <w:spacing w:val="-1"/>
          <w:sz w:val="21"/>
          <w:szCs w:val="21"/>
          <w:highlight w:val="none"/>
        </w:rPr>
        <w:t>A</w:t>
      </w:r>
      <w:r>
        <w:rPr>
          <w:strike/>
          <w:dstrike w:val="0"/>
          <w:color w:val="auto"/>
          <w:spacing w:val="-1"/>
          <w:sz w:val="21"/>
          <w:szCs w:val="21"/>
          <w:highlight w:val="none"/>
        </w:rPr>
        <w:t>）逾期送达的投标文件，招标人将予以拒收。</w:t>
      </w:r>
    </w:p>
    <w:p>
      <w:pPr>
        <w:pStyle w:val="13"/>
        <w:spacing w:before="134" w:line="234" w:lineRule="auto"/>
        <w:ind w:left="415"/>
        <w:rPr>
          <w:color w:val="auto"/>
          <w:spacing w:val="-1"/>
          <w:sz w:val="21"/>
          <w:szCs w:val="21"/>
          <w:highlight w:val="none"/>
        </w:rPr>
      </w:pPr>
      <w:r>
        <w:rPr>
          <w:rFonts w:ascii="Times New Roman" w:hAnsi="Times New Roman" w:eastAsia="Times New Roman" w:cs="Times New Roman"/>
          <w:color w:val="auto"/>
          <w:sz w:val="21"/>
          <w:szCs w:val="21"/>
          <w:highlight w:val="none"/>
        </w:rPr>
        <w:t>4.2.5</w:t>
      </w:r>
      <w:r>
        <w:rPr>
          <w:rFonts w:ascii="Times New Roman" w:hAnsi="Times New Roman" w:eastAsia="Times New Roman" w:cs="Times New Roman"/>
          <w:color w:val="auto"/>
          <w:spacing w:val="51"/>
          <w:sz w:val="21"/>
          <w:szCs w:val="21"/>
          <w:highlight w:val="none"/>
        </w:rPr>
        <w:t xml:space="preserve"> </w:t>
      </w:r>
      <w:r>
        <w:rPr>
          <w:color w:val="auto"/>
          <w:sz w:val="21"/>
          <w:szCs w:val="21"/>
          <w:highlight w:val="none"/>
        </w:rPr>
        <w:t>（</w:t>
      </w:r>
      <w:r>
        <w:rPr>
          <w:rFonts w:ascii="Times New Roman" w:hAnsi="Times New Roman" w:eastAsia="Times New Roman" w:cs="Times New Roman"/>
          <w:color w:val="auto"/>
          <w:sz w:val="21"/>
          <w:szCs w:val="21"/>
          <w:highlight w:val="none"/>
        </w:rPr>
        <w:t>B</w:t>
      </w:r>
      <w:r>
        <w:rPr>
          <w:color w:val="auto"/>
          <w:sz w:val="21"/>
          <w:szCs w:val="21"/>
          <w:highlight w:val="none"/>
        </w:rPr>
        <w:t>）逾期送达的投标文件，电子招</w:t>
      </w:r>
      <w:r>
        <w:rPr>
          <w:color w:val="auto"/>
          <w:spacing w:val="-1"/>
          <w:sz w:val="21"/>
          <w:szCs w:val="21"/>
          <w:highlight w:val="none"/>
        </w:rPr>
        <w:t>标投标交易平台将予以拒收。</w:t>
      </w:r>
      <w:bookmarkStart w:id="44" w:name="bookmark50"/>
      <w:bookmarkEnd w:id="44"/>
    </w:p>
    <w:p>
      <w:pPr>
        <w:spacing w:before="293" w:line="233" w:lineRule="auto"/>
        <w:ind w:left="133"/>
        <w:outlineLvl w:val="2"/>
        <w:rPr>
          <w:rFonts w:ascii="黑体" w:hAnsi="黑体" w:eastAsia="黑体" w:cs="黑体"/>
          <w:color w:val="auto"/>
          <w:spacing w:val="-1"/>
          <w:sz w:val="28"/>
          <w:szCs w:val="28"/>
          <w:highlight w:val="none"/>
        </w:rPr>
      </w:pPr>
      <w:r>
        <w:rPr>
          <w:rFonts w:ascii="黑体" w:hAnsi="黑体" w:eastAsia="黑体" w:cs="黑体"/>
          <w:color w:val="auto"/>
          <w:spacing w:val="-1"/>
          <w:sz w:val="28"/>
          <w:szCs w:val="28"/>
          <w:highlight w:val="none"/>
        </w:rPr>
        <w:t>4.3  投标文件的修改与撤回</w:t>
      </w:r>
    </w:p>
    <w:p>
      <w:pPr>
        <w:spacing w:line="298" w:lineRule="auto"/>
        <w:rPr>
          <w:rFonts w:ascii="Arial"/>
          <w:color w:val="auto"/>
          <w:sz w:val="21"/>
          <w:highlight w:val="none"/>
        </w:rPr>
      </w:pPr>
    </w:p>
    <w:p>
      <w:pPr>
        <w:pStyle w:val="13"/>
        <w:spacing w:before="68" w:line="285" w:lineRule="auto"/>
        <w:ind w:firstLine="416"/>
        <w:rPr>
          <w:color w:val="auto"/>
          <w:sz w:val="21"/>
          <w:szCs w:val="21"/>
          <w:highlight w:val="none"/>
        </w:rPr>
      </w:pPr>
      <w:r>
        <w:rPr>
          <w:rFonts w:ascii="Times New Roman" w:hAnsi="Times New Roman" w:eastAsia="Times New Roman" w:cs="Times New Roman"/>
          <w:color w:val="auto"/>
          <w:spacing w:val="-2"/>
          <w:sz w:val="21"/>
          <w:szCs w:val="21"/>
          <w:highlight w:val="none"/>
        </w:rPr>
        <w:t xml:space="preserve">4.3.1  </w:t>
      </w:r>
      <w:r>
        <w:rPr>
          <w:color w:val="auto"/>
          <w:spacing w:val="-2"/>
          <w:sz w:val="21"/>
          <w:szCs w:val="21"/>
          <w:highlight w:val="none"/>
        </w:rPr>
        <w:t>在本章第</w:t>
      </w:r>
      <w:r>
        <w:rPr>
          <w:color w:val="auto"/>
          <w:spacing w:val="-51"/>
          <w:sz w:val="21"/>
          <w:szCs w:val="21"/>
          <w:highlight w:val="none"/>
        </w:rPr>
        <w:t xml:space="preserve"> </w:t>
      </w:r>
      <w:r>
        <w:rPr>
          <w:rFonts w:ascii="Times New Roman" w:hAnsi="Times New Roman" w:eastAsia="Times New Roman" w:cs="Times New Roman"/>
          <w:color w:val="auto"/>
          <w:spacing w:val="-2"/>
          <w:sz w:val="21"/>
          <w:szCs w:val="21"/>
          <w:highlight w:val="none"/>
        </w:rPr>
        <w:t xml:space="preserve">4.2.1 </w:t>
      </w:r>
      <w:r>
        <w:rPr>
          <w:color w:val="auto"/>
          <w:spacing w:val="-2"/>
          <w:sz w:val="21"/>
          <w:szCs w:val="21"/>
          <w:highlight w:val="none"/>
        </w:rPr>
        <w:t>项规定的投标截</w:t>
      </w:r>
      <w:r>
        <w:rPr>
          <w:color w:val="auto"/>
          <w:spacing w:val="-3"/>
          <w:sz w:val="21"/>
          <w:szCs w:val="21"/>
          <w:highlight w:val="none"/>
        </w:rPr>
        <w:t>止时间前，投标人可以修改或撤回已递交的投标文件，</w:t>
      </w:r>
      <w:r>
        <w:rPr>
          <w:color w:val="auto"/>
          <w:sz w:val="21"/>
          <w:szCs w:val="21"/>
          <w:highlight w:val="none"/>
        </w:rPr>
        <w:t xml:space="preserve"> </w:t>
      </w:r>
      <w:r>
        <w:rPr>
          <w:color w:val="auto"/>
          <w:spacing w:val="-2"/>
          <w:sz w:val="21"/>
          <w:szCs w:val="21"/>
          <w:highlight w:val="none"/>
        </w:rPr>
        <w:t>但应以书面形式通知招标人。</w:t>
      </w:r>
    </w:p>
    <w:p>
      <w:pPr>
        <w:pStyle w:val="13"/>
        <w:spacing w:before="150" w:line="286" w:lineRule="auto"/>
        <w:ind w:left="3" w:right="61" w:firstLine="413"/>
        <w:rPr>
          <w:strike/>
          <w:dstrike w:val="0"/>
          <w:color w:val="auto"/>
          <w:sz w:val="21"/>
          <w:szCs w:val="21"/>
          <w:highlight w:val="none"/>
        </w:rPr>
      </w:pPr>
      <w:r>
        <w:rPr>
          <w:rFonts w:ascii="Times New Roman" w:hAnsi="Times New Roman" w:eastAsia="Times New Roman" w:cs="Times New Roman"/>
          <w:strike/>
          <w:dstrike w:val="0"/>
          <w:color w:val="auto"/>
          <w:sz w:val="21"/>
          <w:szCs w:val="21"/>
          <w:highlight w:val="none"/>
        </w:rPr>
        <w:t>4.3.2</w:t>
      </w:r>
      <w:r>
        <w:rPr>
          <w:rFonts w:ascii="Times New Roman" w:hAnsi="Times New Roman" w:eastAsia="Times New Roman" w:cs="Times New Roman"/>
          <w:strike/>
          <w:dstrike w:val="0"/>
          <w:color w:val="auto"/>
          <w:spacing w:val="49"/>
          <w:sz w:val="21"/>
          <w:szCs w:val="21"/>
          <w:highlight w:val="none"/>
        </w:rPr>
        <w:t xml:space="preserve"> </w:t>
      </w:r>
      <w:r>
        <w:rPr>
          <w:strike/>
          <w:dstrike w:val="0"/>
          <w:color w:val="auto"/>
          <w:sz w:val="21"/>
          <w:szCs w:val="21"/>
          <w:highlight w:val="none"/>
        </w:rPr>
        <w:t>（</w:t>
      </w:r>
      <w:r>
        <w:rPr>
          <w:rFonts w:ascii="Times New Roman" w:hAnsi="Times New Roman" w:eastAsia="Times New Roman" w:cs="Times New Roman"/>
          <w:strike/>
          <w:dstrike w:val="0"/>
          <w:color w:val="auto"/>
          <w:sz w:val="21"/>
          <w:szCs w:val="21"/>
          <w:highlight w:val="none"/>
        </w:rPr>
        <w:t>A</w:t>
      </w:r>
      <w:r>
        <w:rPr>
          <w:strike/>
          <w:dstrike w:val="0"/>
          <w:color w:val="auto"/>
          <w:sz w:val="21"/>
          <w:szCs w:val="21"/>
          <w:highlight w:val="none"/>
        </w:rPr>
        <w:t>）投标人修改或撤回已递交投标文件的书面通知</w:t>
      </w:r>
      <w:r>
        <w:rPr>
          <w:strike/>
          <w:dstrike w:val="0"/>
          <w:color w:val="auto"/>
          <w:spacing w:val="-1"/>
          <w:sz w:val="21"/>
          <w:szCs w:val="21"/>
          <w:highlight w:val="none"/>
        </w:rPr>
        <w:t>应按照本章第</w:t>
      </w:r>
      <w:r>
        <w:rPr>
          <w:strike/>
          <w:dstrike w:val="0"/>
          <w:color w:val="auto"/>
          <w:spacing w:val="-44"/>
          <w:sz w:val="21"/>
          <w:szCs w:val="21"/>
          <w:highlight w:val="none"/>
        </w:rPr>
        <w:t xml:space="preserve"> </w:t>
      </w:r>
      <w:r>
        <w:rPr>
          <w:rFonts w:ascii="Times New Roman" w:hAnsi="Times New Roman" w:eastAsia="Times New Roman" w:cs="Times New Roman"/>
          <w:strike/>
          <w:dstrike w:val="0"/>
          <w:color w:val="auto"/>
          <w:spacing w:val="-1"/>
          <w:sz w:val="21"/>
          <w:szCs w:val="21"/>
          <w:highlight w:val="none"/>
        </w:rPr>
        <w:t>3.7.3</w:t>
      </w:r>
      <w:r>
        <w:rPr>
          <w:strike/>
          <w:dstrike w:val="0"/>
          <w:color w:val="auto"/>
          <w:spacing w:val="-1"/>
          <w:sz w:val="21"/>
          <w:szCs w:val="21"/>
          <w:highlight w:val="none"/>
        </w:rPr>
        <w:t>（</w:t>
      </w:r>
      <w:r>
        <w:rPr>
          <w:rFonts w:ascii="Times New Roman" w:hAnsi="Times New Roman" w:eastAsia="Times New Roman" w:cs="Times New Roman"/>
          <w:strike/>
          <w:dstrike w:val="0"/>
          <w:color w:val="auto"/>
          <w:spacing w:val="-1"/>
          <w:sz w:val="21"/>
          <w:szCs w:val="21"/>
          <w:highlight w:val="none"/>
        </w:rPr>
        <w:t>A</w:t>
      </w:r>
      <w:r>
        <w:rPr>
          <w:strike/>
          <w:dstrike w:val="0"/>
          <w:color w:val="auto"/>
          <w:spacing w:val="-1"/>
          <w:sz w:val="21"/>
          <w:szCs w:val="21"/>
          <w:highlight w:val="none"/>
        </w:rPr>
        <w:t>）项的要</w:t>
      </w:r>
      <w:r>
        <w:rPr>
          <w:strike/>
          <w:dstrike w:val="0"/>
          <w:color w:val="auto"/>
          <w:sz w:val="21"/>
          <w:szCs w:val="21"/>
          <w:highlight w:val="none"/>
        </w:rPr>
        <w:t xml:space="preserve"> </w:t>
      </w:r>
      <w:r>
        <w:rPr>
          <w:strike/>
          <w:dstrike w:val="0"/>
          <w:color w:val="auto"/>
          <w:spacing w:val="-1"/>
          <w:sz w:val="21"/>
          <w:szCs w:val="21"/>
          <w:highlight w:val="none"/>
        </w:rPr>
        <w:t>求签字或盖章。招标人收到书面通知后，向投标人出具签收凭证。</w:t>
      </w:r>
    </w:p>
    <w:p>
      <w:pPr>
        <w:pStyle w:val="13"/>
        <w:spacing w:before="149" w:line="286" w:lineRule="auto"/>
        <w:ind w:left="1" w:right="69" w:firstLine="415"/>
        <w:rPr>
          <w:color w:val="auto"/>
          <w:sz w:val="21"/>
          <w:szCs w:val="21"/>
          <w:highlight w:val="none"/>
        </w:rPr>
      </w:pPr>
      <w:r>
        <w:rPr>
          <w:rFonts w:ascii="Times New Roman" w:hAnsi="Times New Roman" w:eastAsia="Times New Roman" w:cs="Times New Roman"/>
          <w:color w:val="auto"/>
          <w:sz w:val="21"/>
          <w:szCs w:val="21"/>
          <w:highlight w:val="none"/>
        </w:rPr>
        <w:t>4.3.2</w:t>
      </w:r>
      <w:r>
        <w:rPr>
          <w:rFonts w:ascii="Times New Roman" w:hAnsi="Times New Roman" w:eastAsia="Times New Roman" w:cs="Times New Roman"/>
          <w:color w:val="auto"/>
          <w:spacing w:val="51"/>
          <w:sz w:val="21"/>
          <w:szCs w:val="21"/>
          <w:highlight w:val="none"/>
        </w:rPr>
        <w:t xml:space="preserve"> </w:t>
      </w:r>
      <w:r>
        <w:rPr>
          <w:color w:val="auto"/>
          <w:sz w:val="21"/>
          <w:szCs w:val="21"/>
          <w:highlight w:val="none"/>
        </w:rPr>
        <w:t>（</w:t>
      </w:r>
      <w:r>
        <w:rPr>
          <w:rFonts w:ascii="Times New Roman" w:hAnsi="Times New Roman" w:eastAsia="Times New Roman" w:cs="Times New Roman"/>
          <w:color w:val="auto"/>
          <w:sz w:val="21"/>
          <w:szCs w:val="21"/>
          <w:highlight w:val="none"/>
        </w:rPr>
        <w:t>B</w:t>
      </w:r>
      <w:r>
        <w:rPr>
          <w:color w:val="auto"/>
          <w:sz w:val="21"/>
          <w:szCs w:val="21"/>
          <w:highlight w:val="none"/>
        </w:rPr>
        <w:t>）投标人修改或撤回已递交投标文件的通知，应按</w:t>
      </w:r>
      <w:r>
        <w:rPr>
          <w:color w:val="auto"/>
          <w:spacing w:val="-1"/>
          <w:sz w:val="21"/>
          <w:szCs w:val="21"/>
          <w:highlight w:val="none"/>
        </w:rPr>
        <w:t>照本章第</w:t>
      </w:r>
      <w:r>
        <w:rPr>
          <w:color w:val="auto"/>
          <w:spacing w:val="-31"/>
          <w:sz w:val="21"/>
          <w:szCs w:val="21"/>
          <w:highlight w:val="none"/>
        </w:rPr>
        <w:t xml:space="preserve"> </w:t>
      </w:r>
      <w:r>
        <w:rPr>
          <w:rFonts w:ascii="Times New Roman" w:hAnsi="Times New Roman" w:eastAsia="Times New Roman" w:cs="Times New Roman"/>
          <w:color w:val="auto"/>
          <w:spacing w:val="-1"/>
          <w:sz w:val="21"/>
          <w:szCs w:val="21"/>
          <w:highlight w:val="none"/>
        </w:rPr>
        <w:t>3.7.3</w:t>
      </w:r>
      <w:r>
        <w:rPr>
          <w:color w:val="auto"/>
          <w:spacing w:val="-1"/>
          <w:sz w:val="21"/>
          <w:szCs w:val="21"/>
          <w:highlight w:val="none"/>
        </w:rPr>
        <w:t>（</w:t>
      </w:r>
      <w:r>
        <w:rPr>
          <w:rFonts w:ascii="Times New Roman" w:hAnsi="Times New Roman" w:eastAsia="Times New Roman" w:cs="Times New Roman"/>
          <w:color w:val="auto"/>
          <w:spacing w:val="-1"/>
          <w:sz w:val="21"/>
          <w:szCs w:val="21"/>
          <w:highlight w:val="none"/>
        </w:rPr>
        <w:t>B</w:t>
      </w:r>
      <w:r>
        <w:rPr>
          <w:color w:val="auto"/>
          <w:spacing w:val="-1"/>
          <w:sz w:val="21"/>
          <w:szCs w:val="21"/>
          <w:highlight w:val="none"/>
        </w:rPr>
        <w:t>）项的要求</w:t>
      </w:r>
      <w:r>
        <w:rPr>
          <w:color w:val="auto"/>
          <w:sz w:val="21"/>
          <w:szCs w:val="21"/>
          <w:highlight w:val="none"/>
        </w:rPr>
        <w:t xml:space="preserve"> 加盖电子印章。电子招标投标交易平台收到通知</w:t>
      </w:r>
      <w:r>
        <w:rPr>
          <w:color w:val="auto"/>
          <w:spacing w:val="-1"/>
          <w:sz w:val="21"/>
          <w:szCs w:val="21"/>
          <w:highlight w:val="none"/>
        </w:rPr>
        <w:t>后，即时向投标人发出确认回执通知。</w:t>
      </w:r>
    </w:p>
    <w:p>
      <w:pPr>
        <w:pStyle w:val="13"/>
        <w:spacing w:before="150" w:line="286" w:lineRule="auto"/>
        <w:ind w:left="19" w:right="59" w:firstLine="397"/>
        <w:rPr>
          <w:color w:val="auto"/>
          <w:sz w:val="21"/>
          <w:szCs w:val="21"/>
          <w:highlight w:val="none"/>
        </w:rPr>
      </w:pPr>
      <w:r>
        <w:rPr>
          <w:rFonts w:ascii="Times New Roman" w:hAnsi="Times New Roman" w:eastAsia="Times New Roman" w:cs="Times New Roman"/>
          <w:color w:val="auto"/>
          <w:spacing w:val="-3"/>
          <w:sz w:val="21"/>
          <w:szCs w:val="21"/>
          <w:highlight w:val="none"/>
        </w:rPr>
        <w:t xml:space="preserve">4.3.3  </w:t>
      </w:r>
      <w:r>
        <w:rPr>
          <w:color w:val="auto"/>
          <w:spacing w:val="-3"/>
          <w:sz w:val="21"/>
          <w:szCs w:val="21"/>
          <w:highlight w:val="none"/>
        </w:rPr>
        <w:t>投标人撤回投标文件的，招标人自收到投标人书面撤回通知之日起</w:t>
      </w:r>
      <w:r>
        <w:rPr>
          <w:color w:val="auto"/>
          <w:spacing w:val="-41"/>
          <w:sz w:val="21"/>
          <w:szCs w:val="21"/>
          <w:highlight w:val="none"/>
        </w:rPr>
        <w:t xml:space="preserve"> </w:t>
      </w:r>
      <w:r>
        <w:rPr>
          <w:rFonts w:ascii="Times New Roman" w:hAnsi="Times New Roman" w:eastAsia="Times New Roman" w:cs="Times New Roman"/>
          <w:color w:val="auto"/>
          <w:spacing w:val="-3"/>
          <w:sz w:val="21"/>
          <w:szCs w:val="21"/>
          <w:highlight w:val="none"/>
        </w:rPr>
        <w:t xml:space="preserve">5  </w:t>
      </w:r>
      <w:r>
        <w:rPr>
          <w:color w:val="auto"/>
          <w:spacing w:val="-3"/>
          <w:sz w:val="21"/>
          <w:szCs w:val="21"/>
          <w:highlight w:val="none"/>
        </w:rPr>
        <w:t>日内退还已收取</w:t>
      </w:r>
      <w:r>
        <w:rPr>
          <w:color w:val="auto"/>
          <w:sz w:val="21"/>
          <w:szCs w:val="21"/>
          <w:highlight w:val="none"/>
        </w:rPr>
        <w:t xml:space="preserve"> </w:t>
      </w:r>
      <w:r>
        <w:rPr>
          <w:color w:val="auto"/>
          <w:spacing w:val="-6"/>
          <w:sz w:val="21"/>
          <w:szCs w:val="21"/>
          <w:highlight w:val="none"/>
        </w:rPr>
        <w:t>的投标保证金。</w:t>
      </w:r>
    </w:p>
    <w:p>
      <w:pPr>
        <w:pStyle w:val="13"/>
        <w:spacing w:before="151" w:line="286" w:lineRule="auto"/>
        <w:ind w:left="6" w:right="61" w:firstLine="409"/>
        <w:rPr>
          <w:color w:val="auto"/>
          <w:sz w:val="21"/>
          <w:szCs w:val="21"/>
          <w:highlight w:val="none"/>
        </w:rPr>
      </w:pPr>
      <w:r>
        <w:rPr>
          <w:rFonts w:ascii="Times New Roman" w:hAnsi="Times New Roman" w:eastAsia="Times New Roman" w:cs="Times New Roman"/>
          <w:color w:val="auto"/>
          <w:spacing w:val="-2"/>
          <w:sz w:val="21"/>
          <w:szCs w:val="21"/>
          <w:highlight w:val="none"/>
        </w:rPr>
        <w:t xml:space="preserve">4.3.4  </w:t>
      </w:r>
      <w:r>
        <w:rPr>
          <w:color w:val="auto"/>
          <w:spacing w:val="-2"/>
          <w:sz w:val="21"/>
          <w:szCs w:val="21"/>
          <w:highlight w:val="none"/>
        </w:rPr>
        <w:t>修改的内容为投标文件的组成部分。修改的投标文件应按照本章第</w:t>
      </w:r>
      <w:r>
        <w:rPr>
          <w:color w:val="auto"/>
          <w:spacing w:val="-41"/>
          <w:sz w:val="21"/>
          <w:szCs w:val="21"/>
          <w:highlight w:val="none"/>
        </w:rPr>
        <w:t xml:space="preserve"> </w:t>
      </w:r>
      <w:r>
        <w:rPr>
          <w:rFonts w:ascii="Times New Roman" w:hAnsi="Times New Roman" w:eastAsia="Times New Roman" w:cs="Times New Roman"/>
          <w:color w:val="auto"/>
          <w:spacing w:val="-2"/>
          <w:sz w:val="21"/>
          <w:szCs w:val="21"/>
          <w:highlight w:val="none"/>
        </w:rPr>
        <w:t xml:space="preserve">3 </w:t>
      </w:r>
      <w:r>
        <w:rPr>
          <w:color w:val="auto"/>
          <w:spacing w:val="-2"/>
          <w:sz w:val="21"/>
          <w:szCs w:val="21"/>
          <w:highlight w:val="none"/>
        </w:rPr>
        <w:t>条、第</w:t>
      </w:r>
      <w:r>
        <w:rPr>
          <w:color w:val="auto"/>
          <w:spacing w:val="-48"/>
          <w:sz w:val="21"/>
          <w:szCs w:val="21"/>
          <w:highlight w:val="none"/>
        </w:rPr>
        <w:t xml:space="preserve"> </w:t>
      </w:r>
      <w:r>
        <w:rPr>
          <w:rFonts w:ascii="Times New Roman" w:hAnsi="Times New Roman" w:eastAsia="Times New Roman" w:cs="Times New Roman"/>
          <w:color w:val="auto"/>
          <w:spacing w:val="-2"/>
          <w:sz w:val="21"/>
          <w:szCs w:val="21"/>
          <w:highlight w:val="none"/>
        </w:rPr>
        <w:t xml:space="preserve">4 </w:t>
      </w:r>
      <w:r>
        <w:rPr>
          <w:color w:val="auto"/>
          <w:spacing w:val="-2"/>
          <w:sz w:val="21"/>
          <w:szCs w:val="21"/>
          <w:highlight w:val="none"/>
        </w:rPr>
        <w:t>条的规</w:t>
      </w:r>
      <w:r>
        <w:rPr>
          <w:color w:val="auto"/>
          <w:sz w:val="21"/>
          <w:szCs w:val="21"/>
          <w:highlight w:val="none"/>
        </w:rPr>
        <w:t xml:space="preserve"> </w:t>
      </w:r>
      <w:r>
        <w:rPr>
          <w:color w:val="auto"/>
          <w:spacing w:val="-1"/>
          <w:sz w:val="21"/>
          <w:szCs w:val="21"/>
          <w:highlight w:val="none"/>
        </w:rPr>
        <w:t>定进行编制、密封、标记和递交，并标明</w:t>
      </w:r>
      <w:r>
        <w:rPr>
          <w:rFonts w:ascii="Times New Roman" w:hAnsi="Times New Roman" w:eastAsia="Times New Roman" w:cs="Times New Roman"/>
          <w:color w:val="auto"/>
          <w:spacing w:val="-1"/>
          <w:sz w:val="21"/>
          <w:szCs w:val="21"/>
          <w:highlight w:val="none"/>
        </w:rPr>
        <w:t>“</w:t>
      </w:r>
      <w:r>
        <w:rPr>
          <w:color w:val="auto"/>
          <w:spacing w:val="-1"/>
          <w:sz w:val="21"/>
          <w:szCs w:val="21"/>
          <w:highlight w:val="none"/>
        </w:rPr>
        <w:t>修改</w:t>
      </w:r>
      <w:r>
        <w:rPr>
          <w:rFonts w:ascii="Times New Roman" w:hAnsi="Times New Roman" w:eastAsia="Times New Roman" w:cs="Times New Roman"/>
          <w:color w:val="auto"/>
          <w:spacing w:val="-1"/>
          <w:sz w:val="21"/>
          <w:szCs w:val="21"/>
          <w:highlight w:val="none"/>
        </w:rPr>
        <w:t>”</w:t>
      </w:r>
      <w:r>
        <w:rPr>
          <w:color w:val="auto"/>
          <w:spacing w:val="-1"/>
          <w:sz w:val="21"/>
          <w:szCs w:val="21"/>
          <w:highlight w:val="none"/>
        </w:rPr>
        <w:t>字样。</w:t>
      </w:r>
    </w:p>
    <w:p>
      <w:pPr>
        <w:spacing w:before="317" w:line="241" w:lineRule="auto"/>
        <w:ind w:left="4"/>
        <w:outlineLvl w:val="1"/>
        <w:rPr>
          <w:rFonts w:ascii="黑体" w:hAnsi="黑体" w:eastAsia="黑体" w:cs="黑体"/>
          <w:color w:val="auto"/>
          <w:sz w:val="31"/>
          <w:szCs w:val="31"/>
          <w:highlight w:val="none"/>
        </w:rPr>
      </w:pPr>
      <w:bookmarkStart w:id="45" w:name="bookmark53"/>
      <w:bookmarkEnd w:id="45"/>
      <w:bookmarkStart w:id="46" w:name="bookmark52"/>
      <w:bookmarkEnd w:id="46"/>
      <w:bookmarkStart w:id="47" w:name="bookmark51"/>
      <w:bookmarkEnd w:id="47"/>
      <w:r>
        <w:rPr>
          <w:rFonts w:ascii="Times New Roman" w:hAnsi="Times New Roman" w:eastAsia="Times New Roman" w:cs="Times New Roman"/>
          <w:b/>
          <w:bCs/>
          <w:color w:val="auto"/>
          <w:spacing w:val="-2"/>
          <w:sz w:val="31"/>
          <w:szCs w:val="31"/>
          <w:highlight w:val="none"/>
        </w:rPr>
        <w:t>5.</w:t>
      </w:r>
      <w:r>
        <w:rPr>
          <w:rFonts w:ascii="Times New Roman" w:hAnsi="Times New Roman" w:eastAsia="Times New Roman" w:cs="Times New Roman"/>
          <w:b/>
          <w:bCs/>
          <w:color w:val="auto"/>
          <w:spacing w:val="11"/>
          <w:sz w:val="31"/>
          <w:szCs w:val="31"/>
          <w:highlight w:val="none"/>
        </w:rPr>
        <w:t xml:space="preserve">  </w:t>
      </w:r>
      <w:r>
        <w:rPr>
          <w:rFonts w:ascii="黑体" w:hAnsi="黑体" w:eastAsia="黑体" w:cs="黑体"/>
          <w:b/>
          <w:bCs/>
          <w:color w:val="auto"/>
          <w:spacing w:val="-2"/>
          <w:sz w:val="31"/>
          <w:szCs w:val="31"/>
          <w:highlight w:val="none"/>
        </w:rPr>
        <w:t>开标</w:t>
      </w:r>
    </w:p>
    <w:p>
      <w:pPr>
        <w:spacing w:line="467" w:lineRule="auto"/>
        <w:rPr>
          <w:rFonts w:ascii="Arial"/>
          <w:color w:val="auto"/>
          <w:sz w:val="21"/>
          <w:highlight w:val="none"/>
        </w:rPr>
      </w:pPr>
    </w:p>
    <w:p>
      <w:pPr>
        <w:spacing w:before="91" w:line="235" w:lineRule="auto"/>
        <w:ind w:left="143"/>
        <w:outlineLvl w:val="2"/>
        <w:rPr>
          <w:rFonts w:ascii="黑体" w:hAnsi="黑体" w:eastAsia="黑体" w:cs="黑体"/>
          <w:strike/>
          <w:dstrike w:val="0"/>
          <w:color w:val="auto"/>
          <w:sz w:val="28"/>
          <w:szCs w:val="28"/>
          <w:highlight w:val="none"/>
        </w:rPr>
      </w:pPr>
      <w:bookmarkStart w:id="48" w:name="bookmark183"/>
      <w:bookmarkEnd w:id="48"/>
      <w:r>
        <w:rPr>
          <w:rFonts w:ascii="Times New Roman" w:hAnsi="Times New Roman" w:eastAsia="Times New Roman" w:cs="Times New Roman"/>
          <w:strike/>
          <w:dstrike w:val="0"/>
          <w:color w:val="auto"/>
          <w:spacing w:val="-1"/>
          <w:sz w:val="28"/>
          <w:szCs w:val="28"/>
          <w:highlight w:val="none"/>
        </w:rPr>
        <w:t xml:space="preserve">5.1  </w:t>
      </w:r>
      <w:r>
        <w:rPr>
          <w:rFonts w:ascii="黑体" w:hAnsi="黑体" w:eastAsia="黑体" w:cs="黑体"/>
          <w:strike/>
          <w:dstrike w:val="0"/>
          <w:color w:val="auto"/>
          <w:spacing w:val="-1"/>
          <w:sz w:val="28"/>
          <w:szCs w:val="28"/>
          <w:highlight w:val="none"/>
        </w:rPr>
        <w:t>开标时间和地点（</w:t>
      </w:r>
      <w:r>
        <w:rPr>
          <w:rFonts w:ascii="Times New Roman" w:hAnsi="Times New Roman" w:eastAsia="Times New Roman" w:cs="Times New Roman"/>
          <w:strike/>
          <w:dstrike w:val="0"/>
          <w:color w:val="auto"/>
          <w:spacing w:val="-1"/>
          <w:sz w:val="28"/>
          <w:szCs w:val="28"/>
          <w:highlight w:val="none"/>
        </w:rPr>
        <w:t>A</w:t>
      </w:r>
      <w:r>
        <w:rPr>
          <w:rFonts w:ascii="黑体" w:hAnsi="黑体" w:eastAsia="黑体" w:cs="黑体"/>
          <w:strike/>
          <w:dstrike w:val="0"/>
          <w:color w:val="auto"/>
          <w:spacing w:val="-1"/>
          <w:sz w:val="28"/>
          <w:szCs w:val="28"/>
          <w:highlight w:val="none"/>
        </w:rPr>
        <w:t>）</w:t>
      </w:r>
    </w:p>
    <w:p>
      <w:pPr>
        <w:spacing w:line="294" w:lineRule="auto"/>
        <w:rPr>
          <w:rFonts w:ascii="Arial"/>
          <w:strike/>
          <w:dstrike w:val="0"/>
          <w:color w:val="auto"/>
          <w:sz w:val="21"/>
          <w:highlight w:val="none"/>
        </w:rPr>
      </w:pPr>
    </w:p>
    <w:p>
      <w:pPr>
        <w:pStyle w:val="13"/>
        <w:spacing w:before="69" w:line="344" w:lineRule="auto"/>
        <w:ind w:left="8" w:right="61" w:firstLine="414"/>
        <w:rPr>
          <w:strike/>
          <w:dstrike w:val="0"/>
          <w:color w:val="auto"/>
          <w:sz w:val="21"/>
          <w:szCs w:val="21"/>
          <w:highlight w:val="none"/>
        </w:rPr>
      </w:pPr>
      <w:r>
        <w:rPr>
          <w:strike/>
          <w:dstrike w:val="0"/>
          <w:color w:val="auto"/>
          <w:spacing w:val="-2"/>
          <w:sz w:val="21"/>
          <w:szCs w:val="21"/>
          <w:highlight w:val="none"/>
        </w:rPr>
        <w:t>招标人在本章第</w:t>
      </w:r>
      <w:r>
        <w:rPr>
          <w:strike/>
          <w:dstrike w:val="0"/>
          <w:color w:val="auto"/>
          <w:spacing w:val="-48"/>
          <w:sz w:val="21"/>
          <w:szCs w:val="21"/>
          <w:highlight w:val="none"/>
        </w:rPr>
        <w:t xml:space="preserve"> </w:t>
      </w:r>
      <w:r>
        <w:rPr>
          <w:rFonts w:ascii="Times New Roman" w:hAnsi="Times New Roman" w:eastAsia="Times New Roman" w:cs="Times New Roman"/>
          <w:strike/>
          <w:dstrike w:val="0"/>
          <w:color w:val="auto"/>
          <w:spacing w:val="-2"/>
          <w:sz w:val="21"/>
          <w:szCs w:val="21"/>
          <w:highlight w:val="none"/>
        </w:rPr>
        <w:t xml:space="preserve">4.2.1 </w:t>
      </w:r>
      <w:r>
        <w:rPr>
          <w:strike/>
          <w:dstrike w:val="0"/>
          <w:color w:val="auto"/>
          <w:spacing w:val="-2"/>
          <w:sz w:val="21"/>
          <w:szCs w:val="21"/>
          <w:highlight w:val="none"/>
        </w:rPr>
        <w:t>项规定的投标截止时间（开标时间）和投标人须知前附表规定的地点</w:t>
      </w:r>
      <w:r>
        <w:rPr>
          <w:strike/>
          <w:dstrike w:val="0"/>
          <w:color w:val="auto"/>
          <w:sz w:val="21"/>
          <w:szCs w:val="21"/>
          <w:highlight w:val="none"/>
        </w:rPr>
        <w:t xml:space="preserve"> </w:t>
      </w:r>
      <w:r>
        <w:rPr>
          <w:strike/>
          <w:dstrike w:val="0"/>
          <w:color w:val="auto"/>
          <w:spacing w:val="-1"/>
          <w:sz w:val="21"/>
          <w:szCs w:val="21"/>
          <w:highlight w:val="none"/>
        </w:rPr>
        <w:t>公开开标，并邀请所有投标人的法定代表人（单位负责人）或其委托代理人准时参加。</w:t>
      </w:r>
    </w:p>
    <w:p>
      <w:pPr>
        <w:spacing w:before="178" w:line="235" w:lineRule="auto"/>
        <w:ind w:left="143"/>
        <w:outlineLvl w:val="2"/>
        <w:rPr>
          <w:rFonts w:ascii="黑体" w:hAnsi="黑体" w:eastAsia="黑体" w:cs="黑体"/>
          <w:color w:val="auto"/>
          <w:sz w:val="28"/>
          <w:szCs w:val="28"/>
          <w:highlight w:val="none"/>
        </w:rPr>
      </w:pPr>
      <w:bookmarkStart w:id="49" w:name="bookmark184"/>
      <w:bookmarkEnd w:id="49"/>
      <w:r>
        <w:rPr>
          <w:rFonts w:ascii="Times New Roman" w:hAnsi="Times New Roman" w:eastAsia="Times New Roman" w:cs="Times New Roman"/>
          <w:color w:val="auto"/>
          <w:spacing w:val="-1"/>
          <w:sz w:val="28"/>
          <w:szCs w:val="28"/>
          <w:highlight w:val="none"/>
        </w:rPr>
        <w:t xml:space="preserve">5.1  </w:t>
      </w:r>
      <w:r>
        <w:rPr>
          <w:rFonts w:ascii="黑体" w:hAnsi="黑体" w:eastAsia="黑体" w:cs="黑体"/>
          <w:color w:val="auto"/>
          <w:spacing w:val="-1"/>
          <w:sz w:val="28"/>
          <w:szCs w:val="28"/>
          <w:highlight w:val="none"/>
        </w:rPr>
        <w:t>开标时间和地点（</w:t>
      </w:r>
      <w:r>
        <w:rPr>
          <w:rFonts w:ascii="Times New Roman" w:hAnsi="Times New Roman" w:eastAsia="Times New Roman" w:cs="Times New Roman"/>
          <w:color w:val="auto"/>
          <w:spacing w:val="-1"/>
          <w:sz w:val="28"/>
          <w:szCs w:val="28"/>
          <w:highlight w:val="none"/>
        </w:rPr>
        <w:t>B</w:t>
      </w:r>
      <w:r>
        <w:rPr>
          <w:rFonts w:ascii="黑体" w:hAnsi="黑体" w:eastAsia="黑体" w:cs="黑体"/>
          <w:color w:val="auto"/>
          <w:spacing w:val="-1"/>
          <w:sz w:val="28"/>
          <w:szCs w:val="28"/>
          <w:highlight w:val="none"/>
        </w:rPr>
        <w:t>）</w:t>
      </w:r>
    </w:p>
    <w:p>
      <w:pPr>
        <w:spacing w:line="296" w:lineRule="auto"/>
        <w:rPr>
          <w:rFonts w:ascii="Arial"/>
          <w:color w:val="auto"/>
          <w:sz w:val="21"/>
          <w:highlight w:val="none"/>
        </w:rPr>
      </w:pPr>
    </w:p>
    <w:p>
      <w:pPr>
        <w:pStyle w:val="13"/>
        <w:spacing w:before="69" w:line="342" w:lineRule="auto"/>
        <w:ind w:left="2" w:right="62" w:firstLine="419"/>
        <w:rPr>
          <w:color w:val="auto"/>
          <w:sz w:val="21"/>
          <w:szCs w:val="21"/>
          <w:highlight w:val="none"/>
        </w:rPr>
      </w:pPr>
      <w:r>
        <w:rPr>
          <w:color w:val="auto"/>
          <w:spacing w:val="-1"/>
          <w:sz w:val="21"/>
          <w:szCs w:val="21"/>
          <w:highlight w:val="none"/>
        </w:rPr>
        <w:t xml:space="preserve">招标人在本章第 </w:t>
      </w:r>
      <w:r>
        <w:rPr>
          <w:rFonts w:ascii="Times New Roman" w:hAnsi="Times New Roman" w:eastAsia="Times New Roman" w:cs="Times New Roman"/>
          <w:color w:val="auto"/>
          <w:spacing w:val="-1"/>
          <w:sz w:val="21"/>
          <w:szCs w:val="21"/>
          <w:highlight w:val="none"/>
        </w:rPr>
        <w:t>4.2.1</w:t>
      </w:r>
      <w:r>
        <w:rPr>
          <w:rFonts w:ascii="Times New Roman" w:hAnsi="Times New Roman" w:eastAsia="Times New Roman" w:cs="Times New Roman"/>
          <w:color w:val="auto"/>
          <w:spacing w:val="66"/>
          <w:w w:val="101"/>
          <w:sz w:val="21"/>
          <w:szCs w:val="21"/>
          <w:highlight w:val="none"/>
        </w:rPr>
        <w:t xml:space="preserve"> </w:t>
      </w:r>
      <w:r>
        <w:rPr>
          <w:color w:val="auto"/>
          <w:spacing w:val="-1"/>
          <w:sz w:val="21"/>
          <w:szCs w:val="21"/>
          <w:highlight w:val="none"/>
        </w:rPr>
        <w:t>项规定的投标截止时间（开标时间）</w:t>
      </w:r>
      <w:r>
        <w:rPr>
          <w:rFonts w:ascii="Times New Roman" w:hAnsi="Times New Roman" w:eastAsia="Times New Roman" w:cs="Times New Roman"/>
          <w:color w:val="auto"/>
          <w:spacing w:val="-1"/>
          <w:sz w:val="21"/>
          <w:szCs w:val="21"/>
          <w:highlight w:val="none"/>
        </w:rPr>
        <w:t>,</w:t>
      </w:r>
      <w:r>
        <w:rPr>
          <w:color w:val="auto"/>
          <w:spacing w:val="-1"/>
          <w:sz w:val="21"/>
          <w:szCs w:val="21"/>
          <w:highlight w:val="none"/>
        </w:rPr>
        <w:t>通过电子招标投标交易平台公</w:t>
      </w:r>
      <w:r>
        <w:rPr>
          <w:color w:val="auto"/>
          <w:sz w:val="21"/>
          <w:szCs w:val="21"/>
          <w:highlight w:val="none"/>
        </w:rPr>
        <w:t xml:space="preserve"> </w:t>
      </w:r>
      <w:r>
        <w:rPr>
          <w:color w:val="auto"/>
          <w:spacing w:val="-1"/>
          <w:sz w:val="21"/>
          <w:szCs w:val="21"/>
          <w:highlight w:val="none"/>
        </w:rPr>
        <w:t>开开标，所有投标人的法定代表人（单位负责人）或其委托代理人应当准时参加。</w:t>
      </w:r>
    </w:p>
    <w:p>
      <w:pPr>
        <w:spacing w:before="183" w:line="233" w:lineRule="auto"/>
        <w:ind w:left="143"/>
        <w:outlineLvl w:val="2"/>
        <w:rPr>
          <w:rFonts w:ascii="黑体" w:hAnsi="黑体" w:eastAsia="黑体" w:cs="黑体"/>
          <w:color w:val="auto"/>
          <w:sz w:val="28"/>
          <w:szCs w:val="28"/>
          <w:highlight w:val="none"/>
        </w:rPr>
      </w:pPr>
      <w:bookmarkStart w:id="50" w:name="bookmark54"/>
      <w:bookmarkEnd w:id="50"/>
      <w:r>
        <w:rPr>
          <w:rFonts w:ascii="Times New Roman" w:hAnsi="Times New Roman" w:eastAsia="Times New Roman" w:cs="Times New Roman"/>
          <w:color w:val="auto"/>
          <w:spacing w:val="-3"/>
          <w:sz w:val="28"/>
          <w:szCs w:val="28"/>
          <w:highlight w:val="none"/>
        </w:rPr>
        <w:t>5.2</w:t>
      </w:r>
      <w:r>
        <w:rPr>
          <w:rFonts w:ascii="Times New Roman" w:hAnsi="Times New Roman" w:eastAsia="Times New Roman" w:cs="Times New Roman"/>
          <w:color w:val="auto"/>
          <w:spacing w:val="6"/>
          <w:sz w:val="28"/>
          <w:szCs w:val="28"/>
          <w:highlight w:val="none"/>
        </w:rPr>
        <w:t xml:space="preserve">  </w:t>
      </w:r>
      <w:r>
        <w:rPr>
          <w:rFonts w:ascii="黑体" w:hAnsi="黑体" w:eastAsia="黑体" w:cs="黑体"/>
          <w:color w:val="auto"/>
          <w:spacing w:val="-3"/>
          <w:sz w:val="28"/>
          <w:szCs w:val="28"/>
          <w:highlight w:val="none"/>
        </w:rPr>
        <w:t>开标程序</w:t>
      </w:r>
    </w:p>
    <w:p>
      <w:pPr>
        <w:spacing w:line="297" w:lineRule="auto"/>
        <w:rPr>
          <w:rFonts w:ascii="Arial"/>
          <w:color w:val="auto"/>
          <w:sz w:val="21"/>
          <w:highlight w:val="none"/>
        </w:rPr>
      </w:pPr>
    </w:p>
    <w:p>
      <w:pPr>
        <w:pStyle w:val="13"/>
        <w:spacing w:before="69" w:line="221" w:lineRule="auto"/>
        <w:ind w:left="423"/>
        <w:rPr>
          <w:color w:val="auto"/>
          <w:sz w:val="21"/>
          <w:szCs w:val="21"/>
          <w:highlight w:val="none"/>
        </w:rPr>
      </w:pPr>
      <w:r>
        <w:rPr>
          <w:color w:val="auto"/>
          <w:spacing w:val="-3"/>
          <w:sz w:val="21"/>
          <w:szCs w:val="21"/>
          <w:highlight w:val="none"/>
        </w:rPr>
        <w:t>主持人按下列程序进行开标：</w:t>
      </w:r>
    </w:p>
    <w:p>
      <w:pPr>
        <w:pStyle w:val="13"/>
        <w:spacing w:before="150" w:line="234" w:lineRule="auto"/>
        <w:ind w:left="427"/>
        <w:rPr>
          <w:color w:val="auto"/>
          <w:sz w:val="21"/>
          <w:szCs w:val="21"/>
          <w:highlight w:val="none"/>
        </w:rPr>
      </w:pPr>
      <w:r>
        <w:rPr>
          <w:color w:val="auto"/>
          <w:spacing w:val="-2"/>
          <w:sz w:val="21"/>
          <w:szCs w:val="21"/>
          <w:highlight w:val="none"/>
        </w:rPr>
        <w:t>（</w:t>
      </w:r>
      <w:r>
        <w:rPr>
          <w:rFonts w:ascii="Times New Roman" w:hAnsi="Times New Roman" w:eastAsia="Times New Roman" w:cs="Times New Roman"/>
          <w:color w:val="auto"/>
          <w:spacing w:val="-2"/>
          <w:sz w:val="21"/>
          <w:szCs w:val="21"/>
          <w:highlight w:val="none"/>
        </w:rPr>
        <w:t>1</w:t>
      </w:r>
      <w:r>
        <w:rPr>
          <w:color w:val="auto"/>
          <w:spacing w:val="-2"/>
          <w:sz w:val="21"/>
          <w:szCs w:val="21"/>
          <w:highlight w:val="none"/>
        </w:rPr>
        <w:t>）宣布开标纪律；</w:t>
      </w:r>
    </w:p>
    <w:p>
      <w:pPr>
        <w:pStyle w:val="13"/>
        <w:spacing w:before="132" w:line="234" w:lineRule="auto"/>
        <w:ind w:left="427"/>
        <w:rPr>
          <w:color w:val="auto"/>
          <w:sz w:val="21"/>
          <w:szCs w:val="21"/>
          <w:highlight w:val="none"/>
        </w:rPr>
      </w:pPr>
      <w:r>
        <w:rPr>
          <w:color w:val="auto"/>
          <w:spacing w:val="-2"/>
          <w:sz w:val="21"/>
          <w:szCs w:val="21"/>
          <w:highlight w:val="none"/>
        </w:rPr>
        <w:t>（</w:t>
      </w:r>
      <w:r>
        <w:rPr>
          <w:rFonts w:ascii="Times New Roman" w:hAnsi="Times New Roman" w:eastAsia="Times New Roman" w:cs="Times New Roman"/>
          <w:color w:val="auto"/>
          <w:spacing w:val="-2"/>
          <w:sz w:val="21"/>
          <w:szCs w:val="21"/>
          <w:highlight w:val="none"/>
        </w:rPr>
        <w:t>2</w:t>
      </w:r>
      <w:r>
        <w:rPr>
          <w:color w:val="auto"/>
          <w:spacing w:val="-2"/>
          <w:sz w:val="21"/>
          <w:szCs w:val="21"/>
          <w:highlight w:val="none"/>
        </w:rPr>
        <w:t>）公布在投标截止时间前递交投标文件的投标人名称；</w:t>
      </w:r>
    </w:p>
    <w:p>
      <w:pPr>
        <w:pStyle w:val="13"/>
        <w:spacing w:before="135" w:line="234" w:lineRule="auto"/>
        <w:ind w:left="427"/>
        <w:rPr>
          <w:color w:val="auto"/>
          <w:sz w:val="21"/>
          <w:szCs w:val="21"/>
          <w:highlight w:val="none"/>
        </w:rPr>
      </w:pPr>
      <w:r>
        <w:rPr>
          <w:color w:val="auto"/>
          <w:spacing w:val="-1"/>
          <w:sz w:val="21"/>
          <w:szCs w:val="21"/>
          <w:highlight w:val="none"/>
        </w:rPr>
        <w:t>（</w:t>
      </w:r>
      <w:r>
        <w:rPr>
          <w:rFonts w:ascii="Times New Roman" w:hAnsi="Times New Roman" w:eastAsia="Times New Roman" w:cs="Times New Roman"/>
          <w:color w:val="auto"/>
          <w:spacing w:val="-1"/>
          <w:sz w:val="21"/>
          <w:szCs w:val="21"/>
          <w:highlight w:val="none"/>
        </w:rPr>
        <w:t>3</w:t>
      </w:r>
      <w:r>
        <w:rPr>
          <w:color w:val="auto"/>
          <w:spacing w:val="-1"/>
          <w:sz w:val="21"/>
          <w:szCs w:val="21"/>
          <w:highlight w:val="none"/>
        </w:rPr>
        <w:t>）宣布开标人、唱标人、记录人、监标人</w:t>
      </w:r>
      <w:r>
        <w:rPr>
          <w:color w:val="auto"/>
          <w:spacing w:val="-2"/>
          <w:sz w:val="21"/>
          <w:szCs w:val="21"/>
          <w:highlight w:val="none"/>
        </w:rPr>
        <w:t>等有关人员姓名；</w:t>
      </w:r>
    </w:p>
    <w:p>
      <w:pPr>
        <w:pStyle w:val="13"/>
        <w:spacing w:before="134" w:line="308" w:lineRule="auto"/>
        <w:ind w:left="1" w:right="62" w:firstLine="426"/>
        <w:rPr>
          <w:color w:val="auto"/>
          <w:sz w:val="21"/>
          <w:szCs w:val="21"/>
          <w:highlight w:val="none"/>
        </w:rPr>
      </w:pPr>
      <w:r>
        <w:rPr>
          <w:strike/>
          <w:dstrike w:val="0"/>
          <w:color w:val="auto"/>
          <w:spacing w:val="3"/>
          <w:sz w:val="21"/>
          <w:szCs w:val="21"/>
          <w:highlight w:val="none"/>
        </w:rPr>
        <w:t>（</w:t>
      </w:r>
      <w:r>
        <w:rPr>
          <w:rFonts w:ascii="Times New Roman" w:hAnsi="Times New Roman" w:eastAsia="Times New Roman" w:cs="Times New Roman"/>
          <w:strike/>
          <w:dstrike w:val="0"/>
          <w:color w:val="auto"/>
          <w:spacing w:val="3"/>
          <w:sz w:val="21"/>
          <w:szCs w:val="21"/>
          <w:highlight w:val="none"/>
        </w:rPr>
        <w:t>4</w:t>
      </w:r>
      <w:r>
        <w:rPr>
          <w:strike/>
          <w:dstrike w:val="0"/>
          <w:color w:val="auto"/>
          <w:spacing w:val="-57"/>
          <w:w w:val="95"/>
          <w:sz w:val="21"/>
          <w:szCs w:val="21"/>
          <w:highlight w:val="none"/>
        </w:rPr>
        <w:t>）（</w:t>
      </w:r>
      <w:r>
        <w:rPr>
          <w:rFonts w:ascii="Times New Roman" w:hAnsi="Times New Roman" w:eastAsia="Times New Roman" w:cs="Times New Roman"/>
          <w:strike/>
          <w:dstrike w:val="0"/>
          <w:color w:val="auto"/>
          <w:spacing w:val="3"/>
          <w:sz w:val="21"/>
          <w:szCs w:val="21"/>
          <w:highlight w:val="none"/>
        </w:rPr>
        <w:t>A</w:t>
      </w:r>
      <w:r>
        <w:rPr>
          <w:strike/>
          <w:dstrike w:val="0"/>
          <w:color w:val="auto"/>
          <w:spacing w:val="3"/>
          <w:sz w:val="21"/>
          <w:szCs w:val="21"/>
          <w:highlight w:val="none"/>
        </w:rPr>
        <w:t>）检查投标文件的密封情况，按照投标人须知前</w:t>
      </w:r>
      <w:r>
        <w:rPr>
          <w:strike/>
          <w:dstrike w:val="0"/>
          <w:color w:val="auto"/>
          <w:spacing w:val="2"/>
          <w:sz w:val="21"/>
          <w:szCs w:val="21"/>
          <w:highlight w:val="none"/>
        </w:rPr>
        <w:t>附表规定的开标顺序当众开标，</w:t>
      </w:r>
      <w:r>
        <w:rPr>
          <w:strike/>
          <w:dstrike w:val="0"/>
          <w:color w:val="auto"/>
          <w:spacing w:val="4"/>
          <w:sz w:val="21"/>
          <w:szCs w:val="21"/>
          <w:highlight w:val="none"/>
        </w:rPr>
        <w:t xml:space="preserve"> </w:t>
      </w:r>
      <w:r>
        <w:rPr>
          <w:strike/>
          <w:dstrike w:val="0"/>
          <w:color w:val="auto"/>
          <w:spacing w:val="1"/>
          <w:sz w:val="21"/>
          <w:szCs w:val="21"/>
          <w:highlight w:val="none"/>
        </w:rPr>
        <w:t>公布招标项目名称、投标人名称、投标保证金的递交情</w:t>
      </w:r>
      <w:r>
        <w:rPr>
          <w:strike/>
          <w:dstrike w:val="0"/>
          <w:color w:val="auto"/>
          <w:sz w:val="21"/>
          <w:szCs w:val="21"/>
          <w:highlight w:val="none"/>
        </w:rPr>
        <w:t xml:space="preserve">况、投标报价、交货期、交货地点及其 </w:t>
      </w:r>
      <w:r>
        <w:rPr>
          <w:strike/>
          <w:dstrike w:val="0"/>
          <w:color w:val="auto"/>
          <w:spacing w:val="-4"/>
          <w:sz w:val="21"/>
          <w:szCs w:val="21"/>
          <w:highlight w:val="none"/>
        </w:rPr>
        <w:t>他内容，并记录在案；</w:t>
      </w:r>
    </w:p>
    <w:p>
      <w:pPr>
        <w:pStyle w:val="13"/>
        <w:spacing w:before="230" w:line="308" w:lineRule="auto"/>
        <w:ind w:left="1" w:right="22" w:firstLine="425"/>
        <w:rPr>
          <w:color w:val="auto"/>
          <w:spacing w:val="-1"/>
          <w:sz w:val="21"/>
          <w:szCs w:val="21"/>
          <w:highlight w:val="none"/>
        </w:rPr>
      </w:pPr>
      <w:r>
        <w:rPr>
          <w:color w:val="auto"/>
          <w:spacing w:val="2"/>
          <w:sz w:val="21"/>
          <w:szCs w:val="21"/>
          <w:highlight w:val="none"/>
        </w:rPr>
        <w:t>（</w:t>
      </w:r>
      <w:r>
        <w:rPr>
          <w:rFonts w:ascii="Times New Roman" w:hAnsi="Times New Roman" w:eastAsia="Times New Roman" w:cs="Times New Roman"/>
          <w:color w:val="auto"/>
          <w:spacing w:val="2"/>
          <w:sz w:val="21"/>
          <w:szCs w:val="21"/>
          <w:highlight w:val="none"/>
        </w:rPr>
        <w:t>4</w:t>
      </w:r>
      <w:r>
        <w:rPr>
          <w:color w:val="auto"/>
          <w:spacing w:val="-57"/>
          <w:sz w:val="21"/>
          <w:szCs w:val="21"/>
          <w:highlight w:val="none"/>
        </w:rPr>
        <w:t>）（</w:t>
      </w:r>
      <w:r>
        <w:rPr>
          <w:rFonts w:ascii="Times New Roman" w:hAnsi="Times New Roman" w:eastAsia="Times New Roman" w:cs="Times New Roman"/>
          <w:color w:val="auto"/>
          <w:spacing w:val="2"/>
          <w:sz w:val="21"/>
          <w:szCs w:val="21"/>
          <w:highlight w:val="none"/>
        </w:rPr>
        <w:t>B</w:t>
      </w:r>
      <w:r>
        <w:rPr>
          <w:color w:val="auto"/>
          <w:spacing w:val="2"/>
          <w:sz w:val="21"/>
          <w:szCs w:val="21"/>
          <w:highlight w:val="none"/>
        </w:rPr>
        <w:t>）投标人通过电子招标投标交易平台对已递交的电子投标文件进行解密，公布招</w:t>
      </w:r>
      <w:r>
        <w:rPr>
          <w:color w:val="auto"/>
          <w:sz w:val="21"/>
          <w:szCs w:val="21"/>
          <w:highlight w:val="none"/>
        </w:rPr>
        <w:t xml:space="preserve"> </w:t>
      </w:r>
      <w:r>
        <w:rPr>
          <w:color w:val="auto"/>
          <w:spacing w:val="-5"/>
          <w:sz w:val="21"/>
          <w:szCs w:val="21"/>
          <w:highlight w:val="none"/>
        </w:rPr>
        <w:t>标项目名称、投标人名称、投标保证金的递交情况、投标报价、交货期、交货地点及其他内容，</w:t>
      </w:r>
      <w:r>
        <w:rPr>
          <w:color w:val="auto"/>
          <w:spacing w:val="3"/>
          <w:sz w:val="21"/>
          <w:szCs w:val="21"/>
          <w:highlight w:val="none"/>
        </w:rPr>
        <w:t xml:space="preserve"> </w:t>
      </w:r>
      <w:r>
        <w:rPr>
          <w:color w:val="auto"/>
          <w:spacing w:val="-1"/>
          <w:sz w:val="21"/>
          <w:szCs w:val="21"/>
          <w:highlight w:val="none"/>
        </w:rPr>
        <w:t>并记录在案；</w:t>
      </w:r>
    </w:p>
    <w:p>
      <w:pPr>
        <w:pStyle w:val="13"/>
        <w:spacing w:before="230" w:line="308" w:lineRule="auto"/>
        <w:ind w:left="1" w:right="22" w:firstLine="425"/>
        <w:rPr>
          <w:strike/>
          <w:dstrike w:val="0"/>
          <w:color w:val="auto"/>
          <w:sz w:val="21"/>
          <w:szCs w:val="21"/>
          <w:highlight w:val="none"/>
        </w:rPr>
      </w:pPr>
      <w:r>
        <w:rPr>
          <w:strike/>
          <w:dstrike w:val="0"/>
          <w:color w:val="auto"/>
          <w:spacing w:val="-2"/>
          <w:sz w:val="21"/>
          <w:szCs w:val="21"/>
          <w:highlight w:val="none"/>
        </w:rPr>
        <w:t>（</w:t>
      </w:r>
      <w:r>
        <w:rPr>
          <w:rFonts w:ascii="Times New Roman" w:hAnsi="Times New Roman" w:eastAsia="Times New Roman" w:cs="Times New Roman"/>
          <w:strike/>
          <w:dstrike w:val="0"/>
          <w:color w:val="auto"/>
          <w:spacing w:val="-2"/>
          <w:sz w:val="21"/>
          <w:szCs w:val="21"/>
          <w:highlight w:val="none"/>
        </w:rPr>
        <w:t>5</w:t>
      </w:r>
      <w:r>
        <w:rPr>
          <w:strike/>
          <w:dstrike w:val="0"/>
          <w:color w:val="auto"/>
          <w:spacing w:val="-52"/>
          <w:w w:val="86"/>
          <w:sz w:val="21"/>
          <w:szCs w:val="21"/>
          <w:highlight w:val="none"/>
        </w:rPr>
        <w:t>）（</w:t>
      </w:r>
      <w:r>
        <w:rPr>
          <w:rFonts w:ascii="Times New Roman" w:hAnsi="Times New Roman" w:eastAsia="Times New Roman" w:cs="Times New Roman"/>
          <w:strike/>
          <w:dstrike w:val="0"/>
          <w:color w:val="auto"/>
          <w:spacing w:val="-2"/>
          <w:sz w:val="21"/>
          <w:szCs w:val="21"/>
          <w:highlight w:val="none"/>
        </w:rPr>
        <w:t>A</w:t>
      </w:r>
      <w:r>
        <w:rPr>
          <w:strike/>
          <w:dstrike w:val="0"/>
          <w:color w:val="auto"/>
          <w:spacing w:val="-2"/>
          <w:sz w:val="21"/>
          <w:szCs w:val="21"/>
          <w:highlight w:val="none"/>
        </w:rPr>
        <w:t>）投标人代表、招标人代表、监标人、记录人等有关人员在开标记录上签字确认；</w:t>
      </w:r>
    </w:p>
    <w:p>
      <w:pPr>
        <w:pStyle w:val="13"/>
        <w:spacing w:before="134" w:line="285" w:lineRule="auto"/>
        <w:ind w:left="1" w:right="11" w:firstLine="425"/>
        <w:rPr>
          <w:color w:val="auto"/>
          <w:sz w:val="21"/>
          <w:szCs w:val="21"/>
          <w:highlight w:val="none"/>
        </w:rPr>
      </w:pPr>
      <w:r>
        <w:rPr>
          <w:color w:val="auto"/>
          <w:spacing w:val="3"/>
          <w:sz w:val="21"/>
          <w:szCs w:val="21"/>
          <w:highlight w:val="none"/>
        </w:rPr>
        <w:t>（</w:t>
      </w:r>
      <w:r>
        <w:rPr>
          <w:rFonts w:ascii="Times New Roman" w:hAnsi="Times New Roman" w:eastAsia="Times New Roman" w:cs="Times New Roman"/>
          <w:color w:val="auto"/>
          <w:spacing w:val="3"/>
          <w:sz w:val="21"/>
          <w:szCs w:val="21"/>
          <w:highlight w:val="none"/>
        </w:rPr>
        <w:t>5</w:t>
      </w:r>
      <w:r>
        <w:rPr>
          <w:color w:val="auto"/>
          <w:spacing w:val="-58"/>
          <w:w w:val="96"/>
          <w:sz w:val="21"/>
          <w:szCs w:val="21"/>
          <w:highlight w:val="none"/>
        </w:rPr>
        <w:t>）（</w:t>
      </w:r>
      <w:r>
        <w:rPr>
          <w:rFonts w:ascii="Times New Roman" w:hAnsi="Times New Roman" w:eastAsia="Times New Roman" w:cs="Times New Roman"/>
          <w:color w:val="auto"/>
          <w:spacing w:val="3"/>
          <w:sz w:val="21"/>
          <w:szCs w:val="21"/>
          <w:highlight w:val="none"/>
        </w:rPr>
        <w:t>B</w:t>
      </w:r>
      <w:r>
        <w:rPr>
          <w:color w:val="auto"/>
          <w:spacing w:val="3"/>
          <w:sz w:val="21"/>
          <w:szCs w:val="21"/>
          <w:highlight w:val="none"/>
        </w:rPr>
        <w:t>）投标人代表、招标人代表、监标人、记录人等有关人</w:t>
      </w:r>
      <w:r>
        <w:rPr>
          <w:color w:val="auto"/>
          <w:spacing w:val="2"/>
          <w:sz w:val="21"/>
          <w:szCs w:val="21"/>
          <w:highlight w:val="none"/>
        </w:rPr>
        <w:t>员使用本人的电子印章在</w:t>
      </w:r>
      <w:r>
        <w:rPr>
          <w:color w:val="auto"/>
          <w:spacing w:val="4"/>
          <w:sz w:val="21"/>
          <w:szCs w:val="21"/>
          <w:highlight w:val="none"/>
        </w:rPr>
        <w:t xml:space="preserve"> </w:t>
      </w:r>
      <w:r>
        <w:rPr>
          <w:color w:val="auto"/>
          <w:spacing w:val="-1"/>
          <w:sz w:val="21"/>
          <w:szCs w:val="21"/>
          <w:highlight w:val="none"/>
        </w:rPr>
        <w:t>开标记录上签字确认；</w:t>
      </w:r>
    </w:p>
    <w:p>
      <w:pPr>
        <w:pStyle w:val="13"/>
        <w:spacing w:before="150" w:line="234" w:lineRule="auto"/>
        <w:ind w:left="427"/>
        <w:rPr>
          <w:color w:val="auto"/>
          <w:sz w:val="21"/>
          <w:szCs w:val="21"/>
          <w:highlight w:val="none"/>
        </w:rPr>
      </w:pPr>
      <w:r>
        <w:rPr>
          <w:color w:val="auto"/>
          <w:spacing w:val="-2"/>
          <w:sz w:val="21"/>
          <w:szCs w:val="21"/>
          <w:highlight w:val="none"/>
        </w:rPr>
        <w:t>（</w:t>
      </w:r>
      <w:r>
        <w:rPr>
          <w:rFonts w:ascii="Times New Roman" w:hAnsi="Times New Roman" w:eastAsia="Times New Roman" w:cs="Times New Roman"/>
          <w:color w:val="auto"/>
          <w:spacing w:val="-2"/>
          <w:sz w:val="21"/>
          <w:szCs w:val="21"/>
          <w:highlight w:val="none"/>
        </w:rPr>
        <w:t>6</w:t>
      </w:r>
      <w:r>
        <w:rPr>
          <w:color w:val="auto"/>
          <w:spacing w:val="-2"/>
          <w:sz w:val="21"/>
          <w:szCs w:val="21"/>
          <w:highlight w:val="none"/>
        </w:rPr>
        <w:t>）开标结束。</w:t>
      </w:r>
    </w:p>
    <w:p>
      <w:pPr>
        <w:spacing w:before="296" w:line="233" w:lineRule="auto"/>
        <w:ind w:left="142"/>
        <w:outlineLvl w:val="2"/>
        <w:rPr>
          <w:rFonts w:ascii="黑体" w:hAnsi="黑体" w:eastAsia="黑体" w:cs="黑体"/>
          <w:color w:val="auto"/>
          <w:sz w:val="28"/>
          <w:szCs w:val="28"/>
          <w:highlight w:val="none"/>
        </w:rPr>
      </w:pPr>
      <w:bookmarkStart w:id="51" w:name="bookmark185"/>
      <w:bookmarkEnd w:id="51"/>
      <w:r>
        <w:rPr>
          <w:rFonts w:ascii="Times New Roman" w:hAnsi="Times New Roman" w:eastAsia="Times New Roman" w:cs="Times New Roman"/>
          <w:color w:val="auto"/>
          <w:spacing w:val="-3"/>
          <w:sz w:val="28"/>
          <w:szCs w:val="28"/>
          <w:highlight w:val="none"/>
        </w:rPr>
        <w:t>5.3</w:t>
      </w:r>
      <w:r>
        <w:rPr>
          <w:rFonts w:ascii="Times New Roman" w:hAnsi="Times New Roman" w:eastAsia="Times New Roman" w:cs="Times New Roman"/>
          <w:color w:val="auto"/>
          <w:spacing w:val="6"/>
          <w:sz w:val="28"/>
          <w:szCs w:val="28"/>
          <w:highlight w:val="none"/>
        </w:rPr>
        <w:t xml:space="preserve">  </w:t>
      </w:r>
      <w:r>
        <w:rPr>
          <w:rFonts w:ascii="黑体" w:hAnsi="黑体" w:eastAsia="黑体" w:cs="黑体"/>
          <w:color w:val="auto"/>
          <w:spacing w:val="-3"/>
          <w:sz w:val="28"/>
          <w:szCs w:val="28"/>
          <w:highlight w:val="none"/>
        </w:rPr>
        <w:t>开标异议</w:t>
      </w:r>
    </w:p>
    <w:p>
      <w:pPr>
        <w:spacing w:line="297" w:lineRule="auto"/>
        <w:rPr>
          <w:rFonts w:ascii="Arial"/>
          <w:color w:val="auto"/>
          <w:sz w:val="21"/>
          <w:highlight w:val="none"/>
        </w:rPr>
      </w:pPr>
    </w:p>
    <w:p>
      <w:pPr>
        <w:pStyle w:val="13"/>
        <w:spacing w:before="69" w:line="221" w:lineRule="auto"/>
        <w:ind w:left="363"/>
        <w:rPr>
          <w:color w:val="auto"/>
          <w:sz w:val="21"/>
          <w:szCs w:val="21"/>
          <w:highlight w:val="none"/>
        </w:rPr>
      </w:pPr>
      <w:r>
        <w:rPr>
          <w:color w:val="auto"/>
          <w:sz w:val="21"/>
          <w:szCs w:val="21"/>
          <w:highlight w:val="none"/>
        </w:rPr>
        <w:t>投标人对开标有异议的，应当在开标现场提出，招标人当场作出答复，并制</w:t>
      </w:r>
      <w:r>
        <w:rPr>
          <w:color w:val="auto"/>
          <w:spacing w:val="-1"/>
          <w:sz w:val="21"/>
          <w:szCs w:val="21"/>
          <w:highlight w:val="none"/>
        </w:rPr>
        <w:t>作记录。</w:t>
      </w:r>
    </w:p>
    <w:p>
      <w:pPr>
        <w:spacing w:before="316" w:line="239" w:lineRule="auto"/>
        <w:ind w:left="4"/>
        <w:outlineLvl w:val="1"/>
        <w:rPr>
          <w:rFonts w:ascii="黑体" w:hAnsi="黑体" w:eastAsia="黑体" w:cs="黑体"/>
          <w:color w:val="auto"/>
          <w:sz w:val="31"/>
          <w:szCs w:val="31"/>
          <w:highlight w:val="none"/>
        </w:rPr>
      </w:pPr>
      <w:bookmarkStart w:id="52" w:name="bookmark56"/>
      <w:bookmarkEnd w:id="52"/>
      <w:bookmarkStart w:id="53" w:name="bookmark55"/>
      <w:bookmarkEnd w:id="53"/>
      <w:bookmarkStart w:id="54" w:name="bookmark57"/>
      <w:bookmarkEnd w:id="54"/>
      <w:r>
        <w:rPr>
          <w:rFonts w:ascii="Times New Roman" w:hAnsi="Times New Roman" w:eastAsia="Times New Roman" w:cs="Times New Roman"/>
          <w:b/>
          <w:bCs/>
          <w:color w:val="auto"/>
          <w:spacing w:val="-1"/>
          <w:sz w:val="31"/>
          <w:szCs w:val="31"/>
          <w:highlight w:val="none"/>
        </w:rPr>
        <w:t>6.</w:t>
      </w:r>
      <w:r>
        <w:rPr>
          <w:rFonts w:ascii="Times New Roman" w:hAnsi="Times New Roman" w:eastAsia="Times New Roman" w:cs="Times New Roman"/>
          <w:b/>
          <w:bCs/>
          <w:color w:val="auto"/>
          <w:spacing w:val="9"/>
          <w:sz w:val="31"/>
          <w:szCs w:val="31"/>
          <w:highlight w:val="none"/>
        </w:rPr>
        <w:t xml:space="preserve">  </w:t>
      </w:r>
      <w:r>
        <w:rPr>
          <w:rFonts w:ascii="黑体" w:hAnsi="黑体" w:eastAsia="黑体" w:cs="黑体"/>
          <w:b/>
          <w:bCs/>
          <w:color w:val="auto"/>
          <w:spacing w:val="-1"/>
          <w:sz w:val="31"/>
          <w:szCs w:val="31"/>
          <w:highlight w:val="none"/>
        </w:rPr>
        <w:t>评标</w:t>
      </w:r>
    </w:p>
    <w:p>
      <w:pPr>
        <w:spacing w:line="472" w:lineRule="auto"/>
        <w:rPr>
          <w:rFonts w:ascii="Arial"/>
          <w:color w:val="auto"/>
          <w:sz w:val="21"/>
          <w:highlight w:val="none"/>
        </w:rPr>
      </w:pPr>
    </w:p>
    <w:p>
      <w:pPr>
        <w:spacing w:before="92" w:line="232" w:lineRule="auto"/>
        <w:ind w:left="141"/>
        <w:outlineLvl w:val="2"/>
        <w:rPr>
          <w:rFonts w:ascii="黑体" w:hAnsi="黑体" w:eastAsia="黑体" w:cs="黑体"/>
          <w:color w:val="auto"/>
          <w:sz w:val="28"/>
          <w:szCs w:val="28"/>
          <w:highlight w:val="none"/>
        </w:rPr>
      </w:pPr>
      <w:bookmarkStart w:id="55" w:name="bookmark186"/>
      <w:bookmarkEnd w:id="55"/>
      <w:r>
        <w:rPr>
          <w:rFonts w:ascii="Times New Roman" w:hAnsi="Times New Roman" w:eastAsia="Times New Roman" w:cs="Times New Roman"/>
          <w:color w:val="auto"/>
          <w:spacing w:val="-1"/>
          <w:sz w:val="28"/>
          <w:szCs w:val="28"/>
          <w:highlight w:val="none"/>
        </w:rPr>
        <w:t xml:space="preserve">6.1  </w:t>
      </w:r>
      <w:r>
        <w:rPr>
          <w:rFonts w:ascii="黑体" w:hAnsi="黑体" w:eastAsia="黑体" w:cs="黑体"/>
          <w:color w:val="auto"/>
          <w:spacing w:val="-1"/>
          <w:sz w:val="28"/>
          <w:szCs w:val="28"/>
          <w:highlight w:val="none"/>
        </w:rPr>
        <w:t>评标委员会</w:t>
      </w:r>
    </w:p>
    <w:p>
      <w:pPr>
        <w:spacing w:line="298" w:lineRule="auto"/>
        <w:rPr>
          <w:rFonts w:ascii="Arial"/>
          <w:color w:val="auto"/>
          <w:sz w:val="21"/>
          <w:highlight w:val="none"/>
        </w:rPr>
      </w:pPr>
    </w:p>
    <w:p>
      <w:pPr>
        <w:pStyle w:val="13"/>
        <w:spacing w:before="68" w:line="308" w:lineRule="auto"/>
        <w:ind w:firstLine="421"/>
        <w:rPr>
          <w:color w:val="auto"/>
          <w:sz w:val="21"/>
          <w:szCs w:val="21"/>
          <w:highlight w:val="none"/>
        </w:rPr>
      </w:pPr>
      <w:r>
        <w:rPr>
          <w:rFonts w:ascii="Times New Roman" w:hAnsi="Times New Roman" w:eastAsia="Times New Roman" w:cs="Times New Roman"/>
          <w:color w:val="auto"/>
          <w:spacing w:val="-2"/>
          <w:sz w:val="21"/>
          <w:szCs w:val="21"/>
          <w:highlight w:val="none"/>
        </w:rPr>
        <w:t xml:space="preserve">6.1.1  </w:t>
      </w:r>
      <w:r>
        <w:rPr>
          <w:color w:val="auto"/>
          <w:spacing w:val="-2"/>
          <w:sz w:val="21"/>
          <w:szCs w:val="21"/>
          <w:highlight w:val="none"/>
        </w:rPr>
        <w:t>评标由招标人依法组建的评标委员会负责。评标委员会由招标人或其委托的招标代理</w:t>
      </w:r>
      <w:r>
        <w:rPr>
          <w:color w:val="auto"/>
          <w:spacing w:val="8"/>
          <w:sz w:val="21"/>
          <w:szCs w:val="21"/>
          <w:highlight w:val="none"/>
        </w:rPr>
        <w:t xml:space="preserve"> </w:t>
      </w:r>
      <w:r>
        <w:rPr>
          <w:color w:val="auto"/>
          <w:spacing w:val="1"/>
          <w:sz w:val="21"/>
          <w:szCs w:val="21"/>
          <w:highlight w:val="none"/>
        </w:rPr>
        <w:t>机构熟悉相关业务的代表，以及有关技术、经济等方面</w:t>
      </w:r>
      <w:r>
        <w:rPr>
          <w:color w:val="auto"/>
          <w:sz w:val="21"/>
          <w:szCs w:val="21"/>
          <w:highlight w:val="none"/>
        </w:rPr>
        <w:t xml:space="preserve">的专家组成。评标委员会成员人数以及 </w:t>
      </w:r>
      <w:r>
        <w:rPr>
          <w:color w:val="auto"/>
          <w:spacing w:val="-1"/>
          <w:sz w:val="21"/>
          <w:szCs w:val="21"/>
          <w:highlight w:val="none"/>
        </w:rPr>
        <w:t>技术、经济等方面专家的确定方式见投标人须知前附表。</w:t>
      </w:r>
    </w:p>
    <w:p>
      <w:pPr>
        <w:pStyle w:val="13"/>
        <w:spacing w:before="148" w:line="234" w:lineRule="auto"/>
        <w:ind w:left="421"/>
        <w:rPr>
          <w:color w:val="auto"/>
          <w:sz w:val="21"/>
          <w:szCs w:val="21"/>
          <w:highlight w:val="none"/>
        </w:rPr>
      </w:pPr>
      <w:r>
        <w:rPr>
          <w:rFonts w:ascii="Times New Roman" w:hAnsi="Times New Roman" w:eastAsia="Times New Roman" w:cs="Times New Roman"/>
          <w:color w:val="auto"/>
          <w:sz w:val="21"/>
          <w:szCs w:val="21"/>
          <w:highlight w:val="none"/>
        </w:rPr>
        <w:t xml:space="preserve">6.1.2  </w:t>
      </w:r>
      <w:r>
        <w:rPr>
          <w:color w:val="auto"/>
          <w:sz w:val="21"/>
          <w:szCs w:val="21"/>
          <w:highlight w:val="none"/>
        </w:rPr>
        <w:t>评标委员会成员有下列情形之一</w:t>
      </w:r>
      <w:r>
        <w:rPr>
          <w:color w:val="auto"/>
          <w:spacing w:val="-1"/>
          <w:sz w:val="21"/>
          <w:szCs w:val="21"/>
          <w:highlight w:val="none"/>
        </w:rPr>
        <w:t>的，应当回避：</w:t>
      </w:r>
    </w:p>
    <w:p>
      <w:pPr>
        <w:pStyle w:val="13"/>
        <w:spacing w:before="136" w:line="234" w:lineRule="auto"/>
        <w:ind w:left="724"/>
        <w:rPr>
          <w:color w:val="auto"/>
          <w:sz w:val="21"/>
          <w:szCs w:val="21"/>
          <w:highlight w:val="none"/>
        </w:rPr>
      </w:pPr>
      <w:r>
        <w:rPr>
          <w:color w:val="auto"/>
          <w:spacing w:val="-1"/>
          <w:sz w:val="21"/>
          <w:szCs w:val="21"/>
          <w:highlight w:val="none"/>
        </w:rPr>
        <w:t>（</w:t>
      </w:r>
      <w:r>
        <w:rPr>
          <w:rFonts w:ascii="Times New Roman" w:hAnsi="Times New Roman" w:eastAsia="Times New Roman" w:cs="Times New Roman"/>
          <w:color w:val="auto"/>
          <w:spacing w:val="-1"/>
          <w:sz w:val="21"/>
          <w:szCs w:val="21"/>
          <w:highlight w:val="none"/>
        </w:rPr>
        <w:t>1</w:t>
      </w:r>
      <w:r>
        <w:rPr>
          <w:color w:val="auto"/>
          <w:spacing w:val="-1"/>
          <w:sz w:val="21"/>
          <w:szCs w:val="21"/>
          <w:highlight w:val="none"/>
        </w:rPr>
        <w:t>）投标人或投标人主要负责人的近亲属；</w:t>
      </w:r>
    </w:p>
    <w:p>
      <w:pPr>
        <w:pStyle w:val="13"/>
        <w:spacing w:before="134" w:line="234" w:lineRule="auto"/>
        <w:ind w:left="724"/>
        <w:rPr>
          <w:color w:val="auto"/>
          <w:sz w:val="21"/>
          <w:szCs w:val="21"/>
          <w:highlight w:val="none"/>
        </w:rPr>
      </w:pPr>
      <w:r>
        <w:rPr>
          <w:color w:val="auto"/>
          <w:spacing w:val="-2"/>
          <w:sz w:val="21"/>
          <w:szCs w:val="21"/>
          <w:highlight w:val="none"/>
        </w:rPr>
        <w:t>（</w:t>
      </w:r>
      <w:r>
        <w:rPr>
          <w:rFonts w:ascii="Times New Roman" w:hAnsi="Times New Roman" w:eastAsia="Times New Roman" w:cs="Times New Roman"/>
          <w:color w:val="auto"/>
          <w:spacing w:val="-2"/>
          <w:sz w:val="21"/>
          <w:szCs w:val="21"/>
          <w:highlight w:val="none"/>
        </w:rPr>
        <w:t>2</w:t>
      </w:r>
      <w:r>
        <w:rPr>
          <w:color w:val="auto"/>
          <w:spacing w:val="-2"/>
          <w:sz w:val="21"/>
          <w:szCs w:val="21"/>
          <w:highlight w:val="none"/>
        </w:rPr>
        <w:t>）项目主管部门或者行政监督部门的人员；</w:t>
      </w:r>
    </w:p>
    <w:p>
      <w:pPr>
        <w:pStyle w:val="13"/>
        <w:spacing w:before="132" w:line="235" w:lineRule="auto"/>
        <w:ind w:left="724"/>
        <w:rPr>
          <w:color w:val="auto"/>
          <w:sz w:val="21"/>
          <w:szCs w:val="21"/>
          <w:highlight w:val="none"/>
        </w:rPr>
      </w:pPr>
      <w:r>
        <w:rPr>
          <w:color w:val="auto"/>
          <w:spacing w:val="-1"/>
          <w:sz w:val="21"/>
          <w:szCs w:val="21"/>
          <w:highlight w:val="none"/>
        </w:rPr>
        <w:t>（</w:t>
      </w:r>
      <w:r>
        <w:rPr>
          <w:rFonts w:ascii="Times New Roman" w:hAnsi="Times New Roman" w:eastAsia="Times New Roman" w:cs="Times New Roman"/>
          <w:color w:val="auto"/>
          <w:spacing w:val="-1"/>
          <w:sz w:val="21"/>
          <w:szCs w:val="21"/>
          <w:highlight w:val="none"/>
        </w:rPr>
        <w:t>3</w:t>
      </w:r>
      <w:r>
        <w:rPr>
          <w:color w:val="auto"/>
          <w:spacing w:val="-1"/>
          <w:sz w:val="21"/>
          <w:szCs w:val="21"/>
          <w:highlight w:val="none"/>
        </w:rPr>
        <w:t>）与投标人有经济利益关系，可能影响对</w:t>
      </w:r>
      <w:r>
        <w:rPr>
          <w:color w:val="auto"/>
          <w:spacing w:val="-2"/>
          <w:sz w:val="21"/>
          <w:szCs w:val="21"/>
          <w:highlight w:val="none"/>
        </w:rPr>
        <w:t>投标公正评审的；</w:t>
      </w:r>
    </w:p>
    <w:p>
      <w:pPr>
        <w:pStyle w:val="13"/>
        <w:spacing w:before="134" w:line="287" w:lineRule="auto"/>
        <w:ind w:left="3" w:right="29" w:firstLine="721"/>
        <w:rPr>
          <w:color w:val="auto"/>
          <w:sz w:val="21"/>
          <w:szCs w:val="21"/>
          <w:highlight w:val="none"/>
        </w:rPr>
      </w:pPr>
      <w:r>
        <w:rPr>
          <w:color w:val="auto"/>
          <w:sz w:val="21"/>
          <w:szCs w:val="21"/>
          <w:highlight w:val="none"/>
        </w:rPr>
        <w:t>（</w:t>
      </w:r>
      <w:r>
        <w:rPr>
          <w:rFonts w:ascii="Times New Roman" w:hAnsi="Times New Roman" w:eastAsia="Times New Roman" w:cs="Times New Roman"/>
          <w:color w:val="auto"/>
          <w:sz w:val="21"/>
          <w:szCs w:val="21"/>
          <w:highlight w:val="none"/>
        </w:rPr>
        <w:t>4</w:t>
      </w:r>
      <w:r>
        <w:rPr>
          <w:color w:val="auto"/>
          <w:sz w:val="21"/>
          <w:szCs w:val="21"/>
          <w:highlight w:val="none"/>
        </w:rPr>
        <w:t>）曾因在招标、评标以及其他与招标投标有关活动中从事违法行为而受过行政处罚</w:t>
      </w:r>
      <w:r>
        <w:rPr>
          <w:color w:val="auto"/>
          <w:spacing w:val="8"/>
          <w:sz w:val="21"/>
          <w:szCs w:val="21"/>
          <w:highlight w:val="none"/>
        </w:rPr>
        <w:t xml:space="preserve"> </w:t>
      </w:r>
      <w:r>
        <w:rPr>
          <w:color w:val="auto"/>
          <w:spacing w:val="-5"/>
          <w:sz w:val="21"/>
          <w:szCs w:val="21"/>
          <w:highlight w:val="none"/>
        </w:rPr>
        <w:t>或刑事处罚的；</w:t>
      </w:r>
    </w:p>
    <w:p>
      <w:pPr>
        <w:pStyle w:val="13"/>
        <w:spacing w:before="147" w:line="235" w:lineRule="auto"/>
        <w:ind w:left="724"/>
        <w:rPr>
          <w:color w:val="auto"/>
          <w:sz w:val="21"/>
          <w:szCs w:val="21"/>
          <w:highlight w:val="none"/>
        </w:rPr>
      </w:pPr>
      <w:r>
        <w:rPr>
          <w:color w:val="auto"/>
          <w:spacing w:val="-3"/>
          <w:sz w:val="21"/>
          <w:szCs w:val="21"/>
          <w:highlight w:val="none"/>
        </w:rPr>
        <w:t>（</w:t>
      </w:r>
      <w:r>
        <w:rPr>
          <w:rFonts w:ascii="Times New Roman" w:hAnsi="Times New Roman" w:eastAsia="Times New Roman" w:cs="Times New Roman"/>
          <w:color w:val="auto"/>
          <w:spacing w:val="-3"/>
          <w:sz w:val="21"/>
          <w:szCs w:val="21"/>
          <w:highlight w:val="none"/>
        </w:rPr>
        <w:t>5</w:t>
      </w:r>
      <w:r>
        <w:rPr>
          <w:color w:val="auto"/>
          <w:spacing w:val="-3"/>
          <w:sz w:val="21"/>
          <w:szCs w:val="21"/>
          <w:highlight w:val="none"/>
        </w:rPr>
        <w:t>）与投标人有其他利害关系。</w:t>
      </w:r>
    </w:p>
    <w:p>
      <w:pPr>
        <w:pStyle w:val="13"/>
        <w:spacing w:before="132" w:line="350" w:lineRule="auto"/>
        <w:ind w:left="2" w:firstLine="419"/>
        <w:jc w:val="both"/>
        <w:rPr>
          <w:color w:val="auto"/>
          <w:sz w:val="21"/>
          <w:szCs w:val="21"/>
          <w:highlight w:val="none"/>
        </w:rPr>
      </w:pPr>
      <w:r>
        <w:rPr>
          <w:rFonts w:ascii="Times New Roman" w:hAnsi="Times New Roman" w:eastAsia="Times New Roman" w:cs="Times New Roman"/>
          <w:color w:val="auto"/>
          <w:spacing w:val="-2"/>
          <w:sz w:val="21"/>
          <w:szCs w:val="21"/>
          <w:highlight w:val="none"/>
        </w:rPr>
        <w:t xml:space="preserve">6.1.3  </w:t>
      </w:r>
      <w:r>
        <w:rPr>
          <w:color w:val="auto"/>
          <w:spacing w:val="-2"/>
          <w:sz w:val="21"/>
          <w:szCs w:val="21"/>
          <w:highlight w:val="none"/>
        </w:rPr>
        <w:t>评标过程中，评标委员会成员有回避事由、擅离职守或者因健康等原因不能继续评标</w:t>
      </w:r>
      <w:r>
        <w:rPr>
          <w:color w:val="auto"/>
          <w:spacing w:val="8"/>
          <w:sz w:val="21"/>
          <w:szCs w:val="21"/>
          <w:highlight w:val="none"/>
        </w:rPr>
        <w:t xml:space="preserve"> </w:t>
      </w:r>
      <w:r>
        <w:rPr>
          <w:color w:val="auto"/>
          <w:spacing w:val="1"/>
          <w:sz w:val="21"/>
          <w:szCs w:val="21"/>
          <w:highlight w:val="none"/>
        </w:rPr>
        <w:t>的，招标人有权更换。被更换的评标委员会成员作</w:t>
      </w:r>
      <w:r>
        <w:rPr>
          <w:color w:val="auto"/>
          <w:sz w:val="21"/>
          <w:szCs w:val="21"/>
          <w:highlight w:val="none"/>
        </w:rPr>
        <w:t xml:space="preserve">出的评审结论无效，由更换后的评标委员会 </w:t>
      </w:r>
      <w:r>
        <w:rPr>
          <w:color w:val="auto"/>
          <w:spacing w:val="-3"/>
          <w:sz w:val="21"/>
          <w:szCs w:val="21"/>
          <w:highlight w:val="none"/>
        </w:rPr>
        <w:t>成员重新进行评审。</w:t>
      </w:r>
    </w:p>
    <w:p>
      <w:pPr>
        <w:spacing w:before="168" w:line="233" w:lineRule="auto"/>
        <w:ind w:left="141"/>
        <w:outlineLvl w:val="2"/>
        <w:rPr>
          <w:rFonts w:ascii="黑体" w:hAnsi="黑体" w:eastAsia="黑体" w:cs="黑体"/>
          <w:color w:val="auto"/>
          <w:sz w:val="28"/>
          <w:szCs w:val="28"/>
          <w:highlight w:val="none"/>
        </w:rPr>
      </w:pPr>
      <w:bookmarkStart w:id="56" w:name="bookmark58"/>
      <w:bookmarkEnd w:id="56"/>
      <w:r>
        <w:rPr>
          <w:rFonts w:ascii="Times New Roman" w:hAnsi="Times New Roman" w:eastAsia="Times New Roman" w:cs="Times New Roman"/>
          <w:color w:val="auto"/>
          <w:spacing w:val="-1"/>
          <w:sz w:val="28"/>
          <w:szCs w:val="28"/>
          <w:highlight w:val="none"/>
        </w:rPr>
        <w:t xml:space="preserve">6.2  </w:t>
      </w:r>
      <w:r>
        <w:rPr>
          <w:rFonts w:ascii="黑体" w:hAnsi="黑体" w:eastAsia="黑体" w:cs="黑体"/>
          <w:color w:val="auto"/>
          <w:spacing w:val="-1"/>
          <w:sz w:val="28"/>
          <w:szCs w:val="28"/>
          <w:highlight w:val="none"/>
        </w:rPr>
        <w:t>评标原则</w:t>
      </w:r>
    </w:p>
    <w:p>
      <w:pPr>
        <w:spacing w:line="298" w:lineRule="auto"/>
        <w:rPr>
          <w:rFonts w:ascii="Arial"/>
          <w:color w:val="auto"/>
          <w:sz w:val="21"/>
          <w:highlight w:val="none"/>
        </w:rPr>
      </w:pPr>
    </w:p>
    <w:p>
      <w:pPr>
        <w:pStyle w:val="13"/>
        <w:spacing w:before="69" w:line="220" w:lineRule="auto"/>
        <w:ind w:left="419"/>
        <w:rPr>
          <w:color w:val="auto"/>
          <w:spacing w:val="-1"/>
          <w:sz w:val="21"/>
          <w:szCs w:val="21"/>
          <w:highlight w:val="none"/>
        </w:rPr>
      </w:pPr>
      <w:r>
        <w:rPr>
          <w:color w:val="auto"/>
          <w:spacing w:val="-1"/>
          <w:sz w:val="21"/>
          <w:szCs w:val="21"/>
          <w:highlight w:val="none"/>
        </w:rPr>
        <w:t>评标活动遵循公平、公正、科学和择优的原则。</w:t>
      </w:r>
      <w:bookmarkStart w:id="57" w:name="bookmark59"/>
      <w:bookmarkEnd w:id="57"/>
    </w:p>
    <w:p>
      <w:pPr>
        <w:spacing w:before="168" w:line="233" w:lineRule="auto"/>
        <w:ind w:left="141"/>
        <w:outlineLvl w:val="2"/>
        <w:rPr>
          <w:rFonts w:ascii="黑体" w:hAnsi="黑体" w:eastAsia="黑体" w:cs="黑体"/>
          <w:color w:val="auto"/>
          <w:spacing w:val="-1"/>
          <w:sz w:val="28"/>
          <w:szCs w:val="28"/>
          <w:highlight w:val="none"/>
        </w:rPr>
      </w:pPr>
      <w:r>
        <w:rPr>
          <w:rFonts w:ascii="黑体" w:hAnsi="黑体" w:eastAsia="黑体" w:cs="黑体"/>
          <w:color w:val="auto"/>
          <w:spacing w:val="-1"/>
          <w:sz w:val="28"/>
          <w:szCs w:val="28"/>
          <w:highlight w:val="none"/>
        </w:rPr>
        <w:t>6.3  评标</w:t>
      </w:r>
    </w:p>
    <w:p>
      <w:pPr>
        <w:spacing w:line="298" w:lineRule="auto"/>
        <w:rPr>
          <w:rFonts w:ascii="Arial"/>
          <w:color w:val="auto"/>
          <w:sz w:val="21"/>
          <w:highlight w:val="none"/>
        </w:rPr>
      </w:pPr>
    </w:p>
    <w:p>
      <w:pPr>
        <w:pStyle w:val="13"/>
        <w:spacing w:before="68" w:line="285" w:lineRule="auto"/>
        <w:ind w:left="5" w:firstLine="417"/>
        <w:rPr>
          <w:color w:val="auto"/>
          <w:sz w:val="21"/>
          <w:szCs w:val="21"/>
          <w:highlight w:val="none"/>
        </w:rPr>
      </w:pPr>
      <w:r>
        <w:rPr>
          <w:rFonts w:ascii="Times New Roman" w:hAnsi="Times New Roman" w:eastAsia="Times New Roman" w:cs="Times New Roman"/>
          <w:color w:val="auto"/>
          <w:sz w:val="21"/>
          <w:szCs w:val="21"/>
          <w:highlight w:val="none"/>
        </w:rPr>
        <w:t xml:space="preserve">6.3.1 </w:t>
      </w:r>
      <w:r>
        <w:rPr>
          <w:rFonts w:hint="eastAsia" w:ascii="Times New Roman" w:hAnsi="Times New Roman" w:eastAsia="Times New Roman" w:cs="Times New Roman"/>
          <w:b/>
          <w:bCs/>
          <w:color w:val="auto"/>
          <w:sz w:val="21"/>
          <w:szCs w:val="21"/>
          <w:highlight w:val="none"/>
          <w:u w:val="single"/>
        </w:rPr>
        <w:t>评标委员会在开始评标前，应了解评标专家的职责及守则，认真阅读附件1《评标委员会成员声明》的内容并签名，签字后方可进行评标。</w:t>
      </w:r>
      <w:r>
        <w:rPr>
          <w:color w:val="auto"/>
          <w:sz w:val="21"/>
          <w:szCs w:val="21"/>
          <w:highlight w:val="none"/>
        </w:rPr>
        <w:t>评标委员会按照第三章</w:t>
      </w:r>
      <w:r>
        <w:rPr>
          <w:rFonts w:ascii="Times New Roman" w:hAnsi="Times New Roman" w:eastAsia="Times New Roman" w:cs="Times New Roman"/>
          <w:color w:val="auto"/>
          <w:sz w:val="21"/>
          <w:szCs w:val="21"/>
          <w:highlight w:val="none"/>
        </w:rPr>
        <w:t>“</w:t>
      </w:r>
      <w:r>
        <w:rPr>
          <w:color w:val="auto"/>
          <w:sz w:val="21"/>
          <w:szCs w:val="21"/>
          <w:highlight w:val="none"/>
        </w:rPr>
        <w:t>评标办法</w:t>
      </w:r>
      <w:r>
        <w:rPr>
          <w:rFonts w:ascii="Times New Roman" w:hAnsi="Times New Roman" w:eastAsia="Times New Roman" w:cs="Times New Roman"/>
          <w:color w:val="auto"/>
          <w:sz w:val="21"/>
          <w:szCs w:val="21"/>
          <w:highlight w:val="none"/>
        </w:rPr>
        <w:t>”</w:t>
      </w:r>
      <w:r>
        <w:rPr>
          <w:color w:val="auto"/>
          <w:sz w:val="21"/>
          <w:szCs w:val="21"/>
          <w:highlight w:val="none"/>
        </w:rPr>
        <w:t>规定的方法、评审因素、标准和程序对投标</w:t>
      </w:r>
      <w:r>
        <w:rPr>
          <w:color w:val="auto"/>
          <w:spacing w:val="-1"/>
          <w:sz w:val="21"/>
          <w:szCs w:val="21"/>
          <w:highlight w:val="none"/>
        </w:rPr>
        <w:t>文件进</w:t>
      </w:r>
      <w:r>
        <w:rPr>
          <w:color w:val="auto"/>
          <w:sz w:val="21"/>
          <w:szCs w:val="21"/>
          <w:highlight w:val="none"/>
        </w:rPr>
        <w:t xml:space="preserve"> </w:t>
      </w:r>
      <w:r>
        <w:rPr>
          <w:color w:val="auto"/>
          <w:spacing w:val="-1"/>
          <w:sz w:val="21"/>
          <w:szCs w:val="21"/>
          <w:highlight w:val="none"/>
        </w:rPr>
        <w:t>行评审。第三章</w:t>
      </w:r>
      <w:r>
        <w:rPr>
          <w:rFonts w:ascii="Times New Roman" w:hAnsi="Times New Roman" w:eastAsia="Times New Roman" w:cs="Times New Roman"/>
          <w:color w:val="auto"/>
          <w:spacing w:val="-1"/>
          <w:sz w:val="21"/>
          <w:szCs w:val="21"/>
          <w:highlight w:val="none"/>
        </w:rPr>
        <w:t>“</w:t>
      </w:r>
      <w:r>
        <w:rPr>
          <w:color w:val="auto"/>
          <w:spacing w:val="-1"/>
          <w:sz w:val="21"/>
          <w:szCs w:val="21"/>
          <w:highlight w:val="none"/>
        </w:rPr>
        <w:t>评标办法</w:t>
      </w:r>
      <w:r>
        <w:rPr>
          <w:rFonts w:ascii="Times New Roman" w:hAnsi="Times New Roman" w:eastAsia="Times New Roman" w:cs="Times New Roman"/>
          <w:color w:val="auto"/>
          <w:spacing w:val="-1"/>
          <w:sz w:val="21"/>
          <w:szCs w:val="21"/>
          <w:highlight w:val="none"/>
        </w:rPr>
        <w:t>”</w:t>
      </w:r>
      <w:r>
        <w:rPr>
          <w:color w:val="auto"/>
          <w:spacing w:val="-1"/>
          <w:sz w:val="21"/>
          <w:szCs w:val="21"/>
          <w:highlight w:val="none"/>
        </w:rPr>
        <w:t>没有规定的方法、评审因素和标准，不作为评标依据。</w:t>
      </w:r>
    </w:p>
    <w:p>
      <w:pPr>
        <w:pStyle w:val="13"/>
        <w:spacing w:before="150" w:line="286" w:lineRule="auto"/>
        <w:ind w:left="9" w:firstLine="412"/>
        <w:rPr>
          <w:color w:val="auto"/>
          <w:sz w:val="21"/>
          <w:szCs w:val="21"/>
          <w:highlight w:val="none"/>
        </w:rPr>
      </w:pPr>
      <w:r>
        <w:rPr>
          <w:rFonts w:ascii="Times New Roman" w:hAnsi="Times New Roman" w:eastAsia="Times New Roman" w:cs="Times New Roman"/>
          <w:color w:val="auto"/>
          <w:spacing w:val="-1"/>
          <w:sz w:val="21"/>
          <w:szCs w:val="21"/>
          <w:highlight w:val="none"/>
        </w:rPr>
        <w:t xml:space="preserve">6.3.2 </w:t>
      </w:r>
      <w:r>
        <w:rPr>
          <w:color w:val="auto"/>
          <w:spacing w:val="-1"/>
          <w:sz w:val="21"/>
          <w:szCs w:val="21"/>
          <w:highlight w:val="none"/>
        </w:rPr>
        <w:t>评标完成后，评标委员会应当向招标人提交书面评标报告和中标候选人名单。评标委</w:t>
      </w:r>
      <w:r>
        <w:rPr>
          <w:color w:val="auto"/>
          <w:spacing w:val="16"/>
          <w:sz w:val="21"/>
          <w:szCs w:val="21"/>
          <w:highlight w:val="none"/>
        </w:rPr>
        <w:t xml:space="preserve"> </w:t>
      </w:r>
      <w:r>
        <w:rPr>
          <w:color w:val="auto"/>
          <w:spacing w:val="-2"/>
          <w:sz w:val="21"/>
          <w:szCs w:val="21"/>
          <w:highlight w:val="none"/>
        </w:rPr>
        <w:t>员会推荐中标候选人的人数见投标人须知前附表。</w:t>
      </w:r>
    </w:p>
    <w:p>
      <w:pPr>
        <w:spacing w:before="318" w:line="239" w:lineRule="auto"/>
        <w:ind w:left="4"/>
        <w:outlineLvl w:val="1"/>
        <w:rPr>
          <w:rFonts w:ascii="黑体" w:hAnsi="黑体" w:eastAsia="黑体" w:cs="黑体"/>
          <w:color w:val="auto"/>
          <w:sz w:val="31"/>
          <w:szCs w:val="31"/>
          <w:highlight w:val="none"/>
        </w:rPr>
      </w:pPr>
      <w:bookmarkStart w:id="58" w:name="bookmark62"/>
      <w:bookmarkEnd w:id="58"/>
      <w:bookmarkStart w:id="59" w:name="bookmark60"/>
      <w:bookmarkEnd w:id="59"/>
      <w:bookmarkStart w:id="60" w:name="bookmark61"/>
      <w:bookmarkEnd w:id="60"/>
      <w:r>
        <w:rPr>
          <w:rFonts w:ascii="Times New Roman" w:hAnsi="Times New Roman" w:eastAsia="Times New Roman" w:cs="Times New Roman"/>
          <w:b/>
          <w:bCs/>
          <w:color w:val="auto"/>
          <w:spacing w:val="2"/>
          <w:sz w:val="31"/>
          <w:szCs w:val="31"/>
          <w:highlight w:val="none"/>
        </w:rPr>
        <w:t>7.</w:t>
      </w:r>
      <w:r>
        <w:rPr>
          <w:rFonts w:ascii="Times New Roman" w:hAnsi="Times New Roman" w:eastAsia="Times New Roman" w:cs="Times New Roman"/>
          <w:b/>
          <w:bCs/>
          <w:color w:val="auto"/>
          <w:spacing w:val="10"/>
          <w:sz w:val="31"/>
          <w:szCs w:val="31"/>
          <w:highlight w:val="none"/>
        </w:rPr>
        <w:t xml:space="preserve">  </w:t>
      </w:r>
      <w:r>
        <w:rPr>
          <w:rFonts w:ascii="黑体" w:hAnsi="黑体" w:eastAsia="黑体" w:cs="黑体"/>
          <w:b/>
          <w:bCs/>
          <w:color w:val="auto"/>
          <w:spacing w:val="2"/>
          <w:sz w:val="31"/>
          <w:szCs w:val="31"/>
          <w:highlight w:val="none"/>
        </w:rPr>
        <w:t>合同授予</w:t>
      </w:r>
    </w:p>
    <w:p>
      <w:pPr>
        <w:spacing w:line="471" w:lineRule="auto"/>
        <w:rPr>
          <w:rFonts w:ascii="Arial"/>
          <w:color w:val="auto"/>
          <w:sz w:val="21"/>
          <w:highlight w:val="none"/>
        </w:rPr>
      </w:pPr>
    </w:p>
    <w:p>
      <w:pPr>
        <w:spacing w:before="92" w:line="233" w:lineRule="auto"/>
        <w:ind w:left="140"/>
        <w:outlineLvl w:val="2"/>
        <w:rPr>
          <w:rFonts w:ascii="黑体" w:hAnsi="黑体" w:eastAsia="黑体" w:cs="黑体"/>
          <w:color w:val="auto"/>
          <w:sz w:val="28"/>
          <w:szCs w:val="28"/>
          <w:highlight w:val="none"/>
        </w:rPr>
      </w:pPr>
      <w:bookmarkStart w:id="61" w:name="bookmark187"/>
      <w:bookmarkEnd w:id="61"/>
      <w:r>
        <w:rPr>
          <w:rFonts w:ascii="Times New Roman" w:hAnsi="Times New Roman" w:eastAsia="Times New Roman" w:cs="Times New Roman"/>
          <w:color w:val="auto"/>
          <w:spacing w:val="-4"/>
          <w:sz w:val="28"/>
          <w:szCs w:val="28"/>
          <w:highlight w:val="none"/>
        </w:rPr>
        <w:t>7.1</w:t>
      </w:r>
      <w:r>
        <w:rPr>
          <w:rFonts w:ascii="Times New Roman" w:hAnsi="Times New Roman" w:eastAsia="Times New Roman" w:cs="Times New Roman"/>
          <w:color w:val="auto"/>
          <w:spacing w:val="15"/>
          <w:sz w:val="28"/>
          <w:szCs w:val="28"/>
          <w:highlight w:val="none"/>
        </w:rPr>
        <w:t xml:space="preserve">  </w:t>
      </w:r>
      <w:r>
        <w:rPr>
          <w:rFonts w:ascii="黑体" w:hAnsi="黑体" w:eastAsia="黑体" w:cs="黑体"/>
          <w:color w:val="auto"/>
          <w:spacing w:val="-4"/>
          <w:sz w:val="28"/>
          <w:szCs w:val="28"/>
          <w:highlight w:val="none"/>
        </w:rPr>
        <w:t>中标候选人公示</w:t>
      </w:r>
    </w:p>
    <w:p>
      <w:pPr>
        <w:spacing w:line="296" w:lineRule="auto"/>
        <w:rPr>
          <w:rFonts w:ascii="Arial"/>
          <w:color w:val="auto"/>
          <w:sz w:val="21"/>
          <w:highlight w:val="none"/>
        </w:rPr>
      </w:pPr>
    </w:p>
    <w:p>
      <w:pPr>
        <w:pStyle w:val="13"/>
        <w:spacing w:before="68" w:line="353" w:lineRule="auto"/>
        <w:ind w:left="21" w:firstLine="400"/>
        <w:rPr>
          <w:color w:val="auto"/>
          <w:sz w:val="21"/>
          <w:szCs w:val="21"/>
          <w:highlight w:val="none"/>
        </w:rPr>
      </w:pPr>
      <w:r>
        <w:rPr>
          <w:color w:val="auto"/>
          <w:spacing w:val="-1"/>
          <w:sz w:val="21"/>
          <w:szCs w:val="21"/>
          <w:highlight w:val="none"/>
        </w:rPr>
        <w:t>招标人在收到评标报告之日起</w:t>
      </w:r>
      <w:r>
        <w:rPr>
          <w:color w:val="auto"/>
          <w:spacing w:val="-29"/>
          <w:sz w:val="21"/>
          <w:szCs w:val="21"/>
          <w:highlight w:val="none"/>
        </w:rPr>
        <w:t xml:space="preserve"> </w:t>
      </w:r>
      <w:r>
        <w:rPr>
          <w:rFonts w:ascii="Times New Roman" w:hAnsi="Times New Roman" w:eastAsia="Times New Roman" w:cs="Times New Roman"/>
          <w:color w:val="auto"/>
          <w:spacing w:val="-1"/>
          <w:sz w:val="21"/>
          <w:szCs w:val="21"/>
          <w:highlight w:val="none"/>
        </w:rPr>
        <w:t xml:space="preserve">3  </w:t>
      </w:r>
      <w:r>
        <w:rPr>
          <w:color w:val="auto"/>
          <w:spacing w:val="-1"/>
          <w:sz w:val="21"/>
          <w:szCs w:val="21"/>
          <w:highlight w:val="none"/>
        </w:rPr>
        <w:t>日内，按照投标人须知前附表规定的</w:t>
      </w:r>
      <w:r>
        <w:rPr>
          <w:color w:val="auto"/>
          <w:spacing w:val="-2"/>
          <w:sz w:val="21"/>
          <w:szCs w:val="21"/>
          <w:highlight w:val="none"/>
        </w:rPr>
        <w:t>公示媒介和期限公示</w:t>
      </w:r>
      <w:r>
        <w:rPr>
          <w:color w:val="auto"/>
          <w:sz w:val="21"/>
          <w:szCs w:val="21"/>
          <w:highlight w:val="none"/>
        </w:rPr>
        <w:t xml:space="preserve"> </w:t>
      </w:r>
      <w:r>
        <w:rPr>
          <w:color w:val="auto"/>
          <w:spacing w:val="-2"/>
          <w:sz w:val="21"/>
          <w:szCs w:val="21"/>
          <w:highlight w:val="none"/>
        </w:rPr>
        <w:t>中标候选人，公示期不得少于</w:t>
      </w:r>
      <w:r>
        <w:rPr>
          <w:color w:val="auto"/>
          <w:spacing w:val="-44"/>
          <w:sz w:val="21"/>
          <w:szCs w:val="21"/>
          <w:highlight w:val="none"/>
        </w:rPr>
        <w:t xml:space="preserve"> </w:t>
      </w:r>
      <w:r>
        <w:rPr>
          <w:rFonts w:ascii="Times New Roman" w:hAnsi="Times New Roman" w:eastAsia="Times New Roman" w:cs="Times New Roman"/>
          <w:color w:val="auto"/>
          <w:spacing w:val="-2"/>
          <w:sz w:val="21"/>
          <w:szCs w:val="21"/>
          <w:highlight w:val="none"/>
        </w:rPr>
        <w:t xml:space="preserve">3 </w:t>
      </w:r>
      <w:r>
        <w:rPr>
          <w:color w:val="auto"/>
          <w:spacing w:val="-2"/>
          <w:sz w:val="21"/>
          <w:szCs w:val="21"/>
          <w:highlight w:val="none"/>
        </w:rPr>
        <w:t>天。</w:t>
      </w:r>
    </w:p>
    <w:p>
      <w:pPr>
        <w:spacing w:before="160" w:line="233" w:lineRule="auto"/>
        <w:ind w:left="140"/>
        <w:outlineLvl w:val="2"/>
        <w:rPr>
          <w:rFonts w:ascii="黑体" w:hAnsi="黑体" w:eastAsia="黑体" w:cs="黑体"/>
          <w:color w:val="auto"/>
          <w:sz w:val="28"/>
          <w:szCs w:val="28"/>
          <w:highlight w:val="none"/>
        </w:rPr>
      </w:pPr>
      <w:bookmarkStart w:id="62" w:name="bookmark188"/>
      <w:bookmarkEnd w:id="62"/>
      <w:r>
        <w:rPr>
          <w:rFonts w:ascii="Times New Roman" w:hAnsi="Times New Roman" w:eastAsia="Times New Roman" w:cs="Times New Roman"/>
          <w:color w:val="auto"/>
          <w:spacing w:val="-1"/>
          <w:sz w:val="28"/>
          <w:szCs w:val="28"/>
          <w:highlight w:val="none"/>
        </w:rPr>
        <w:t xml:space="preserve">7.2  </w:t>
      </w:r>
      <w:r>
        <w:rPr>
          <w:rFonts w:ascii="黑体" w:hAnsi="黑体" w:eastAsia="黑体" w:cs="黑体"/>
          <w:color w:val="auto"/>
          <w:spacing w:val="-1"/>
          <w:sz w:val="28"/>
          <w:szCs w:val="28"/>
          <w:highlight w:val="none"/>
        </w:rPr>
        <w:t>评标结果异议</w:t>
      </w:r>
    </w:p>
    <w:p>
      <w:pPr>
        <w:spacing w:line="298" w:lineRule="auto"/>
        <w:rPr>
          <w:rFonts w:ascii="Arial"/>
          <w:color w:val="auto"/>
          <w:sz w:val="21"/>
          <w:highlight w:val="none"/>
        </w:rPr>
      </w:pPr>
    </w:p>
    <w:p>
      <w:pPr>
        <w:pStyle w:val="13"/>
        <w:spacing w:before="68" w:line="362" w:lineRule="auto"/>
        <w:ind w:left="3" w:right="3" w:firstLine="420"/>
        <w:rPr>
          <w:color w:val="auto"/>
          <w:sz w:val="21"/>
          <w:szCs w:val="21"/>
          <w:highlight w:val="none"/>
        </w:rPr>
      </w:pPr>
      <w:r>
        <w:rPr>
          <w:color w:val="auto"/>
          <w:spacing w:val="1"/>
          <w:sz w:val="21"/>
          <w:szCs w:val="21"/>
          <w:highlight w:val="none"/>
        </w:rPr>
        <w:t>投标人或者其他利害关系人对评标结果有异议的</w:t>
      </w:r>
      <w:r>
        <w:rPr>
          <w:color w:val="auto"/>
          <w:sz w:val="21"/>
          <w:szCs w:val="21"/>
          <w:highlight w:val="none"/>
        </w:rPr>
        <w:t xml:space="preserve">，应当在中标候选人公示期间提出。招标 </w:t>
      </w:r>
      <w:r>
        <w:rPr>
          <w:color w:val="auto"/>
          <w:spacing w:val="-2"/>
          <w:sz w:val="21"/>
          <w:szCs w:val="21"/>
          <w:highlight w:val="none"/>
        </w:rPr>
        <w:t>人将在收到异议之日起</w:t>
      </w:r>
      <w:r>
        <w:rPr>
          <w:color w:val="auto"/>
          <w:spacing w:val="-32"/>
          <w:sz w:val="21"/>
          <w:szCs w:val="21"/>
          <w:highlight w:val="none"/>
        </w:rPr>
        <w:t xml:space="preserve"> </w:t>
      </w:r>
      <w:r>
        <w:rPr>
          <w:rFonts w:ascii="Times New Roman" w:hAnsi="Times New Roman" w:eastAsia="Times New Roman" w:cs="Times New Roman"/>
          <w:color w:val="auto"/>
          <w:spacing w:val="-2"/>
          <w:sz w:val="21"/>
          <w:szCs w:val="21"/>
          <w:highlight w:val="none"/>
        </w:rPr>
        <w:t>3</w:t>
      </w:r>
      <w:r>
        <w:rPr>
          <w:rFonts w:ascii="Times New Roman" w:hAnsi="Times New Roman" w:eastAsia="Times New Roman" w:cs="Times New Roman"/>
          <w:color w:val="auto"/>
          <w:spacing w:val="43"/>
          <w:w w:val="101"/>
          <w:sz w:val="21"/>
          <w:szCs w:val="21"/>
          <w:highlight w:val="none"/>
        </w:rPr>
        <w:t xml:space="preserve"> </w:t>
      </w:r>
      <w:r>
        <w:rPr>
          <w:color w:val="auto"/>
          <w:spacing w:val="-2"/>
          <w:sz w:val="21"/>
          <w:szCs w:val="21"/>
          <w:highlight w:val="none"/>
        </w:rPr>
        <w:t>日内作出答复；作出答复前，将暂停招标投标活动。</w:t>
      </w:r>
    </w:p>
    <w:p>
      <w:pPr>
        <w:spacing w:before="138" w:line="233" w:lineRule="auto"/>
        <w:ind w:left="140"/>
        <w:outlineLvl w:val="2"/>
        <w:rPr>
          <w:rFonts w:ascii="黑体" w:hAnsi="黑体" w:eastAsia="黑体" w:cs="黑体"/>
          <w:color w:val="auto"/>
          <w:sz w:val="28"/>
          <w:szCs w:val="28"/>
          <w:highlight w:val="none"/>
        </w:rPr>
      </w:pPr>
      <w:bookmarkStart w:id="63" w:name="bookmark63"/>
      <w:bookmarkEnd w:id="63"/>
      <w:r>
        <w:rPr>
          <w:rFonts w:ascii="Times New Roman" w:hAnsi="Times New Roman" w:eastAsia="Times New Roman" w:cs="Times New Roman"/>
          <w:color w:val="auto"/>
          <w:spacing w:val="-1"/>
          <w:sz w:val="28"/>
          <w:szCs w:val="28"/>
          <w:highlight w:val="none"/>
        </w:rPr>
        <w:t xml:space="preserve">7.3  </w:t>
      </w:r>
      <w:r>
        <w:rPr>
          <w:rFonts w:ascii="黑体" w:hAnsi="黑体" w:eastAsia="黑体" w:cs="黑体"/>
          <w:color w:val="auto"/>
          <w:spacing w:val="-1"/>
          <w:sz w:val="28"/>
          <w:szCs w:val="28"/>
          <w:highlight w:val="none"/>
        </w:rPr>
        <w:t>中标候选人履约能力审查</w:t>
      </w:r>
    </w:p>
    <w:p>
      <w:pPr>
        <w:spacing w:line="298" w:lineRule="auto"/>
        <w:rPr>
          <w:rFonts w:ascii="Arial"/>
          <w:color w:val="auto"/>
          <w:sz w:val="21"/>
          <w:highlight w:val="none"/>
        </w:rPr>
      </w:pPr>
    </w:p>
    <w:p>
      <w:pPr>
        <w:pStyle w:val="13"/>
        <w:spacing w:before="69" w:line="353" w:lineRule="auto"/>
        <w:ind w:left="1" w:right="2" w:firstLine="439"/>
        <w:jc w:val="both"/>
        <w:rPr>
          <w:color w:val="auto"/>
          <w:sz w:val="21"/>
          <w:szCs w:val="21"/>
          <w:highlight w:val="none"/>
        </w:rPr>
      </w:pPr>
      <w:r>
        <w:rPr>
          <w:color w:val="auto"/>
          <w:sz w:val="21"/>
          <w:szCs w:val="21"/>
          <w:highlight w:val="none"/>
        </w:rPr>
        <w:t>中标候选人的经营、财务状况发生较大变化或存在违法行为，招标人认为可能影响其履约</w:t>
      </w:r>
      <w:r>
        <w:rPr>
          <w:color w:val="auto"/>
          <w:spacing w:val="3"/>
          <w:sz w:val="21"/>
          <w:szCs w:val="21"/>
          <w:highlight w:val="none"/>
        </w:rPr>
        <w:t xml:space="preserve"> </w:t>
      </w:r>
      <w:r>
        <w:rPr>
          <w:color w:val="auto"/>
          <w:spacing w:val="1"/>
          <w:sz w:val="21"/>
          <w:szCs w:val="21"/>
          <w:highlight w:val="none"/>
        </w:rPr>
        <w:t>能力的，将在发出中标通知书前提请原评标委员会按照</w:t>
      </w:r>
      <w:r>
        <w:rPr>
          <w:color w:val="auto"/>
          <w:sz w:val="21"/>
          <w:szCs w:val="21"/>
          <w:highlight w:val="none"/>
        </w:rPr>
        <w:t xml:space="preserve">招标文件规定的标准和方法进行审查确 </w:t>
      </w:r>
      <w:r>
        <w:rPr>
          <w:color w:val="auto"/>
          <w:spacing w:val="-10"/>
          <w:sz w:val="21"/>
          <w:szCs w:val="21"/>
          <w:highlight w:val="none"/>
        </w:rPr>
        <w:t>认。</w:t>
      </w:r>
    </w:p>
    <w:p>
      <w:pPr>
        <w:spacing w:before="156" w:line="236" w:lineRule="auto"/>
        <w:ind w:left="140"/>
        <w:outlineLvl w:val="2"/>
        <w:rPr>
          <w:rFonts w:ascii="黑体" w:hAnsi="黑体" w:eastAsia="黑体" w:cs="黑体"/>
          <w:color w:val="auto"/>
          <w:sz w:val="28"/>
          <w:szCs w:val="28"/>
          <w:highlight w:val="none"/>
        </w:rPr>
      </w:pPr>
      <w:bookmarkStart w:id="64" w:name="bookmark64"/>
      <w:bookmarkEnd w:id="64"/>
      <w:r>
        <w:rPr>
          <w:rFonts w:ascii="Times New Roman" w:hAnsi="Times New Roman" w:eastAsia="Times New Roman" w:cs="Times New Roman"/>
          <w:color w:val="auto"/>
          <w:spacing w:val="-1"/>
          <w:sz w:val="28"/>
          <w:szCs w:val="28"/>
          <w:highlight w:val="none"/>
        </w:rPr>
        <w:t xml:space="preserve">7.4  </w:t>
      </w:r>
      <w:r>
        <w:rPr>
          <w:rFonts w:ascii="黑体" w:hAnsi="黑体" w:eastAsia="黑体" w:cs="黑体"/>
          <w:color w:val="auto"/>
          <w:spacing w:val="-1"/>
          <w:sz w:val="28"/>
          <w:szCs w:val="28"/>
          <w:highlight w:val="none"/>
        </w:rPr>
        <w:t>定标</w:t>
      </w:r>
    </w:p>
    <w:p>
      <w:pPr>
        <w:spacing w:line="293" w:lineRule="auto"/>
        <w:rPr>
          <w:rFonts w:ascii="Arial"/>
          <w:color w:val="auto"/>
          <w:sz w:val="21"/>
          <w:highlight w:val="none"/>
        </w:rPr>
      </w:pPr>
    </w:p>
    <w:p>
      <w:pPr>
        <w:pStyle w:val="13"/>
        <w:spacing w:before="70" w:line="220" w:lineRule="auto"/>
        <w:ind w:left="423"/>
        <w:rPr>
          <w:color w:val="auto"/>
          <w:sz w:val="21"/>
          <w:szCs w:val="21"/>
          <w:highlight w:val="none"/>
        </w:rPr>
      </w:pPr>
      <w:r>
        <w:rPr>
          <w:color w:val="auto"/>
          <w:sz w:val="21"/>
          <w:szCs w:val="21"/>
          <w:highlight w:val="none"/>
        </w:rPr>
        <w:t>按照投标人须知前附表的规定，招标人或招标人授权的评标委员会依法确定中</w:t>
      </w:r>
      <w:r>
        <w:rPr>
          <w:color w:val="auto"/>
          <w:spacing w:val="-1"/>
          <w:sz w:val="21"/>
          <w:szCs w:val="21"/>
          <w:highlight w:val="none"/>
        </w:rPr>
        <w:t>标人。</w:t>
      </w:r>
    </w:p>
    <w:p>
      <w:pPr>
        <w:spacing w:before="311" w:line="234" w:lineRule="auto"/>
        <w:ind w:left="140"/>
        <w:outlineLvl w:val="2"/>
        <w:rPr>
          <w:rFonts w:ascii="黑体" w:hAnsi="黑体" w:eastAsia="黑体" w:cs="黑体"/>
          <w:color w:val="auto"/>
          <w:sz w:val="28"/>
          <w:szCs w:val="28"/>
          <w:highlight w:val="none"/>
        </w:rPr>
      </w:pPr>
      <w:bookmarkStart w:id="65" w:name="bookmark65"/>
      <w:bookmarkEnd w:id="65"/>
      <w:r>
        <w:rPr>
          <w:rFonts w:ascii="Times New Roman" w:hAnsi="Times New Roman" w:eastAsia="Times New Roman" w:cs="Times New Roman"/>
          <w:color w:val="auto"/>
          <w:spacing w:val="-5"/>
          <w:sz w:val="28"/>
          <w:szCs w:val="28"/>
          <w:highlight w:val="none"/>
        </w:rPr>
        <w:t>7.5</w:t>
      </w:r>
      <w:r>
        <w:rPr>
          <w:rFonts w:ascii="Times New Roman" w:hAnsi="Times New Roman" w:eastAsia="Times New Roman" w:cs="Times New Roman"/>
          <w:color w:val="auto"/>
          <w:spacing w:val="16"/>
          <w:sz w:val="28"/>
          <w:szCs w:val="28"/>
          <w:highlight w:val="none"/>
        </w:rPr>
        <w:t xml:space="preserve">  </w:t>
      </w:r>
      <w:r>
        <w:rPr>
          <w:rFonts w:ascii="黑体" w:hAnsi="黑体" w:eastAsia="黑体" w:cs="黑体"/>
          <w:color w:val="auto"/>
          <w:spacing w:val="-5"/>
          <w:sz w:val="28"/>
          <w:szCs w:val="28"/>
          <w:highlight w:val="none"/>
        </w:rPr>
        <w:t>中标通知</w:t>
      </w:r>
    </w:p>
    <w:p>
      <w:pPr>
        <w:spacing w:line="297" w:lineRule="auto"/>
        <w:rPr>
          <w:rFonts w:ascii="Arial"/>
          <w:color w:val="auto"/>
          <w:sz w:val="21"/>
          <w:highlight w:val="none"/>
        </w:rPr>
      </w:pPr>
    </w:p>
    <w:p>
      <w:pPr>
        <w:pStyle w:val="13"/>
        <w:spacing w:before="69" w:line="342" w:lineRule="auto"/>
        <w:ind w:firstLine="420"/>
        <w:rPr>
          <w:color w:val="auto"/>
          <w:sz w:val="21"/>
          <w:szCs w:val="21"/>
          <w:highlight w:val="none"/>
        </w:rPr>
      </w:pPr>
      <w:r>
        <w:rPr>
          <w:color w:val="auto"/>
          <w:sz w:val="21"/>
          <w:szCs w:val="21"/>
          <w:highlight w:val="none"/>
        </w:rPr>
        <w:t xml:space="preserve">在本章第 </w:t>
      </w:r>
      <w:r>
        <w:rPr>
          <w:rFonts w:ascii="Times New Roman" w:hAnsi="Times New Roman" w:eastAsia="Times New Roman" w:cs="Times New Roman"/>
          <w:color w:val="auto"/>
          <w:sz w:val="21"/>
          <w:szCs w:val="21"/>
          <w:highlight w:val="none"/>
        </w:rPr>
        <w:t>3.3</w:t>
      </w:r>
      <w:r>
        <w:rPr>
          <w:rFonts w:ascii="Times New Roman" w:hAnsi="Times New Roman" w:eastAsia="Times New Roman" w:cs="Times New Roman"/>
          <w:color w:val="auto"/>
          <w:spacing w:val="48"/>
          <w:w w:val="101"/>
          <w:sz w:val="21"/>
          <w:szCs w:val="21"/>
          <w:highlight w:val="none"/>
        </w:rPr>
        <w:t xml:space="preserve"> </w:t>
      </w:r>
      <w:r>
        <w:rPr>
          <w:color w:val="auto"/>
          <w:sz w:val="21"/>
          <w:szCs w:val="21"/>
          <w:highlight w:val="none"/>
        </w:rPr>
        <w:t>款规定的投标有效期内，招</w:t>
      </w:r>
      <w:r>
        <w:rPr>
          <w:color w:val="auto"/>
          <w:spacing w:val="-1"/>
          <w:sz w:val="21"/>
          <w:szCs w:val="21"/>
          <w:highlight w:val="none"/>
        </w:rPr>
        <w:t>标人以书面形式向中标人发出中标通知书，同时</w:t>
      </w:r>
      <w:r>
        <w:rPr>
          <w:color w:val="auto"/>
          <w:sz w:val="21"/>
          <w:szCs w:val="21"/>
          <w:highlight w:val="none"/>
        </w:rPr>
        <w:t xml:space="preserve"> </w:t>
      </w:r>
      <w:r>
        <w:rPr>
          <w:color w:val="auto"/>
          <w:spacing w:val="-1"/>
          <w:sz w:val="21"/>
          <w:szCs w:val="21"/>
          <w:highlight w:val="none"/>
        </w:rPr>
        <w:t>将中标结果通知未中标的投标人。</w:t>
      </w:r>
    </w:p>
    <w:p>
      <w:pPr>
        <w:spacing w:before="182" w:line="233" w:lineRule="auto"/>
        <w:ind w:left="140"/>
        <w:outlineLvl w:val="2"/>
        <w:rPr>
          <w:rFonts w:ascii="黑体" w:hAnsi="黑体" w:eastAsia="黑体" w:cs="黑体"/>
          <w:color w:val="auto"/>
          <w:sz w:val="28"/>
          <w:szCs w:val="28"/>
          <w:highlight w:val="none"/>
        </w:rPr>
      </w:pPr>
      <w:bookmarkStart w:id="66" w:name="bookmark66"/>
      <w:bookmarkEnd w:id="66"/>
      <w:r>
        <w:rPr>
          <w:rFonts w:ascii="Times New Roman" w:hAnsi="Times New Roman" w:eastAsia="Times New Roman" w:cs="Times New Roman"/>
          <w:color w:val="auto"/>
          <w:spacing w:val="-1"/>
          <w:sz w:val="28"/>
          <w:szCs w:val="28"/>
          <w:highlight w:val="none"/>
        </w:rPr>
        <w:t xml:space="preserve">7.6  </w:t>
      </w:r>
      <w:r>
        <w:rPr>
          <w:rFonts w:ascii="黑体" w:hAnsi="黑体" w:eastAsia="黑体" w:cs="黑体"/>
          <w:color w:val="auto"/>
          <w:spacing w:val="-1"/>
          <w:sz w:val="28"/>
          <w:szCs w:val="28"/>
          <w:highlight w:val="none"/>
        </w:rPr>
        <w:t>履约保证金</w:t>
      </w:r>
    </w:p>
    <w:p>
      <w:pPr>
        <w:spacing w:line="298" w:lineRule="auto"/>
        <w:rPr>
          <w:rFonts w:ascii="Arial"/>
          <w:color w:val="auto"/>
          <w:sz w:val="21"/>
          <w:highlight w:val="none"/>
        </w:rPr>
      </w:pPr>
    </w:p>
    <w:p>
      <w:pPr>
        <w:pStyle w:val="13"/>
        <w:spacing w:before="68" w:line="319" w:lineRule="auto"/>
        <w:ind w:right="74" w:firstLine="420"/>
        <w:rPr>
          <w:rFonts w:eastAsia="宋体" w:cs="Times New Roman"/>
          <w:color w:val="auto"/>
          <w:spacing w:val="-1"/>
          <w:sz w:val="21"/>
          <w:szCs w:val="21"/>
          <w:highlight w:val="none"/>
        </w:rPr>
      </w:pPr>
      <w:r>
        <w:rPr>
          <w:rFonts w:eastAsia="宋体" w:cs="Times New Roman"/>
          <w:color w:val="auto"/>
          <w:spacing w:val="-1"/>
          <w:sz w:val="21"/>
          <w:szCs w:val="21"/>
          <w:highlight w:val="none"/>
        </w:rPr>
        <w:t>7.6.1  在签订合同前，中标人应按投标人须知前附表规定的形式、金额和招标文件第四章“合同条款及格式”规定的或者事先经过招标人书面认可的履约保证金格式向招标人提交履约保证 金。除投标人须知前附表另有规定外，履约保证金为中标合同金额的 10%。联合体中标的，其 履约保证金以联合体各方或者联合体中牵头人的名义提交。</w:t>
      </w:r>
    </w:p>
    <w:p>
      <w:pPr>
        <w:pStyle w:val="13"/>
        <w:spacing w:before="68" w:line="319" w:lineRule="auto"/>
        <w:ind w:right="74" w:firstLine="420"/>
        <w:rPr>
          <w:color w:val="auto"/>
          <w:sz w:val="21"/>
          <w:szCs w:val="21"/>
          <w:highlight w:val="none"/>
        </w:rPr>
      </w:pPr>
      <w:r>
        <w:rPr>
          <w:rFonts w:eastAsia="宋体" w:cs="Times New Roman"/>
          <w:color w:val="auto"/>
          <w:spacing w:val="-1"/>
          <w:sz w:val="21"/>
          <w:szCs w:val="21"/>
          <w:highlight w:val="none"/>
        </w:rPr>
        <w:t>7.6.2  中标人不能按本章第 7.6.1 项要求提交履约保证金的，视为放弃中标，其投标保证</w:t>
      </w:r>
      <w:r>
        <w:rPr>
          <w:color w:val="auto"/>
          <w:spacing w:val="-2"/>
          <w:sz w:val="21"/>
          <w:szCs w:val="21"/>
          <w:highlight w:val="none"/>
        </w:rPr>
        <w:t>金</w:t>
      </w:r>
      <w:r>
        <w:rPr>
          <w:color w:val="auto"/>
          <w:sz w:val="21"/>
          <w:szCs w:val="21"/>
          <w:highlight w:val="none"/>
        </w:rPr>
        <w:t xml:space="preserve"> 不予退还，给招标人造成的损失超过投标保证金数额的，中标人还应当对超过部分</w:t>
      </w:r>
      <w:r>
        <w:rPr>
          <w:color w:val="auto"/>
          <w:spacing w:val="-1"/>
          <w:sz w:val="21"/>
          <w:szCs w:val="21"/>
          <w:highlight w:val="none"/>
        </w:rPr>
        <w:t>予以赔偿。</w:t>
      </w:r>
    </w:p>
    <w:p>
      <w:pPr>
        <w:spacing w:before="176" w:line="235" w:lineRule="auto"/>
        <w:ind w:left="139"/>
        <w:outlineLvl w:val="2"/>
        <w:rPr>
          <w:rFonts w:ascii="黑体" w:hAnsi="黑体" w:eastAsia="黑体" w:cs="黑体"/>
          <w:color w:val="auto"/>
          <w:sz w:val="28"/>
          <w:szCs w:val="28"/>
          <w:highlight w:val="none"/>
        </w:rPr>
      </w:pPr>
      <w:bookmarkStart w:id="67" w:name="bookmark67"/>
      <w:bookmarkEnd w:id="67"/>
      <w:r>
        <w:rPr>
          <w:rFonts w:ascii="Times New Roman" w:hAnsi="Times New Roman" w:eastAsia="Times New Roman" w:cs="Times New Roman"/>
          <w:color w:val="auto"/>
          <w:spacing w:val="-1"/>
          <w:sz w:val="28"/>
          <w:szCs w:val="28"/>
          <w:highlight w:val="none"/>
        </w:rPr>
        <w:t xml:space="preserve">7.7  </w:t>
      </w:r>
      <w:r>
        <w:rPr>
          <w:rFonts w:ascii="黑体" w:hAnsi="黑体" w:eastAsia="黑体" w:cs="黑体"/>
          <w:color w:val="auto"/>
          <w:spacing w:val="-1"/>
          <w:sz w:val="28"/>
          <w:szCs w:val="28"/>
          <w:highlight w:val="none"/>
        </w:rPr>
        <w:t>签订合同</w:t>
      </w:r>
    </w:p>
    <w:p>
      <w:pPr>
        <w:spacing w:line="296" w:lineRule="auto"/>
        <w:rPr>
          <w:rFonts w:ascii="Arial"/>
          <w:color w:val="auto"/>
          <w:sz w:val="21"/>
          <w:highlight w:val="none"/>
        </w:rPr>
      </w:pPr>
    </w:p>
    <w:p>
      <w:pPr>
        <w:pStyle w:val="13"/>
        <w:spacing w:before="68" w:line="319" w:lineRule="auto"/>
        <w:ind w:right="74" w:firstLine="420"/>
        <w:rPr>
          <w:color w:val="auto"/>
          <w:sz w:val="21"/>
          <w:szCs w:val="21"/>
          <w:highlight w:val="none"/>
        </w:rPr>
      </w:pPr>
      <w:r>
        <w:rPr>
          <w:rFonts w:ascii="Times New Roman" w:hAnsi="Times New Roman" w:eastAsia="Times New Roman" w:cs="Times New Roman"/>
          <w:color w:val="auto"/>
          <w:spacing w:val="-1"/>
          <w:sz w:val="21"/>
          <w:szCs w:val="21"/>
          <w:highlight w:val="none"/>
        </w:rPr>
        <w:t xml:space="preserve">7.7.1  </w:t>
      </w:r>
      <w:r>
        <w:rPr>
          <w:color w:val="auto"/>
          <w:spacing w:val="-1"/>
          <w:sz w:val="21"/>
          <w:szCs w:val="21"/>
          <w:highlight w:val="none"/>
        </w:rPr>
        <w:t>招标人和中标人应当在中标通知书发出之日起</w:t>
      </w:r>
      <w:r>
        <w:rPr>
          <w:color w:val="auto"/>
          <w:spacing w:val="-32"/>
          <w:sz w:val="21"/>
          <w:szCs w:val="21"/>
          <w:highlight w:val="none"/>
        </w:rPr>
        <w:t xml:space="preserve"> </w:t>
      </w:r>
      <w:r>
        <w:rPr>
          <w:rFonts w:ascii="Times New Roman" w:hAnsi="Times New Roman" w:eastAsia="Times New Roman" w:cs="Times New Roman"/>
          <w:color w:val="auto"/>
          <w:spacing w:val="-1"/>
          <w:sz w:val="21"/>
          <w:szCs w:val="21"/>
          <w:highlight w:val="none"/>
        </w:rPr>
        <w:t xml:space="preserve">30  </w:t>
      </w:r>
      <w:r>
        <w:rPr>
          <w:color w:val="auto"/>
          <w:spacing w:val="-1"/>
          <w:sz w:val="21"/>
          <w:szCs w:val="21"/>
          <w:highlight w:val="none"/>
        </w:rPr>
        <w:t>日内，根据招标文件和中标人的投</w:t>
      </w:r>
      <w:r>
        <w:rPr>
          <w:color w:val="auto"/>
          <w:sz w:val="21"/>
          <w:szCs w:val="21"/>
          <w:highlight w:val="none"/>
        </w:rPr>
        <w:t xml:space="preserve"> </w:t>
      </w:r>
      <w:r>
        <w:rPr>
          <w:color w:val="auto"/>
          <w:spacing w:val="1"/>
          <w:sz w:val="21"/>
          <w:szCs w:val="21"/>
          <w:highlight w:val="none"/>
        </w:rPr>
        <w:t>标文件订立书面合同。中标人无正当理由拒签合同，在</w:t>
      </w:r>
      <w:r>
        <w:rPr>
          <w:color w:val="auto"/>
          <w:sz w:val="21"/>
          <w:szCs w:val="21"/>
          <w:highlight w:val="none"/>
        </w:rPr>
        <w:t xml:space="preserve">签订合同时向招标人提出附加条件，或 </w:t>
      </w:r>
      <w:r>
        <w:rPr>
          <w:color w:val="auto"/>
          <w:spacing w:val="1"/>
          <w:sz w:val="21"/>
          <w:szCs w:val="21"/>
          <w:highlight w:val="none"/>
        </w:rPr>
        <w:t>者不按照招标文件要求提交履约保证金的，招标人有权</w:t>
      </w:r>
      <w:r>
        <w:rPr>
          <w:color w:val="auto"/>
          <w:sz w:val="21"/>
          <w:szCs w:val="21"/>
          <w:highlight w:val="none"/>
        </w:rPr>
        <w:t>取消其中标资格，其投标保证金不予退 还；给招标人造成的损失超过投标保证金数额的，</w:t>
      </w:r>
      <w:r>
        <w:rPr>
          <w:color w:val="auto"/>
          <w:spacing w:val="-1"/>
          <w:sz w:val="21"/>
          <w:szCs w:val="21"/>
          <w:highlight w:val="none"/>
        </w:rPr>
        <w:t>中标人还应当对超过部分予以赔偿。</w:t>
      </w:r>
    </w:p>
    <w:p>
      <w:pPr>
        <w:pStyle w:val="13"/>
        <w:spacing w:before="150" w:line="286" w:lineRule="auto"/>
        <w:ind w:right="74" w:firstLine="419"/>
        <w:rPr>
          <w:color w:val="auto"/>
          <w:sz w:val="21"/>
          <w:szCs w:val="21"/>
          <w:highlight w:val="none"/>
        </w:rPr>
      </w:pPr>
      <w:r>
        <w:rPr>
          <w:rFonts w:ascii="Times New Roman" w:hAnsi="Times New Roman" w:eastAsia="Times New Roman" w:cs="Times New Roman"/>
          <w:color w:val="auto"/>
          <w:spacing w:val="-2"/>
          <w:sz w:val="21"/>
          <w:szCs w:val="21"/>
          <w:highlight w:val="none"/>
        </w:rPr>
        <w:t xml:space="preserve">7.7.2  </w:t>
      </w:r>
      <w:r>
        <w:rPr>
          <w:color w:val="auto"/>
          <w:spacing w:val="-2"/>
          <w:sz w:val="21"/>
          <w:szCs w:val="21"/>
          <w:highlight w:val="none"/>
        </w:rPr>
        <w:t>发出中标通知书后，招标人无正当理由拒签合同，或者在签订合同时向中标人提出附</w:t>
      </w:r>
      <w:r>
        <w:rPr>
          <w:color w:val="auto"/>
          <w:spacing w:val="10"/>
          <w:sz w:val="21"/>
          <w:szCs w:val="21"/>
          <w:highlight w:val="none"/>
        </w:rPr>
        <w:t xml:space="preserve"> </w:t>
      </w:r>
      <w:r>
        <w:rPr>
          <w:color w:val="auto"/>
          <w:sz w:val="21"/>
          <w:szCs w:val="21"/>
          <w:highlight w:val="none"/>
        </w:rPr>
        <w:t>加条件的，招标人向中标人退还投标保证金；给</w:t>
      </w:r>
      <w:r>
        <w:rPr>
          <w:color w:val="auto"/>
          <w:spacing w:val="-1"/>
          <w:sz w:val="21"/>
          <w:szCs w:val="21"/>
          <w:highlight w:val="none"/>
        </w:rPr>
        <w:t>中标人造成损失的，还应当赔偿损失。</w:t>
      </w:r>
    </w:p>
    <w:p>
      <w:pPr>
        <w:pStyle w:val="13"/>
        <w:spacing w:before="149" w:line="286" w:lineRule="auto"/>
        <w:ind w:left="4" w:right="74" w:firstLine="416"/>
        <w:rPr>
          <w:color w:val="auto"/>
          <w:sz w:val="21"/>
          <w:szCs w:val="21"/>
          <w:highlight w:val="none"/>
        </w:rPr>
      </w:pPr>
      <w:r>
        <w:rPr>
          <w:rFonts w:ascii="Times New Roman" w:hAnsi="Times New Roman" w:eastAsia="Times New Roman" w:cs="Times New Roman"/>
          <w:color w:val="auto"/>
          <w:spacing w:val="-1"/>
          <w:sz w:val="21"/>
          <w:szCs w:val="21"/>
          <w:highlight w:val="none"/>
        </w:rPr>
        <w:t xml:space="preserve">7.7.3 </w:t>
      </w:r>
      <w:r>
        <w:rPr>
          <w:color w:val="auto"/>
          <w:spacing w:val="-1"/>
          <w:sz w:val="21"/>
          <w:szCs w:val="21"/>
          <w:highlight w:val="none"/>
        </w:rPr>
        <w:t>联合体中标的，联合体各方应当共同与招标人签订合同，就中标项目向招标人承担连</w:t>
      </w:r>
      <w:r>
        <w:rPr>
          <w:color w:val="auto"/>
          <w:spacing w:val="17"/>
          <w:sz w:val="21"/>
          <w:szCs w:val="21"/>
          <w:highlight w:val="none"/>
        </w:rPr>
        <w:t xml:space="preserve"> </w:t>
      </w:r>
      <w:r>
        <w:rPr>
          <w:color w:val="auto"/>
          <w:spacing w:val="-3"/>
          <w:sz w:val="21"/>
          <w:szCs w:val="21"/>
          <w:highlight w:val="none"/>
        </w:rPr>
        <w:t>带责任。</w:t>
      </w:r>
    </w:p>
    <w:p>
      <w:pPr>
        <w:spacing w:before="319" w:line="238" w:lineRule="auto"/>
        <w:ind w:left="3"/>
        <w:outlineLvl w:val="1"/>
        <w:rPr>
          <w:rFonts w:ascii="黑体" w:hAnsi="黑体" w:eastAsia="黑体" w:cs="黑体"/>
          <w:color w:val="auto"/>
          <w:sz w:val="31"/>
          <w:szCs w:val="31"/>
          <w:highlight w:val="none"/>
        </w:rPr>
      </w:pPr>
      <w:bookmarkStart w:id="68" w:name="bookmark68"/>
      <w:bookmarkEnd w:id="68"/>
      <w:bookmarkStart w:id="69" w:name="bookmark69"/>
      <w:bookmarkEnd w:id="69"/>
      <w:r>
        <w:rPr>
          <w:rFonts w:ascii="Times New Roman" w:hAnsi="Times New Roman" w:eastAsia="Times New Roman" w:cs="Times New Roman"/>
          <w:b/>
          <w:bCs/>
          <w:color w:val="auto"/>
          <w:spacing w:val="5"/>
          <w:sz w:val="31"/>
          <w:szCs w:val="31"/>
          <w:highlight w:val="none"/>
        </w:rPr>
        <w:t>8.</w:t>
      </w:r>
      <w:r>
        <w:rPr>
          <w:rFonts w:ascii="黑体" w:hAnsi="黑体" w:eastAsia="黑体" w:cs="黑体"/>
          <w:b/>
          <w:bCs/>
          <w:color w:val="auto"/>
          <w:spacing w:val="5"/>
          <w:sz w:val="31"/>
          <w:szCs w:val="31"/>
          <w:highlight w:val="none"/>
        </w:rPr>
        <w:t>纪律和监督</w:t>
      </w:r>
    </w:p>
    <w:p>
      <w:pPr>
        <w:spacing w:line="470" w:lineRule="auto"/>
        <w:rPr>
          <w:rFonts w:ascii="Arial"/>
          <w:color w:val="auto"/>
          <w:sz w:val="21"/>
          <w:highlight w:val="none"/>
        </w:rPr>
      </w:pPr>
    </w:p>
    <w:p>
      <w:pPr>
        <w:spacing w:before="92" w:line="234" w:lineRule="auto"/>
        <w:ind w:left="146"/>
        <w:outlineLvl w:val="2"/>
        <w:rPr>
          <w:rFonts w:ascii="黑体" w:hAnsi="黑体" w:eastAsia="黑体" w:cs="黑体"/>
          <w:color w:val="auto"/>
          <w:sz w:val="28"/>
          <w:szCs w:val="28"/>
          <w:highlight w:val="none"/>
        </w:rPr>
      </w:pPr>
      <w:bookmarkStart w:id="70" w:name="bookmark189"/>
      <w:bookmarkEnd w:id="70"/>
      <w:r>
        <w:rPr>
          <w:rFonts w:ascii="Times New Roman" w:hAnsi="Times New Roman" w:eastAsia="Times New Roman" w:cs="Times New Roman"/>
          <w:color w:val="auto"/>
          <w:spacing w:val="-2"/>
          <w:sz w:val="28"/>
          <w:szCs w:val="28"/>
          <w:highlight w:val="none"/>
        </w:rPr>
        <w:t xml:space="preserve">8.1  </w:t>
      </w:r>
      <w:r>
        <w:rPr>
          <w:rFonts w:ascii="黑体" w:hAnsi="黑体" w:eastAsia="黑体" w:cs="黑体"/>
          <w:color w:val="auto"/>
          <w:spacing w:val="-2"/>
          <w:sz w:val="28"/>
          <w:szCs w:val="28"/>
          <w:highlight w:val="none"/>
        </w:rPr>
        <w:t>对招标人的纪律要求</w:t>
      </w:r>
    </w:p>
    <w:p>
      <w:pPr>
        <w:spacing w:line="296" w:lineRule="auto"/>
        <w:rPr>
          <w:rFonts w:ascii="Arial"/>
          <w:color w:val="auto"/>
          <w:sz w:val="21"/>
          <w:highlight w:val="none"/>
        </w:rPr>
      </w:pPr>
    </w:p>
    <w:p>
      <w:pPr>
        <w:pStyle w:val="13"/>
        <w:spacing w:before="69" w:line="352" w:lineRule="auto"/>
        <w:ind w:left="2" w:firstLine="419"/>
        <w:rPr>
          <w:color w:val="auto"/>
          <w:sz w:val="21"/>
          <w:szCs w:val="21"/>
          <w:highlight w:val="none"/>
        </w:rPr>
      </w:pPr>
      <w:r>
        <w:rPr>
          <w:color w:val="auto"/>
          <w:spacing w:val="-3"/>
          <w:sz w:val="21"/>
          <w:szCs w:val="21"/>
          <w:highlight w:val="none"/>
        </w:rPr>
        <w:t>招标人不得泄露招标投标活动中应当保密的情况和资料，不得与投标人串通损害国家利益、</w:t>
      </w:r>
      <w:r>
        <w:rPr>
          <w:color w:val="auto"/>
          <w:spacing w:val="10"/>
          <w:sz w:val="21"/>
          <w:szCs w:val="21"/>
          <w:highlight w:val="none"/>
        </w:rPr>
        <w:t xml:space="preserve"> </w:t>
      </w:r>
      <w:r>
        <w:rPr>
          <w:color w:val="auto"/>
          <w:spacing w:val="-1"/>
          <w:sz w:val="21"/>
          <w:szCs w:val="21"/>
          <w:highlight w:val="none"/>
        </w:rPr>
        <w:t>社会公共利益或者他人合法权益。</w:t>
      </w:r>
    </w:p>
    <w:p>
      <w:pPr>
        <w:spacing w:before="160" w:line="234" w:lineRule="auto"/>
        <w:ind w:left="146"/>
        <w:outlineLvl w:val="2"/>
        <w:rPr>
          <w:rFonts w:ascii="黑体" w:hAnsi="黑体" w:eastAsia="黑体" w:cs="黑体"/>
          <w:color w:val="auto"/>
          <w:sz w:val="28"/>
          <w:szCs w:val="28"/>
          <w:highlight w:val="none"/>
        </w:rPr>
      </w:pPr>
      <w:bookmarkStart w:id="71" w:name="bookmark70"/>
      <w:bookmarkEnd w:id="71"/>
      <w:r>
        <w:rPr>
          <w:rFonts w:ascii="Times New Roman" w:hAnsi="Times New Roman" w:eastAsia="Times New Roman" w:cs="Times New Roman"/>
          <w:color w:val="auto"/>
          <w:spacing w:val="-2"/>
          <w:sz w:val="28"/>
          <w:szCs w:val="28"/>
          <w:highlight w:val="none"/>
        </w:rPr>
        <w:t xml:space="preserve">8.2  </w:t>
      </w:r>
      <w:r>
        <w:rPr>
          <w:rFonts w:ascii="黑体" w:hAnsi="黑体" w:eastAsia="黑体" w:cs="黑体"/>
          <w:color w:val="auto"/>
          <w:spacing w:val="-2"/>
          <w:sz w:val="28"/>
          <w:szCs w:val="28"/>
          <w:highlight w:val="none"/>
        </w:rPr>
        <w:t>对投标人的纪律要求</w:t>
      </w:r>
    </w:p>
    <w:p>
      <w:pPr>
        <w:spacing w:line="296" w:lineRule="auto"/>
        <w:rPr>
          <w:rFonts w:ascii="Arial"/>
          <w:color w:val="auto"/>
          <w:sz w:val="21"/>
          <w:highlight w:val="none"/>
        </w:rPr>
      </w:pPr>
    </w:p>
    <w:p>
      <w:pPr>
        <w:pStyle w:val="13"/>
        <w:spacing w:before="69" w:line="353" w:lineRule="auto"/>
        <w:ind w:right="77" w:firstLine="422"/>
        <w:jc w:val="both"/>
        <w:rPr>
          <w:color w:val="auto"/>
          <w:sz w:val="21"/>
          <w:szCs w:val="21"/>
          <w:highlight w:val="none"/>
        </w:rPr>
      </w:pPr>
      <w:r>
        <w:rPr>
          <w:color w:val="auto"/>
          <w:spacing w:val="1"/>
          <w:sz w:val="21"/>
          <w:szCs w:val="21"/>
          <w:highlight w:val="none"/>
        </w:rPr>
        <w:t>投标人不得相互串通投标或者与招标人串通投标</w:t>
      </w:r>
      <w:r>
        <w:rPr>
          <w:color w:val="auto"/>
          <w:sz w:val="21"/>
          <w:szCs w:val="21"/>
          <w:highlight w:val="none"/>
        </w:rPr>
        <w:t xml:space="preserve">，不得向招标人或者评标委员会成员行贿 </w:t>
      </w:r>
      <w:r>
        <w:rPr>
          <w:color w:val="auto"/>
          <w:spacing w:val="1"/>
          <w:sz w:val="21"/>
          <w:szCs w:val="21"/>
          <w:highlight w:val="none"/>
        </w:rPr>
        <w:t>谋取中标，不得以他人名义投标或者以其他方式弄虚</w:t>
      </w:r>
      <w:r>
        <w:rPr>
          <w:color w:val="auto"/>
          <w:sz w:val="21"/>
          <w:szCs w:val="21"/>
          <w:highlight w:val="none"/>
        </w:rPr>
        <w:t xml:space="preserve">作假骗取中标；投标人不得以任何方式干 </w:t>
      </w:r>
      <w:r>
        <w:rPr>
          <w:color w:val="auto"/>
          <w:spacing w:val="-3"/>
          <w:sz w:val="21"/>
          <w:szCs w:val="21"/>
          <w:highlight w:val="none"/>
        </w:rPr>
        <w:t>扰、影响评标工作。</w:t>
      </w:r>
    </w:p>
    <w:p>
      <w:pPr>
        <w:spacing w:before="158" w:line="232" w:lineRule="auto"/>
        <w:ind w:left="146"/>
        <w:outlineLvl w:val="2"/>
        <w:rPr>
          <w:rFonts w:ascii="黑体" w:hAnsi="黑体" w:eastAsia="黑体" w:cs="黑体"/>
          <w:color w:val="auto"/>
          <w:sz w:val="28"/>
          <w:szCs w:val="28"/>
          <w:highlight w:val="none"/>
        </w:rPr>
      </w:pPr>
      <w:bookmarkStart w:id="72" w:name="bookmark71"/>
      <w:bookmarkEnd w:id="72"/>
      <w:r>
        <w:rPr>
          <w:rFonts w:ascii="Times New Roman" w:hAnsi="Times New Roman" w:eastAsia="Times New Roman" w:cs="Times New Roman"/>
          <w:color w:val="auto"/>
          <w:spacing w:val="-1"/>
          <w:sz w:val="28"/>
          <w:szCs w:val="28"/>
          <w:highlight w:val="none"/>
        </w:rPr>
        <w:t xml:space="preserve">8.3  </w:t>
      </w:r>
      <w:r>
        <w:rPr>
          <w:rFonts w:ascii="黑体" w:hAnsi="黑体" w:eastAsia="黑体" w:cs="黑体"/>
          <w:color w:val="auto"/>
          <w:spacing w:val="-1"/>
          <w:sz w:val="28"/>
          <w:szCs w:val="28"/>
          <w:highlight w:val="none"/>
        </w:rPr>
        <w:t>对评标委员会成员的纪律要求</w:t>
      </w:r>
    </w:p>
    <w:p>
      <w:pPr>
        <w:spacing w:line="298" w:lineRule="auto"/>
        <w:rPr>
          <w:rFonts w:ascii="Arial"/>
          <w:color w:val="auto"/>
          <w:sz w:val="21"/>
          <w:highlight w:val="none"/>
        </w:rPr>
      </w:pPr>
    </w:p>
    <w:p>
      <w:pPr>
        <w:pStyle w:val="13"/>
        <w:spacing w:before="69" w:line="353" w:lineRule="auto"/>
        <w:ind w:left="2" w:right="77" w:firstLine="417"/>
        <w:jc w:val="both"/>
        <w:rPr>
          <w:color w:val="auto"/>
          <w:sz w:val="21"/>
          <w:szCs w:val="21"/>
          <w:highlight w:val="none"/>
        </w:rPr>
      </w:pPr>
      <w:r>
        <w:rPr>
          <w:color w:val="auto"/>
          <w:spacing w:val="1"/>
          <w:sz w:val="21"/>
          <w:szCs w:val="21"/>
          <w:highlight w:val="none"/>
        </w:rPr>
        <w:t>评标委员会成员不得收受他人的财物或者其他好处，不</w:t>
      </w:r>
      <w:r>
        <w:rPr>
          <w:color w:val="auto"/>
          <w:sz w:val="21"/>
          <w:szCs w:val="21"/>
          <w:highlight w:val="none"/>
        </w:rPr>
        <w:t xml:space="preserve">得向他人透露对投标文件的评审和 </w:t>
      </w:r>
      <w:r>
        <w:rPr>
          <w:color w:val="auto"/>
          <w:spacing w:val="1"/>
          <w:sz w:val="21"/>
          <w:szCs w:val="21"/>
          <w:highlight w:val="none"/>
        </w:rPr>
        <w:t>比较、中标候选人的推荐情况以及评标有关的其他</w:t>
      </w:r>
      <w:r>
        <w:rPr>
          <w:color w:val="auto"/>
          <w:sz w:val="21"/>
          <w:szCs w:val="21"/>
          <w:highlight w:val="none"/>
        </w:rPr>
        <w:t xml:space="preserve">情况。在评标活动中，评标委员会成员应当 </w:t>
      </w:r>
      <w:r>
        <w:rPr>
          <w:color w:val="auto"/>
          <w:spacing w:val="1"/>
          <w:sz w:val="21"/>
          <w:szCs w:val="21"/>
          <w:highlight w:val="none"/>
        </w:rPr>
        <w:t>客观、公正地履行职责，遵守职业道德，不得擅离</w:t>
      </w:r>
      <w:r>
        <w:rPr>
          <w:color w:val="auto"/>
          <w:sz w:val="21"/>
          <w:szCs w:val="21"/>
          <w:highlight w:val="none"/>
        </w:rPr>
        <w:t>职守，影响评标程序正常进行，不得使用第</w:t>
      </w:r>
      <w:r>
        <w:rPr>
          <w:color w:val="auto"/>
          <w:spacing w:val="-1"/>
          <w:sz w:val="21"/>
          <w:szCs w:val="21"/>
          <w:highlight w:val="none"/>
        </w:rPr>
        <w:t>三章</w:t>
      </w:r>
      <w:r>
        <w:rPr>
          <w:rFonts w:ascii="Times New Roman" w:hAnsi="Times New Roman" w:eastAsia="Times New Roman" w:cs="Times New Roman"/>
          <w:color w:val="auto"/>
          <w:spacing w:val="-1"/>
          <w:sz w:val="21"/>
          <w:szCs w:val="21"/>
          <w:highlight w:val="none"/>
        </w:rPr>
        <w:t>“</w:t>
      </w:r>
      <w:r>
        <w:rPr>
          <w:color w:val="auto"/>
          <w:spacing w:val="-1"/>
          <w:sz w:val="21"/>
          <w:szCs w:val="21"/>
          <w:highlight w:val="none"/>
        </w:rPr>
        <w:t>评标办法</w:t>
      </w:r>
      <w:r>
        <w:rPr>
          <w:rFonts w:ascii="Times New Roman" w:hAnsi="Times New Roman" w:eastAsia="Times New Roman" w:cs="Times New Roman"/>
          <w:color w:val="auto"/>
          <w:spacing w:val="-1"/>
          <w:sz w:val="21"/>
          <w:szCs w:val="21"/>
          <w:highlight w:val="none"/>
        </w:rPr>
        <w:t>”</w:t>
      </w:r>
      <w:r>
        <w:rPr>
          <w:color w:val="auto"/>
          <w:spacing w:val="-1"/>
          <w:sz w:val="21"/>
          <w:szCs w:val="21"/>
          <w:highlight w:val="none"/>
        </w:rPr>
        <w:t>没有规定的评审因素和标准进行评标。</w:t>
      </w:r>
    </w:p>
    <w:p>
      <w:pPr>
        <w:spacing w:before="312" w:line="232" w:lineRule="auto"/>
        <w:ind w:left="146"/>
        <w:outlineLvl w:val="2"/>
        <w:rPr>
          <w:rFonts w:ascii="黑体" w:hAnsi="黑体" w:eastAsia="黑体" w:cs="黑体"/>
          <w:color w:val="auto"/>
          <w:sz w:val="28"/>
          <w:szCs w:val="28"/>
          <w:highlight w:val="none"/>
        </w:rPr>
      </w:pPr>
      <w:bookmarkStart w:id="73" w:name="bookmark72"/>
      <w:bookmarkEnd w:id="73"/>
      <w:r>
        <w:rPr>
          <w:rFonts w:ascii="Times New Roman" w:hAnsi="Times New Roman" w:eastAsia="Times New Roman" w:cs="Times New Roman"/>
          <w:color w:val="auto"/>
          <w:spacing w:val="-1"/>
          <w:sz w:val="28"/>
          <w:szCs w:val="28"/>
          <w:highlight w:val="none"/>
        </w:rPr>
        <w:t xml:space="preserve">8.4  </w:t>
      </w:r>
      <w:r>
        <w:rPr>
          <w:rFonts w:ascii="黑体" w:hAnsi="黑体" w:eastAsia="黑体" w:cs="黑体"/>
          <w:color w:val="auto"/>
          <w:spacing w:val="-1"/>
          <w:sz w:val="28"/>
          <w:szCs w:val="28"/>
          <w:highlight w:val="none"/>
        </w:rPr>
        <w:t>对与评标活动有关的工作人员的纪律要求</w:t>
      </w:r>
    </w:p>
    <w:p>
      <w:pPr>
        <w:spacing w:line="298" w:lineRule="auto"/>
        <w:rPr>
          <w:rFonts w:ascii="Arial"/>
          <w:color w:val="auto"/>
          <w:sz w:val="21"/>
          <w:highlight w:val="none"/>
        </w:rPr>
      </w:pPr>
    </w:p>
    <w:p>
      <w:pPr>
        <w:pStyle w:val="13"/>
        <w:spacing w:before="68" w:line="353" w:lineRule="auto"/>
        <w:ind w:right="1" w:firstLine="424"/>
        <w:jc w:val="both"/>
        <w:rPr>
          <w:color w:val="auto"/>
          <w:sz w:val="21"/>
          <w:szCs w:val="21"/>
          <w:highlight w:val="none"/>
        </w:rPr>
      </w:pPr>
      <w:r>
        <w:rPr>
          <w:color w:val="auto"/>
          <w:spacing w:val="1"/>
          <w:sz w:val="21"/>
          <w:szCs w:val="21"/>
          <w:highlight w:val="none"/>
        </w:rPr>
        <w:t>与评标活动有关的工作人员不得收受他人的</w:t>
      </w:r>
      <w:r>
        <w:rPr>
          <w:color w:val="auto"/>
          <w:sz w:val="21"/>
          <w:szCs w:val="21"/>
          <w:highlight w:val="none"/>
        </w:rPr>
        <w:t xml:space="preserve">财物或者其他好处，不得向他人透露对投标文 </w:t>
      </w:r>
      <w:r>
        <w:rPr>
          <w:color w:val="auto"/>
          <w:spacing w:val="1"/>
          <w:sz w:val="21"/>
          <w:szCs w:val="21"/>
          <w:highlight w:val="none"/>
        </w:rPr>
        <w:t>件的评审和比较、中标候选人的推荐情况以及评标有关</w:t>
      </w:r>
      <w:r>
        <w:rPr>
          <w:color w:val="auto"/>
          <w:sz w:val="21"/>
          <w:szCs w:val="21"/>
          <w:highlight w:val="none"/>
        </w:rPr>
        <w:t>的其他情况。在评标活动中，与评标活 动有关的工作人员不得擅离职守，影响评标程序正常进</w:t>
      </w:r>
      <w:r>
        <w:rPr>
          <w:color w:val="auto"/>
          <w:spacing w:val="-1"/>
          <w:sz w:val="21"/>
          <w:szCs w:val="21"/>
          <w:highlight w:val="none"/>
        </w:rPr>
        <w:t>行。</w:t>
      </w:r>
    </w:p>
    <w:p>
      <w:pPr>
        <w:spacing w:before="157" w:line="232" w:lineRule="auto"/>
        <w:ind w:left="146"/>
        <w:outlineLvl w:val="2"/>
        <w:rPr>
          <w:rFonts w:ascii="黑体" w:hAnsi="黑体" w:eastAsia="黑体" w:cs="黑体"/>
          <w:color w:val="auto"/>
          <w:sz w:val="28"/>
          <w:szCs w:val="28"/>
          <w:highlight w:val="none"/>
        </w:rPr>
      </w:pPr>
      <w:bookmarkStart w:id="74" w:name="bookmark73"/>
      <w:bookmarkEnd w:id="74"/>
      <w:r>
        <w:rPr>
          <w:rFonts w:ascii="Times New Roman" w:hAnsi="Times New Roman" w:eastAsia="Times New Roman" w:cs="Times New Roman"/>
          <w:color w:val="auto"/>
          <w:spacing w:val="-2"/>
          <w:sz w:val="28"/>
          <w:szCs w:val="28"/>
          <w:highlight w:val="none"/>
        </w:rPr>
        <w:t xml:space="preserve">8.5  </w:t>
      </w:r>
      <w:r>
        <w:rPr>
          <w:rFonts w:ascii="黑体" w:hAnsi="黑体" w:eastAsia="黑体" w:cs="黑体"/>
          <w:color w:val="auto"/>
          <w:spacing w:val="-2"/>
          <w:sz w:val="28"/>
          <w:szCs w:val="28"/>
          <w:highlight w:val="none"/>
        </w:rPr>
        <w:t>投诉</w:t>
      </w:r>
    </w:p>
    <w:p>
      <w:pPr>
        <w:spacing w:line="302" w:lineRule="auto"/>
        <w:rPr>
          <w:rFonts w:ascii="Arial"/>
          <w:color w:val="auto"/>
          <w:sz w:val="21"/>
          <w:highlight w:val="none"/>
        </w:rPr>
      </w:pPr>
    </w:p>
    <w:p>
      <w:pPr>
        <w:pStyle w:val="13"/>
        <w:spacing w:before="69" w:line="307" w:lineRule="auto"/>
        <w:ind w:left="5" w:firstLine="420"/>
        <w:rPr>
          <w:color w:val="auto"/>
          <w:sz w:val="21"/>
          <w:szCs w:val="21"/>
          <w:highlight w:val="none"/>
        </w:rPr>
      </w:pPr>
      <w:r>
        <w:rPr>
          <w:rFonts w:ascii="Times New Roman" w:hAnsi="Times New Roman" w:eastAsia="Times New Roman" w:cs="Times New Roman"/>
          <w:color w:val="auto"/>
          <w:spacing w:val="-2"/>
          <w:sz w:val="21"/>
          <w:szCs w:val="21"/>
          <w:highlight w:val="none"/>
        </w:rPr>
        <w:t xml:space="preserve">8.5.1  </w:t>
      </w:r>
      <w:r>
        <w:rPr>
          <w:color w:val="auto"/>
          <w:spacing w:val="-2"/>
          <w:sz w:val="21"/>
          <w:szCs w:val="21"/>
          <w:highlight w:val="none"/>
        </w:rPr>
        <w:t>投标人或者其他利害关系人认为招标投标活动不符合法律、行政法规规定的，可以自</w:t>
      </w:r>
      <w:r>
        <w:rPr>
          <w:color w:val="auto"/>
          <w:spacing w:val="2"/>
          <w:sz w:val="21"/>
          <w:szCs w:val="21"/>
          <w:highlight w:val="none"/>
        </w:rPr>
        <w:t xml:space="preserve"> </w:t>
      </w:r>
      <w:r>
        <w:rPr>
          <w:color w:val="auto"/>
          <w:spacing w:val="-4"/>
          <w:sz w:val="21"/>
          <w:szCs w:val="21"/>
          <w:highlight w:val="none"/>
        </w:rPr>
        <w:t>知道或者应当知道之日起</w:t>
      </w:r>
      <w:r>
        <w:rPr>
          <w:color w:val="auto"/>
          <w:spacing w:val="-14"/>
          <w:sz w:val="21"/>
          <w:szCs w:val="21"/>
          <w:highlight w:val="none"/>
        </w:rPr>
        <w:t xml:space="preserve"> </w:t>
      </w:r>
      <w:r>
        <w:rPr>
          <w:rFonts w:ascii="Times New Roman" w:hAnsi="Times New Roman" w:eastAsia="Times New Roman" w:cs="Times New Roman"/>
          <w:color w:val="auto"/>
          <w:spacing w:val="-4"/>
          <w:sz w:val="21"/>
          <w:szCs w:val="21"/>
          <w:highlight w:val="none"/>
        </w:rPr>
        <w:t>10</w:t>
      </w:r>
      <w:r>
        <w:rPr>
          <w:rFonts w:ascii="Times New Roman" w:hAnsi="Times New Roman" w:eastAsia="Times New Roman" w:cs="Times New Roman"/>
          <w:color w:val="auto"/>
          <w:spacing w:val="44"/>
          <w:w w:val="101"/>
          <w:sz w:val="21"/>
          <w:szCs w:val="21"/>
          <w:highlight w:val="none"/>
        </w:rPr>
        <w:t xml:space="preserve"> </w:t>
      </w:r>
      <w:r>
        <w:rPr>
          <w:color w:val="auto"/>
          <w:spacing w:val="-4"/>
          <w:sz w:val="21"/>
          <w:szCs w:val="21"/>
          <w:highlight w:val="none"/>
        </w:rPr>
        <w:t>日内向有关行政监督部门投诉。投诉应当有明确的请求和必要的证</w:t>
      </w:r>
      <w:r>
        <w:rPr>
          <w:color w:val="auto"/>
          <w:sz w:val="21"/>
          <w:szCs w:val="21"/>
          <w:highlight w:val="none"/>
        </w:rPr>
        <w:t xml:space="preserve"> </w:t>
      </w:r>
      <w:r>
        <w:rPr>
          <w:color w:val="auto"/>
          <w:spacing w:val="-3"/>
          <w:sz w:val="21"/>
          <w:szCs w:val="21"/>
          <w:highlight w:val="none"/>
        </w:rPr>
        <w:t>明材料。</w:t>
      </w:r>
    </w:p>
    <w:p>
      <w:pPr>
        <w:pStyle w:val="13"/>
        <w:spacing w:before="149" w:line="308" w:lineRule="auto"/>
        <w:ind w:left="2" w:firstLine="422"/>
        <w:rPr>
          <w:color w:val="auto"/>
          <w:sz w:val="21"/>
          <w:szCs w:val="21"/>
          <w:highlight w:val="none"/>
        </w:rPr>
      </w:pPr>
      <w:r>
        <w:rPr>
          <w:rFonts w:ascii="Times New Roman" w:hAnsi="Times New Roman" w:eastAsia="Times New Roman" w:cs="Times New Roman"/>
          <w:color w:val="auto"/>
          <w:spacing w:val="-2"/>
          <w:sz w:val="21"/>
          <w:szCs w:val="21"/>
          <w:highlight w:val="none"/>
        </w:rPr>
        <w:t xml:space="preserve">8.5.2  </w:t>
      </w:r>
      <w:r>
        <w:rPr>
          <w:color w:val="auto"/>
          <w:spacing w:val="-2"/>
          <w:sz w:val="21"/>
          <w:szCs w:val="21"/>
          <w:highlight w:val="none"/>
        </w:rPr>
        <w:t>投标人或者其他利害关系人对招标文件、开标和评标结果提出投诉的，应当按照投标</w:t>
      </w:r>
      <w:r>
        <w:rPr>
          <w:color w:val="auto"/>
          <w:spacing w:val="2"/>
          <w:sz w:val="21"/>
          <w:szCs w:val="21"/>
          <w:highlight w:val="none"/>
        </w:rPr>
        <w:t xml:space="preserve"> </w:t>
      </w:r>
      <w:r>
        <w:rPr>
          <w:color w:val="auto"/>
          <w:spacing w:val="-4"/>
          <w:sz w:val="21"/>
          <w:szCs w:val="21"/>
          <w:highlight w:val="none"/>
        </w:rPr>
        <w:t>人须知第</w:t>
      </w:r>
      <w:r>
        <w:rPr>
          <w:color w:val="auto"/>
          <w:spacing w:val="-59"/>
          <w:sz w:val="21"/>
          <w:szCs w:val="21"/>
          <w:highlight w:val="none"/>
        </w:rPr>
        <w:t xml:space="preserve"> </w:t>
      </w:r>
      <w:r>
        <w:rPr>
          <w:rFonts w:ascii="Times New Roman" w:hAnsi="Times New Roman" w:eastAsia="Times New Roman" w:cs="Times New Roman"/>
          <w:color w:val="auto"/>
          <w:spacing w:val="-4"/>
          <w:sz w:val="21"/>
          <w:szCs w:val="21"/>
          <w:highlight w:val="none"/>
        </w:rPr>
        <w:t xml:space="preserve">2.4 </w:t>
      </w:r>
      <w:r>
        <w:rPr>
          <w:color w:val="auto"/>
          <w:spacing w:val="-4"/>
          <w:sz w:val="21"/>
          <w:szCs w:val="21"/>
          <w:highlight w:val="none"/>
        </w:rPr>
        <w:t>款、第</w:t>
      </w:r>
      <w:r>
        <w:rPr>
          <w:color w:val="auto"/>
          <w:spacing w:val="-55"/>
          <w:sz w:val="21"/>
          <w:szCs w:val="21"/>
          <w:highlight w:val="none"/>
        </w:rPr>
        <w:t xml:space="preserve"> </w:t>
      </w:r>
      <w:r>
        <w:rPr>
          <w:rFonts w:ascii="Times New Roman" w:hAnsi="Times New Roman" w:eastAsia="Times New Roman" w:cs="Times New Roman"/>
          <w:color w:val="auto"/>
          <w:spacing w:val="-4"/>
          <w:sz w:val="21"/>
          <w:szCs w:val="21"/>
          <w:highlight w:val="none"/>
        </w:rPr>
        <w:t xml:space="preserve">5.3 </w:t>
      </w:r>
      <w:r>
        <w:rPr>
          <w:color w:val="auto"/>
          <w:spacing w:val="-4"/>
          <w:sz w:val="21"/>
          <w:szCs w:val="21"/>
          <w:highlight w:val="none"/>
        </w:rPr>
        <w:t>款和第</w:t>
      </w:r>
      <w:r>
        <w:rPr>
          <w:color w:val="auto"/>
          <w:spacing w:val="-55"/>
          <w:sz w:val="21"/>
          <w:szCs w:val="21"/>
          <w:highlight w:val="none"/>
        </w:rPr>
        <w:t xml:space="preserve"> </w:t>
      </w:r>
      <w:r>
        <w:rPr>
          <w:rFonts w:ascii="Times New Roman" w:hAnsi="Times New Roman" w:eastAsia="Times New Roman" w:cs="Times New Roman"/>
          <w:color w:val="auto"/>
          <w:spacing w:val="-4"/>
          <w:sz w:val="21"/>
          <w:szCs w:val="21"/>
          <w:highlight w:val="none"/>
        </w:rPr>
        <w:t xml:space="preserve">7.2 </w:t>
      </w:r>
      <w:r>
        <w:rPr>
          <w:color w:val="auto"/>
          <w:spacing w:val="-4"/>
          <w:sz w:val="21"/>
          <w:szCs w:val="21"/>
          <w:highlight w:val="none"/>
        </w:rPr>
        <w:t>款的规定先向招标人提</w:t>
      </w:r>
      <w:r>
        <w:rPr>
          <w:color w:val="auto"/>
          <w:spacing w:val="-5"/>
          <w:sz w:val="21"/>
          <w:szCs w:val="21"/>
          <w:highlight w:val="none"/>
        </w:rPr>
        <w:t>出异议。异议答复期间不计算在第</w:t>
      </w:r>
      <w:r>
        <w:rPr>
          <w:rFonts w:ascii="Times New Roman" w:hAnsi="Times New Roman" w:eastAsia="Times New Roman" w:cs="Times New Roman"/>
          <w:color w:val="auto"/>
          <w:spacing w:val="-5"/>
          <w:sz w:val="21"/>
          <w:szCs w:val="21"/>
          <w:highlight w:val="none"/>
        </w:rPr>
        <w:t>8.5.1</w:t>
      </w:r>
      <w:r>
        <w:rPr>
          <w:rFonts w:ascii="Times New Roman" w:hAnsi="Times New Roman" w:eastAsia="Times New Roman" w:cs="Times New Roman"/>
          <w:color w:val="auto"/>
          <w:sz w:val="21"/>
          <w:szCs w:val="21"/>
          <w:highlight w:val="none"/>
        </w:rPr>
        <w:t xml:space="preserve"> </w:t>
      </w:r>
      <w:r>
        <w:rPr>
          <w:color w:val="auto"/>
          <w:spacing w:val="-1"/>
          <w:sz w:val="21"/>
          <w:szCs w:val="21"/>
          <w:highlight w:val="none"/>
        </w:rPr>
        <w:t>项规定的期限内。</w:t>
      </w:r>
    </w:p>
    <w:p>
      <w:pPr>
        <w:spacing w:before="320" w:line="239" w:lineRule="auto"/>
        <w:ind w:left="2"/>
        <w:outlineLvl w:val="1"/>
        <w:rPr>
          <w:rFonts w:ascii="黑体" w:hAnsi="黑体" w:eastAsia="黑体" w:cs="黑体"/>
          <w:color w:val="auto"/>
          <w:sz w:val="31"/>
          <w:szCs w:val="31"/>
          <w:highlight w:val="none"/>
        </w:rPr>
      </w:pPr>
      <w:bookmarkStart w:id="75" w:name="bookmark74"/>
      <w:bookmarkEnd w:id="75"/>
      <w:r>
        <w:rPr>
          <w:rFonts w:ascii="Times New Roman" w:hAnsi="Times New Roman" w:eastAsia="Times New Roman" w:cs="Times New Roman"/>
          <w:b/>
          <w:bCs/>
          <w:color w:val="auto"/>
          <w:spacing w:val="5"/>
          <w:sz w:val="31"/>
          <w:szCs w:val="31"/>
          <w:highlight w:val="none"/>
        </w:rPr>
        <w:t xml:space="preserve">9.  </w:t>
      </w:r>
      <w:r>
        <w:rPr>
          <w:rFonts w:ascii="黑体" w:hAnsi="黑体" w:eastAsia="黑体" w:cs="黑体"/>
          <w:b/>
          <w:bCs/>
          <w:color w:val="auto"/>
          <w:spacing w:val="5"/>
          <w:sz w:val="31"/>
          <w:szCs w:val="31"/>
          <w:highlight w:val="none"/>
        </w:rPr>
        <w:t>是否采用电子招标投标</w:t>
      </w:r>
    </w:p>
    <w:p>
      <w:pPr>
        <w:spacing w:line="292" w:lineRule="auto"/>
        <w:rPr>
          <w:rFonts w:ascii="Arial"/>
          <w:color w:val="auto"/>
          <w:sz w:val="21"/>
          <w:highlight w:val="none"/>
        </w:rPr>
      </w:pPr>
    </w:p>
    <w:p>
      <w:pPr>
        <w:pStyle w:val="13"/>
        <w:spacing w:before="69" w:line="220" w:lineRule="auto"/>
        <w:ind w:left="421"/>
        <w:rPr>
          <w:color w:val="auto"/>
          <w:sz w:val="21"/>
          <w:szCs w:val="21"/>
          <w:highlight w:val="none"/>
        </w:rPr>
      </w:pPr>
      <w:r>
        <w:rPr>
          <w:color w:val="auto"/>
          <w:sz w:val="21"/>
          <w:szCs w:val="21"/>
          <w:highlight w:val="none"/>
        </w:rPr>
        <w:t>本招标项目是否采用电子招标投标方式，见投标人须知</w:t>
      </w:r>
      <w:r>
        <w:rPr>
          <w:color w:val="auto"/>
          <w:spacing w:val="-1"/>
          <w:sz w:val="21"/>
          <w:szCs w:val="21"/>
          <w:highlight w:val="none"/>
        </w:rPr>
        <w:t>前附表。</w:t>
      </w:r>
    </w:p>
    <w:p>
      <w:pPr>
        <w:spacing w:before="320" w:line="239" w:lineRule="auto"/>
        <w:ind w:left="13"/>
        <w:outlineLvl w:val="1"/>
        <w:rPr>
          <w:rFonts w:ascii="黑体" w:hAnsi="黑体" w:eastAsia="黑体" w:cs="黑体"/>
          <w:color w:val="auto"/>
          <w:sz w:val="31"/>
          <w:szCs w:val="31"/>
          <w:highlight w:val="none"/>
        </w:rPr>
      </w:pPr>
      <w:bookmarkStart w:id="76" w:name="bookmark75"/>
      <w:bookmarkEnd w:id="76"/>
      <w:r>
        <w:rPr>
          <w:rFonts w:ascii="Times New Roman" w:hAnsi="Times New Roman" w:eastAsia="Times New Roman" w:cs="Times New Roman"/>
          <w:b/>
          <w:bCs/>
          <w:color w:val="auto"/>
          <w:spacing w:val="4"/>
          <w:sz w:val="31"/>
          <w:szCs w:val="31"/>
          <w:highlight w:val="none"/>
        </w:rPr>
        <w:t xml:space="preserve">10.  </w:t>
      </w:r>
      <w:r>
        <w:rPr>
          <w:rFonts w:ascii="黑体" w:hAnsi="黑体" w:eastAsia="黑体" w:cs="黑体"/>
          <w:b/>
          <w:bCs/>
          <w:color w:val="auto"/>
          <w:spacing w:val="4"/>
          <w:sz w:val="31"/>
          <w:szCs w:val="31"/>
          <w:highlight w:val="none"/>
        </w:rPr>
        <w:t>需要补充的其他内容</w:t>
      </w:r>
    </w:p>
    <w:p>
      <w:pPr>
        <w:spacing w:line="292" w:lineRule="auto"/>
        <w:rPr>
          <w:rFonts w:ascii="Arial"/>
          <w:color w:val="auto"/>
          <w:sz w:val="21"/>
          <w:highlight w:val="none"/>
        </w:rPr>
      </w:pPr>
    </w:p>
    <w:p>
      <w:pPr>
        <w:pStyle w:val="13"/>
        <w:spacing w:before="69" w:line="220" w:lineRule="auto"/>
        <w:ind w:left="430"/>
        <w:rPr>
          <w:color w:val="auto"/>
          <w:sz w:val="21"/>
          <w:szCs w:val="21"/>
          <w:highlight w:val="none"/>
        </w:rPr>
      </w:pPr>
      <w:r>
        <w:rPr>
          <w:color w:val="auto"/>
          <w:spacing w:val="-2"/>
          <w:sz w:val="21"/>
          <w:szCs w:val="21"/>
          <w:highlight w:val="none"/>
        </w:rPr>
        <w:t>需要补充的其他内容：见投标人须知前附表。</w:t>
      </w:r>
    </w:p>
    <w:p>
      <w:pPr>
        <w:spacing w:line="220" w:lineRule="auto"/>
        <w:rPr>
          <w:color w:val="auto"/>
          <w:sz w:val="21"/>
          <w:szCs w:val="21"/>
          <w:highlight w:val="none"/>
        </w:rPr>
        <w:sectPr>
          <w:footerReference r:id="rId5" w:type="default"/>
          <w:pgSz w:w="12240" w:h="15840"/>
          <w:pgMar w:top="1346" w:right="1795" w:bottom="1121" w:left="1807" w:header="0" w:footer="894" w:gutter="0"/>
          <w:pgNumType w:fmt="decimal" w:start="1"/>
          <w:cols w:space="720" w:num="1"/>
        </w:sectPr>
      </w:pPr>
    </w:p>
    <w:p>
      <w:pPr>
        <w:spacing w:before="136" w:line="219" w:lineRule="auto"/>
        <w:ind w:left="275"/>
        <w:outlineLvl w:val="2"/>
        <w:rPr>
          <w:rFonts w:ascii="黑体" w:hAnsi="黑体" w:eastAsia="黑体" w:cs="黑体"/>
          <w:color w:val="auto"/>
          <w:sz w:val="28"/>
          <w:szCs w:val="28"/>
          <w:highlight w:val="none"/>
        </w:rPr>
      </w:pPr>
      <w:bookmarkStart w:id="77" w:name="bookmark76"/>
      <w:bookmarkEnd w:id="77"/>
      <w:r>
        <w:rPr>
          <w:rFonts w:ascii="黑体" w:hAnsi="黑体" w:eastAsia="黑体" w:cs="黑体"/>
          <w:color w:val="auto"/>
          <w:spacing w:val="-3"/>
          <w:sz w:val="28"/>
          <w:szCs w:val="28"/>
          <w:highlight w:val="none"/>
        </w:rPr>
        <w:t>附件一：开标记录表</w:t>
      </w:r>
    </w:p>
    <w:p>
      <w:pPr>
        <w:spacing w:line="263" w:lineRule="auto"/>
        <w:rPr>
          <w:rFonts w:ascii="Arial"/>
          <w:color w:val="auto"/>
          <w:sz w:val="21"/>
          <w:highlight w:val="none"/>
        </w:rPr>
      </w:pPr>
    </w:p>
    <w:p>
      <w:pPr>
        <w:spacing w:line="263" w:lineRule="auto"/>
        <w:rPr>
          <w:rFonts w:ascii="Arial"/>
          <w:color w:val="auto"/>
          <w:sz w:val="21"/>
          <w:highlight w:val="none"/>
        </w:rPr>
      </w:pPr>
    </w:p>
    <w:p>
      <w:pPr>
        <w:spacing w:before="91" w:line="219" w:lineRule="auto"/>
        <w:ind w:left="3747"/>
        <w:rPr>
          <w:rFonts w:ascii="黑体" w:hAnsi="黑体" w:eastAsia="黑体" w:cs="黑体"/>
          <w:color w:val="auto"/>
          <w:sz w:val="28"/>
          <w:szCs w:val="28"/>
          <w:highlight w:val="none"/>
        </w:rPr>
      </w:pPr>
      <w:r>
        <w:rPr>
          <w:rFonts w:ascii="黑体" w:hAnsi="黑体" w:eastAsia="黑体" w:cs="黑体"/>
          <w:color w:val="auto"/>
          <w:spacing w:val="-3"/>
          <w:sz w:val="28"/>
          <w:szCs w:val="28"/>
          <w:highlight w:val="none"/>
        </w:rPr>
        <w:t>开标记录表</w:t>
      </w:r>
    </w:p>
    <w:p>
      <w:pPr>
        <w:pStyle w:val="13"/>
        <w:spacing w:before="252" w:line="221" w:lineRule="auto"/>
        <w:ind w:left="1518"/>
        <w:rPr>
          <w:color w:val="auto"/>
          <w:sz w:val="21"/>
          <w:szCs w:val="21"/>
          <w:highlight w:val="none"/>
        </w:rPr>
      </w:pPr>
      <w:r>
        <w:rPr>
          <w:color w:val="auto"/>
          <w:spacing w:val="-9"/>
          <w:sz w:val="21"/>
          <w:szCs w:val="21"/>
          <w:highlight w:val="none"/>
        </w:rPr>
        <w:t>开标时间：</w:t>
      </w:r>
      <w:r>
        <w:rPr>
          <w:color w:val="auto"/>
          <w:sz w:val="21"/>
          <w:szCs w:val="21"/>
          <w:highlight w:val="none"/>
          <w:u w:val="single" w:color="auto"/>
        </w:rPr>
        <w:t xml:space="preserve">         </w:t>
      </w:r>
      <w:r>
        <w:rPr>
          <w:color w:val="auto"/>
          <w:spacing w:val="-94"/>
          <w:sz w:val="21"/>
          <w:szCs w:val="21"/>
          <w:highlight w:val="none"/>
        </w:rPr>
        <w:t xml:space="preserve"> </w:t>
      </w:r>
      <w:r>
        <w:rPr>
          <w:color w:val="auto"/>
          <w:spacing w:val="-9"/>
          <w:sz w:val="21"/>
          <w:szCs w:val="21"/>
          <w:highlight w:val="none"/>
        </w:rPr>
        <w:t>年</w:t>
      </w:r>
      <w:r>
        <w:rPr>
          <w:color w:val="auto"/>
          <w:spacing w:val="12"/>
          <w:sz w:val="21"/>
          <w:szCs w:val="21"/>
          <w:highlight w:val="none"/>
          <w:u w:val="single" w:color="auto"/>
        </w:rPr>
        <w:t xml:space="preserve">        </w:t>
      </w:r>
      <w:r>
        <w:rPr>
          <w:color w:val="auto"/>
          <w:spacing w:val="-85"/>
          <w:sz w:val="21"/>
          <w:szCs w:val="21"/>
          <w:highlight w:val="none"/>
        </w:rPr>
        <w:t xml:space="preserve"> </w:t>
      </w:r>
      <w:r>
        <w:rPr>
          <w:color w:val="auto"/>
          <w:spacing w:val="-9"/>
          <w:sz w:val="21"/>
          <w:szCs w:val="21"/>
          <w:highlight w:val="none"/>
        </w:rPr>
        <w:t>月</w:t>
      </w:r>
      <w:r>
        <w:rPr>
          <w:color w:val="auto"/>
          <w:spacing w:val="-105"/>
          <w:sz w:val="21"/>
          <w:szCs w:val="21"/>
          <w:highlight w:val="none"/>
        </w:rPr>
        <w:t xml:space="preserve"> </w:t>
      </w:r>
      <w:r>
        <w:rPr>
          <w:color w:val="auto"/>
          <w:spacing w:val="13"/>
          <w:sz w:val="21"/>
          <w:szCs w:val="21"/>
          <w:highlight w:val="none"/>
          <w:u w:val="single" w:color="auto"/>
        </w:rPr>
        <w:t xml:space="preserve">        </w:t>
      </w:r>
      <w:r>
        <w:rPr>
          <w:color w:val="auto"/>
          <w:spacing w:val="-61"/>
          <w:sz w:val="21"/>
          <w:szCs w:val="21"/>
          <w:highlight w:val="none"/>
        </w:rPr>
        <w:t xml:space="preserve"> </w:t>
      </w:r>
      <w:r>
        <w:rPr>
          <w:color w:val="auto"/>
          <w:spacing w:val="-9"/>
          <w:sz w:val="21"/>
          <w:szCs w:val="21"/>
          <w:highlight w:val="none"/>
        </w:rPr>
        <w:t>日</w:t>
      </w:r>
      <w:r>
        <w:rPr>
          <w:color w:val="auto"/>
          <w:spacing w:val="12"/>
          <w:sz w:val="21"/>
          <w:szCs w:val="21"/>
          <w:highlight w:val="none"/>
          <w:u w:val="single" w:color="auto"/>
        </w:rPr>
        <w:t xml:space="preserve">        </w:t>
      </w:r>
      <w:r>
        <w:rPr>
          <w:color w:val="auto"/>
          <w:spacing w:val="-79"/>
          <w:sz w:val="21"/>
          <w:szCs w:val="21"/>
          <w:highlight w:val="none"/>
        </w:rPr>
        <w:t xml:space="preserve"> </w:t>
      </w:r>
      <w:r>
        <w:rPr>
          <w:color w:val="auto"/>
          <w:spacing w:val="-9"/>
          <w:sz w:val="21"/>
          <w:szCs w:val="21"/>
          <w:highlight w:val="none"/>
        </w:rPr>
        <w:t>时</w:t>
      </w:r>
      <w:r>
        <w:rPr>
          <w:color w:val="auto"/>
          <w:spacing w:val="12"/>
          <w:sz w:val="21"/>
          <w:szCs w:val="21"/>
          <w:highlight w:val="none"/>
          <w:u w:val="single" w:color="auto"/>
        </w:rPr>
        <w:t xml:space="preserve">        </w:t>
      </w:r>
      <w:r>
        <w:rPr>
          <w:color w:val="auto"/>
          <w:spacing w:val="-87"/>
          <w:sz w:val="21"/>
          <w:szCs w:val="21"/>
          <w:highlight w:val="none"/>
        </w:rPr>
        <w:t xml:space="preserve"> </w:t>
      </w:r>
      <w:r>
        <w:rPr>
          <w:color w:val="auto"/>
          <w:spacing w:val="-9"/>
          <w:sz w:val="21"/>
          <w:szCs w:val="21"/>
          <w:highlight w:val="none"/>
        </w:rPr>
        <w:t>分</w:t>
      </w:r>
    </w:p>
    <w:p>
      <w:pPr>
        <w:spacing w:line="132" w:lineRule="exact"/>
        <w:rPr>
          <w:color w:val="auto"/>
          <w:highlight w:val="none"/>
        </w:rPr>
      </w:pPr>
    </w:p>
    <w:tbl>
      <w:tblPr>
        <w:tblStyle w:val="109"/>
        <w:tblW w:w="875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6"/>
        <w:gridCol w:w="902"/>
        <w:gridCol w:w="1006"/>
        <w:gridCol w:w="1253"/>
        <w:gridCol w:w="1253"/>
        <w:gridCol w:w="1128"/>
        <w:gridCol w:w="876"/>
        <w:gridCol w:w="753"/>
        <w:gridCol w:w="101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9" w:hRule="atLeast"/>
        </w:trPr>
        <w:tc>
          <w:tcPr>
            <w:tcW w:w="576" w:type="dxa"/>
            <w:vAlign w:val="center"/>
          </w:tcPr>
          <w:p>
            <w:pPr>
              <w:pStyle w:val="110"/>
              <w:spacing w:before="58" w:line="221" w:lineRule="auto"/>
              <w:jc w:val="center"/>
              <w:rPr>
                <w:color w:val="auto"/>
                <w:sz w:val="18"/>
                <w:szCs w:val="18"/>
                <w:highlight w:val="none"/>
              </w:rPr>
            </w:pPr>
            <w:r>
              <w:rPr>
                <w:color w:val="auto"/>
                <w:spacing w:val="-2"/>
                <w:sz w:val="18"/>
                <w:szCs w:val="18"/>
                <w:highlight w:val="none"/>
              </w:rPr>
              <w:t>序号</w:t>
            </w:r>
          </w:p>
        </w:tc>
        <w:tc>
          <w:tcPr>
            <w:tcW w:w="902" w:type="dxa"/>
            <w:vAlign w:val="center"/>
          </w:tcPr>
          <w:p>
            <w:pPr>
              <w:pStyle w:val="110"/>
              <w:spacing w:before="58" w:line="220" w:lineRule="auto"/>
              <w:jc w:val="center"/>
              <w:rPr>
                <w:color w:val="auto"/>
                <w:sz w:val="18"/>
                <w:szCs w:val="18"/>
                <w:highlight w:val="none"/>
              </w:rPr>
            </w:pPr>
            <w:r>
              <w:rPr>
                <w:color w:val="auto"/>
                <w:spacing w:val="-3"/>
                <w:sz w:val="18"/>
                <w:szCs w:val="18"/>
                <w:highlight w:val="none"/>
              </w:rPr>
              <w:t>投标人</w:t>
            </w:r>
          </w:p>
        </w:tc>
        <w:tc>
          <w:tcPr>
            <w:tcW w:w="1006" w:type="dxa"/>
            <w:vAlign w:val="center"/>
          </w:tcPr>
          <w:p>
            <w:pPr>
              <w:pStyle w:val="110"/>
              <w:spacing w:before="58" w:line="220" w:lineRule="auto"/>
              <w:jc w:val="center"/>
              <w:rPr>
                <w:rFonts w:ascii="宋体" w:hAnsi="宋体" w:eastAsia="宋体" w:cs="宋体"/>
                <w:color w:val="auto"/>
                <w:spacing w:val="-2"/>
                <w:sz w:val="18"/>
                <w:szCs w:val="18"/>
                <w:highlight w:val="none"/>
              </w:rPr>
            </w:pPr>
            <w:r>
              <w:rPr>
                <w:rFonts w:hint="eastAsia" w:ascii="宋体" w:hAnsi="宋体" w:eastAsia="宋体" w:cs="宋体"/>
                <w:color w:val="auto"/>
                <w:spacing w:val="-2"/>
                <w:sz w:val="18"/>
                <w:szCs w:val="18"/>
                <w:highlight w:val="none"/>
              </w:rPr>
              <w:t>投标文件递交</w:t>
            </w:r>
          </w:p>
        </w:tc>
        <w:tc>
          <w:tcPr>
            <w:tcW w:w="1253" w:type="dxa"/>
            <w:vAlign w:val="center"/>
          </w:tcPr>
          <w:p>
            <w:pPr>
              <w:pStyle w:val="110"/>
              <w:spacing w:before="58" w:line="220" w:lineRule="auto"/>
              <w:jc w:val="center"/>
              <w:rPr>
                <w:rFonts w:ascii="宋体" w:hAnsi="宋体" w:eastAsia="宋体" w:cs="宋体"/>
                <w:color w:val="auto"/>
                <w:spacing w:val="-2"/>
                <w:sz w:val="18"/>
                <w:szCs w:val="18"/>
                <w:highlight w:val="none"/>
              </w:rPr>
            </w:pPr>
            <w:r>
              <w:rPr>
                <w:rFonts w:hint="eastAsia" w:ascii="宋体" w:hAnsi="宋体" w:eastAsia="宋体" w:cs="宋体"/>
                <w:color w:val="auto"/>
                <w:spacing w:val="-2"/>
                <w:sz w:val="18"/>
                <w:szCs w:val="18"/>
                <w:highlight w:val="none"/>
              </w:rPr>
              <w:t>解密情况</w:t>
            </w:r>
          </w:p>
        </w:tc>
        <w:tc>
          <w:tcPr>
            <w:tcW w:w="1253" w:type="dxa"/>
            <w:vAlign w:val="center"/>
          </w:tcPr>
          <w:p>
            <w:pPr>
              <w:pStyle w:val="110"/>
              <w:spacing w:before="58" w:line="220" w:lineRule="auto"/>
              <w:jc w:val="center"/>
              <w:rPr>
                <w:rFonts w:ascii="宋体" w:hAnsi="宋体" w:eastAsia="宋体" w:cs="宋体"/>
                <w:color w:val="auto"/>
                <w:spacing w:val="-2"/>
                <w:sz w:val="18"/>
                <w:szCs w:val="18"/>
                <w:highlight w:val="none"/>
              </w:rPr>
            </w:pPr>
            <w:r>
              <w:rPr>
                <w:rFonts w:ascii="宋体" w:hAnsi="宋体" w:eastAsia="宋体" w:cs="宋体"/>
                <w:color w:val="auto"/>
                <w:spacing w:val="-2"/>
                <w:sz w:val="18"/>
                <w:szCs w:val="18"/>
                <w:highlight w:val="none"/>
              </w:rPr>
              <w:t>投标保证金</w:t>
            </w:r>
          </w:p>
        </w:tc>
        <w:tc>
          <w:tcPr>
            <w:tcW w:w="1128" w:type="dxa"/>
            <w:vAlign w:val="center"/>
          </w:tcPr>
          <w:p>
            <w:pPr>
              <w:pStyle w:val="110"/>
              <w:spacing w:before="250" w:line="218" w:lineRule="auto"/>
              <w:jc w:val="center"/>
              <w:rPr>
                <w:color w:val="auto"/>
                <w:sz w:val="18"/>
                <w:szCs w:val="18"/>
                <w:highlight w:val="none"/>
              </w:rPr>
            </w:pPr>
            <w:r>
              <w:rPr>
                <w:color w:val="auto"/>
                <w:spacing w:val="-2"/>
                <w:sz w:val="18"/>
                <w:szCs w:val="18"/>
                <w:highlight w:val="none"/>
              </w:rPr>
              <w:t>投标报价</w:t>
            </w:r>
          </w:p>
          <w:p>
            <w:pPr>
              <w:pStyle w:val="110"/>
              <w:spacing w:before="289" w:line="220" w:lineRule="auto"/>
              <w:jc w:val="center"/>
              <w:rPr>
                <w:color w:val="auto"/>
                <w:sz w:val="18"/>
                <w:szCs w:val="18"/>
                <w:highlight w:val="none"/>
              </w:rPr>
            </w:pPr>
            <w:r>
              <w:rPr>
                <w:color w:val="auto"/>
                <w:spacing w:val="-5"/>
                <w:sz w:val="18"/>
                <w:szCs w:val="18"/>
                <w:highlight w:val="none"/>
              </w:rPr>
              <w:t>（万元）</w:t>
            </w:r>
          </w:p>
        </w:tc>
        <w:tc>
          <w:tcPr>
            <w:tcW w:w="876" w:type="dxa"/>
            <w:vAlign w:val="center"/>
          </w:tcPr>
          <w:p>
            <w:pPr>
              <w:pStyle w:val="110"/>
              <w:spacing w:before="59" w:line="219" w:lineRule="auto"/>
              <w:jc w:val="center"/>
              <w:rPr>
                <w:color w:val="auto"/>
                <w:sz w:val="18"/>
                <w:szCs w:val="18"/>
                <w:highlight w:val="none"/>
              </w:rPr>
            </w:pPr>
            <w:r>
              <w:rPr>
                <w:color w:val="auto"/>
                <w:spacing w:val="-3"/>
                <w:sz w:val="18"/>
                <w:szCs w:val="18"/>
                <w:highlight w:val="none"/>
              </w:rPr>
              <w:t>交货期</w:t>
            </w:r>
          </w:p>
        </w:tc>
        <w:tc>
          <w:tcPr>
            <w:tcW w:w="753" w:type="dxa"/>
            <w:vAlign w:val="center"/>
          </w:tcPr>
          <w:p>
            <w:pPr>
              <w:pStyle w:val="110"/>
              <w:spacing w:before="58" w:line="221" w:lineRule="auto"/>
              <w:jc w:val="center"/>
              <w:rPr>
                <w:color w:val="auto"/>
                <w:sz w:val="18"/>
                <w:szCs w:val="18"/>
                <w:highlight w:val="none"/>
              </w:rPr>
            </w:pPr>
            <w:r>
              <w:rPr>
                <w:color w:val="auto"/>
                <w:spacing w:val="-3"/>
                <w:sz w:val="18"/>
                <w:szCs w:val="18"/>
                <w:highlight w:val="none"/>
              </w:rPr>
              <w:t>备注</w:t>
            </w:r>
          </w:p>
        </w:tc>
        <w:tc>
          <w:tcPr>
            <w:tcW w:w="1012" w:type="dxa"/>
            <w:vAlign w:val="center"/>
          </w:tcPr>
          <w:p>
            <w:pPr>
              <w:pStyle w:val="110"/>
              <w:spacing w:before="250" w:line="220" w:lineRule="auto"/>
              <w:jc w:val="center"/>
              <w:rPr>
                <w:color w:val="auto"/>
                <w:sz w:val="18"/>
                <w:szCs w:val="18"/>
                <w:highlight w:val="none"/>
              </w:rPr>
            </w:pPr>
            <w:r>
              <w:rPr>
                <w:color w:val="auto"/>
                <w:spacing w:val="-2"/>
                <w:sz w:val="18"/>
                <w:szCs w:val="18"/>
                <w:highlight w:val="none"/>
              </w:rPr>
              <w:t>投标人代表</w:t>
            </w:r>
          </w:p>
          <w:p>
            <w:pPr>
              <w:pStyle w:val="110"/>
              <w:spacing w:before="287" w:line="223" w:lineRule="auto"/>
              <w:jc w:val="center"/>
              <w:rPr>
                <w:color w:val="auto"/>
                <w:sz w:val="18"/>
                <w:szCs w:val="18"/>
                <w:highlight w:val="none"/>
              </w:rPr>
            </w:pPr>
            <w:r>
              <w:rPr>
                <w:color w:val="auto"/>
                <w:spacing w:val="-2"/>
                <w:sz w:val="18"/>
                <w:szCs w:val="18"/>
                <w:highlight w:val="none"/>
              </w:rPr>
              <w:t>签名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576" w:type="dxa"/>
            <w:vAlign w:val="top"/>
          </w:tcPr>
          <w:p>
            <w:pPr>
              <w:rPr>
                <w:rFonts w:ascii="Arial"/>
                <w:color w:val="auto"/>
                <w:sz w:val="21"/>
                <w:highlight w:val="none"/>
              </w:rPr>
            </w:pPr>
          </w:p>
        </w:tc>
        <w:tc>
          <w:tcPr>
            <w:tcW w:w="902" w:type="dxa"/>
            <w:vAlign w:val="top"/>
          </w:tcPr>
          <w:p>
            <w:pPr>
              <w:rPr>
                <w:rFonts w:ascii="Arial"/>
                <w:color w:val="auto"/>
                <w:sz w:val="21"/>
                <w:highlight w:val="none"/>
              </w:rPr>
            </w:pPr>
          </w:p>
        </w:tc>
        <w:tc>
          <w:tcPr>
            <w:tcW w:w="1006" w:type="dxa"/>
            <w:vAlign w:val="top"/>
          </w:tcPr>
          <w:p>
            <w:pPr>
              <w:rPr>
                <w:rFonts w:ascii="Arial"/>
                <w:color w:val="auto"/>
                <w:sz w:val="21"/>
                <w:highlight w:val="none"/>
              </w:rPr>
            </w:pPr>
          </w:p>
        </w:tc>
        <w:tc>
          <w:tcPr>
            <w:tcW w:w="1253" w:type="dxa"/>
            <w:vAlign w:val="top"/>
          </w:tcPr>
          <w:p>
            <w:pPr>
              <w:rPr>
                <w:rFonts w:ascii="Arial"/>
                <w:color w:val="auto"/>
                <w:sz w:val="21"/>
                <w:highlight w:val="none"/>
              </w:rPr>
            </w:pPr>
          </w:p>
        </w:tc>
        <w:tc>
          <w:tcPr>
            <w:tcW w:w="1253" w:type="dxa"/>
            <w:vAlign w:val="top"/>
          </w:tcPr>
          <w:p>
            <w:pPr>
              <w:rPr>
                <w:rFonts w:ascii="Arial"/>
                <w:color w:val="auto"/>
                <w:sz w:val="21"/>
                <w:highlight w:val="none"/>
              </w:rPr>
            </w:pPr>
          </w:p>
        </w:tc>
        <w:tc>
          <w:tcPr>
            <w:tcW w:w="1128" w:type="dxa"/>
            <w:vAlign w:val="top"/>
          </w:tcPr>
          <w:p>
            <w:pPr>
              <w:rPr>
                <w:rFonts w:ascii="Arial"/>
                <w:color w:val="auto"/>
                <w:sz w:val="21"/>
                <w:highlight w:val="none"/>
              </w:rPr>
            </w:pPr>
          </w:p>
        </w:tc>
        <w:tc>
          <w:tcPr>
            <w:tcW w:w="876" w:type="dxa"/>
            <w:vAlign w:val="top"/>
          </w:tcPr>
          <w:p>
            <w:pPr>
              <w:rPr>
                <w:rFonts w:ascii="Arial"/>
                <w:color w:val="auto"/>
                <w:sz w:val="21"/>
                <w:highlight w:val="none"/>
              </w:rPr>
            </w:pPr>
          </w:p>
        </w:tc>
        <w:tc>
          <w:tcPr>
            <w:tcW w:w="753" w:type="dxa"/>
            <w:vAlign w:val="top"/>
          </w:tcPr>
          <w:p>
            <w:pPr>
              <w:rPr>
                <w:rFonts w:ascii="Arial"/>
                <w:color w:val="auto"/>
                <w:sz w:val="21"/>
                <w:highlight w:val="none"/>
              </w:rPr>
            </w:pPr>
          </w:p>
        </w:tc>
        <w:tc>
          <w:tcPr>
            <w:tcW w:w="1012"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576" w:type="dxa"/>
            <w:vAlign w:val="top"/>
          </w:tcPr>
          <w:p>
            <w:pPr>
              <w:rPr>
                <w:rFonts w:ascii="Arial"/>
                <w:color w:val="auto"/>
                <w:sz w:val="21"/>
                <w:highlight w:val="none"/>
              </w:rPr>
            </w:pPr>
          </w:p>
        </w:tc>
        <w:tc>
          <w:tcPr>
            <w:tcW w:w="902" w:type="dxa"/>
            <w:vAlign w:val="top"/>
          </w:tcPr>
          <w:p>
            <w:pPr>
              <w:rPr>
                <w:rFonts w:ascii="Arial"/>
                <w:color w:val="auto"/>
                <w:sz w:val="21"/>
                <w:highlight w:val="none"/>
              </w:rPr>
            </w:pPr>
          </w:p>
        </w:tc>
        <w:tc>
          <w:tcPr>
            <w:tcW w:w="1006" w:type="dxa"/>
            <w:vAlign w:val="top"/>
          </w:tcPr>
          <w:p>
            <w:pPr>
              <w:rPr>
                <w:rFonts w:ascii="Arial"/>
                <w:color w:val="auto"/>
                <w:sz w:val="21"/>
                <w:highlight w:val="none"/>
              </w:rPr>
            </w:pPr>
          </w:p>
        </w:tc>
        <w:tc>
          <w:tcPr>
            <w:tcW w:w="1253" w:type="dxa"/>
            <w:vAlign w:val="top"/>
          </w:tcPr>
          <w:p>
            <w:pPr>
              <w:rPr>
                <w:rFonts w:ascii="Arial"/>
                <w:color w:val="auto"/>
                <w:sz w:val="21"/>
                <w:highlight w:val="none"/>
              </w:rPr>
            </w:pPr>
          </w:p>
        </w:tc>
        <w:tc>
          <w:tcPr>
            <w:tcW w:w="1253" w:type="dxa"/>
            <w:vAlign w:val="top"/>
          </w:tcPr>
          <w:p>
            <w:pPr>
              <w:rPr>
                <w:rFonts w:ascii="Arial"/>
                <w:color w:val="auto"/>
                <w:sz w:val="21"/>
                <w:highlight w:val="none"/>
              </w:rPr>
            </w:pPr>
          </w:p>
        </w:tc>
        <w:tc>
          <w:tcPr>
            <w:tcW w:w="1128" w:type="dxa"/>
            <w:vAlign w:val="top"/>
          </w:tcPr>
          <w:p>
            <w:pPr>
              <w:rPr>
                <w:rFonts w:ascii="Arial"/>
                <w:color w:val="auto"/>
                <w:sz w:val="21"/>
                <w:highlight w:val="none"/>
              </w:rPr>
            </w:pPr>
          </w:p>
        </w:tc>
        <w:tc>
          <w:tcPr>
            <w:tcW w:w="876" w:type="dxa"/>
            <w:vAlign w:val="top"/>
          </w:tcPr>
          <w:p>
            <w:pPr>
              <w:rPr>
                <w:rFonts w:ascii="Arial"/>
                <w:color w:val="auto"/>
                <w:sz w:val="21"/>
                <w:highlight w:val="none"/>
              </w:rPr>
            </w:pPr>
          </w:p>
        </w:tc>
        <w:tc>
          <w:tcPr>
            <w:tcW w:w="753" w:type="dxa"/>
            <w:vAlign w:val="top"/>
          </w:tcPr>
          <w:p>
            <w:pPr>
              <w:rPr>
                <w:rFonts w:ascii="Arial"/>
                <w:color w:val="auto"/>
                <w:sz w:val="21"/>
                <w:highlight w:val="none"/>
              </w:rPr>
            </w:pPr>
          </w:p>
        </w:tc>
        <w:tc>
          <w:tcPr>
            <w:tcW w:w="1012"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576" w:type="dxa"/>
            <w:vAlign w:val="top"/>
          </w:tcPr>
          <w:p>
            <w:pPr>
              <w:rPr>
                <w:rFonts w:ascii="Arial"/>
                <w:color w:val="auto"/>
                <w:sz w:val="21"/>
                <w:highlight w:val="none"/>
              </w:rPr>
            </w:pPr>
          </w:p>
        </w:tc>
        <w:tc>
          <w:tcPr>
            <w:tcW w:w="902" w:type="dxa"/>
            <w:vAlign w:val="top"/>
          </w:tcPr>
          <w:p>
            <w:pPr>
              <w:rPr>
                <w:rFonts w:ascii="Arial"/>
                <w:color w:val="auto"/>
                <w:sz w:val="21"/>
                <w:highlight w:val="none"/>
              </w:rPr>
            </w:pPr>
          </w:p>
        </w:tc>
        <w:tc>
          <w:tcPr>
            <w:tcW w:w="1006" w:type="dxa"/>
            <w:vAlign w:val="top"/>
          </w:tcPr>
          <w:p>
            <w:pPr>
              <w:rPr>
                <w:rFonts w:ascii="Arial"/>
                <w:color w:val="auto"/>
                <w:sz w:val="21"/>
                <w:highlight w:val="none"/>
              </w:rPr>
            </w:pPr>
          </w:p>
        </w:tc>
        <w:tc>
          <w:tcPr>
            <w:tcW w:w="1253" w:type="dxa"/>
            <w:vAlign w:val="top"/>
          </w:tcPr>
          <w:p>
            <w:pPr>
              <w:rPr>
                <w:rFonts w:ascii="Arial"/>
                <w:color w:val="auto"/>
                <w:sz w:val="21"/>
                <w:highlight w:val="none"/>
              </w:rPr>
            </w:pPr>
          </w:p>
        </w:tc>
        <w:tc>
          <w:tcPr>
            <w:tcW w:w="1253" w:type="dxa"/>
            <w:vAlign w:val="top"/>
          </w:tcPr>
          <w:p>
            <w:pPr>
              <w:rPr>
                <w:rFonts w:ascii="Arial"/>
                <w:color w:val="auto"/>
                <w:sz w:val="21"/>
                <w:highlight w:val="none"/>
              </w:rPr>
            </w:pPr>
          </w:p>
        </w:tc>
        <w:tc>
          <w:tcPr>
            <w:tcW w:w="1128" w:type="dxa"/>
            <w:vAlign w:val="top"/>
          </w:tcPr>
          <w:p>
            <w:pPr>
              <w:rPr>
                <w:rFonts w:ascii="Arial"/>
                <w:color w:val="auto"/>
                <w:sz w:val="21"/>
                <w:highlight w:val="none"/>
              </w:rPr>
            </w:pPr>
          </w:p>
        </w:tc>
        <w:tc>
          <w:tcPr>
            <w:tcW w:w="876" w:type="dxa"/>
            <w:vAlign w:val="top"/>
          </w:tcPr>
          <w:p>
            <w:pPr>
              <w:rPr>
                <w:rFonts w:ascii="Arial"/>
                <w:color w:val="auto"/>
                <w:sz w:val="21"/>
                <w:highlight w:val="none"/>
              </w:rPr>
            </w:pPr>
          </w:p>
        </w:tc>
        <w:tc>
          <w:tcPr>
            <w:tcW w:w="753" w:type="dxa"/>
            <w:vAlign w:val="top"/>
          </w:tcPr>
          <w:p>
            <w:pPr>
              <w:rPr>
                <w:rFonts w:ascii="Arial"/>
                <w:color w:val="auto"/>
                <w:sz w:val="21"/>
                <w:highlight w:val="none"/>
              </w:rPr>
            </w:pPr>
          </w:p>
        </w:tc>
        <w:tc>
          <w:tcPr>
            <w:tcW w:w="1012"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576" w:type="dxa"/>
            <w:vAlign w:val="top"/>
          </w:tcPr>
          <w:p>
            <w:pPr>
              <w:rPr>
                <w:rFonts w:ascii="Arial"/>
                <w:color w:val="auto"/>
                <w:sz w:val="21"/>
                <w:highlight w:val="none"/>
              </w:rPr>
            </w:pPr>
          </w:p>
        </w:tc>
        <w:tc>
          <w:tcPr>
            <w:tcW w:w="902" w:type="dxa"/>
            <w:vAlign w:val="top"/>
          </w:tcPr>
          <w:p>
            <w:pPr>
              <w:rPr>
                <w:rFonts w:ascii="Arial"/>
                <w:color w:val="auto"/>
                <w:sz w:val="21"/>
                <w:highlight w:val="none"/>
              </w:rPr>
            </w:pPr>
          </w:p>
        </w:tc>
        <w:tc>
          <w:tcPr>
            <w:tcW w:w="1006" w:type="dxa"/>
            <w:vAlign w:val="top"/>
          </w:tcPr>
          <w:p>
            <w:pPr>
              <w:rPr>
                <w:rFonts w:ascii="Arial"/>
                <w:color w:val="auto"/>
                <w:sz w:val="21"/>
                <w:highlight w:val="none"/>
              </w:rPr>
            </w:pPr>
          </w:p>
        </w:tc>
        <w:tc>
          <w:tcPr>
            <w:tcW w:w="1253" w:type="dxa"/>
            <w:vAlign w:val="top"/>
          </w:tcPr>
          <w:p>
            <w:pPr>
              <w:rPr>
                <w:rFonts w:ascii="Arial"/>
                <w:color w:val="auto"/>
                <w:sz w:val="21"/>
                <w:highlight w:val="none"/>
              </w:rPr>
            </w:pPr>
          </w:p>
        </w:tc>
        <w:tc>
          <w:tcPr>
            <w:tcW w:w="1253" w:type="dxa"/>
            <w:vAlign w:val="top"/>
          </w:tcPr>
          <w:p>
            <w:pPr>
              <w:rPr>
                <w:rFonts w:ascii="Arial"/>
                <w:color w:val="auto"/>
                <w:sz w:val="21"/>
                <w:highlight w:val="none"/>
              </w:rPr>
            </w:pPr>
          </w:p>
        </w:tc>
        <w:tc>
          <w:tcPr>
            <w:tcW w:w="1128" w:type="dxa"/>
            <w:vAlign w:val="top"/>
          </w:tcPr>
          <w:p>
            <w:pPr>
              <w:rPr>
                <w:rFonts w:ascii="Arial"/>
                <w:color w:val="auto"/>
                <w:sz w:val="21"/>
                <w:highlight w:val="none"/>
              </w:rPr>
            </w:pPr>
          </w:p>
        </w:tc>
        <w:tc>
          <w:tcPr>
            <w:tcW w:w="876" w:type="dxa"/>
            <w:vAlign w:val="top"/>
          </w:tcPr>
          <w:p>
            <w:pPr>
              <w:rPr>
                <w:rFonts w:ascii="Arial"/>
                <w:color w:val="auto"/>
                <w:sz w:val="21"/>
                <w:highlight w:val="none"/>
              </w:rPr>
            </w:pPr>
          </w:p>
        </w:tc>
        <w:tc>
          <w:tcPr>
            <w:tcW w:w="753" w:type="dxa"/>
            <w:vAlign w:val="top"/>
          </w:tcPr>
          <w:p>
            <w:pPr>
              <w:rPr>
                <w:rFonts w:ascii="Arial"/>
                <w:color w:val="auto"/>
                <w:sz w:val="21"/>
                <w:highlight w:val="none"/>
              </w:rPr>
            </w:pPr>
          </w:p>
        </w:tc>
        <w:tc>
          <w:tcPr>
            <w:tcW w:w="1012"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576" w:type="dxa"/>
            <w:vAlign w:val="top"/>
          </w:tcPr>
          <w:p>
            <w:pPr>
              <w:rPr>
                <w:rFonts w:ascii="Arial"/>
                <w:color w:val="auto"/>
                <w:sz w:val="21"/>
                <w:highlight w:val="none"/>
              </w:rPr>
            </w:pPr>
          </w:p>
        </w:tc>
        <w:tc>
          <w:tcPr>
            <w:tcW w:w="902" w:type="dxa"/>
            <w:vAlign w:val="top"/>
          </w:tcPr>
          <w:p>
            <w:pPr>
              <w:rPr>
                <w:rFonts w:ascii="Arial"/>
                <w:color w:val="auto"/>
                <w:sz w:val="21"/>
                <w:highlight w:val="none"/>
              </w:rPr>
            </w:pPr>
          </w:p>
        </w:tc>
        <w:tc>
          <w:tcPr>
            <w:tcW w:w="1006" w:type="dxa"/>
            <w:vAlign w:val="top"/>
          </w:tcPr>
          <w:p>
            <w:pPr>
              <w:rPr>
                <w:rFonts w:ascii="Arial"/>
                <w:color w:val="auto"/>
                <w:sz w:val="21"/>
                <w:highlight w:val="none"/>
              </w:rPr>
            </w:pPr>
          </w:p>
        </w:tc>
        <w:tc>
          <w:tcPr>
            <w:tcW w:w="1253" w:type="dxa"/>
            <w:vAlign w:val="top"/>
          </w:tcPr>
          <w:p>
            <w:pPr>
              <w:rPr>
                <w:rFonts w:ascii="Arial"/>
                <w:color w:val="auto"/>
                <w:sz w:val="21"/>
                <w:highlight w:val="none"/>
              </w:rPr>
            </w:pPr>
          </w:p>
        </w:tc>
        <w:tc>
          <w:tcPr>
            <w:tcW w:w="1253" w:type="dxa"/>
            <w:vAlign w:val="top"/>
          </w:tcPr>
          <w:p>
            <w:pPr>
              <w:rPr>
                <w:rFonts w:ascii="Arial"/>
                <w:color w:val="auto"/>
                <w:sz w:val="21"/>
                <w:highlight w:val="none"/>
              </w:rPr>
            </w:pPr>
          </w:p>
        </w:tc>
        <w:tc>
          <w:tcPr>
            <w:tcW w:w="1128" w:type="dxa"/>
            <w:vAlign w:val="top"/>
          </w:tcPr>
          <w:p>
            <w:pPr>
              <w:rPr>
                <w:rFonts w:ascii="Arial"/>
                <w:color w:val="auto"/>
                <w:sz w:val="21"/>
                <w:highlight w:val="none"/>
              </w:rPr>
            </w:pPr>
          </w:p>
        </w:tc>
        <w:tc>
          <w:tcPr>
            <w:tcW w:w="876" w:type="dxa"/>
            <w:vAlign w:val="top"/>
          </w:tcPr>
          <w:p>
            <w:pPr>
              <w:rPr>
                <w:rFonts w:ascii="Arial"/>
                <w:color w:val="auto"/>
                <w:sz w:val="21"/>
                <w:highlight w:val="none"/>
              </w:rPr>
            </w:pPr>
          </w:p>
        </w:tc>
        <w:tc>
          <w:tcPr>
            <w:tcW w:w="753" w:type="dxa"/>
            <w:vAlign w:val="top"/>
          </w:tcPr>
          <w:p>
            <w:pPr>
              <w:rPr>
                <w:rFonts w:ascii="Arial"/>
                <w:color w:val="auto"/>
                <w:sz w:val="21"/>
                <w:highlight w:val="none"/>
              </w:rPr>
            </w:pPr>
          </w:p>
        </w:tc>
        <w:tc>
          <w:tcPr>
            <w:tcW w:w="1012"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576" w:type="dxa"/>
            <w:vAlign w:val="top"/>
          </w:tcPr>
          <w:p>
            <w:pPr>
              <w:rPr>
                <w:rFonts w:ascii="Arial"/>
                <w:color w:val="auto"/>
                <w:sz w:val="21"/>
                <w:highlight w:val="none"/>
              </w:rPr>
            </w:pPr>
          </w:p>
        </w:tc>
        <w:tc>
          <w:tcPr>
            <w:tcW w:w="902" w:type="dxa"/>
            <w:vAlign w:val="top"/>
          </w:tcPr>
          <w:p>
            <w:pPr>
              <w:rPr>
                <w:rFonts w:ascii="Arial"/>
                <w:color w:val="auto"/>
                <w:sz w:val="21"/>
                <w:highlight w:val="none"/>
              </w:rPr>
            </w:pPr>
          </w:p>
        </w:tc>
        <w:tc>
          <w:tcPr>
            <w:tcW w:w="1006" w:type="dxa"/>
            <w:vAlign w:val="top"/>
          </w:tcPr>
          <w:p>
            <w:pPr>
              <w:rPr>
                <w:rFonts w:ascii="Arial"/>
                <w:color w:val="auto"/>
                <w:sz w:val="21"/>
                <w:highlight w:val="none"/>
              </w:rPr>
            </w:pPr>
          </w:p>
        </w:tc>
        <w:tc>
          <w:tcPr>
            <w:tcW w:w="1253" w:type="dxa"/>
            <w:vAlign w:val="top"/>
          </w:tcPr>
          <w:p>
            <w:pPr>
              <w:rPr>
                <w:rFonts w:ascii="Arial"/>
                <w:color w:val="auto"/>
                <w:sz w:val="21"/>
                <w:highlight w:val="none"/>
              </w:rPr>
            </w:pPr>
          </w:p>
        </w:tc>
        <w:tc>
          <w:tcPr>
            <w:tcW w:w="1253" w:type="dxa"/>
            <w:vAlign w:val="top"/>
          </w:tcPr>
          <w:p>
            <w:pPr>
              <w:rPr>
                <w:rFonts w:ascii="Arial"/>
                <w:color w:val="auto"/>
                <w:sz w:val="21"/>
                <w:highlight w:val="none"/>
              </w:rPr>
            </w:pPr>
          </w:p>
        </w:tc>
        <w:tc>
          <w:tcPr>
            <w:tcW w:w="1128" w:type="dxa"/>
            <w:vAlign w:val="top"/>
          </w:tcPr>
          <w:p>
            <w:pPr>
              <w:rPr>
                <w:rFonts w:ascii="Arial"/>
                <w:color w:val="auto"/>
                <w:sz w:val="21"/>
                <w:highlight w:val="none"/>
              </w:rPr>
            </w:pPr>
          </w:p>
        </w:tc>
        <w:tc>
          <w:tcPr>
            <w:tcW w:w="876" w:type="dxa"/>
            <w:vAlign w:val="top"/>
          </w:tcPr>
          <w:p>
            <w:pPr>
              <w:rPr>
                <w:rFonts w:ascii="Arial"/>
                <w:color w:val="auto"/>
                <w:sz w:val="21"/>
                <w:highlight w:val="none"/>
              </w:rPr>
            </w:pPr>
          </w:p>
        </w:tc>
        <w:tc>
          <w:tcPr>
            <w:tcW w:w="753" w:type="dxa"/>
            <w:vAlign w:val="top"/>
          </w:tcPr>
          <w:p>
            <w:pPr>
              <w:rPr>
                <w:rFonts w:ascii="Arial"/>
                <w:color w:val="auto"/>
                <w:sz w:val="21"/>
                <w:highlight w:val="none"/>
              </w:rPr>
            </w:pPr>
          </w:p>
        </w:tc>
        <w:tc>
          <w:tcPr>
            <w:tcW w:w="1012"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576" w:type="dxa"/>
            <w:vAlign w:val="top"/>
          </w:tcPr>
          <w:p>
            <w:pPr>
              <w:rPr>
                <w:rFonts w:ascii="Arial"/>
                <w:color w:val="auto"/>
                <w:sz w:val="21"/>
                <w:highlight w:val="none"/>
              </w:rPr>
            </w:pPr>
          </w:p>
        </w:tc>
        <w:tc>
          <w:tcPr>
            <w:tcW w:w="902" w:type="dxa"/>
            <w:vAlign w:val="top"/>
          </w:tcPr>
          <w:p>
            <w:pPr>
              <w:rPr>
                <w:rFonts w:ascii="Arial"/>
                <w:color w:val="auto"/>
                <w:sz w:val="21"/>
                <w:highlight w:val="none"/>
              </w:rPr>
            </w:pPr>
          </w:p>
        </w:tc>
        <w:tc>
          <w:tcPr>
            <w:tcW w:w="1006" w:type="dxa"/>
            <w:vAlign w:val="top"/>
          </w:tcPr>
          <w:p>
            <w:pPr>
              <w:rPr>
                <w:rFonts w:ascii="Arial"/>
                <w:color w:val="auto"/>
                <w:sz w:val="21"/>
                <w:highlight w:val="none"/>
              </w:rPr>
            </w:pPr>
          </w:p>
        </w:tc>
        <w:tc>
          <w:tcPr>
            <w:tcW w:w="1253" w:type="dxa"/>
            <w:vAlign w:val="top"/>
          </w:tcPr>
          <w:p>
            <w:pPr>
              <w:rPr>
                <w:rFonts w:ascii="Arial"/>
                <w:color w:val="auto"/>
                <w:sz w:val="21"/>
                <w:highlight w:val="none"/>
              </w:rPr>
            </w:pPr>
          </w:p>
        </w:tc>
        <w:tc>
          <w:tcPr>
            <w:tcW w:w="1253" w:type="dxa"/>
            <w:vAlign w:val="top"/>
          </w:tcPr>
          <w:p>
            <w:pPr>
              <w:rPr>
                <w:rFonts w:ascii="Arial"/>
                <w:color w:val="auto"/>
                <w:sz w:val="21"/>
                <w:highlight w:val="none"/>
              </w:rPr>
            </w:pPr>
          </w:p>
        </w:tc>
        <w:tc>
          <w:tcPr>
            <w:tcW w:w="1128" w:type="dxa"/>
            <w:vAlign w:val="top"/>
          </w:tcPr>
          <w:p>
            <w:pPr>
              <w:rPr>
                <w:rFonts w:ascii="Arial"/>
                <w:color w:val="auto"/>
                <w:sz w:val="21"/>
                <w:highlight w:val="none"/>
              </w:rPr>
            </w:pPr>
          </w:p>
        </w:tc>
        <w:tc>
          <w:tcPr>
            <w:tcW w:w="876" w:type="dxa"/>
            <w:vAlign w:val="top"/>
          </w:tcPr>
          <w:p>
            <w:pPr>
              <w:rPr>
                <w:rFonts w:ascii="Arial"/>
                <w:color w:val="auto"/>
                <w:sz w:val="21"/>
                <w:highlight w:val="none"/>
              </w:rPr>
            </w:pPr>
          </w:p>
        </w:tc>
        <w:tc>
          <w:tcPr>
            <w:tcW w:w="753" w:type="dxa"/>
            <w:vAlign w:val="top"/>
          </w:tcPr>
          <w:p>
            <w:pPr>
              <w:rPr>
                <w:rFonts w:ascii="Arial"/>
                <w:color w:val="auto"/>
                <w:sz w:val="21"/>
                <w:highlight w:val="none"/>
              </w:rPr>
            </w:pPr>
          </w:p>
        </w:tc>
        <w:tc>
          <w:tcPr>
            <w:tcW w:w="1012"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576" w:type="dxa"/>
            <w:vAlign w:val="top"/>
          </w:tcPr>
          <w:p>
            <w:pPr>
              <w:rPr>
                <w:rFonts w:ascii="Arial"/>
                <w:color w:val="auto"/>
                <w:sz w:val="21"/>
                <w:highlight w:val="none"/>
              </w:rPr>
            </w:pPr>
          </w:p>
        </w:tc>
        <w:tc>
          <w:tcPr>
            <w:tcW w:w="902" w:type="dxa"/>
            <w:vAlign w:val="top"/>
          </w:tcPr>
          <w:p>
            <w:pPr>
              <w:rPr>
                <w:rFonts w:ascii="Arial"/>
                <w:color w:val="auto"/>
                <w:sz w:val="21"/>
                <w:highlight w:val="none"/>
              </w:rPr>
            </w:pPr>
          </w:p>
        </w:tc>
        <w:tc>
          <w:tcPr>
            <w:tcW w:w="1006" w:type="dxa"/>
            <w:vAlign w:val="top"/>
          </w:tcPr>
          <w:p>
            <w:pPr>
              <w:rPr>
                <w:rFonts w:ascii="Arial"/>
                <w:color w:val="auto"/>
                <w:sz w:val="21"/>
                <w:highlight w:val="none"/>
              </w:rPr>
            </w:pPr>
          </w:p>
        </w:tc>
        <w:tc>
          <w:tcPr>
            <w:tcW w:w="1253" w:type="dxa"/>
            <w:vAlign w:val="top"/>
          </w:tcPr>
          <w:p>
            <w:pPr>
              <w:rPr>
                <w:rFonts w:ascii="Arial"/>
                <w:color w:val="auto"/>
                <w:sz w:val="21"/>
                <w:highlight w:val="none"/>
              </w:rPr>
            </w:pPr>
          </w:p>
        </w:tc>
        <w:tc>
          <w:tcPr>
            <w:tcW w:w="1253" w:type="dxa"/>
            <w:vAlign w:val="top"/>
          </w:tcPr>
          <w:p>
            <w:pPr>
              <w:rPr>
                <w:rFonts w:ascii="Arial"/>
                <w:color w:val="auto"/>
                <w:sz w:val="21"/>
                <w:highlight w:val="none"/>
              </w:rPr>
            </w:pPr>
          </w:p>
        </w:tc>
        <w:tc>
          <w:tcPr>
            <w:tcW w:w="1128" w:type="dxa"/>
            <w:vAlign w:val="top"/>
          </w:tcPr>
          <w:p>
            <w:pPr>
              <w:rPr>
                <w:rFonts w:ascii="Arial"/>
                <w:color w:val="auto"/>
                <w:sz w:val="21"/>
                <w:highlight w:val="none"/>
              </w:rPr>
            </w:pPr>
          </w:p>
        </w:tc>
        <w:tc>
          <w:tcPr>
            <w:tcW w:w="876" w:type="dxa"/>
            <w:vAlign w:val="top"/>
          </w:tcPr>
          <w:p>
            <w:pPr>
              <w:rPr>
                <w:rFonts w:ascii="Arial"/>
                <w:color w:val="auto"/>
                <w:sz w:val="21"/>
                <w:highlight w:val="none"/>
              </w:rPr>
            </w:pPr>
          </w:p>
        </w:tc>
        <w:tc>
          <w:tcPr>
            <w:tcW w:w="753" w:type="dxa"/>
            <w:vAlign w:val="top"/>
          </w:tcPr>
          <w:p>
            <w:pPr>
              <w:rPr>
                <w:rFonts w:ascii="Arial"/>
                <w:color w:val="auto"/>
                <w:sz w:val="21"/>
                <w:highlight w:val="none"/>
              </w:rPr>
            </w:pPr>
          </w:p>
        </w:tc>
        <w:tc>
          <w:tcPr>
            <w:tcW w:w="1012"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576" w:type="dxa"/>
            <w:vAlign w:val="top"/>
          </w:tcPr>
          <w:p>
            <w:pPr>
              <w:rPr>
                <w:rFonts w:ascii="Arial"/>
                <w:color w:val="auto"/>
                <w:sz w:val="21"/>
                <w:highlight w:val="none"/>
              </w:rPr>
            </w:pPr>
          </w:p>
        </w:tc>
        <w:tc>
          <w:tcPr>
            <w:tcW w:w="902" w:type="dxa"/>
            <w:vAlign w:val="top"/>
          </w:tcPr>
          <w:p>
            <w:pPr>
              <w:rPr>
                <w:rFonts w:ascii="Arial"/>
                <w:color w:val="auto"/>
                <w:sz w:val="21"/>
                <w:highlight w:val="none"/>
              </w:rPr>
            </w:pPr>
          </w:p>
        </w:tc>
        <w:tc>
          <w:tcPr>
            <w:tcW w:w="1006" w:type="dxa"/>
            <w:vAlign w:val="top"/>
          </w:tcPr>
          <w:p>
            <w:pPr>
              <w:rPr>
                <w:rFonts w:ascii="Arial"/>
                <w:color w:val="auto"/>
                <w:sz w:val="21"/>
                <w:highlight w:val="none"/>
              </w:rPr>
            </w:pPr>
          </w:p>
        </w:tc>
        <w:tc>
          <w:tcPr>
            <w:tcW w:w="1253" w:type="dxa"/>
            <w:vAlign w:val="top"/>
          </w:tcPr>
          <w:p>
            <w:pPr>
              <w:rPr>
                <w:rFonts w:ascii="Arial"/>
                <w:color w:val="auto"/>
                <w:sz w:val="21"/>
                <w:highlight w:val="none"/>
              </w:rPr>
            </w:pPr>
          </w:p>
        </w:tc>
        <w:tc>
          <w:tcPr>
            <w:tcW w:w="1253" w:type="dxa"/>
            <w:vAlign w:val="top"/>
          </w:tcPr>
          <w:p>
            <w:pPr>
              <w:rPr>
                <w:rFonts w:ascii="Arial"/>
                <w:color w:val="auto"/>
                <w:sz w:val="21"/>
                <w:highlight w:val="none"/>
              </w:rPr>
            </w:pPr>
          </w:p>
        </w:tc>
        <w:tc>
          <w:tcPr>
            <w:tcW w:w="1128" w:type="dxa"/>
            <w:vAlign w:val="top"/>
          </w:tcPr>
          <w:p>
            <w:pPr>
              <w:rPr>
                <w:rFonts w:ascii="Arial"/>
                <w:color w:val="auto"/>
                <w:sz w:val="21"/>
                <w:highlight w:val="none"/>
              </w:rPr>
            </w:pPr>
          </w:p>
        </w:tc>
        <w:tc>
          <w:tcPr>
            <w:tcW w:w="876" w:type="dxa"/>
            <w:vAlign w:val="top"/>
          </w:tcPr>
          <w:p>
            <w:pPr>
              <w:rPr>
                <w:rFonts w:ascii="Arial"/>
                <w:color w:val="auto"/>
                <w:sz w:val="21"/>
                <w:highlight w:val="none"/>
              </w:rPr>
            </w:pPr>
          </w:p>
        </w:tc>
        <w:tc>
          <w:tcPr>
            <w:tcW w:w="753" w:type="dxa"/>
            <w:vAlign w:val="top"/>
          </w:tcPr>
          <w:p>
            <w:pPr>
              <w:rPr>
                <w:rFonts w:ascii="Arial"/>
                <w:color w:val="auto"/>
                <w:sz w:val="21"/>
                <w:highlight w:val="none"/>
              </w:rPr>
            </w:pPr>
          </w:p>
        </w:tc>
        <w:tc>
          <w:tcPr>
            <w:tcW w:w="1012"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576" w:type="dxa"/>
            <w:vAlign w:val="top"/>
          </w:tcPr>
          <w:p>
            <w:pPr>
              <w:rPr>
                <w:rFonts w:ascii="Arial"/>
                <w:color w:val="auto"/>
                <w:sz w:val="21"/>
                <w:highlight w:val="none"/>
              </w:rPr>
            </w:pPr>
          </w:p>
        </w:tc>
        <w:tc>
          <w:tcPr>
            <w:tcW w:w="902" w:type="dxa"/>
            <w:vAlign w:val="top"/>
          </w:tcPr>
          <w:p>
            <w:pPr>
              <w:rPr>
                <w:rFonts w:ascii="Arial"/>
                <w:color w:val="auto"/>
                <w:sz w:val="21"/>
                <w:highlight w:val="none"/>
              </w:rPr>
            </w:pPr>
          </w:p>
        </w:tc>
        <w:tc>
          <w:tcPr>
            <w:tcW w:w="1006" w:type="dxa"/>
            <w:vAlign w:val="top"/>
          </w:tcPr>
          <w:p>
            <w:pPr>
              <w:rPr>
                <w:rFonts w:ascii="Arial"/>
                <w:color w:val="auto"/>
                <w:sz w:val="21"/>
                <w:highlight w:val="none"/>
              </w:rPr>
            </w:pPr>
          </w:p>
        </w:tc>
        <w:tc>
          <w:tcPr>
            <w:tcW w:w="1253" w:type="dxa"/>
            <w:vAlign w:val="top"/>
          </w:tcPr>
          <w:p>
            <w:pPr>
              <w:rPr>
                <w:rFonts w:ascii="Arial"/>
                <w:color w:val="auto"/>
                <w:sz w:val="21"/>
                <w:highlight w:val="none"/>
              </w:rPr>
            </w:pPr>
          </w:p>
        </w:tc>
        <w:tc>
          <w:tcPr>
            <w:tcW w:w="1253" w:type="dxa"/>
            <w:vAlign w:val="top"/>
          </w:tcPr>
          <w:p>
            <w:pPr>
              <w:rPr>
                <w:rFonts w:ascii="Arial"/>
                <w:color w:val="auto"/>
                <w:sz w:val="21"/>
                <w:highlight w:val="none"/>
              </w:rPr>
            </w:pPr>
          </w:p>
        </w:tc>
        <w:tc>
          <w:tcPr>
            <w:tcW w:w="1128" w:type="dxa"/>
            <w:vAlign w:val="top"/>
          </w:tcPr>
          <w:p>
            <w:pPr>
              <w:rPr>
                <w:rFonts w:ascii="Arial"/>
                <w:color w:val="auto"/>
                <w:sz w:val="21"/>
                <w:highlight w:val="none"/>
              </w:rPr>
            </w:pPr>
          </w:p>
        </w:tc>
        <w:tc>
          <w:tcPr>
            <w:tcW w:w="876" w:type="dxa"/>
            <w:vAlign w:val="top"/>
          </w:tcPr>
          <w:p>
            <w:pPr>
              <w:rPr>
                <w:rFonts w:ascii="Arial"/>
                <w:color w:val="auto"/>
                <w:sz w:val="21"/>
                <w:highlight w:val="none"/>
              </w:rPr>
            </w:pPr>
          </w:p>
        </w:tc>
        <w:tc>
          <w:tcPr>
            <w:tcW w:w="753" w:type="dxa"/>
            <w:vAlign w:val="top"/>
          </w:tcPr>
          <w:p>
            <w:pPr>
              <w:rPr>
                <w:rFonts w:ascii="Arial"/>
                <w:color w:val="auto"/>
                <w:sz w:val="21"/>
                <w:highlight w:val="none"/>
              </w:rPr>
            </w:pPr>
          </w:p>
        </w:tc>
        <w:tc>
          <w:tcPr>
            <w:tcW w:w="1012"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576" w:type="dxa"/>
            <w:vAlign w:val="top"/>
          </w:tcPr>
          <w:p>
            <w:pPr>
              <w:rPr>
                <w:rFonts w:ascii="Arial"/>
                <w:color w:val="auto"/>
                <w:sz w:val="21"/>
                <w:highlight w:val="none"/>
              </w:rPr>
            </w:pPr>
          </w:p>
        </w:tc>
        <w:tc>
          <w:tcPr>
            <w:tcW w:w="902" w:type="dxa"/>
            <w:vAlign w:val="top"/>
          </w:tcPr>
          <w:p>
            <w:pPr>
              <w:rPr>
                <w:rFonts w:ascii="Arial"/>
                <w:color w:val="auto"/>
                <w:sz w:val="21"/>
                <w:highlight w:val="none"/>
              </w:rPr>
            </w:pPr>
          </w:p>
        </w:tc>
        <w:tc>
          <w:tcPr>
            <w:tcW w:w="1006" w:type="dxa"/>
            <w:vAlign w:val="top"/>
          </w:tcPr>
          <w:p>
            <w:pPr>
              <w:rPr>
                <w:rFonts w:ascii="Arial"/>
                <w:color w:val="auto"/>
                <w:sz w:val="21"/>
                <w:highlight w:val="none"/>
              </w:rPr>
            </w:pPr>
          </w:p>
        </w:tc>
        <w:tc>
          <w:tcPr>
            <w:tcW w:w="1253" w:type="dxa"/>
            <w:vAlign w:val="top"/>
          </w:tcPr>
          <w:p>
            <w:pPr>
              <w:rPr>
                <w:rFonts w:ascii="Arial"/>
                <w:color w:val="auto"/>
                <w:sz w:val="21"/>
                <w:highlight w:val="none"/>
              </w:rPr>
            </w:pPr>
          </w:p>
        </w:tc>
        <w:tc>
          <w:tcPr>
            <w:tcW w:w="1253" w:type="dxa"/>
            <w:vAlign w:val="top"/>
          </w:tcPr>
          <w:p>
            <w:pPr>
              <w:rPr>
                <w:rFonts w:ascii="Arial"/>
                <w:color w:val="auto"/>
                <w:sz w:val="21"/>
                <w:highlight w:val="none"/>
              </w:rPr>
            </w:pPr>
          </w:p>
        </w:tc>
        <w:tc>
          <w:tcPr>
            <w:tcW w:w="1128" w:type="dxa"/>
            <w:vAlign w:val="top"/>
          </w:tcPr>
          <w:p>
            <w:pPr>
              <w:rPr>
                <w:rFonts w:ascii="Arial"/>
                <w:color w:val="auto"/>
                <w:sz w:val="21"/>
                <w:highlight w:val="none"/>
              </w:rPr>
            </w:pPr>
          </w:p>
        </w:tc>
        <w:tc>
          <w:tcPr>
            <w:tcW w:w="876" w:type="dxa"/>
            <w:vAlign w:val="top"/>
          </w:tcPr>
          <w:p>
            <w:pPr>
              <w:rPr>
                <w:rFonts w:ascii="Arial"/>
                <w:color w:val="auto"/>
                <w:sz w:val="21"/>
                <w:highlight w:val="none"/>
              </w:rPr>
            </w:pPr>
          </w:p>
        </w:tc>
        <w:tc>
          <w:tcPr>
            <w:tcW w:w="753" w:type="dxa"/>
            <w:vAlign w:val="top"/>
          </w:tcPr>
          <w:p>
            <w:pPr>
              <w:rPr>
                <w:rFonts w:ascii="Arial"/>
                <w:color w:val="auto"/>
                <w:sz w:val="21"/>
                <w:highlight w:val="none"/>
              </w:rPr>
            </w:pPr>
          </w:p>
        </w:tc>
        <w:tc>
          <w:tcPr>
            <w:tcW w:w="1012"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2484" w:type="dxa"/>
            <w:gridSpan w:val="3"/>
            <w:vAlign w:val="top"/>
          </w:tcPr>
          <w:p>
            <w:pPr>
              <w:pStyle w:val="110"/>
              <w:spacing w:before="224" w:line="219" w:lineRule="auto"/>
              <w:ind w:left="118"/>
              <w:rPr>
                <w:color w:val="auto"/>
                <w:highlight w:val="none"/>
              </w:rPr>
            </w:pPr>
            <w:r>
              <w:rPr>
                <w:color w:val="auto"/>
                <w:spacing w:val="-2"/>
                <w:highlight w:val="none"/>
              </w:rPr>
              <w:t>最高投标限价：</w:t>
            </w:r>
          </w:p>
        </w:tc>
        <w:tc>
          <w:tcPr>
            <w:tcW w:w="1253" w:type="dxa"/>
            <w:vAlign w:val="top"/>
          </w:tcPr>
          <w:p>
            <w:pPr>
              <w:rPr>
                <w:rFonts w:ascii="Arial"/>
                <w:color w:val="auto"/>
                <w:sz w:val="21"/>
                <w:highlight w:val="none"/>
              </w:rPr>
            </w:pPr>
          </w:p>
        </w:tc>
        <w:tc>
          <w:tcPr>
            <w:tcW w:w="5022" w:type="dxa"/>
            <w:gridSpan w:val="5"/>
            <w:vAlign w:val="top"/>
          </w:tcPr>
          <w:p>
            <w:pPr>
              <w:rPr>
                <w:rFonts w:ascii="Arial"/>
                <w:color w:val="auto"/>
                <w:sz w:val="21"/>
                <w:highlight w:val="none"/>
              </w:rPr>
            </w:pPr>
          </w:p>
        </w:tc>
      </w:tr>
    </w:tbl>
    <w:p>
      <w:pPr>
        <w:spacing w:line="341" w:lineRule="auto"/>
        <w:rPr>
          <w:rFonts w:ascii="Arial"/>
          <w:color w:val="auto"/>
          <w:sz w:val="21"/>
          <w:highlight w:val="none"/>
        </w:rPr>
      </w:pPr>
    </w:p>
    <w:p>
      <w:pPr>
        <w:spacing w:line="341" w:lineRule="auto"/>
        <w:rPr>
          <w:rFonts w:ascii="Arial"/>
          <w:color w:val="auto"/>
          <w:sz w:val="21"/>
          <w:highlight w:val="none"/>
        </w:rPr>
      </w:pPr>
    </w:p>
    <w:p>
      <w:pPr>
        <w:pStyle w:val="13"/>
        <w:spacing w:before="68" w:line="221" w:lineRule="auto"/>
        <w:ind w:left="121"/>
        <w:rPr>
          <w:color w:val="auto"/>
          <w:sz w:val="21"/>
          <w:szCs w:val="21"/>
          <w:highlight w:val="none"/>
        </w:rPr>
      </w:pPr>
      <w:r>
        <w:rPr>
          <w:color w:val="auto"/>
          <w:sz w:val="21"/>
          <w:szCs w:val="21"/>
          <w:highlight w:val="none"/>
        </w:rPr>
        <w:t>招标人代表：</w:t>
      </w:r>
      <w:r>
        <w:rPr>
          <w:color w:val="auto"/>
          <w:sz w:val="21"/>
          <w:szCs w:val="21"/>
          <w:highlight w:val="none"/>
          <w:u w:val="single" w:color="auto"/>
        </w:rPr>
        <w:t xml:space="preserve">       </w:t>
      </w:r>
      <w:r>
        <w:rPr>
          <w:color w:val="auto"/>
          <w:sz w:val="21"/>
          <w:szCs w:val="21"/>
          <w:highlight w:val="none"/>
        </w:rPr>
        <w:t xml:space="preserve">        记录人：</w:t>
      </w:r>
      <w:r>
        <w:rPr>
          <w:color w:val="auto"/>
          <w:sz w:val="21"/>
          <w:szCs w:val="21"/>
          <w:highlight w:val="none"/>
          <w:u w:val="single" w:color="auto"/>
        </w:rPr>
        <w:t xml:space="preserve">       </w:t>
      </w:r>
      <w:r>
        <w:rPr>
          <w:color w:val="auto"/>
          <w:sz w:val="21"/>
          <w:szCs w:val="21"/>
          <w:highlight w:val="none"/>
        </w:rPr>
        <w:t xml:space="preserve">  </w:t>
      </w:r>
      <w:r>
        <w:rPr>
          <w:color w:val="auto"/>
          <w:spacing w:val="-1"/>
          <w:sz w:val="21"/>
          <w:szCs w:val="21"/>
          <w:highlight w:val="none"/>
        </w:rPr>
        <w:t xml:space="preserve">     监标人：</w:t>
      </w:r>
      <w:r>
        <w:rPr>
          <w:color w:val="auto"/>
          <w:sz w:val="21"/>
          <w:szCs w:val="21"/>
          <w:highlight w:val="none"/>
          <w:u w:val="single" w:color="auto"/>
        </w:rPr>
        <w:t xml:space="preserve">       </w:t>
      </w:r>
    </w:p>
    <w:p>
      <w:pPr>
        <w:spacing w:line="300" w:lineRule="auto"/>
        <w:rPr>
          <w:rFonts w:ascii="Arial"/>
          <w:color w:val="auto"/>
          <w:sz w:val="21"/>
          <w:highlight w:val="none"/>
        </w:rPr>
      </w:pPr>
    </w:p>
    <w:p>
      <w:pPr>
        <w:pStyle w:val="13"/>
        <w:tabs>
          <w:tab w:val="left" w:pos="6655"/>
        </w:tabs>
        <w:spacing w:before="68" w:line="221" w:lineRule="auto"/>
        <w:ind w:left="5919"/>
        <w:rPr>
          <w:color w:val="auto"/>
          <w:sz w:val="21"/>
          <w:szCs w:val="21"/>
          <w:highlight w:val="none"/>
        </w:rPr>
      </w:pPr>
      <w:r>
        <w:rPr>
          <w:color w:val="auto"/>
          <w:sz w:val="21"/>
          <w:szCs w:val="21"/>
          <w:highlight w:val="none"/>
          <w:u w:val="single" w:color="auto"/>
        </w:rPr>
        <w:tab/>
      </w:r>
      <w:r>
        <w:rPr>
          <w:color w:val="auto"/>
          <w:spacing w:val="-95"/>
          <w:sz w:val="21"/>
          <w:szCs w:val="21"/>
          <w:highlight w:val="none"/>
        </w:rPr>
        <w:t xml:space="preserve"> </w:t>
      </w:r>
      <w:r>
        <w:rPr>
          <w:color w:val="auto"/>
          <w:spacing w:val="-22"/>
          <w:sz w:val="21"/>
          <w:szCs w:val="21"/>
          <w:highlight w:val="none"/>
        </w:rPr>
        <w:t>年</w:t>
      </w:r>
      <w:r>
        <w:rPr>
          <w:color w:val="auto"/>
          <w:spacing w:val="17"/>
          <w:sz w:val="21"/>
          <w:szCs w:val="21"/>
          <w:highlight w:val="none"/>
          <w:u w:val="single" w:color="auto"/>
        </w:rPr>
        <w:t xml:space="preserve">      </w:t>
      </w:r>
      <w:r>
        <w:rPr>
          <w:color w:val="auto"/>
          <w:spacing w:val="-89"/>
          <w:sz w:val="21"/>
          <w:szCs w:val="21"/>
          <w:highlight w:val="none"/>
        </w:rPr>
        <w:t xml:space="preserve"> </w:t>
      </w:r>
      <w:r>
        <w:rPr>
          <w:color w:val="auto"/>
          <w:spacing w:val="-22"/>
          <w:sz w:val="21"/>
          <w:szCs w:val="21"/>
          <w:highlight w:val="none"/>
        </w:rPr>
        <w:t>月</w:t>
      </w:r>
      <w:r>
        <w:rPr>
          <w:color w:val="auto"/>
          <w:spacing w:val="17"/>
          <w:sz w:val="21"/>
          <w:szCs w:val="21"/>
          <w:highlight w:val="none"/>
          <w:u w:val="single" w:color="auto"/>
        </w:rPr>
        <w:t xml:space="preserve">      </w:t>
      </w:r>
      <w:r>
        <w:rPr>
          <w:color w:val="auto"/>
          <w:spacing w:val="-60"/>
          <w:sz w:val="21"/>
          <w:szCs w:val="21"/>
          <w:highlight w:val="none"/>
        </w:rPr>
        <w:t xml:space="preserve"> </w:t>
      </w:r>
      <w:r>
        <w:rPr>
          <w:color w:val="auto"/>
          <w:spacing w:val="-22"/>
          <w:sz w:val="21"/>
          <w:szCs w:val="21"/>
          <w:highlight w:val="none"/>
        </w:rPr>
        <w:t>日</w:t>
      </w:r>
    </w:p>
    <w:p>
      <w:pPr>
        <w:spacing w:line="221" w:lineRule="auto"/>
        <w:rPr>
          <w:color w:val="auto"/>
          <w:sz w:val="21"/>
          <w:szCs w:val="21"/>
          <w:highlight w:val="none"/>
        </w:rPr>
        <w:sectPr>
          <w:footerReference r:id="rId6" w:type="default"/>
          <w:pgSz w:w="12240" w:h="15840"/>
          <w:pgMar w:top="1346" w:right="1795" w:bottom="1121" w:left="1687" w:header="0" w:footer="894" w:gutter="0"/>
          <w:pgNumType w:fmt="decimal"/>
          <w:cols w:space="720" w:num="1"/>
        </w:sectPr>
      </w:pPr>
    </w:p>
    <w:p>
      <w:pPr>
        <w:spacing w:before="136" w:line="220" w:lineRule="auto"/>
        <w:ind w:left="163"/>
        <w:outlineLvl w:val="2"/>
        <w:rPr>
          <w:rFonts w:ascii="黑体" w:hAnsi="黑体" w:eastAsia="黑体" w:cs="黑体"/>
          <w:color w:val="auto"/>
          <w:sz w:val="28"/>
          <w:szCs w:val="28"/>
          <w:highlight w:val="none"/>
        </w:rPr>
      </w:pPr>
      <w:bookmarkStart w:id="78" w:name="bookmark77"/>
      <w:bookmarkEnd w:id="78"/>
      <w:r>
        <w:rPr>
          <w:rFonts w:ascii="黑体" w:hAnsi="黑体" w:eastAsia="黑体" w:cs="黑体"/>
          <w:color w:val="auto"/>
          <w:spacing w:val="-3"/>
          <w:sz w:val="28"/>
          <w:szCs w:val="28"/>
          <w:highlight w:val="none"/>
        </w:rPr>
        <w:t>附件二：问题澄清通知</w:t>
      </w:r>
    </w:p>
    <w:p>
      <w:pPr>
        <w:rPr>
          <w:rFonts w:ascii="Arial"/>
          <w:color w:val="auto"/>
          <w:sz w:val="21"/>
          <w:highlight w:val="none"/>
        </w:rPr>
      </w:pPr>
    </w:p>
    <w:p>
      <w:pPr>
        <w:rPr>
          <w:rFonts w:ascii="Arial"/>
          <w:color w:val="auto"/>
          <w:sz w:val="21"/>
          <w:highlight w:val="none"/>
        </w:rPr>
      </w:pPr>
    </w:p>
    <w:p>
      <w:pPr>
        <w:rPr>
          <w:rFonts w:ascii="Arial"/>
          <w:color w:val="auto"/>
          <w:sz w:val="21"/>
          <w:highlight w:val="none"/>
        </w:rPr>
      </w:pPr>
    </w:p>
    <w:p>
      <w:pPr>
        <w:spacing w:line="241" w:lineRule="auto"/>
        <w:rPr>
          <w:rFonts w:ascii="Arial"/>
          <w:color w:val="auto"/>
          <w:sz w:val="21"/>
          <w:highlight w:val="none"/>
        </w:rPr>
      </w:pPr>
    </w:p>
    <w:p>
      <w:pPr>
        <w:spacing w:before="91" w:line="220" w:lineRule="auto"/>
        <w:ind w:left="3506"/>
        <w:rPr>
          <w:rFonts w:ascii="黑体" w:hAnsi="黑体" w:eastAsia="黑体" w:cs="黑体"/>
          <w:color w:val="auto"/>
          <w:sz w:val="28"/>
          <w:szCs w:val="28"/>
          <w:highlight w:val="none"/>
        </w:rPr>
      </w:pPr>
      <w:r>
        <w:rPr>
          <w:rFonts w:ascii="黑体" w:hAnsi="黑体" w:eastAsia="黑体" w:cs="黑体"/>
          <w:color w:val="auto"/>
          <w:spacing w:val="-4"/>
          <w:sz w:val="28"/>
          <w:szCs w:val="28"/>
          <w:highlight w:val="none"/>
        </w:rPr>
        <w:t>问题澄清通知</w:t>
      </w:r>
    </w:p>
    <w:p>
      <w:pPr>
        <w:pStyle w:val="13"/>
        <w:spacing w:before="167" w:line="221" w:lineRule="auto"/>
        <w:ind w:left="2758"/>
        <w:rPr>
          <w:color w:val="auto"/>
          <w:sz w:val="21"/>
          <w:szCs w:val="21"/>
          <w:highlight w:val="none"/>
        </w:rPr>
      </w:pPr>
      <w:r>
        <w:rPr>
          <w:color w:val="auto"/>
          <w:spacing w:val="-4"/>
          <w:sz w:val="21"/>
          <w:szCs w:val="21"/>
          <w:highlight w:val="none"/>
        </w:rPr>
        <w:t>（编号</w:t>
      </w:r>
      <w:r>
        <w:rPr>
          <w:color w:val="auto"/>
          <w:spacing w:val="-1"/>
          <w:sz w:val="21"/>
          <w:szCs w:val="21"/>
          <w:highlight w:val="none"/>
        </w:rPr>
        <w:t>：</w:t>
      </w:r>
      <w:r>
        <w:rPr>
          <w:color w:val="auto"/>
          <w:spacing w:val="5"/>
          <w:sz w:val="21"/>
          <w:szCs w:val="21"/>
          <w:highlight w:val="none"/>
          <w:u w:val="single" w:color="auto"/>
        </w:rPr>
        <w:t xml:space="preserve">                   </w:t>
      </w:r>
      <w:r>
        <w:rPr>
          <w:color w:val="auto"/>
          <w:spacing w:val="-1"/>
          <w:sz w:val="21"/>
          <w:szCs w:val="21"/>
          <w:highlight w:val="none"/>
        </w:rPr>
        <w:t>）</w:t>
      </w:r>
    </w:p>
    <w:p>
      <w:pPr>
        <w:spacing w:line="278" w:lineRule="auto"/>
        <w:rPr>
          <w:rFonts w:ascii="Arial"/>
          <w:color w:val="auto"/>
          <w:sz w:val="21"/>
          <w:highlight w:val="none"/>
        </w:rPr>
      </w:pPr>
    </w:p>
    <w:p>
      <w:pPr>
        <w:spacing w:line="278" w:lineRule="auto"/>
        <w:rPr>
          <w:rFonts w:ascii="Arial"/>
          <w:color w:val="auto"/>
          <w:sz w:val="21"/>
          <w:highlight w:val="none"/>
        </w:rPr>
      </w:pPr>
    </w:p>
    <w:p>
      <w:pPr>
        <w:pStyle w:val="13"/>
        <w:tabs>
          <w:tab w:val="left" w:pos="2205"/>
        </w:tabs>
        <w:spacing w:before="68" w:line="221" w:lineRule="auto"/>
        <w:rPr>
          <w:color w:val="auto"/>
          <w:sz w:val="21"/>
          <w:szCs w:val="21"/>
          <w:highlight w:val="none"/>
        </w:rPr>
      </w:pPr>
      <w:r>
        <w:rPr>
          <w:color w:val="auto"/>
          <w:sz w:val="21"/>
          <w:szCs w:val="21"/>
          <w:highlight w:val="none"/>
          <w:u w:val="single" w:color="auto"/>
        </w:rPr>
        <w:tab/>
      </w:r>
      <w:r>
        <w:rPr>
          <w:color w:val="auto"/>
          <w:sz w:val="21"/>
          <w:szCs w:val="21"/>
          <w:highlight w:val="none"/>
        </w:rPr>
        <w:t>（投标人名称</w:t>
      </w:r>
      <w:r>
        <w:rPr>
          <w:color w:val="auto"/>
          <w:spacing w:val="-54"/>
          <w:w w:val="97"/>
          <w:sz w:val="21"/>
          <w:szCs w:val="21"/>
          <w:highlight w:val="none"/>
        </w:rPr>
        <w:t>）：</w:t>
      </w:r>
    </w:p>
    <w:p>
      <w:pPr>
        <w:spacing w:line="279" w:lineRule="auto"/>
        <w:rPr>
          <w:rFonts w:ascii="Arial"/>
          <w:color w:val="auto"/>
          <w:sz w:val="21"/>
          <w:highlight w:val="none"/>
        </w:rPr>
      </w:pPr>
    </w:p>
    <w:p>
      <w:pPr>
        <w:spacing w:line="279" w:lineRule="auto"/>
        <w:rPr>
          <w:rFonts w:ascii="Arial"/>
          <w:color w:val="auto"/>
          <w:sz w:val="21"/>
          <w:highlight w:val="none"/>
        </w:rPr>
      </w:pPr>
    </w:p>
    <w:p>
      <w:pPr>
        <w:pStyle w:val="13"/>
        <w:spacing w:before="68" w:line="388" w:lineRule="auto"/>
        <w:ind w:left="8" w:right="1" w:firstLine="421"/>
        <w:rPr>
          <w:color w:val="auto"/>
          <w:sz w:val="21"/>
          <w:szCs w:val="21"/>
          <w:highlight w:val="none"/>
        </w:rPr>
      </w:pPr>
      <w:r>
        <w:rPr>
          <w:color w:val="auto"/>
          <w:spacing w:val="1"/>
          <w:sz w:val="21"/>
          <w:szCs w:val="21"/>
          <w:highlight w:val="none"/>
        </w:rPr>
        <w:t>评标委员会对你方的投标文件进行了仔细的审查，</w:t>
      </w:r>
      <w:r>
        <w:rPr>
          <w:color w:val="auto"/>
          <w:sz w:val="21"/>
          <w:szCs w:val="21"/>
          <w:highlight w:val="none"/>
        </w:rPr>
        <w:t xml:space="preserve">现需你方对下列问题以书面形式予以澄 </w:t>
      </w:r>
      <w:r>
        <w:rPr>
          <w:color w:val="auto"/>
          <w:spacing w:val="-1"/>
          <w:sz w:val="21"/>
          <w:szCs w:val="21"/>
          <w:highlight w:val="none"/>
        </w:rPr>
        <w:t>清、说明或补正：</w:t>
      </w:r>
    </w:p>
    <w:p>
      <w:pPr>
        <w:spacing w:line="409" w:lineRule="auto"/>
        <w:rPr>
          <w:rFonts w:ascii="Arial"/>
          <w:color w:val="auto"/>
          <w:sz w:val="21"/>
          <w:highlight w:val="none"/>
        </w:rPr>
      </w:pPr>
    </w:p>
    <w:p>
      <w:pPr>
        <w:spacing w:before="60" w:line="233" w:lineRule="auto"/>
        <w:ind w:left="447"/>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8"/>
          <w:sz w:val="21"/>
          <w:szCs w:val="21"/>
          <w:highlight w:val="none"/>
        </w:rPr>
        <w:t>1.</w:t>
      </w:r>
    </w:p>
    <w:p>
      <w:pPr>
        <w:spacing w:before="204" w:line="233" w:lineRule="auto"/>
        <w:ind w:left="426"/>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2"/>
          <w:sz w:val="21"/>
          <w:szCs w:val="21"/>
          <w:highlight w:val="none"/>
        </w:rPr>
        <w:t>2.</w:t>
      </w:r>
    </w:p>
    <w:p>
      <w:pPr>
        <w:spacing w:line="331" w:lineRule="auto"/>
        <w:rPr>
          <w:rFonts w:ascii="Arial"/>
          <w:color w:val="auto"/>
          <w:sz w:val="21"/>
          <w:highlight w:val="none"/>
        </w:rPr>
      </w:pPr>
    </w:p>
    <w:p>
      <w:pPr>
        <w:spacing w:before="1" w:line="23" w:lineRule="exact"/>
        <w:ind w:firstLine="542"/>
        <w:rPr>
          <w:color w:val="auto"/>
          <w:highlight w:val="none"/>
        </w:rPr>
      </w:pPr>
      <w:r>
        <w:rPr>
          <w:color w:val="auto"/>
          <w:highlight w:val="none"/>
        </w:rPr>
        <w:drawing>
          <wp:inline distT="0" distB="0" distL="0" distR="0">
            <wp:extent cx="189865" cy="13970"/>
            <wp:effectExtent l="0" t="0" r="0" b="0"/>
            <wp:docPr id="3" name="IM 2"/>
            <wp:cNvGraphicFramePr/>
            <a:graphic xmlns:a="http://schemas.openxmlformats.org/drawingml/2006/main">
              <a:graphicData uri="http://schemas.openxmlformats.org/drawingml/2006/picture">
                <pic:pic xmlns:pic="http://schemas.openxmlformats.org/drawingml/2006/picture">
                  <pic:nvPicPr>
                    <pic:cNvPr id="3" name="IM 2"/>
                    <pic:cNvPicPr/>
                  </pic:nvPicPr>
                  <pic:blipFill>
                    <a:blip r:embed="rId15"/>
                    <a:stretch>
                      <a:fillRect/>
                    </a:stretch>
                  </pic:blipFill>
                  <pic:spPr>
                    <a:xfrm>
                      <a:off x="0" y="0"/>
                      <a:ext cx="190170" cy="14483"/>
                    </a:xfrm>
                    <a:prstGeom prst="rect">
                      <a:avLst/>
                    </a:prstGeom>
                  </pic:spPr>
                </pic:pic>
              </a:graphicData>
            </a:graphic>
          </wp:inline>
        </w:drawing>
      </w:r>
    </w:p>
    <w:p>
      <w:pPr>
        <w:spacing w:line="310" w:lineRule="auto"/>
        <w:rPr>
          <w:rFonts w:ascii="Arial"/>
          <w:color w:val="auto"/>
          <w:sz w:val="21"/>
          <w:highlight w:val="none"/>
        </w:rPr>
      </w:pPr>
    </w:p>
    <w:p>
      <w:pPr>
        <w:spacing w:line="311" w:lineRule="auto"/>
        <w:rPr>
          <w:rFonts w:ascii="Arial"/>
          <w:color w:val="auto"/>
          <w:sz w:val="21"/>
          <w:highlight w:val="none"/>
        </w:rPr>
      </w:pPr>
    </w:p>
    <w:p>
      <w:pPr>
        <w:pStyle w:val="13"/>
        <w:keepNext w:val="0"/>
        <w:keepLines w:val="0"/>
        <w:pageBreakBefore w:val="0"/>
        <w:widowControl w:val="0"/>
        <w:tabs>
          <w:tab w:val="left" w:pos="735"/>
        </w:tabs>
        <w:kinsoku/>
        <w:wordWrap/>
        <w:overflowPunct/>
        <w:topLinePunct w:val="0"/>
        <w:autoSpaceDE/>
        <w:autoSpaceDN/>
        <w:bidi w:val="0"/>
        <w:adjustRightInd/>
        <w:snapToGrid/>
        <w:spacing w:after="0" w:line="360" w:lineRule="auto"/>
        <w:ind w:firstLine="412" w:firstLineChars="200"/>
        <w:textAlignment w:val="auto"/>
        <w:rPr>
          <w:color w:val="auto"/>
          <w:sz w:val="21"/>
          <w:szCs w:val="21"/>
          <w:highlight w:val="none"/>
        </w:rPr>
      </w:pPr>
      <w:r>
        <w:rPr>
          <w:color w:val="auto"/>
          <w:spacing w:val="-2"/>
          <w:sz w:val="21"/>
          <w:szCs w:val="21"/>
          <w:highlight w:val="none"/>
        </w:rPr>
        <w:t>请将上述问题的澄清、说明或补正于</w:t>
      </w:r>
      <w:r>
        <w:rPr>
          <w:color w:val="auto"/>
          <w:spacing w:val="-2"/>
          <w:sz w:val="21"/>
          <w:szCs w:val="21"/>
          <w:highlight w:val="none"/>
          <w:u w:val="single" w:color="auto"/>
        </w:rPr>
        <w:t xml:space="preserve">       </w:t>
      </w:r>
      <w:r>
        <w:rPr>
          <w:color w:val="auto"/>
          <w:spacing w:val="-80"/>
          <w:sz w:val="21"/>
          <w:szCs w:val="21"/>
          <w:highlight w:val="none"/>
        </w:rPr>
        <w:t xml:space="preserve"> </w:t>
      </w:r>
      <w:r>
        <w:rPr>
          <w:color w:val="auto"/>
          <w:spacing w:val="-2"/>
          <w:sz w:val="21"/>
          <w:szCs w:val="21"/>
          <w:highlight w:val="none"/>
        </w:rPr>
        <w:t>年</w:t>
      </w:r>
      <w:r>
        <w:rPr>
          <w:color w:val="auto"/>
          <w:spacing w:val="-2"/>
          <w:sz w:val="21"/>
          <w:szCs w:val="21"/>
          <w:highlight w:val="none"/>
          <w:u w:val="single" w:color="auto"/>
        </w:rPr>
        <w:t xml:space="preserve">       </w:t>
      </w:r>
      <w:r>
        <w:rPr>
          <w:color w:val="auto"/>
          <w:spacing w:val="-92"/>
          <w:sz w:val="21"/>
          <w:szCs w:val="21"/>
          <w:highlight w:val="none"/>
        </w:rPr>
        <w:t xml:space="preserve"> </w:t>
      </w:r>
      <w:r>
        <w:rPr>
          <w:color w:val="auto"/>
          <w:spacing w:val="-2"/>
          <w:sz w:val="21"/>
          <w:szCs w:val="21"/>
          <w:highlight w:val="none"/>
        </w:rPr>
        <w:t>月</w:t>
      </w:r>
      <w:r>
        <w:rPr>
          <w:color w:val="auto"/>
          <w:spacing w:val="-2"/>
          <w:sz w:val="21"/>
          <w:szCs w:val="21"/>
          <w:highlight w:val="none"/>
          <w:u w:val="single" w:color="auto"/>
        </w:rPr>
        <w:t xml:space="preserve">       </w:t>
      </w:r>
      <w:r>
        <w:rPr>
          <w:color w:val="auto"/>
          <w:spacing w:val="-61"/>
          <w:sz w:val="21"/>
          <w:szCs w:val="21"/>
          <w:highlight w:val="none"/>
        </w:rPr>
        <w:t xml:space="preserve"> </w:t>
      </w:r>
      <w:r>
        <w:rPr>
          <w:color w:val="auto"/>
          <w:spacing w:val="-2"/>
          <w:sz w:val="21"/>
          <w:szCs w:val="21"/>
          <w:highlight w:val="none"/>
        </w:rPr>
        <w:t>日</w:t>
      </w:r>
      <w:r>
        <w:rPr>
          <w:color w:val="auto"/>
          <w:spacing w:val="-2"/>
          <w:sz w:val="21"/>
          <w:szCs w:val="21"/>
          <w:highlight w:val="none"/>
          <w:u w:val="single" w:color="auto"/>
        </w:rPr>
        <w:t xml:space="preserve">       </w:t>
      </w:r>
      <w:r>
        <w:rPr>
          <w:color w:val="auto"/>
          <w:spacing w:val="-86"/>
          <w:sz w:val="21"/>
          <w:szCs w:val="21"/>
          <w:highlight w:val="none"/>
        </w:rPr>
        <w:t xml:space="preserve"> </w:t>
      </w:r>
      <w:r>
        <w:rPr>
          <w:color w:val="auto"/>
          <w:spacing w:val="-2"/>
          <w:sz w:val="21"/>
          <w:szCs w:val="21"/>
          <w:highlight w:val="none"/>
        </w:rPr>
        <w:t>时前</w:t>
      </w:r>
      <w:r>
        <w:rPr>
          <w:color w:val="auto"/>
          <w:sz w:val="21"/>
          <w:szCs w:val="21"/>
          <w:highlight w:val="none"/>
        </w:rPr>
        <w:t>通过下载招标文件的电子招标交易平台上传。</w:t>
      </w:r>
    </w:p>
    <w:p>
      <w:pPr>
        <w:spacing w:line="248" w:lineRule="auto"/>
        <w:rPr>
          <w:rFonts w:ascii="Arial"/>
          <w:color w:val="auto"/>
          <w:sz w:val="21"/>
          <w:highlight w:val="none"/>
        </w:rPr>
      </w:pPr>
    </w:p>
    <w:p>
      <w:pPr>
        <w:spacing w:line="249" w:lineRule="auto"/>
        <w:rPr>
          <w:rFonts w:ascii="Arial"/>
          <w:color w:val="auto"/>
          <w:sz w:val="21"/>
          <w:highlight w:val="none"/>
        </w:rPr>
      </w:pPr>
    </w:p>
    <w:p>
      <w:pPr>
        <w:spacing w:line="249" w:lineRule="auto"/>
        <w:rPr>
          <w:rFonts w:ascii="Arial"/>
          <w:color w:val="auto"/>
          <w:sz w:val="21"/>
          <w:highlight w:val="none"/>
        </w:rPr>
      </w:pPr>
    </w:p>
    <w:p>
      <w:pPr>
        <w:spacing w:line="249" w:lineRule="auto"/>
        <w:rPr>
          <w:rFonts w:ascii="Arial"/>
          <w:color w:val="auto"/>
          <w:sz w:val="21"/>
          <w:highlight w:val="none"/>
        </w:rPr>
      </w:pPr>
    </w:p>
    <w:p>
      <w:pPr>
        <w:pStyle w:val="13"/>
        <w:spacing w:before="68" w:line="220" w:lineRule="auto"/>
        <w:ind w:left="2107"/>
        <w:rPr>
          <w:color w:val="auto"/>
          <w:sz w:val="21"/>
          <w:szCs w:val="21"/>
          <w:highlight w:val="none"/>
        </w:rPr>
      </w:pPr>
      <w:r>
        <w:rPr>
          <w:color w:val="auto"/>
          <w:sz w:val="21"/>
          <w:szCs w:val="21"/>
          <w:highlight w:val="none"/>
        </w:rPr>
        <w:t>评标委员会授权的招标人或招标代理机构</w:t>
      </w:r>
      <w:r>
        <w:rPr>
          <w:color w:val="auto"/>
          <w:spacing w:val="-2"/>
          <w:sz w:val="21"/>
          <w:szCs w:val="21"/>
          <w:highlight w:val="none"/>
        </w:rPr>
        <w:t>：</w:t>
      </w:r>
      <w:r>
        <w:rPr>
          <w:color w:val="auto"/>
          <w:spacing w:val="14"/>
          <w:sz w:val="21"/>
          <w:szCs w:val="21"/>
          <w:highlight w:val="none"/>
          <w:u w:val="single" w:color="auto"/>
        </w:rPr>
        <w:t xml:space="preserve">       </w:t>
      </w:r>
      <w:r>
        <w:rPr>
          <w:color w:val="auto"/>
          <w:spacing w:val="-2"/>
          <w:sz w:val="21"/>
          <w:szCs w:val="21"/>
          <w:highlight w:val="none"/>
        </w:rPr>
        <w:t>（</w:t>
      </w:r>
      <w:r>
        <w:rPr>
          <w:color w:val="auto"/>
          <w:sz w:val="21"/>
          <w:szCs w:val="21"/>
          <w:highlight w:val="none"/>
        </w:rPr>
        <w:t>签</w:t>
      </w:r>
      <w:r>
        <w:rPr>
          <w:color w:val="auto"/>
          <w:spacing w:val="-1"/>
          <w:sz w:val="21"/>
          <w:szCs w:val="21"/>
          <w:highlight w:val="none"/>
        </w:rPr>
        <w:t>字或盖章）</w:t>
      </w:r>
    </w:p>
    <w:p>
      <w:pPr>
        <w:spacing w:line="279" w:lineRule="auto"/>
        <w:rPr>
          <w:rFonts w:ascii="Arial"/>
          <w:color w:val="auto"/>
          <w:sz w:val="21"/>
          <w:highlight w:val="none"/>
        </w:rPr>
      </w:pPr>
    </w:p>
    <w:p>
      <w:pPr>
        <w:spacing w:line="279" w:lineRule="auto"/>
        <w:rPr>
          <w:rFonts w:ascii="Arial"/>
          <w:color w:val="auto"/>
          <w:sz w:val="21"/>
          <w:highlight w:val="none"/>
        </w:rPr>
      </w:pPr>
    </w:p>
    <w:p>
      <w:pPr>
        <w:pStyle w:val="13"/>
        <w:tabs>
          <w:tab w:val="left" w:pos="5702"/>
        </w:tabs>
        <w:spacing w:before="69" w:line="221" w:lineRule="auto"/>
        <w:ind w:left="4860"/>
        <w:rPr>
          <w:color w:val="auto"/>
          <w:sz w:val="21"/>
          <w:szCs w:val="21"/>
          <w:highlight w:val="none"/>
        </w:rPr>
      </w:pPr>
      <w:r>
        <w:rPr>
          <w:color w:val="auto"/>
          <w:sz w:val="21"/>
          <w:szCs w:val="21"/>
          <w:highlight w:val="none"/>
          <w:u w:val="single" w:color="auto"/>
        </w:rPr>
        <w:tab/>
      </w:r>
      <w:r>
        <w:rPr>
          <w:color w:val="auto"/>
          <w:spacing w:val="-96"/>
          <w:sz w:val="21"/>
          <w:szCs w:val="21"/>
          <w:highlight w:val="none"/>
        </w:rPr>
        <w:t xml:space="preserve"> </w:t>
      </w:r>
      <w:r>
        <w:rPr>
          <w:color w:val="auto"/>
          <w:spacing w:val="-7"/>
          <w:sz w:val="21"/>
          <w:szCs w:val="21"/>
          <w:highlight w:val="none"/>
        </w:rPr>
        <w:t>年</w:t>
      </w:r>
      <w:r>
        <w:rPr>
          <w:color w:val="auto"/>
          <w:spacing w:val="17"/>
          <w:sz w:val="21"/>
          <w:szCs w:val="21"/>
          <w:highlight w:val="none"/>
          <w:u w:val="single" w:color="auto"/>
        </w:rPr>
        <w:t xml:space="preserve">      </w:t>
      </w:r>
      <w:r>
        <w:rPr>
          <w:color w:val="auto"/>
          <w:spacing w:val="-92"/>
          <w:sz w:val="21"/>
          <w:szCs w:val="21"/>
          <w:highlight w:val="none"/>
        </w:rPr>
        <w:t xml:space="preserve"> </w:t>
      </w:r>
      <w:r>
        <w:rPr>
          <w:color w:val="auto"/>
          <w:spacing w:val="-7"/>
          <w:sz w:val="21"/>
          <w:szCs w:val="21"/>
          <w:highlight w:val="none"/>
        </w:rPr>
        <w:t>月</w:t>
      </w:r>
      <w:r>
        <w:rPr>
          <w:color w:val="auto"/>
          <w:spacing w:val="-105"/>
          <w:sz w:val="21"/>
          <w:szCs w:val="21"/>
          <w:highlight w:val="none"/>
        </w:rPr>
        <w:t xml:space="preserve"> </w:t>
      </w:r>
      <w:r>
        <w:rPr>
          <w:color w:val="auto"/>
          <w:spacing w:val="17"/>
          <w:sz w:val="21"/>
          <w:szCs w:val="21"/>
          <w:highlight w:val="none"/>
          <w:u w:val="single" w:color="auto"/>
        </w:rPr>
        <w:t xml:space="preserve">      </w:t>
      </w:r>
      <w:r>
        <w:rPr>
          <w:color w:val="auto"/>
          <w:spacing w:val="-58"/>
          <w:sz w:val="21"/>
          <w:szCs w:val="21"/>
          <w:highlight w:val="none"/>
        </w:rPr>
        <w:t xml:space="preserve"> </w:t>
      </w:r>
      <w:r>
        <w:rPr>
          <w:color w:val="auto"/>
          <w:spacing w:val="-7"/>
          <w:sz w:val="21"/>
          <w:szCs w:val="21"/>
          <w:highlight w:val="none"/>
        </w:rPr>
        <w:t>日</w:t>
      </w:r>
    </w:p>
    <w:p>
      <w:pPr>
        <w:spacing w:line="221" w:lineRule="auto"/>
        <w:rPr>
          <w:color w:val="auto"/>
          <w:sz w:val="21"/>
          <w:szCs w:val="21"/>
          <w:highlight w:val="none"/>
        </w:rPr>
        <w:sectPr>
          <w:footerReference r:id="rId7" w:type="default"/>
          <w:pgSz w:w="12240" w:h="15840"/>
          <w:pgMar w:top="1346" w:right="1795" w:bottom="1121" w:left="1800" w:header="0" w:footer="893" w:gutter="0"/>
          <w:pgNumType w:fmt="decimal"/>
          <w:cols w:space="720" w:num="1"/>
        </w:sectPr>
      </w:pPr>
    </w:p>
    <w:p>
      <w:pPr>
        <w:spacing w:before="136" w:line="220" w:lineRule="auto"/>
        <w:ind w:left="155"/>
        <w:outlineLvl w:val="2"/>
        <w:rPr>
          <w:rFonts w:ascii="黑体" w:hAnsi="黑体" w:eastAsia="黑体" w:cs="黑体"/>
          <w:color w:val="auto"/>
          <w:sz w:val="28"/>
          <w:szCs w:val="28"/>
          <w:highlight w:val="none"/>
        </w:rPr>
      </w:pPr>
      <w:bookmarkStart w:id="79" w:name="bookmark78"/>
      <w:bookmarkEnd w:id="79"/>
      <w:r>
        <w:rPr>
          <w:rFonts w:ascii="黑体" w:hAnsi="黑体" w:eastAsia="黑体" w:cs="黑体"/>
          <w:color w:val="auto"/>
          <w:spacing w:val="-3"/>
          <w:sz w:val="28"/>
          <w:szCs w:val="28"/>
          <w:highlight w:val="none"/>
        </w:rPr>
        <w:t>附件三：问题的澄清</w:t>
      </w:r>
    </w:p>
    <w:p>
      <w:pPr>
        <w:spacing w:line="296" w:lineRule="auto"/>
        <w:rPr>
          <w:rFonts w:ascii="Arial"/>
          <w:color w:val="auto"/>
          <w:sz w:val="21"/>
          <w:highlight w:val="none"/>
        </w:rPr>
      </w:pPr>
    </w:p>
    <w:p>
      <w:pPr>
        <w:spacing w:line="296" w:lineRule="auto"/>
        <w:rPr>
          <w:rFonts w:ascii="Arial"/>
          <w:color w:val="auto"/>
          <w:sz w:val="21"/>
          <w:highlight w:val="none"/>
        </w:rPr>
      </w:pPr>
    </w:p>
    <w:p>
      <w:pPr>
        <w:spacing w:line="297" w:lineRule="auto"/>
        <w:rPr>
          <w:rFonts w:ascii="Arial"/>
          <w:color w:val="auto"/>
          <w:sz w:val="21"/>
          <w:highlight w:val="none"/>
        </w:rPr>
      </w:pPr>
    </w:p>
    <w:p>
      <w:pPr>
        <w:spacing w:before="91" w:line="220" w:lineRule="auto"/>
        <w:ind w:left="3638"/>
        <w:rPr>
          <w:rFonts w:ascii="黑体" w:hAnsi="黑体" w:eastAsia="黑体" w:cs="黑体"/>
          <w:color w:val="auto"/>
          <w:sz w:val="28"/>
          <w:szCs w:val="28"/>
          <w:highlight w:val="none"/>
        </w:rPr>
      </w:pPr>
      <w:r>
        <w:rPr>
          <w:rFonts w:ascii="黑体" w:hAnsi="黑体" w:eastAsia="黑体" w:cs="黑体"/>
          <w:color w:val="auto"/>
          <w:spacing w:val="-5"/>
          <w:sz w:val="28"/>
          <w:szCs w:val="28"/>
          <w:highlight w:val="none"/>
        </w:rPr>
        <w:t>问题的澄清</w:t>
      </w:r>
    </w:p>
    <w:p>
      <w:pPr>
        <w:pStyle w:val="13"/>
        <w:spacing w:before="123" w:line="221" w:lineRule="auto"/>
        <w:ind w:left="3473"/>
        <w:rPr>
          <w:color w:val="auto"/>
          <w:sz w:val="21"/>
          <w:szCs w:val="21"/>
          <w:highlight w:val="none"/>
        </w:rPr>
      </w:pPr>
      <w:r>
        <w:rPr>
          <w:color w:val="auto"/>
          <w:spacing w:val="-4"/>
          <w:sz w:val="21"/>
          <w:szCs w:val="21"/>
          <w:highlight w:val="none"/>
        </w:rPr>
        <w:t>（编号</w:t>
      </w:r>
      <w:r>
        <w:rPr>
          <w:color w:val="auto"/>
          <w:spacing w:val="-1"/>
          <w:sz w:val="21"/>
          <w:szCs w:val="21"/>
          <w:highlight w:val="none"/>
        </w:rPr>
        <w:t>：</w:t>
      </w:r>
      <w:r>
        <w:rPr>
          <w:color w:val="auto"/>
          <w:spacing w:val="4"/>
          <w:sz w:val="21"/>
          <w:szCs w:val="21"/>
          <w:highlight w:val="none"/>
          <w:u w:val="single" w:color="auto"/>
        </w:rPr>
        <w:t xml:space="preserve">              </w:t>
      </w:r>
      <w:r>
        <w:rPr>
          <w:color w:val="auto"/>
          <w:spacing w:val="-1"/>
          <w:sz w:val="21"/>
          <w:szCs w:val="21"/>
          <w:highlight w:val="none"/>
        </w:rPr>
        <w:t>）</w:t>
      </w:r>
    </w:p>
    <w:p>
      <w:pPr>
        <w:spacing w:line="256" w:lineRule="auto"/>
        <w:rPr>
          <w:rFonts w:ascii="Arial"/>
          <w:color w:val="auto"/>
          <w:sz w:val="21"/>
          <w:highlight w:val="none"/>
        </w:rPr>
      </w:pPr>
    </w:p>
    <w:p>
      <w:pPr>
        <w:spacing w:line="256" w:lineRule="auto"/>
        <w:rPr>
          <w:rFonts w:ascii="Arial"/>
          <w:color w:val="auto"/>
          <w:sz w:val="21"/>
          <w:highlight w:val="none"/>
        </w:rPr>
      </w:pPr>
    </w:p>
    <w:p>
      <w:pPr>
        <w:pStyle w:val="13"/>
        <w:spacing w:before="68" w:line="220" w:lineRule="auto"/>
        <w:rPr>
          <w:color w:val="auto"/>
          <w:sz w:val="21"/>
          <w:szCs w:val="21"/>
          <w:highlight w:val="none"/>
        </w:rPr>
      </w:pPr>
      <w:r>
        <w:rPr>
          <w:color w:val="auto"/>
          <w:spacing w:val="-1"/>
          <w:sz w:val="21"/>
          <w:szCs w:val="21"/>
          <w:highlight w:val="none"/>
        </w:rPr>
        <w:t>评标委员会：</w:t>
      </w:r>
    </w:p>
    <w:p>
      <w:pPr>
        <w:spacing w:line="278" w:lineRule="auto"/>
        <w:rPr>
          <w:rFonts w:ascii="Arial"/>
          <w:color w:val="auto"/>
          <w:sz w:val="21"/>
          <w:highlight w:val="none"/>
        </w:rPr>
      </w:pPr>
    </w:p>
    <w:p>
      <w:pPr>
        <w:spacing w:line="278" w:lineRule="auto"/>
        <w:rPr>
          <w:rFonts w:ascii="Arial"/>
          <w:color w:val="auto"/>
          <w:sz w:val="21"/>
          <w:highlight w:val="none"/>
        </w:rPr>
      </w:pPr>
    </w:p>
    <w:p>
      <w:pPr>
        <w:pStyle w:val="13"/>
        <w:spacing w:before="69" w:line="221" w:lineRule="auto"/>
        <w:ind w:left="447"/>
        <w:rPr>
          <w:color w:val="auto"/>
          <w:sz w:val="21"/>
          <w:szCs w:val="21"/>
          <w:highlight w:val="none"/>
        </w:rPr>
      </w:pPr>
      <w:r>
        <w:rPr>
          <w:color w:val="auto"/>
          <w:spacing w:val="-1"/>
          <w:sz w:val="21"/>
          <w:szCs w:val="21"/>
          <w:highlight w:val="none"/>
        </w:rPr>
        <w:t>问题澄清通知（编号</w:t>
      </w:r>
      <w:r>
        <w:rPr>
          <w:color w:val="auto"/>
          <w:spacing w:val="-13"/>
          <w:sz w:val="21"/>
          <w:szCs w:val="21"/>
          <w:highlight w:val="none"/>
        </w:rPr>
        <w:t>：</w:t>
      </w:r>
      <w:r>
        <w:rPr>
          <w:color w:val="auto"/>
          <w:spacing w:val="14"/>
          <w:sz w:val="21"/>
          <w:szCs w:val="21"/>
          <w:highlight w:val="none"/>
          <w:u w:val="single" w:color="auto"/>
        </w:rPr>
        <w:t xml:space="preserve">       </w:t>
      </w:r>
      <w:r>
        <w:rPr>
          <w:color w:val="auto"/>
          <w:spacing w:val="-13"/>
          <w:sz w:val="21"/>
          <w:szCs w:val="21"/>
          <w:highlight w:val="none"/>
        </w:rPr>
        <w:t>）</w:t>
      </w:r>
      <w:r>
        <w:rPr>
          <w:color w:val="auto"/>
          <w:spacing w:val="-1"/>
          <w:sz w:val="21"/>
          <w:szCs w:val="21"/>
          <w:highlight w:val="none"/>
        </w:rPr>
        <w:t>已收悉，现澄清、说明或补正如下：</w:t>
      </w:r>
    </w:p>
    <w:p>
      <w:pPr>
        <w:spacing w:before="226" w:line="233" w:lineRule="auto"/>
        <w:ind w:left="754"/>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8"/>
          <w:sz w:val="21"/>
          <w:szCs w:val="21"/>
          <w:highlight w:val="none"/>
        </w:rPr>
        <w:t>1.</w:t>
      </w:r>
    </w:p>
    <w:p>
      <w:pPr>
        <w:spacing w:before="205" w:line="233" w:lineRule="auto"/>
        <w:ind w:left="733"/>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2"/>
          <w:sz w:val="21"/>
          <w:szCs w:val="21"/>
          <w:highlight w:val="none"/>
        </w:rPr>
        <w:t>2.</w:t>
      </w:r>
    </w:p>
    <w:p>
      <w:pPr>
        <w:spacing w:line="268" w:lineRule="auto"/>
        <w:rPr>
          <w:rFonts w:ascii="Arial"/>
          <w:color w:val="auto"/>
          <w:sz w:val="21"/>
          <w:highlight w:val="none"/>
        </w:rPr>
      </w:pPr>
    </w:p>
    <w:p>
      <w:pPr>
        <w:spacing w:before="61" w:line="66" w:lineRule="exact"/>
        <w:ind w:left="638"/>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3"/>
          <w:position w:val="1"/>
          <w:sz w:val="21"/>
          <w:szCs w:val="21"/>
          <w:highlight w:val="none"/>
        </w:rPr>
        <w:t>.....</w:t>
      </w: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pStyle w:val="13"/>
        <w:spacing w:before="68" w:line="388" w:lineRule="auto"/>
        <w:ind w:left="2" w:right="8" w:firstLine="419"/>
        <w:rPr>
          <w:color w:val="auto"/>
          <w:sz w:val="21"/>
          <w:szCs w:val="21"/>
          <w:highlight w:val="none"/>
        </w:rPr>
      </w:pPr>
      <w:r>
        <w:rPr>
          <w:color w:val="auto"/>
          <w:sz w:val="21"/>
          <w:szCs w:val="21"/>
          <w:highlight w:val="none"/>
        </w:rPr>
        <w:t>上述问题澄清、说明或补正，不改变我方投标文件的实质性内容，构成我方投标文件的组</w:t>
      </w:r>
      <w:r>
        <w:rPr>
          <w:color w:val="auto"/>
          <w:spacing w:val="14"/>
          <w:sz w:val="21"/>
          <w:szCs w:val="21"/>
          <w:highlight w:val="none"/>
        </w:rPr>
        <w:t xml:space="preserve"> </w:t>
      </w:r>
      <w:r>
        <w:rPr>
          <w:color w:val="auto"/>
          <w:spacing w:val="-2"/>
          <w:sz w:val="21"/>
          <w:szCs w:val="21"/>
          <w:highlight w:val="none"/>
        </w:rPr>
        <w:t>成部分。</w:t>
      </w:r>
    </w:p>
    <w:p>
      <w:pPr>
        <w:spacing w:line="331" w:lineRule="auto"/>
        <w:rPr>
          <w:rFonts w:ascii="Arial"/>
          <w:color w:val="auto"/>
          <w:sz w:val="21"/>
          <w:highlight w:val="none"/>
        </w:rPr>
      </w:pPr>
    </w:p>
    <w:p>
      <w:pPr>
        <w:spacing w:line="331" w:lineRule="auto"/>
        <w:rPr>
          <w:rFonts w:ascii="Arial"/>
          <w:color w:val="auto"/>
          <w:sz w:val="21"/>
          <w:highlight w:val="none"/>
        </w:rPr>
      </w:pPr>
    </w:p>
    <w:p>
      <w:pPr>
        <w:pStyle w:val="13"/>
        <w:spacing w:before="69" w:line="220" w:lineRule="auto"/>
        <w:ind w:left="2946"/>
        <w:rPr>
          <w:color w:val="auto"/>
          <w:sz w:val="21"/>
          <w:szCs w:val="21"/>
          <w:highlight w:val="none"/>
        </w:rPr>
      </w:pPr>
      <w:r>
        <w:rPr>
          <w:color w:val="auto"/>
          <w:spacing w:val="-1"/>
          <w:sz w:val="21"/>
          <w:szCs w:val="21"/>
          <w:highlight w:val="none"/>
        </w:rPr>
        <w:t>投标人</w:t>
      </w:r>
      <w:r>
        <w:rPr>
          <w:color w:val="auto"/>
          <w:spacing w:val="1"/>
          <w:sz w:val="21"/>
          <w:szCs w:val="21"/>
          <w:highlight w:val="none"/>
        </w:rPr>
        <w:t>：</w:t>
      </w:r>
      <w:r>
        <w:rPr>
          <w:color w:val="auto"/>
          <w:spacing w:val="1"/>
          <w:sz w:val="21"/>
          <w:szCs w:val="21"/>
          <w:highlight w:val="none"/>
          <w:u w:val="single" w:color="auto"/>
        </w:rPr>
        <w:t xml:space="preserve">                               </w:t>
      </w:r>
      <w:r>
        <w:rPr>
          <w:color w:val="auto"/>
          <w:sz w:val="21"/>
          <w:szCs w:val="21"/>
          <w:highlight w:val="none"/>
          <w:u w:val="single" w:color="auto"/>
        </w:rPr>
        <w:t xml:space="preserve">  </w:t>
      </w:r>
      <w:r>
        <w:rPr>
          <w:color w:val="auto"/>
          <w:spacing w:val="1"/>
          <w:sz w:val="21"/>
          <w:szCs w:val="21"/>
          <w:highlight w:val="none"/>
        </w:rPr>
        <w:t>（</w:t>
      </w:r>
      <w:r>
        <w:rPr>
          <w:color w:val="auto"/>
          <w:spacing w:val="-1"/>
          <w:sz w:val="21"/>
          <w:szCs w:val="21"/>
          <w:highlight w:val="none"/>
        </w:rPr>
        <w:t>盖单位章）</w:t>
      </w:r>
    </w:p>
    <w:p>
      <w:pPr>
        <w:pStyle w:val="13"/>
        <w:spacing w:before="294" w:line="221" w:lineRule="auto"/>
        <w:jc w:val="right"/>
        <w:rPr>
          <w:color w:val="auto"/>
          <w:sz w:val="21"/>
          <w:szCs w:val="21"/>
          <w:highlight w:val="none"/>
        </w:rPr>
      </w:pPr>
      <w:r>
        <w:rPr>
          <w:color w:val="auto"/>
          <w:spacing w:val="-7"/>
          <w:sz w:val="21"/>
          <w:szCs w:val="21"/>
          <w:highlight w:val="none"/>
        </w:rPr>
        <w:t>法定代表人（单位负责人）或其委托代理人</w:t>
      </w:r>
      <w:r>
        <w:rPr>
          <w:color w:val="auto"/>
          <w:spacing w:val="-24"/>
          <w:sz w:val="21"/>
          <w:szCs w:val="21"/>
          <w:highlight w:val="none"/>
        </w:rPr>
        <w:t>：</w:t>
      </w:r>
      <w:r>
        <w:rPr>
          <w:color w:val="auto"/>
          <w:sz w:val="21"/>
          <w:szCs w:val="21"/>
          <w:highlight w:val="none"/>
          <w:u w:val="single" w:color="auto"/>
        </w:rPr>
        <w:t xml:space="preserve">        </w:t>
      </w:r>
      <w:r>
        <w:rPr>
          <w:color w:val="auto"/>
          <w:spacing w:val="-24"/>
          <w:sz w:val="21"/>
          <w:szCs w:val="21"/>
          <w:highlight w:val="none"/>
        </w:rPr>
        <w:t>（</w:t>
      </w:r>
      <w:r>
        <w:rPr>
          <w:color w:val="auto"/>
          <w:spacing w:val="-7"/>
          <w:sz w:val="21"/>
          <w:szCs w:val="21"/>
          <w:highlight w:val="none"/>
        </w:rPr>
        <w:t>签字）</w:t>
      </w:r>
    </w:p>
    <w:p>
      <w:pPr>
        <w:spacing w:line="267" w:lineRule="auto"/>
        <w:rPr>
          <w:rFonts w:ascii="Arial"/>
          <w:color w:val="auto"/>
          <w:sz w:val="21"/>
          <w:highlight w:val="none"/>
        </w:rPr>
      </w:pPr>
    </w:p>
    <w:p>
      <w:pPr>
        <w:spacing w:line="267" w:lineRule="auto"/>
        <w:rPr>
          <w:rFonts w:ascii="Arial"/>
          <w:color w:val="auto"/>
          <w:sz w:val="21"/>
          <w:highlight w:val="none"/>
        </w:rPr>
      </w:pPr>
    </w:p>
    <w:p>
      <w:pPr>
        <w:spacing w:line="267" w:lineRule="auto"/>
        <w:rPr>
          <w:rFonts w:ascii="Arial"/>
          <w:color w:val="auto"/>
          <w:sz w:val="21"/>
          <w:highlight w:val="none"/>
        </w:rPr>
      </w:pPr>
    </w:p>
    <w:p>
      <w:pPr>
        <w:pStyle w:val="13"/>
        <w:tabs>
          <w:tab w:val="left" w:pos="6327"/>
        </w:tabs>
        <w:spacing w:before="69" w:line="221" w:lineRule="auto"/>
        <w:ind w:left="5487"/>
        <w:rPr>
          <w:color w:val="auto"/>
          <w:sz w:val="21"/>
          <w:szCs w:val="21"/>
          <w:highlight w:val="none"/>
        </w:rPr>
      </w:pPr>
      <w:r>
        <w:rPr>
          <w:color w:val="auto"/>
          <w:sz w:val="21"/>
          <w:szCs w:val="21"/>
          <w:highlight w:val="none"/>
          <w:u w:val="single" w:color="auto"/>
        </w:rPr>
        <w:tab/>
      </w:r>
      <w:r>
        <w:rPr>
          <w:color w:val="auto"/>
          <w:spacing w:val="-95"/>
          <w:sz w:val="21"/>
          <w:szCs w:val="21"/>
          <w:highlight w:val="none"/>
        </w:rPr>
        <w:t xml:space="preserve"> </w:t>
      </w:r>
      <w:r>
        <w:rPr>
          <w:color w:val="auto"/>
          <w:spacing w:val="-22"/>
          <w:sz w:val="21"/>
          <w:szCs w:val="21"/>
          <w:highlight w:val="none"/>
        </w:rPr>
        <w:t>年</w:t>
      </w:r>
      <w:r>
        <w:rPr>
          <w:color w:val="auto"/>
          <w:spacing w:val="14"/>
          <w:sz w:val="21"/>
          <w:szCs w:val="21"/>
          <w:highlight w:val="none"/>
          <w:u w:val="single" w:color="auto"/>
        </w:rPr>
        <w:t xml:space="preserve">      </w:t>
      </w:r>
      <w:r>
        <w:rPr>
          <w:color w:val="auto"/>
          <w:spacing w:val="-87"/>
          <w:sz w:val="21"/>
          <w:szCs w:val="21"/>
          <w:highlight w:val="none"/>
        </w:rPr>
        <w:t xml:space="preserve"> </w:t>
      </w:r>
      <w:r>
        <w:rPr>
          <w:color w:val="auto"/>
          <w:spacing w:val="-22"/>
          <w:sz w:val="21"/>
          <w:szCs w:val="21"/>
          <w:highlight w:val="none"/>
        </w:rPr>
        <w:t>月</w:t>
      </w:r>
      <w:r>
        <w:rPr>
          <w:color w:val="auto"/>
          <w:spacing w:val="14"/>
          <w:sz w:val="21"/>
          <w:szCs w:val="21"/>
          <w:highlight w:val="none"/>
          <w:u w:val="single" w:color="auto"/>
        </w:rPr>
        <w:t xml:space="preserve">       </w:t>
      </w:r>
      <w:r>
        <w:rPr>
          <w:color w:val="auto"/>
          <w:spacing w:val="-55"/>
          <w:sz w:val="21"/>
          <w:szCs w:val="21"/>
          <w:highlight w:val="none"/>
        </w:rPr>
        <w:t xml:space="preserve"> </w:t>
      </w:r>
      <w:r>
        <w:rPr>
          <w:color w:val="auto"/>
          <w:spacing w:val="-22"/>
          <w:sz w:val="21"/>
          <w:szCs w:val="21"/>
          <w:highlight w:val="none"/>
        </w:rPr>
        <w:t>日</w:t>
      </w:r>
    </w:p>
    <w:p>
      <w:pPr>
        <w:spacing w:line="221" w:lineRule="auto"/>
        <w:rPr>
          <w:color w:val="auto"/>
          <w:sz w:val="21"/>
          <w:szCs w:val="21"/>
          <w:highlight w:val="none"/>
        </w:rPr>
        <w:sectPr>
          <w:footerReference r:id="rId8" w:type="default"/>
          <w:pgSz w:w="12240" w:h="15840"/>
          <w:pgMar w:top="1346" w:right="1795" w:bottom="1121" w:left="1807" w:header="0" w:footer="894" w:gutter="0"/>
          <w:pgNumType w:fmt="decimal"/>
          <w:cols w:space="720" w:num="1"/>
        </w:sectPr>
      </w:pPr>
    </w:p>
    <w:p>
      <w:pPr>
        <w:spacing w:before="136" w:line="220" w:lineRule="auto"/>
        <w:ind w:left="163"/>
        <w:outlineLvl w:val="2"/>
        <w:rPr>
          <w:rFonts w:ascii="黑体" w:hAnsi="黑体" w:eastAsia="黑体" w:cs="黑体"/>
          <w:color w:val="auto"/>
          <w:sz w:val="28"/>
          <w:szCs w:val="28"/>
          <w:highlight w:val="none"/>
        </w:rPr>
      </w:pPr>
      <w:bookmarkStart w:id="80" w:name="bookmark79"/>
      <w:bookmarkEnd w:id="80"/>
      <w:r>
        <w:rPr>
          <w:rFonts w:ascii="黑体" w:hAnsi="黑体" w:eastAsia="黑体" w:cs="黑体"/>
          <w:color w:val="auto"/>
          <w:spacing w:val="-3"/>
          <w:sz w:val="28"/>
          <w:szCs w:val="28"/>
          <w:highlight w:val="none"/>
        </w:rPr>
        <w:t>附件四：中标通知书</w:t>
      </w:r>
    </w:p>
    <w:p>
      <w:pPr>
        <w:spacing w:line="296" w:lineRule="auto"/>
        <w:rPr>
          <w:rFonts w:ascii="Arial"/>
          <w:color w:val="auto"/>
          <w:sz w:val="21"/>
          <w:highlight w:val="none"/>
        </w:rPr>
      </w:pPr>
    </w:p>
    <w:p>
      <w:pPr>
        <w:spacing w:line="296" w:lineRule="auto"/>
        <w:rPr>
          <w:rFonts w:ascii="Arial"/>
          <w:color w:val="auto"/>
          <w:sz w:val="21"/>
          <w:highlight w:val="none"/>
        </w:rPr>
      </w:pPr>
    </w:p>
    <w:p>
      <w:pPr>
        <w:spacing w:line="297" w:lineRule="auto"/>
        <w:rPr>
          <w:rFonts w:ascii="Arial"/>
          <w:color w:val="auto"/>
          <w:sz w:val="21"/>
          <w:highlight w:val="none"/>
          <w:u w:val="single"/>
        </w:rPr>
      </w:pPr>
    </w:p>
    <w:p>
      <w:pPr>
        <w:spacing w:line="360" w:lineRule="auto"/>
        <w:jc w:val="cente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（按广州公共资源交易中心格式）</w:t>
      </w:r>
    </w:p>
    <w:p>
      <w:pPr>
        <w:spacing w:before="136" w:line="220" w:lineRule="auto"/>
        <w:ind w:left="163"/>
        <w:outlineLvl w:val="2"/>
        <w:rPr>
          <w:rFonts w:ascii="黑体" w:hAnsi="黑体" w:eastAsia="黑体" w:cs="黑体"/>
          <w:color w:val="auto"/>
          <w:spacing w:val="-3"/>
          <w:sz w:val="28"/>
          <w:szCs w:val="28"/>
          <w:highlight w:val="none"/>
        </w:rPr>
      </w:pPr>
      <w:bookmarkStart w:id="81" w:name="bookmark80"/>
      <w:bookmarkEnd w:id="81"/>
    </w:p>
    <w:p>
      <w:pPr>
        <w:spacing w:before="136" w:line="220" w:lineRule="auto"/>
        <w:ind w:left="163"/>
        <w:outlineLvl w:val="2"/>
        <w:rPr>
          <w:rFonts w:ascii="黑体" w:hAnsi="黑体" w:eastAsia="黑体" w:cs="黑体"/>
          <w:color w:val="auto"/>
          <w:spacing w:val="-3"/>
          <w:sz w:val="28"/>
          <w:szCs w:val="28"/>
          <w:highlight w:val="none"/>
        </w:rPr>
      </w:pPr>
    </w:p>
    <w:p>
      <w:pPr>
        <w:spacing w:before="136" w:line="220" w:lineRule="auto"/>
        <w:ind w:left="163"/>
        <w:outlineLvl w:val="2"/>
        <w:rPr>
          <w:rFonts w:ascii="黑体" w:hAnsi="黑体" w:eastAsia="黑体" w:cs="黑体"/>
          <w:color w:val="auto"/>
          <w:spacing w:val="-3"/>
          <w:sz w:val="28"/>
          <w:szCs w:val="28"/>
          <w:highlight w:val="none"/>
        </w:rPr>
      </w:pPr>
    </w:p>
    <w:p>
      <w:pPr>
        <w:spacing w:before="136" w:line="220" w:lineRule="auto"/>
        <w:ind w:left="163"/>
        <w:outlineLvl w:val="2"/>
        <w:rPr>
          <w:rFonts w:ascii="黑体" w:hAnsi="黑体" w:eastAsia="黑体" w:cs="黑体"/>
          <w:color w:val="auto"/>
          <w:spacing w:val="-3"/>
          <w:sz w:val="28"/>
          <w:szCs w:val="28"/>
          <w:highlight w:val="none"/>
        </w:rPr>
      </w:pPr>
    </w:p>
    <w:p>
      <w:pPr>
        <w:spacing w:before="136" w:line="220" w:lineRule="auto"/>
        <w:ind w:left="163"/>
        <w:outlineLvl w:val="2"/>
        <w:rPr>
          <w:rFonts w:ascii="黑体" w:hAnsi="黑体" w:eastAsia="黑体" w:cs="黑体"/>
          <w:color w:val="auto"/>
          <w:spacing w:val="-3"/>
          <w:sz w:val="28"/>
          <w:szCs w:val="28"/>
          <w:highlight w:val="none"/>
        </w:rPr>
      </w:pPr>
    </w:p>
    <w:p>
      <w:pPr>
        <w:spacing w:before="136" w:line="220" w:lineRule="auto"/>
        <w:ind w:left="163"/>
        <w:outlineLvl w:val="2"/>
        <w:rPr>
          <w:rFonts w:ascii="黑体" w:hAnsi="黑体" w:eastAsia="黑体" w:cs="黑体"/>
          <w:color w:val="auto"/>
          <w:spacing w:val="-3"/>
          <w:sz w:val="28"/>
          <w:szCs w:val="28"/>
          <w:highlight w:val="none"/>
        </w:rPr>
      </w:pPr>
    </w:p>
    <w:p>
      <w:pPr>
        <w:spacing w:before="136" w:line="220" w:lineRule="auto"/>
        <w:ind w:left="163"/>
        <w:outlineLvl w:val="2"/>
        <w:rPr>
          <w:rFonts w:ascii="黑体" w:hAnsi="黑体" w:eastAsia="黑体" w:cs="黑体"/>
          <w:color w:val="auto"/>
          <w:sz w:val="28"/>
          <w:szCs w:val="28"/>
          <w:highlight w:val="none"/>
        </w:rPr>
      </w:pPr>
      <w:r>
        <w:rPr>
          <w:rFonts w:ascii="黑体" w:hAnsi="黑体" w:eastAsia="黑体" w:cs="黑体"/>
          <w:color w:val="auto"/>
          <w:spacing w:val="-3"/>
          <w:sz w:val="28"/>
          <w:szCs w:val="28"/>
          <w:highlight w:val="none"/>
        </w:rPr>
        <w:t>附件五：中标结果通知书</w:t>
      </w:r>
    </w:p>
    <w:p>
      <w:pPr>
        <w:spacing w:line="296" w:lineRule="auto"/>
        <w:rPr>
          <w:rFonts w:ascii="Arial"/>
          <w:color w:val="auto"/>
          <w:sz w:val="21"/>
          <w:highlight w:val="none"/>
        </w:rPr>
      </w:pPr>
    </w:p>
    <w:p>
      <w:pPr>
        <w:spacing w:line="296" w:lineRule="auto"/>
        <w:rPr>
          <w:rFonts w:ascii="Arial"/>
          <w:color w:val="auto"/>
          <w:sz w:val="21"/>
          <w:highlight w:val="none"/>
        </w:rPr>
      </w:pPr>
    </w:p>
    <w:p>
      <w:pPr>
        <w:spacing w:line="297" w:lineRule="auto"/>
        <w:rPr>
          <w:rFonts w:ascii="Arial"/>
          <w:color w:val="auto"/>
          <w:sz w:val="21"/>
          <w:highlight w:val="none"/>
        </w:rPr>
      </w:pP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（按广州公共资源交易中心格式）</w:t>
      </w:r>
    </w:p>
    <w:p>
      <w:pPr>
        <w:pStyle w:val="13"/>
        <w:tabs>
          <w:tab w:val="left" w:pos="6749"/>
        </w:tabs>
        <w:spacing w:before="69" w:line="221" w:lineRule="auto"/>
        <w:ind w:left="6118"/>
        <w:rPr>
          <w:color w:val="auto"/>
          <w:sz w:val="21"/>
          <w:szCs w:val="21"/>
          <w:highlight w:val="none"/>
        </w:rPr>
      </w:pPr>
    </w:p>
    <w:p>
      <w:pPr>
        <w:spacing w:line="221" w:lineRule="auto"/>
        <w:rPr>
          <w:color w:val="auto"/>
          <w:sz w:val="21"/>
          <w:szCs w:val="21"/>
          <w:highlight w:val="none"/>
        </w:rPr>
        <w:sectPr>
          <w:footerReference r:id="rId9" w:type="default"/>
          <w:pgSz w:w="12240" w:h="15840"/>
          <w:pgMar w:top="1346" w:right="1797" w:bottom="1121" w:left="1800" w:header="0" w:footer="894" w:gutter="0"/>
          <w:pgNumType w:fmt="decimal"/>
          <w:cols w:space="720" w:num="1"/>
        </w:sectPr>
      </w:pPr>
    </w:p>
    <w:p>
      <w:pPr>
        <w:spacing w:before="136" w:line="219" w:lineRule="auto"/>
        <w:ind w:left="163"/>
        <w:outlineLvl w:val="2"/>
        <w:rPr>
          <w:rFonts w:ascii="黑体" w:hAnsi="黑体" w:eastAsia="黑体" w:cs="黑体"/>
          <w:color w:val="auto"/>
          <w:sz w:val="28"/>
          <w:szCs w:val="28"/>
          <w:highlight w:val="none"/>
        </w:rPr>
      </w:pPr>
      <w:bookmarkStart w:id="82" w:name="bookmark81"/>
      <w:bookmarkEnd w:id="82"/>
      <w:r>
        <w:rPr>
          <w:rFonts w:ascii="黑体" w:hAnsi="黑体" w:eastAsia="黑体" w:cs="黑体"/>
          <w:color w:val="auto"/>
          <w:spacing w:val="-3"/>
          <w:sz w:val="28"/>
          <w:szCs w:val="28"/>
          <w:highlight w:val="none"/>
        </w:rPr>
        <w:t>附件六：确认通知</w:t>
      </w:r>
    </w:p>
    <w:p>
      <w:pPr>
        <w:spacing w:line="297" w:lineRule="auto"/>
        <w:rPr>
          <w:rFonts w:ascii="Arial"/>
          <w:color w:val="auto"/>
          <w:sz w:val="21"/>
          <w:highlight w:val="none"/>
        </w:rPr>
      </w:pPr>
    </w:p>
    <w:p>
      <w:pPr>
        <w:spacing w:line="297" w:lineRule="auto"/>
        <w:rPr>
          <w:rFonts w:ascii="Arial"/>
          <w:color w:val="auto"/>
          <w:sz w:val="21"/>
          <w:highlight w:val="none"/>
        </w:rPr>
      </w:pPr>
    </w:p>
    <w:p>
      <w:pPr>
        <w:spacing w:line="297" w:lineRule="auto"/>
        <w:rPr>
          <w:rFonts w:ascii="Arial"/>
          <w:color w:val="auto"/>
          <w:sz w:val="21"/>
          <w:highlight w:val="none"/>
        </w:rPr>
      </w:pPr>
    </w:p>
    <w:p>
      <w:pPr>
        <w:spacing w:before="91" w:line="219" w:lineRule="auto"/>
        <w:ind w:left="3767"/>
        <w:rPr>
          <w:rFonts w:ascii="黑体" w:hAnsi="黑体" w:eastAsia="黑体" w:cs="黑体"/>
          <w:color w:val="auto"/>
          <w:sz w:val="28"/>
          <w:szCs w:val="28"/>
          <w:highlight w:val="none"/>
        </w:rPr>
      </w:pPr>
      <w:r>
        <w:rPr>
          <w:rFonts w:ascii="黑体" w:hAnsi="黑体" w:eastAsia="黑体" w:cs="黑体"/>
          <w:color w:val="auto"/>
          <w:spacing w:val="-2"/>
          <w:sz w:val="28"/>
          <w:szCs w:val="28"/>
          <w:highlight w:val="none"/>
        </w:rPr>
        <w:t>确认通知</w:t>
      </w:r>
    </w:p>
    <w:p>
      <w:pPr>
        <w:spacing w:line="244" w:lineRule="auto"/>
        <w:rPr>
          <w:rFonts w:ascii="Arial"/>
          <w:color w:val="auto"/>
          <w:sz w:val="21"/>
          <w:highlight w:val="none"/>
        </w:rPr>
      </w:pPr>
    </w:p>
    <w:p>
      <w:pPr>
        <w:spacing w:line="245" w:lineRule="auto"/>
        <w:rPr>
          <w:rFonts w:ascii="Arial"/>
          <w:color w:val="auto"/>
          <w:sz w:val="21"/>
          <w:highlight w:val="none"/>
        </w:rPr>
      </w:pPr>
    </w:p>
    <w:p>
      <w:pPr>
        <w:pStyle w:val="13"/>
        <w:tabs>
          <w:tab w:val="left" w:pos="2205"/>
        </w:tabs>
        <w:spacing w:before="68" w:line="221" w:lineRule="auto"/>
        <w:rPr>
          <w:color w:val="auto"/>
          <w:sz w:val="21"/>
          <w:szCs w:val="21"/>
          <w:highlight w:val="none"/>
        </w:rPr>
      </w:pPr>
      <w:r>
        <w:rPr>
          <w:color w:val="auto"/>
          <w:sz w:val="21"/>
          <w:szCs w:val="21"/>
          <w:highlight w:val="none"/>
          <w:u w:val="single" w:color="auto"/>
        </w:rPr>
        <w:tab/>
      </w:r>
      <w:r>
        <w:rPr>
          <w:color w:val="auto"/>
          <w:sz w:val="21"/>
          <w:szCs w:val="21"/>
          <w:highlight w:val="none"/>
        </w:rPr>
        <w:t>（招标人名称</w:t>
      </w:r>
      <w:r>
        <w:rPr>
          <w:color w:val="auto"/>
          <w:spacing w:val="-54"/>
          <w:w w:val="97"/>
          <w:sz w:val="21"/>
          <w:szCs w:val="21"/>
          <w:highlight w:val="none"/>
        </w:rPr>
        <w:t>）：</w:t>
      </w:r>
    </w:p>
    <w:p>
      <w:pPr>
        <w:spacing w:line="279" w:lineRule="auto"/>
        <w:rPr>
          <w:rFonts w:ascii="Arial"/>
          <w:color w:val="auto"/>
          <w:sz w:val="21"/>
          <w:highlight w:val="none"/>
        </w:rPr>
      </w:pPr>
    </w:p>
    <w:p>
      <w:pPr>
        <w:spacing w:line="279" w:lineRule="auto"/>
        <w:rPr>
          <w:rFonts w:ascii="Arial"/>
          <w:color w:val="auto"/>
          <w:sz w:val="21"/>
          <w:highlight w:val="none"/>
        </w:rPr>
      </w:pPr>
    </w:p>
    <w:p>
      <w:pPr>
        <w:pStyle w:val="13"/>
        <w:spacing w:before="68" w:line="386" w:lineRule="auto"/>
        <w:ind w:left="9" w:firstLine="419"/>
        <w:rPr>
          <w:color w:val="auto"/>
          <w:sz w:val="21"/>
          <w:szCs w:val="21"/>
          <w:highlight w:val="none"/>
        </w:rPr>
      </w:pPr>
      <w:r>
        <w:rPr>
          <w:color w:val="auto"/>
          <w:spacing w:val="-1"/>
          <w:sz w:val="21"/>
          <w:szCs w:val="21"/>
          <w:highlight w:val="none"/>
        </w:rPr>
        <w:t>你方于</w:t>
      </w:r>
      <w:r>
        <w:rPr>
          <w:color w:val="auto"/>
          <w:spacing w:val="-1"/>
          <w:sz w:val="21"/>
          <w:szCs w:val="21"/>
          <w:highlight w:val="none"/>
          <w:u w:val="single" w:color="auto"/>
        </w:rPr>
        <w:t xml:space="preserve">       </w:t>
      </w:r>
      <w:r>
        <w:rPr>
          <w:color w:val="auto"/>
          <w:spacing w:val="-96"/>
          <w:sz w:val="21"/>
          <w:szCs w:val="21"/>
          <w:highlight w:val="none"/>
        </w:rPr>
        <w:t xml:space="preserve"> </w:t>
      </w:r>
      <w:r>
        <w:rPr>
          <w:color w:val="auto"/>
          <w:spacing w:val="-1"/>
          <w:sz w:val="21"/>
          <w:szCs w:val="21"/>
          <w:highlight w:val="none"/>
        </w:rPr>
        <w:t>年</w:t>
      </w:r>
      <w:r>
        <w:rPr>
          <w:color w:val="auto"/>
          <w:spacing w:val="-1"/>
          <w:sz w:val="21"/>
          <w:szCs w:val="21"/>
          <w:highlight w:val="none"/>
          <w:u w:val="single" w:color="auto"/>
        </w:rPr>
        <w:t xml:space="preserve">       </w:t>
      </w:r>
      <w:r>
        <w:rPr>
          <w:color w:val="auto"/>
          <w:spacing w:val="-92"/>
          <w:sz w:val="21"/>
          <w:szCs w:val="21"/>
          <w:highlight w:val="none"/>
        </w:rPr>
        <w:t xml:space="preserve"> </w:t>
      </w:r>
      <w:r>
        <w:rPr>
          <w:color w:val="auto"/>
          <w:spacing w:val="-1"/>
          <w:sz w:val="21"/>
          <w:szCs w:val="21"/>
          <w:highlight w:val="none"/>
        </w:rPr>
        <w:t>月</w:t>
      </w:r>
      <w:r>
        <w:rPr>
          <w:color w:val="auto"/>
          <w:spacing w:val="-105"/>
          <w:sz w:val="21"/>
          <w:szCs w:val="21"/>
          <w:highlight w:val="none"/>
        </w:rPr>
        <w:t xml:space="preserve"> </w:t>
      </w:r>
      <w:r>
        <w:rPr>
          <w:color w:val="auto"/>
          <w:sz w:val="21"/>
          <w:szCs w:val="21"/>
          <w:highlight w:val="none"/>
          <w:u w:val="single" w:color="auto"/>
        </w:rPr>
        <w:t xml:space="preserve">       </w:t>
      </w:r>
      <w:r>
        <w:rPr>
          <w:color w:val="auto"/>
          <w:spacing w:val="-57"/>
          <w:sz w:val="21"/>
          <w:szCs w:val="21"/>
          <w:highlight w:val="none"/>
        </w:rPr>
        <w:t xml:space="preserve"> </w:t>
      </w:r>
      <w:r>
        <w:rPr>
          <w:color w:val="auto"/>
          <w:spacing w:val="-1"/>
          <w:sz w:val="21"/>
          <w:szCs w:val="21"/>
          <w:highlight w:val="none"/>
        </w:rPr>
        <w:t>日发出的</w:t>
      </w:r>
      <w:r>
        <w:rPr>
          <w:color w:val="auto"/>
          <w:spacing w:val="-1"/>
          <w:sz w:val="21"/>
          <w:szCs w:val="21"/>
          <w:highlight w:val="none"/>
          <w:u w:val="single" w:color="auto"/>
        </w:rPr>
        <w:t xml:space="preserve">         </w:t>
      </w:r>
      <w:r>
        <w:rPr>
          <w:color w:val="auto"/>
          <w:spacing w:val="-1"/>
          <w:sz w:val="21"/>
          <w:szCs w:val="21"/>
          <w:highlight w:val="none"/>
        </w:rPr>
        <w:t>（项目名称）设备采购招标关于</w:t>
      </w:r>
      <w:r>
        <w:rPr>
          <w:color w:val="auto"/>
          <w:spacing w:val="-1"/>
          <w:sz w:val="21"/>
          <w:szCs w:val="21"/>
          <w:highlight w:val="none"/>
          <w:u w:val="single" w:color="auto"/>
        </w:rPr>
        <w:t>招</w:t>
      </w:r>
      <w:r>
        <w:rPr>
          <w:color w:val="auto"/>
          <w:sz w:val="21"/>
          <w:szCs w:val="21"/>
          <w:highlight w:val="none"/>
        </w:rPr>
        <w:t xml:space="preserve"> </w:t>
      </w:r>
      <w:r>
        <w:rPr>
          <w:color w:val="auto"/>
          <w:spacing w:val="-2"/>
          <w:sz w:val="21"/>
          <w:szCs w:val="21"/>
          <w:highlight w:val="none"/>
          <w:u w:val="single" w:color="auto"/>
        </w:rPr>
        <w:t>标文件的澄清</w:t>
      </w:r>
      <w:r>
        <w:rPr>
          <w:rFonts w:ascii="Times New Roman" w:hAnsi="Times New Roman" w:eastAsia="Times New Roman" w:cs="Times New Roman"/>
          <w:color w:val="auto"/>
          <w:spacing w:val="-2"/>
          <w:sz w:val="21"/>
          <w:szCs w:val="21"/>
          <w:highlight w:val="none"/>
          <w:u w:val="single" w:color="auto"/>
        </w:rPr>
        <w:t>/</w:t>
      </w:r>
      <w:r>
        <w:rPr>
          <w:color w:val="auto"/>
          <w:spacing w:val="-2"/>
          <w:sz w:val="21"/>
          <w:szCs w:val="21"/>
          <w:highlight w:val="none"/>
          <w:u w:val="single" w:color="auto"/>
        </w:rPr>
        <w:t>修改</w:t>
      </w:r>
      <w:r>
        <w:rPr>
          <w:color w:val="auto"/>
          <w:spacing w:val="-2"/>
          <w:sz w:val="21"/>
          <w:szCs w:val="21"/>
          <w:highlight w:val="none"/>
        </w:rPr>
        <w:t>的通知，我方已于</w:t>
      </w:r>
      <w:r>
        <w:rPr>
          <w:color w:val="auto"/>
          <w:spacing w:val="-2"/>
          <w:sz w:val="21"/>
          <w:szCs w:val="21"/>
          <w:highlight w:val="none"/>
          <w:u w:val="single" w:color="auto"/>
        </w:rPr>
        <w:t xml:space="preserve">       </w:t>
      </w:r>
      <w:r>
        <w:rPr>
          <w:color w:val="auto"/>
          <w:spacing w:val="-81"/>
          <w:sz w:val="21"/>
          <w:szCs w:val="21"/>
          <w:highlight w:val="none"/>
        </w:rPr>
        <w:t xml:space="preserve"> </w:t>
      </w:r>
      <w:r>
        <w:rPr>
          <w:color w:val="auto"/>
          <w:spacing w:val="-2"/>
          <w:sz w:val="21"/>
          <w:szCs w:val="21"/>
          <w:highlight w:val="none"/>
        </w:rPr>
        <w:t>年</w:t>
      </w:r>
      <w:r>
        <w:rPr>
          <w:color w:val="auto"/>
          <w:spacing w:val="-2"/>
          <w:sz w:val="21"/>
          <w:szCs w:val="21"/>
          <w:highlight w:val="none"/>
          <w:u w:val="single" w:color="auto"/>
        </w:rPr>
        <w:t xml:space="preserve">       </w:t>
      </w:r>
      <w:r>
        <w:rPr>
          <w:color w:val="auto"/>
          <w:spacing w:val="-92"/>
          <w:sz w:val="21"/>
          <w:szCs w:val="21"/>
          <w:highlight w:val="none"/>
        </w:rPr>
        <w:t xml:space="preserve"> </w:t>
      </w:r>
      <w:r>
        <w:rPr>
          <w:color w:val="auto"/>
          <w:spacing w:val="-2"/>
          <w:sz w:val="21"/>
          <w:szCs w:val="21"/>
          <w:highlight w:val="none"/>
        </w:rPr>
        <w:t>月</w:t>
      </w:r>
      <w:r>
        <w:rPr>
          <w:color w:val="auto"/>
          <w:spacing w:val="-2"/>
          <w:sz w:val="21"/>
          <w:szCs w:val="21"/>
          <w:highlight w:val="none"/>
          <w:u w:val="single" w:color="auto"/>
        </w:rPr>
        <w:t xml:space="preserve">       </w:t>
      </w:r>
      <w:r>
        <w:rPr>
          <w:color w:val="auto"/>
          <w:spacing w:val="-60"/>
          <w:sz w:val="21"/>
          <w:szCs w:val="21"/>
          <w:highlight w:val="none"/>
        </w:rPr>
        <w:t xml:space="preserve"> </w:t>
      </w:r>
      <w:r>
        <w:rPr>
          <w:color w:val="auto"/>
          <w:spacing w:val="-2"/>
          <w:sz w:val="21"/>
          <w:szCs w:val="21"/>
          <w:highlight w:val="none"/>
        </w:rPr>
        <w:t>日收到。</w:t>
      </w:r>
    </w:p>
    <w:p>
      <w:pPr>
        <w:pStyle w:val="13"/>
        <w:spacing w:line="220" w:lineRule="auto"/>
        <w:ind w:left="430"/>
        <w:rPr>
          <w:color w:val="auto"/>
          <w:sz w:val="21"/>
          <w:szCs w:val="21"/>
          <w:highlight w:val="none"/>
        </w:rPr>
      </w:pPr>
      <w:r>
        <w:rPr>
          <w:color w:val="auto"/>
          <w:spacing w:val="-5"/>
          <w:sz w:val="21"/>
          <w:szCs w:val="21"/>
          <w:highlight w:val="none"/>
        </w:rPr>
        <w:t>特此确认。</w:t>
      </w:r>
    </w:p>
    <w:p>
      <w:pPr>
        <w:spacing w:line="284" w:lineRule="auto"/>
        <w:rPr>
          <w:rFonts w:ascii="Arial"/>
          <w:color w:val="auto"/>
          <w:sz w:val="21"/>
          <w:highlight w:val="none"/>
        </w:rPr>
      </w:pPr>
    </w:p>
    <w:p>
      <w:pPr>
        <w:spacing w:line="284" w:lineRule="auto"/>
        <w:rPr>
          <w:rFonts w:ascii="Arial"/>
          <w:color w:val="auto"/>
          <w:sz w:val="21"/>
          <w:highlight w:val="none"/>
        </w:rPr>
      </w:pPr>
    </w:p>
    <w:p>
      <w:pPr>
        <w:spacing w:line="285" w:lineRule="auto"/>
        <w:rPr>
          <w:rFonts w:ascii="Arial"/>
          <w:color w:val="auto"/>
          <w:sz w:val="21"/>
          <w:highlight w:val="none"/>
        </w:rPr>
      </w:pPr>
    </w:p>
    <w:p>
      <w:pPr>
        <w:pStyle w:val="13"/>
        <w:spacing w:before="69" w:line="220" w:lineRule="auto"/>
        <w:ind w:left="2425"/>
        <w:rPr>
          <w:color w:val="auto"/>
          <w:sz w:val="21"/>
          <w:szCs w:val="21"/>
          <w:highlight w:val="none"/>
        </w:rPr>
      </w:pPr>
      <w:r>
        <w:rPr>
          <w:color w:val="auto"/>
          <w:spacing w:val="2"/>
          <w:sz w:val="21"/>
          <w:szCs w:val="21"/>
          <w:highlight w:val="none"/>
        </w:rPr>
        <w:t>投标人</w:t>
      </w:r>
      <w:r>
        <w:rPr>
          <w:color w:val="auto"/>
          <w:spacing w:val="-13"/>
          <w:sz w:val="21"/>
          <w:szCs w:val="21"/>
          <w:highlight w:val="none"/>
        </w:rPr>
        <w:t>：</w:t>
      </w:r>
      <w:r>
        <w:rPr>
          <w:color w:val="auto"/>
          <w:spacing w:val="3"/>
          <w:sz w:val="21"/>
          <w:szCs w:val="21"/>
          <w:highlight w:val="none"/>
          <w:u w:val="single" w:color="auto"/>
        </w:rPr>
        <w:t xml:space="preserve">                             </w:t>
      </w:r>
      <w:r>
        <w:rPr>
          <w:color w:val="auto"/>
          <w:spacing w:val="2"/>
          <w:sz w:val="21"/>
          <w:szCs w:val="21"/>
          <w:highlight w:val="none"/>
          <w:u w:val="single" w:color="auto"/>
        </w:rPr>
        <w:t xml:space="preserve">      </w:t>
      </w:r>
      <w:r>
        <w:rPr>
          <w:color w:val="auto"/>
          <w:spacing w:val="-13"/>
          <w:sz w:val="21"/>
          <w:szCs w:val="21"/>
          <w:highlight w:val="none"/>
        </w:rPr>
        <w:t>（</w:t>
      </w:r>
      <w:r>
        <w:rPr>
          <w:color w:val="auto"/>
          <w:spacing w:val="2"/>
          <w:sz w:val="21"/>
          <w:szCs w:val="21"/>
          <w:highlight w:val="none"/>
        </w:rPr>
        <w:t>盖单位章）</w:t>
      </w:r>
    </w:p>
    <w:p>
      <w:pPr>
        <w:pStyle w:val="13"/>
        <w:spacing w:before="294" w:line="221" w:lineRule="auto"/>
        <w:ind w:left="2424"/>
        <w:rPr>
          <w:color w:val="auto"/>
          <w:sz w:val="21"/>
          <w:szCs w:val="21"/>
          <w:highlight w:val="none"/>
        </w:rPr>
      </w:pPr>
      <w:r>
        <w:rPr>
          <w:color w:val="auto"/>
          <w:spacing w:val="-1"/>
          <w:sz w:val="21"/>
          <w:szCs w:val="21"/>
          <w:highlight w:val="none"/>
        </w:rPr>
        <w:t>法定代表人（单位负责人）或委托代理人</w:t>
      </w:r>
      <w:r>
        <w:rPr>
          <w:color w:val="auto"/>
          <w:spacing w:val="4"/>
          <w:sz w:val="21"/>
          <w:szCs w:val="21"/>
          <w:highlight w:val="none"/>
        </w:rPr>
        <w:t>：</w:t>
      </w:r>
      <w:r>
        <w:rPr>
          <w:color w:val="auto"/>
          <w:spacing w:val="14"/>
          <w:sz w:val="21"/>
          <w:szCs w:val="21"/>
          <w:highlight w:val="none"/>
          <w:u w:val="single" w:color="auto"/>
        </w:rPr>
        <w:t xml:space="preserve">       </w:t>
      </w:r>
      <w:r>
        <w:rPr>
          <w:color w:val="auto"/>
          <w:spacing w:val="4"/>
          <w:sz w:val="21"/>
          <w:szCs w:val="21"/>
          <w:highlight w:val="none"/>
        </w:rPr>
        <w:t>（</w:t>
      </w:r>
      <w:r>
        <w:rPr>
          <w:color w:val="auto"/>
          <w:spacing w:val="-1"/>
          <w:sz w:val="21"/>
          <w:szCs w:val="21"/>
          <w:highlight w:val="none"/>
        </w:rPr>
        <w:t>签字）</w:t>
      </w:r>
    </w:p>
    <w:p>
      <w:pPr>
        <w:spacing w:line="267" w:lineRule="auto"/>
        <w:rPr>
          <w:rFonts w:ascii="Arial"/>
          <w:color w:val="auto"/>
          <w:sz w:val="21"/>
          <w:highlight w:val="none"/>
        </w:rPr>
      </w:pPr>
    </w:p>
    <w:p>
      <w:pPr>
        <w:spacing w:line="268" w:lineRule="auto"/>
        <w:rPr>
          <w:rFonts w:ascii="Arial"/>
          <w:color w:val="auto"/>
          <w:sz w:val="21"/>
          <w:highlight w:val="none"/>
        </w:rPr>
      </w:pPr>
    </w:p>
    <w:p>
      <w:pPr>
        <w:spacing w:line="268" w:lineRule="auto"/>
        <w:rPr>
          <w:rFonts w:ascii="Arial"/>
          <w:color w:val="auto"/>
          <w:sz w:val="21"/>
          <w:highlight w:val="none"/>
        </w:rPr>
      </w:pPr>
    </w:p>
    <w:p>
      <w:pPr>
        <w:pStyle w:val="13"/>
        <w:tabs>
          <w:tab w:val="left" w:pos="6542"/>
        </w:tabs>
        <w:spacing w:before="69"/>
        <w:ind w:left="5806"/>
        <w:rPr>
          <w:rFonts w:hint="eastAsia" w:ascii="宋体" w:hAnsi="宋体" w:eastAsia="宋体" w:cs="宋体"/>
          <w:color w:val="auto"/>
          <w:szCs w:val="21"/>
          <w:highlight w:val="none"/>
        </w:rPr>
      </w:pPr>
      <w:r>
        <w:rPr>
          <w:color w:val="auto"/>
          <w:sz w:val="21"/>
          <w:szCs w:val="21"/>
          <w:highlight w:val="none"/>
          <w:u w:val="single" w:color="auto"/>
        </w:rPr>
        <w:tab/>
      </w:r>
      <w:r>
        <w:rPr>
          <w:color w:val="auto"/>
          <w:spacing w:val="-94"/>
          <w:sz w:val="21"/>
          <w:szCs w:val="21"/>
          <w:highlight w:val="none"/>
        </w:rPr>
        <w:t xml:space="preserve"> </w:t>
      </w:r>
      <w:r>
        <w:rPr>
          <w:color w:val="auto"/>
          <w:spacing w:val="-22"/>
          <w:sz w:val="21"/>
          <w:szCs w:val="21"/>
          <w:highlight w:val="none"/>
        </w:rPr>
        <w:t>年</w:t>
      </w:r>
      <w:r>
        <w:rPr>
          <w:color w:val="auto"/>
          <w:spacing w:val="17"/>
          <w:sz w:val="21"/>
          <w:szCs w:val="21"/>
          <w:highlight w:val="none"/>
          <w:u w:val="single" w:color="auto"/>
        </w:rPr>
        <w:t xml:space="preserve">     </w:t>
      </w:r>
      <w:r>
        <w:rPr>
          <w:color w:val="auto"/>
          <w:spacing w:val="-90"/>
          <w:sz w:val="21"/>
          <w:szCs w:val="21"/>
          <w:highlight w:val="none"/>
        </w:rPr>
        <w:t xml:space="preserve"> </w:t>
      </w:r>
      <w:r>
        <w:rPr>
          <w:color w:val="auto"/>
          <w:spacing w:val="-22"/>
          <w:sz w:val="21"/>
          <w:szCs w:val="21"/>
          <w:highlight w:val="none"/>
        </w:rPr>
        <w:t>月</w:t>
      </w:r>
      <w:r>
        <w:rPr>
          <w:color w:val="auto"/>
          <w:spacing w:val="17"/>
          <w:sz w:val="21"/>
          <w:szCs w:val="21"/>
          <w:highlight w:val="none"/>
          <w:u w:val="single" w:color="auto"/>
        </w:rPr>
        <w:t xml:space="preserve">     </w:t>
      </w:r>
      <w:r>
        <w:rPr>
          <w:color w:val="auto"/>
          <w:spacing w:val="-60"/>
          <w:sz w:val="21"/>
          <w:szCs w:val="21"/>
          <w:highlight w:val="none"/>
        </w:rPr>
        <w:t xml:space="preserve"> </w:t>
      </w:r>
      <w:r>
        <w:rPr>
          <w:color w:val="auto"/>
          <w:spacing w:val="-22"/>
          <w:sz w:val="21"/>
          <w:szCs w:val="21"/>
          <w:highlight w:val="none"/>
        </w:rPr>
        <w:t>日</w:t>
      </w:r>
      <w:r>
        <w:rPr>
          <w:rFonts w:hint="eastAsia" w:ascii="宋体" w:hAnsi="宋体" w:eastAsia="宋体" w:cs="宋体"/>
          <w:color w:val="auto"/>
          <w:sz w:val="24"/>
          <w:szCs w:val="24"/>
          <w:highlight w:val="none"/>
        </w:rPr>
        <w:br w:type="page"/>
      </w:r>
    </w:p>
    <w:p>
      <w:pPr>
        <w:pStyle w:val="3"/>
        <w:jc w:val="center"/>
        <w:rPr>
          <w:rFonts w:hint="eastAsia" w:ascii="宋体" w:hAnsi="宋体" w:eastAsia="宋体" w:cs="宋体"/>
          <w:color w:val="auto"/>
          <w:highlight w:val="none"/>
        </w:rPr>
      </w:pPr>
      <w:bookmarkStart w:id="83" w:name="_Toc28021"/>
      <w:bookmarkStart w:id="84" w:name="_Toc25513665"/>
      <w:bookmarkStart w:id="85" w:name="_Toc5420"/>
      <w:r>
        <w:rPr>
          <w:rFonts w:hint="eastAsia" w:ascii="宋体" w:hAnsi="宋体" w:eastAsia="宋体" w:cs="宋体"/>
          <w:color w:val="auto"/>
          <w:highlight w:val="none"/>
        </w:rPr>
        <w:t>第三章评标办法（综合评估法）</w:t>
      </w:r>
      <w:bookmarkEnd w:id="83"/>
      <w:bookmarkEnd w:id="84"/>
      <w:bookmarkEnd w:id="85"/>
    </w:p>
    <w:p>
      <w:pPr>
        <w:spacing w:line="366" w:lineRule="exact"/>
        <w:ind w:left="-1" w:leftChars="-1" w:hanging="1"/>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评标办法前附表</w:t>
      </w:r>
    </w:p>
    <w:tbl>
      <w:tblPr>
        <w:tblStyle w:val="33"/>
        <w:tblW w:w="8732"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828"/>
        <w:gridCol w:w="1759"/>
        <w:gridCol w:w="5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gridSpan w:val="2"/>
            <w:vAlign w:val="center"/>
          </w:tcPr>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1759" w:type="dxa"/>
            <w:vAlign w:val="center"/>
          </w:tcPr>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评审因素</w:t>
            </w:r>
          </w:p>
        </w:tc>
        <w:tc>
          <w:tcPr>
            <w:tcW w:w="5245" w:type="dxa"/>
            <w:vAlign w:val="center"/>
          </w:tcPr>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900"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828"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评标方法</w:t>
            </w:r>
          </w:p>
        </w:tc>
        <w:tc>
          <w:tcPr>
            <w:tcW w:w="1759"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中标候选人排序方法</w:t>
            </w:r>
          </w:p>
        </w:tc>
        <w:tc>
          <w:tcPr>
            <w:tcW w:w="5245" w:type="dxa"/>
            <w:vAlign w:val="top"/>
          </w:tcPr>
          <w:p>
            <w:pPr>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本次评标采用综合评估法。评标委员会对满足招标文件实质性要求的投标文件，按照本章第 2.2 款规定的评分标准进行打分，并按得分由高到低顺序推荐中标候选人，但投标报价低于其成本的除外。</w:t>
            </w:r>
            <w:r>
              <w:rPr>
                <w:rFonts w:hint="eastAsia" w:ascii="宋体" w:hAnsi="宋体" w:eastAsia="宋体" w:cs="宋体"/>
                <w:color w:val="auto"/>
                <w:kern w:val="0"/>
                <w:szCs w:val="21"/>
                <w:highlight w:val="none"/>
                <w:u w:val="single"/>
              </w:rPr>
              <w:t>综合评分相等时，以投标报价低的优先；投标报价也相等的，以技术得分高的优先；如仍存在相同情况，则对具有相同情况的投标人，按中标候选人数量规定，由评标委员会采用记名投票的方式，确定中标候选人的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vMerge w:val="restart"/>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w:t>
            </w:r>
          </w:p>
        </w:tc>
        <w:tc>
          <w:tcPr>
            <w:tcW w:w="828" w:type="dxa"/>
            <w:vMerge w:val="restart"/>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形式评审标准</w:t>
            </w:r>
          </w:p>
        </w:tc>
        <w:tc>
          <w:tcPr>
            <w:tcW w:w="1759"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w:t>
            </w:r>
          </w:p>
        </w:tc>
        <w:tc>
          <w:tcPr>
            <w:tcW w:w="5245" w:type="dxa"/>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vMerge w:val="continue"/>
            <w:vAlign w:val="center"/>
          </w:tcPr>
          <w:p>
            <w:pPr>
              <w:widowControl/>
              <w:jc w:val="left"/>
              <w:rPr>
                <w:rFonts w:hint="eastAsia" w:ascii="宋体" w:hAnsi="宋体" w:eastAsia="宋体" w:cs="宋体"/>
                <w:color w:val="auto"/>
                <w:szCs w:val="21"/>
                <w:highlight w:val="none"/>
              </w:rPr>
            </w:pPr>
          </w:p>
        </w:tc>
        <w:tc>
          <w:tcPr>
            <w:tcW w:w="828" w:type="dxa"/>
            <w:vMerge w:val="continue"/>
            <w:vAlign w:val="center"/>
          </w:tcPr>
          <w:p>
            <w:pPr>
              <w:widowControl/>
              <w:jc w:val="left"/>
              <w:rPr>
                <w:rFonts w:hint="eastAsia" w:ascii="宋体" w:hAnsi="宋体" w:eastAsia="宋体" w:cs="宋体"/>
                <w:color w:val="auto"/>
                <w:szCs w:val="21"/>
                <w:highlight w:val="none"/>
              </w:rPr>
            </w:pPr>
          </w:p>
        </w:tc>
        <w:tc>
          <w:tcPr>
            <w:tcW w:w="1759"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投标函</w:t>
            </w:r>
            <w:r>
              <w:rPr>
                <w:rFonts w:hint="eastAsia" w:ascii="宋体" w:hAnsi="宋体" w:eastAsia="宋体" w:cs="宋体"/>
                <w:color w:val="auto"/>
                <w:szCs w:val="21"/>
                <w:highlight w:val="none"/>
                <w:u w:val="single"/>
              </w:rPr>
              <w:t>及投标函附录</w:t>
            </w:r>
            <w:r>
              <w:rPr>
                <w:rFonts w:hint="eastAsia" w:ascii="宋体" w:hAnsi="宋体" w:eastAsia="宋体" w:cs="宋体"/>
                <w:color w:val="auto"/>
                <w:szCs w:val="21"/>
                <w:highlight w:val="none"/>
              </w:rPr>
              <w:t>签字盖章</w:t>
            </w:r>
          </w:p>
        </w:tc>
        <w:tc>
          <w:tcPr>
            <w:tcW w:w="5245" w:type="dxa"/>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法定代表人（单位负责人）或其委托代理人签字或加盖单位公章。由法定代表人（单位负责人）签字的，应附法定代表人（单位负责人）身份证明，由代理人签字的，应附授权委托书，身份证明或授权委托书应符合第六章“投标文件格式”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vMerge w:val="continue"/>
            <w:vAlign w:val="center"/>
          </w:tcPr>
          <w:p>
            <w:pPr>
              <w:widowControl/>
              <w:jc w:val="left"/>
              <w:rPr>
                <w:rFonts w:hint="eastAsia" w:ascii="宋体" w:hAnsi="宋体" w:eastAsia="宋体" w:cs="宋体"/>
                <w:color w:val="auto"/>
                <w:szCs w:val="21"/>
                <w:highlight w:val="none"/>
              </w:rPr>
            </w:pPr>
          </w:p>
        </w:tc>
        <w:tc>
          <w:tcPr>
            <w:tcW w:w="828" w:type="dxa"/>
            <w:vMerge w:val="continue"/>
            <w:vAlign w:val="center"/>
          </w:tcPr>
          <w:p>
            <w:pPr>
              <w:widowControl/>
              <w:jc w:val="left"/>
              <w:rPr>
                <w:rFonts w:hint="eastAsia" w:ascii="宋体" w:hAnsi="宋体" w:eastAsia="宋体" w:cs="宋体"/>
                <w:color w:val="auto"/>
                <w:szCs w:val="21"/>
                <w:highlight w:val="none"/>
              </w:rPr>
            </w:pPr>
          </w:p>
        </w:tc>
        <w:tc>
          <w:tcPr>
            <w:tcW w:w="1759"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投标文件格式</w:t>
            </w:r>
          </w:p>
        </w:tc>
        <w:tc>
          <w:tcPr>
            <w:tcW w:w="5245" w:type="dxa"/>
            <w:vAlign w:val="center"/>
          </w:tcPr>
          <w:p>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投标函</w:t>
            </w:r>
            <w:r>
              <w:rPr>
                <w:rFonts w:hint="eastAsia" w:ascii="宋体" w:hAnsi="宋体" w:eastAsia="宋体" w:cs="宋体"/>
                <w:color w:val="auto"/>
                <w:szCs w:val="21"/>
                <w:highlight w:val="none"/>
                <w:u w:val="none"/>
              </w:rPr>
              <w:t>及投标函附录</w:t>
            </w:r>
            <w:r>
              <w:rPr>
                <w:rFonts w:hint="eastAsia" w:ascii="宋体" w:hAnsi="宋体" w:cs="宋体"/>
                <w:color w:val="auto"/>
                <w:szCs w:val="21"/>
                <w:highlight w:val="none"/>
                <w:lang w:eastAsia="zh-CN"/>
              </w:rPr>
              <w:t>、商务和技术偏差表</w:t>
            </w:r>
            <w:r>
              <w:rPr>
                <w:rFonts w:hint="eastAsia" w:ascii="宋体" w:hAnsi="宋体" w:eastAsia="宋体" w:cs="宋体"/>
                <w:color w:val="auto"/>
                <w:szCs w:val="21"/>
                <w:highlight w:val="none"/>
              </w:rPr>
              <w:t>符合第六章“投标文件格式”的规定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vMerge w:val="continue"/>
            <w:vAlign w:val="center"/>
          </w:tcPr>
          <w:p>
            <w:pPr>
              <w:widowControl/>
              <w:jc w:val="left"/>
              <w:rPr>
                <w:rFonts w:hint="eastAsia" w:ascii="宋体" w:hAnsi="宋体" w:eastAsia="宋体" w:cs="宋体"/>
                <w:color w:val="auto"/>
                <w:szCs w:val="21"/>
                <w:highlight w:val="none"/>
              </w:rPr>
            </w:pPr>
          </w:p>
        </w:tc>
        <w:tc>
          <w:tcPr>
            <w:tcW w:w="828" w:type="dxa"/>
            <w:vMerge w:val="continue"/>
            <w:vAlign w:val="center"/>
          </w:tcPr>
          <w:p>
            <w:pPr>
              <w:widowControl/>
              <w:jc w:val="left"/>
              <w:rPr>
                <w:rFonts w:hint="eastAsia" w:ascii="宋体" w:hAnsi="宋体" w:eastAsia="宋体" w:cs="宋体"/>
                <w:color w:val="auto"/>
                <w:szCs w:val="21"/>
                <w:highlight w:val="none"/>
              </w:rPr>
            </w:pPr>
          </w:p>
        </w:tc>
        <w:tc>
          <w:tcPr>
            <w:tcW w:w="1759"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备选投标方案</w:t>
            </w:r>
          </w:p>
        </w:tc>
        <w:tc>
          <w:tcPr>
            <w:tcW w:w="5245" w:type="dxa"/>
            <w:vAlign w:val="center"/>
          </w:tcPr>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除招标文件明确允许提交备选投标方案外，投标人不得提交备选投标方案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vMerge w:val="continue"/>
            <w:tcBorders>
              <w:bottom w:val="single" w:color="auto" w:sz="4" w:space="0"/>
            </w:tcBorders>
            <w:vAlign w:val="center"/>
          </w:tcPr>
          <w:p>
            <w:pPr>
              <w:widowControl/>
              <w:jc w:val="left"/>
              <w:rPr>
                <w:rFonts w:hint="eastAsia" w:ascii="宋体" w:hAnsi="宋体" w:eastAsia="宋体" w:cs="宋体"/>
                <w:color w:val="auto"/>
                <w:szCs w:val="21"/>
                <w:highlight w:val="none"/>
              </w:rPr>
            </w:pPr>
          </w:p>
        </w:tc>
        <w:tc>
          <w:tcPr>
            <w:tcW w:w="828" w:type="dxa"/>
            <w:vMerge w:val="continue"/>
            <w:tcBorders>
              <w:bottom w:val="single" w:color="auto" w:sz="4" w:space="0"/>
            </w:tcBorders>
            <w:vAlign w:val="center"/>
          </w:tcPr>
          <w:p>
            <w:pPr>
              <w:widowControl/>
              <w:jc w:val="left"/>
              <w:rPr>
                <w:rFonts w:hint="eastAsia" w:ascii="宋体" w:hAnsi="宋体" w:eastAsia="宋体" w:cs="宋体"/>
                <w:color w:val="auto"/>
                <w:szCs w:val="21"/>
                <w:highlight w:val="none"/>
              </w:rPr>
            </w:pPr>
          </w:p>
        </w:tc>
        <w:tc>
          <w:tcPr>
            <w:tcW w:w="1759" w:type="dxa"/>
            <w:tcBorders>
              <w:bottom w:val="single" w:color="auto" w:sz="4" w:space="0"/>
            </w:tcBorders>
            <w:vAlign w:val="center"/>
          </w:tcPr>
          <w:p>
            <w:pPr>
              <w:jc w:val="cente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投标人机器码</w:t>
            </w:r>
          </w:p>
        </w:tc>
        <w:tc>
          <w:tcPr>
            <w:tcW w:w="5245" w:type="dxa"/>
            <w:tcBorders>
              <w:bottom w:val="single" w:color="auto" w:sz="4" w:space="0"/>
            </w:tcBorders>
            <w:vAlign w:val="center"/>
          </w:tcPr>
          <w:p>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投标人与其他投标人加密打包投标文件电脑机器特征码一致的(以广州公共资源交易中心评标系统的检索信息为准),其投标将被否决。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2.1.2</w:t>
            </w:r>
          </w:p>
        </w:tc>
        <w:tc>
          <w:tcPr>
            <w:tcW w:w="82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资格评审标准</w:t>
            </w:r>
          </w:p>
        </w:tc>
        <w:tc>
          <w:tcPr>
            <w:tcW w:w="17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营业执照</w:t>
            </w:r>
          </w:p>
        </w:tc>
        <w:tc>
          <w:tcPr>
            <w:tcW w:w="5245" w:type="dxa"/>
            <w:tcBorders>
              <w:top w:val="single" w:color="auto" w:sz="4" w:space="0"/>
              <w:left w:val="single" w:color="auto" w:sz="4" w:space="0"/>
              <w:bottom w:val="single" w:color="auto" w:sz="4" w:space="0"/>
              <w:right w:val="single" w:color="auto" w:sz="4" w:space="0"/>
            </w:tcBorders>
            <w:vAlign w:val="center"/>
          </w:tcPr>
          <w:p>
            <w:pPr>
              <w:rPr>
                <w:rFonts w:hint="default" w:ascii="宋体" w:hAnsi="宋体" w:eastAsia="宋体" w:cs="宋体"/>
                <w:color w:val="auto"/>
                <w:szCs w:val="21"/>
                <w:highlight w:val="none"/>
                <w:u w:val="single"/>
                <w:lang w:val="en-US" w:eastAsia="zh-CN"/>
              </w:rPr>
            </w:pPr>
            <w:r>
              <w:rPr>
                <w:rFonts w:hint="eastAsia" w:ascii="宋体" w:hAnsi="宋体" w:cs="宋体"/>
                <w:color w:val="auto"/>
                <w:szCs w:val="21"/>
                <w:highlight w:val="none"/>
                <w:u w:val="single"/>
                <w:lang w:val="en-US" w:eastAsia="zh-CN"/>
              </w:rPr>
              <w:t>已提供</w:t>
            </w:r>
            <w:r>
              <w:rPr>
                <w:rFonts w:hint="eastAsia" w:ascii="宋体" w:hAnsi="宋体" w:eastAsia="宋体" w:cs="宋体"/>
                <w:color w:val="auto"/>
                <w:szCs w:val="21"/>
                <w:highlight w:val="none"/>
                <w:u w:val="single"/>
              </w:rPr>
              <w:t>有效的营业执照扫描件。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 w:hRule="atLeast"/>
        </w:trPr>
        <w:tc>
          <w:tcPr>
            <w:tcW w:w="90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p>
        </w:tc>
        <w:tc>
          <w:tcPr>
            <w:tcW w:w="82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p>
        </w:tc>
        <w:tc>
          <w:tcPr>
            <w:tcW w:w="17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lang w:eastAsia="zh-CN"/>
              </w:rPr>
              <w:t>供货及服务能力</w:t>
            </w:r>
          </w:p>
        </w:tc>
        <w:tc>
          <w:tcPr>
            <w:tcW w:w="524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u w:val="single"/>
                <w:lang w:eastAsia="zh-CN"/>
              </w:rPr>
              <w:t>投标人具备本项目的供货及服务能力。（提供承诺函，格式自拟</w:t>
            </w:r>
            <w:r>
              <w:rPr>
                <w:rFonts w:hint="eastAsia" w:ascii="宋体" w:hAnsi="宋体" w:cs="宋体"/>
                <w:color w:val="auto"/>
                <w:szCs w:val="21"/>
                <w:highlight w:val="none"/>
                <w:u w:val="single"/>
                <w:lang w:eastAsia="zh-CN"/>
              </w:rPr>
              <w:t>。</w:t>
            </w:r>
            <w:r>
              <w:rPr>
                <w:color w:val="auto"/>
                <w:sz w:val="21"/>
                <w:szCs w:val="21"/>
                <w:highlight w:val="none"/>
                <w:u w:val="single"/>
              </w:rPr>
              <w:t>代理经销商投标的情形</w:t>
            </w:r>
            <w:r>
              <w:rPr>
                <w:rFonts w:hint="eastAsia"/>
                <w:color w:val="auto"/>
                <w:sz w:val="21"/>
                <w:szCs w:val="21"/>
                <w:highlight w:val="none"/>
                <w:u w:val="single"/>
                <w:lang w:eastAsia="zh-CN"/>
              </w:rPr>
              <w:t>，</w:t>
            </w:r>
            <w:r>
              <w:rPr>
                <w:rFonts w:hint="eastAsia"/>
                <w:color w:val="auto"/>
                <w:sz w:val="21"/>
                <w:szCs w:val="21"/>
                <w:highlight w:val="none"/>
                <w:u w:val="single"/>
                <w:lang w:val="en-US" w:eastAsia="zh-CN"/>
              </w:rPr>
              <w:t>须同时</w:t>
            </w:r>
            <w:r>
              <w:rPr>
                <w:color w:val="auto"/>
                <w:sz w:val="21"/>
                <w:szCs w:val="21"/>
                <w:highlight w:val="none"/>
                <w:u w:val="single"/>
              </w:rPr>
              <w:t>附投标人及其制造商</w:t>
            </w:r>
            <w:r>
              <w:rPr>
                <w:rFonts w:hint="eastAsia"/>
                <w:color w:val="auto"/>
                <w:sz w:val="21"/>
                <w:szCs w:val="21"/>
                <w:highlight w:val="none"/>
                <w:u w:val="single"/>
                <w:lang w:val="en-US" w:eastAsia="zh-CN"/>
              </w:rPr>
              <w:t>的证明材料。</w:t>
            </w:r>
            <w:r>
              <w:rPr>
                <w:rFonts w:hint="eastAsia" w:ascii="宋体" w:hAnsi="宋体" w:eastAsia="宋体" w:cs="宋体"/>
                <w:color w:val="auto"/>
                <w:szCs w:val="21"/>
                <w:highlight w:val="none"/>
                <w:u w:val="singl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p>
        </w:tc>
        <w:tc>
          <w:tcPr>
            <w:tcW w:w="82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p>
        </w:tc>
        <w:tc>
          <w:tcPr>
            <w:tcW w:w="17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联合体投标人</w:t>
            </w:r>
          </w:p>
        </w:tc>
        <w:tc>
          <w:tcPr>
            <w:tcW w:w="524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本次招标不接受联合体投标</w:t>
            </w:r>
            <w:r>
              <w:rPr>
                <w:rFonts w:hint="eastAsia" w:ascii="宋体" w:hAnsi="宋体" w:cs="宋体"/>
                <w:color w:val="auto"/>
                <w:kern w:val="2"/>
                <w:sz w:val="21"/>
                <w:szCs w:val="21"/>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p>
        </w:tc>
        <w:tc>
          <w:tcPr>
            <w:tcW w:w="82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p>
        </w:tc>
        <w:tc>
          <w:tcPr>
            <w:tcW w:w="17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不存在禁止投标的情形</w:t>
            </w:r>
          </w:p>
        </w:tc>
        <w:tc>
          <w:tcPr>
            <w:tcW w:w="524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不存在第二章“投标人须知”第1.4.3项规定的任何一种情形</w:t>
            </w:r>
            <w:r>
              <w:rPr>
                <w:rFonts w:hint="eastAsia" w:ascii="宋体" w:hAnsi="宋体" w:eastAsia="宋体" w:cs="宋体"/>
                <w:color w:val="auto"/>
                <w:szCs w:val="21"/>
                <w:highlight w:val="none"/>
                <w:u w:val="single"/>
              </w:rPr>
              <w:t>（以</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投标函</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中的声明为评审依据）。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szCs w:val="21"/>
                <w:highlight w:val="none"/>
              </w:rPr>
            </w:pPr>
          </w:p>
        </w:tc>
        <w:tc>
          <w:tcPr>
            <w:tcW w:w="82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szCs w:val="21"/>
                <w:highlight w:val="none"/>
              </w:rPr>
            </w:pPr>
          </w:p>
        </w:tc>
        <w:tc>
          <w:tcPr>
            <w:tcW w:w="17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szCs w:val="21"/>
                <w:highlight w:val="none"/>
                <w:u w:val="single"/>
              </w:rPr>
              <w:t>投标人声明</w:t>
            </w:r>
          </w:p>
        </w:tc>
        <w:tc>
          <w:tcPr>
            <w:tcW w:w="524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szCs w:val="21"/>
                <w:highlight w:val="none"/>
                <w:u w:val="single"/>
              </w:rPr>
              <w:t>投标人已按照规定格式和内容签署盖章《投标人声明》（格式详见第六章投标文件格式）。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vMerge w:val="restart"/>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2.1.3</w:t>
            </w:r>
          </w:p>
        </w:tc>
        <w:tc>
          <w:tcPr>
            <w:tcW w:w="828" w:type="dxa"/>
            <w:vMerge w:val="restart"/>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响应性评审标准</w:t>
            </w:r>
          </w:p>
        </w:tc>
        <w:tc>
          <w:tcPr>
            <w:tcW w:w="1759"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w:t>
            </w:r>
          </w:p>
        </w:tc>
        <w:tc>
          <w:tcPr>
            <w:tcW w:w="5245" w:type="dxa"/>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符合第二章“投标人须知”第3.2款规定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vMerge w:val="continue"/>
            <w:vAlign w:val="center"/>
          </w:tcPr>
          <w:p>
            <w:pPr>
              <w:widowControl/>
              <w:jc w:val="left"/>
              <w:rPr>
                <w:rFonts w:hint="eastAsia" w:ascii="宋体" w:hAnsi="宋体" w:eastAsia="宋体" w:cs="宋体"/>
                <w:color w:val="auto"/>
                <w:szCs w:val="21"/>
                <w:highlight w:val="none"/>
              </w:rPr>
            </w:pPr>
          </w:p>
        </w:tc>
        <w:tc>
          <w:tcPr>
            <w:tcW w:w="828" w:type="dxa"/>
            <w:vMerge w:val="continue"/>
            <w:vAlign w:val="center"/>
          </w:tcPr>
          <w:p>
            <w:pPr>
              <w:widowControl/>
              <w:jc w:val="left"/>
              <w:rPr>
                <w:rFonts w:hint="eastAsia" w:ascii="宋体" w:hAnsi="宋体" w:eastAsia="宋体" w:cs="宋体"/>
                <w:color w:val="auto"/>
                <w:szCs w:val="21"/>
                <w:highlight w:val="none"/>
              </w:rPr>
            </w:pPr>
          </w:p>
        </w:tc>
        <w:tc>
          <w:tcPr>
            <w:tcW w:w="1759"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投标内容</w:t>
            </w:r>
          </w:p>
        </w:tc>
        <w:tc>
          <w:tcPr>
            <w:tcW w:w="5245" w:type="dxa"/>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符合第二章“投标人须知”第1.3.1项规定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vMerge w:val="continue"/>
            <w:vAlign w:val="center"/>
          </w:tcPr>
          <w:p>
            <w:pPr>
              <w:widowControl/>
              <w:jc w:val="left"/>
              <w:rPr>
                <w:rFonts w:hint="eastAsia" w:ascii="宋体" w:hAnsi="宋体" w:eastAsia="宋体" w:cs="宋体"/>
                <w:color w:val="auto"/>
                <w:szCs w:val="21"/>
                <w:highlight w:val="none"/>
              </w:rPr>
            </w:pPr>
          </w:p>
        </w:tc>
        <w:tc>
          <w:tcPr>
            <w:tcW w:w="828" w:type="dxa"/>
            <w:vMerge w:val="continue"/>
            <w:vAlign w:val="center"/>
          </w:tcPr>
          <w:p>
            <w:pPr>
              <w:widowControl/>
              <w:jc w:val="left"/>
              <w:rPr>
                <w:rFonts w:hint="eastAsia" w:ascii="宋体" w:hAnsi="宋体" w:eastAsia="宋体" w:cs="宋体"/>
                <w:color w:val="auto"/>
                <w:szCs w:val="21"/>
                <w:highlight w:val="none"/>
              </w:rPr>
            </w:pPr>
          </w:p>
        </w:tc>
        <w:tc>
          <w:tcPr>
            <w:tcW w:w="1759"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交货期</w:t>
            </w:r>
          </w:p>
        </w:tc>
        <w:tc>
          <w:tcPr>
            <w:tcW w:w="5245" w:type="dxa"/>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符合第二章“投标人须知”第1.3.2项规定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vMerge w:val="continue"/>
            <w:vAlign w:val="center"/>
          </w:tcPr>
          <w:p>
            <w:pPr>
              <w:widowControl/>
              <w:jc w:val="left"/>
              <w:rPr>
                <w:rFonts w:hint="eastAsia" w:ascii="宋体" w:hAnsi="宋体" w:eastAsia="宋体" w:cs="宋体"/>
                <w:color w:val="auto"/>
                <w:szCs w:val="21"/>
                <w:highlight w:val="none"/>
              </w:rPr>
            </w:pPr>
          </w:p>
        </w:tc>
        <w:tc>
          <w:tcPr>
            <w:tcW w:w="828" w:type="dxa"/>
            <w:vMerge w:val="continue"/>
            <w:vAlign w:val="center"/>
          </w:tcPr>
          <w:p>
            <w:pPr>
              <w:widowControl/>
              <w:jc w:val="left"/>
              <w:rPr>
                <w:rFonts w:hint="eastAsia" w:ascii="宋体" w:hAnsi="宋体" w:eastAsia="宋体" w:cs="宋体"/>
                <w:color w:val="auto"/>
                <w:szCs w:val="21"/>
                <w:highlight w:val="none"/>
              </w:rPr>
            </w:pPr>
          </w:p>
        </w:tc>
        <w:tc>
          <w:tcPr>
            <w:tcW w:w="1759"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交货地点</w:t>
            </w:r>
          </w:p>
        </w:tc>
        <w:tc>
          <w:tcPr>
            <w:tcW w:w="5245" w:type="dxa"/>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符合第二章“投标人须知”第1.3.3项规定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vMerge w:val="continue"/>
            <w:vAlign w:val="center"/>
          </w:tcPr>
          <w:p>
            <w:pPr>
              <w:widowControl/>
              <w:jc w:val="left"/>
              <w:rPr>
                <w:rFonts w:hint="eastAsia" w:ascii="宋体" w:hAnsi="宋体" w:eastAsia="宋体" w:cs="宋体"/>
                <w:color w:val="auto"/>
                <w:szCs w:val="21"/>
                <w:highlight w:val="none"/>
              </w:rPr>
            </w:pPr>
          </w:p>
        </w:tc>
        <w:tc>
          <w:tcPr>
            <w:tcW w:w="828" w:type="dxa"/>
            <w:vMerge w:val="continue"/>
            <w:vAlign w:val="center"/>
          </w:tcPr>
          <w:p>
            <w:pPr>
              <w:widowControl/>
              <w:jc w:val="left"/>
              <w:rPr>
                <w:rFonts w:hint="eastAsia" w:ascii="宋体" w:hAnsi="宋体" w:eastAsia="宋体" w:cs="宋体"/>
                <w:color w:val="auto"/>
                <w:szCs w:val="21"/>
                <w:highlight w:val="none"/>
              </w:rPr>
            </w:pPr>
          </w:p>
        </w:tc>
        <w:tc>
          <w:tcPr>
            <w:tcW w:w="1759" w:type="dxa"/>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技术性能指标</w:t>
            </w:r>
          </w:p>
        </w:tc>
        <w:tc>
          <w:tcPr>
            <w:tcW w:w="5245" w:type="dxa"/>
            <w:vAlign w:val="top"/>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符合第二章“投标人须知”第1.3.4项规定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vMerge w:val="continue"/>
            <w:vAlign w:val="center"/>
          </w:tcPr>
          <w:p>
            <w:pPr>
              <w:widowControl/>
              <w:jc w:val="left"/>
              <w:rPr>
                <w:rFonts w:hint="eastAsia" w:ascii="宋体" w:hAnsi="宋体" w:eastAsia="宋体" w:cs="宋体"/>
                <w:color w:val="auto"/>
                <w:szCs w:val="21"/>
                <w:highlight w:val="none"/>
              </w:rPr>
            </w:pPr>
          </w:p>
        </w:tc>
        <w:tc>
          <w:tcPr>
            <w:tcW w:w="828" w:type="dxa"/>
            <w:vMerge w:val="continue"/>
            <w:vAlign w:val="center"/>
          </w:tcPr>
          <w:p>
            <w:pPr>
              <w:widowControl/>
              <w:jc w:val="left"/>
              <w:rPr>
                <w:rFonts w:hint="eastAsia" w:ascii="宋体" w:hAnsi="宋体" w:eastAsia="宋体" w:cs="宋体"/>
                <w:color w:val="auto"/>
                <w:szCs w:val="21"/>
                <w:highlight w:val="none"/>
              </w:rPr>
            </w:pPr>
          </w:p>
        </w:tc>
        <w:tc>
          <w:tcPr>
            <w:tcW w:w="1759" w:type="dxa"/>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投标有效期</w:t>
            </w:r>
          </w:p>
        </w:tc>
        <w:tc>
          <w:tcPr>
            <w:tcW w:w="5245" w:type="dxa"/>
            <w:vAlign w:val="top"/>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符合第二章“投标人须知”第3.3.1项规定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vMerge w:val="continue"/>
            <w:vAlign w:val="center"/>
          </w:tcPr>
          <w:p>
            <w:pPr>
              <w:widowControl/>
              <w:jc w:val="left"/>
              <w:rPr>
                <w:rFonts w:hint="eastAsia" w:ascii="宋体" w:hAnsi="宋体" w:eastAsia="宋体" w:cs="宋体"/>
                <w:color w:val="auto"/>
                <w:szCs w:val="21"/>
                <w:highlight w:val="none"/>
              </w:rPr>
            </w:pPr>
          </w:p>
        </w:tc>
        <w:tc>
          <w:tcPr>
            <w:tcW w:w="828" w:type="dxa"/>
            <w:vMerge w:val="continue"/>
            <w:vAlign w:val="center"/>
          </w:tcPr>
          <w:p>
            <w:pPr>
              <w:widowControl/>
              <w:jc w:val="left"/>
              <w:rPr>
                <w:rFonts w:hint="eastAsia" w:ascii="宋体" w:hAnsi="宋体" w:eastAsia="宋体" w:cs="宋体"/>
                <w:color w:val="auto"/>
                <w:szCs w:val="21"/>
                <w:highlight w:val="none"/>
              </w:rPr>
            </w:pPr>
          </w:p>
        </w:tc>
        <w:tc>
          <w:tcPr>
            <w:tcW w:w="1759" w:type="dxa"/>
            <w:vAlign w:val="top"/>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投标保证金</w:t>
            </w:r>
          </w:p>
        </w:tc>
        <w:tc>
          <w:tcPr>
            <w:tcW w:w="5245" w:type="dxa"/>
            <w:vAlign w:val="top"/>
          </w:tcPr>
          <w:p>
            <w:p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符合第二章“投标人须知”第3.4.1项规定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gridSpan w:val="2"/>
            <w:vAlign w:val="center"/>
          </w:tcPr>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1759" w:type="dxa"/>
            <w:vAlign w:val="center"/>
          </w:tcPr>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条款内容</w:t>
            </w:r>
          </w:p>
        </w:tc>
        <w:tc>
          <w:tcPr>
            <w:tcW w:w="5245" w:type="dxa"/>
            <w:vAlign w:val="center"/>
          </w:tcPr>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gridSpan w:val="2"/>
            <w:shd w:val="clear" w:color="auto" w:fill="auto"/>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2.2.1</w:t>
            </w:r>
          </w:p>
        </w:tc>
        <w:tc>
          <w:tcPr>
            <w:tcW w:w="1759" w:type="dxa"/>
            <w:shd w:val="clear" w:color="auto" w:fill="FFFFFF"/>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分值构成</w:t>
            </w:r>
          </w:p>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（总分100分）</w:t>
            </w:r>
          </w:p>
        </w:tc>
        <w:tc>
          <w:tcPr>
            <w:tcW w:w="5245" w:type="dxa"/>
            <w:shd w:val="clear" w:color="auto" w:fill="FFFFFF"/>
            <w:vAlign w:val="center"/>
          </w:tcPr>
          <w:p>
            <w:pPr>
              <w:shd w:val="clear" w:color="auto" w:fil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商务部分：</w:t>
            </w:r>
            <w:r>
              <w:rPr>
                <w:rFonts w:hint="eastAsia" w:ascii="宋体" w:hAnsi="宋体" w:cs="宋体"/>
                <w:color w:val="auto"/>
                <w:szCs w:val="21"/>
                <w:highlight w:val="none"/>
                <w:u w:val="single"/>
                <w:lang w:val="en-US" w:eastAsia="zh-CN"/>
              </w:rPr>
              <w:t>30</w:t>
            </w:r>
            <w:r>
              <w:rPr>
                <w:rFonts w:hint="eastAsia" w:ascii="宋体" w:hAnsi="宋体" w:eastAsia="宋体" w:cs="宋体"/>
                <w:color w:val="auto"/>
                <w:szCs w:val="21"/>
                <w:highlight w:val="none"/>
              </w:rPr>
              <w:t>分</w:t>
            </w:r>
          </w:p>
          <w:p>
            <w:pPr>
              <w:shd w:val="clear" w:color="auto" w:fil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技术部分：</w:t>
            </w:r>
            <w:r>
              <w:rPr>
                <w:rFonts w:hint="eastAsia" w:ascii="宋体" w:hAnsi="宋体" w:cs="宋体"/>
                <w:color w:val="auto"/>
                <w:szCs w:val="21"/>
                <w:highlight w:val="none"/>
                <w:u w:val="single"/>
                <w:lang w:val="en-US" w:eastAsia="zh-CN"/>
              </w:rPr>
              <w:t>30</w:t>
            </w:r>
            <w:r>
              <w:rPr>
                <w:rFonts w:hint="eastAsia" w:ascii="宋体" w:hAnsi="宋体" w:eastAsia="宋体" w:cs="宋体"/>
                <w:color w:val="auto"/>
                <w:szCs w:val="21"/>
                <w:highlight w:val="none"/>
              </w:rPr>
              <w:t>分</w:t>
            </w:r>
          </w:p>
          <w:p>
            <w:pPr>
              <w:shd w:val="clear" w:color="auto" w:fil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w:t>
            </w:r>
            <w:r>
              <w:rPr>
                <w:rFonts w:hint="eastAsia" w:ascii="宋体" w:hAnsi="宋体" w:cs="宋体"/>
                <w:color w:val="auto"/>
                <w:szCs w:val="21"/>
                <w:highlight w:val="none"/>
                <w:u w:val="single"/>
                <w:lang w:val="en-US" w:eastAsia="zh-CN"/>
              </w:rPr>
              <w:t>40</w:t>
            </w:r>
            <w:r>
              <w:rPr>
                <w:rFonts w:hint="eastAsia" w:ascii="宋体" w:hAnsi="宋体" w:eastAsia="宋体" w:cs="宋体"/>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2.2.2</w:t>
            </w:r>
          </w:p>
        </w:tc>
        <w:tc>
          <w:tcPr>
            <w:tcW w:w="1759"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评标基准价计算方法</w:t>
            </w:r>
          </w:p>
        </w:tc>
        <w:tc>
          <w:tcPr>
            <w:tcW w:w="5245" w:type="dxa"/>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过初步评审的正式投标人在5名或以内的，在位于[最高投标限价×80%，最高投标限价]区间的投标价中，直接计算算术平均值为评标基准价；若通过初步评审的正式投标人在6名或以上的，在位于[最高投标限价×80%，最高投标限价]区间的投标价中，去掉一个最高价和一个最低价后，剩余报价的算术平均值为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1728"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2.2.3【10】</w:t>
            </w:r>
          </w:p>
        </w:tc>
        <w:tc>
          <w:tcPr>
            <w:tcW w:w="1759"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投标报价的偏差率</w:t>
            </w:r>
          </w:p>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计算公式</w:t>
            </w:r>
          </w:p>
        </w:tc>
        <w:tc>
          <w:tcPr>
            <w:tcW w:w="5245" w:type="dxa"/>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偏差率=∣投标报价—评标基准价∣/评标基准价*100%</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（偏差率四舍五入保留1位小数，报价偏差率不足1%的，按直线内插法计算投标报价得分）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gridSpan w:val="2"/>
            <w:vAlign w:val="center"/>
          </w:tcPr>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1759" w:type="dxa"/>
            <w:vAlign w:val="center"/>
          </w:tcPr>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评分因素（偏差率）</w:t>
            </w:r>
          </w:p>
        </w:tc>
        <w:tc>
          <w:tcPr>
            <w:tcW w:w="5245" w:type="dxa"/>
            <w:vAlign w:val="center"/>
          </w:tcPr>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vMerge w:val="restart"/>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2.2.4（1）</w:t>
            </w:r>
          </w:p>
        </w:tc>
        <w:tc>
          <w:tcPr>
            <w:tcW w:w="828" w:type="dxa"/>
            <w:vMerge w:val="restart"/>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商务评分标准</w:t>
            </w:r>
          </w:p>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30</w:t>
            </w:r>
            <w:r>
              <w:rPr>
                <w:rFonts w:hint="eastAsia" w:ascii="宋体" w:hAnsi="宋体" w:eastAsia="宋体" w:cs="宋体"/>
                <w:color w:val="auto"/>
                <w:szCs w:val="21"/>
                <w:highlight w:val="none"/>
              </w:rPr>
              <w:t>分）</w:t>
            </w:r>
          </w:p>
        </w:tc>
        <w:tc>
          <w:tcPr>
            <w:tcW w:w="1759" w:type="dxa"/>
            <w:vAlign w:val="center"/>
          </w:tcPr>
          <w:p>
            <w:pPr>
              <w:spacing w:line="360" w:lineRule="auto"/>
              <w:jc w:val="center"/>
              <w:rPr>
                <w:rFonts w:hint="eastAsia" w:ascii="宋体" w:hAnsi="宋体" w:eastAsia="宋体" w:cs="宋体"/>
                <w:color w:val="auto"/>
                <w:kern w:val="2"/>
                <w:sz w:val="21"/>
                <w:szCs w:val="21"/>
                <w:highlight w:val="none"/>
                <w:u w:val="none"/>
                <w:lang w:val="en-US" w:eastAsia="zh-CN" w:bidi="ar-SA"/>
              </w:rPr>
            </w:pPr>
            <w:r>
              <w:rPr>
                <w:rFonts w:hint="eastAsia" w:ascii="宋体" w:hAnsi="宋体" w:cs="宋体"/>
                <w:color w:val="auto"/>
                <w:szCs w:val="21"/>
                <w:highlight w:val="none"/>
                <w:u w:val="none"/>
                <w:lang w:val="en-US" w:eastAsia="zh-CN" w:bidi="ar"/>
              </w:rPr>
              <w:t>企业实力</w:t>
            </w:r>
            <w:r>
              <w:rPr>
                <w:rFonts w:hint="eastAsia" w:ascii="宋体" w:hAnsi="宋体" w:cs="宋体"/>
                <w:color w:val="auto"/>
                <w:szCs w:val="21"/>
                <w:highlight w:val="none"/>
                <w:u w:val="none"/>
                <w:lang w:bidi="ar"/>
              </w:rPr>
              <w:t>（</w:t>
            </w:r>
            <w:r>
              <w:rPr>
                <w:rFonts w:hint="eastAsia" w:ascii="宋体" w:hAnsi="宋体" w:cs="宋体"/>
                <w:color w:val="auto"/>
                <w:szCs w:val="21"/>
                <w:highlight w:val="none"/>
                <w:u w:val="none"/>
                <w:lang w:val="en-US" w:eastAsia="zh-CN" w:bidi="ar"/>
              </w:rPr>
              <w:t>3</w:t>
            </w:r>
            <w:r>
              <w:rPr>
                <w:rFonts w:hint="eastAsia" w:ascii="宋体" w:hAnsi="宋体" w:cs="宋体"/>
                <w:color w:val="auto"/>
                <w:szCs w:val="21"/>
                <w:highlight w:val="none"/>
                <w:u w:val="none"/>
                <w:lang w:bidi="ar"/>
              </w:rPr>
              <w:t>分）</w:t>
            </w:r>
          </w:p>
        </w:tc>
        <w:tc>
          <w:tcPr>
            <w:tcW w:w="5245" w:type="dxa"/>
            <w:vAlign w:val="center"/>
          </w:tcPr>
          <w:p>
            <w:pPr>
              <w:keepNext w:val="0"/>
              <w:keepLines w:val="0"/>
              <w:pageBreakBefore w:val="0"/>
              <w:numPr>
                <w:ilvl w:val="0"/>
                <w:numId w:val="0"/>
              </w:numPr>
              <w:kinsoku/>
              <w:wordWrap/>
              <w:overflowPunct/>
              <w:topLinePunct w:val="0"/>
              <w:bidi w:val="0"/>
              <w:snapToGrid/>
              <w:spacing w:line="360" w:lineRule="auto"/>
              <w:ind w:left="0" w:leftChars="0" w:firstLine="0" w:firstLineChars="0"/>
              <w:jc w:val="both"/>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
              </w:rPr>
              <w:t>投标人</w:t>
            </w:r>
            <w:r>
              <w:rPr>
                <w:rFonts w:hint="eastAsia" w:ascii="宋体" w:hAnsi="宋体" w:eastAsia="宋体" w:cs="宋体"/>
                <w:color w:val="auto"/>
                <w:kern w:val="2"/>
                <w:sz w:val="21"/>
                <w:szCs w:val="21"/>
                <w:highlight w:val="none"/>
                <w:u w:val="none"/>
                <w:lang w:bidi="ar"/>
              </w:rPr>
              <w:t>具有有效的质量管理体系认证、环境管理体系认证、职业健康安全管理体系认证，</w:t>
            </w:r>
            <w:bookmarkStart w:id="86" w:name="OLE_LINK1"/>
            <w:r>
              <w:rPr>
                <w:rFonts w:hint="eastAsia" w:ascii="宋体" w:hAnsi="宋体" w:eastAsia="宋体" w:cs="宋体"/>
                <w:color w:val="auto"/>
                <w:kern w:val="2"/>
                <w:sz w:val="21"/>
                <w:szCs w:val="21"/>
                <w:highlight w:val="none"/>
                <w:u w:val="none"/>
                <w:lang w:bidi="ar"/>
              </w:rPr>
              <w:t>认证范围须包含微波消毒设备的</w:t>
            </w:r>
            <w:r>
              <w:rPr>
                <w:rFonts w:hint="eastAsia" w:ascii="宋体" w:hAnsi="宋体" w:cs="宋体"/>
                <w:color w:val="auto"/>
                <w:kern w:val="2"/>
                <w:sz w:val="21"/>
                <w:szCs w:val="21"/>
                <w:highlight w:val="none"/>
                <w:u w:val="none"/>
                <w:lang w:val="en-US" w:eastAsia="zh-CN" w:bidi="ar"/>
              </w:rPr>
              <w:t>相关内容</w:t>
            </w:r>
            <w:bookmarkEnd w:id="86"/>
            <w:r>
              <w:rPr>
                <w:rFonts w:hint="eastAsia" w:ascii="宋体" w:hAnsi="宋体" w:eastAsia="宋体" w:cs="宋体"/>
                <w:color w:val="auto"/>
                <w:kern w:val="2"/>
                <w:sz w:val="21"/>
                <w:szCs w:val="21"/>
                <w:highlight w:val="none"/>
                <w:u w:val="none"/>
                <w:lang w:bidi="ar"/>
              </w:rPr>
              <w:t>。</w:t>
            </w:r>
            <w:r>
              <w:rPr>
                <w:rFonts w:hint="eastAsia" w:ascii="宋体" w:hAnsi="宋体" w:eastAsia="宋体" w:cs="宋体"/>
                <w:color w:val="auto"/>
                <w:kern w:val="2"/>
                <w:sz w:val="21"/>
                <w:szCs w:val="21"/>
                <w:highlight w:val="none"/>
                <w:u w:val="none"/>
                <w:lang w:val="en-US" w:eastAsia="zh-CN" w:bidi="ar"/>
              </w:rPr>
              <w:t>每提供一个得</w:t>
            </w:r>
            <w:r>
              <w:rPr>
                <w:rFonts w:hint="eastAsia" w:ascii="宋体" w:hAnsi="宋体" w:cs="宋体"/>
                <w:color w:val="auto"/>
                <w:kern w:val="2"/>
                <w:sz w:val="21"/>
                <w:szCs w:val="21"/>
                <w:highlight w:val="none"/>
                <w:u w:val="none"/>
                <w:lang w:val="en-US" w:eastAsia="zh-CN" w:bidi="ar"/>
              </w:rPr>
              <w:t>1</w:t>
            </w:r>
            <w:r>
              <w:rPr>
                <w:rFonts w:hint="eastAsia" w:ascii="宋体" w:hAnsi="宋体" w:eastAsia="宋体" w:cs="宋体"/>
                <w:color w:val="auto"/>
                <w:kern w:val="2"/>
                <w:sz w:val="21"/>
                <w:szCs w:val="21"/>
                <w:highlight w:val="none"/>
                <w:u w:val="none"/>
                <w:lang w:val="en-US" w:eastAsia="zh-CN" w:bidi="ar"/>
              </w:rPr>
              <w:t>分，本项最高</w:t>
            </w:r>
            <w:r>
              <w:rPr>
                <w:rFonts w:hint="eastAsia" w:ascii="宋体" w:hAnsi="宋体" w:cs="宋体"/>
                <w:color w:val="auto"/>
                <w:kern w:val="2"/>
                <w:sz w:val="21"/>
                <w:szCs w:val="21"/>
                <w:highlight w:val="none"/>
                <w:u w:val="none"/>
                <w:lang w:val="en-US" w:eastAsia="zh-CN" w:bidi="ar"/>
              </w:rPr>
              <w:t>3</w:t>
            </w:r>
            <w:r>
              <w:rPr>
                <w:rFonts w:hint="eastAsia" w:ascii="宋体" w:hAnsi="宋体" w:eastAsia="宋体" w:cs="宋体"/>
                <w:color w:val="auto"/>
                <w:kern w:val="2"/>
                <w:sz w:val="21"/>
                <w:szCs w:val="21"/>
                <w:highlight w:val="none"/>
                <w:u w:val="none"/>
                <w:lang w:val="en-US" w:eastAsia="zh-CN" w:bidi="ar"/>
              </w:rPr>
              <w:t>分</w:t>
            </w:r>
            <w:r>
              <w:rPr>
                <w:rFonts w:hint="eastAsia" w:ascii="宋体" w:hAnsi="宋体" w:cs="宋体"/>
                <w:color w:val="auto"/>
                <w:kern w:val="2"/>
                <w:sz w:val="21"/>
                <w:szCs w:val="21"/>
                <w:highlight w:val="none"/>
                <w:u w:val="none"/>
                <w:lang w:val="en-US" w:eastAsia="zh-CN" w:bidi="ar"/>
              </w:rPr>
              <w:t>。</w:t>
            </w:r>
            <w:r>
              <w:rPr>
                <w:rFonts w:hint="eastAsia" w:ascii="宋体" w:hAnsi="宋体" w:eastAsia="宋体" w:cs="宋体"/>
                <w:color w:val="auto"/>
                <w:kern w:val="2"/>
                <w:sz w:val="21"/>
                <w:szCs w:val="21"/>
                <w:highlight w:val="none"/>
                <w:u w:val="none"/>
                <w:lang w:val="en-US" w:eastAsia="zh-CN" w:bidi="ar"/>
              </w:rPr>
              <w:t>（需提供证书扫描件及网站查询截图并加盖投标人公章）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vMerge w:val="continue"/>
            <w:vAlign w:val="center"/>
          </w:tcPr>
          <w:p>
            <w:pPr>
              <w:widowControl/>
              <w:jc w:val="left"/>
              <w:rPr>
                <w:rFonts w:hint="eastAsia" w:ascii="宋体" w:hAnsi="宋体" w:eastAsia="宋体" w:cs="宋体"/>
                <w:color w:val="auto"/>
                <w:szCs w:val="21"/>
                <w:highlight w:val="none"/>
              </w:rPr>
            </w:pPr>
          </w:p>
        </w:tc>
        <w:tc>
          <w:tcPr>
            <w:tcW w:w="828" w:type="dxa"/>
            <w:vMerge w:val="continue"/>
            <w:vAlign w:val="center"/>
          </w:tcPr>
          <w:p>
            <w:pPr>
              <w:widowControl/>
              <w:jc w:val="left"/>
              <w:rPr>
                <w:rFonts w:hint="eastAsia" w:ascii="宋体" w:hAnsi="宋体" w:eastAsia="宋体" w:cs="宋体"/>
                <w:color w:val="auto"/>
                <w:szCs w:val="21"/>
                <w:highlight w:val="none"/>
              </w:rPr>
            </w:pPr>
          </w:p>
        </w:tc>
        <w:tc>
          <w:tcPr>
            <w:tcW w:w="1759" w:type="dxa"/>
            <w:vAlign w:val="center"/>
          </w:tcPr>
          <w:p>
            <w:pPr>
              <w:spacing w:line="360" w:lineRule="auto"/>
              <w:jc w:val="center"/>
              <w:rPr>
                <w:rFonts w:hint="eastAsia" w:ascii="宋体" w:hAnsi="宋体" w:eastAsia="宋体" w:cs="宋体"/>
                <w:color w:val="auto"/>
                <w:szCs w:val="21"/>
                <w:highlight w:val="none"/>
                <w:u w:val="none"/>
              </w:rPr>
            </w:pPr>
            <w:r>
              <w:rPr>
                <w:rFonts w:hint="eastAsia" w:ascii="宋体" w:hAnsi="宋体" w:cs="宋体"/>
                <w:color w:val="auto"/>
                <w:szCs w:val="21"/>
                <w:highlight w:val="none"/>
                <w:u w:val="none"/>
                <w:lang w:val="en-US" w:eastAsia="zh-CN" w:bidi="ar"/>
              </w:rPr>
              <w:t>企业荣誉</w:t>
            </w:r>
            <w:r>
              <w:rPr>
                <w:rFonts w:hint="eastAsia" w:ascii="宋体" w:hAnsi="宋体" w:cs="宋体"/>
                <w:color w:val="auto"/>
                <w:szCs w:val="21"/>
                <w:highlight w:val="none"/>
                <w:u w:val="none"/>
                <w:lang w:bidi="ar"/>
              </w:rPr>
              <w:t>（</w:t>
            </w:r>
            <w:r>
              <w:rPr>
                <w:rFonts w:hint="eastAsia" w:ascii="宋体" w:hAnsi="宋体" w:cs="宋体"/>
                <w:color w:val="auto"/>
                <w:szCs w:val="21"/>
                <w:highlight w:val="none"/>
                <w:u w:val="none"/>
                <w:lang w:val="en-US" w:eastAsia="zh-CN" w:bidi="ar"/>
              </w:rPr>
              <w:t>6</w:t>
            </w:r>
            <w:r>
              <w:rPr>
                <w:rFonts w:hint="eastAsia" w:ascii="宋体" w:hAnsi="宋体" w:cs="宋体"/>
                <w:color w:val="auto"/>
                <w:szCs w:val="21"/>
                <w:highlight w:val="none"/>
                <w:u w:val="none"/>
                <w:lang w:bidi="ar"/>
              </w:rPr>
              <w:t>分）</w:t>
            </w:r>
          </w:p>
        </w:tc>
        <w:tc>
          <w:tcPr>
            <w:tcW w:w="5245" w:type="dxa"/>
            <w:vAlign w:val="center"/>
          </w:tcPr>
          <w:p>
            <w:pPr>
              <w:keepNext w:val="0"/>
              <w:keepLines w:val="0"/>
              <w:pageBreakBefore w:val="0"/>
              <w:kinsoku/>
              <w:wordWrap/>
              <w:overflowPunct/>
              <w:topLinePunct w:val="0"/>
              <w:bidi w:val="0"/>
              <w:snapToGrid/>
              <w:spacing w:line="360" w:lineRule="auto"/>
              <w:ind w:left="0" w:leftChars="0" w:firstLine="0" w:firstLineChars="0"/>
              <w:jc w:val="both"/>
              <w:textAlignment w:val="auto"/>
              <w:rPr>
                <w:rFonts w:hint="eastAsia" w:ascii="宋体" w:hAnsi="宋体" w:eastAsia="宋体" w:cs="宋体"/>
                <w:bCs/>
                <w:color w:val="auto"/>
                <w:szCs w:val="21"/>
                <w:highlight w:val="none"/>
                <w:u w:val="none"/>
                <w:lang w:val="en-US" w:eastAsia="zh-CN"/>
              </w:rPr>
            </w:pPr>
            <w:r>
              <w:rPr>
                <w:rFonts w:hint="eastAsia" w:ascii="宋体" w:hAnsi="宋体" w:eastAsia="宋体" w:cs="宋体"/>
                <w:color w:val="auto"/>
                <w:kern w:val="2"/>
                <w:sz w:val="21"/>
                <w:szCs w:val="21"/>
                <w:highlight w:val="none"/>
                <w:u w:val="none"/>
                <w:lang w:val="en-US" w:eastAsia="zh-CN" w:bidi="ar"/>
              </w:rPr>
              <w:t>投标人获得投标设备相关的发明专利，每提供一个真实有效相关发明专利得2分，本项最高得6分</w:t>
            </w:r>
            <w:r>
              <w:rPr>
                <w:rFonts w:hint="eastAsia" w:ascii="宋体" w:hAnsi="宋体" w:cs="宋体"/>
                <w:color w:val="auto"/>
                <w:kern w:val="2"/>
                <w:sz w:val="21"/>
                <w:szCs w:val="21"/>
                <w:highlight w:val="none"/>
                <w:u w:val="none"/>
                <w:lang w:val="en-US" w:eastAsia="zh-CN" w:bidi="ar"/>
              </w:rPr>
              <w:t>。</w:t>
            </w:r>
            <w:r>
              <w:rPr>
                <w:rFonts w:hint="eastAsia" w:ascii="宋体" w:hAnsi="宋体" w:eastAsia="宋体" w:cs="宋体"/>
                <w:color w:val="auto"/>
                <w:kern w:val="2"/>
                <w:sz w:val="21"/>
                <w:szCs w:val="21"/>
                <w:highlight w:val="none"/>
                <w:u w:val="none"/>
                <w:lang w:val="en-US" w:eastAsia="zh-CN" w:bidi="ar"/>
              </w:rPr>
              <w:t>（需提供证书扫描件并加盖投标人公章）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vMerge w:val="continue"/>
            <w:vAlign w:val="center"/>
          </w:tcPr>
          <w:p>
            <w:pPr>
              <w:widowControl/>
              <w:jc w:val="left"/>
              <w:rPr>
                <w:rFonts w:hint="eastAsia" w:ascii="宋体" w:hAnsi="宋体" w:eastAsia="宋体" w:cs="宋体"/>
                <w:color w:val="auto"/>
                <w:szCs w:val="21"/>
                <w:highlight w:val="none"/>
              </w:rPr>
            </w:pPr>
          </w:p>
        </w:tc>
        <w:tc>
          <w:tcPr>
            <w:tcW w:w="828" w:type="dxa"/>
            <w:vMerge w:val="continue"/>
            <w:vAlign w:val="center"/>
          </w:tcPr>
          <w:p>
            <w:pPr>
              <w:widowControl/>
              <w:jc w:val="left"/>
              <w:rPr>
                <w:rFonts w:hint="eastAsia" w:ascii="宋体" w:hAnsi="宋体" w:eastAsia="宋体" w:cs="宋体"/>
                <w:color w:val="auto"/>
                <w:szCs w:val="21"/>
                <w:highlight w:val="none"/>
              </w:rPr>
            </w:pPr>
          </w:p>
        </w:tc>
        <w:tc>
          <w:tcPr>
            <w:tcW w:w="1759" w:type="dxa"/>
            <w:vAlign w:val="center"/>
          </w:tcPr>
          <w:p>
            <w:pPr>
              <w:spacing w:line="360" w:lineRule="auto"/>
              <w:jc w:val="center"/>
              <w:rPr>
                <w:rFonts w:hint="eastAsia" w:ascii="宋体" w:hAnsi="宋体" w:eastAsia="宋体" w:cs="宋体"/>
                <w:color w:val="auto"/>
                <w:szCs w:val="21"/>
                <w:highlight w:val="none"/>
                <w:u w:val="none"/>
              </w:rPr>
            </w:pPr>
            <w:r>
              <w:rPr>
                <w:rFonts w:hint="eastAsia" w:ascii="宋体" w:hAnsi="宋体" w:cs="宋体"/>
                <w:color w:val="auto"/>
                <w:szCs w:val="21"/>
                <w:highlight w:val="none"/>
                <w:u w:val="none"/>
                <w:lang w:val="en-US" w:eastAsia="zh-CN" w:bidi="ar"/>
              </w:rPr>
              <w:t>类似业绩（6分）</w:t>
            </w:r>
          </w:p>
        </w:tc>
        <w:tc>
          <w:tcPr>
            <w:tcW w:w="5245" w:type="dxa"/>
            <w:vAlign w:val="center"/>
          </w:tcPr>
          <w:p>
            <w:pPr>
              <w:keepNext w:val="0"/>
              <w:keepLines w:val="0"/>
              <w:pageBreakBefore w:val="0"/>
              <w:kinsoku/>
              <w:wordWrap/>
              <w:overflowPunct/>
              <w:topLinePunct w:val="0"/>
              <w:bidi w:val="0"/>
              <w:snapToGrid/>
              <w:spacing w:line="360" w:lineRule="auto"/>
              <w:ind w:left="0" w:leftChars="0" w:firstLine="0" w:firstLineChars="0"/>
              <w:jc w:val="left"/>
              <w:textAlignment w:val="auto"/>
              <w:rPr>
                <w:rFonts w:hint="eastAsia" w:ascii="宋体" w:hAnsi="宋体" w:eastAsia="宋体" w:cs="宋体"/>
                <w:strike w:val="0"/>
                <w:dstrike w:val="0"/>
                <w:color w:val="auto"/>
                <w:kern w:val="2"/>
                <w:sz w:val="21"/>
                <w:szCs w:val="21"/>
                <w:highlight w:val="none"/>
                <w:u w:val="none"/>
                <w:lang w:bidi="ar"/>
              </w:rPr>
            </w:pPr>
            <w:r>
              <w:rPr>
                <w:rFonts w:hint="eastAsia" w:ascii="宋体" w:hAnsi="宋体" w:eastAsia="宋体" w:cs="宋体"/>
                <w:color w:val="auto"/>
                <w:kern w:val="2"/>
                <w:sz w:val="21"/>
                <w:szCs w:val="21"/>
                <w:highlight w:val="none"/>
                <w:u w:val="none"/>
                <w:lang w:val="en-US" w:eastAsia="zh-CN" w:bidi="ar"/>
              </w:rPr>
              <w:t>投标人</w:t>
            </w:r>
            <w:r>
              <w:rPr>
                <w:rFonts w:hint="eastAsia" w:ascii="宋体" w:hAnsi="宋体" w:eastAsia="宋体" w:cs="宋体"/>
                <w:color w:val="auto"/>
                <w:kern w:val="2"/>
                <w:sz w:val="21"/>
                <w:szCs w:val="21"/>
                <w:highlight w:val="none"/>
                <w:u w:val="none"/>
                <w:lang w:bidi="ar"/>
              </w:rPr>
              <w:t>自202</w:t>
            </w:r>
            <w:r>
              <w:rPr>
                <w:rFonts w:hint="eastAsia" w:ascii="宋体" w:hAnsi="宋体" w:eastAsia="宋体" w:cs="宋体"/>
                <w:color w:val="auto"/>
                <w:kern w:val="2"/>
                <w:sz w:val="21"/>
                <w:szCs w:val="21"/>
                <w:highlight w:val="none"/>
                <w:u w:val="none"/>
                <w:lang w:val="en-US" w:eastAsia="zh-CN" w:bidi="ar"/>
              </w:rPr>
              <w:t>0</w:t>
            </w:r>
            <w:r>
              <w:rPr>
                <w:rFonts w:hint="eastAsia" w:ascii="宋体" w:hAnsi="宋体" w:eastAsia="宋体" w:cs="宋体"/>
                <w:color w:val="auto"/>
                <w:kern w:val="2"/>
                <w:sz w:val="21"/>
                <w:szCs w:val="21"/>
                <w:highlight w:val="none"/>
                <w:u w:val="none"/>
                <w:lang w:bidi="ar"/>
              </w:rPr>
              <w:t>年1月1日以来</w:t>
            </w:r>
            <w:r>
              <w:rPr>
                <w:rFonts w:hint="eastAsia" w:ascii="宋体" w:hAnsi="宋体" w:eastAsia="宋体" w:cs="宋体"/>
                <w:color w:val="auto"/>
                <w:kern w:val="2"/>
                <w:sz w:val="21"/>
                <w:szCs w:val="21"/>
                <w:highlight w:val="none"/>
                <w:u w:val="none"/>
                <w:lang w:eastAsia="zh-CN" w:bidi="ar"/>
              </w:rPr>
              <w:t>，</w:t>
            </w:r>
            <w:r>
              <w:rPr>
                <w:rFonts w:hint="eastAsia" w:ascii="宋体" w:hAnsi="宋体" w:eastAsia="宋体" w:cs="宋体"/>
                <w:color w:val="auto"/>
                <w:kern w:val="2"/>
                <w:sz w:val="21"/>
                <w:szCs w:val="21"/>
                <w:highlight w:val="none"/>
                <w:u w:val="none"/>
                <w:lang w:val="en-US" w:eastAsia="zh-CN" w:bidi="ar"/>
              </w:rPr>
              <w:t>具有</w:t>
            </w:r>
            <w:r>
              <w:rPr>
                <w:rFonts w:hint="eastAsia" w:ascii="宋体" w:hAnsi="宋体" w:cs="宋体"/>
                <w:color w:val="auto"/>
                <w:szCs w:val="21"/>
                <w:highlight w:val="none"/>
                <w:u w:val="none"/>
                <w:lang w:eastAsia="zh-CN"/>
              </w:rPr>
              <w:t>微波消毒处理设备</w:t>
            </w:r>
            <w:r>
              <w:rPr>
                <w:rFonts w:hint="eastAsia" w:ascii="宋体" w:hAnsi="宋体" w:eastAsia="宋体" w:cs="宋体"/>
                <w:color w:val="auto"/>
                <w:kern w:val="2"/>
                <w:sz w:val="21"/>
                <w:szCs w:val="21"/>
                <w:highlight w:val="none"/>
                <w:u w:val="none"/>
                <w:lang w:bidi="ar"/>
              </w:rPr>
              <w:t>（日处理10吨</w:t>
            </w:r>
            <w:r>
              <w:rPr>
                <w:rFonts w:hint="eastAsia" w:ascii="宋体" w:hAnsi="宋体" w:eastAsia="宋体" w:cs="宋体"/>
                <w:color w:val="auto"/>
                <w:kern w:val="2"/>
                <w:sz w:val="21"/>
                <w:szCs w:val="21"/>
                <w:highlight w:val="none"/>
                <w:u w:val="none"/>
                <w:lang w:val="en-US" w:eastAsia="zh-CN" w:bidi="ar"/>
              </w:rPr>
              <w:t>/台</w:t>
            </w:r>
            <w:r>
              <w:rPr>
                <w:rFonts w:hint="eastAsia" w:ascii="宋体" w:hAnsi="宋体" w:eastAsia="宋体" w:cs="宋体"/>
                <w:color w:val="auto"/>
                <w:kern w:val="2"/>
                <w:sz w:val="21"/>
                <w:szCs w:val="21"/>
                <w:highlight w:val="none"/>
                <w:u w:val="none"/>
                <w:lang w:bidi="ar"/>
              </w:rPr>
              <w:t>或以上）的</w:t>
            </w:r>
            <w:r>
              <w:rPr>
                <w:rFonts w:hint="eastAsia" w:ascii="宋体" w:hAnsi="宋体" w:eastAsia="宋体" w:cs="宋体"/>
                <w:color w:val="auto"/>
                <w:kern w:val="2"/>
                <w:sz w:val="21"/>
                <w:szCs w:val="21"/>
                <w:highlight w:val="none"/>
                <w:u w:val="none"/>
                <w:lang w:eastAsia="zh-CN" w:bidi="ar"/>
              </w:rPr>
              <w:t>销售</w:t>
            </w:r>
            <w:r>
              <w:rPr>
                <w:rFonts w:hint="eastAsia" w:ascii="宋体" w:hAnsi="宋体" w:eastAsia="宋体" w:cs="宋体"/>
                <w:color w:val="auto"/>
                <w:kern w:val="2"/>
                <w:sz w:val="21"/>
                <w:szCs w:val="21"/>
                <w:highlight w:val="none"/>
                <w:u w:val="none"/>
                <w:lang w:bidi="ar"/>
              </w:rPr>
              <w:t>业绩，</w:t>
            </w:r>
            <w:r>
              <w:rPr>
                <w:rFonts w:hint="eastAsia" w:ascii="宋体" w:hAnsi="宋体" w:eastAsia="宋体" w:cs="宋体"/>
                <w:strike w:val="0"/>
                <w:dstrike w:val="0"/>
                <w:color w:val="auto"/>
                <w:kern w:val="2"/>
                <w:sz w:val="21"/>
                <w:szCs w:val="21"/>
                <w:highlight w:val="none"/>
                <w:u w:val="none"/>
                <w:lang w:bidi="ar"/>
              </w:rPr>
              <w:t>每提供一项有效业绩得</w:t>
            </w:r>
            <w:r>
              <w:rPr>
                <w:rFonts w:hint="eastAsia" w:ascii="宋体" w:hAnsi="宋体" w:cs="宋体"/>
                <w:strike w:val="0"/>
                <w:dstrike w:val="0"/>
                <w:color w:val="auto"/>
                <w:kern w:val="2"/>
                <w:sz w:val="21"/>
                <w:szCs w:val="21"/>
                <w:highlight w:val="none"/>
                <w:u w:val="none"/>
                <w:lang w:val="en-US" w:eastAsia="zh-CN" w:bidi="ar"/>
              </w:rPr>
              <w:t>3</w:t>
            </w:r>
            <w:r>
              <w:rPr>
                <w:rFonts w:hint="eastAsia" w:ascii="宋体" w:hAnsi="宋体" w:eastAsia="宋体" w:cs="宋体"/>
                <w:strike w:val="0"/>
                <w:dstrike w:val="0"/>
                <w:color w:val="auto"/>
                <w:kern w:val="2"/>
                <w:sz w:val="21"/>
                <w:szCs w:val="21"/>
                <w:highlight w:val="none"/>
                <w:u w:val="none"/>
                <w:lang w:bidi="ar"/>
              </w:rPr>
              <w:t>分，最多得</w:t>
            </w:r>
            <w:r>
              <w:rPr>
                <w:rFonts w:hint="eastAsia" w:ascii="宋体" w:hAnsi="宋体" w:cs="宋体"/>
                <w:strike w:val="0"/>
                <w:dstrike w:val="0"/>
                <w:color w:val="auto"/>
                <w:kern w:val="2"/>
                <w:sz w:val="21"/>
                <w:szCs w:val="21"/>
                <w:highlight w:val="none"/>
                <w:u w:val="none"/>
                <w:lang w:val="en-US" w:eastAsia="zh-CN" w:bidi="ar"/>
              </w:rPr>
              <w:t>6</w:t>
            </w:r>
            <w:r>
              <w:rPr>
                <w:rFonts w:hint="eastAsia" w:ascii="宋体" w:hAnsi="宋体" w:eastAsia="宋体" w:cs="宋体"/>
                <w:strike w:val="0"/>
                <w:dstrike w:val="0"/>
                <w:color w:val="auto"/>
                <w:kern w:val="2"/>
                <w:sz w:val="21"/>
                <w:szCs w:val="21"/>
                <w:highlight w:val="none"/>
                <w:u w:val="none"/>
                <w:lang w:bidi="ar"/>
              </w:rPr>
              <w:t>分。</w:t>
            </w:r>
          </w:p>
          <w:p>
            <w:pPr>
              <w:keepNext w:val="0"/>
              <w:keepLines w:val="0"/>
              <w:pageBreakBefore w:val="0"/>
              <w:kinsoku/>
              <w:wordWrap/>
              <w:overflowPunct/>
              <w:topLinePunct w:val="0"/>
              <w:bidi w:val="0"/>
              <w:snapToGrid/>
              <w:spacing w:line="360" w:lineRule="auto"/>
              <w:ind w:left="0" w:leftChars="0" w:firstLine="0" w:firstLineChars="0"/>
              <w:jc w:val="left"/>
              <w:textAlignment w:val="auto"/>
              <w:rPr>
                <w:rFonts w:hint="eastAsia" w:ascii="宋体" w:hAnsi="宋体" w:eastAsia="宋体" w:cs="宋体"/>
                <w:bCs/>
                <w:color w:val="auto"/>
                <w:szCs w:val="21"/>
                <w:highlight w:val="none"/>
                <w:u w:val="none"/>
                <w:lang w:val="en-US" w:eastAsia="zh-CN"/>
              </w:rPr>
            </w:pPr>
            <w:r>
              <w:rPr>
                <w:rFonts w:hint="eastAsia" w:ascii="宋体" w:hAnsi="宋体" w:eastAsia="宋体" w:cs="宋体"/>
                <w:strike w:val="0"/>
                <w:dstrike w:val="0"/>
                <w:color w:val="auto"/>
                <w:kern w:val="2"/>
                <w:sz w:val="21"/>
                <w:szCs w:val="21"/>
                <w:highlight w:val="none"/>
                <w:u w:val="none"/>
                <w:lang w:val="en-US" w:eastAsia="zh-CN" w:bidi="ar"/>
              </w:rPr>
              <w:t>注：需提供合同或中标通知书扫描件并加盖投标人公章；如上述资料未能体现处理量，需提供日处理 10 吨/台或以上的业主证明或其他第三方证明材料</w:t>
            </w:r>
            <w:r>
              <w:rPr>
                <w:rFonts w:hint="eastAsia" w:ascii="宋体" w:hAnsi="宋体" w:eastAsia="宋体" w:cs="宋体"/>
                <w:color w:val="auto"/>
                <w:kern w:val="2"/>
                <w:sz w:val="21"/>
                <w:szCs w:val="21"/>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vMerge w:val="continue"/>
            <w:vAlign w:val="center"/>
          </w:tcPr>
          <w:p>
            <w:pPr>
              <w:widowControl/>
              <w:jc w:val="left"/>
              <w:rPr>
                <w:rFonts w:hint="eastAsia" w:ascii="宋体" w:hAnsi="宋体" w:eastAsia="宋体" w:cs="宋体"/>
                <w:color w:val="auto"/>
                <w:szCs w:val="21"/>
                <w:highlight w:val="none"/>
              </w:rPr>
            </w:pPr>
          </w:p>
        </w:tc>
        <w:tc>
          <w:tcPr>
            <w:tcW w:w="828" w:type="dxa"/>
            <w:vMerge w:val="continue"/>
            <w:vAlign w:val="top"/>
          </w:tcPr>
          <w:p>
            <w:pPr>
              <w:jc w:val="center"/>
              <w:rPr>
                <w:rFonts w:hint="eastAsia" w:ascii="宋体" w:hAnsi="宋体" w:eastAsia="宋体" w:cs="宋体"/>
                <w:bCs/>
                <w:color w:val="auto"/>
                <w:szCs w:val="21"/>
                <w:highlight w:val="none"/>
              </w:rPr>
            </w:pPr>
          </w:p>
        </w:tc>
        <w:tc>
          <w:tcPr>
            <w:tcW w:w="1759" w:type="dxa"/>
            <w:vAlign w:val="center"/>
          </w:tcPr>
          <w:p>
            <w:pPr>
              <w:spacing w:line="360" w:lineRule="auto"/>
              <w:jc w:val="center"/>
              <w:rPr>
                <w:rFonts w:hint="eastAsia" w:ascii="宋体" w:hAnsi="宋体" w:eastAsia="宋体" w:cs="宋体"/>
                <w:bCs/>
                <w:strike/>
                <w:color w:val="auto"/>
                <w:szCs w:val="21"/>
                <w:highlight w:val="none"/>
                <w:u w:val="none"/>
              </w:rPr>
            </w:pPr>
            <w:r>
              <w:rPr>
                <w:rFonts w:hint="eastAsia" w:ascii="宋体" w:hAnsi="宋体" w:cs="宋体"/>
                <w:color w:val="auto"/>
                <w:szCs w:val="21"/>
                <w:highlight w:val="none"/>
                <w:u w:val="none"/>
                <w:lang w:val="en-US" w:eastAsia="zh-CN" w:bidi="ar"/>
              </w:rPr>
              <w:t>服务便利性（15分）</w:t>
            </w:r>
          </w:p>
        </w:tc>
        <w:tc>
          <w:tcPr>
            <w:tcW w:w="5245" w:type="dxa"/>
            <w:vAlign w:val="center"/>
          </w:tcPr>
          <w:p>
            <w:pPr>
              <w:keepNext w:val="0"/>
              <w:keepLines w:val="0"/>
              <w:pageBreakBefore w:val="0"/>
              <w:kinsoku/>
              <w:wordWrap/>
              <w:overflowPunct/>
              <w:topLinePunct w:val="0"/>
              <w:bidi w:val="0"/>
              <w:snapToGrid/>
              <w:spacing w:line="360" w:lineRule="auto"/>
              <w:ind w:left="0" w:leftChars="0" w:firstLine="0" w:firstLineChars="0"/>
              <w:jc w:val="left"/>
              <w:textAlignment w:val="auto"/>
              <w:rPr>
                <w:rFonts w:hint="eastAsia" w:ascii="宋体" w:hAnsi="宋体" w:eastAsia="宋体" w:cs="宋体"/>
                <w:bCs/>
                <w:color w:val="auto"/>
                <w:szCs w:val="21"/>
                <w:highlight w:val="none"/>
                <w:u w:val="none"/>
              </w:rPr>
            </w:pPr>
            <w:r>
              <w:rPr>
                <w:rFonts w:hint="eastAsia" w:ascii="宋体" w:hAnsi="宋体" w:eastAsia="宋体" w:cs="宋体"/>
                <w:color w:val="auto"/>
                <w:kern w:val="2"/>
                <w:sz w:val="21"/>
                <w:szCs w:val="21"/>
                <w:highlight w:val="none"/>
                <w:u w:val="none"/>
                <w:lang w:val="en-US" w:eastAsia="zh-CN" w:bidi="ar"/>
              </w:rPr>
              <w:t>投标人能够满足</w:t>
            </w:r>
            <w:r>
              <w:rPr>
                <w:rFonts w:hint="eastAsia" w:ascii="宋体" w:hAnsi="宋体" w:eastAsia="宋体" w:cs="宋体"/>
                <w:strike w:val="0"/>
                <w:dstrike w:val="0"/>
                <w:color w:val="auto"/>
                <w:kern w:val="2"/>
                <w:sz w:val="21"/>
                <w:szCs w:val="21"/>
                <w:highlight w:val="none"/>
                <w:u w:val="none"/>
                <w:lang w:val="en-US" w:eastAsia="zh-CN" w:bidi="ar"/>
              </w:rPr>
              <w:t>本项目工期要求，若承诺提前供货，每提前一天加</w:t>
            </w:r>
            <w:r>
              <w:rPr>
                <w:rFonts w:hint="eastAsia" w:ascii="宋体" w:hAnsi="宋体" w:cs="宋体"/>
                <w:strike w:val="0"/>
                <w:dstrike w:val="0"/>
                <w:color w:val="auto"/>
                <w:kern w:val="2"/>
                <w:sz w:val="21"/>
                <w:szCs w:val="21"/>
                <w:highlight w:val="none"/>
                <w:u w:val="none"/>
                <w:lang w:val="en-US" w:eastAsia="zh-CN" w:bidi="ar"/>
              </w:rPr>
              <w:t>3</w:t>
            </w:r>
            <w:r>
              <w:rPr>
                <w:rFonts w:hint="eastAsia" w:ascii="宋体" w:hAnsi="宋体" w:eastAsia="宋体" w:cs="宋体"/>
                <w:strike w:val="0"/>
                <w:dstrike w:val="0"/>
                <w:color w:val="auto"/>
                <w:kern w:val="2"/>
                <w:sz w:val="21"/>
                <w:szCs w:val="21"/>
                <w:highlight w:val="none"/>
                <w:u w:val="none"/>
                <w:lang w:val="en-US" w:eastAsia="zh-CN" w:bidi="ar"/>
              </w:rPr>
              <w:t>分；</w:t>
            </w:r>
            <w:r>
              <w:rPr>
                <w:rFonts w:hint="eastAsia" w:ascii="宋体" w:hAnsi="宋体" w:eastAsia="宋体" w:cs="宋体"/>
                <w:strike w:val="0"/>
                <w:dstrike w:val="0"/>
                <w:color w:val="auto"/>
                <w:kern w:val="2"/>
                <w:sz w:val="21"/>
                <w:szCs w:val="21"/>
                <w:highlight w:val="none"/>
                <w:u w:val="none"/>
                <w:lang w:bidi="ar"/>
              </w:rPr>
              <w:t>最多得</w:t>
            </w:r>
            <w:r>
              <w:rPr>
                <w:rFonts w:hint="eastAsia" w:ascii="宋体" w:hAnsi="宋体" w:cs="宋体"/>
                <w:strike w:val="0"/>
                <w:dstrike w:val="0"/>
                <w:color w:val="auto"/>
                <w:kern w:val="2"/>
                <w:sz w:val="21"/>
                <w:szCs w:val="21"/>
                <w:highlight w:val="none"/>
                <w:u w:val="none"/>
                <w:lang w:val="en-US" w:eastAsia="zh-CN" w:bidi="ar"/>
              </w:rPr>
              <w:t>15</w:t>
            </w:r>
            <w:r>
              <w:rPr>
                <w:rFonts w:hint="eastAsia" w:ascii="宋体" w:hAnsi="宋体" w:eastAsia="宋体" w:cs="宋体"/>
                <w:strike w:val="0"/>
                <w:dstrike w:val="0"/>
                <w:color w:val="auto"/>
                <w:kern w:val="2"/>
                <w:sz w:val="21"/>
                <w:szCs w:val="21"/>
                <w:highlight w:val="none"/>
                <w:u w:val="none"/>
                <w:lang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900" w:type="dxa"/>
            <w:vMerge w:val="restart"/>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2.2.4（2）</w:t>
            </w:r>
          </w:p>
        </w:tc>
        <w:tc>
          <w:tcPr>
            <w:tcW w:w="828" w:type="dxa"/>
            <w:vMerge w:val="restart"/>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技术评分标准（</w:t>
            </w:r>
            <w:r>
              <w:rPr>
                <w:rFonts w:hint="eastAsia" w:ascii="宋体" w:hAnsi="宋体" w:cs="宋体"/>
                <w:color w:val="auto"/>
                <w:szCs w:val="21"/>
                <w:highlight w:val="none"/>
                <w:lang w:val="en-US" w:eastAsia="zh-CN"/>
              </w:rPr>
              <w:t>30</w:t>
            </w:r>
            <w:r>
              <w:rPr>
                <w:rFonts w:hint="eastAsia" w:ascii="宋体" w:hAnsi="宋体" w:eastAsia="宋体" w:cs="宋体"/>
                <w:color w:val="auto"/>
                <w:szCs w:val="21"/>
                <w:highlight w:val="none"/>
              </w:rPr>
              <w:t>分）</w:t>
            </w:r>
          </w:p>
        </w:tc>
        <w:tc>
          <w:tcPr>
            <w:tcW w:w="1759" w:type="dxa"/>
            <w:vAlign w:val="center"/>
          </w:tcPr>
          <w:p>
            <w:pPr>
              <w:keepNext w:val="0"/>
              <w:keepLines w:val="0"/>
              <w:pageBreakBefore w:val="0"/>
              <w:kinsoku/>
              <w:wordWrap/>
              <w:overflowPunct/>
              <w:topLinePunct w:val="0"/>
              <w:bidi w:val="0"/>
              <w:snapToGrid/>
              <w:spacing w:line="0" w:lineRule="atLeast"/>
              <w:ind w:left="0" w:leftChars="0" w:firstLine="0" w:firstLineChars="0"/>
              <w:jc w:val="center"/>
              <w:textAlignment w:val="auto"/>
              <w:rPr>
                <w:rFonts w:hint="eastAsia" w:ascii="Times New Roman" w:hAnsi="Times New Roman" w:eastAsia="宋体" w:cs="Times New Roman"/>
                <w:color w:val="auto"/>
                <w:kern w:val="2"/>
                <w:sz w:val="21"/>
                <w:szCs w:val="22"/>
                <w:highlight w:val="none"/>
                <w:lang w:val="en-US" w:eastAsia="zh-CN" w:bidi="ar-SA"/>
              </w:rPr>
            </w:pPr>
            <w:r>
              <w:rPr>
                <w:rFonts w:hint="eastAsia"/>
                <w:color w:val="auto"/>
                <w:highlight w:val="none"/>
              </w:rPr>
              <w:t>培训方案</w:t>
            </w:r>
            <w:r>
              <w:rPr>
                <w:rFonts w:hint="eastAsia" w:ascii="宋体" w:hAnsi="宋体" w:eastAsia="宋体" w:cs="宋体"/>
                <w:b w:val="0"/>
                <w:bCs w:val="0"/>
                <w:color w:val="auto"/>
                <w:kern w:val="2"/>
                <w:sz w:val="21"/>
                <w:szCs w:val="21"/>
                <w:highlight w:val="none"/>
                <w:lang w:eastAsia="zh-CN" w:bidi="ar"/>
              </w:rPr>
              <w:t>（</w:t>
            </w:r>
            <w:r>
              <w:rPr>
                <w:rFonts w:hint="eastAsia" w:ascii="宋体" w:hAnsi="宋体" w:cs="宋体"/>
                <w:b w:val="0"/>
                <w:bCs w:val="0"/>
                <w:color w:val="auto"/>
                <w:kern w:val="2"/>
                <w:sz w:val="21"/>
                <w:szCs w:val="21"/>
                <w:highlight w:val="none"/>
                <w:lang w:val="en-US" w:eastAsia="zh-CN" w:bidi="ar"/>
              </w:rPr>
              <w:t>10</w:t>
            </w:r>
            <w:r>
              <w:rPr>
                <w:rFonts w:hint="eastAsia" w:ascii="宋体" w:hAnsi="宋体" w:eastAsia="宋体" w:cs="宋体"/>
                <w:b w:val="0"/>
                <w:bCs w:val="0"/>
                <w:color w:val="auto"/>
                <w:kern w:val="2"/>
                <w:sz w:val="21"/>
                <w:szCs w:val="21"/>
                <w:highlight w:val="none"/>
                <w:lang w:val="en-US" w:eastAsia="zh-CN" w:bidi="ar"/>
              </w:rPr>
              <w:t>分）</w:t>
            </w:r>
          </w:p>
        </w:tc>
        <w:tc>
          <w:tcPr>
            <w:tcW w:w="5245" w:type="dxa"/>
            <w:vAlign w:val="center"/>
          </w:tcPr>
          <w:p>
            <w:pPr>
              <w:keepNext w:val="0"/>
              <w:keepLines w:val="0"/>
              <w:pageBreakBefore w:val="0"/>
              <w:kinsoku/>
              <w:wordWrap/>
              <w:overflowPunct/>
              <w:topLinePunct w:val="0"/>
              <w:bidi w:val="0"/>
              <w:snapToGrid/>
              <w:spacing w:line="0" w:lineRule="atLeast"/>
              <w:ind w:left="0" w:leftChars="0" w:firstLine="0" w:firstLineChars="0"/>
              <w:jc w:val="left"/>
              <w:textAlignment w:val="auto"/>
              <w:rPr>
                <w:rFonts w:hint="eastAsia" w:ascii="宋体" w:hAnsi="宋体" w:eastAsia="宋体" w:cs="宋体"/>
                <w:color w:val="auto"/>
                <w:kern w:val="2"/>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培训方案详实，培训计划合理，能保障受训人员熟悉设备操作、解决故障</w:t>
            </w:r>
            <w:r>
              <w:rPr>
                <w:rFonts w:hint="eastAsia" w:ascii="宋体" w:hAnsi="宋体" w:eastAsia="宋体" w:cs="宋体"/>
                <w:color w:val="auto"/>
                <w:kern w:val="2"/>
                <w:sz w:val="21"/>
                <w:szCs w:val="21"/>
                <w:highlight w:val="none"/>
                <w:lang w:bidi="ar"/>
              </w:rPr>
              <w:t>。</w:t>
            </w:r>
          </w:p>
          <w:p>
            <w:pPr>
              <w:keepNext w:val="0"/>
              <w:keepLines w:val="0"/>
              <w:pageBreakBefore w:val="0"/>
              <w:kinsoku/>
              <w:wordWrap/>
              <w:overflowPunct/>
              <w:topLinePunct w:val="0"/>
              <w:bidi w:val="0"/>
              <w:snapToGrid/>
              <w:spacing w:line="0" w:lineRule="atLeast"/>
              <w:ind w:left="0" w:leftChars="0" w:firstLine="0" w:firstLineChars="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优:(</w:t>
            </w:r>
            <w:r>
              <w:rPr>
                <w:rFonts w:hint="default" w:hAnsi="宋体" w:cs="宋体"/>
                <w:i w:val="0"/>
                <w:iCs w:val="0"/>
                <w:color w:val="auto"/>
                <w:kern w:val="0"/>
                <w:sz w:val="21"/>
                <w:szCs w:val="21"/>
                <w:highlight w:val="none"/>
                <w:u w:val="none"/>
                <w:lang w:val="en-US" w:eastAsia="zh-CN" w:bidi="ar"/>
              </w:rPr>
              <w:t>6</w:t>
            </w:r>
            <w:r>
              <w:rPr>
                <w:rFonts w:hint="eastAsia" w:ascii="宋体" w:hAnsi="宋体" w:eastAsia="宋体" w:cs="宋体"/>
                <w:i w:val="0"/>
                <w:iCs w:val="0"/>
                <w:color w:val="auto"/>
                <w:kern w:val="0"/>
                <w:sz w:val="21"/>
                <w:szCs w:val="21"/>
                <w:highlight w:val="none"/>
                <w:u w:val="none"/>
                <w:lang w:val="en-US" w:eastAsia="zh-CN" w:bidi="ar"/>
              </w:rPr>
              <w:t>,</w:t>
            </w:r>
            <w:r>
              <w:rPr>
                <w:rFonts w:hint="default" w:hAnsi="宋体" w:cs="宋体"/>
                <w:i w:val="0"/>
                <w:iCs w:val="0"/>
                <w:color w:val="auto"/>
                <w:kern w:val="0"/>
                <w:sz w:val="21"/>
                <w:szCs w:val="21"/>
                <w:highlight w:val="none"/>
                <w:u w:val="none"/>
                <w:lang w:val="en-US" w:eastAsia="zh-CN" w:bidi="ar"/>
              </w:rPr>
              <w:t>10</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分；良:(</w:t>
            </w: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w:t>
            </w:r>
            <w:r>
              <w:rPr>
                <w:rFonts w:hint="default" w:hAnsi="宋体" w:cs="宋体"/>
                <w:i w:val="0"/>
                <w:iCs w:val="0"/>
                <w:color w:val="auto"/>
                <w:kern w:val="0"/>
                <w:sz w:val="21"/>
                <w:szCs w:val="21"/>
                <w:highlight w:val="none"/>
                <w:u w:val="none"/>
                <w:lang w:val="en-US" w:eastAsia="zh-CN" w:bidi="ar"/>
              </w:rPr>
              <w:t>6</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分；中:(</w:t>
            </w:r>
            <w:r>
              <w:rPr>
                <w:rFonts w:hint="eastAsia" w:ascii="宋体" w:hAnsi="宋体" w:cs="宋体"/>
                <w:i w:val="0"/>
                <w:iCs w:val="0"/>
                <w:color w:val="auto"/>
                <w:kern w:val="0"/>
                <w:sz w:val="21"/>
                <w:szCs w:val="21"/>
                <w:highlight w:val="none"/>
                <w:u w:val="none"/>
                <w:lang w:val="en-US" w:eastAsia="zh-CN" w:bidi="ar"/>
              </w:rPr>
              <w:t>1,3]</w:t>
            </w:r>
            <w:r>
              <w:rPr>
                <w:rFonts w:hint="eastAsia" w:ascii="宋体" w:hAnsi="宋体" w:eastAsia="宋体" w:cs="宋体"/>
                <w:i w:val="0"/>
                <w:iCs w:val="0"/>
                <w:color w:val="auto"/>
                <w:kern w:val="0"/>
                <w:sz w:val="21"/>
                <w:szCs w:val="21"/>
                <w:highlight w:val="none"/>
                <w:u w:val="none"/>
                <w:lang w:val="en-US" w:eastAsia="zh-CN" w:bidi="ar"/>
              </w:rPr>
              <w:t>分；差：</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0,</w:t>
            </w: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00" w:type="dxa"/>
            <w:vMerge w:val="continue"/>
            <w:vAlign w:val="center"/>
          </w:tcPr>
          <w:p>
            <w:pPr>
              <w:widowControl/>
              <w:jc w:val="left"/>
              <w:rPr>
                <w:rFonts w:hint="eastAsia" w:ascii="宋体" w:hAnsi="宋体" w:eastAsia="宋体" w:cs="宋体"/>
                <w:color w:val="auto"/>
                <w:szCs w:val="21"/>
                <w:highlight w:val="none"/>
              </w:rPr>
            </w:pPr>
          </w:p>
        </w:tc>
        <w:tc>
          <w:tcPr>
            <w:tcW w:w="828" w:type="dxa"/>
            <w:vMerge w:val="continue"/>
            <w:vAlign w:val="center"/>
          </w:tcPr>
          <w:p>
            <w:pPr>
              <w:widowControl/>
              <w:jc w:val="left"/>
              <w:rPr>
                <w:rFonts w:hint="eastAsia" w:ascii="宋体" w:hAnsi="宋体" w:eastAsia="宋体" w:cs="宋体"/>
                <w:color w:val="auto"/>
                <w:szCs w:val="21"/>
                <w:highlight w:val="none"/>
              </w:rPr>
            </w:pPr>
          </w:p>
        </w:tc>
        <w:tc>
          <w:tcPr>
            <w:tcW w:w="1759" w:type="dxa"/>
            <w:tcMar>
              <w:top w:w="0" w:type="dxa"/>
              <w:left w:w="57" w:type="dxa"/>
              <w:bottom w:w="0" w:type="dxa"/>
              <w:right w:w="57" w:type="dxa"/>
            </w:tcMar>
            <w:vAlign w:val="center"/>
          </w:tcPr>
          <w:p>
            <w:pPr>
              <w:keepNext w:val="0"/>
              <w:keepLines w:val="0"/>
              <w:pageBreakBefore w:val="0"/>
              <w:kinsoku/>
              <w:wordWrap/>
              <w:overflowPunct/>
              <w:topLinePunct w:val="0"/>
              <w:bidi w:val="0"/>
              <w:snapToGrid/>
              <w:spacing w:line="0" w:lineRule="atLeast"/>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bidi="ar"/>
              </w:rPr>
              <w:t>备件零配件售后保障措施方案</w:t>
            </w:r>
            <w:r>
              <w:rPr>
                <w:rFonts w:hint="eastAsia" w:ascii="宋体" w:hAnsi="宋体" w:eastAsia="宋体" w:cs="宋体"/>
                <w:b w:val="0"/>
                <w:bCs w:val="0"/>
                <w:color w:val="auto"/>
                <w:kern w:val="2"/>
                <w:sz w:val="21"/>
                <w:szCs w:val="21"/>
                <w:highlight w:val="none"/>
                <w:lang w:eastAsia="zh-CN" w:bidi="ar"/>
              </w:rPr>
              <w:t>（</w:t>
            </w:r>
            <w:r>
              <w:rPr>
                <w:rFonts w:hint="eastAsia" w:ascii="宋体" w:hAnsi="宋体" w:cs="宋体"/>
                <w:b w:val="0"/>
                <w:bCs w:val="0"/>
                <w:color w:val="auto"/>
                <w:kern w:val="2"/>
                <w:sz w:val="21"/>
                <w:szCs w:val="21"/>
                <w:highlight w:val="none"/>
                <w:lang w:val="en-US" w:eastAsia="zh-CN" w:bidi="ar"/>
              </w:rPr>
              <w:t>10</w:t>
            </w:r>
            <w:r>
              <w:rPr>
                <w:rFonts w:hint="eastAsia" w:ascii="宋体" w:hAnsi="宋体" w:eastAsia="宋体" w:cs="宋体"/>
                <w:b w:val="0"/>
                <w:bCs w:val="0"/>
                <w:color w:val="auto"/>
                <w:kern w:val="2"/>
                <w:sz w:val="21"/>
                <w:szCs w:val="21"/>
                <w:highlight w:val="none"/>
                <w:lang w:val="en-US" w:eastAsia="zh-CN" w:bidi="ar"/>
              </w:rPr>
              <w:t>分）</w:t>
            </w:r>
          </w:p>
        </w:tc>
        <w:tc>
          <w:tcPr>
            <w:tcW w:w="5245" w:type="dxa"/>
            <w:tcMar>
              <w:top w:w="0" w:type="dxa"/>
              <w:left w:w="57" w:type="dxa"/>
              <w:bottom w:w="0" w:type="dxa"/>
              <w:right w:w="57" w:type="dxa"/>
            </w:tcMar>
            <w:vAlign w:val="center"/>
          </w:tcPr>
          <w:p>
            <w:pPr>
              <w:keepNext w:val="0"/>
              <w:keepLines w:val="0"/>
              <w:pageBreakBefore w:val="0"/>
              <w:kinsoku/>
              <w:wordWrap/>
              <w:overflowPunct/>
              <w:topLinePunct w:val="0"/>
              <w:bidi w:val="0"/>
              <w:snapToGrid/>
              <w:spacing w:line="0" w:lineRule="atLeast"/>
              <w:ind w:left="0" w:leftChars="0" w:firstLine="0" w:firstLineChars="0"/>
              <w:jc w:val="left"/>
              <w:textAlignment w:val="auto"/>
              <w:rPr>
                <w:rFonts w:hint="eastAsia" w:ascii="宋体" w:hAnsi="宋体" w:eastAsia="宋体" w:cs="宋体"/>
                <w:color w:val="auto"/>
                <w:kern w:val="2"/>
                <w:sz w:val="21"/>
                <w:szCs w:val="21"/>
                <w:highlight w:val="none"/>
                <w:lang w:bidi="ar"/>
              </w:rPr>
            </w:pPr>
            <w:r>
              <w:rPr>
                <w:rFonts w:hint="eastAsia" w:ascii="宋体" w:hAnsi="宋体" w:eastAsia="宋体" w:cs="宋体"/>
                <w:color w:val="auto"/>
                <w:kern w:val="2"/>
                <w:sz w:val="21"/>
                <w:szCs w:val="21"/>
                <w:highlight w:val="none"/>
                <w:lang w:bidi="ar"/>
              </w:rPr>
              <w:t>提供的备件、零配件售后保障措施方案的及时性、完整性、合理性等方面。</w:t>
            </w:r>
          </w:p>
          <w:p>
            <w:pPr>
              <w:keepNext w:val="0"/>
              <w:keepLines w:val="0"/>
              <w:pageBreakBefore w:val="0"/>
              <w:kinsoku/>
              <w:wordWrap/>
              <w:overflowPunct/>
              <w:topLinePunct w:val="0"/>
              <w:bidi w:val="0"/>
              <w:snapToGrid/>
              <w:spacing w:line="0" w:lineRule="atLeast"/>
              <w:ind w:left="0" w:leftChars="0" w:firstLine="0" w:firstLineChars="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优:(</w:t>
            </w:r>
            <w:r>
              <w:rPr>
                <w:rFonts w:hint="default" w:hAnsi="宋体" w:cs="宋体"/>
                <w:i w:val="0"/>
                <w:iCs w:val="0"/>
                <w:color w:val="auto"/>
                <w:kern w:val="0"/>
                <w:sz w:val="21"/>
                <w:szCs w:val="21"/>
                <w:highlight w:val="none"/>
                <w:u w:val="none"/>
                <w:lang w:val="en-US" w:eastAsia="zh-CN" w:bidi="ar"/>
              </w:rPr>
              <w:t>6</w:t>
            </w:r>
            <w:r>
              <w:rPr>
                <w:rFonts w:hint="eastAsia" w:ascii="宋体" w:hAnsi="宋体" w:eastAsia="宋体" w:cs="宋体"/>
                <w:i w:val="0"/>
                <w:iCs w:val="0"/>
                <w:color w:val="auto"/>
                <w:kern w:val="0"/>
                <w:sz w:val="21"/>
                <w:szCs w:val="21"/>
                <w:highlight w:val="none"/>
                <w:u w:val="none"/>
                <w:lang w:val="en-US" w:eastAsia="zh-CN" w:bidi="ar"/>
              </w:rPr>
              <w:t>,</w:t>
            </w:r>
            <w:r>
              <w:rPr>
                <w:rFonts w:hint="default" w:hAnsi="宋体" w:cs="宋体"/>
                <w:i w:val="0"/>
                <w:iCs w:val="0"/>
                <w:color w:val="auto"/>
                <w:kern w:val="0"/>
                <w:sz w:val="21"/>
                <w:szCs w:val="21"/>
                <w:highlight w:val="none"/>
                <w:u w:val="none"/>
                <w:lang w:val="en-US" w:eastAsia="zh-CN" w:bidi="ar"/>
              </w:rPr>
              <w:t>10</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分；良:(</w:t>
            </w: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w:t>
            </w:r>
            <w:r>
              <w:rPr>
                <w:rFonts w:hint="default" w:hAnsi="宋体" w:cs="宋体"/>
                <w:i w:val="0"/>
                <w:iCs w:val="0"/>
                <w:color w:val="auto"/>
                <w:kern w:val="0"/>
                <w:sz w:val="21"/>
                <w:szCs w:val="21"/>
                <w:highlight w:val="none"/>
                <w:u w:val="none"/>
                <w:lang w:val="en-US" w:eastAsia="zh-CN" w:bidi="ar"/>
              </w:rPr>
              <w:t>6</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分；中:(</w:t>
            </w:r>
            <w:r>
              <w:rPr>
                <w:rFonts w:hint="eastAsia" w:ascii="宋体" w:hAnsi="宋体" w:cs="宋体"/>
                <w:i w:val="0"/>
                <w:iCs w:val="0"/>
                <w:color w:val="auto"/>
                <w:kern w:val="0"/>
                <w:sz w:val="21"/>
                <w:szCs w:val="21"/>
                <w:highlight w:val="none"/>
                <w:u w:val="none"/>
                <w:lang w:val="en-US" w:eastAsia="zh-CN" w:bidi="ar"/>
              </w:rPr>
              <w:t>1,3]</w:t>
            </w:r>
            <w:r>
              <w:rPr>
                <w:rFonts w:hint="eastAsia" w:ascii="宋体" w:hAnsi="宋体" w:eastAsia="宋体" w:cs="宋体"/>
                <w:i w:val="0"/>
                <w:iCs w:val="0"/>
                <w:color w:val="auto"/>
                <w:kern w:val="0"/>
                <w:sz w:val="21"/>
                <w:szCs w:val="21"/>
                <w:highlight w:val="none"/>
                <w:u w:val="none"/>
                <w:lang w:val="en-US" w:eastAsia="zh-CN" w:bidi="ar"/>
              </w:rPr>
              <w:t>分；差：</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0,</w:t>
            </w: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00" w:type="dxa"/>
            <w:vMerge w:val="continue"/>
            <w:vAlign w:val="center"/>
          </w:tcPr>
          <w:p>
            <w:pPr>
              <w:widowControl/>
              <w:jc w:val="left"/>
              <w:rPr>
                <w:rFonts w:hint="eastAsia" w:ascii="宋体" w:hAnsi="宋体" w:eastAsia="宋体" w:cs="宋体"/>
                <w:color w:val="auto"/>
                <w:szCs w:val="21"/>
                <w:highlight w:val="none"/>
              </w:rPr>
            </w:pPr>
          </w:p>
        </w:tc>
        <w:tc>
          <w:tcPr>
            <w:tcW w:w="828" w:type="dxa"/>
            <w:vMerge w:val="continue"/>
            <w:vAlign w:val="center"/>
          </w:tcPr>
          <w:p>
            <w:pPr>
              <w:widowControl/>
              <w:jc w:val="left"/>
              <w:rPr>
                <w:rFonts w:hint="eastAsia" w:ascii="宋体" w:hAnsi="宋体" w:eastAsia="宋体" w:cs="宋体"/>
                <w:color w:val="auto"/>
                <w:szCs w:val="21"/>
                <w:highlight w:val="none"/>
              </w:rPr>
            </w:pPr>
          </w:p>
        </w:tc>
        <w:tc>
          <w:tcPr>
            <w:tcW w:w="1759" w:type="dxa"/>
            <w:tcMar>
              <w:top w:w="0" w:type="dxa"/>
              <w:left w:w="57" w:type="dxa"/>
              <w:bottom w:w="0" w:type="dxa"/>
              <w:right w:w="57" w:type="dxa"/>
            </w:tcMar>
            <w:vAlign w:val="center"/>
          </w:tcPr>
          <w:p>
            <w:pPr>
              <w:keepNext w:val="0"/>
              <w:keepLines w:val="0"/>
              <w:pageBreakBefore w:val="0"/>
              <w:kinsoku/>
              <w:wordWrap/>
              <w:overflowPunct/>
              <w:topLinePunct w:val="0"/>
              <w:bidi w:val="0"/>
              <w:snapToGrid/>
              <w:spacing w:line="0" w:lineRule="atLeast"/>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eastAsia="zh-CN" w:bidi="ar"/>
              </w:rPr>
              <w:t>服务方案（</w:t>
            </w:r>
            <w:r>
              <w:rPr>
                <w:rFonts w:hint="default" w:ascii="宋体" w:hAnsi="宋体" w:eastAsia="宋体" w:cs="宋体"/>
                <w:b w:val="0"/>
                <w:bCs w:val="0"/>
                <w:color w:val="auto"/>
                <w:kern w:val="2"/>
                <w:sz w:val="21"/>
                <w:szCs w:val="21"/>
                <w:highlight w:val="none"/>
                <w:lang w:val="en-US" w:eastAsia="zh-CN" w:bidi="ar"/>
              </w:rPr>
              <w:t>10</w:t>
            </w:r>
            <w:r>
              <w:rPr>
                <w:rFonts w:hint="eastAsia" w:ascii="宋体" w:hAnsi="宋体" w:eastAsia="宋体" w:cs="宋体"/>
                <w:b w:val="0"/>
                <w:bCs w:val="0"/>
                <w:color w:val="auto"/>
                <w:kern w:val="2"/>
                <w:sz w:val="21"/>
                <w:szCs w:val="21"/>
                <w:highlight w:val="none"/>
                <w:lang w:val="en-US" w:eastAsia="zh-CN" w:bidi="ar"/>
              </w:rPr>
              <w:t>分）</w:t>
            </w:r>
          </w:p>
        </w:tc>
        <w:tc>
          <w:tcPr>
            <w:tcW w:w="5245" w:type="dxa"/>
            <w:tcMar>
              <w:top w:w="0" w:type="dxa"/>
              <w:left w:w="57" w:type="dxa"/>
              <w:bottom w:w="0" w:type="dxa"/>
              <w:right w:w="57" w:type="dxa"/>
            </w:tcMar>
            <w:vAlign w:val="center"/>
          </w:tcPr>
          <w:p>
            <w:pPr>
              <w:keepNext w:val="0"/>
              <w:keepLines w:val="0"/>
              <w:widowControl/>
              <w:numPr>
                <w:ilvl w:val="0"/>
                <w:numId w:val="1"/>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提供完善的售后服务响应体系，提供本地化服务，及时、有效、可靠为招标人解决设备运行中疑难问题；</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2. </w:t>
            </w:r>
            <w:r>
              <w:rPr>
                <w:rFonts w:hint="eastAsia" w:ascii="宋体" w:hAnsi="宋体" w:eastAsia="宋体" w:cs="宋体"/>
                <w:color w:val="auto"/>
                <w:szCs w:val="21"/>
                <w:highlight w:val="none"/>
              </w:rPr>
              <w:t>根据投标</w:t>
            </w:r>
            <w:r>
              <w:rPr>
                <w:rFonts w:hint="eastAsia" w:ascii="宋体" w:hAnsi="宋体" w:eastAsia="宋体" w:cs="宋体"/>
                <w:color w:val="auto"/>
                <w:szCs w:val="21"/>
                <w:highlight w:val="none"/>
                <w:lang w:val="en-US" w:eastAsia="zh-CN"/>
              </w:rPr>
              <w:t>人</w:t>
            </w:r>
            <w:r>
              <w:rPr>
                <w:rFonts w:hint="eastAsia" w:ascii="宋体" w:hAnsi="宋体" w:eastAsia="宋体" w:cs="宋体"/>
                <w:color w:val="auto"/>
                <w:szCs w:val="21"/>
                <w:highlight w:val="none"/>
              </w:rPr>
              <w:t>提供的安装、测试及验收方案（包括但不限于：</w:t>
            </w:r>
            <w:r>
              <w:rPr>
                <w:rFonts w:hint="eastAsia" w:ascii="宋体" w:hAnsi="宋体" w:eastAsia="宋体" w:cs="宋体"/>
                <w:color w:val="auto"/>
                <w:szCs w:val="21"/>
                <w:highlight w:val="none"/>
                <w:lang w:val="en-US" w:eastAsia="zh-CN"/>
              </w:rPr>
              <w:t>设备供货方案、</w:t>
            </w:r>
            <w:r>
              <w:rPr>
                <w:rFonts w:hint="eastAsia" w:ascii="宋体" w:hAnsi="宋体" w:eastAsia="宋体" w:cs="宋体"/>
                <w:color w:val="auto"/>
                <w:szCs w:val="21"/>
                <w:highlight w:val="none"/>
              </w:rPr>
              <w:t>安装计划、调试方法及措施、验收服务保障）进行综合评审</w:t>
            </w:r>
            <w:r>
              <w:rPr>
                <w:rFonts w:hint="eastAsia" w:ascii="宋体" w:hAnsi="宋体" w:cs="宋体"/>
                <w:color w:val="auto"/>
                <w:szCs w:val="21"/>
                <w:highlight w:val="none"/>
                <w:lang w:eastAsia="zh-CN"/>
              </w:rPr>
              <w:t>。</w:t>
            </w:r>
          </w:p>
          <w:p>
            <w:pPr>
              <w:pStyle w:val="18"/>
              <w:numPr>
                <w:ilvl w:val="0"/>
                <w:numId w:val="0"/>
              </w:numPr>
              <w:ind w:left="0" w:leftChars="0" w:firstLine="0" w:firstLineChars="0"/>
              <w:rPr>
                <w:rFonts w:hint="eastAsia" w:ascii="宋体" w:hAnsi="宋体" w:eastAsia="宋体" w:cs="宋体"/>
                <w:color w:val="auto"/>
                <w:kern w:val="0"/>
                <w:sz w:val="20"/>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优:(</w:t>
            </w:r>
            <w:r>
              <w:rPr>
                <w:rFonts w:hint="default" w:hAnsi="宋体" w:cs="宋体"/>
                <w:i w:val="0"/>
                <w:iCs w:val="0"/>
                <w:color w:val="auto"/>
                <w:kern w:val="0"/>
                <w:sz w:val="21"/>
                <w:szCs w:val="21"/>
                <w:highlight w:val="none"/>
                <w:u w:val="none"/>
                <w:lang w:val="en-US" w:eastAsia="zh-CN" w:bidi="ar"/>
              </w:rPr>
              <w:t>6</w:t>
            </w:r>
            <w:r>
              <w:rPr>
                <w:rFonts w:hint="eastAsia" w:ascii="宋体" w:hAnsi="宋体" w:eastAsia="宋体" w:cs="宋体"/>
                <w:i w:val="0"/>
                <w:iCs w:val="0"/>
                <w:color w:val="auto"/>
                <w:kern w:val="0"/>
                <w:sz w:val="21"/>
                <w:szCs w:val="21"/>
                <w:highlight w:val="none"/>
                <w:u w:val="none"/>
                <w:lang w:val="en-US" w:eastAsia="zh-CN" w:bidi="ar"/>
              </w:rPr>
              <w:t>,</w:t>
            </w:r>
            <w:r>
              <w:rPr>
                <w:rFonts w:hint="default" w:hAnsi="宋体" w:cs="宋体"/>
                <w:i w:val="0"/>
                <w:iCs w:val="0"/>
                <w:color w:val="auto"/>
                <w:kern w:val="0"/>
                <w:sz w:val="21"/>
                <w:szCs w:val="21"/>
                <w:highlight w:val="none"/>
                <w:u w:val="none"/>
                <w:lang w:val="en-US" w:eastAsia="zh-CN" w:bidi="ar"/>
              </w:rPr>
              <w:t>10</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分；良:(</w:t>
            </w: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w:t>
            </w:r>
            <w:r>
              <w:rPr>
                <w:rFonts w:hint="default" w:hAnsi="宋体" w:cs="宋体"/>
                <w:i w:val="0"/>
                <w:iCs w:val="0"/>
                <w:color w:val="auto"/>
                <w:kern w:val="0"/>
                <w:sz w:val="21"/>
                <w:szCs w:val="21"/>
                <w:highlight w:val="none"/>
                <w:u w:val="none"/>
                <w:lang w:val="en-US" w:eastAsia="zh-CN" w:bidi="ar"/>
              </w:rPr>
              <w:t>6</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分；中:(</w:t>
            </w:r>
            <w:r>
              <w:rPr>
                <w:rFonts w:hint="eastAsia" w:ascii="宋体" w:hAnsi="宋体" w:cs="宋体"/>
                <w:i w:val="0"/>
                <w:iCs w:val="0"/>
                <w:color w:val="auto"/>
                <w:kern w:val="0"/>
                <w:sz w:val="21"/>
                <w:szCs w:val="21"/>
                <w:highlight w:val="none"/>
                <w:u w:val="none"/>
                <w:lang w:val="en-US" w:eastAsia="zh-CN" w:bidi="ar"/>
              </w:rPr>
              <w:t>1,3]</w:t>
            </w:r>
            <w:r>
              <w:rPr>
                <w:rFonts w:hint="eastAsia" w:ascii="宋体" w:hAnsi="宋体" w:eastAsia="宋体" w:cs="宋体"/>
                <w:i w:val="0"/>
                <w:iCs w:val="0"/>
                <w:color w:val="auto"/>
                <w:kern w:val="0"/>
                <w:sz w:val="21"/>
                <w:szCs w:val="21"/>
                <w:highlight w:val="none"/>
                <w:u w:val="none"/>
                <w:lang w:val="en-US" w:eastAsia="zh-CN" w:bidi="ar"/>
              </w:rPr>
              <w:t>分；差：</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0,</w:t>
            </w: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2.2.4（3）</w:t>
            </w:r>
          </w:p>
        </w:tc>
        <w:tc>
          <w:tcPr>
            <w:tcW w:w="828"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投标报价评分标准</w:t>
            </w:r>
          </w:p>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40</w:t>
            </w:r>
            <w:r>
              <w:rPr>
                <w:rFonts w:hint="eastAsia" w:ascii="宋体" w:hAnsi="宋体" w:eastAsia="宋体" w:cs="宋体"/>
                <w:color w:val="auto"/>
                <w:szCs w:val="21"/>
                <w:highlight w:val="none"/>
              </w:rPr>
              <w:t>分）</w:t>
            </w:r>
          </w:p>
        </w:tc>
        <w:tc>
          <w:tcPr>
            <w:tcW w:w="1759"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投标报价得分</w:t>
            </w:r>
          </w:p>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40</w:t>
            </w:r>
            <w:r>
              <w:rPr>
                <w:rFonts w:hint="eastAsia" w:ascii="宋体" w:hAnsi="宋体" w:eastAsia="宋体" w:cs="宋体"/>
                <w:color w:val="auto"/>
                <w:szCs w:val="21"/>
                <w:highlight w:val="none"/>
              </w:rPr>
              <w:t>分）</w:t>
            </w:r>
          </w:p>
        </w:tc>
        <w:tc>
          <w:tcPr>
            <w:tcW w:w="5245" w:type="dxa"/>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投标报价等于评标基准价时得</w:t>
            </w:r>
            <w:r>
              <w:rPr>
                <w:rFonts w:hint="eastAsia" w:ascii="宋体" w:hAnsi="宋体" w:cs="宋体"/>
                <w:color w:val="auto"/>
                <w:szCs w:val="21"/>
                <w:highlight w:val="none"/>
                <w:lang w:val="en-US" w:eastAsia="zh-CN"/>
              </w:rPr>
              <w:t>40</w:t>
            </w:r>
            <w:r>
              <w:rPr>
                <w:rFonts w:hint="eastAsia" w:ascii="宋体" w:hAnsi="宋体" w:eastAsia="宋体" w:cs="宋体"/>
                <w:color w:val="auto"/>
                <w:szCs w:val="21"/>
                <w:highlight w:val="none"/>
              </w:rPr>
              <w:t>分，投标报价每高于评标基准价1%，扣1分，每低于评标基准价1%，扣</w:t>
            </w:r>
            <w:r>
              <w:rPr>
                <w:rFonts w:hint="eastAsia" w:ascii="宋体" w:hAnsi="宋体" w:cs="宋体"/>
                <w:color w:val="auto"/>
                <w:szCs w:val="21"/>
                <w:highlight w:val="none"/>
                <w:lang w:val="en-US" w:eastAsia="zh-CN"/>
              </w:rPr>
              <w:t>0.5</w:t>
            </w:r>
            <w:r>
              <w:rPr>
                <w:rFonts w:hint="eastAsia" w:ascii="宋体" w:hAnsi="宋体" w:eastAsia="宋体" w:cs="宋体"/>
                <w:color w:val="auto"/>
                <w:szCs w:val="21"/>
                <w:highlight w:val="none"/>
              </w:rPr>
              <w:t>分，扣至0分为止，中间采用插值法计算，得分精确到小数点后两位。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vAlign w:val="top"/>
          </w:tcPr>
          <w:p>
            <w:pPr>
              <w:spacing w:before="211" w:line="233" w:lineRule="auto"/>
              <w:ind w:left="244"/>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1"/>
                <w:sz w:val="21"/>
                <w:szCs w:val="21"/>
                <w:highlight w:val="none"/>
              </w:rPr>
              <w:t>2.2.4</w:t>
            </w:r>
          </w:p>
          <w:p>
            <w:pPr>
              <w:pStyle w:val="110"/>
              <w:spacing w:before="172" w:line="230" w:lineRule="auto"/>
              <w:ind w:left="201" w:leftChars="0"/>
              <w:rPr>
                <w:rFonts w:hint="eastAsia" w:ascii="宋体" w:hAnsi="宋体" w:eastAsia="宋体" w:cs="宋体"/>
                <w:color w:val="auto"/>
                <w:szCs w:val="21"/>
                <w:highlight w:val="none"/>
              </w:rPr>
            </w:pPr>
            <w:r>
              <w:rPr>
                <w:color w:val="auto"/>
                <w:spacing w:val="-5"/>
                <w:highlight w:val="none"/>
              </w:rPr>
              <w:t>（</w:t>
            </w:r>
            <w:r>
              <w:rPr>
                <w:rFonts w:ascii="Times New Roman" w:hAnsi="Times New Roman" w:eastAsia="Times New Roman" w:cs="Times New Roman"/>
                <w:color w:val="auto"/>
                <w:spacing w:val="-5"/>
                <w:highlight w:val="none"/>
              </w:rPr>
              <w:t>4</w:t>
            </w:r>
            <w:r>
              <w:rPr>
                <w:color w:val="auto"/>
                <w:spacing w:val="-5"/>
                <w:highlight w:val="none"/>
              </w:rPr>
              <w:t>）</w:t>
            </w:r>
          </w:p>
        </w:tc>
        <w:tc>
          <w:tcPr>
            <w:tcW w:w="828"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其他因素评分标准</w:t>
            </w:r>
          </w:p>
        </w:tc>
        <w:tc>
          <w:tcPr>
            <w:tcW w:w="1759" w:type="dxa"/>
            <w:vAlign w:val="center"/>
          </w:tcPr>
          <w:p>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w:t>
            </w:r>
          </w:p>
        </w:tc>
        <w:tc>
          <w:tcPr>
            <w:tcW w:w="5245" w:type="dxa"/>
            <w:vAlign w:val="center"/>
          </w:tcPr>
          <w:p>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w:t>
            </w:r>
          </w:p>
        </w:tc>
      </w:tr>
    </w:tbl>
    <w:p>
      <w:pPr>
        <w:spacing w:before="141" w:line="238" w:lineRule="auto"/>
        <w:ind w:left="13"/>
        <w:outlineLvl w:val="1"/>
        <w:rPr>
          <w:rFonts w:ascii="黑体" w:hAnsi="黑体" w:eastAsia="黑体" w:cs="黑体"/>
          <w:color w:val="auto"/>
          <w:sz w:val="31"/>
          <w:szCs w:val="31"/>
          <w:highlight w:val="none"/>
        </w:rPr>
      </w:pPr>
      <w:r>
        <w:rPr>
          <w:rFonts w:hint="eastAsia" w:ascii="宋体" w:hAnsi="宋体" w:eastAsia="宋体" w:cs="宋体"/>
          <w:color w:val="auto"/>
          <w:highlight w:val="none"/>
        </w:rPr>
        <w:br w:type="page"/>
      </w:r>
      <w:bookmarkStart w:id="87" w:name="_Toc508382165"/>
      <w:bookmarkStart w:id="88" w:name="_Toc7454659"/>
      <w:bookmarkStart w:id="89" w:name="_Toc508788682"/>
      <w:r>
        <w:rPr>
          <w:rFonts w:ascii="Times New Roman" w:hAnsi="Times New Roman" w:eastAsia="Times New Roman" w:cs="Times New Roman"/>
          <w:b/>
          <w:bCs/>
          <w:color w:val="auto"/>
          <w:spacing w:val="2"/>
          <w:sz w:val="31"/>
          <w:szCs w:val="31"/>
          <w:highlight w:val="none"/>
        </w:rPr>
        <w:t xml:space="preserve">1.  </w:t>
      </w:r>
      <w:r>
        <w:rPr>
          <w:rFonts w:ascii="黑体" w:hAnsi="黑体" w:eastAsia="黑体" w:cs="黑体"/>
          <w:b/>
          <w:bCs/>
          <w:color w:val="auto"/>
          <w:spacing w:val="2"/>
          <w:sz w:val="31"/>
          <w:szCs w:val="31"/>
          <w:highlight w:val="none"/>
        </w:rPr>
        <w:t>评标方法</w:t>
      </w:r>
    </w:p>
    <w:p>
      <w:pPr>
        <w:spacing w:line="241" w:lineRule="auto"/>
        <w:rPr>
          <w:rFonts w:ascii="Arial"/>
          <w:color w:val="auto"/>
          <w:sz w:val="21"/>
          <w:highlight w:val="none"/>
        </w:rPr>
      </w:pPr>
    </w:p>
    <w:p>
      <w:pPr>
        <w:spacing w:line="241" w:lineRule="auto"/>
        <w:rPr>
          <w:rFonts w:ascii="Arial"/>
          <w:color w:val="auto"/>
          <w:sz w:val="21"/>
          <w:highlight w:val="none"/>
        </w:rPr>
      </w:pPr>
    </w:p>
    <w:p>
      <w:pPr>
        <w:pStyle w:val="13"/>
        <w:spacing w:before="68" w:line="359" w:lineRule="auto"/>
        <w:ind w:firstLine="421"/>
        <w:rPr>
          <w:color w:val="auto"/>
          <w:sz w:val="21"/>
          <w:szCs w:val="21"/>
          <w:highlight w:val="none"/>
        </w:rPr>
      </w:pPr>
      <w:r>
        <w:rPr>
          <w:color w:val="auto"/>
          <w:spacing w:val="1"/>
          <w:sz w:val="21"/>
          <w:szCs w:val="21"/>
          <w:highlight w:val="none"/>
        </w:rPr>
        <w:t>本次评标采用综合评估法。评标委员会对满足招标</w:t>
      </w:r>
      <w:r>
        <w:rPr>
          <w:color w:val="auto"/>
          <w:sz w:val="21"/>
          <w:szCs w:val="21"/>
          <w:highlight w:val="none"/>
        </w:rPr>
        <w:t xml:space="preserve">文件实质性要求的投标文件，按照本章 第 </w:t>
      </w:r>
      <w:r>
        <w:rPr>
          <w:rFonts w:ascii="Times New Roman" w:hAnsi="Times New Roman" w:eastAsia="Times New Roman" w:cs="Times New Roman"/>
          <w:color w:val="auto"/>
          <w:sz w:val="21"/>
          <w:szCs w:val="21"/>
          <w:highlight w:val="none"/>
        </w:rPr>
        <w:t>2.2</w:t>
      </w:r>
      <w:r>
        <w:rPr>
          <w:rFonts w:ascii="Times New Roman" w:hAnsi="Times New Roman" w:eastAsia="Times New Roman" w:cs="Times New Roman"/>
          <w:color w:val="auto"/>
          <w:spacing w:val="50"/>
          <w:w w:val="101"/>
          <w:sz w:val="21"/>
          <w:szCs w:val="21"/>
          <w:highlight w:val="none"/>
        </w:rPr>
        <w:t xml:space="preserve"> </w:t>
      </w:r>
      <w:r>
        <w:rPr>
          <w:color w:val="auto"/>
          <w:sz w:val="21"/>
          <w:szCs w:val="21"/>
          <w:highlight w:val="none"/>
        </w:rPr>
        <w:t>款规定的评分标准进行打分，并按</w:t>
      </w:r>
      <w:r>
        <w:rPr>
          <w:color w:val="auto"/>
          <w:spacing w:val="-1"/>
          <w:sz w:val="21"/>
          <w:szCs w:val="21"/>
          <w:highlight w:val="none"/>
        </w:rPr>
        <w:t>得分由高到低顺序推荐中标候选人，或根据招标人授</w:t>
      </w:r>
      <w:r>
        <w:rPr>
          <w:color w:val="auto"/>
          <w:spacing w:val="1"/>
          <w:sz w:val="21"/>
          <w:szCs w:val="21"/>
          <w:highlight w:val="none"/>
        </w:rPr>
        <w:t>权直接确定中标人，但投标报价低于其成本的除外。综合</w:t>
      </w:r>
      <w:r>
        <w:rPr>
          <w:color w:val="auto"/>
          <w:sz w:val="21"/>
          <w:szCs w:val="21"/>
          <w:highlight w:val="none"/>
        </w:rPr>
        <w:t>评分相等时，以投标报价低的优先；</w:t>
      </w:r>
      <w:r>
        <w:rPr>
          <w:color w:val="auto"/>
          <w:spacing w:val="1"/>
          <w:sz w:val="21"/>
          <w:szCs w:val="21"/>
          <w:highlight w:val="none"/>
        </w:rPr>
        <w:t>投标报价也相等的，以技术得分高的优先；如果技术得分</w:t>
      </w:r>
      <w:r>
        <w:rPr>
          <w:color w:val="auto"/>
          <w:sz w:val="21"/>
          <w:szCs w:val="21"/>
          <w:highlight w:val="none"/>
        </w:rPr>
        <w:t>也相等，按照评标办法前附表的规定</w:t>
      </w:r>
      <w:r>
        <w:rPr>
          <w:color w:val="auto"/>
          <w:spacing w:val="-1"/>
          <w:sz w:val="21"/>
          <w:szCs w:val="21"/>
          <w:highlight w:val="none"/>
        </w:rPr>
        <w:t>确定中标候选人顺序。</w:t>
      </w:r>
    </w:p>
    <w:p>
      <w:pPr>
        <w:spacing w:before="278" w:line="239" w:lineRule="auto"/>
        <w:outlineLvl w:val="1"/>
        <w:rPr>
          <w:rFonts w:ascii="黑体" w:hAnsi="黑体" w:eastAsia="黑体" w:cs="黑体"/>
          <w:color w:val="auto"/>
          <w:sz w:val="31"/>
          <w:szCs w:val="31"/>
          <w:highlight w:val="none"/>
        </w:rPr>
      </w:pPr>
      <w:bookmarkStart w:id="90" w:name="bookmark85"/>
      <w:bookmarkEnd w:id="90"/>
      <w:bookmarkStart w:id="91" w:name="bookmark86"/>
      <w:bookmarkEnd w:id="91"/>
      <w:r>
        <w:rPr>
          <w:rFonts w:ascii="Times New Roman" w:hAnsi="Times New Roman" w:eastAsia="Times New Roman" w:cs="Times New Roman"/>
          <w:b/>
          <w:bCs/>
          <w:color w:val="auto"/>
          <w:spacing w:val="4"/>
          <w:sz w:val="31"/>
          <w:szCs w:val="31"/>
          <w:highlight w:val="none"/>
        </w:rPr>
        <w:t xml:space="preserve">2.  </w:t>
      </w:r>
      <w:r>
        <w:rPr>
          <w:rFonts w:ascii="黑体" w:hAnsi="黑体" w:eastAsia="黑体" w:cs="黑体"/>
          <w:b/>
          <w:bCs/>
          <w:color w:val="auto"/>
          <w:spacing w:val="4"/>
          <w:sz w:val="31"/>
          <w:szCs w:val="31"/>
          <w:highlight w:val="none"/>
        </w:rPr>
        <w:t>评审标准</w:t>
      </w:r>
    </w:p>
    <w:p>
      <w:pPr>
        <w:spacing w:line="472" w:lineRule="auto"/>
        <w:rPr>
          <w:rFonts w:ascii="Arial"/>
          <w:color w:val="auto"/>
          <w:sz w:val="21"/>
          <w:highlight w:val="none"/>
        </w:rPr>
      </w:pPr>
    </w:p>
    <w:p>
      <w:pPr>
        <w:spacing w:before="91" w:line="233" w:lineRule="auto"/>
        <w:ind w:left="135"/>
        <w:outlineLvl w:val="2"/>
        <w:rPr>
          <w:rFonts w:ascii="黑体" w:hAnsi="黑体" w:eastAsia="黑体" w:cs="黑体"/>
          <w:color w:val="auto"/>
          <w:sz w:val="28"/>
          <w:szCs w:val="28"/>
          <w:highlight w:val="none"/>
        </w:rPr>
      </w:pPr>
      <w:bookmarkStart w:id="92" w:name="bookmark191"/>
      <w:bookmarkEnd w:id="92"/>
      <w:r>
        <w:rPr>
          <w:rFonts w:ascii="Times New Roman" w:hAnsi="Times New Roman" w:eastAsia="Times New Roman" w:cs="Times New Roman"/>
          <w:color w:val="auto"/>
          <w:spacing w:val="-1"/>
          <w:sz w:val="28"/>
          <w:szCs w:val="28"/>
          <w:highlight w:val="none"/>
        </w:rPr>
        <w:t xml:space="preserve">2.1  </w:t>
      </w:r>
      <w:r>
        <w:rPr>
          <w:rFonts w:ascii="黑体" w:hAnsi="黑体" w:eastAsia="黑体" w:cs="黑体"/>
          <w:color w:val="auto"/>
          <w:spacing w:val="-1"/>
          <w:sz w:val="28"/>
          <w:szCs w:val="28"/>
          <w:highlight w:val="none"/>
        </w:rPr>
        <w:t>初步评审标准</w:t>
      </w:r>
    </w:p>
    <w:p>
      <w:pPr>
        <w:spacing w:line="295" w:lineRule="auto"/>
        <w:rPr>
          <w:rFonts w:ascii="Arial"/>
          <w:color w:val="auto"/>
          <w:sz w:val="21"/>
          <w:highlight w:val="none"/>
        </w:rPr>
      </w:pPr>
    </w:p>
    <w:p>
      <w:pPr>
        <w:pStyle w:val="13"/>
        <w:spacing w:before="69" w:line="234" w:lineRule="auto"/>
        <w:ind w:left="416"/>
        <w:rPr>
          <w:color w:val="auto"/>
          <w:sz w:val="21"/>
          <w:szCs w:val="21"/>
          <w:highlight w:val="none"/>
        </w:rPr>
      </w:pPr>
      <w:r>
        <w:rPr>
          <w:rFonts w:ascii="Times New Roman" w:hAnsi="Times New Roman" w:eastAsia="Times New Roman" w:cs="Times New Roman"/>
          <w:color w:val="auto"/>
          <w:sz w:val="21"/>
          <w:szCs w:val="21"/>
          <w:highlight w:val="none"/>
        </w:rPr>
        <w:t xml:space="preserve">2.1.1  </w:t>
      </w:r>
      <w:r>
        <w:rPr>
          <w:color w:val="auto"/>
          <w:sz w:val="21"/>
          <w:szCs w:val="21"/>
          <w:highlight w:val="none"/>
        </w:rPr>
        <w:t>形式评审标准：见评标办法前</w:t>
      </w:r>
      <w:r>
        <w:rPr>
          <w:color w:val="auto"/>
          <w:spacing w:val="-1"/>
          <w:sz w:val="21"/>
          <w:szCs w:val="21"/>
          <w:highlight w:val="none"/>
        </w:rPr>
        <w:t>附表。</w:t>
      </w:r>
    </w:p>
    <w:p>
      <w:pPr>
        <w:pStyle w:val="13"/>
        <w:spacing w:before="134" w:line="234" w:lineRule="auto"/>
        <w:ind w:left="416"/>
        <w:rPr>
          <w:color w:val="auto"/>
          <w:sz w:val="21"/>
          <w:szCs w:val="21"/>
          <w:highlight w:val="none"/>
        </w:rPr>
      </w:pPr>
      <w:r>
        <w:rPr>
          <w:rFonts w:ascii="Times New Roman" w:hAnsi="Times New Roman" w:eastAsia="Times New Roman" w:cs="Times New Roman"/>
          <w:color w:val="auto"/>
          <w:spacing w:val="-1"/>
          <w:sz w:val="21"/>
          <w:szCs w:val="21"/>
          <w:highlight w:val="none"/>
        </w:rPr>
        <w:t xml:space="preserve">2.1.2  </w:t>
      </w:r>
      <w:r>
        <w:rPr>
          <w:color w:val="auto"/>
          <w:spacing w:val="-1"/>
          <w:sz w:val="21"/>
          <w:szCs w:val="21"/>
          <w:highlight w:val="none"/>
        </w:rPr>
        <w:t>资格评审标准：见评标办法前附表。</w:t>
      </w:r>
    </w:p>
    <w:p>
      <w:pPr>
        <w:pStyle w:val="13"/>
        <w:spacing w:before="135" w:line="234" w:lineRule="auto"/>
        <w:ind w:left="416"/>
        <w:rPr>
          <w:color w:val="auto"/>
          <w:sz w:val="21"/>
          <w:szCs w:val="21"/>
          <w:highlight w:val="none"/>
        </w:rPr>
      </w:pPr>
      <w:r>
        <w:rPr>
          <w:rFonts w:ascii="Times New Roman" w:hAnsi="Times New Roman" w:eastAsia="Times New Roman" w:cs="Times New Roman"/>
          <w:color w:val="auto"/>
          <w:sz w:val="21"/>
          <w:szCs w:val="21"/>
          <w:highlight w:val="none"/>
        </w:rPr>
        <w:t xml:space="preserve">2.1.3  </w:t>
      </w:r>
      <w:r>
        <w:rPr>
          <w:color w:val="auto"/>
          <w:sz w:val="21"/>
          <w:szCs w:val="21"/>
          <w:highlight w:val="none"/>
        </w:rPr>
        <w:t>响应性评审标准：见评标办法前附</w:t>
      </w:r>
      <w:r>
        <w:rPr>
          <w:color w:val="auto"/>
          <w:spacing w:val="-1"/>
          <w:sz w:val="21"/>
          <w:szCs w:val="21"/>
          <w:highlight w:val="none"/>
        </w:rPr>
        <w:t>表。</w:t>
      </w:r>
    </w:p>
    <w:p>
      <w:pPr>
        <w:spacing w:before="294" w:line="233" w:lineRule="auto"/>
        <w:ind w:left="135"/>
        <w:outlineLvl w:val="2"/>
        <w:rPr>
          <w:rFonts w:ascii="黑体" w:hAnsi="黑体" w:eastAsia="黑体" w:cs="黑体"/>
          <w:color w:val="auto"/>
          <w:sz w:val="28"/>
          <w:szCs w:val="28"/>
          <w:highlight w:val="none"/>
        </w:rPr>
      </w:pPr>
      <w:bookmarkStart w:id="93" w:name="bookmark87"/>
      <w:bookmarkEnd w:id="93"/>
      <w:r>
        <w:rPr>
          <w:rFonts w:ascii="Times New Roman" w:hAnsi="Times New Roman" w:eastAsia="Times New Roman" w:cs="Times New Roman"/>
          <w:color w:val="auto"/>
          <w:spacing w:val="-1"/>
          <w:sz w:val="28"/>
          <w:szCs w:val="28"/>
          <w:highlight w:val="none"/>
        </w:rPr>
        <w:t xml:space="preserve">2.2  </w:t>
      </w:r>
      <w:r>
        <w:rPr>
          <w:rFonts w:ascii="黑体" w:hAnsi="黑体" w:eastAsia="黑体" w:cs="黑体"/>
          <w:color w:val="auto"/>
          <w:spacing w:val="-1"/>
          <w:sz w:val="28"/>
          <w:szCs w:val="28"/>
          <w:highlight w:val="none"/>
        </w:rPr>
        <w:t>分值构成与评分标准</w:t>
      </w:r>
    </w:p>
    <w:p>
      <w:pPr>
        <w:spacing w:line="298" w:lineRule="auto"/>
        <w:rPr>
          <w:rFonts w:ascii="Arial"/>
          <w:color w:val="auto"/>
          <w:sz w:val="21"/>
          <w:highlight w:val="none"/>
        </w:rPr>
      </w:pPr>
    </w:p>
    <w:p>
      <w:pPr>
        <w:pStyle w:val="13"/>
        <w:spacing w:before="69" w:line="234" w:lineRule="auto"/>
        <w:ind w:left="416"/>
        <w:rPr>
          <w:color w:val="auto"/>
          <w:sz w:val="21"/>
          <w:szCs w:val="21"/>
          <w:highlight w:val="none"/>
        </w:rPr>
      </w:pPr>
      <w:r>
        <w:rPr>
          <w:rFonts w:ascii="Times New Roman" w:hAnsi="Times New Roman" w:eastAsia="Times New Roman" w:cs="Times New Roman"/>
          <w:color w:val="auto"/>
          <w:spacing w:val="-1"/>
          <w:sz w:val="21"/>
          <w:szCs w:val="21"/>
          <w:highlight w:val="none"/>
        </w:rPr>
        <w:t xml:space="preserve">2.2.1  </w:t>
      </w:r>
      <w:r>
        <w:rPr>
          <w:color w:val="auto"/>
          <w:spacing w:val="-1"/>
          <w:sz w:val="21"/>
          <w:szCs w:val="21"/>
          <w:highlight w:val="none"/>
        </w:rPr>
        <w:t>分值构成</w:t>
      </w:r>
    </w:p>
    <w:p>
      <w:pPr>
        <w:pStyle w:val="13"/>
        <w:spacing w:before="134" w:line="234" w:lineRule="auto"/>
        <w:ind w:left="427"/>
        <w:rPr>
          <w:color w:val="auto"/>
          <w:sz w:val="21"/>
          <w:szCs w:val="21"/>
          <w:highlight w:val="none"/>
        </w:rPr>
      </w:pPr>
      <w:r>
        <w:rPr>
          <w:color w:val="auto"/>
          <w:spacing w:val="-3"/>
          <w:sz w:val="21"/>
          <w:szCs w:val="21"/>
          <w:highlight w:val="none"/>
        </w:rPr>
        <w:t>（</w:t>
      </w:r>
      <w:r>
        <w:rPr>
          <w:rFonts w:ascii="Times New Roman" w:hAnsi="Times New Roman" w:eastAsia="Times New Roman" w:cs="Times New Roman"/>
          <w:color w:val="auto"/>
          <w:spacing w:val="-3"/>
          <w:sz w:val="21"/>
          <w:szCs w:val="21"/>
          <w:highlight w:val="none"/>
        </w:rPr>
        <w:t>1</w:t>
      </w:r>
      <w:r>
        <w:rPr>
          <w:color w:val="auto"/>
          <w:spacing w:val="-3"/>
          <w:sz w:val="21"/>
          <w:szCs w:val="21"/>
          <w:highlight w:val="none"/>
        </w:rPr>
        <w:t>）商务部分：见评标办法前附表；</w:t>
      </w:r>
    </w:p>
    <w:p>
      <w:pPr>
        <w:pStyle w:val="13"/>
        <w:spacing w:before="134" w:line="234" w:lineRule="auto"/>
        <w:ind w:left="427"/>
        <w:rPr>
          <w:color w:val="auto"/>
          <w:sz w:val="21"/>
          <w:szCs w:val="21"/>
          <w:highlight w:val="none"/>
        </w:rPr>
      </w:pPr>
      <w:r>
        <w:rPr>
          <w:color w:val="auto"/>
          <w:spacing w:val="-3"/>
          <w:sz w:val="21"/>
          <w:szCs w:val="21"/>
          <w:highlight w:val="none"/>
        </w:rPr>
        <w:t>（</w:t>
      </w:r>
      <w:r>
        <w:rPr>
          <w:rFonts w:ascii="Times New Roman" w:hAnsi="Times New Roman" w:eastAsia="Times New Roman" w:cs="Times New Roman"/>
          <w:color w:val="auto"/>
          <w:spacing w:val="-3"/>
          <w:sz w:val="21"/>
          <w:szCs w:val="21"/>
          <w:highlight w:val="none"/>
        </w:rPr>
        <w:t>2</w:t>
      </w:r>
      <w:r>
        <w:rPr>
          <w:color w:val="auto"/>
          <w:spacing w:val="-3"/>
          <w:sz w:val="21"/>
          <w:szCs w:val="21"/>
          <w:highlight w:val="none"/>
        </w:rPr>
        <w:t>）技术部分：见评标办法前附表；</w:t>
      </w:r>
    </w:p>
    <w:p>
      <w:pPr>
        <w:pStyle w:val="13"/>
        <w:spacing w:before="133" w:line="233" w:lineRule="auto"/>
        <w:ind w:left="427"/>
        <w:rPr>
          <w:color w:val="auto"/>
          <w:sz w:val="21"/>
          <w:szCs w:val="21"/>
          <w:highlight w:val="none"/>
        </w:rPr>
      </w:pPr>
      <w:r>
        <w:rPr>
          <w:color w:val="auto"/>
          <w:spacing w:val="-3"/>
          <w:sz w:val="21"/>
          <w:szCs w:val="21"/>
          <w:highlight w:val="none"/>
        </w:rPr>
        <w:t>（</w:t>
      </w:r>
      <w:r>
        <w:rPr>
          <w:rFonts w:ascii="Times New Roman" w:hAnsi="Times New Roman" w:eastAsia="Times New Roman" w:cs="Times New Roman"/>
          <w:color w:val="auto"/>
          <w:spacing w:val="-3"/>
          <w:sz w:val="21"/>
          <w:szCs w:val="21"/>
          <w:highlight w:val="none"/>
        </w:rPr>
        <w:t>3</w:t>
      </w:r>
      <w:r>
        <w:rPr>
          <w:color w:val="auto"/>
          <w:spacing w:val="-3"/>
          <w:sz w:val="21"/>
          <w:szCs w:val="21"/>
          <w:highlight w:val="none"/>
        </w:rPr>
        <w:t>）投标报价：见评标办法前附表；</w:t>
      </w:r>
    </w:p>
    <w:p>
      <w:pPr>
        <w:pStyle w:val="13"/>
        <w:spacing w:before="135" w:line="234" w:lineRule="auto"/>
        <w:ind w:left="427"/>
        <w:rPr>
          <w:strike/>
          <w:dstrike w:val="0"/>
          <w:color w:val="auto"/>
          <w:sz w:val="21"/>
          <w:szCs w:val="21"/>
          <w:highlight w:val="none"/>
        </w:rPr>
      </w:pPr>
      <w:r>
        <w:rPr>
          <w:strike/>
          <w:dstrike w:val="0"/>
          <w:color w:val="auto"/>
          <w:spacing w:val="-2"/>
          <w:sz w:val="21"/>
          <w:szCs w:val="21"/>
          <w:highlight w:val="none"/>
        </w:rPr>
        <w:t>（</w:t>
      </w:r>
      <w:r>
        <w:rPr>
          <w:rFonts w:ascii="Times New Roman" w:hAnsi="Times New Roman" w:eastAsia="Times New Roman" w:cs="Times New Roman"/>
          <w:strike/>
          <w:dstrike w:val="0"/>
          <w:color w:val="auto"/>
          <w:spacing w:val="-2"/>
          <w:sz w:val="21"/>
          <w:szCs w:val="21"/>
          <w:highlight w:val="none"/>
        </w:rPr>
        <w:t>4</w:t>
      </w:r>
      <w:r>
        <w:rPr>
          <w:strike/>
          <w:dstrike w:val="0"/>
          <w:color w:val="auto"/>
          <w:spacing w:val="-2"/>
          <w:sz w:val="21"/>
          <w:szCs w:val="21"/>
          <w:highlight w:val="none"/>
        </w:rPr>
        <w:t>）其他评分因素：见评标办法前附表。</w:t>
      </w:r>
    </w:p>
    <w:p>
      <w:pPr>
        <w:pStyle w:val="13"/>
        <w:spacing w:before="136" w:line="233" w:lineRule="auto"/>
        <w:ind w:left="416"/>
        <w:rPr>
          <w:color w:val="auto"/>
          <w:sz w:val="21"/>
          <w:szCs w:val="21"/>
          <w:highlight w:val="none"/>
        </w:rPr>
      </w:pPr>
      <w:r>
        <w:rPr>
          <w:rFonts w:ascii="Times New Roman" w:hAnsi="Times New Roman" w:eastAsia="Times New Roman" w:cs="Times New Roman"/>
          <w:color w:val="auto"/>
          <w:spacing w:val="-1"/>
          <w:sz w:val="21"/>
          <w:szCs w:val="21"/>
          <w:highlight w:val="none"/>
        </w:rPr>
        <w:t xml:space="preserve">2.2.2  </w:t>
      </w:r>
      <w:r>
        <w:rPr>
          <w:color w:val="auto"/>
          <w:spacing w:val="-1"/>
          <w:sz w:val="21"/>
          <w:szCs w:val="21"/>
          <w:highlight w:val="none"/>
        </w:rPr>
        <w:t>评标基准价计算</w:t>
      </w:r>
    </w:p>
    <w:p>
      <w:pPr>
        <w:pStyle w:val="13"/>
        <w:spacing w:before="133" w:line="219" w:lineRule="auto"/>
        <w:ind w:left="419"/>
        <w:rPr>
          <w:color w:val="auto"/>
          <w:sz w:val="21"/>
          <w:szCs w:val="21"/>
          <w:highlight w:val="none"/>
        </w:rPr>
      </w:pPr>
      <w:r>
        <w:rPr>
          <w:color w:val="auto"/>
          <w:spacing w:val="-1"/>
          <w:sz w:val="21"/>
          <w:szCs w:val="21"/>
          <w:highlight w:val="none"/>
        </w:rPr>
        <w:t>评标基准价计算方法：见评标办法前附表。</w:t>
      </w:r>
    </w:p>
    <w:p>
      <w:pPr>
        <w:pStyle w:val="13"/>
        <w:spacing w:before="152" w:line="233" w:lineRule="auto"/>
        <w:ind w:left="416"/>
        <w:rPr>
          <w:color w:val="auto"/>
          <w:sz w:val="21"/>
          <w:szCs w:val="21"/>
          <w:highlight w:val="none"/>
        </w:rPr>
      </w:pPr>
      <w:r>
        <w:rPr>
          <w:rFonts w:ascii="Times New Roman" w:hAnsi="Times New Roman" w:eastAsia="Times New Roman" w:cs="Times New Roman"/>
          <w:color w:val="auto"/>
          <w:spacing w:val="-1"/>
          <w:sz w:val="21"/>
          <w:szCs w:val="21"/>
          <w:highlight w:val="none"/>
        </w:rPr>
        <w:t xml:space="preserve">2.2.3  </w:t>
      </w:r>
      <w:r>
        <w:rPr>
          <w:color w:val="auto"/>
          <w:spacing w:val="-1"/>
          <w:sz w:val="21"/>
          <w:szCs w:val="21"/>
          <w:highlight w:val="none"/>
        </w:rPr>
        <w:t>投标报价的偏差率计算</w:t>
      </w:r>
    </w:p>
    <w:p>
      <w:pPr>
        <w:pStyle w:val="13"/>
        <w:spacing w:before="136" w:line="219" w:lineRule="auto"/>
        <w:ind w:left="423"/>
        <w:rPr>
          <w:color w:val="auto"/>
          <w:sz w:val="21"/>
          <w:szCs w:val="21"/>
          <w:highlight w:val="none"/>
        </w:rPr>
      </w:pPr>
      <w:r>
        <w:rPr>
          <w:color w:val="auto"/>
          <w:spacing w:val="-1"/>
          <w:sz w:val="21"/>
          <w:szCs w:val="21"/>
          <w:highlight w:val="none"/>
        </w:rPr>
        <w:t>投标报价的偏差率计算公式：见评标办法前附表。</w:t>
      </w:r>
    </w:p>
    <w:p>
      <w:pPr>
        <w:pStyle w:val="13"/>
        <w:spacing w:before="149" w:line="235" w:lineRule="auto"/>
        <w:ind w:left="416"/>
        <w:rPr>
          <w:color w:val="auto"/>
          <w:sz w:val="21"/>
          <w:szCs w:val="21"/>
          <w:highlight w:val="none"/>
        </w:rPr>
      </w:pPr>
      <w:r>
        <w:rPr>
          <w:rFonts w:ascii="Times New Roman" w:hAnsi="Times New Roman" w:eastAsia="Times New Roman" w:cs="Times New Roman"/>
          <w:color w:val="auto"/>
          <w:spacing w:val="-1"/>
          <w:sz w:val="21"/>
          <w:szCs w:val="21"/>
          <w:highlight w:val="none"/>
        </w:rPr>
        <w:t xml:space="preserve">2.2.4  </w:t>
      </w:r>
      <w:r>
        <w:rPr>
          <w:color w:val="auto"/>
          <w:spacing w:val="-1"/>
          <w:sz w:val="21"/>
          <w:szCs w:val="21"/>
          <w:highlight w:val="none"/>
        </w:rPr>
        <w:t>评分标准</w:t>
      </w:r>
    </w:p>
    <w:p>
      <w:pPr>
        <w:pStyle w:val="13"/>
        <w:spacing w:before="133" w:line="234" w:lineRule="auto"/>
        <w:ind w:left="427"/>
        <w:rPr>
          <w:color w:val="auto"/>
          <w:sz w:val="21"/>
          <w:szCs w:val="21"/>
          <w:highlight w:val="none"/>
        </w:rPr>
      </w:pPr>
      <w:r>
        <w:rPr>
          <w:color w:val="auto"/>
          <w:spacing w:val="-2"/>
          <w:sz w:val="21"/>
          <w:szCs w:val="21"/>
          <w:highlight w:val="none"/>
        </w:rPr>
        <w:t>（</w:t>
      </w:r>
      <w:r>
        <w:rPr>
          <w:rFonts w:ascii="Times New Roman" w:hAnsi="Times New Roman" w:eastAsia="Times New Roman" w:cs="Times New Roman"/>
          <w:color w:val="auto"/>
          <w:spacing w:val="-2"/>
          <w:sz w:val="21"/>
          <w:szCs w:val="21"/>
          <w:highlight w:val="none"/>
        </w:rPr>
        <w:t>1</w:t>
      </w:r>
      <w:r>
        <w:rPr>
          <w:color w:val="auto"/>
          <w:spacing w:val="-2"/>
          <w:sz w:val="21"/>
          <w:szCs w:val="21"/>
          <w:highlight w:val="none"/>
        </w:rPr>
        <w:t>）商务评分标准：见评标办法前附表；</w:t>
      </w:r>
    </w:p>
    <w:p>
      <w:pPr>
        <w:pStyle w:val="13"/>
        <w:spacing w:before="135" w:line="234" w:lineRule="auto"/>
        <w:ind w:left="427"/>
        <w:rPr>
          <w:color w:val="auto"/>
          <w:sz w:val="21"/>
          <w:szCs w:val="21"/>
          <w:highlight w:val="none"/>
        </w:rPr>
      </w:pPr>
      <w:r>
        <w:rPr>
          <w:color w:val="auto"/>
          <w:spacing w:val="-2"/>
          <w:sz w:val="21"/>
          <w:szCs w:val="21"/>
          <w:highlight w:val="none"/>
        </w:rPr>
        <w:t>（</w:t>
      </w:r>
      <w:r>
        <w:rPr>
          <w:rFonts w:ascii="Times New Roman" w:hAnsi="Times New Roman" w:eastAsia="Times New Roman" w:cs="Times New Roman"/>
          <w:color w:val="auto"/>
          <w:spacing w:val="-2"/>
          <w:sz w:val="21"/>
          <w:szCs w:val="21"/>
          <w:highlight w:val="none"/>
        </w:rPr>
        <w:t>2</w:t>
      </w:r>
      <w:r>
        <w:rPr>
          <w:color w:val="auto"/>
          <w:spacing w:val="-2"/>
          <w:sz w:val="21"/>
          <w:szCs w:val="21"/>
          <w:highlight w:val="none"/>
        </w:rPr>
        <w:t>）技术评分标准：见评标办法前附表；</w:t>
      </w:r>
    </w:p>
    <w:p>
      <w:pPr>
        <w:pStyle w:val="13"/>
        <w:spacing w:before="132" w:line="233" w:lineRule="auto"/>
        <w:ind w:left="427"/>
        <w:rPr>
          <w:color w:val="auto"/>
          <w:sz w:val="21"/>
          <w:szCs w:val="21"/>
          <w:highlight w:val="none"/>
        </w:rPr>
      </w:pPr>
      <w:r>
        <w:rPr>
          <w:color w:val="auto"/>
          <w:spacing w:val="-2"/>
          <w:sz w:val="21"/>
          <w:szCs w:val="21"/>
          <w:highlight w:val="none"/>
        </w:rPr>
        <w:t>（</w:t>
      </w:r>
      <w:r>
        <w:rPr>
          <w:rFonts w:ascii="Times New Roman" w:hAnsi="Times New Roman" w:eastAsia="Times New Roman" w:cs="Times New Roman"/>
          <w:color w:val="auto"/>
          <w:spacing w:val="-2"/>
          <w:sz w:val="21"/>
          <w:szCs w:val="21"/>
          <w:highlight w:val="none"/>
        </w:rPr>
        <w:t>3</w:t>
      </w:r>
      <w:r>
        <w:rPr>
          <w:color w:val="auto"/>
          <w:spacing w:val="-2"/>
          <w:sz w:val="21"/>
          <w:szCs w:val="21"/>
          <w:highlight w:val="none"/>
        </w:rPr>
        <w:t>）投标报价评分标准：见评标办法前附表；</w:t>
      </w:r>
    </w:p>
    <w:p>
      <w:pPr>
        <w:pStyle w:val="13"/>
        <w:spacing w:before="136" w:line="234" w:lineRule="auto"/>
        <w:ind w:left="427"/>
        <w:rPr>
          <w:strike/>
          <w:dstrike w:val="0"/>
          <w:color w:val="auto"/>
          <w:sz w:val="21"/>
          <w:szCs w:val="21"/>
          <w:highlight w:val="none"/>
        </w:rPr>
      </w:pPr>
      <w:r>
        <w:rPr>
          <w:strike/>
          <w:dstrike w:val="0"/>
          <w:color w:val="auto"/>
          <w:spacing w:val="-2"/>
          <w:sz w:val="21"/>
          <w:szCs w:val="21"/>
          <w:highlight w:val="none"/>
        </w:rPr>
        <w:t>（</w:t>
      </w:r>
      <w:r>
        <w:rPr>
          <w:rFonts w:ascii="Times New Roman" w:hAnsi="Times New Roman" w:eastAsia="Times New Roman" w:cs="Times New Roman"/>
          <w:strike/>
          <w:dstrike w:val="0"/>
          <w:color w:val="auto"/>
          <w:spacing w:val="-2"/>
          <w:sz w:val="21"/>
          <w:szCs w:val="21"/>
          <w:highlight w:val="none"/>
        </w:rPr>
        <w:t>4</w:t>
      </w:r>
      <w:r>
        <w:rPr>
          <w:strike/>
          <w:dstrike w:val="0"/>
          <w:color w:val="auto"/>
          <w:spacing w:val="-2"/>
          <w:sz w:val="21"/>
          <w:szCs w:val="21"/>
          <w:highlight w:val="none"/>
        </w:rPr>
        <w:t>）其他因素评分标准：见评标办法前附表。</w:t>
      </w:r>
    </w:p>
    <w:p>
      <w:pPr>
        <w:spacing w:before="140" w:line="239" w:lineRule="auto"/>
        <w:outlineLvl w:val="1"/>
        <w:rPr>
          <w:rFonts w:ascii="黑体" w:hAnsi="黑体" w:eastAsia="黑体" w:cs="黑体"/>
          <w:color w:val="auto"/>
          <w:sz w:val="31"/>
          <w:szCs w:val="31"/>
          <w:highlight w:val="none"/>
        </w:rPr>
      </w:pPr>
      <w:bookmarkStart w:id="94" w:name="bookmark89"/>
      <w:bookmarkEnd w:id="94"/>
      <w:bookmarkStart w:id="95" w:name="bookmark88"/>
      <w:bookmarkEnd w:id="95"/>
      <w:r>
        <w:rPr>
          <w:rFonts w:ascii="Times New Roman" w:hAnsi="Times New Roman" w:eastAsia="Times New Roman" w:cs="Times New Roman"/>
          <w:b/>
          <w:bCs/>
          <w:color w:val="auto"/>
          <w:spacing w:val="4"/>
          <w:sz w:val="31"/>
          <w:szCs w:val="31"/>
          <w:highlight w:val="none"/>
        </w:rPr>
        <w:t xml:space="preserve">3.  </w:t>
      </w:r>
      <w:r>
        <w:rPr>
          <w:rFonts w:ascii="黑体" w:hAnsi="黑体" w:eastAsia="黑体" w:cs="黑体"/>
          <w:b/>
          <w:bCs/>
          <w:color w:val="auto"/>
          <w:spacing w:val="4"/>
          <w:sz w:val="31"/>
          <w:szCs w:val="31"/>
          <w:highlight w:val="none"/>
        </w:rPr>
        <w:t>评标程序</w:t>
      </w:r>
    </w:p>
    <w:p>
      <w:pPr>
        <w:spacing w:line="470" w:lineRule="auto"/>
        <w:rPr>
          <w:rFonts w:ascii="Arial"/>
          <w:color w:val="auto"/>
          <w:sz w:val="21"/>
          <w:highlight w:val="none"/>
        </w:rPr>
      </w:pPr>
    </w:p>
    <w:p>
      <w:pPr>
        <w:spacing w:before="91" w:line="233" w:lineRule="auto"/>
        <w:ind w:left="143"/>
        <w:outlineLvl w:val="2"/>
        <w:rPr>
          <w:rFonts w:ascii="黑体" w:hAnsi="黑体" w:eastAsia="黑体" w:cs="黑体"/>
          <w:color w:val="auto"/>
          <w:sz w:val="28"/>
          <w:szCs w:val="28"/>
          <w:highlight w:val="none"/>
        </w:rPr>
      </w:pPr>
      <w:bookmarkStart w:id="96" w:name="bookmark192"/>
      <w:bookmarkEnd w:id="96"/>
      <w:r>
        <w:rPr>
          <w:rFonts w:ascii="Times New Roman" w:hAnsi="Times New Roman" w:eastAsia="Times New Roman" w:cs="Times New Roman"/>
          <w:color w:val="auto"/>
          <w:spacing w:val="-1"/>
          <w:sz w:val="28"/>
          <w:szCs w:val="28"/>
          <w:highlight w:val="none"/>
        </w:rPr>
        <w:t xml:space="preserve">3.1  </w:t>
      </w:r>
      <w:r>
        <w:rPr>
          <w:rFonts w:ascii="黑体" w:hAnsi="黑体" w:eastAsia="黑体" w:cs="黑体"/>
          <w:color w:val="auto"/>
          <w:spacing w:val="-1"/>
          <w:sz w:val="28"/>
          <w:szCs w:val="28"/>
          <w:highlight w:val="none"/>
        </w:rPr>
        <w:t>初步评审</w:t>
      </w:r>
    </w:p>
    <w:p>
      <w:pPr>
        <w:spacing w:line="300" w:lineRule="auto"/>
        <w:rPr>
          <w:rFonts w:ascii="Arial"/>
          <w:color w:val="auto"/>
          <w:sz w:val="21"/>
          <w:highlight w:val="none"/>
        </w:rPr>
      </w:pPr>
    </w:p>
    <w:p>
      <w:pPr>
        <w:pStyle w:val="13"/>
        <w:spacing w:before="68" w:line="307" w:lineRule="auto"/>
        <w:ind w:left="2" w:right="18" w:firstLine="421"/>
        <w:rPr>
          <w:color w:val="auto"/>
          <w:sz w:val="21"/>
          <w:szCs w:val="21"/>
          <w:highlight w:val="none"/>
        </w:rPr>
      </w:pPr>
      <w:r>
        <w:rPr>
          <w:rFonts w:ascii="Times New Roman" w:hAnsi="Times New Roman" w:eastAsia="Times New Roman" w:cs="Times New Roman"/>
          <w:color w:val="auto"/>
          <w:sz w:val="21"/>
          <w:szCs w:val="21"/>
          <w:highlight w:val="none"/>
        </w:rPr>
        <w:t xml:space="preserve">3.1.1  </w:t>
      </w:r>
      <w:r>
        <w:rPr>
          <w:color w:val="auto"/>
          <w:sz w:val="21"/>
          <w:szCs w:val="21"/>
          <w:highlight w:val="none"/>
        </w:rPr>
        <w:t>评标委员会可以要求投标人提交第二章</w:t>
      </w:r>
      <w:r>
        <w:rPr>
          <w:rFonts w:ascii="Times New Roman" w:hAnsi="Times New Roman" w:eastAsia="Times New Roman" w:cs="Times New Roman"/>
          <w:color w:val="auto"/>
          <w:sz w:val="21"/>
          <w:szCs w:val="21"/>
          <w:highlight w:val="none"/>
        </w:rPr>
        <w:t>“</w:t>
      </w:r>
      <w:r>
        <w:rPr>
          <w:color w:val="auto"/>
          <w:sz w:val="21"/>
          <w:szCs w:val="21"/>
          <w:highlight w:val="none"/>
        </w:rPr>
        <w:t>投标人须知</w:t>
      </w:r>
      <w:r>
        <w:rPr>
          <w:rFonts w:ascii="Times New Roman" w:hAnsi="Times New Roman" w:eastAsia="Times New Roman" w:cs="Times New Roman"/>
          <w:color w:val="auto"/>
          <w:sz w:val="21"/>
          <w:szCs w:val="21"/>
          <w:highlight w:val="none"/>
        </w:rPr>
        <w:t>”</w:t>
      </w:r>
      <w:r>
        <w:rPr>
          <w:color w:val="auto"/>
          <w:sz w:val="21"/>
          <w:szCs w:val="21"/>
          <w:highlight w:val="none"/>
        </w:rPr>
        <w:t xml:space="preserve">规定的有关证明和证件的原件，以便核验。评标委员会依据本章第 </w:t>
      </w:r>
      <w:r>
        <w:rPr>
          <w:rFonts w:ascii="Times New Roman" w:hAnsi="Times New Roman" w:eastAsia="Times New Roman" w:cs="Times New Roman"/>
          <w:color w:val="auto"/>
          <w:sz w:val="21"/>
          <w:szCs w:val="21"/>
          <w:highlight w:val="none"/>
        </w:rPr>
        <w:t>2.1</w:t>
      </w:r>
      <w:r>
        <w:rPr>
          <w:rFonts w:ascii="Times New Roman" w:hAnsi="Times New Roman" w:eastAsia="Times New Roman" w:cs="Times New Roman"/>
          <w:color w:val="auto"/>
          <w:spacing w:val="48"/>
          <w:w w:val="101"/>
          <w:sz w:val="21"/>
          <w:szCs w:val="21"/>
          <w:highlight w:val="none"/>
        </w:rPr>
        <w:t xml:space="preserve"> </w:t>
      </w:r>
      <w:r>
        <w:rPr>
          <w:color w:val="auto"/>
          <w:sz w:val="21"/>
          <w:szCs w:val="21"/>
          <w:highlight w:val="none"/>
        </w:rPr>
        <w:t>款规定</w:t>
      </w:r>
      <w:r>
        <w:rPr>
          <w:color w:val="auto"/>
          <w:spacing w:val="-1"/>
          <w:sz w:val="21"/>
          <w:szCs w:val="21"/>
          <w:highlight w:val="none"/>
        </w:rPr>
        <w:t>的标准对投标文件进行初步评审。有一项不符合评审标准的，评标委员会应当否决其投标。</w:t>
      </w:r>
    </w:p>
    <w:p>
      <w:pPr>
        <w:pStyle w:val="13"/>
        <w:spacing w:before="151" w:line="234" w:lineRule="auto"/>
        <w:ind w:left="423"/>
        <w:rPr>
          <w:color w:val="auto"/>
          <w:sz w:val="21"/>
          <w:szCs w:val="21"/>
          <w:highlight w:val="none"/>
        </w:rPr>
      </w:pPr>
      <w:r>
        <w:rPr>
          <w:rFonts w:ascii="Times New Roman" w:hAnsi="Times New Roman" w:eastAsia="Times New Roman" w:cs="Times New Roman"/>
          <w:color w:val="auto"/>
          <w:spacing w:val="-1"/>
          <w:sz w:val="21"/>
          <w:szCs w:val="21"/>
          <w:highlight w:val="none"/>
        </w:rPr>
        <w:t xml:space="preserve">3.1.2  </w:t>
      </w:r>
      <w:r>
        <w:rPr>
          <w:color w:val="auto"/>
          <w:spacing w:val="-1"/>
          <w:sz w:val="21"/>
          <w:szCs w:val="21"/>
          <w:highlight w:val="none"/>
        </w:rPr>
        <w:t>投标人有以下情形之一的，评标委员会应当否决其投标：</w:t>
      </w:r>
    </w:p>
    <w:p>
      <w:pPr>
        <w:pStyle w:val="13"/>
        <w:spacing w:before="133" w:line="286" w:lineRule="auto"/>
        <w:ind w:left="3" w:right="98" w:firstLine="425"/>
        <w:rPr>
          <w:color w:val="auto"/>
          <w:sz w:val="21"/>
          <w:szCs w:val="21"/>
          <w:highlight w:val="none"/>
        </w:rPr>
      </w:pPr>
      <w:r>
        <w:rPr>
          <w:color w:val="auto"/>
          <w:spacing w:val="-3"/>
          <w:sz w:val="21"/>
          <w:szCs w:val="21"/>
          <w:highlight w:val="none"/>
        </w:rPr>
        <w:t>（</w:t>
      </w:r>
      <w:r>
        <w:rPr>
          <w:rFonts w:ascii="Times New Roman" w:hAnsi="Times New Roman" w:eastAsia="Times New Roman" w:cs="Times New Roman"/>
          <w:color w:val="auto"/>
          <w:spacing w:val="-3"/>
          <w:sz w:val="21"/>
          <w:szCs w:val="21"/>
          <w:highlight w:val="none"/>
        </w:rPr>
        <w:t>1</w:t>
      </w:r>
      <w:r>
        <w:rPr>
          <w:color w:val="auto"/>
          <w:spacing w:val="-3"/>
          <w:sz w:val="21"/>
          <w:szCs w:val="21"/>
          <w:highlight w:val="none"/>
        </w:rPr>
        <w:t>）投标文件没有对招标文件的实质性要求和条件作出响应，或者对招标文件的偏差超出</w:t>
      </w:r>
      <w:r>
        <w:rPr>
          <w:color w:val="auto"/>
          <w:spacing w:val="-1"/>
          <w:sz w:val="21"/>
          <w:szCs w:val="21"/>
          <w:highlight w:val="none"/>
        </w:rPr>
        <w:t>招标文件规定的偏差范围或最高项数；</w:t>
      </w:r>
    </w:p>
    <w:p>
      <w:pPr>
        <w:pStyle w:val="13"/>
        <w:spacing w:before="149" w:line="234" w:lineRule="auto"/>
        <w:ind w:left="429"/>
        <w:rPr>
          <w:color w:val="auto"/>
          <w:sz w:val="21"/>
          <w:szCs w:val="21"/>
          <w:highlight w:val="none"/>
        </w:rPr>
      </w:pPr>
      <w:r>
        <w:rPr>
          <w:color w:val="auto"/>
          <w:spacing w:val="-1"/>
          <w:sz w:val="21"/>
          <w:szCs w:val="21"/>
          <w:highlight w:val="none"/>
        </w:rPr>
        <w:t>（</w:t>
      </w:r>
      <w:r>
        <w:rPr>
          <w:rFonts w:ascii="Times New Roman" w:hAnsi="Times New Roman" w:eastAsia="Times New Roman" w:cs="Times New Roman"/>
          <w:color w:val="auto"/>
          <w:spacing w:val="-1"/>
          <w:sz w:val="21"/>
          <w:szCs w:val="21"/>
          <w:highlight w:val="none"/>
        </w:rPr>
        <w:t>2</w:t>
      </w:r>
      <w:r>
        <w:rPr>
          <w:color w:val="auto"/>
          <w:spacing w:val="-1"/>
          <w:sz w:val="21"/>
          <w:szCs w:val="21"/>
          <w:highlight w:val="none"/>
        </w:rPr>
        <w:t>）有串通投标、弄虚作假、行贿等违法行为。</w:t>
      </w:r>
    </w:p>
    <w:p>
      <w:pPr>
        <w:pStyle w:val="13"/>
        <w:spacing w:before="132" w:line="344" w:lineRule="auto"/>
        <w:ind w:left="6" w:right="72" w:firstLine="416"/>
        <w:rPr>
          <w:color w:val="auto"/>
          <w:sz w:val="21"/>
          <w:szCs w:val="21"/>
          <w:highlight w:val="none"/>
        </w:rPr>
      </w:pPr>
      <w:r>
        <w:rPr>
          <w:rFonts w:ascii="Times New Roman" w:hAnsi="Times New Roman" w:eastAsia="Times New Roman" w:cs="Times New Roman"/>
          <w:color w:val="auto"/>
          <w:spacing w:val="-2"/>
          <w:sz w:val="21"/>
          <w:szCs w:val="21"/>
          <w:highlight w:val="none"/>
        </w:rPr>
        <w:t xml:space="preserve">3.1.3  </w:t>
      </w:r>
      <w:r>
        <w:rPr>
          <w:color w:val="auto"/>
          <w:spacing w:val="-2"/>
          <w:sz w:val="21"/>
          <w:szCs w:val="21"/>
          <w:highlight w:val="none"/>
        </w:rPr>
        <w:t>投标报价有算术错误及其他错误的，评标委员会按以下原则要求投标人对投标报价进</w:t>
      </w:r>
      <w:r>
        <w:rPr>
          <w:color w:val="auto"/>
          <w:sz w:val="21"/>
          <w:szCs w:val="21"/>
          <w:highlight w:val="none"/>
        </w:rPr>
        <w:t>行修正，并要求投标人书面澄清确认。投标人拒不澄清确认的，评标委员会应当否</w:t>
      </w:r>
      <w:r>
        <w:rPr>
          <w:color w:val="auto"/>
          <w:spacing w:val="-1"/>
          <w:sz w:val="21"/>
          <w:szCs w:val="21"/>
          <w:highlight w:val="none"/>
        </w:rPr>
        <w:t>决其投标：</w:t>
      </w:r>
    </w:p>
    <w:p>
      <w:pPr>
        <w:pStyle w:val="13"/>
        <w:spacing w:before="20" w:line="234" w:lineRule="auto"/>
        <w:ind w:left="429"/>
        <w:rPr>
          <w:color w:val="auto"/>
          <w:sz w:val="21"/>
          <w:szCs w:val="21"/>
          <w:highlight w:val="none"/>
        </w:rPr>
      </w:pPr>
      <w:r>
        <w:rPr>
          <w:color w:val="auto"/>
          <w:sz w:val="21"/>
          <w:szCs w:val="21"/>
          <w:highlight w:val="none"/>
        </w:rPr>
        <w:t>（</w:t>
      </w:r>
      <w:r>
        <w:rPr>
          <w:rFonts w:ascii="Times New Roman" w:hAnsi="Times New Roman" w:eastAsia="Times New Roman" w:cs="Times New Roman"/>
          <w:color w:val="auto"/>
          <w:sz w:val="21"/>
          <w:szCs w:val="21"/>
          <w:highlight w:val="none"/>
        </w:rPr>
        <w:t>1</w:t>
      </w:r>
      <w:r>
        <w:rPr>
          <w:color w:val="auto"/>
          <w:sz w:val="21"/>
          <w:szCs w:val="21"/>
          <w:highlight w:val="none"/>
        </w:rPr>
        <w:t>）投标文件中的大写金额与小写金额不一</w:t>
      </w:r>
      <w:r>
        <w:rPr>
          <w:color w:val="auto"/>
          <w:spacing w:val="-1"/>
          <w:sz w:val="21"/>
          <w:szCs w:val="21"/>
          <w:highlight w:val="none"/>
        </w:rPr>
        <w:t>致的，以大写金额为准；</w:t>
      </w:r>
    </w:p>
    <w:p>
      <w:pPr>
        <w:pStyle w:val="13"/>
        <w:spacing w:before="131" w:line="287" w:lineRule="auto"/>
        <w:ind w:left="7" w:right="75" w:firstLine="421"/>
        <w:rPr>
          <w:color w:val="auto"/>
          <w:sz w:val="21"/>
          <w:szCs w:val="21"/>
          <w:highlight w:val="none"/>
        </w:rPr>
      </w:pPr>
      <w:r>
        <w:rPr>
          <w:color w:val="auto"/>
          <w:spacing w:val="-2"/>
          <w:sz w:val="21"/>
          <w:szCs w:val="21"/>
          <w:highlight w:val="none"/>
        </w:rPr>
        <w:t>（</w:t>
      </w:r>
      <w:r>
        <w:rPr>
          <w:rFonts w:ascii="Times New Roman" w:hAnsi="Times New Roman" w:eastAsia="Times New Roman" w:cs="Times New Roman"/>
          <w:color w:val="auto"/>
          <w:spacing w:val="-2"/>
          <w:sz w:val="21"/>
          <w:szCs w:val="21"/>
          <w:highlight w:val="none"/>
        </w:rPr>
        <w:t>2</w:t>
      </w:r>
      <w:r>
        <w:rPr>
          <w:color w:val="auto"/>
          <w:spacing w:val="-2"/>
          <w:sz w:val="21"/>
          <w:szCs w:val="21"/>
          <w:highlight w:val="none"/>
        </w:rPr>
        <w:t>）总价金额与单价金额不一致的，以单价金额为准，但单价金额小数点</w:t>
      </w:r>
      <w:r>
        <w:rPr>
          <w:color w:val="auto"/>
          <w:spacing w:val="-3"/>
          <w:sz w:val="21"/>
          <w:szCs w:val="21"/>
          <w:highlight w:val="none"/>
        </w:rPr>
        <w:t>有明显错误的除</w:t>
      </w:r>
      <w:r>
        <w:rPr>
          <w:color w:val="auto"/>
          <w:spacing w:val="-6"/>
          <w:sz w:val="21"/>
          <w:szCs w:val="21"/>
          <w:highlight w:val="none"/>
        </w:rPr>
        <w:t>外；</w:t>
      </w:r>
    </w:p>
    <w:p>
      <w:pPr>
        <w:pStyle w:val="13"/>
        <w:spacing w:before="149" w:line="285" w:lineRule="auto"/>
        <w:ind w:left="3" w:right="73" w:firstLine="425"/>
        <w:rPr>
          <w:color w:val="auto"/>
          <w:sz w:val="21"/>
          <w:szCs w:val="21"/>
          <w:highlight w:val="none"/>
        </w:rPr>
      </w:pPr>
      <w:r>
        <w:rPr>
          <w:color w:val="auto"/>
          <w:spacing w:val="-2"/>
          <w:sz w:val="21"/>
          <w:szCs w:val="21"/>
          <w:highlight w:val="none"/>
        </w:rPr>
        <w:t>（</w:t>
      </w:r>
      <w:r>
        <w:rPr>
          <w:rFonts w:ascii="Times New Roman" w:hAnsi="Times New Roman" w:eastAsia="Times New Roman" w:cs="Times New Roman"/>
          <w:color w:val="auto"/>
          <w:spacing w:val="-2"/>
          <w:sz w:val="21"/>
          <w:szCs w:val="21"/>
          <w:highlight w:val="none"/>
        </w:rPr>
        <w:t>3</w:t>
      </w:r>
      <w:r>
        <w:rPr>
          <w:color w:val="auto"/>
          <w:spacing w:val="-2"/>
          <w:sz w:val="21"/>
          <w:szCs w:val="21"/>
          <w:highlight w:val="none"/>
        </w:rPr>
        <w:t>）投标报价为各分项报价金额之和，投标报价与分项报价的合价不一致的，</w:t>
      </w:r>
      <w:r>
        <w:rPr>
          <w:color w:val="auto"/>
          <w:spacing w:val="-3"/>
          <w:sz w:val="21"/>
          <w:szCs w:val="21"/>
          <w:highlight w:val="none"/>
        </w:rPr>
        <w:t>应以各分项</w:t>
      </w:r>
      <w:r>
        <w:rPr>
          <w:color w:val="auto"/>
          <w:spacing w:val="-1"/>
          <w:sz w:val="21"/>
          <w:szCs w:val="21"/>
          <w:highlight w:val="none"/>
        </w:rPr>
        <w:t>合价累计数为准，修正投标报价；</w:t>
      </w:r>
    </w:p>
    <w:p>
      <w:pPr>
        <w:pStyle w:val="13"/>
        <w:spacing w:before="151" w:line="233" w:lineRule="auto"/>
        <w:ind w:left="429"/>
        <w:rPr>
          <w:color w:val="auto"/>
          <w:sz w:val="21"/>
          <w:szCs w:val="21"/>
          <w:highlight w:val="none"/>
        </w:rPr>
      </w:pPr>
      <w:r>
        <w:rPr>
          <w:color w:val="auto"/>
          <w:spacing w:val="-1"/>
          <w:sz w:val="21"/>
          <w:szCs w:val="21"/>
          <w:highlight w:val="none"/>
        </w:rPr>
        <w:t>（</w:t>
      </w:r>
      <w:r>
        <w:rPr>
          <w:rFonts w:ascii="Times New Roman" w:hAnsi="Times New Roman" w:eastAsia="Times New Roman" w:cs="Times New Roman"/>
          <w:color w:val="auto"/>
          <w:spacing w:val="-1"/>
          <w:sz w:val="21"/>
          <w:szCs w:val="21"/>
          <w:highlight w:val="none"/>
        </w:rPr>
        <w:t>4</w:t>
      </w:r>
      <w:r>
        <w:rPr>
          <w:color w:val="auto"/>
          <w:spacing w:val="-1"/>
          <w:sz w:val="21"/>
          <w:szCs w:val="21"/>
          <w:highlight w:val="none"/>
        </w:rPr>
        <w:t>）如果分项报价中存在缺漏项，则视为缺漏项价格已包含在其他分项报价之中。</w:t>
      </w:r>
    </w:p>
    <w:p>
      <w:pPr>
        <w:spacing w:before="297" w:line="233" w:lineRule="auto"/>
        <w:ind w:left="143"/>
        <w:outlineLvl w:val="2"/>
        <w:rPr>
          <w:rFonts w:ascii="黑体" w:hAnsi="黑体" w:eastAsia="黑体" w:cs="黑体"/>
          <w:color w:val="auto"/>
          <w:sz w:val="28"/>
          <w:szCs w:val="28"/>
          <w:highlight w:val="none"/>
        </w:rPr>
      </w:pPr>
      <w:bookmarkStart w:id="97" w:name="bookmark90"/>
      <w:bookmarkEnd w:id="97"/>
      <w:r>
        <w:rPr>
          <w:rFonts w:ascii="Times New Roman" w:hAnsi="Times New Roman" w:eastAsia="Times New Roman" w:cs="Times New Roman"/>
          <w:color w:val="auto"/>
          <w:spacing w:val="-1"/>
          <w:sz w:val="28"/>
          <w:szCs w:val="28"/>
          <w:highlight w:val="none"/>
        </w:rPr>
        <w:t xml:space="preserve">3.2  </w:t>
      </w:r>
      <w:r>
        <w:rPr>
          <w:rFonts w:ascii="黑体" w:hAnsi="黑体" w:eastAsia="黑体" w:cs="黑体"/>
          <w:color w:val="auto"/>
          <w:spacing w:val="-1"/>
          <w:sz w:val="28"/>
          <w:szCs w:val="28"/>
          <w:highlight w:val="none"/>
        </w:rPr>
        <w:t>详细评审</w:t>
      </w:r>
    </w:p>
    <w:p>
      <w:pPr>
        <w:spacing w:line="298" w:lineRule="auto"/>
        <w:rPr>
          <w:rFonts w:ascii="Arial"/>
          <w:color w:val="auto"/>
          <w:sz w:val="21"/>
          <w:highlight w:val="none"/>
        </w:rPr>
      </w:pPr>
    </w:p>
    <w:p>
      <w:pPr>
        <w:pStyle w:val="13"/>
        <w:spacing w:before="132" w:line="344" w:lineRule="auto"/>
        <w:ind w:left="6" w:right="72" w:firstLine="416"/>
        <w:rPr>
          <w:rFonts w:eastAsia="宋体" w:cs="Times New Roman"/>
          <w:color w:val="auto"/>
          <w:spacing w:val="-2"/>
          <w:sz w:val="21"/>
          <w:szCs w:val="21"/>
          <w:highlight w:val="none"/>
        </w:rPr>
      </w:pPr>
      <w:r>
        <w:rPr>
          <w:rFonts w:eastAsia="宋体" w:cs="Times New Roman"/>
          <w:color w:val="auto"/>
          <w:spacing w:val="-2"/>
          <w:sz w:val="21"/>
          <w:szCs w:val="21"/>
          <w:highlight w:val="none"/>
        </w:rPr>
        <w:t>3.2.1  评标委员会按本章第 2.2 款规定的量化因素和分值进行打分，并计算出综合评估得分。</w:t>
      </w:r>
    </w:p>
    <w:p>
      <w:pPr>
        <w:pStyle w:val="13"/>
        <w:spacing w:before="134" w:line="234" w:lineRule="auto"/>
        <w:ind w:left="429"/>
        <w:rPr>
          <w:color w:val="auto"/>
          <w:sz w:val="21"/>
          <w:szCs w:val="21"/>
          <w:highlight w:val="none"/>
        </w:rPr>
      </w:pPr>
      <w:r>
        <w:rPr>
          <w:color w:val="auto"/>
          <w:spacing w:val="-2"/>
          <w:sz w:val="21"/>
          <w:szCs w:val="21"/>
          <w:highlight w:val="none"/>
        </w:rPr>
        <w:t>（</w:t>
      </w:r>
      <w:r>
        <w:rPr>
          <w:rFonts w:ascii="Times New Roman" w:hAnsi="Times New Roman" w:eastAsia="Times New Roman" w:cs="Times New Roman"/>
          <w:color w:val="auto"/>
          <w:spacing w:val="-2"/>
          <w:sz w:val="21"/>
          <w:szCs w:val="21"/>
          <w:highlight w:val="none"/>
        </w:rPr>
        <w:t>1</w:t>
      </w:r>
      <w:r>
        <w:rPr>
          <w:color w:val="auto"/>
          <w:spacing w:val="-2"/>
          <w:sz w:val="21"/>
          <w:szCs w:val="21"/>
          <w:highlight w:val="none"/>
        </w:rPr>
        <w:t>）按本章第</w:t>
      </w:r>
      <w:r>
        <w:rPr>
          <w:color w:val="auto"/>
          <w:spacing w:val="-36"/>
          <w:sz w:val="21"/>
          <w:szCs w:val="21"/>
          <w:highlight w:val="none"/>
        </w:rPr>
        <w:t xml:space="preserve"> </w:t>
      </w:r>
      <w:r>
        <w:rPr>
          <w:rFonts w:ascii="Times New Roman" w:hAnsi="Times New Roman" w:eastAsia="Times New Roman" w:cs="Times New Roman"/>
          <w:color w:val="auto"/>
          <w:spacing w:val="-2"/>
          <w:sz w:val="21"/>
          <w:szCs w:val="21"/>
          <w:highlight w:val="none"/>
        </w:rPr>
        <w:t>2.2.4</w:t>
      </w:r>
      <w:r>
        <w:rPr>
          <w:color w:val="auto"/>
          <w:spacing w:val="-2"/>
          <w:sz w:val="21"/>
          <w:szCs w:val="21"/>
          <w:highlight w:val="none"/>
        </w:rPr>
        <w:t>（</w:t>
      </w:r>
      <w:r>
        <w:rPr>
          <w:rFonts w:ascii="Times New Roman" w:hAnsi="Times New Roman" w:eastAsia="Times New Roman" w:cs="Times New Roman"/>
          <w:color w:val="auto"/>
          <w:spacing w:val="-2"/>
          <w:sz w:val="21"/>
          <w:szCs w:val="21"/>
          <w:highlight w:val="none"/>
        </w:rPr>
        <w:t>1</w:t>
      </w:r>
      <w:r>
        <w:rPr>
          <w:color w:val="auto"/>
          <w:spacing w:val="-2"/>
          <w:sz w:val="21"/>
          <w:szCs w:val="21"/>
          <w:highlight w:val="none"/>
        </w:rPr>
        <w:t>）</w:t>
      </w:r>
      <w:r>
        <w:rPr>
          <w:color w:val="auto"/>
          <w:spacing w:val="-58"/>
          <w:sz w:val="21"/>
          <w:szCs w:val="21"/>
          <w:highlight w:val="none"/>
        </w:rPr>
        <w:t xml:space="preserve"> </w:t>
      </w:r>
      <w:r>
        <w:rPr>
          <w:color w:val="auto"/>
          <w:spacing w:val="-2"/>
          <w:sz w:val="21"/>
          <w:szCs w:val="21"/>
          <w:highlight w:val="none"/>
        </w:rPr>
        <w:t>目规定的评审因素和分值对商务部分计算出得分</w:t>
      </w:r>
      <w:r>
        <w:rPr>
          <w:color w:val="auto"/>
          <w:spacing w:val="-54"/>
          <w:sz w:val="21"/>
          <w:szCs w:val="21"/>
          <w:highlight w:val="none"/>
        </w:rPr>
        <w:t xml:space="preserve"> </w:t>
      </w:r>
      <w:r>
        <w:rPr>
          <w:rFonts w:ascii="Times New Roman" w:hAnsi="Times New Roman" w:eastAsia="Times New Roman" w:cs="Times New Roman"/>
          <w:color w:val="auto"/>
          <w:spacing w:val="-2"/>
          <w:sz w:val="21"/>
          <w:szCs w:val="21"/>
          <w:highlight w:val="none"/>
        </w:rPr>
        <w:t>A</w:t>
      </w:r>
      <w:r>
        <w:rPr>
          <w:color w:val="auto"/>
          <w:spacing w:val="-2"/>
          <w:sz w:val="21"/>
          <w:szCs w:val="21"/>
          <w:highlight w:val="none"/>
        </w:rPr>
        <w:t>；</w:t>
      </w:r>
    </w:p>
    <w:p>
      <w:pPr>
        <w:pStyle w:val="13"/>
        <w:spacing w:before="134" w:line="234" w:lineRule="auto"/>
        <w:ind w:left="429"/>
        <w:rPr>
          <w:color w:val="auto"/>
          <w:sz w:val="21"/>
          <w:szCs w:val="21"/>
          <w:highlight w:val="none"/>
        </w:rPr>
      </w:pPr>
      <w:r>
        <w:rPr>
          <w:color w:val="auto"/>
          <w:sz w:val="21"/>
          <w:szCs w:val="21"/>
          <w:highlight w:val="none"/>
        </w:rPr>
        <w:t>（</w:t>
      </w:r>
      <w:r>
        <w:rPr>
          <w:rFonts w:ascii="Times New Roman" w:hAnsi="Times New Roman" w:eastAsia="Times New Roman" w:cs="Times New Roman"/>
          <w:color w:val="auto"/>
          <w:sz w:val="21"/>
          <w:szCs w:val="21"/>
          <w:highlight w:val="none"/>
        </w:rPr>
        <w:t>2</w:t>
      </w:r>
      <w:r>
        <w:rPr>
          <w:color w:val="auto"/>
          <w:sz w:val="21"/>
          <w:szCs w:val="21"/>
          <w:highlight w:val="none"/>
        </w:rPr>
        <w:t>）按本章第</w:t>
      </w:r>
      <w:r>
        <w:rPr>
          <w:color w:val="auto"/>
          <w:spacing w:val="-50"/>
          <w:sz w:val="21"/>
          <w:szCs w:val="21"/>
          <w:highlight w:val="none"/>
        </w:rPr>
        <w:t xml:space="preserve"> </w:t>
      </w:r>
      <w:r>
        <w:rPr>
          <w:rFonts w:ascii="Times New Roman" w:hAnsi="Times New Roman" w:eastAsia="Times New Roman" w:cs="Times New Roman"/>
          <w:color w:val="auto"/>
          <w:sz w:val="21"/>
          <w:szCs w:val="21"/>
          <w:highlight w:val="none"/>
        </w:rPr>
        <w:t>2.2.4</w:t>
      </w:r>
      <w:r>
        <w:rPr>
          <w:color w:val="auto"/>
          <w:sz w:val="21"/>
          <w:szCs w:val="21"/>
          <w:highlight w:val="none"/>
        </w:rPr>
        <w:t>（</w:t>
      </w:r>
      <w:r>
        <w:rPr>
          <w:rFonts w:ascii="Times New Roman" w:hAnsi="Times New Roman" w:eastAsia="Times New Roman" w:cs="Times New Roman"/>
          <w:color w:val="auto"/>
          <w:sz w:val="21"/>
          <w:szCs w:val="21"/>
          <w:highlight w:val="none"/>
        </w:rPr>
        <w:t>2</w:t>
      </w:r>
      <w:r>
        <w:rPr>
          <w:color w:val="auto"/>
          <w:sz w:val="21"/>
          <w:szCs w:val="21"/>
          <w:highlight w:val="none"/>
        </w:rPr>
        <w:t>）</w:t>
      </w:r>
      <w:r>
        <w:rPr>
          <w:color w:val="auto"/>
          <w:spacing w:val="-59"/>
          <w:sz w:val="21"/>
          <w:szCs w:val="21"/>
          <w:highlight w:val="none"/>
        </w:rPr>
        <w:t xml:space="preserve"> </w:t>
      </w:r>
      <w:r>
        <w:rPr>
          <w:color w:val="auto"/>
          <w:sz w:val="21"/>
          <w:szCs w:val="21"/>
          <w:highlight w:val="none"/>
        </w:rPr>
        <w:t>目规定的评审因素和分值对技</w:t>
      </w:r>
      <w:r>
        <w:rPr>
          <w:color w:val="auto"/>
          <w:spacing w:val="-1"/>
          <w:sz w:val="21"/>
          <w:szCs w:val="21"/>
          <w:highlight w:val="none"/>
        </w:rPr>
        <w:t>术部分计算出得分</w:t>
      </w:r>
      <w:r>
        <w:rPr>
          <w:rFonts w:ascii="Times New Roman" w:hAnsi="Times New Roman" w:eastAsia="Times New Roman" w:cs="Times New Roman"/>
          <w:color w:val="auto"/>
          <w:spacing w:val="-1"/>
          <w:sz w:val="21"/>
          <w:szCs w:val="21"/>
          <w:highlight w:val="none"/>
        </w:rPr>
        <w:t>B</w:t>
      </w:r>
      <w:r>
        <w:rPr>
          <w:color w:val="auto"/>
          <w:spacing w:val="-1"/>
          <w:sz w:val="21"/>
          <w:szCs w:val="21"/>
          <w:highlight w:val="none"/>
        </w:rPr>
        <w:t>；</w:t>
      </w:r>
    </w:p>
    <w:p>
      <w:pPr>
        <w:pStyle w:val="13"/>
        <w:spacing w:before="135" w:line="233" w:lineRule="auto"/>
        <w:ind w:left="429"/>
        <w:rPr>
          <w:color w:val="auto"/>
          <w:sz w:val="21"/>
          <w:szCs w:val="21"/>
          <w:highlight w:val="none"/>
        </w:rPr>
      </w:pPr>
      <w:r>
        <w:rPr>
          <w:color w:val="auto"/>
          <w:sz w:val="21"/>
          <w:szCs w:val="21"/>
          <w:highlight w:val="none"/>
        </w:rPr>
        <w:t>（</w:t>
      </w:r>
      <w:r>
        <w:rPr>
          <w:rFonts w:ascii="Times New Roman" w:hAnsi="Times New Roman" w:eastAsia="Times New Roman" w:cs="Times New Roman"/>
          <w:color w:val="auto"/>
          <w:sz w:val="21"/>
          <w:szCs w:val="21"/>
          <w:highlight w:val="none"/>
        </w:rPr>
        <w:t>3</w:t>
      </w:r>
      <w:r>
        <w:rPr>
          <w:color w:val="auto"/>
          <w:sz w:val="21"/>
          <w:szCs w:val="21"/>
          <w:highlight w:val="none"/>
        </w:rPr>
        <w:t>）按本章第</w:t>
      </w:r>
      <w:r>
        <w:rPr>
          <w:color w:val="auto"/>
          <w:spacing w:val="-50"/>
          <w:sz w:val="21"/>
          <w:szCs w:val="21"/>
          <w:highlight w:val="none"/>
        </w:rPr>
        <w:t xml:space="preserve"> </w:t>
      </w:r>
      <w:r>
        <w:rPr>
          <w:rFonts w:ascii="Times New Roman" w:hAnsi="Times New Roman" w:eastAsia="Times New Roman" w:cs="Times New Roman"/>
          <w:color w:val="auto"/>
          <w:sz w:val="21"/>
          <w:szCs w:val="21"/>
          <w:highlight w:val="none"/>
        </w:rPr>
        <w:t>2.2.4</w:t>
      </w:r>
      <w:r>
        <w:rPr>
          <w:color w:val="auto"/>
          <w:sz w:val="21"/>
          <w:szCs w:val="21"/>
          <w:highlight w:val="none"/>
        </w:rPr>
        <w:t>（</w:t>
      </w:r>
      <w:r>
        <w:rPr>
          <w:rFonts w:ascii="Times New Roman" w:hAnsi="Times New Roman" w:eastAsia="Times New Roman" w:cs="Times New Roman"/>
          <w:color w:val="auto"/>
          <w:sz w:val="21"/>
          <w:szCs w:val="21"/>
          <w:highlight w:val="none"/>
        </w:rPr>
        <w:t>3</w:t>
      </w:r>
      <w:r>
        <w:rPr>
          <w:color w:val="auto"/>
          <w:sz w:val="21"/>
          <w:szCs w:val="21"/>
          <w:highlight w:val="none"/>
        </w:rPr>
        <w:t>）</w:t>
      </w:r>
      <w:r>
        <w:rPr>
          <w:color w:val="auto"/>
          <w:spacing w:val="-59"/>
          <w:sz w:val="21"/>
          <w:szCs w:val="21"/>
          <w:highlight w:val="none"/>
        </w:rPr>
        <w:t xml:space="preserve"> </w:t>
      </w:r>
      <w:r>
        <w:rPr>
          <w:color w:val="auto"/>
          <w:sz w:val="21"/>
          <w:szCs w:val="21"/>
          <w:highlight w:val="none"/>
        </w:rPr>
        <w:t>目规定的评审因素和分值对投</w:t>
      </w:r>
      <w:r>
        <w:rPr>
          <w:color w:val="auto"/>
          <w:spacing w:val="-1"/>
          <w:sz w:val="21"/>
          <w:szCs w:val="21"/>
          <w:highlight w:val="none"/>
        </w:rPr>
        <w:t>标报价计算出得分</w:t>
      </w:r>
      <w:r>
        <w:rPr>
          <w:rFonts w:ascii="Times New Roman" w:hAnsi="Times New Roman" w:eastAsia="Times New Roman" w:cs="Times New Roman"/>
          <w:color w:val="auto"/>
          <w:spacing w:val="-1"/>
          <w:sz w:val="21"/>
          <w:szCs w:val="21"/>
          <w:highlight w:val="none"/>
        </w:rPr>
        <w:t>C</w:t>
      </w:r>
      <w:r>
        <w:rPr>
          <w:color w:val="auto"/>
          <w:spacing w:val="-1"/>
          <w:sz w:val="21"/>
          <w:szCs w:val="21"/>
          <w:highlight w:val="none"/>
        </w:rPr>
        <w:t>；</w:t>
      </w:r>
    </w:p>
    <w:p>
      <w:pPr>
        <w:pStyle w:val="13"/>
        <w:spacing w:before="133" w:line="234" w:lineRule="auto"/>
        <w:ind w:left="429"/>
        <w:rPr>
          <w:strike/>
          <w:dstrike w:val="0"/>
          <w:color w:val="auto"/>
          <w:sz w:val="21"/>
          <w:szCs w:val="21"/>
          <w:highlight w:val="none"/>
        </w:rPr>
      </w:pPr>
      <w:r>
        <w:rPr>
          <w:strike/>
          <w:dstrike w:val="0"/>
          <w:color w:val="auto"/>
          <w:spacing w:val="-2"/>
          <w:sz w:val="21"/>
          <w:szCs w:val="21"/>
          <w:highlight w:val="none"/>
        </w:rPr>
        <w:t>（</w:t>
      </w:r>
      <w:r>
        <w:rPr>
          <w:rFonts w:ascii="Times New Roman" w:hAnsi="Times New Roman" w:eastAsia="Times New Roman" w:cs="Times New Roman"/>
          <w:strike/>
          <w:dstrike w:val="0"/>
          <w:color w:val="auto"/>
          <w:spacing w:val="-2"/>
          <w:sz w:val="21"/>
          <w:szCs w:val="21"/>
          <w:highlight w:val="none"/>
        </w:rPr>
        <w:t>4</w:t>
      </w:r>
      <w:r>
        <w:rPr>
          <w:strike/>
          <w:dstrike w:val="0"/>
          <w:color w:val="auto"/>
          <w:spacing w:val="-2"/>
          <w:sz w:val="21"/>
          <w:szCs w:val="21"/>
          <w:highlight w:val="none"/>
        </w:rPr>
        <w:t>）按本章第</w:t>
      </w:r>
      <w:r>
        <w:rPr>
          <w:strike/>
          <w:dstrike w:val="0"/>
          <w:color w:val="auto"/>
          <w:spacing w:val="-38"/>
          <w:sz w:val="21"/>
          <w:szCs w:val="21"/>
          <w:highlight w:val="none"/>
        </w:rPr>
        <w:t xml:space="preserve"> </w:t>
      </w:r>
      <w:r>
        <w:rPr>
          <w:rFonts w:ascii="Times New Roman" w:hAnsi="Times New Roman" w:eastAsia="Times New Roman" w:cs="Times New Roman"/>
          <w:strike/>
          <w:dstrike w:val="0"/>
          <w:color w:val="auto"/>
          <w:spacing w:val="-2"/>
          <w:sz w:val="21"/>
          <w:szCs w:val="21"/>
          <w:highlight w:val="none"/>
        </w:rPr>
        <w:t>2.2.4</w:t>
      </w:r>
      <w:r>
        <w:rPr>
          <w:strike/>
          <w:dstrike w:val="0"/>
          <w:color w:val="auto"/>
          <w:spacing w:val="-2"/>
          <w:sz w:val="21"/>
          <w:szCs w:val="21"/>
          <w:highlight w:val="none"/>
        </w:rPr>
        <w:t>（</w:t>
      </w:r>
      <w:r>
        <w:rPr>
          <w:rFonts w:ascii="Times New Roman" w:hAnsi="Times New Roman" w:eastAsia="Times New Roman" w:cs="Times New Roman"/>
          <w:strike/>
          <w:dstrike w:val="0"/>
          <w:color w:val="auto"/>
          <w:spacing w:val="-2"/>
          <w:sz w:val="21"/>
          <w:szCs w:val="21"/>
          <w:highlight w:val="none"/>
        </w:rPr>
        <w:t>4</w:t>
      </w:r>
      <w:r>
        <w:rPr>
          <w:strike/>
          <w:dstrike w:val="0"/>
          <w:color w:val="auto"/>
          <w:spacing w:val="-2"/>
          <w:sz w:val="21"/>
          <w:szCs w:val="21"/>
          <w:highlight w:val="none"/>
        </w:rPr>
        <w:t>）</w:t>
      </w:r>
      <w:r>
        <w:rPr>
          <w:strike/>
          <w:dstrike w:val="0"/>
          <w:color w:val="auto"/>
          <w:spacing w:val="-58"/>
          <w:sz w:val="21"/>
          <w:szCs w:val="21"/>
          <w:highlight w:val="none"/>
        </w:rPr>
        <w:t xml:space="preserve"> </w:t>
      </w:r>
      <w:r>
        <w:rPr>
          <w:strike/>
          <w:dstrike w:val="0"/>
          <w:color w:val="auto"/>
          <w:spacing w:val="-2"/>
          <w:sz w:val="21"/>
          <w:szCs w:val="21"/>
          <w:highlight w:val="none"/>
        </w:rPr>
        <w:t>目规定的评审因素和分值对其他部分计算出得分</w:t>
      </w:r>
      <w:r>
        <w:rPr>
          <w:strike/>
          <w:dstrike w:val="0"/>
          <w:color w:val="auto"/>
          <w:spacing w:val="-52"/>
          <w:sz w:val="21"/>
          <w:szCs w:val="21"/>
          <w:highlight w:val="none"/>
        </w:rPr>
        <w:t xml:space="preserve"> </w:t>
      </w:r>
      <w:r>
        <w:rPr>
          <w:rFonts w:ascii="Times New Roman" w:hAnsi="Times New Roman" w:eastAsia="Times New Roman" w:cs="Times New Roman"/>
          <w:strike/>
          <w:dstrike w:val="0"/>
          <w:color w:val="auto"/>
          <w:spacing w:val="-2"/>
          <w:sz w:val="21"/>
          <w:szCs w:val="21"/>
          <w:highlight w:val="none"/>
        </w:rPr>
        <w:t>D</w:t>
      </w:r>
      <w:r>
        <w:rPr>
          <w:strike/>
          <w:dstrike w:val="0"/>
          <w:color w:val="auto"/>
          <w:spacing w:val="-2"/>
          <w:sz w:val="21"/>
          <w:szCs w:val="21"/>
          <w:highlight w:val="none"/>
        </w:rPr>
        <w:t>。</w:t>
      </w:r>
    </w:p>
    <w:p>
      <w:pPr>
        <w:pStyle w:val="13"/>
        <w:spacing w:before="136" w:line="234" w:lineRule="auto"/>
        <w:ind w:left="423"/>
        <w:rPr>
          <w:color w:val="auto"/>
          <w:sz w:val="21"/>
          <w:szCs w:val="21"/>
          <w:highlight w:val="none"/>
        </w:rPr>
      </w:pPr>
      <w:r>
        <w:rPr>
          <w:rFonts w:ascii="Times New Roman" w:hAnsi="Times New Roman" w:eastAsia="Times New Roman" w:cs="Times New Roman"/>
          <w:color w:val="auto"/>
          <w:sz w:val="21"/>
          <w:szCs w:val="21"/>
          <w:highlight w:val="none"/>
        </w:rPr>
        <w:t xml:space="preserve">3.2.2  </w:t>
      </w:r>
      <w:r>
        <w:rPr>
          <w:color w:val="auto"/>
          <w:sz w:val="21"/>
          <w:szCs w:val="21"/>
          <w:highlight w:val="none"/>
        </w:rPr>
        <w:t>评分分值计算保留小数点后两位，小数点后第三位</w:t>
      </w:r>
      <w:r>
        <w:rPr>
          <w:rFonts w:ascii="Times New Roman" w:hAnsi="Times New Roman" w:eastAsia="Times New Roman" w:cs="Times New Roman"/>
          <w:color w:val="auto"/>
          <w:sz w:val="21"/>
          <w:szCs w:val="21"/>
          <w:highlight w:val="none"/>
        </w:rPr>
        <w:t>“</w:t>
      </w:r>
      <w:r>
        <w:rPr>
          <w:color w:val="auto"/>
          <w:sz w:val="21"/>
          <w:szCs w:val="21"/>
          <w:highlight w:val="none"/>
        </w:rPr>
        <w:t>四</w:t>
      </w:r>
      <w:r>
        <w:rPr>
          <w:color w:val="auto"/>
          <w:spacing w:val="-1"/>
          <w:sz w:val="21"/>
          <w:szCs w:val="21"/>
          <w:highlight w:val="none"/>
        </w:rPr>
        <w:t>舍五入</w:t>
      </w:r>
      <w:r>
        <w:rPr>
          <w:rFonts w:ascii="Times New Roman" w:hAnsi="Times New Roman" w:eastAsia="Times New Roman" w:cs="Times New Roman"/>
          <w:color w:val="auto"/>
          <w:spacing w:val="-1"/>
          <w:sz w:val="21"/>
          <w:szCs w:val="21"/>
          <w:highlight w:val="none"/>
        </w:rPr>
        <w:t>”</w:t>
      </w:r>
      <w:r>
        <w:rPr>
          <w:color w:val="auto"/>
          <w:spacing w:val="-1"/>
          <w:sz w:val="21"/>
          <w:szCs w:val="21"/>
          <w:highlight w:val="none"/>
        </w:rPr>
        <w:t>。</w:t>
      </w:r>
    </w:p>
    <w:p>
      <w:pPr>
        <w:pStyle w:val="13"/>
        <w:spacing w:before="134" w:line="234" w:lineRule="auto"/>
        <w:ind w:left="423"/>
        <w:rPr>
          <w:color w:val="auto"/>
          <w:sz w:val="21"/>
          <w:szCs w:val="21"/>
          <w:highlight w:val="none"/>
        </w:rPr>
      </w:pPr>
      <w:r>
        <w:rPr>
          <w:rFonts w:ascii="Times New Roman" w:hAnsi="Times New Roman" w:eastAsia="Times New Roman" w:cs="Times New Roman"/>
          <w:color w:val="auto"/>
          <w:spacing w:val="-1"/>
          <w:sz w:val="21"/>
          <w:szCs w:val="21"/>
          <w:highlight w:val="none"/>
        </w:rPr>
        <w:t xml:space="preserve">3.2.3  </w:t>
      </w:r>
      <w:r>
        <w:rPr>
          <w:color w:val="auto"/>
          <w:spacing w:val="-1"/>
          <w:sz w:val="21"/>
          <w:szCs w:val="21"/>
          <w:highlight w:val="none"/>
        </w:rPr>
        <w:t>投标人得分</w:t>
      </w:r>
      <w:r>
        <w:rPr>
          <w:rFonts w:ascii="Times New Roman" w:hAnsi="Times New Roman" w:eastAsia="Times New Roman" w:cs="Times New Roman"/>
          <w:color w:val="auto"/>
          <w:spacing w:val="-1"/>
          <w:sz w:val="21"/>
          <w:szCs w:val="21"/>
          <w:highlight w:val="none"/>
        </w:rPr>
        <w:t>=A+B+C</w:t>
      </w:r>
      <w:r>
        <w:rPr>
          <w:rFonts w:ascii="Times New Roman" w:hAnsi="Times New Roman" w:eastAsia="Times New Roman" w:cs="Times New Roman"/>
          <w:strike/>
          <w:dstrike w:val="0"/>
          <w:color w:val="auto"/>
          <w:spacing w:val="-1"/>
          <w:sz w:val="21"/>
          <w:szCs w:val="21"/>
          <w:highlight w:val="none"/>
        </w:rPr>
        <w:t>+D</w:t>
      </w:r>
      <w:r>
        <w:rPr>
          <w:color w:val="auto"/>
          <w:spacing w:val="-1"/>
          <w:sz w:val="21"/>
          <w:szCs w:val="21"/>
          <w:highlight w:val="none"/>
        </w:rPr>
        <w:t>。</w:t>
      </w:r>
    </w:p>
    <w:p>
      <w:pPr>
        <w:pStyle w:val="13"/>
        <w:spacing w:before="132" w:line="308" w:lineRule="auto"/>
        <w:ind w:left="5" w:right="73" w:firstLine="417"/>
        <w:rPr>
          <w:color w:val="auto"/>
          <w:spacing w:val="-5"/>
          <w:sz w:val="21"/>
          <w:szCs w:val="21"/>
          <w:highlight w:val="none"/>
        </w:rPr>
      </w:pPr>
      <w:r>
        <w:rPr>
          <w:rFonts w:ascii="Times New Roman" w:hAnsi="Times New Roman" w:eastAsia="Times New Roman" w:cs="Times New Roman"/>
          <w:color w:val="auto"/>
          <w:spacing w:val="-2"/>
          <w:sz w:val="21"/>
          <w:szCs w:val="21"/>
          <w:highlight w:val="none"/>
        </w:rPr>
        <w:t xml:space="preserve">3.2.4  </w:t>
      </w:r>
      <w:r>
        <w:rPr>
          <w:color w:val="auto"/>
          <w:spacing w:val="-2"/>
          <w:sz w:val="21"/>
          <w:szCs w:val="21"/>
          <w:highlight w:val="none"/>
        </w:rPr>
        <w:t>评标委员会发现投标人的报价明显低于其他投标报价，使得其投标报价可能低于其个</w:t>
      </w:r>
      <w:r>
        <w:rPr>
          <w:color w:val="auto"/>
          <w:spacing w:val="1"/>
          <w:sz w:val="21"/>
          <w:szCs w:val="21"/>
          <w:highlight w:val="none"/>
        </w:rPr>
        <w:t>别成本的，应当要求该投标人作出书面说明并提</w:t>
      </w:r>
      <w:r>
        <w:rPr>
          <w:color w:val="auto"/>
          <w:sz w:val="21"/>
          <w:szCs w:val="21"/>
          <w:highlight w:val="none"/>
        </w:rPr>
        <w:t>供相应的证明材料。投标人不能合理说明或者</w:t>
      </w:r>
      <w:r>
        <w:rPr>
          <w:color w:val="auto"/>
          <w:spacing w:val="-4"/>
          <w:sz w:val="21"/>
          <w:szCs w:val="21"/>
          <w:highlight w:val="none"/>
        </w:rPr>
        <w:t>不能提供相应证明材料的，评标委员会应当认定该投</w:t>
      </w:r>
      <w:r>
        <w:rPr>
          <w:color w:val="auto"/>
          <w:spacing w:val="-5"/>
          <w:sz w:val="21"/>
          <w:szCs w:val="21"/>
          <w:highlight w:val="none"/>
        </w:rPr>
        <w:t>标人以低于成本报价竞标，并否决其投标。</w:t>
      </w:r>
      <w:bookmarkStart w:id="98" w:name="bookmark91"/>
      <w:bookmarkEnd w:id="98"/>
    </w:p>
    <w:p>
      <w:pPr>
        <w:spacing w:before="297" w:line="233" w:lineRule="auto"/>
        <w:ind w:left="143"/>
        <w:outlineLvl w:val="2"/>
        <w:rPr>
          <w:rFonts w:ascii="黑体" w:hAnsi="黑体" w:eastAsia="黑体" w:cs="黑体"/>
          <w:color w:val="auto"/>
          <w:spacing w:val="-1"/>
          <w:sz w:val="28"/>
          <w:szCs w:val="28"/>
          <w:highlight w:val="none"/>
        </w:rPr>
      </w:pPr>
      <w:r>
        <w:rPr>
          <w:rFonts w:ascii="黑体" w:hAnsi="黑体" w:eastAsia="黑体" w:cs="黑体"/>
          <w:color w:val="auto"/>
          <w:spacing w:val="-1"/>
          <w:sz w:val="28"/>
          <w:szCs w:val="28"/>
          <w:highlight w:val="none"/>
        </w:rPr>
        <w:t>3.3  投标文件的澄清</w:t>
      </w:r>
    </w:p>
    <w:p>
      <w:pPr>
        <w:spacing w:line="300" w:lineRule="auto"/>
        <w:rPr>
          <w:rFonts w:ascii="Arial"/>
          <w:color w:val="auto"/>
          <w:sz w:val="21"/>
          <w:highlight w:val="none"/>
        </w:rPr>
      </w:pPr>
    </w:p>
    <w:p>
      <w:pPr>
        <w:pStyle w:val="13"/>
        <w:spacing w:before="68" w:line="307" w:lineRule="auto"/>
        <w:ind w:right="74" w:firstLine="420"/>
        <w:rPr>
          <w:color w:val="auto"/>
          <w:sz w:val="21"/>
          <w:szCs w:val="21"/>
          <w:highlight w:val="none"/>
        </w:rPr>
      </w:pPr>
      <w:r>
        <w:rPr>
          <w:rFonts w:ascii="Times New Roman" w:hAnsi="Times New Roman" w:eastAsia="Times New Roman" w:cs="Times New Roman"/>
          <w:color w:val="auto"/>
          <w:spacing w:val="-2"/>
          <w:sz w:val="21"/>
          <w:szCs w:val="21"/>
          <w:highlight w:val="none"/>
        </w:rPr>
        <w:t xml:space="preserve">3.3.1  </w:t>
      </w:r>
      <w:r>
        <w:rPr>
          <w:color w:val="auto"/>
          <w:spacing w:val="-2"/>
          <w:sz w:val="21"/>
          <w:szCs w:val="21"/>
          <w:highlight w:val="none"/>
        </w:rPr>
        <w:t>在评标过程中，评标委员会可以书面形式要求投标人对投标文件中含义不明确、对同</w:t>
      </w:r>
      <w:r>
        <w:rPr>
          <w:color w:val="auto"/>
          <w:spacing w:val="1"/>
          <w:sz w:val="21"/>
          <w:szCs w:val="21"/>
          <w:highlight w:val="none"/>
        </w:rPr>
        <w:t>类问题表述不一致或者有明显文字和计算错误的内容作</w:t>
      </w:r>
      <w:r>
        <w:rPr>
          <w:color w:val="auto"/>
          <w:sz w:val="21"/>
          <w:szCs w:val="21"/>
          <w:highlight w:val="none"/>
        </w:rPr>
        <w:t>必要的澄清、说明或补正。澄清、说明或补正应以书面方式进行。评标委员会不接受投标人主动提出的澄清、说明或补</w:t>
      </w:r>
      <w:r>
        <w:rPr>
          <w:color w:val="auto"/>
          <w:spacing w:val="-1"/>
          <w:sz w:val="21"/>
          <w:szCs w:val="21"/>
          <w:highlight w:val="none"/>
        </w:rPr>
        <w:t>正。</w:t>
      </w:r>
    </w:p>
    <w:p>
      <w:pPr>
        <w:pStyle w:val="13"/>
        <w:spacing w:before="151" w:line="285" w:lineRule="auto"/>
        <w:ind w:left="1" w:right="74" w:firstLine="418"/>
        <w:rPr>
          <w:color w:val="auto"/>
          <w:sz w:val="21"/>
          <w:szCs w:val="21"/>
          <w:highlight w:val="none"/>
        </w:rPr>
      </w:pPr>
      <w:r>
        <w:rPr>
          <w:rFonts w:ascii="Times New Roman" w:hAnsi="Times New Roman" w:eastAsia="Times New Roman" w:cs="Times New Roman"/>
          <w:color w:val="auto"/>
          <w:spacing w:val="-2"/>
          <w:sz w:val="21"/>
          <w:szCs w:val="21"/>
          <w:highlight w:val="none"/>
        </w:rPr>
        <w:t xml:space="preserve">3.3.2  </w:t>
      </w:r>
      <w:r>
        <w:rPr>
          <w:color w:val="auto"/>
          <w:spacing w:val="-2"/>
          <w:sz w:val="21"/>
          <w:szCs w:val="21"/>
          <w:highlight w:val="none"/>
        </w:rPr>
        <w:t>澄清、说明或补正不得超出投标文件的范围且不得改变投标文件的实质性内容，并构成投标文件的组成部分。</w:t>
      </w:r>
    </w:p>
    <w:p>
      <w:pPr>
        <w:pStyle w:val="13"/>
        <w:spacing w:before="150" w:line="286" w:lineRule="auto"/>
        <w:ind w:left="2" w:firstLine="417"/>
        <w:rPr>
          <w:color w:val="auto"/>
          <w:sz w:val="21"/>
          <w:szCs w:val="21"/>
          <w:highlight w:val="none"/>
        </w:rPr>
      </w:pPr>
      <w:r>
        <w:rPr>
          <w:rFonts w:ascii="Times New Roman" w:hAnsi="Times New Roman" w:eastAsia="Times New Roman" w:cs="Times New Roman"/>
          <w:color w:val="auto"/>
          <w:spacing w:val="-5"/>
          <w:sz w:val="21"/>
          <w:szCs w:val="21"/>
          <w:highlight w:val="none"/>
        </w:rPr>
        <w:t xml:space="preserve">3.3.3  </w:t>
      </w:r>
      <w:r>
        <w:rPr>
          <w:color w:val="auto"/>
          <w:spacing w:val="-5"/>
          <w:sz w:val="21"/>
          <w:szCs w:val="21"/>
          <w:highlight w:val="none"/>
        </w:rPr>
        <w:t>评标委员会对投标人提交的澄清、说明或补正有疑问的，可以要求投标人进一步澄清、</w:t>
      </w:r>
      <w:r>
        <w:rPr>
          <w:color w:val="auto"/>
          <w:spacing w:val="-1"/>
          <w:sz w:val="21"/>
          <w:szCs w:val="21"/>
          <w:highlight w:val="none"/>
        </w:rPr>
        <w:t>说明或补正，直至满足评标委员会的要求。</w:t>
      </w:r>
    </w:p>
    <w:p>
      <w:pPr>
        <w:spacing w:before="310" w:line="233" w:lineRule="auto"/>
        <w:ind w:left="140"/>
        <w:outlineLvl w:val="2"/>
        <w:rPr>
          <w:rFonts w:ascii="黑体" w:hAnsi="黑体" w:eastAsia="黑体" w:cs="黑体"/>
          <w:color w:val="auto"/>
          <w:sz w:val="28"/>
          <w:szCs w:val="28"/>
          <w:highlight w:val="none"/>
        </w:rPr>
      </w:pPr>
      <w:bookmarkStart w:id="99" w:name="bookmark92"/>
      <w:bookmarkEnd w:id="99"/>
      <w:r>
        <w:rPr>
          <w:rFonts w:ascii="Times New Roman" w:hAnsi="Times New Roman" w:eastAsia="Times New Roman" w:cs="Times New Roman"/>
          <w:color w:val="auto"/>
          <w:spacing w:val="-1"/>
          <w:sz w:val="28"/>
          <w:szCs w:val="28"/>
          <w:highlight w:val="none"/>
        </w:rPr>
        <w:t xml:space="preserve">3.4  </w:t>
      </w:r>
      <w:r>
        <w:rPr>
          <w:rFonts w:ascii="黑体" w:hAnsi="黑体" w:eastAsia="黑体" w:cs="黑体"/>
          <w:color w:val="auto"/>
          <w:spacing w:val="-1"/>
          <w:sz w:val="28"/>
          <w:szCs w:val="28"/>
          <w:highlight w:val="none"/>
        </w:rPr>
        <w:t>评标结果</w:t>
      </w:r>
    </w:p>
    <w:p>
      <w:pPr>
        <w:spacing w:line="298" w:lineRule="auto"/>
        <w:rPr>
          <w:rFonts w:ascii="Arial"/>
          <w:color w:val="auto"/>
          <w:sz w:val="21"/>
          <w:highlight w:val="none"/>
        </w:rPr>
      </w:pPr>
    </w:p>
    <w:p>
      <w:pPr>
        <w:pStyle w:val="13"/>
        <w:spacing w:before="69" w:line="286" w:lineRule="auto"/>
        <w:ind w:left="17" w:right="76" w:firstLine="403"/>
        <w:rPr>
          <w:color w:val="auto"/>
          <w:sz w:val="21"/>
          <w:szCs w:val="21"/>
          <w:highlight w:val="none"/>
        </w:rPr>
      </w:pPr>
      <w:r>
        <w:rPr>
          <w:rFonts w:ascii="Times New Roman" w:hAnsi="Times New Roman" w:eastAsia="Times New Roman" w:cs="Times New Roman"/>
          <w:color w:val="auto"/>
          <w:spacing w:val="-1"/>
          <w:sz w:val="21"/>
          <w:szCs w:val="21"/>
          <w:highlight w:val="none"/>
        </w:rPr>
        <w:t xml:space="preserve">3.4.1  </w:t>
      </w:r>
      <w:r>
        <w:rPr>
          <w:color w:val="auto"/>
          <w:spacing w:val="-1"/>
          <w:sz w:val="21"/>
          <w:szCs w:val="21"/>
          <w:highlight w:val="none"/>
        </w:rPr>
        <w:t>除第二章</w:t>
      </w:r>
      <w:r>
        <w:rPr>
          <w:rFonts w:ascii="Times New Roman" w:hAnsi="Times New Roman" w:eastAsia="Times New Roman" w:cs="Times New Roman"/>
          <w:color w:val="auto"/>
          <w:spacing w:val="-1"/>
          <w:sz w:val="21"/>
          <w:szCs w:val="21"/>
          <w:highlight w:val="none"/>
        </w:rPr>
        <w:t>“</w:t>
      </w:r>
      <w:r>
        <w:rPr>
          <w:color w:val="auto"/>
          <w:spacing w:val="-1"/>
          <w:sz w:val="21"/>
          <w:szCs w:val="21"/>
          <w:highlight w:val="none"/>
        </w:rPr>
        <w:t>投标人须知</w:t>
      </w:r>
      <w:r>
        <w:rPr>
          <w:rFonts w:ascii="Times New Roman" w:hAnsi="Times New Roman" w:eastAsia="Times New Roman" w:cs="Times New Roman"/>
          <w:color w:val="auto"/>
          <w:spacing w:val="-1"/>
          <w:sz w:val="21"/>
          <w:szCs w:val="21"/>
          <w:highlight w:val="none"/>
        </w:rPr>
        <w:t>”</w:t>
      </w:r>
      <w:r>
        <w:rPr>
          <w:color w:val="auto"/>
          <w:spacing w:val="-1"/>
          <w:sz w:val="21"/>
          <w:szCs w:val="21"/>
          <w:highlight w:val="none"/>
        </w:rPr>
        <w:t>前附表授权直接确定中标人外，</w:t>
      </w:r>
      <w:r>
        <w:rPr>
          <w:color w:val="auto"/>
          <w:spacing w:val="-2"/>
          <w:sz w:val="21"/>
          <w:szCs w:val="21"/>
          <w:highlight w:val="none"/>
        </w:rPr>
        <w:t>评标委员会按照得分由高到低的顺序推荐中标候选人，并标明排序。</w:t>
      </w:r>
    </w:p>
    <w:p>
      <w:pPr>
        <w:jc w:val="both"/>
        <w:rPr>
          <w:rFonts w:hint="eastAsia" w:ascii="宋体" w:hAnsi="宋体" w:eastAsia="宋体" w:cs="宋体"/>
          <w:b/>
          <w:color w:val="auto"/>
          <w:sz w:val="24"/>
          <w:szCs w:val="24"/>
          <w:highlight w:val="none"/>
        </w:rPr>
      </w:pPr>
      <w:r>
        <w:rPr>
          <w:rFonts w:ascii="Times New Roman" w:hAnsi="Times New Roman" w:eastAsia="Times New Roman" w:cs="Times New Roman"/>
          <w:color w:val="auto"/>
          <w:spacing w:val="-1"/>
          <w:sz w:val="21"/>
          <w:szCs w:val="21"/>
          <w:highlight w:val="none"/>
        </w:rPr>
        <w:t xml:space="preserve">3.4.2  </w:t>
      </w:r>
      <w:r>
        <w:rPr>
          <w:color w:val="auto"/>
          <w:spacing w:val="-1"/>
          <w:sz w:val="21"/>
          <w:szCs w:val="21"/>
          <w:highlight w:val="none"/>
        </w:rPr>
        <w:t>评标委员会完成评标后，应当向招标人提交书面评标报告和中标候选人名单。</w:t>
      </w:r>
    </w:p>
    <w:p>
      <w:pPr>
        <w:spacing w:line="2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3"/>
        <w:jc w:val="center"/>
        <w:rPr>
          <w:rFonts w:hint="eastAsia" w:ascii="宋体" w:hAnsi="宋体" w:eastAsia="宋体" w:cs="宋体"/>
          <w:color w:val="auto"/>
          <w:highlight w:val="none"/>
        </w:rPr>
      </w:pPr>
      <w:bookmarkStart w:id="100" w:name="_Toc25513666"/>
      <w:bookmarkStart w:id="101" w:name="_Toc28698"/>
      <w:bookmarkStart w:id="102" w:name="_Toc20445"/>
      <w:r>
        <w:rPr>
          <w:rFonts w:hint="eastAsia" w:ascii="宋体" w:hAnsi="宋体" w:eastAsia="宋体" w:cs="宋体"/>
          <w:color w:val="auto"/>
          <w:highlight w:val="none"/>
        </w:rPr>
        <w:t>第四章合同条款及格式</w:t>
      </w:r>
      <w:bookmarkEnd w:id="87"/>
      <w:bookmarkEnd w:id="88"/>
      <w:bookmarkEnd w:id="89"/>
      <w:bookmarkEnd w:id="100"/>
      <w:bookmarkEnd w:id="101"/>
      <w:bookmarkEnd w:id="102"/>
    </w:p>
    <w:p>
      <w:pPr>
        <w:widowControl/>
        <w:spacing w:after="160" w:line="259" w:lineRule="auto"/>
        <w:jc w:val="center"/>
        <w:rPr>
          <w:rFonts w:hint="eastAsia" w:ascii="宋体" w:hAnsi="宋体" w:eastAsia="宋体" w:cs="宋体"/>
          <w:color w:val="auto"/>
          <w:sz w:val="32"/>
          <w:szCs w:val="32"/>
          <w:highlight w:val="none"/>
        </w:rPr>
      </w:pPr>
      <w:bookmarkStart w:id="103" w:name="_Toc7454660"/>
      <w:bookmarkStart w:id="104" w:name="_Toc16292"/>
    </w:p>
    <w:p>
      <w:pPr>
        <w:widowControl/>
        <w:spacing w:line="360" w:lineRule="auto"/>
        <w:jc w:val="center"/>
        <w:rPr>
          <w:rFonts w:hint="eastAsia" w:ascii="宋体" w:hAnsi="宋体" w:eastAsia="宋体" w:cs="宋体"/>
          <w:snapToGrid w:val="0"/>
          <w:color w:val="auto"/>
          <w:sz w:val="24"/>
          <w:szCs w:val="24"/>
          <w:highlight w:val="none"/>
          <w:lang w:val="zh-CN"/>
        </w:rPr>
      </w:pPr>
      <w:r>
        <w:rPr>
          <w:rFonts w:hint="eastAsia" w:ascii="宋体" w:hAnsi="宋体" w:eastAsia="宋体" w:cs="宋体"/>
          <w:color w:val="auto"/>
          <w:sz w:val="24"/>
          <w:szCs w:val="24"/>
          <w:highlight w:val="none"/>
        </w:rPr>
        <w:t>（另册）</w:t>
      </w:r>
      <w:bookmarkEnd w:id="103"/>
      <w:bookmarkEnd w:id="104"/>
      <w:r>
        <w:rPr>
          <w:rFonts w:hint="eastAsia" w:ascii="宋体" w:hAnsi="宋体" w:eastAsia="宋体" w:cs="宋体"/>
          <w:color w:val="auto"/>
          <w:sz w:val="24"/>
          <w:szCs w:val="24"/>
          <w:highlight w:val="none"/>
        </w:rPr>
        <w:br w:type="page"/>
      </w:r>
    </w:p>
    <w:p>
      <w:pPr>
        <w:pStyle w:val="3"/>
        <w:jc w:val="center"/>
        <w:rPr>
          <w:rFonts w:hint="eastAsia" w:ascii="宋体" w:hAnsi="宋体" w:eastAsia="宋体" w:cs="宋体"/>
          <w:color w:val="auto"/>
          <w:highlight w:val="none"/>
        </w:rPr>
      </w:pPr>
      <w:bookmarkStart w:id="105" w:name="_Toc20882"/>
      <w:bookmarkStart w:id="106" w:name="_Toc7454661"/>
      <w:bookmarkStart w:id="107" w:name="_Toc29454"/>
      <w:bookmarkStart w:id="108" w:name="_Toc508788683"/>
      <w:bookmarkStart w:id="109" w:name="_Toc25513667"/>
      <w:bookmarkStart w:id="110" w:name="_Toc25173"/>
      <w:r>
        <w:rPr>
          <w:rFonts w:hint="eastAsia" w:ascii="宋体" w:hAnsi="宋体" w:eastAsia="宋体" w:cs="宋体"/>
          <w:color w:val="auto"/>
          <w:highlight w:val="none"/>
        </w:rPr>
        <w:t>第二卷</w:t>
      </w:r>
      <w:bookmarkEnd w:id="105"/>
      <w:bookmarkEnd w:id="106"/>
      <w:bookmarkEnd w:id="107"/>
      <w:bookmarkEnd w:id="108"/>
      <w:bookmarkEnd w:id="109"/>
      <w:bookmarkEnd w:id="110"/>
    </w:p>
    <w:p>
      <w:pPr>
        <w:widowControl/>
        <w:spacing w:line="259" w:lineRule="auto"/>
        <w:ind w:right="1604"/>
        <w:jc w:val="right"/>
        <w:rPr>
          <w:rFonts w:hint="eastAsia" w:ascii="宋体" w:hAnsi="宋体" w:eastAsia="宋体" w:cs="宋体"/>
          <w:color w:val="auto"/>
          <w:sz w:val="22"/>
          <w:highlight w:val="none"/>
        </w:rPr>
      </w:pPr>
      <w:r>
        <w:rPr>
          <w:rFonts w:hint="eastAsia" w:ascii="宋体" w:hAnsi="宋体" w:eastAsia="宋体" w:cs="宋体"/>
          <w:b/>
          <w:color w:val="auto"/>
          <w:sz w:val="44"/>
          <w:highlight w:val="none"/>
        </w:rPr>
        <w:br w:type="page"/>
      </w:r>
    </w:p>
    <w:p>
      <w:pPr>
        <w:pStyle w:val="3"/>
        <w:jc w:val="center"/>
        <w:rPr>
          <w:rFonts w:hint="eastAsia" w:ascii="宋体" w:hAnsi="宋体" w:eastAsia="宋体" w:cs="宋体"/>
          <w:color w:val="auto"/>
          <w:highlight w:val="none"/>
          <w:lang w:eastAsia="zh-CN"/>
        </w:rPr>
      </w:pPr>
      <w:bookmarkStart w:id="111" w:name="_Toc7454662"/>
      <w:bookmarkStart w:id="112" w:name="_Toc25513668"/>
      <w:bookmarkStart w:id="113" w:name="_Toc14804"/>
      <w:bookmarkStart w:id="114" w:name="_Toc9007"/>
      <w:bookmarkStart w:id="115" w:name="_Toc508788684"/>
      <w:r>
        <w:rPr>
          <w:rFonts w:hint="eastAsia" w:ascii="宋体" w:hAnsi="宋体" w:eastAsia="宋体" w:cs="宋体"/>
          <w:color w:val="auto"/>
          <w:highlight w:val="none"/>
        </w:rPr>
        <w:t>第五章</w:t>
      </w:r>
      <w:bookmarkEnd w:id="111"/>
      <w:bookmarkEnd w:id="112"/>
      <w:bookmarkEnd w:id="113"/>
      <w:bookmarkEnd w:id="114"/>
      <w:bookmarkEnd w:id="115"/>
      <w:r>
        <w:rPr>
          <w:rFonts w:hint="eastAsia" w:ascii="宋体" w:hAnsi="宋体" w:eastAsia="宋体" w:cs="宋体"/>
          <w:color w:val="auto"/>
          <w:highlight w:val="none"/>
          <w:lang w:eastAsia="zh-CN"/>
        </w:rPr>
        <w:t>供货要求</w:t>
      </w:r>
    </w:p>
    <w:p>
      <w:pPr>
        <w:widowControl/>
        <w:spacing w:line="360" w:lineRule="auto"/>
        <w:jc w:val="left"/>
        <w:rPr>
          <w:rFonts w:hint="eastAsia" w:ascii="宋体" w:hAnsi="宋体" w:eastAsia="宋体" w:cs="宋体"/>
          <w:color w:val="auto"/>
          <w:sz w:val="24"/>
          <w:szCs w:val="24"/>
          <w:highlight w:val="none"/>
        </w:rPr>
      </w:pPr>
      <w:bookmarkStart w:id="116" w:name="_Toc7454663"/>
    </w:p>
    <w:p>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（另册，详见</w:t>
      </w:r>
      <w:r>
        <w:rPr>
          <w:rFonts w:hint="eastAsia" w:ascii="宋体" w:hAnsi="宋体" w:cs="宋体"/>
          <w:color w:val="auto"/>
          <w:sz w:val="24"/>
          <w:szCs w:val="24"/>
          <w:highlight w:val="none"/>
          <w:lang w:val="en-US" w:eastAsia="zh-CN"/>
        </w:rPr>
        <w:t>本项目</w:t>
      </w:r>
      <w:r>
        <w:rPr>
          <w:rFonts w:hint="eastAsia" w:ascii="宋体" w:hAnsi="宋体" w:eastAsia="宋体" w:cs="宋体"/>
          <w:color w:val="auto"/>
          <w:sz w:val="24"/>
          <w:szCs w:val="24"/>
          <w:highlight w:val="none"/>
        </w:rPr>
        <w:t>技术需求书</w:t>
      </w:r>
      <w:bookmarkEnd w:id="116"/>
      <w:r>
        <w:rPr>
          <w:rFonts w:hint="eastAsia" w:ascii="宋体" w:hAnsi="宋体" w:eastAsia="宋体" w:cs="宋体"/>
          <w:color w:val="auto"/>
          <w:sz w:val="24"/>
          <w:szCs w:val="24"/>
          <w:highlight w:val="none"/>
        </w:rPr>
        <w:t>。）</w:t>
      </w:r>
    </w:p>
    <w:p>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3"/>
        <w:jc w:val="center"/>
        <w:rPr>
          <w:rFonts w:hint="eastAsia" w:ascii="宋体" w:hAnsi="宋体" w:eastAsia="宋体" w:cs="宋体"/>
          <w:color w:val="auto"/>
          <w:sz w:val="22"/>
          <w:highlight w:val="none"/>
        </w:rPr>
      </w:pPr>
      <w:bookmarkStart w:id="117" w:name="_Toc8315"/>
      <w:bookmarkStart w:id="118" w:name="_Toc25513669"/>
      <w:bookmarkStart w:id="119" w:name="_Toc508788695"/>
      <w:bookmarkStart w:id="120" w:name="_Toc7454664"/>
      <w:bookmarkStart w:id="121" w:name="_Toc6881"/>
      <w:bookmarkStart w:id="122" w:name="_Toc28865"/>
      <w:r>
        <w:rPr>
          <w:rFonts w:hint="eastAsia" w:ascii="宋体" w:hAnsi="宋体" w:eastAsia="宋体" w:cs="宋体"/>
          <w:color w:val="auto"/>
          <w:highlight w:val="none"/>
        </w:rPr>
        <w:t>第三卷</w:t>
      </w:r>
      <w:bookmarkEnd w:id="117"/>
      <w:bookmarkEnd w:id="118"/>
      <w:bookmarkEnd w:id="119"/>
      <w:bookmarkEnd w:id="120"/>
      <w:r>
        <w:rPr>
          <w:rFonts w:hint="eastAsia" w:ascii="宋体" w:hAnsi="宋体" w:eastAsia="宋体" w:cs="宋体"/>
          <w:color w:val="auto"/>
          <w:highlight w:val="none"/>
        </w:rPr>
        <w:br w:type="page"/>
      </w:r>
      <w:bookmarkEnd w:id="121"/>
      <w:bookmarkEnd w:id="122"/>
    </w:p>
    <w:p>
      <w:pPr>
        <w:pStyle w:val="3"/>
        <w:jc w:val="center"/>
        <w:rPr>
          <w:rFonts w:hint="eastAsia" w:ascii="宋体" w:hAnsi="宋体" w:eastAsia="宋体" w:cs="宋体"/>
          <w:color w:val="auto"/>
          <w:highlight w:val="none"/>
        </w:rPr>
      </w:pPr>
      <w:bookmarkStart w:id="123" w:name="_Toc508788696"/>
      <w:bookmarkStart w:id="124" w:name="_Toc25513670"/>
      <w:bookmarkStart w:id="125" w:name="_Toc23546"/>
      <w:bookmarkStart w:id="126" w:name="_Toc31697"/>
      <w:bookmarkStart w:id="127" w:name="_Toc7454665"/>
      <w:r>
        <w:rPr>
          <w:rFonts w:hint="eastAsia" w:ascii="宋体" w:hAnsi="宋体" w:eastAsia="宋体" w:cs="宋体"/>
          <w:color w:val="auto"/>
          <w:highlight w:val="none"/>
        </w:rPr>
        <w:t>第六章投标文件格式</w:t>
      </w:r>
      <w:bookmarkEnd w:id="123"/>
      <w:bookmarkEnd w:id="124"/>
      <w:bookmarkEnd w:id="125"/>
      <w:bookmarkEnd w:id="126"/>
      <w:bookmarkEnd w:id="127"/>
    </w:p>
    <w:p>
      <w:pPr>
        <w:spacing w:line="360" w:lineRule="auto"/>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br w:type="page"/>
      </w:r>
    </w:p>
    <w:p>
      <w:pPr>
        <w:spacing w:line="247" w:lineRule="auto"/>
        <w:rPr>
          <w:rFonts w:ascii="Arial"/>
          <w:color w:val="auto"/>
          <w:sz w:val="21"/>
          <w:highlight w:val="none"/>
        </w:rPr>
      </w:pPr>
    </w:p>
    <w:p>
      <w:pPr>
        <w:spacing w:line="247" w:lineRule="auto"/>
        <w:rPr>
          <w:rFonts w:ascii="Arial"/>
          <w:color w:val="auto"/>
          <w:sz w:val="21"/>
          <w:highlight w:val="none"/>
        </w:rPr>
      </w:pPr>
    </w:p>
    <w:p>
      <w:pPr>
        <w:spacing w:line="247" w:lineRule="auto"/>
        <w:rPr>
          <w:rFonts w:ascii="Arial"/>
          <w:color w:val="auto"/>
          <w:sz w:val="21"/>
          <w:highlight w:val="none"/>
        </w:rPr>
      </w:pPr>
    </w:p>
    <w:p>
      <w:pPr>
        <w:spacing w:line="247" w:lineRule="auto"/>
        <w:rPr>
          <w:rFonts w:ascii="Arial"/>
          <w:color w:val="auto"/>
          <w:sz w:val="21"/>
          <w:highlight w:val="none"/>
        </w:rPr>
      </w:pPr>
    </w:p>
    <w:p>
      <w:pPr>
        <w:spacing w:line="248" w:lineRule="auto"/>
        <w:rPr>
          <w:rFonts w:ascii="Arial"/>
          <w:color w:val="auto"/>
          <w:sz w:val="21"/>
          <w:highlight w:val="none"/>
        </w:rPr>
      </w:pPr>
    </w:p>
    <w:p>
      <w:pPr>
        <w:tabs>
          <w:tab w:val="left" w:pos="2882"/>
        </w:tabs>
        <w:spacing w:before="91" w:line="549" w:lineRule="auto"/>
        <w:ind w:right="1762"/>
        <w:jc w:val="center"/>
        <w:rPr>
          <w:rFonts w:ascii="黑体" w:hAnsi="黑体" w:eastAsia="黑体" w:cs="黑体"/>
          <w:color w:val="auto"/>
          <w:sz w:val="28"/>
          <w:szCs w:val="28"/>
          <w:highlight w:val="none"/>
        </w:rPr>
      </w:pPr>
      <w:r>
        <w:rPr>
          <w:rFonts w:hint="eastAsia" w:ascii="黑体" w:hAnsi="黑体" w:eastAsia="黑体" w:cs="黑体"/>
          <w:color w:val="auto"/>
          <w:sz w:val="28"/>
          <w:szCs w:val="28"/>
          <w:highlight w:val="none"/>
          <w:u w:val="single"/>
          <w:lang w:val="en-US" w:eastAsia="zh-CN"/>
        </w:rPr>
        <w:t xml:space="preserve">                 </w:t>
      </w:r>
      <w:r>
        <w:rPr>
          <w:rFonts w:ascii="黑体" w:hAnsi="黑体" w:eastAsia="黑体" w:cs="黑体"/>
          <w:color w:val="auto"/>
          <w:sz w:val="28"/>
          <w:szCs w:val="28"/>
          <w:highlight w:val="none"/>
        </w:rPr>
        <w:t>（项目名称）设备采购招标项目</w:t>
      </w:r>
    </w:p>
    <w:p>
      <w:pPr>
        <w:tabs>
          <w:tab w:val="left" w:pos="2882"/>
        </w:tabs>
        <w:spacing w:before="91" w:line="549" w:lineRule="auto"/>
        <w:ind w:right="1762"/>
        <w:jc w:val="center"/>
        <w:rPr>
          <w:rFonts w:ascii="黑体" w:hAnsi="黑体" w:eastAsia="黑体" w:cs="黑体"/>
          <w:color w:val="auto"/>
          <w:spacing w:val="20"/>
          <w:sz w:val="43"/>
          <w:szCs w:val="43"/>
          <w:highlight w:val="none"/>
        </w:rPr>
      </w:pPr>
      <w:r>
        <w:rPr>
          <w:rFonts w:ascii="黑体" w:hAnsi="黑体" w:eastAsia="黑体" w:cs="黑体"/>
          <w:color w:val="auto"/>
          <w:spacing w:val="20"/>
          <w:sz w:val="43"/>
          <w:szCs w:val="43"/>
          <w:highlight w:val="none"/>
        </w:rPr>
        <w:t>投 标 文 件</w:t>
      </w: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4" w:lineRule="auto"/>
        <w:rPr>
          <w:rFonts w:ascii="Arial"/>
          <w:color w:val="auto"/>
          <w:sz w:val="21"/>
          <w:highlight w:val="none"/>
        </w:rPr>
      </w:pPr>
    </w:p>
    <w:p>
      <w:pPr>
        <w:spacing w:line="244" w:lineRule="auto"/>
        <w:rPr>
          <w:rFonts w:ascii="Arial"/>
          <w:color w:val="auto"/>
          <w:sz w:val="21"/>
          <w:highlight w:val="none"/>
        </w:rPr>
      </w:pPr>
    </w:p>
    <w:p>
      <w:pPr>
        <w:spacing w:line="244" w:lineRule="auto"/>
        <w:rPr>
          <w:rFonts w:ascii="Arial"/>
          <w:color w:val="auto"/>
          <w:sz w:val="21"/>
          <w:highlight w:val="none"/>
        </w:rPr>
      </w:pPr>
    </w:p>
    <w:p>
      <w:pPr>
        <w:spacing w:line="244" w:lineRule="auto"/>
        <w:rPr>
          <w:rFonts w:ascii="Arial"/>
          <w:color w:val="auto"/>
          <w:sz w:val="21"/>
          <w:highlight w:val="none"/>
        </w:rPr>
      </w:pPr>
    </w:p>
    <w:p>
      <w:pPr>
        <w:spacing w:line="244" w:lineRule="auto"/>
        <w:rPr>
          <w:rFonts w:ascii="Arial"/>
          <w:color w:val="auto"/>
          <w:sz w:val="21"/>
          <w:highlight w:val="none"/>
        </w:rPr>
      </w:pPr>
    </w:p>
    <w:p>
      <w:pPr>
        <w:spacing w:line="244" w:lineRule="auto"/>
        <w:rPr>
          <w:rFonts w:ascii="Arial"/>
          <w:color w:val="auto"/>
          <w:sz w:val="21"/>
          <w:highlight w:val="none"/>
        </w:rPr>
      </w:pPr>
    </w:p>
    <w:p>
      <w:pPr>
        <w:spacing w:line="244" w:lineRule="auto"/>
        <w:rPr>
          <w:rFonts w:ascii="Arial"/>
          <w:color w:val="auto"/>
          <w:sz w:val="21"/>
          <w:highlight w:val="none"/>
        </w:rPr>
      </w:pPr>
    </w:p>
    <w:p>
      <w:pPr>
        <w:spacing w:line="244" w:lineRule="auto"/>
        <w:rPr>
          <w:rFonts w:ascii="Arial"/>
          <w:color w:val="auto"/>
          <w:sz w:val="21"/>
          <w:highlight w:val="none"/>
        </w:rPr>
      </w:pPr>
    </w:p>
    <w:p>
      <w:pPr>
        <w:spacing w:line="244" w:lineRule="auto"/>
        <w:rPr>
          <w:rFonts w:ascii="Arial"/>
          <w:color w:val="auto"/>
          <w:sz w:val="21"/>
          <w:highlight w:val="none"/>
        </w:rPr>
      </w:pPr>
    </w:p>
    <w:p>
      <w:pPr>
        <w:spacing w:line="244" w:lineRule="auto"/>
        <w:rPr>
          <w:rFonts w:ascii="Arial"/>
          <w:color w:val="auto"/>
          <w:sz w:val="21"/>
          <w:highlight w:val="none"/>
        </w:rPr>
      </w:pPr>
    </w:p>
    <w:p>
      <w:pPr>
        <w:spacing w:line="244" w:lineRule="auto"/>
        <w:rPr>
          <w:rFonts w:ascii="Arial"/>
          <w:color w:val="auto"/>
          <w:sz w:val="21"/>
          <w:highlight w:val="none"/>
        </w:rPr>
      </w:pPr>
    </w:p>
    <w:p>
      <w:pPr>
        <w:spacing w:line="244" w:lineRule="auto"/>
        <w:rPr>
          <w:rFonts w:ascii="Arial"/>
          <w:color w:val="auto"/>
          <w:sz w:val="21"/>
          <w:highlight w:val="none"/>
        </w:rPr>
      </w:pPr>
    </w:p>
    <w:p>
      <w:pPr>
        <w:spacing w:line="244" w:lineRule="auto"/>
        <w:rPr>
          <w:rFonts w:ascii="Arial"/>
          <w:color w:val="auto"/>
          <w:sz w:val="21"/>
          <w:highlight w:val="none"/>
        </w:rPr>
      </w:pPr>
    </w:p>
    <w:p>
      <w:pPr>
        <w:spacing w:line="244" w:lineRule="auto"/>
        <w:rPr>
          <w:rFonts w:ascii="Arial"/>
          <w:color w:val="auto"/>
          <w:sz w:val="21"/>
          <w:highlight w:val="none"/>
        </w:rPr>
      </w:pPr>
    </w:p>
    <w:p>
      <w:pPr>
        <w:spacing w:before="91" w:line="361" w:lineRule="auto"/>
        <w:ind w:left="1097" w:right="56" w:hanging="4"/>
        <w:rPr>
          <w:rFonts w:ascii="黑体" w:hAnsi="黑体" w:eastAsia="黑体" w:cs="黑体"/>
          <w:color w:val="auto"/>
          <w:spacing w:val="-4"/>
          <w:sz w:val="28"/>
          <w:szCs w:val="28"/>
          <w:highlight w:val="none"/>
        </w:rPr>
      </w:pPr>
      <w:r>
        <w:rPr>
          <w:rFonts w:ascii="黑体" w:hAnsi="黑体" w:eastAsia="黑体" w:cs="黑体"/>
          <w:color w:val="auto"/>
          <w:spacing w:val="-4"/>
          <w:sz w:val="28"/>
          <w:szCs w:val="28"/>
          <w:highlight w:val="none"/>
        </w:rPr>
        <w:t>投标人</w:t>
      </w:r>
      <w:r>
        <w:rPr>
          <w:rFonts w:ascii="黑体" w:hAnsi="黑体" w:eastAsia="黑体" w:cs="黑体"/>
          <w:color w:val="auto"/>
          <w:spacing w:val="-2"/>
          <w:sz w:val="28"/>
          <w:szCs w:val="28"/>
          <w:highlight w:val="none"/>
        </w:rPr>
        <w:t>：</w:t>
      </w:r>
      <w:r>
        <w:rPr>
          <w:rFonts w:ascii="黑体" w:hAnsi="黑体" w:eastAsia="黑体" w:cs="黑体"/>
          <w:color w:val="auto"/>
          <w:spacing w:val="4"/>
          <w:sz w:val="28"/>
          <w:szCs w:val="28"/>
          <w:highlight w:val="none"/>
          <w:u w:val="single" w:color="auto"/>
        </w:rPr>
        <w:t xml:space="preserve">                                </w:t>
      </w:r>
      <w:r>
        <w:rPr>
          <w:rFonts w:ascii="黑体" w:hAnsi="黑体" w:eastAsia="黑体" w:cs="黑体"/>
          <w:color w:val="auto"/>
          <w:spacing w:val="-2"/>
          <w:sz w:val="28"/>
          <w:szCs w:val="28"/>
          <w:highlight w:val="none"/>
        </w:rPr>
        <w:t>（</w:t>
      </w:r>
      <w:r>
        <w:rPr>
          <w:rFonts w:ascii="黑体" w:hAnsi="黑体" w:eastAsia="黑体" w:cs="黑体"/>
          <w:color w:val="auto"/>
          <w:spacing w:val="-4"/>
          <w:sz w:val="28"/>
          <w:szCs w:val="28"/>
          <w:highlight w:val="none"/>
        </w:rPr>
        <w:t>盖单位章）</w:t>
      </w:r>
    </w:p>
    <w:p>
      <w:pPr>
        <w:spacing w:before="91" w:line="361" w:lineRule="auto"/>
        <w:ind w:left="1097" w:right="56" w:hanging="4"/>
        <w:rPr>
          <w:rFonts w:ascii="黑体" w:hAnsi="黑体" w:eastAsia="黑体" w:cs="黑体"/>
          <w:color w:val="auto"/>
          <w:sz w:val="28"/>
          <w:szCs w:val="28"/>
          <w:highlight w:val="none"/>
        </w:rPr>
      </w:pPr>
      <w:r>
        <w:rPr>
          <w:rFonts w:ascii="黑体" w:hAnsi="黑体" w:eastAsia="黑体" w:cs="黑体"/>
          <w:color w:val="auto"/>
          <w:spacing w:val="-2"/>
          <w:sz w:val="28"/>
          <w:szCs w:val="28"/>
          <w:highlight w:val="none"/>
        </w:rPr>
        <w:t>法定代表人（单位负责人）或其委托代理人</w:t>
      </w:r>
      <w:r>
        <w:rPr>
          <w:rFonts w:ascii="黑体" w:hAnsi="黑体" w:eastAsia="黑体" w:cs="黑体"/>
          <w:color w:val="auto"/>
          <w:spacing w:val="2"/>
          <w:sz w:val="28"/>
          <w:szCs w:val="28"/>
          <w:highlight w:val="none"/>
        </w:rPr>
        <w:t>：</w:t>
      </w:r>
      <w:r>
        <w:rPr>
          <w:rFonts w:ascii="黑体" w:hAnsi="黑体" w:eastAsia="黑体" w:cs="黑体"/>
          <w:color w:val="auto"/>
          <w:spacing w:val="6"/>
          <w:sz w:val="28"/>
          <w:szCs w:val="28"/>
          <w:highlight w:val="none"/>
          <w:u w:val="single" w:color="auto"/>
        </w:rPr>
        <w:t xml:space="preserve">     </w:t>
      </w:r>
      <w:r>
        <w:rPr>
          <w:rFonts w:ascii="黑体" w:hAnsi="黑体" w:eastAsia="黑体" w:cs="黑体"/>
          <w:color w:val="auto"/>
          <w:spacing w:val="2"/>
          <w:sz w:val="28"/>
          <w:szCs w:val="28"/>
          <w:highlight w:val="none"/>
        </w:rPr>
        <w:t>（</w:t>
      </w:r>
      <w:r>
        <w:rPr>
          <w:rFonts w:ascii="黑体" w:hAnsi="黑体" w:eastAsia="黑体" w:cs="黑体"/>
          <w:color w:val="auto"/>
          <w:spacing w:val="-2"/>
          <w:sz w:val="28"/>
          <w:szCs w:val="28"/>
          <w:highlight w:val="none"/>
        </w:rPr>
        <w:t>签字）</w:t>
      </w:r>
    </w:p>
    <w:p>
      <w:pPr>
        <w:spacing w:line="265" w:lineRule="auto"/>
        <w:rPr>
          <w:rFonts w:ascii="Arial"/>
          <w:color w:val="auto"/>
          <w:sz w:val="21"/>
          <w:highlight w:val="none"/>
        </w:rPr>
      </w:pPr>
    </w:p>
    <w:p>
      <w:pPr>
        <w:widowControl/>
        <w:tabs>
          <w:tab w:val="center" w:pos="4320"/>
          <w:tab w:val="center" w:pos="8723"/>
        </w:tabs>
        <w:spacing w:after="127" w:line="259" w:lineRule="auto"/>
        <w:jc w:val="center"/>
        <w:rPr>
          <w:rFonts w:hint="eastAsia" w:ascii="宋体" w:hAnsi="宋体" w:eastAsia="宋体" w:cs="宋体"/>
          <w:color w:val="auto"/>
          <w:sz w:val="22"/>
          <w:highlight w:val="none"/>
        </w:rPr>
      </w:pPr>
      <w:r>
        <w:rPr>
          <w:rFonts w:ascii="黑体" w:hAnsi="黑体" w:eastAsia="黑体" w:cs="黑体"/>
          <w:color w:val="auto"/>
          <w:spacing w:val="6"/>
          <w:sz w:val="28"/>
          <w:szCs w:val="28"/>
          <w:highlight w:val="none"/>
          <w:u w:val="single" w:color="auto"/>
        </w:rPr>
        <w:t xml:space="preserve">     </w:t>
      </w:r>
      <w:r>
        <w:rPr>
          <w:rFonts w:ascii="黑体" w:hAnsi="黑体" w:eastAsia="黑体" w:cs="黑体"/>
          <w:color w:val="auto"/>
          <w:spacing w:val="-10"/>
          <w:sz w:val="28"/>
          <w:szCs w:val="28"/>
          <w:highlight w:val="none"/>
        </w:rPr>
        <w:t>年</w:t>
      </w:r>
      <w:r>
        <w:rPr>
          <w:rFonts w:ascii="黑体" w:hAnsi="黑体" w:eastAsia="黑体" w:cs="黑体"/>
          <w:color w:val="auto"/>
          <w:spacing w:val="-138"/>
          <w:sz w:val="28"/>
          <w:szCs w:val="28"/>
          <w:highlight w:val="none"/>
        </w:rPr>
        <w:t xml:space="preserve"> </w:t>
      </w:r>
      <w:r>
        <w:rPr>
          <w:rFonts w:ascii="黑体" w:hAnsi="黑体" w:eastAsia="黑体" w:cs="黑体"/>
          <w:color w:val="auto"/>
          <w:spacing w:val="6"/>
          <w:sz w:val="28"/>
          <w:szCs w:val="28"/>
          <w:highlight w:val="none"/>
          <w:u w:val="single" w:color="auto"/>
        </w:rPr>
        <w:t xml:space="preserve">     </w:t>
      </w:r>
      <w:r>
        <w:rPr>
          <w:rFonts w:ascii="黑体" w:hAnsi="黑体" w:eastAsia="黑体" w:cs="黑体"/>
          <w:color w:val="auto"/>
          <w:spacing w:val="-120"/>
          <w:sz w:val="28"/>
          <w:szCs w:val="28"/>
          <w:highlight w:val="none"/>
        </w:rPr>
        <w:t xml:space="preserve"> </w:t>
      </w:r>
      <w:r>
        <w:rPr>
          <w:rFonts w:ascii="黑体" w:hAnsi="黑体" w:eastAsia="黑体" w:cs="黑体"/>
          <w:color w:val="auto"/>
          <w:spacing w:val="-10"/>
          <w:sz w:val="28"/>
          <w:szCs w:val="28"/>
          <w:highlight w:val="none"/>
        </w:rPr>
        <w:t>月</w:t>
      </w:r>
      <w:r>
        <w:rPr>
          <w:rFonts w:ascii="黑体" w:hAnsi="黑体" w:eastAsia="黑体" w:cs="黑体"/>
          <w:color w:val="auto"/>
          <w:spacing w:val="-138"/>
          <w:sz w:val="28"/>
          <w:szCs w:val="28"/>
          <w:highlight w:val="none"/>
        </w:rPr>
        <w:t xml:space="preserve"> </w:t>
      </w:r>
      <w:r>
        <w:rPr>
          <w:rFonts w:ascii="黑体" w:hAnsi="黑体" w:eastAsia="黑体" w:cs="黑体"/>
          <w:color w:val="auto"/>
          <w:spacing w:val="6"/>
          <w:sz w:val="28"/>
          <w:szCs w:val="28"/>
          <w:highlight w:val="none"/>
          <w:u w:val="single" w:color="auto"/>
        </w:rPr>
        <w:t xml:space="preserve">     </w:t>
      </w:r>
      <w:r>
        <w:rPr>
          <w:rFonts w:ascii="黑体" w:hAnsi="黑体" w:eastAsia="黑体" w:cs="黑体"/>
          <w:color w:val="auto"/>
          <w:spacing w:val="-83"/>
          <w:sz w:val="28"/>
          <w:szCs w:val="28"/>
          <w:highlight w:val="none"/>
        </w:rPr>
        <w:t xml:space="preserve"> </w:t>
      </w:r>
      <w:r>
        <w:rPr>
          <w:rFonts w:ascii="黑体" w:hAnsi="黑体" w:eastAsia="黑体" w:cs="黑体"/>
          <w:color w:val="auto"/>
          <w:spacing w:val="-10"/>
          <w:sz w:val="28"/>
          <w:szCs w:val="28"/>
          <w:highlight w:val="none"/>
        </w:rPr>
        <w:t>日</w:t>
      </w:r>
      <w:r>
        <w:rPr>
          <w:rFonts w:hint="eastAsia" w:ascii="宋体" w:hAnsi="宋体" w:eastAsia="宋体" w:cs="宋体"/>
          <w:color w:val="auto"/>
          <w:highlight w:val="none"/>
        </w:rPr>
        <w:br w:type="page"/>
      </w:r>
    </w:p>
    <w:p>
      <w:pPr>
        <w:keepNext/>
        <w:keepLines/>
        <w:widowControl/>
        <w:spacing w:line="360" w:lineRule="auto"/>
        <w:jc w:val="center"/>
        <w:outlineLvl w:val="1"/>
        <w:rPr>
          <w:rFonts w:hint="eastAsia" w:ascii="宋体" w:hAnsi="宋体" w:eastAsia="宋体" w:cs="宋体"/>
          <w:b/>
          <w:color w:val="auto"/>
          <w:kern w:val="0"/>
          <w:sz w:val="32"/>
          <w:szCs w:val="20"/>
          <w:highlight w:val="none"/>
        </w:rPr>
      </w:pPr>
      <w:bookmarkStart w:id="128" w:name="_Toc7454666"/>
      <w:bookmarkStart w:id="129" w:name="_Toc508788697"/>
      <w:bookmarkStart w:id="130" w:name="_Toc25513671"/>
      <w:bookmarkStart w:id="131" w:name="_Toc19186"/>
      <w:bookmarkStart w:id="132" w:name="_Toc3660"/>
      <w:bookmarkStart w:id="133" w:name="_Toc7889"/>
      <w:r>
        <w:rPr>
          <w:rFonts w:hint="eastAsia" w:ascii="宋体" w:hAnsi="宋体" w:eastAsia="宋体" w:cs="宋体"/>
          <w:b/>
          <w:color w:val="auto"/>
          <w:kern w:val="0"/>
          <w:sz w:val="32"/>
          <w:szCs w:val="20"/>
          <w:highlight w:val="none"/>
        </w:rPr>
        <w:t>目录</w:t>
      </w:r>
      <w:bookmarkEnd w:id="128"/>
      <w:bookmarkEnd w:id="129"/>
      <w:bookmarkEnd w:id="130"/>
      <w:bookmarkEnd w:id="131"/>
      <w:bookmarkEnd w:id="132"/>
      <w:bookmarkEnd w:id="133"/>
    </w:p>
    <w:p>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一、投标函及投标函附录</w:t>
      </w:r>
    </w:p>
    <w:p>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二、法定代表人（单位负责人）身份证明（适用于无委托代理人的情况）、授权委托书（适用于有委托代理人的情况）</w:t>
      </w:r>
    </w:p>
    <w:p>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、投标保证金</w:t>
      </w:r>
    </w:p>
    <w:p>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、商务和技术偏差表</w:t>
      </w:r>
    </w:p>
    <w:p>
      <w:pPr>
        <w:widowControl/>
        <w:spacing w:line="360" w:lineRule="auto"/>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五</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分项报价表</w:t>
      </w:r>
    </w:p>
    <w:p>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六、资格审查资料</w:t>
      </w:r>
    </w:p>
    <w:p>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七、企业商务部分资料</w:t>
      </w:r>
    </w:p>
    <w:p>
      <w:pPr>
        <w:widowControl/>
        <w:spacing w:line="360" w:lineRule="auto"/>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八、企业</w:t>
      </w:r>
      <w:r>
        <w:rPr>
          <w:rFonts w:hint="eastAsia" w:ascii="宋体" w:hAnsi="宋体" w:cs="宋体"/>
          <w:color w:val="auto"/>
          <w:sz w:val="24"/>
          <w:szCs w:val="24"/>
          <w:highlight w:val="none"/>
          <w:lang w:val="en-US" w:eastAsia="zh-CN"/>
        </w:rPr>
        <w:t>技术</w:t>
      </w:r>
      <w:r>
        <w:rPr>
          <w:rFonts w:hint="eastAsia" w:ascii="宋体" w:hAnsi="宋体" w:eastAsia="宋体" w:cs="宋体"/>
          <w:color w:val="auto"/>
          <w:sz w:val="24"/>
          <w:szCs w:val="24"/>
          <w:highlight w:val="none"/>
        </w:rPr>
        <w:t>部分资料</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包括但不限于</w:t>
      </w:r>
      <w:r>
        <w:rPr>
          <w:rFonts w:hint="eastAsia" w:ascii="宋体" w:hAnsi="宋体" w:eastAsia="宋体" w:cs="宋体"/>
          <w:color w:val="auto"/>
          <w:sz w:val="24"/>
          <w:szCs w:val="24"/>
          <w:highlight w:val="none"/>
        </w:rPr>
        <w:t>投标设备技术性能指标的详细描述</w:t>
      </w:r>
      <w:r>
        <w:rPr>
          <w:rFonts w:hint="eastAsia" w:ascii="宋体" w:hAnsi="宋体" w:eastAsia="宋体" w:cs="宋体"/>
          <w:color w:val="auto"/>
          <w:sz w:val="24"/>
          <w:szCs w:val="24"/>
          <w:highlight w:val="none"/>
          <w:lang w:val="en-US" w:eastAsia="zh-CN"/>
        </w:rPr>
        <w:t>及技术支持资料</w:t>
      </w:r>
      <w:r>
        <w:rPr>
          <w:rFonts w:hint="eastAsia" w:ascii="宋体" w:hAnsi="宋体" w:cs="宋体"/>
          <w:color w:val="auto"/>
          <w:sz w:val="24"/>
          <w:szCs w:val="24"/>
          <w:highlight w:val="none"/>
          <w:lang w:val="en-US" w:eastAsia="zh-CN"/>
        </w:rPr>
        <w:t>等</w:t>
      </w:r>
      <w:r>
        <w:rPr>
          <w:rFonts w:hint="eastAsia" w:ascii="宋体" w:hAnsi="宋体" w:cs="宋体"/>
          <w:color w:val="auto"/>
          <w:sz w:val="24"/>
          <w:szCs w:val="24"/>
          <w:highlight w:val="none"/>
          <w:lang w:eastAsia="zh-CN"/>
        </w:rPr>
        <w:t>）</w:t>
      </w:r>
    </w:p>
    <w:p>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九、其他资料</w:t>
      </w:r>
    </w:p>
    <w:p>
      <w:pPr>
        <w:widowControl/>
        <w:spacing w:line="2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keepNext/>
        <w:keepLines/>
        <w:widowControl/>
        <w:spacing w:line="360" w:lineRule="auto"/>
        <w:jc w:val="center"/>
        <w:outlineLvl w:val="1"/>
        <w:rPr>
          <w:rFonts w:hint="eastAsia" w:ascii="宋体" w:hAnsi="宋体" w:eastAsia="宋体" w:cs="宋体"/>
          <w:color w:val="auto"/>
          <w:kern w:val="0"/>
          <w:sz w:val="22"/>
          <w:szCs w:val="20"/>
          <w:highlight w:val="none"/>
        </w:rPr>
      </w:pPr>
      <w:bookmarkStart w:id="134" w:name="_Toc25513672"/>
      <w:bookmarkStart w:id="135" w:name="_Toc132"/>
      <w:bookmarkStart w:id="136" w:name="_Toc508788698"/>
      <w:bookmarkStart w:id="137" w:name="_Toc2010"/>
      <w:bookmarkStart w:id="138" w:name="_Toc12873"/>
      <w:bookmarkStart w:id="139" w:name="_Toc7454667"/>
      <w:r>
        <w:rPr>
          <w:rFonts w:hint="eastAsia" w:ascii="宋体" w:hAnsi="宋体" w:eastAsia="宋体" w:cs="宋体"/>
          <w:b/>
          <w:color w:val="auto"/>
          <w:kern w:val="0"/>
          <w:sz w:val="32"/>
          <w:szCs w:val="20"/>
          <w:highlight w:val="none"/>
        </w:rPr>
        <w:t>一、投标函及投标函附录</w:t>
      </w:r>
      <w:bookmarkEnd w:id="134"/>
      <w:bookmarkEnd w:id="135"/>
      <w:bookmarkEnd w:id="136"/>
      <w:bookmarkEnd w:id="137"/>
      <w:bookmarkEnd w:id="138"/>
      <w:bookmarkEnd w:id="139"/>
    </w:p>
    <w:p>
      <w:pPr>
        <w:rPr>
          <w:rFonts w:hint="eastAsia" w:ascii="宋体" w:hAnsi="宋体" w:eastAsia="宋体" w:cs="宋体"/>
          <w:b/>
          <w:color w:val="auto"/>
          <w:kern w:val="0"/>
          <w:sz w:val="24"/>
          <w:szCs w:val="24"/>
          <w:highlight w:val="none"/>
        </w:rPr>
      </w:pPr>
      <w:bookmarkStart w:id="140" w:name="_Toc391394111"/>
      <w:bookmarkStart w:id="141" w:name="_Toc359594235"/>
      <w:bookmarkStart w:id="142" w:name="_Toc7454668"/>
      <w:bookmarkStart w:id="143" w:name="_Toc492300721"/>
      <w:bookmarkStart w:id="144" w:name="_Toc482188651"/>
      <w:bookmarkStart w:id="145" w:name="_Toc25543"/>
      <w:bookmarkStart w:id="146" w:name="_Toc370676426"/>
      <w:bookmarkStart w:id="147" w:name="_Toc385943065"/>
      <w:bookmarkStart w:id="148" w:name="_Toc508788699"/>
      <w:r>
        <w:rPr>
          <w:rFonts w:hint="eastAsia" w:ascii="宋体" w:hAnsi="宋体" w:eastAsia="宋体" w:cs="宋体"/>
          <w:b/>
          <w:color w:val="auto"/>
          <w:kern w:val="0"/>
          <w:sz w:val="24"/>
          <w:szCs w:val="24"/>
          <w:highlight w:val="none"/>
        </w:rPr>
        <w:t>（一）投标函</w:t>
      </w:r>
      <w:bookmarkEnd w:id="140"/>
      <w:bookmarkEnd w:id="141"/>
      <w:bookmarkEnd w:id="142"/>
      <w:bookmarkEnd w:id="143"/>
      <w:bookmarkEnd w:id="144"/>
      <w:bookmarkEnd w:id="145"/>
      <w:bookmarkEnd w:id="146"/>
      <w:bookmarkEnd w:id="147"/>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（招标人名称）：</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1．我方已仔细研究了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（项目名称）招标文件的全部内容，愿意以人民币（大写）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）的投标总报价，提供本招标项所有设备及技术服务和质保期服务，并按合同约定履行义务。</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我方的投标文件包括下列内容：</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（1）投标函及投标函附录；</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（2）法定代表人（单位负责人）身份证明（适用于有委托代理人的情况）</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授权委托书（适用于有委托代理人的情况）；</w:t>
      </w:r>
    </w:p>
    <w:p>
      <w:pPr>
        <w:widowControl/>
        <w:spacing w:line="360" w:lineRule="auto"/>
        <w:ind w:firstLine="480" w:firstLineChars="200"/>
        <w:jc w:val="left"/>
        <w:rPr>
          <w:rFonts w:hint="eastAsia" w:ascii="宋体" w:hAnsi="宋体" w:eastAsia="宋体" w:cs="宋体"/>
          <w:strike w:val="0"/>
          <w:color w:val="auto"/>
          <w:sz w:val="24"/>
          <w:szCs w:val="24"/>
          <w:highlight w:val="none"/>
        </w:rPr>
      </w:pPr>
      <w:r>
        <w:rPr>
          <w:rFonts w:hint="eastAsia" w:ascii="宋体" w:hAnsi="宋体" w:eastAsia="宋体" w:cs="宋体"/>
          <w:strike w:val="0"/>
          <w:color w:val="auto"/>
          <w:sz w:val="24"/>
          <w:szCs w:val="24"/>
          <w:highlight w:val="none"/>
        </w:rPr>
        <w:t>（3）</w:t>
      </w:r>
      <w:r>
        <w:rPr>
          <w:rFonts w:hint="eastAsia" w:ascii="宋体" w:hAnsi="宋体" w:eastAsia="宋体" w:cs="宋体"/>
          <w:color w:val="auto"/>
          <w:sz w:val="24"/>
          <w:szCs w:val="24"/>
          <w:highlight w:val="none"/>
        </w:rPr>
        <w:t>投标保证金</w:t>
      </w:r>
      <w:r>
        <w:rPr>
          <w:rFonts w:hint="eastAsia" w:ascii="宋体" w:hAnsi="宋体" w:eastAsia="宋体" w:cs="宋体"/>
          <w:strike w:val="0"/>
          <w:color w:val="auto"/>
          <w:sz w:val="24"/>
          <w:szCs w:val="24"/>
          <w:highlight w:val="none"/>
        </w:rPr>
        <w:t>；</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（4）商务和技术偏差表；</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cs="宋体"/>
          <w:color w:val="auto"/>
          <w:sz w:val="24"/>
          <w:szCs w:val="24"/>
          <w:highlight w:val="none"/>
          <w:lang w:eastAsia="zh-CN"/>
        </w:rPr>
        <w:t>分项报价表</w:t>
      </w:r>
      <w:r>
        <w:rPr>
          <w:rFonts w:hint="eastAsia" w:ascii="宋体" w:hAnsi="宋体" w:eastAsia="宋体" w:cs="宋体"/>
          <w:color w:val="auto"/>
          <w:sz w:val="24"/>
          <w:szCs w:val="24"/>
          <w:highlight w:val="none"/>
        </w:rPr>
        <w:t xml:space="preserve">； </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（6）资格审查资料； </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（7）企业商务部分资料； </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u w:val="single"/>
        </w:rPr>
        <w:t>企业技术部分资料（包括但不限于投标设备技术性能指标的详细描述及技术支持资料等）</w:t>
      </w:r>
      <w:r>
        <w:rPr>
          <w:rFonts w:hint="eastAsia" w:ascii="宋体" w:hAnsi="宋体" w:eastAsia="宋体" w:cs="宋体"/>
          <w:color w:val="auto"/>
          <w:sz w:val="24"/>
          <w:szCs w:val="24"/>
          <w:highlight w:val="none"/>
        </w:rPr>
        <w:t xml:space="preserve">； </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（9）其他资料</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rPr>
        <w:t xml:space="preserve"> </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投标文件的上述组成部分如存在内容不一致的，以投标函为准。</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3．我方承诺除商务和技术偏差表列出的偏差外，我方响应招标文件的全部要求。 </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4．我方承诺在招标文件规定的投标有效期内不撤销投标文件。 </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5．如我方中标，我方承诺： </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（1）在收到中标通知书后，在中标通知书规定的期限内与你方签订合同； </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（2）在签订合同时不向你方提出附加条件； </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（3）按照招标文件要求提交履约保证金； </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（4）在合同约定的期限内完成合同规定的全部义务。 </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6．我方在此声明，所递交的投标文件及有关资料内容完整、真实和准确，且不存在第二章“投标人须知”第 1.4.3 项规定的任何一种情形。</w:t>
      </w:r>
    </w:p>
    <w:p>
      <w:pPr>
        <w:widowControl/>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（其他补充说明）</w:t>
      </w:r>
    </w:p>
    <w:p>
      <w:pPr>
        <w:widowControl/>
        <w:spacing w:line="360" w:lineRule="auto"/>
        <w:ind w:firstLine="480" w:firstLineChars="200"/>
        <w:jc w:val="left"/>
        <w:rPr>
          <w:rFonts w:hint="eastAsia" w:ascii="宋体" w:hAnsi="宋体" w:eastAsia="宋体" w:cs="宋体"/>
          <w:color w:val="auto"/>
          <w:sz w:val="24"/>
          <w:szCs w:val="24"/>
          <w:highlight w:val="none"/>
        </w:rPr>
      </w:pPr>
      <w:bookmarkStart w:id="149" w:name="_Toc16824"/>
      <w:bookmarkEnd w:id="149"/>
      <w:bookmarkStart w:id="150" w:name="_Toc369531696"/>
      <w:bookmarkEnd w:id="150"/>
      <w:bookmarkStart w:id="151" w:name="_Toc16568"/>
      <w:bookmarkEnd w:id="151"/>
      <w:bookmarkStart w:id="152" w:name="_Toc352691659"/>
      <w:bookmarkEnd w:id="152"/>
      <w:bookmarkStart w:id="153" w:name="_Toc369531695"/>
      <w:bookmarkEnd w:id="153"/>
      <w:bookmarkStart w:id="154" w:name="_Toc352691660"/>
      <w:bookmarkEnd w:id="154"/>
    </w:p>
    <w:p>
      <w:pPr>
        <w:widowControl/>
        <w:spacing w:line="360" w:lineRule="auto"/>
        <w:ind w:firstLine="480" w:firstLineChars="200"/>
        <w:jc w:val="left"/>
        <w:rPr>
          <w:rFonts w:hint="eastAsia" w:ascii="宋体" w:hAnsi="宋体" w:eastAsia="宋体" w:cs="宋体"/>
          <w:color w:val="auto"/>
          <w:sz w:val="24"/>
          <w:szCs w:val="24"/>
          <w:highlight w:val="none"/>
        </w:rPr>
      </w:pP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（盖单位章）</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（签字或盖章）</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网址：</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p>
    <w:p>
      <w:pPr>
        <w:widowControl/>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邮政编码：</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    月    日</w:t>
      </w:r>
      <w:bookmarkEnd w:id="148"/>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rPr>
          <w:rFonts w:hint="eastAsia" w:ascii="宋体" w:hAnsi="宋体" w:eastAsia="宋体" w:cs="宋体"/>
          <w:b/>
          <w:color w:val="auto"/>
          <w:kern w:val="0"/>
          <w:sz w:val="24"/>
          <w:szCs w:val="24"/>
          <w:highlight w:val="none"/>
        </w:rPr>
      </w:pPr>
      <w:bookmarkStart w:id="155" w:name="_Toc28358"/>
      <w:bookmarkStart w:id="156" w:name="_Toc508788700"/>
      <w:bookmarkStart w:id="157" w:name="_Toc7454669"/>
      <w:r>
        <w:rPr>
          <w:rFonts w:hint="eastAsia" w:ascii="宋体" w:hAnsi="宋体" w:eastAsia="宋体" w:cs="宋体"/>
          <w:b/>
          <w:color w:val="auto"/>
          <w:kern w:val="0"/>
          <w:sz w:val="24"/>
          <w:szCs w:val="24"/>
          <w:highlight w:val="none"/>
        </w:rPr>
        <w:t>（二）投标函附录</w:t>
      </w:r>
      <w:bookmarkEnd w:id="155"/>
      <w:bookmarkEnd w:id="156"/>
      <w:bookmarkEnd w:id="157"/>
    </w:p>
    <w:tbl>
      <w:tblPr>
        <w:tblStyle w:val="33"/>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2382"/>
        <w:gridCol w:w="4209"/>
        <w:gridCol w:w="1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09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color w:val="auto"/>
                <w:highlight w:val="none"/>
              </w:rPr>
            </w:pPr>
            <w:r>
              <w:rPr>
                <w:rFonts w:hint="eastAsia" w:ascii="宋体" w:hAnsi="宋体" w:eastAsia="宋体" w:cs="宋体"/>
                <w:b/>
                <w:color w:val="auto"/>
                <w:highlight w:val="none"/>
              </w:rPr>
              <w:t>序号</w:t>
            </w:r>
          </w:p>
        </w:tc>
        <w:tc>
          <w:tcPr>
            <w:tcW w:w="238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color w:val="auto"/>
                <w:highlight w:val="none"/>
              </w:rPr>
            </w:pPr>
            <w:r>
              <w:rPr>
                <w:rFonts w:hint="eastAsia" w:ascii="宋体" w:hAnsi="宋体" w:eastAsia="宋体" w:cs="宋体"/>
                <w:b/>
                <w:color w:val="auto"/>
                <w:highlight w:val="none"/>
              </w:rPr>
              <w:t>条款名称</w:t>
            </w:r>
          </w:p>
        </w:tc>
        <w:tc>
          <w:tcPr>
            <w:tcW w:w="4209"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b/>
                <w:color w:val="auto"/>
                <w:highlight w:val="none"/>
                <w:lang w:val="en-US" w:eastAsia="zh-CN"/>
              </w:rPr>
            </w:pPr>
            <w:r>
              <w:rPr>
                <w:rFonts w:hint="eastAsia" w:ascii="宋体" w:hAnsi="宋体" w:cs="宋体"/>
                <w:b/>
                <w:color w:val="auto"/>
                <w:highlight w:val="none"/>
                <w:lang w:val="en-US" w:eastAsia="zh-CN"/>
              </w:rPr>
              <w:t>投标人响应情况</w:t>
            </w:r>
          </w:p>
        </w:tc>
        <w:tc>
          <w:tcPr>
            <w:tcW w:w="110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color w:val="auto"/>
                <w:highlight w:val="none"/>
              </w:rPr>
            </w:pPr>
            <w:r>
              <w:rPr>
                <w:rFonts w:hint="eastAsia" w:ascii="宋体" w:hAnsi="宋体" w:eastAsia="宋体" w:cs="宋体"/>
                <w:b/>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09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color w:val="auto"/>
                <w:highlight w:val="none"/>
              </w:rPr>
            </w:pPr>
            <w:r>
              <w:rPr>
                <w:rFonts w:hint="eastAsia" w:ascii="宋体" w:hAnsi="宋体" w:eastAsia="宋体" w:cs="宋体"/>
                <w:b/>
                <w:color w:val="auto"/>
                <w:highlight w:val="none"/>
              </w:rPr>
              <w:t>1</w:t>
            </w:r>
          </w:p>
        </w:tc>
        <w:tc>
          <w:tcPr>
            <w:tcW w:w="238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color w:val="auto"/>
                <w:highlight w:val="none"/>
              </w:rPr>
            </w:pPr>
            <w:r>
              <w:rPr>
                <w:rFonts w:hint="eastAsia" w:ascii="宋体" w:hAnsi="宋体" w:eastAsia="宋体" w:cs="宋体"/>
                <w:b/>
                <w:color w:val="auto"/>
                <w:highlight w:val="none"/>
              </w:rPr>
              <w:t>交货期</w:t>
            </w:r>
          </w:p>
        </w:tc>
        <w:tc>
          <w:tcPr>
            <w:tcW w:w="42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color w:val="auto"/>
                <w:highlight w:val="none"/>
              </w:rPr>
            </w:pPr>
          </w:p>
        </w:tc>
        <w:tc>
          <w:tcPr>
            <w:tcW w:w="110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09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color w:val="auto"/>
                <w:highlight w:val="none"/>
              </w:rPr>
            </w:pPr>
            <w:r>
              <w:rPr>
                <w:rFonts w:hint="eastAsia" w:ascii="宋体" w:hAnsi="宋体" w:eastAsia="宋体" w:cs="宋体"/>
                <w:b/>
                <w:color w:val="auto"/>
                <w:highlight w:val="none"/>
              </w:rPr>
              <w:t>2</w:t>
            </w:r>
          </w:p>
        </w:tc>
        <w:tc>
          <w:tcPr>
            <w:tcW w:w="238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color w:val="auto"/>
                <w:highlight w:val="none"/>
              </w:rPr>
            </w:pPr>
            <w:r>
              <w:rPr>
                <w:rFonts w:hint="eastAsia" w:ascii="宋体" w:hAnsi="宋体" w:eastAsia="宋体" w:cs="宋体"/>
                <w:b/>
                <w:color w:val="auto"/>
                <w:highlight w:val="none"/>
              </w:rPr>
              <w:t>交货地点</w:t>
            </w:r>
          </w:p>
        </w:tc>
        <w:tc>
          <w:tcPr>
            <w:tcW w:w="42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color w:val="auto"/>
                <w:highlight w:val="none"/>
              </w:rPr>
            </w:pPr>
          </w:p>
        </w:tc>
        <w:tc>
          <w:tcPr>
            <w:tcW w:w="110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109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color w:val="auto"/>
                <w:highlight w:val="none"/>
              </w:rPr>
            </w:pPr>
            <w:r>
              <w:rPr>
                <w:rFonts w:hint="eastAsia" w:ascii="宋体" w:hAnsi="宋体" w:eastAsia="宋体" w:cs="宋体"/>
                <w:b/>
                <w:color w:val="auto"/>
                <w:highlight w:val="none"/>
              </w:rPr>
              <w:t>3</w:t>
            </w:r>
          </w:p>
        </w:tc>
        <w:tc>
          <w:tcPr>
            <w:tcW w:w="238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color w:val="auto"/>
                <w:highlight w:val="none"/>
              </w:rPr>
            </w:pPr>
            <w:r>
              <w:rPr>
                <w:rFonts w:hint="eastAsia" w:ascii="宋体" w:hAnsi="宋体" w:eastAsia="宋体" w:cs="宋体"/>
                <w:b/>
                <w:color w:val="auto"/>
                <w:highlight w:val="none"/>
              </w:rPr>
              <w:t>技术性能指标</w:t>
            </w:r>
          </w:p>
        </w:tc>
        <w:tc>
          <w:tcPr>
            <w:tcW w:w="42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color w:val="auto"/>
                <w:highlight w:val="none"/>
              </w:rPr>
            </w:pPr>
          </w:p>
        </w:tc>
        <w:tc>
          <w:tcPr>
            <w:tcW w:w="110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09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color w:val="auto"/>
                <w:highlight w:val="none"/>
              </w:rPr>
            </w:pPr>
            <w:r>
              <w:rPr>
                <w:rFonts w:hint="eastAsia" w:ascii="宋体" w:hAnsi="宋体" w:eastAsia="宋体" w:cs="宋体"/>
                <w:b/>
                <w:color w:val="auto"/>
                <w:highlight w:val="none"/>
              </w:rPr>
              <w:t>4</w:t>
            </w:r>
          </w:p>
        </w:tc>
        <w:tc>
          <w:tcPr>
            <w:tcW w:w="238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color w:val="auto"/>
                <w:highlight w:val="none"/>
              </w:rPr>
            </w:pPr>
            <w:r>
              <w:rPr>
                <w:rFonts w:hint="eastAsia" w:ascii="宋体" w:hAnsi="宋体" w:eastAsia="宋体" w:cs="宋体"/>
                <w:b/>
                <w:color w:val="auto"/>
                <w:highlight w:val="none"/>
              </w:rPr>
              <w:t>投标有效期</w:t>
            </w:r>
          </w:p>
        </w:tc>
        <w:tc>
          <w:tcPr>
            <w:tcW w:w="42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color w:val="auto"/>
                <w:highlight w:val="none"/>
              </w:rPr>
            </w:pPr>
          </w:p>
        </w:tc>
        <w:tc>
          <w:tcPr>
            <w:tcW w:w="110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color w:val="auto"/>
                <w:highlight w:val="none"/>
              </w:rPr>
            </w:pPr>
          </w:p>
        </w:tc>
      </w:tr>
    </w:tbl>
    <w:p>
      <w:pPr>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 标 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（盖单位章）</w:t>
      </w:r>
    </w:p>
    <w:p>
      <w:pPr>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（签字或盖章）</w:t>
      </w:r>
    </w:p>
    <w:p>
      <w:pPr>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spacing w:line="240" w:lineRule="exact"/>
        <w:jc w:val="right"/>
        <w:rPr>
          <w:rFonts w:hint="eastAsia" w:ascii="宋体" w:hAnsi="宋体" w:eastAsia="宋体" w:cs="宋体"/>
          <w:b/>
          <w:color w:val="auto"/>
          <w:kern w:val="0"/>
          <w:sz w:val="24"/>
          <w:szCs w:val="24"/>
          <w:highlight w:val="none"/>
        </w:rPr>
      </w:pPr>
      <w:r>
        <w:rPr>
          <w:rFonts w:hint="eastAsia" w:ascii="宋体" w:hAnsi="宋体" w:eastAsia="宋体" w:cs="宋体"/>
          <w:color w:val="auto"/>
          <w:sz w:val="24"/>
          <w:szCs w:val="24"/>
          <w:highlight w:val="none"/>
        </w:rPr>
        <w:br w:type="page"/>
      </w:r>
    </w:p>
    <w:p>
      <w:pPr>
        <w:keepNext/>
        <w:keepLines/>
        <w:widowControl/>
        <w:spacing w:line="360" w:lineRule="auto"/>
        <w:jc w:val="center"/>
        <w:outlineLvl w:val="1"/>
        <w:rPr>
          <w:rFonts w:hint="eastAsia" w:ascii="宋体" w:hAnsi="宋体" w:eastAsia="宋体" w:cs="宋体"/>
          <w:color w:val="auto"/>
          <w:kern w:val="0"/>
          <w:sz w:val="32"/>
          <w:szCs w:val="20"/>
          <w:highlight w:val="none"/>
        </w:rPr>
      </w:pPr>
      <w:bookmarkStart w:id="158" w:name="_Toc508788701"/>
      <w:bookmarkStart w:id="159" w:name="_Toc4275"/>
      <w:bookmarkStart w:id="160" w:name="_Toc25513673"/>
      <w:bookmarkStart w:id="161" w:name="_Toc11331"/>
      <w:bookmarkStart w:id="162" w:name="_Toc11621"/>
      <w:bookmarkStart w:id="163" w:name="_Toc7454670"/>
      <w:r>
        <w:rPr>
          <w:rFonts w:hint="eastAsia" w:ascii="宋体" w:hAnsi="宋体" w:eastAsia="宋体" w:cs="宋体"/>
          <w:b/>
          <w:color w:val="auto"/>
          <w:kern w:val="0"/>
          <w:sz w:val="32"/>
          <w:szCs w:val="20"/>
          <w:highlight w:val="none"/>
        </w:rPr>
        <w:t>二、法定代表人（单位负责人）身份证明</w:t>
      </w:r>
      <w:bookmarkEnd w:id="158"/>
      <w:bookmarkEnd w:id="159"/>
      <w:bookmarkEnd w:id="160"/>
      <w:bookmarkEnd w:id="161"/>
      <w:bookmarkEnd w:id="162"/>
      <w:bookmarkEnd w:id="163"/>
    </w:p>
    <w:p>
      <w:pPr>
        <w:widowControl/>
        <w:spacing w:line="360" w:lineRule="auto"/>
        <w:jc w:val="left"/>
        <w:rPr>
          <w:rFonts w:hint="eastAsia" w:ascii="宋体" w:hAnsi="宋体" w:eastAsia="宋体" w:cs="宋体"/>
          <w:color w:val="auto"/>
          <w:sz w:val="24"/>
          <w:szCs w:val="24"/>
          <w:highlight w:val="none"/>
        </w:rPr>
      </w:pP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r>
        <w:rPr>
          <w:rFonts w:hint="eastAsia" w:ascii="宋体" w:hAnsi="宋体" w:eastAsia="宋体" w:cs="宋体"/>
          <w:color w:val="auto"/>
          <w:sz w:val="24"/>
          <w:szCs w:val="24"/>
          <w:highlight w:val="none"/>
          <w:u w:val="single" w:color="000000"/>
        </w:rPr>
        <w:t xml:space="preserve">                </w:t>
      </w:r>
      <w:r>
        <w:rPr>
          <w:rFonts w:hint="eastAsia" w:ascii="宋体" w:hAnsi="宋体" w:eastAsia="宋体" w:cs="宋体"/>
          <w:color w:val="auto"/>
          <w:sz w:val="24"/>
          <w:szCs w:val="24"/>
          <w:highlight w:val="none"/>
        </w:rPr>
        <w:t>性别：</w:t>
      </w:r>
      <w:r>
        <w:rPr>
          <w:rFonts w:hint="eastAsia" w:ascii="宋体" w:hAnsi="宋体" w:eastAsia="宋体" w:cs="宋体"/>
          <w:color w:val="auto"/>
          <w:sz w:val="24"/>
          <w:szCs w:val="24"/>
          <w:highlight w:val="none"/>
          <w:u w:val="single" w:color="000000"/>
        </w:rPr>
        <w:t xml:space="preserve">        </w:t>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color="000000"/>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color="000000"/>
        </w:rPr>
        <w:t xml:space="preserve">        </w:t>
      </w:r>
      <w:r>
        <w:rPr>
          <w:rFonts w:hint="eastAsia" w:ascii="宋体" w:hAnsi="宋体" w:eastAsia="宋体" w:cs="宋体"/>
          <w:color w:val="auto"/>
          <w:sz w:val="24"/>
          <w:szCs w:val="24"/>
          <w:highlight w:val="none"/>
        </w:rPr>
        <w:t xml:space="preserve"> 系</w:t>
      </w:r>
      <w:r>
        <w:rPr>
          <w:rFonts w:hint="eastAsia" w:ascii="宋体" w:hAnsi="宋体" w:eastAsia="宋体" w:cs="宋体"/>
          <w:color w:val="auto"/>
          <w:sz w:val="24"/>
          <w:szCs w:val="24"/>
          <w:highlight w:val="none"/>
          <w:u w:val="single" w:color="000000"/>
        </w:rPr>
        <w:t xml:space="preserve">                        </w:t>
      </w:r>
      <w:r>
        <w:rPr>
          <w:rFonts w:hint="eastAsia" w:ascii="宋体" w:hAnsi="宋体" w:eastAsia="宋体" w:cs="宋体"/>
          <w:color w:val="auto"/>
          <w:sz w:val="24"/>
          <w:szCs w:val="24"/>
          <w:highlight w:val="none"/>
        </w:rPr>
        <w:t xml:space="preserve">（投标人名称）的法定代表人。 </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pPr>
        <w:widowControl/>
        <w:spacing w:line="360" w:lineRule="auto"/>
        <w:ind w:firstLine="480" w:firstLineChars="200"/>
        <w:jc w:val="left"/>
        <w:rPr>
          <w:rFonts w:hint="eastAsia" w:ascii="宋体" w:hAnsi="宋体" w:eastAsia="宋体" w:cs="宋体"/>
          <w:color w:val="auto"/>
          <w:sz w:val="24"/>
          <w:szCs w:val="24"/>
          <w:highlight w:val="none"/>
        </w:rPr>
      </w:pP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附：法定代表人身份证</w:t>
      </w:r>
      <w:r>
        <w:rPr>
          <w:rFonts w:hint="eastAsia" w:ascii="宋体" w:hAnsi="宋体" w:cs="宋体"/>
          <w:color w:val="auto"/>
          <w:sz w:val="24"/>
          <w:szCs w:val="24"/>
          <w:highlight w:val="none"/>
          <w:u w:val="single"/>
          <w:lang w:eastAsia="zh-CN"/>
        </w:rPr>
        <w:t>扫描件（</w:t>
      </w:r>
      <w:r>
        <w:rPr>
          <w:rFonts w:hint="eastAsia" w:ascii="宋体" w:hAnsi="宋体" w:cs="宋体"/>
          <w:color w:val="auto"/>
          <w:sz w:val="24"/>
          <w:szCs w:val="24"/>
          <w:highlight w:val="none"/>
          <w:u w:val="single"/>
          <w:lang w:val="en-US" w:eastAsia="zh-CN"/>
        </w:rPr>
        <w:t>正反面</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rPr>
        <w:t>。</w:t>
      </w:r>
    </w:p>
    <w:p>
      <w:pPr>
        <w:widowControl/>
        <w:spacing w:line="360" w:lineRule="auto"/>
        <w:ind w:firstLine="480" w:firstLineChars="200"/>
        <w:jc w:val="left"/>
        <w:rPr>
          <w:rFonts w:hint="eastAsia" w:ascii="宋体" w:hAnsi="宋体" w:eastAsia="宋体" w:cs="宋体"/>
          <w:color w:val="auto"/>
          <w:sz w:val="24"/>
          <w:szCs w:val="24"/>
          <w:highlight w:val="none"/>
        </w:rPr>
      </w:pPr>
    </w:p>
    <w:p>
      <w:pPr>
        <w:widowControl/>
        <w:spacing w:line="360" w:lineRule="auto"/>
        <w:jc w:val="left"/>
        <w:rPr>
          <w:rFonts w:hint="eastAsia" w:ascii="宋体" w:hAnsi="宋体" w:eastAsia="宋体" w:cs="宋体"/>
          <w:color w:val="auto"/>
          <w:sz w:val="24"/>
          <w:szCs w:val="24"/>
          <w:highlight w:val="none"/>
        </w:rPr>
      </w:pPr>
    </w:p>
    <w:p>
      <w:pPr>
        <w:widowControl/>
        <w:spacing w:line="360" w:lineRule="auto"/>
        <w:jc w:val="left"/>
        <w:rPr>
          <w:rFonts w:hint="eastAsia" w:ascii="宋体" w:hAnsi="宋体" w:eastAsia="宋体" w:cs="宋体"/>
          <w:color w:val="auto"/>
          <w:sz w:val="24"/>
          <w:szCs w:val="24"/>
          <w:highlight w:val="none"/>
        </w:rPr>
      </w:pPr>
    </w:p>
    <w:p>
      <w:pPr>
        <w:widowControl/>
        <w:tabs>
          <w:tab w:val="center" w:pos="2956"/>
          <w:tab w:val="center" w:pos="7052"/>
        </w:tabs>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color="000000"/>
        </w:rPr>
        <w:tab/>
      </w:r>
      <w:r>
        <w:rPr>
          <w:rFonts w:hint="eastAsia" w:ascii="宋体" w:hAnsi="宋体" w:eastAsia="宋体" w:cs="宋体"/>
          <w:color w:val="auto"/>
          <w:sz w:val="24"/>
          <w:szCs w:val="24"/>
          <w:highlight w:val="none"/>
        </w:rPr>
        <w:t>（盖单位章）</w:t>
      </w:r>
    </w:p>
    <w:p>
      <w:pPr>
        <w:widowControl/>
        <w:spacing w:line="360" w:lineRule="auto"/>
        <w:jc w:val="left"/>
        <w:rPr>
          <w:rFonts w:hint="eastAsia" w:ascii="宋体" w:hAnsi="宋体" w:eastAsia="宋体" w:cs="宋体"/>
          <w:color w:val="auto"/>
          <w:sz w:val="24"/>
          <w:szCs w:val="24"/>
          <w:highlight w:val="none"/>
        </w:rPr>
      </w:pPr>
    </w:p>
    <w:p>
      <w:pPr>
        <w:widowControl/>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color="000000"/>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color="000000"/>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color="000000"/>
        </w:rPr>
        <w:t xml:space="preserve">      </w:t>
      </w:r>
      <w:r>
        <w:rPr>
          <w:rFonts w:hint="eastAsia" w:ascii="宋体" w:hAnsi="宋体" w:eastAsia="宋体" w:cs="宋体"/>
          <w:color w:val="auto"/>
          <w:sz w:val="24"/>
          <w:szCs w:val="24"/>
          <w:highlight w:val="none"/>
        </w:rPr>
        <w:t>日</w:t>
      </w:r>
    </w:p>
    <w:p>
      <w:pPr>
        <w:widowControl/>
        <w:spacing w:after="192" w:line="240" w:lineRule="exact"/>
        <w:jc w:val="left"/>
        <w:rPr>
          <w:rFonts w:hint="eastAsia" w:ascii="宋体" w:hAnsi="宋体" w:eastAsia="宋体" w:cs="宋体"/>
          <w:color w:val="auto"/>
          <w:sz w:val="22"/>
          <w:highlight w:val="none"/>
        </w:rPr>
      </w:pPr>
      <w:r>
        <w:rPr>
          <w:rFonts w:hint="eastAsia" w:ascii="宋体" w:hAnsi="宋体" w:eastAsia="宋体" w:cs="宋体"/>
          <w:color w:val="auto"/>
          <w:sz w:val="20"/>
          <w:highlight w:val="none"/>
        </w:rPr>
        <w:br w:type="page"/>
      </w:r>
    </w:p>
    <w:p>
      <w:pPr>
        <w:keepNext/>
        <w:keepLines/>
        <w:widowControl/>
        <w:spacing w:line="360" w:lineRule="auto"/>
        <w:jc w:val="center"/>
        <w:outlineLvl w:val="1"/>
        <w:rPr>
          <w:rFonts w:hint="eastAsia" w:ascii="宋体" w:hAnsi="宋体" w:eastAsia="宋体" w:cs="宋体"/>
          <w:b/>
          <w:color w:val="auto"/>
          <w:kern w:val="0"/>
          <w:sz w:val="32"/>
          <w:szCs w:val="20"/>
          <w:highlight w:val="none"/>
        </w:rPr>
      </w:pPr>
      <w:bookmarkStart w:id="164" w:name="_Toc1009"/>
      <w:bookmarkStart w:id="165" w:name="_Toc508788702"/>
      <w:bookmarkStart w:id="166" w:name="_Toc16449"/>
      <w:bookmarkStart w:id="167" w:name="_Toc25513674"/>
      <w:bookmarkStart w:id="168" w:name="_Toc6371"/>
      <w:bookmarkStart w:id="169" w:name="_Toc7454671"/>
      <w:r>
        <w:rPr>
          <w:rFonts w:hint="eastAsia" w:ascii="宋体" w:hAnsi="宋体" w:eastAsia="宋体" w:cs="宋体"/>
          <w:b/>
          <w:color w:val="auto"/>
          <w:kern w:val="0"/>
          <w:sz w:val="32"/>
          <w:szCs w:val="20"/>
          <w:highlight w:val="none"/>
        </w:rPr>
        <w:t>二、授权委托书</w:t>
      </w:r>
      <w:bookmarkEnd w:id="164"/>
      <w:bookmarkEnd w:id="165"/>
      <w:bookmarkEnd w:id="166"/>
      <w:bookmarkEnd w:id="167"/>
      <w:bookmarkEnd w:id="168"/>
      <w:bookmarkEnd w:id="169"/>
    </w:p>
    <w:p>
      <w:pPr>
        <w:widowControl/>
        <w:spacing w:line="360" w:lineRule="auto"/>
        <w:ind w:firstLine="480" w:firstLineChars="200"/>
        <w:jc w:val="left"/>
        <w:rPr>
          <w:rFonts w:hint="eastAsia" w:ascii="宋体" w:hAnsi="宋体" w:eastAsia="宋体" w:cs="宋体"/>
          <w:color w:val="auto"/>
          <w:sz w:val="24"/>
          <w:szCs w:val="24"/>
          <w:highlight w:val="none"/>
        </w:rPr>
      </w:pPr>
    </w:p>
    <w:p>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u w:val="single" w:color="000000"/>
        </w:rPr>
        <w:t xml:space="preserve">              </w:t>
      </w:r>
      <w:r>
        <w:rPr>
          <w:rFonts w:hint="eastAsia" w:ascii="宋体" w:hAnsi="宋体" w:eastAsia="宋体" w:cs="宋体"/>
          <w:color w:val="auto"/>
          <w:sz w:val="24"/>
          <w:szCs w:val="24"/>
          <w:highlight w:val="none"/>
        </w:rPr>
        <w:t>（姓名）系</w:t>
      </w:r>
      <w:r>
        <w:rPr>
          <w:rFonts w:hint="eastAsia" w:ascii="宋体" w:hAnsi="宋体" w:eastAsia="宋体" w:cs="宋体"/>
          <w:color w:val="auto"/>
          <w:sz w:val="24"/>
          <w:szCs w:val="24"/>
          <w:highlight w:val="none"/>
          <w:u w:val="single" w:color="000000"/>
        </w:rPr>
        <w:t xml:space="preserve">              </w:t>
      </w:r>
      <w:r>
        <w:rPr>
          <w:rFonts w:hint="eastAsia" w:ascii="宋体" w:hAnsi="宋体" w:eastAsia="宋体" w:cs="宋体"/>
          <w:color w:val="auto"/>
          <w:sz w:val="24"/>
          <w:szCs w:val="24"/>
          <w:highlight w:val="none"/>
        </w:rPr>
        <w:t>（投标人名称）的法定代表人，现委托</w:t>
      </w:r>
      <w:r>
        <w:rPr>
          <w:rFonts w:hint="eastAsia" w:ascii="宋体" w:hAnsi="宋体" w:eastAsia="宋体" w:cs="宋体"/>
          <w:color w:val="auto"/>
          <w:sz w:val="24"/>
          <w:szCs w:val="24"/>
          <w:highlight w:val="none"/>
          <w:u w:val="single" w:color="000000"/>
        </w:rPr>
        <w:t xml:space="preserve">              </w:t>
      </w:r>
      <w:r>
        <w:rPr>
          <w:rFonts w:hint="eastAsia" w:ascii="宋体" w:hAnsi="宋体" w:eastAsia="宋体" w:cs="宋体"/>
          <w:color w:val="auto"/>
          <w:sz w:val="24"/>
          <w:szCs w:val="24"/>
          <w:highlight w:val="none"/>
        </w:rPr>
        <w:t>（姓名）为我方代理人。代理人根据授权，以我方名义签署、澄清确认、递交、撤回、修改</w:t>
      </w:r>
      <w:r>
        <w:rPr>
          <w:rFonts w:hint="eastAsia" w:ascii="宋体" w:hAnsi="宋体" w:eastAsia="宋体" w:cs="宋体"/>
          <w:color w:val="auto"/>
          <w:sz w:val="24"/>
          <w:szCs w:val="24"/>
          <w:highlight w:val="none"/>
          <w:u w:val="none"/>
        </w:rPr>
        <w:t>本</w:t>
      </w:r>
      <w:r>
        <w:rPr>
          <w:rFonts w:hint="eastAsia" w:ascii="宋体" w:hAnsi="宋体" w:eastAsia="宋体" w:cs="宋体"/>
          <w:color w:val="auto"/>
          <w:sz w:val="24"/>
          <w:szCs w:val="24"/>
          <w:highlight w:val="none"/>
        </w:rPr>
        <w:t>招标项目</w:t>
      </w:r>
      <w:r>
        <w:rPr>
          <w:rFonts w:hint="eastAsia" w:ascii="宋体" w:hAnsi="宋体" w:cs="宋体"/>
          <w:color w:val="auto"/>
          <w:sz w:val="24"/>
          <w:szCs w:val="24"/>
          <w:highlight w:val="none"/>
          <w:u w:val="single"/>
          <w:lang w:eastAsia="zh-CN"/>
        </w:rPr>
        <w:t>潮州市危险废弃物安全处置中心医废车间主设备采购</w:t>
      </w:r>
      <w:r>
        <w:rPr>
          <w:rFonts w:hint="eastAsia" w:ascii="宋体" w:hAnsi="宋体" w:eastAsia="宋体" w:cs="宋体"/>
          <w:color w:val="auto"/>
          <w:sz w:val="24"/>
          <w:szCs w:val="24"/>
          <w:highlight w:val="none"/>
        </w:rPr>
        <w:t>投标文件、签订合同和处理有关事宜，其法律后果由我方承担。</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委托期限：</w:t>
      </w:r>
      <w:r>
        <w:rPr>
          <w:rFonts w:hint="eastAsia" w:ascii="宋体" w:hAnsi="宋体" w:eastAsia="宋体" w:cs="宋体"/>
          <w:color w:val="auto"/>
          <w:sz w:val="24"/>
          <w:szCs w:val="24"/>
          <w:highlight w:val="none"/>
          <w:u w:val="single" w:color="000000"/>
        </w:rPr>
        <w:t xml:space="preserve">                            </w:t>
      </w:r>
      <w:r>
        <w:rPr>
          <w:rFonts w:hint="eastAsia" w:ascii="宋体" w:hAnsi="宋体" w:eastAsia="宋体" w:cs="宋体"/>
          <w:color w:val="auto"/>
          <w:sz w:val="24"/>
          <w:szCs w:val="24"/>
          <w:highlight w:val="none"/>
        </w:rPr>
        <w:t>。</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代理人无转委托权。</w:t>
      </w:r>
    </w:p>
    <w:p>
      <w:pPr>
        <w:widowControl/>
        <w:spacing w:line="360" w:lineRule="auto"/>
        <w:ind w:firstLine="480" w:firstLineChars="200"/>
        <w:jc w:val="left"/>
        <w:rPr>
          <w:rFonts w:hint="eastAsia" w:ascii="宋体" w:hAnsi="宋体" w:eastAsia="宋体" w:cs="宋体"/>
          <w:color w:val="auto"/>
          <w:sz w:val="24"/>
          <w:szCs w:val="24"/>
          <w:highlight w:val="none"/>
        </w:rPr>
      </w:pPr>
    </w:p>
    <w:p>
      <w:pPr>
        <w:widowControl/>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附：委托代理人身份证</w:t>
      </w:r>
      <w:r>
        <w:rPr>
          <w:rFonts w:hint="eastAsia" w:ascii="宋体" w:hAnsi="宋体" w:cs="宋体"/>
          <w:color w:val="auto"/>
          <w:sz w:val="24"/>
          <w:szCs w:val="24"/>
          <w:highlight w:val="none"/>
          <w:u w:val="single"/>
          <w:lang w:eastAsia="zh-CN"/>
        </w:rPr>
        <w:t>扫描件（</w:t>
      </w:r>
      <w:r>
        <w:rPr>
          <w:rFonts w:hint="eastAsia" w:ascii="宋体" w:hAnsi="宋体" w:cs="宋体"/>
          <w:color w:val="auto"/>
          <w:sz w:val="24"/>
          <w:szCs w:val="24"/>
          <w:highlight w:val="none"/>
          <w:u w:val="single"/>
          <w:lang w:val="en-US" w:eastAsia="zh-CN"/>
        </w:rPr>
        <w:t>正反面</w:t>
      </w:r>
      <w:r>
        <w:rPr>
          <w:rFonts w:hint="eastAsia" w:ascii="宋体" w:hAnsi="宋体" w:cs="宋体"/>
          <w:color w:val="auto"/>
          <w:sz w:val="24"/>
          <w:szCs w:val="24"/>
          <w:highlight w:val="none"/>
          <w:u w:val="single"/>
          <w:lang w:eastAsia="zh-CN"/>
        </w:rPr>
        <w:t>）</w:t>
      </w:r>
    </w:p>
    <w:p>
      <w:pPr>
        <w:widowControl/>
        <w:spacing w:line="360" w:lineRule="auto"/>
        <w:ind w:firstLine="480" w:firstLineChars="200"/>
        <w:jc w:val="left"/>
        <w:rPr>
          <w:rFonts w:hint="eastAsia" w:ascii="宋体" w:hAnsi="宋体" w:eastAsia="宋体" w:cs="宋体"/>
          <w:color w:val="auto"/>
          <w:sz w:val="24"/>
          <w:szCs w:val="24"/>
          <w:highlight w:val="none"/>
        </w:rPr>
      </w:pP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注：本授权委托书需由投标人加盖单位公章并</w:t>
      </w:r>
      <w:r>
        <w:rPr>
          <w:rFonts w:hint="eastAsia" w:ascii="宋体" w:hAnsi="宋体" w:eastAsia="宋体" w:cs="宋体"/>
          <w:color w:val="auto"/>
          <w:sz w:val="24"/>
          <w:szCs w:val="24"/>
          <w:highlight w:val="none"/>
          <w:em w:val="dot"/>
        </w:rPr>
        <w:t>由其法定代表人签字或盖章</w:t>
      </w:r>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  标  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（盖单位章）</w:t>
      </w: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widowControl/>
        <w:tabs>
          <w:tab w:val="center" w:pos="5120"/>
          <w:tab w:val="center" w:pos="9417"/>
        </w:tabs>
        <w:spacing w:after="151" w:line="259" w:lineRule="auto"/>
        <w:jc w:val="left"/>
        <w:rPr>
          <w:rFonts w:hint="eastAsia" w:ascii="宋体" w:hAnsi="宋体" w:eastAsia="宋体" w:cs="宋体"/>
          <w:color w:val="auto"/>
          <w:sz w:val="22"/>
          <w:highlight w:val="none"/>
        </w:rPr>
      </w:pPr>
      <w:r>
        <w:rPr>
          <w:rFonts w:hint="eastAsia" w:ascii="宋体" w:hAnsi="宋体" w:eastAsia="宋体" w:cs="宋体"/>
          <w:color w:val="auto"/>
          <w:sz w:val="24"/>
          <w:szCs w:val="24"/>
          <w:highlight w:val="none"/>
        </w:rPr>
        <w:br w:type="page"/>
      </w:r>
    </w:p>
    <w:p>
      <w:pPr>
        <w:keepNext/>
        <w:keepLines/>
        <w:widowControl/>
        <w:spacing w:line="360" w:lineRule="auto"/>
        <w:jc w:val="center"/>
        <w:outlineLvl w:val="1"/>
        <w:rPr>
          <w:rFonts w:hint="eastAsia" w:ascii="宋体" w:hAnsi="宋体" w:eastAsia="宋体" w:cs="宋体"/>
          <w:b/>
          <w:color w:val="auto"/>
          <w:kern w:val="0"/>
          <w:sz w:val="32"/>
          <w:szCs w:val="20"/>
          <w:highlight w:val="none"/>
        </w:rPr>
      </w:pPr>
      <w:bookmarkStart w:id="170" w:name="_Toc25513676"/>
      <w:bookmarkStart w:id="171" w:name="_Toc16579"/>
      <w:bookmarkStart w:id="172" w:name="_Toc28148"/>
      <w:bookmarkStart w:id="173" w:name="_Toc508788704"/>
      <w:bookmarkStart w:id="174" w:name="_Toc7454673"/>
      <w:bookmarkStart w:id="175" w:name="_Toc11835"/>
      <w:r>
        <w:rPr>
          <w:rFonts w:hint="eastAsia" w:ascii="宋体" w:hAnsi="宋体" w:eastAsia="宋体" w:cs="宋体"/>
          <w:b/>
          <w:color w:val="auto"/>
          <w:kern w:val="0"/>
          <w:sz w:val="32"/>
          <w:szCs w:val="20"/>
          <w:highlight w:val="none"/>
          <w:lang w:val="en-US" w:eastAsia="zh-CN"/>
        </w:rPr>
        <w:t>三</w:t>
      </w:r>
      <w:r>
        <w:rPr>
          <w:rFonts w:hint="eastAsia" w:ascii="宋体" w:hAnsi="宋体" w:eastAsia="宋体" w:cs="宋体"/>
          <w:b/>
          <w:color w:val="auto"/>
          <w:kern w:val="0"/>
          <w:sz w:val="32"/>
          <w:szCs w:val="20"/>
          <w:highlight w:val="none"/>
        </w:rPr>
        <w:t>、投标保证金</w:t>
      </w:r>
      <w:bookmarkEnd w:id="170"/>
      <w:bookmarkEnd w:id="171"/>
      <w:bookmarkEnd w:id="172"/>
      <w:bookmarkEnd w:id="173"/>
      <w:bookmarkEnd w:id="174"/>
      <w:bookmarkEnd w:id="175"/>
    </w:p>
    <w:p>
      <w:pPr>
        <w:rPr>
          <w:rFonts w:hint="eastAsia" w:ascii="宋体" w:hAnsi="宋体" w:cs="宋体"/>
          <w:color w:val="auto"/>
          <w:highlight w:val="none"/>
          <w:lang w:eastAsia="zh-CN"/>
        </w:rPr>
      </w:pPr>
    </w:p>
    <w:p>
      <w:pPr>
        <w:spacing w:line="400" w:lineRule="exact"/>
        <w:rPr>
          <w:rFonts w:hint="eastAsia" w:ascii="宋体" w:hAnsi="宋体" w:cs="宋体"/>
          <w:color w:val="auto"/>
          <w:highlight w:val="none"/>
          <w:lang w:eastAsia="zh-CN"/>
        </w:rPr>
      </w:pPr>
      <w:r>
        <w:rPr>
          <w:rFonts w:hint="eastAsia" w:ascii="宋体" w:hAnsi="宋体" w:cs="宋体"/>
          <w:color w:val="auto"/>
          <w:highlight w:val="none"/>
          <w:lang w:eastAsia="zh-CN"/>
        </w:rPr>
        <w:t>注意：</w:t>
      </w:r>
    </w:p>
    <w:p>
      <w:pPr>
        <w:spacing w:line="400" w:lineRule="exact"/>
        <w:jc w:val="left"/>
        <w:rPr>
          <w:rFonts w:hint="eastAsia" w:ascii="宋体" w:hAnsi="宋体" w:cs="宋体"/>
          <w:b/>
          <w:bCs/>
          <w:color w:val="auto"/>
          <w:highlight w:val="none"/>
          <w:lang w:eastAsia="zh-CN"/>
        </w:rPr>
      </w:pPr>
      <w:r>
        <w:rPr>
          <w:rFonts w:hint="eastAsia" w:ascii="宋体" w:hAnsi="宋体" w:cs="宋体"/>
          <w:b/>
          <w:bCs/>
          <w:color w:val="auto"/>
          <w:highlight w:val="none"/>
          <w:lang w:eastAsia="zh-CN"/>
        </w:rPr>
        <w:t>1、</w:t>
      </w:r>
      <w:r>
        <w:rPr>
          <w:rFonts w:hint="eastAsia" w:ascii="宋体" w:hAnsi="宋体" w:cs="宋体"/>
          <w:b/>
          <w:bCs/>
          <w:color w:val="auto"/>
          <w:szCs w:val="21"/>
          <w:highlight w:val="none"/>
          <w:lang w:eastAsia="zh-CN"/>
        </w:rPr>
        <w:t>如采用转账形式提交的，</w:t>
      </w:r>
      <w:r>
        <w:rPr>
          <w:rFonts w:hint="eastAsia" w:ascii="宋体" w:hAnsi="宋体" w:cs="宋体"/>
          <w:b/>
          <w:bCs/>
          <w:color w:val="auto"/>
          <w:highlight w:val="none"/>
          <w:lang w:eastAsia="zh-CN"/>
        </w:rPr>
        <w:t>投标人须提供基本账户开户许可证扫描件或有效的基本账户证明文件扫描件；</w:t>
      </w:r>
    </w:p>
    <w:p>
      <w:pPr>
        <w:widowControl/>
        <w:spacing w:after="0" w:line="400" w:lineRule="exact"/>
        <w:ind w:right="0"/>
        <w:jc w:val="left"/>
        <w:rPr>
          <w:rFonts w:hint="eastAsia" w:ascii="宋体" w:hAnsi="宋体" w:eastAsia="宋体" w:cs="宋体"/>
          <w:b/>
          <w:bCs/>
          <w:color w:val="auto"/>
          <w:sz w:val="21"/>
          <w:szCs w:val="21"/>
          <w:highlight w:val="none"/>
        </w:rPr>
      </w:pPr>
      <w:r>
        <w:rPr>
          <w:rFonts w:hint="eastAsia" w:ascii="宋体" w:hAnsi="宋体" w:eastAsia="宋体" w:cs="宋体"/>
          <w:b/>
          <w:bCs/>
          <w:color w:val="auto"/>
          <w:kern w:val="2"/>
          <w:sz w:val="21"/>
          <w:szCs w:val="21"/>
          <w:highlight w:val="none"/>
          <w:lang w:eastAsia="zh-CN"/>
        </w:rPr>
        <w:t>2、如采用非电子形式的银行</w:t>
      </w:r>
      <w:bookmarkStart w:id="176" w:name="_Toc44231988"/>
      <w:r>
        <w:rPr>
          <w:rFonts w:hint="eastAsia" w:ascii="宋体" w:hAnsi="宋体" w:eastAsia="宋体" w:cs="宋体"/>
          <w:b/>
          <w:bCs/>
          <w:color w:val="auto"/>
          <w:kern w:val="2"/>
          <w:sz w:val="21"/>
          <w:szCs w:val="21"/>
          <w:highlight w:val="none"/>
          <w:lang w:eastAsia="zh-CN"/>
        </w:rPr>
        <w:t>保函、专业工程</w:t>
      </w:r>
      <w:bookmarkEnd w:id="176"/>
      <w:r>
        <w:rPr>
          <w:rFonts w:hint="eastAsia" w:ascii="宋体" w:hAnsi="宋体" w:eastAsia="宋体" w:cs="宋体"/>
          <w:b/>
          <w:bCs/>
          <w:color w:val="auto"/>
          <w:kern w:val="2"/>
          <w:sz w:val="21"/>
          <w:szCs w:val="21"/>
          <w:highlight w:val="none"/>
          <w:lang w:eastAsia="zh-CN"/>
        </w:rPr>
        <w:t>担保公司担保或保证保险提交投标保证金的，须在开标当天递交密封完好的银行保函、专业工程担保公司担保或保证保险的纸质原件。</w:t>
      </w:r>
    </w:p>
    <w:p>
      <w:pPr>
        <w:widowControl/>
        <w:spacing w:line="259" w:lineRule="auto"/>
        <w:ind w:left="2160"/>
        <w:jc w:val="left"/>
        <w:rPr>
          <w:rFonts w:hint="eastAsia" w:ascii="宋体" w:hAnsi="宋体" w:eastAsia="宋体" w:cs="宋体"/>
          <w:color w:val="auto"/>
          <w:highlight w:val="none"/>
        </w:rPr>
      </w:pPr>
    </w:p>
    <w:p>
      <w:pPr>
        <w:widowControl/>
        <w:spacing w:after="7" w:line="259" w:lineRule="auto"/>
        <w:ind w:left="420"/>
        <w:jc w:val="left"/>
        <w:rPr>
          <w:rFonts w:hint="eastAsia" w:ascii="宋体" w:hAnsi="宋体" w:eastAsia="宋体" w:cs="宋体"/>
          <w:color w:val="auto"/>
          <w:sz w:val="22"/>
          <w:highlight w:val="none"/>
        </w:rPr>
      </w:pPr>
      <w:r>
        <w:rPr>
          <w:rFonts w:hint="eastAsia" w:ascii="宋体" w:hAnsi="宋体" w:eastAsia="宋体" w:cs="宋体"/>
          <w:color w:val="auto"/>
          <w:highlight w:val="none"/>
        </w:rPr>
        <w:br w:type="page"/>
      </w:r>
    </w:p>
    <w:p>
      <w:pPr>
        <w:keepNext/>
        <w:keepLines/>
        <w:widowControl/>
        <w:spacing w:line="360" w:lineRule="auto"/>
        <w:jc w:val="center"/>
        <w:outlineLvl w:val="1"/>
        <w:rPr>
          <w:rFonts w:hint="eastAsia" w:ascii="宋体" w:hAnsi="宋体" w:eastAsia="宋体" w:cs="宋体"/>
          <w:b/>
          <w:color w:val="auto"/>
          <w:kern w:val="0"/>
          <w:sz w:val="32"/>
          <w:szCs w:val="20"/>
          <w:highlight w:val="none"/>
        </w:rPr>
      </w:pPr>
      <w:bookmarkStart w:id="177" w:name="_Toc520184746"/>
      <w:bookmarkStart w:id="178" w:name="_Toc7454674"/>
      <w:bookmarkStart w:id="179" w:name="_Toc3024"/>
      <w:bookmarkStart w:id="180" w:name="_Toc13819"/>
      <w:bookmarkStart w:id="181" w:name="_Toc25513677"/>
      <w:bookmarkStart w:id="182" w:name="_Toc13309"/>
      <w:r>
        <w:rPr>
          <w:rFonts w:hint="eastAsia" w:ascii="宋体" w:hAnsi="宋体" w:eastAsia="宋体" w:cs="宋体"/>
          <w:b/>
          <w:color w:val="auto"/>
          <w:kern w:val="0"/>
          <w:sz w:val="32"/>
          <w:szCs w:val="20"/>
          <w:highlight w:val="none"/>
          <w:lang w:val="en-US" w:eastAsia="zh-CN"/>
        </w:rPr>
        <w:t>四</w:t>
      </w:r>
      <w:r>
        <w:rPr>
          <w:rFonts w:hint="eastAsia" w:ascii="宋体" w:hAnsi="宋体" w:eastAsia="宋体" w:cs="宋体"/>
          <w:b/>
          <w:color w:val="auto"/>
          <w:kern w:val="0"/>
          <w:sz w:val="32"/>
          <w:szCs w:val="20"/>
          <w:highlight w:val="none"/>
        </w:rPr>
        <w:t>、</w:t>
      </w:r>
      <w:bookmarkEnd w:id="177"/>
      <w:bookmarkEnd w:id="178"/>
      <w:bookmarkEnd w:id="179"/>
      <w:r>
        <w:rPr>
          <w:rFonts w:hint="eastAsia" w:ascii="宋体" w:hAnsi="宋体" w:eastAsia="宋体" w:cs="宋体"/>
          <w:b/>
          <w:color w:val="auto"/>
          <w:kern w:val="0"/>
          <w:sz w:val="32"/>
          <w:szCs w:val="20"/>
          <w:highlight w:val="none"/>
        </w:rPr>
        <w:t>商务和技术偏差表</w:t>
      </w:r>
      <w:bookmarkEnd w:id="180"/>
      <w:bookmarkEnd w:id="181"/>
      <w:bookmarkEnd w:id="182"/>
    </w:p>
    <w:p>
      <w:pPr>
        <w:jc w:val="center"/>
        <w:rPr>
          <w:rFonts w:hint="eastAsia" w:ascii="宋体" w:hAnsi="宋体" w:eastAsia="宋体" w:cs="宋体"/>
          <w:b/>
          <w:bCs/>
          <w:color w:val="auto"/>
          <w:sz w:val="32"/>
          <w:szCs w:val="32"/>
          <w:highlight w:val="none"/>
        </w:rPr>
      </w:pPr>
    </w:p>
    <w:p>
      <w:pPr>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商务和技术偏差表</w:t>
      </w:r>
    </w:p>
    <w:tbl>
      <w:tblPr>
        <w:tblStyle w:val="33"/>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
        <w:gridCol w:w="2673"/>
        <w:gridCol w:w="3933"/>
        <w:gridCol w:w="1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trPr>
        <w:tc>
          <w:tcPr>
            <w:tcW w:w="908"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2673"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招标文件章节及条款号</w:t>
            </w:r>
          </w:p>
        </w:tc>
        <w:tc>
          <w:tcPr>
            <w:tcW w:w="3933"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投标文件章节及条款号</w:t>
            </w:r>
          </w:p>
        </w:tc>
        <w:tc>
          <w:tcPr>
            <w:tcW w:w="1728"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908" w:type="dxa"/>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673" w:type="dxa"/>
            <w:vAlign w:val="center"/>
          </w:tcPr>
          <w:p>
            <w:pPr>
              <w:rPr>
                <w:rFonts w:hint="eastAsia" w:ascii="宋体" w:hAnsi="宋体" w:eastAsia="宋体" w:cs="宋体"/>
                <w:color w:val="auto"/>
                <w:szCs w:val="21"/>
                <w:highlight w:val="none"/>
              </w:rPr>
            </w:pPr>
          </w:p>
        </w:tc>
        <w:tc>
          <w:tcPr>
            <w:tcW w:w="3933" w:type="dxa"/>
            <w:vAlign w:val="center"/>
          </w:tcPr>
          <w:p>
            <w:pPr>
              <w:rPr>
                <w:rFonts w:hint="eastAsia" w:ascii="宋体" w:hAnsi="宋体" w:eastAsia="宋体" w:cs="宋体"/>
                <w:color w:val="auto"/>
                <w:szCs w:val="21"/>
                <w:highlight w:val="none"/>
              </w:rPr>
            </w:pPr>
          </w:p>
        </w:tc>
        <w:tc>
          <w:tcPr>
            <w:tcW w:w="1728" w:type="dxa"/>
            <w:vAlign w:val="center"/>
          </w:tcPr>
          <w:p>
            <w:pP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08" w:type="dxa"/>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673" w:type="dxa"/>
            <w:vAlign w:val="center"/>
          </w:tcPr>
          <w:p>
            <w:pPr>
              <w:rPr>
                <w:rFonts w:hint="eastAsia" w:ascii="宋体" w:hAnsi="宋体" w:eastAsia="宋体" w:cs="宋体"/>
                <w:color w:val="auto"/>
                <w:szCs w:val="21"/>
                <w:highlight w:val="none"/>
              </w:rPr>
            </w:pPr>
          </w:p>
        </w:tc>
        <w:tc>
          <w:tcPr>
            <w:tcW w:w="3933" w:type="dxa"/>
            <w:vAlign w:val="center"/>
          </w:tcPr>
          <w:p>
            <w:pPr>
              <w:rPr>
                <w:rFonts w:hint="eastAsia" w:ascii="宋体" w:hAnsi="宋体" w:eastAsia="宋体" w:cs="宋体"/>
                <w:color w:val="auto"/>
                <w:szCs w:val="21"/>
                <w:highlight w:val="none"/>
              </w:rPr>
            </w:pPr>
          </w:p>
        </w:tc>
        <w:tc>
          <w:tcPr>
            <w:tcW w:w="1728" w:type="dxa"/>
            <w:vAlign w:val="center"/>
          </w:tcPr>
          <w:p>
            <w:pP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908" w:type="dxa"/>
            <w:vAlign w:val="center"/>
          </w:tcPr>
          <w:p>
            <w:pPr>
              <w:rPr>
                <w:rFonts w:hint="eastAsia" w:ascii="宋体" w:hAnsi="宋体" w:eastAsia="宋体" w:cs="宋体"/>
                <w:color w:val="auto"/>
                <w:szCs w:val="21"/>
                <w:highlight w:val="none"/>
              </w:rPr>
            </w:pPr>
          </w:p>
        </w:tc>
        <w:tc>
          <w:tcPr>
            <w:tcW w:w="2673" w:type="dxa"/>
            <w:vAlign w:val="center"/>
          </w:tcPr>
          <w:p>
            <w:pPr>
              <w:rPr>
                <w:rFonts w:hint="eastAsia" w:ascii="宋体" w:hAnsi="宋体" w:eastAsia="宋体" w:cs="宋体"/>
                <w:color w:val="auto"/>
                <w:szCs w:val="21"/>
                <w:highlight w:val="none"/>
              </w:rPr>
            </w:pPr>
          </w:p>
        </w:tc>
        <w:tc>
          <w:tcPr>
            <w:tcW w:w="3933" w:type="dxa"/>
            <w:vAlign w:val="center"/>
          </w:tcPr>
          <w:p>
            <w:pPr>
              <w:rPr>
                <w:rFonts w:hint="eastAsia" w:ascii="宋体" w:hAnsi="宋体" w:eastAsia="宋体" w:cs="宋体"/>
                <w:color w:val="auto"/>
                <w:szCs w:val="21"/>
                <w:highlight w:val="none"/>
              </w:rPr>
            </w:pPr>
          </w:p>
        </w:tc>
        <w:tc>
          <w:tcPr>
            <w:tcW w:w="1728" w:type="dxa"/>
            <w:vAlign w:val="center"/>
          </w:tcPr>
          <w:p>
            <w:pP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908" w:type="dxa"/>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673" w:type="dxa"/>
            <w:vAlign w:val="center"/>
          </w:tcPr>
          <w:p>
            <w:pPr>
              <w:rPr>
                <w:rFonts w:hint="eastAsia" w:ascii="宋体" w:hAnsi="宋体" w:eastAsia="宋体" w:cs="宋体"/>
                <w:color w:val="auto"/>
                <w:szCs w:val="21"/>
                <w:highlight w:val="none"/>
              </w:rPr>
            </w:pPr>
          </w:p>
        </w:tc>
        <w:tc>
          <w:tcPr>
            <w:tcW w:w="3933" w:type="dxa"/>
            <w:vAlign w:val="center"/>
          </w:tcPr>
          <w:p>
            <w:pPr>
              <w:rPr>
                <w:rFonts w:hint="eastAsia" w:ascii="宋体" w:hAnsi="宋体" w:eastAsia="宋体" w:cs="宋体"/>
                <w:color w:val="auto"/>
                <w:szCs w:val="21"/>
                <w:highlight w:val="none"/>
              </w:rPr>
            </w:pPr>
          </w:p>
        </w:tc>
        <w:tc>
          <w:tcPr>
            <w:tcW w:w="1728" w:type="dxa"/>
            <w:vAlign w:val="center"/>
          </w:tcPr>
          <w:p>
            <w:pPr>
              <w:rPr>
                <w:rFonts w:hint="eastAsia" w:ascii="宋体" w:hAnsi="宋体" w:eastAsia="宋体" w:cs="宋体"/>
                <w:color w:val="auto"/>
                <w:szCs w:val="21"/>
                <w:highlight w:val="none"/>
              </w:rPr>
            </w:pPr>
          </w:p>
        </w:tc>
      </w:tr>
    </w:tbl>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注：投标人保证：除商务和技术偏差表列出的偏差外，投标人响应招标文件的全部要求。</w:t>
      </w:r>
    </w:p>
    <w:p>
      <w:pPr>
        <w:spacing w:line="360" w:lineRule="auto"/>
        <w:ind w:left="0" w:right="0"/>
        <w:rPr>
          <w:rFonts w:hint="eastAsia" w:ascii="宋体" w:hAnsi="宋体" w:eastAsia="宋体" w:cs="宋体"/>
          <w:color w:val="auto"/>
          <w:sz w:val="24"/>
          <w:szCs w:val="24"/>
          <w:highlight w:val="none"/>
        </w:rPr>
      </w:pPr>
    </w:p>
    <w:p>
      <w:pPr>
        <w:spacing w:line="360" w:lineRule="auto"/>
        <w:ind w:left="0" w:right="0"/>
        <w:rPr>
          <w:rFonts w:hint="eastAsia" w:ascii="宋体" w:hAnsi="宋体" w:eastAsia="宋体" w:cs="宋体"/>
          <w:color w:val="auto"/>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（盖单位章）</w:t>
      </w:r>
    </w:p>
    <w:p>
      <w:pPr>
        <w:spacing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法定代表人或其授权代表签字或盖章：</w:t>
      </w:r>
      <w:r>
        <w:rPr>
          <w:rFonts w:hint="eastAsia" w:ascii="宋体" w:hAnsi="宋体" w:eastAsia="宋体" w:cs="宋体"/>
          <w:color w:val="auto"/>
          <w:sz w:val="24"/>
          <w:szCs w:val="24"/>
          <w:highlight w:val="none"/>
          <w:u w:val="single"/>
        </w:rPr>
        <w:t xml:space="preserve">               </w:t>
      </w:r>
    </w:p>
    <w:p>
      <w:pPr>
        <w:rPr>
          <w:color w:val="auto"/>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pPr>
        <w:keepNext w:val="0"/>
        <w:keepLines w:val="0"/>
        <w:widowControl/>
        <w:spacing w:line="360" w:lineRule="auto"/>
        <w:jc w:val="left"/>
        <w:outlineLvl w:val="9"/>
        <w:rPr>
          <w:rFonts w:hint="eastAsia" w:ascii="宋体" w:hAnsi="宋体" w:eastAsia="宋体" w:cs="宋体"/>
          <w:color w:val="auto"/>
          <w:sz w:val="24"/>
          <w:szCs w:val="24"/>
          <w:highlight w:val="none"/>
        </w:rPr>
        <w:sectPr>
          <w:footerReference r:id="rId10" w:type="default"/>
          <w:pgSz w:w="11907" w:h="16840"/>
          <w:pgMar w:top="1440" w:right="1080" w:bottom="1440" w:left="1080" w:header="851" w:footer="851" w:gutter="0"/>
          <w:pgNumType w:fmt="decimal"/>
          <w:cols w:space="720" w:num="1"/>
          <w:docGrid w:linePitch="312" w:charSpace="0"/>
        </w:sectPr>
      </w:pPr>
    </w:p>
    <w:p>
      <w:pPr>
        <w:keepNext w:val="0"/>
        <w:keepLines w:val="0"/>
        <w:widowControl/>
        <w:spacing w:line="360" w:lineRule="auto"/>
        <w:jc w:val="left"/>
        <w:outlineLvl w:val="9"/>
        <w:rPr>
          <w:color w:val="auto"/>
          <w:highlight w:val="none"/>
        </w:rPr>
      </w:pPr>
      <w:bookmarkStart w:id="183" w:name="_Toc7122"/>
      <w:bookmarkStart w:id="184" w:name="_Toc19048"/>
      <w:bookmarkStart w:id="185" w:name="_Toc25513678"/>
      <w:r>
        <w:rPr>
          <w:rFonts w:hint="eastAsia" w:ascii="宋体" w:hAnsi="宋体" w:eastAsia="宋体" w:cs="宋体"/>
          <w:b/>
          <w:color w:val="auto"/>
          <w:kern w:val="0"/>
          <w:sz w:val="32"/>
          <w:szCs w:val="20"/>
          <w:highlight w:val="none"/>
          <w:lang w:val="en-US" w:eastAsia="zh-CN"/>
        </w:rPr>
        <w:t>五</w:t>
      </w:r>
      <w:r>
        <w:rPr>
          <w:rFonts w:hint="eastAsia" w:ascii="宋体" w:hAnsi="宋体" w:eastAsia="宋体" w:cs="宋体"/>
          <w:b/>
          <w:color w:val="auto"/>
          <w:kern w:val="0"/>
          <w:sz w:val="32"/>
          <w:szCs w:val="20"/>
          <w:highlight w:val="none"/>
        </w:rPr>
        <w:t>、</w:t>
      </w:r>
      <w:bookmarkEnd w:id="183"/>
      <w:bookmarkEnd w:id="184"/>
      <w:bookmarkEnd w:id="185"/>
      <w:r>
        <w:rPr>
          <w:rFonts w:hint="eastAsia" w:ascii="宋体" w:hAnsi="宋体" w:eastAsia="宋体" w:cs="宋体"/>
          <w:b/>
          <w:color w:val="auto"/>
          <w:kern w:val="0"/>
          <w:sz w:val="32"/>
          <w:szCs w:val="20"/>
          <w:highlight w:val="none"/>
        </w:rPr>
        <w:t>分项报价表</w:t>
      </w:r>
    </w:p>
    <w:p>
      <w:pPr>
        <w:pStyle w:val="113"/>
        <w:spacing w:line="312" w:lineRule="auto"/>
        <w:outlineLvl w:val="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1、</w:t>
      </w:r>
      <w:r>
        <w:rPr>
          <w:rFonts w:hint="eastAsia" w:ascii="宋体" w:hAnsi="宋体" w:eastAsia="宋体" w:cs="宋体"/>
          <w:b/>
          <w:bCs/>
          <w:color w:val="auto"/>
          <w:sz w:val="28"/>
          <w:szCs w:val="28"/>
          <w:highlight w:val="none"/>
        </w:rPr>
        <w:t>报价清单</w:t>
      </w:r>
    </w:p>
    <w:p>
      <w:pPr>
        <w:pStyle w:val="18"/>
        <w:tabs>
          <w:tab w:val="left" w:pos="11340"/>
        </w:tabs>
        <w:spacing w:line="360" w:lineRule="auto"/>
        <w:ind w:right="48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项目名称：</w:t>
      </w:r>
      <w:r>
        <w:rPr>
          <w:rFonts w:hint="eastAsia" w:hAnsi="宋体" w:eastAsia="宋体" w:cs="宋体"/>
          <w:color w:val="auto"/>
          <w:sz w:val="24"/>
          <w:szCs w:val="24"/>
          <w:highlight w:val="none"/>
          <w:lang w:val="en-US" w:eastAsia="zh-CN"/>
        </w:rPr>
        <w:t xml:space="preserve"> </w:t>
      </w:r>
      <w:r>
        <w:rPr>
          <w:rFonts w:hint="eastAsia" w:hAnsi="宋体" w:eastAsia="宋体" w:cs="宋体"/>
          <w:color w:val="auto"/>
          <w:sz w:val="24"/>
          <w:szCs w:val="24"/>
          <w:highlight w:val="none"/>
        </w:rPr>
        <w:t xml:space="preserve">     </w:t>
      </w:r>
    </w:p>
    <w:p>
      <w:pPr>
        <w:pStyle w:val="18"/>
        <w:tabs>
          <w:tab w:val="left" w:pos="11340"/>
        </w:tabs>
        <w:spacing w:line="360" w:lineRule="auto"/>
        <w:ind w:right="48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 xml:space="preserve">项目编号：      </w:t>
      </w:r>
    </w:p>
    <w:p>
      <w:pPr>
        <w:pStyle w:val="18"/>
        <w:tabs>
          <w:tab w:val="left" w:pos="11340"/>
        </w:tabs>
        <w:spacing w:line="360" w:lineRule="auto"/>
        <w:ind w:right="480"/>
        <w:jc w:val="right"/>
        <w:rPr>
          <w:rFonts w:hint="eastAsia" w:hAnsi="宋体" w:eastAsia="宋体" w:cs="宋体"/>
          <w:color w:val="auto"/>
          <w:sz w:val="24"/>
          <w:szCs w:val="24"/>
          <w:highlight w:val="none"/>
        </w:rPr>
      </w:pPr>
      <w:r>
        <w:rPr>
          <w:rFonts w:hint="eastAsia" w:hAnsi="宋体" w:eastAsia="宋体" w:cs="宋体"/>
          <w:color w:val="auto"/>
          <w:sz w:val="24"/>
          <w:szCs w:val="24"/>
          <w:highlight w:val="none"/>
        </w:rPr>
        <w:t>货币单位：人民币元</w:t>
      </w:r>
    </w:p>
    <w:tbl>
      <w:tblPr>
        <w:tblStyle w:val="33"/>
        <w:tblW w:w="14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1403"/>
        <w:gridCol w:w="5466"/>
        <w:gridCol w:w="669"/>
        <w:gridCol w:w="740"/>
        <w:gridCol w:w="2485"/>
        <w:gridCol w:w="1524"/>
        <w:gridCol w:w="1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tblHeader/>
          <w:jc w:val="center"/>
        </w:trPr>
        <w:tc>
          <w:tcPr>
            <w:tcW w:w="784" w:type="dxa"/>
            <w:vAlign w:val="center"/>
          </w:tcPr>
          <w:p>
            <w:pPr>
              <w:widowControl/>
              <w:spacing w:line="240" w:lineRule="auto"/>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序号</w:t>
            </w:r>
          </w:p>
        </w:tc>
        <w:tc>
          <w:tcPr>
            <w:tcW w:w="1403" w:type="dxa"/>
            <w:vAlign w:val="center"/>
          </w:tcPr>
          <w:p>
            <w:pPr>
              <w:widowControl/>
              <w:spacing w:line="240" w:lineRule="auto"/>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物资名称</w:t>
            </w:r>
          </w:p>
        </w:tc>
        <w:tc>
          <w:tcPr>
            <w:tcW w:w="5466" w:type="dxa"/>
            <w:vAlign w:val="center"/>
          </w:tcPr>
          <w:p>
            <w:pPr>
              <w:widowControl/>
              <w:spacing w:line="240" w:lineRule="auto"/>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型号规格/参数</w:t>
            </w:r>
          </w:p>
        </w:tc>
        <w:tc>
          <w:tcPr>
            <w:tcW w:w="669" w:type="dxa"/>
            <w:vAlign w:val="center"/>
          </w:tcPr>
          <w:p>
            <w:pPr>
              <w:widowControl/>
              <w:spacing w:line="240" w:lineRule="auto"/>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单位</w:t>
            </w:r>
          </w:p>
        </w:tc>
        <w:tc>
          <w:tcPr>
            <w:tcW w:w="740" w:type="dxa"/>
            <w:vAlign w:val="center"/>
          </w:tcPr>
          <w:p>
            <w:pPr>
              <w:widowControl/>
              <w:spacing w:line="240" w:lineRule="auto"/>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数量</w:t>
            </w:r>
          </w:p>
        </w:tc>
        <w:tc>
          <w:tcPr>
            <w:tcW w:w="2485" w:type="dxa"/>
            <w:vAlign w:val="center"/>
          </w:tcPr>
          <w:p>
            <w:pPr>
              <w:widowControl/>
              <w:spacing w:line="240" w:lineRule="auto"/>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备注</w:t>
            </w:r>
          </w:p>
        </w:tc>
        <w:tc>
          <w:tcPr>
            <w:tcW w:w="1524" w:type="dxa"/>
            <w:vAlign w:val="center"/>
          </w:tcPr>
          <w:p>
            <w:pPr>
              <w:widowControl/>
              <w:spacing w:line="240" w:lineRule="auto"/>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lang w:val="en-US" w:eastAsia="zh-CN"/>
              </w:rPr>
              <w:t>单价</w:t>
            </w:r>
          </w:p>
        </w:tc>
        <w:tc>
          <w:tcPr>
            <w:tcW w:w="1094" w:type="dxa"/>
            <w:vAlign w:val="center"/>
          </w:tcPr>
          <w:p>
            <w:pPr>
              <w:widowControl/>
              <w:spacing w:line="240" w:lineRule="auto"/>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lang w:val="en-US"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blHeader/>
          <w:jc w:val="center"/>
        </w:trPr>
        <w:tc>
          <w:tcPr>
            <w:tcW w:w="784" w:type="dxa"/>
            <w:vAlign w:val="center"/>
          </w:tcPr>
          <w:p>
            <w:pPr>
              <w:widowControl/>
              <w:spacing w:line="240" w:lineRule="auto"/>
              <w:jc w:val="center"/>
              <w:rPr>
                <w:rFonts w:hint="eastAsia" w:asciiTheme="minorEastAsia" w:hAnsiTheme="minorEastAsia" w:eastAsiaTheme="minorEastAsia" w:cstheme="minorEastAsia"/>
                <w:b/>
                <w:color w:val="auto"/>
                <w:kern w:val="0"/>
                <w:sz w:val="21"/>
                <w:szCs w:val="21"/>
                <w:highlight w:val="none"/>
                <w:lang w:val="en-US" w:eastAsia="zh-CN"/>
              </w:rPr>
            </w:pPr>
            <w:r>
              <w:rPr>
                <w:rFonts w:hint="eastAsia" w:asciiTheme="minorEastAsia" w:hAnsiTheme="minorEastAsia" w:eastAsiaTheme="minorEastAsia" w:cstheme="minorEastAsia"/>
                <w:b/>
                <w:color w:val="auto"/>
                <w:kern w:val="0"/>
                <w:sz w:val="21"/>
                <w:szCs w:val="21"/>
                <w:highlight w:val="none"/>
                <w:lang w:val="en-US" w:eastAsia="zh-CN"/>
              </w:rPr>
              <w:t>一、</w:t>
            </w:r>
          </w:p>
        </w:tc>
        <w:tc>
          <w:tcPr>
            <w:tcW w:w="6869" w:type="dxa"/>
            <w:gridSpan w:val="2"/>
            <w:vAlign w:val="center"/>
          </w:tcPr>
          <w:p>
            <w:pPr>
              <w:widowControl/>
              <w:spacing w:line="240" w:lineRule="auto"/>
              <w:jc w:val="left"/>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医疗废物微波消毒处理设备</w:t>
            </w:r>
          </w:p>
        </w:tc>
        <w:tc>
          <w:tcPr>
            <w:tcW w:w="669" w:type="dxa"/>
            <w:vAlign w:val="center"/>
          </w:tcPr>
          <w:p>
            <w:pPr>
              <w:widowControl/>
              <w:spacing w:line="240" w:lineRule="auto"/>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lang w:val="en-US" w:eastAsia="zh-CN"/>
              </w:rPr>
              <w:t>批</w:t>
            </w:r>
          </w:p>
        </w:tc>
        <w:tc>
          <w:tcPr>
            <w:tcW w:w="740" w:type="dxa"/>
            <w:vAlign w:val="center"/>
          </w:tcPr>
          <w:p>
            <w:pPr>
              <w:widowControl/>
              <w:spacing w:line="240" w:lineRule="auto"/>
              <w:jc w:val="center"/>
              <w:rPr>
                <w:rFonts w:hint="eastAsia" w:asciiTheme="minorEastAsia" w:hAnsiTheme="minorEastAsia" w:eastAsiaTheme="minorEastAsia" w:cstheme="minorEastAsia"/>
                <w:b/>
                <w:color w:val="auto"/>
                <w:kern w:val="0"/>
                <w:sz w:val="21"/>
                <w:szCs w:val="21"/>
                <w:highlight w:val="none"/>
                <w:lang w:val="en-US" w:eastAsia="zh-CN"/>
              </w:rPr>
            </w:pPr>
            <w:r>
              <w:rPr>
                <w:rFonts w:hint="eastAsia" w:asciiTheme="minorEastAsia" w:hAnsiTheme="minorEastAsia" w:eastAsiaTheme="minorEastAsia" w:cstheme="minorEastAsia"/>
                <w:b/>
                <w:color w:val="auto"/>
                <w:kern w:val="0"/>
                <w:sz w:val="21"/>
                <w:szCs w:val="21"/>
                <w:highlight w:val="none"/>
                <w:lang w:val="en-US" w:eastAsia="zh-CN"/>
              </w:rPr>
              <w:t>1</w:t>
            </w:r>
          </w:p>
        </w:tc>
        <w:tc>
          <w:tcPr>
            <w:tcW w:w="2485" w:type="dxa"/>
            <w:vAlign w:val="center"/>
          </w:tcPr>
          <w:p>
            <w:pPr>
              <w:widowControl/>
              <w:spacing w:line="240" w:lineRule="auto"/>
              <w:jc w:val="center"/>
              <w:rPr>
                <w:rFonts w:hint="eastAsia" w:asciiTheme="minorEastAsia" w:hAnsiTheme="minorEastAsia" w:eastAsiaTheme="minorEastAsia" w:cstheme="minorEastAsia"/>
                <w:b/>
                <w:color w:val="auto"/>
                <w:kern w:val="0"/>
                <w:sz w:val="21"/>
                <w:szCs w:val="21"/>
                <w:highlight w:val="none"/>
              </w:rPr>
            </w:pPr>
          </w:p>
        </w:tc>
        <w:tc>
          <w:tcPr>
            <w:tcW w:w="1524" w:type="dxa"/>
            <w:vAlign w:val="center"/>
          </w:tcPr>
          <w:p>
            <w:pPr>
              <w:widowControl/>
              <w:spacing w:line="240" w:lineRule="auto"/>
              <w:jc w:val="center"/>
              <w:rPr>
                <w:rFonts w:hint="eastAsia" w:asciiTheme="minorEastAsia" w:hAnsiTheme="minorEastAsia" w:eastAsiaTheme="minorEastAsia" w:cstheme="minorEastAsia"/>
                <w:b/>
                <w:color w:val="auto"/>
                <w:kern w:val="0"/>
                <w:sz w:val="21"/>
                <w:szCs w:val="21"/>
                <w:highlight w:val="none"/>
                <w:lang w:val="en-US" w:eastAsia="zh-CN"/>
              </w:rPr>
            </w:pPr>
          </w:p>
        </w:tc>
        <w:tc>
          <w:tcPr>
            <w:tcW w:w="1094" w:type="dxa"/>
            <w:vAlign w:val="center"/>
          </w:tcPr>
          <w:p>
            <w:pPr>
              <w:widowControl/>
              <w:spacing w:line="240" w:lineRule="auto"/>
              <w:jc w:val="center"/>
              <w:rPr>
                <w:rFonts w:hint="eastAsia" w:asciiTheme="minorEastAsia" w:hAnsiTheme="minorEastAsia" w:eastAsiaTheme="minorEastAsia" w:cstheme="minorEastAsia"/>
                <w:b/>
                <w:color w:val="auto"/>
                <w:kern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784" w:type="dxa"/>
            <w:vAlign w:val="center"/>
          </w:tcPr>
          <w:p>
            <w:pPr>
              <w:widowControl/>
              <w:spacing w:line="24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w:t>
            </w:r>
          </w:p>
        </w:tc>
        <w:tc>
          <w:tcPr>
            <w:tcW w:w="1403" w:type="dxa"/>
            <w:vAlign w:val="center"/>
          </w:tcPr>
          <w:p>
            <w:pPr>
              <w:widowControl/>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设备舱体</w:t>
            </w:r>
          </w:p>
        </w:tc>
        <w:tc>
          <w:tcPr>
            <w:tcW w:w="5466" w:type="dxa"/>
            <w:vAlign w:val="center"/>
          </w:tcPr>
          <w:p>
            <w:pPr>
              <w:widowControl/>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型号：（由投标人填写）；</w:t>
            </w:r>
          </w:p>
          <w:p>
            <w:pPr>
              <w:widowControl/>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（按现场实际情况供应，关键材质需明确）</w:t>
            </w:r>
          </w:p>
        </w:tc>
        <w:tc>
          <w:tcPr>
            <w:tcW w:w="669" w:type="dxa"/>
            <w:vAlign w:val="center"/>
          </w:tcPr>
          <w:p>
            <w:pPr>
              <w:widowControl/>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套</w:t>
            </w:r>
          </w:p>
        </w:tc>
        <w:tc>
          <w:tcPr>
            <w:tcW w:w="740" w:type="dxa"/>
            <w:vAlign w:val="center"/>
          </w:tcPr>
          <w:p>
            <w:pPr>
              <w:widowControl/>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w:t>
            </w:r>
          </w:p>
        </w:tc>
        <w:tc>
          <w:tcPr>
            <w:tcW w:w="2485" w:type="dxa"/>
            <w:vAlign w:val="center"/>
          </w:tcPr>
          <w:p>
            <w:pPr>
              <w:widowControl/>
              <w:spacing w:line="360" w:lineRule="auto"/>
              <w:jc w:val="center"/>
              <w:rPr>
                <w:rFonts w:hint="eastAsia" w:asciiTheme="minorEastAsia" w:hAnsiTheme="minorEastAsia" w:eastAsiaTheme="minorEastAsia" w:cstheme="minorEastAsia"/>
                <w:color w:val="auto"/>
                <w:kern w:val="0"/>
                <w:sz w:val="21"/>
                <w:szCs w:val="21"/>
                <w:highlight w:val="none"/>
              </w:rPr>
            </w:pPr>
          </w:p>
        </w:tc>
        <w:tc>
          <w:tcPr>
            <w:tcW w:w="1524" w:type="dxa"/>
            <w:vAlign w:val="center"/>
          </w:tcPr>
          <w:p>
            <w:pPr>
              <w:widowControl/>
              <w:spacing w:line="240" w:lineRule="auto"/>
              <w:jc w:val="center"/>
              <w:rPr>
                <w:rFonts w:hint="eastAsia" w:asciiTheme="minorEastAsia" w:hAnsiTheme="minorEastAsia" w:eastAsiaTheme="minorEastAsia" w:cstheme="minorEastAsia"/>
                <w:color w:val="auto"/>
                <w:kern w:val="0"/>
                <w:sz w:val="21"/>
                <w:szCs w:val="21"/>
                <w:highlight w:val="none"/>
              </w:rPr>
            </w:pPr>
          </w:p>
        </w:tc>
        <w:tc>
          <w:tcPr>
            <w:tcW w:w="1094" w:type="dxa"/>
            <w:vAlign w:val="center"/>
          </w:tcPr>
          <w:p>
            <w:pPr>
              <w:widowControl/>
              <w:spacing w:line="240" w:lineRule="auto"/>
              <w:jc w:val="center"/>
              <w:rPr>
                <w:rFonts w:hint="eastAsia" w:asciiTheme="minorEastAsia" w:hAnsiTheme="minorEastAsia" w:eastAsiaTheme="minorEastAsia" w:cstheme="minorEastAsia"/>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784" w:type="dxa"/>
            <w:vAlign w:val="center"/>
          </w:tcPr>
          <w:p>
            <w:pPr>
              <w:widowControl/>
              <w:spacing w:line="24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w:t>
            </w:r>
          </w:p>
        </w:tc>
        <w:tc>
          <w:tcPr>
            <w:tcW w:w="1403" w:type="dxa"/>
            <w:vAlign w:val="center"/>
          </w:tcPr>
          <w:p>
            <w:pPr>
              <w:widowControl/>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上料单元</w:t>
            </w:r>
          </w:p>
        </w:tc>
        <w:tc>
          <w:tcPr>
            <w:tcW w:w="5466" w:type="dxa"/>
            <w:vAlign w:val="center"/>
          </w:tcPr>
          <w:p>
            <w:pPr>
              <w:widowControl/>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型号：（由投标人填写）；</w:t>
            </w:r>
          </w:p>
          <w:p>
            <w:pPr>
              <w:widowControl/>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材质：国标型材符合国标GB/T 1220-2020标准；</w:t>
            </w:r>
          </w:p>
          <w:p>
            <w:pPr>
              <w:widowControl/>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电机功率：  </w:t>
            </w:r>
            <w:r>
              <w:rPr>
                <w:rFonts w:hint="eastAsia" w:asciiTheme="minorEastAsia" w:hAnsiTheme="minorEastAsia" w:eastAsiaTheme="minorEastAsia" w:cstheme="minorEastAsia"/>
                <w:color w:val="auto"/>
                <w:kern w:val="0"/>
                <w:sz w:val="21"/>
                <w:szCs w:val="21"/>
                <w:highlight w:val="none"/>
                <w:lang w:val="en-US" w:eastAsia="zh-CN"/>
              </w:rPr>
              <w:t>≥3</w:t>
            </w:r>
            <w:r>
              <w:rPr>
                <w:rFonts w:hint="eastAsia" w:asciiTheme="minorEastAsia" w:hAnsiTheme="minorEastAsia" w:eastAsiaTheme="minorEastAsia" w:cstheme="minorEastAsia"/>
                <w:color w:val="auto"/>
                <w:kern w:val="0"/>
                <w:sz w:val="21"/>
                <w:szCs w:val="21"/>
                <w:highlight w:val="none"/>
              </w:rPr>
              <w:t xml:space="preserve">  kw</w:t>
            </w:r>
          </w:p>
          <w:p>
            <w:pPr>
              <w:widowControl/>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本标准为最低标准、厂家也可自行制定符合现场需求的上料单元</w:t>
            </w:r>
          </w:p>
        </w:tc>
        <w:tc>
          <w:tcPr>
            <w:tcW w:w="669" w:type="dxa"/>
            <w:vAlign w:val="center"/>
          </w:tcPr>
          <w:p>
            <w:pPr>
              <w:widowControl/>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套</w:t>
            </w:r>
          </w:p>
        </w:tc>
        <w:tc>
          <w:tcPr>
            <w:tcW w:w="740" w:type="dxa"/>
            <w:vAlign w:val="center"/>
          </w:tcPr>
          <w:p>
            <w:pPr>
              <w:widowControl/>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w:t>
            </w:r>
          </w:p>
        </w:tc>
        <w:tc>
          <w:tcPr>
            <w:tcW w:w="2485" w:type="dxa"/>
            <w:vAlign w:val="center"/>
          </w:tcPr>
          <w:p>
            <w:pPr>
              <w:widowControl/>
              <w:spacing w:line="360" w:lineRule="auto"/>
              <w:jc w:val="center"/>
              <w:rPr>
                <w:rFonts w:hint="eastAsia" w:asciiTheme="minorEastAsia" w:hAnsiTheme="minorEastAsia" w:eastAsiaTheme="minorEastAsia" w:cstheme="minorEastAsia"/>
                <w:color w:val="auto"/>
                <w:kern w:val="0"/>
                <w:sz w:val="21"/>
                <w:szCs w:val="21"/>
                <w:highlight w:val="none"/>
              </w:rPr>
            </w:pPr>
          </w:p>
        </w:tc>
        <w:tc>
          <w:tcPr>
            <w:tcW w:w="1524" w:type="dxa"/>
            <w:vAlign w:val="center"/>
          </w:tcPr>
          <w:p>
            <w:pPr>
              <w:widowControl/>
              <w:spacing w:line="240" w:lineRule="auto"/>
              <w:jc w:val="center"/>
              <w:rPr>
                <w:rFonts w:hint="eastAsia" w:asciiTheme="minorEastAsia" w:hAnsiTheme="minorEastAsia" w:eastAsiaTheme="minorEastAsia" w:cstheme="minorEastAsia"/>
                <w:color w:val="auto"/>
                <w:kern w:val="0"/>
                <w:sz w:val="21"/>
                <w:szCs w:val="21"/>
                <w:highlight w:val="none"/>
              </w:rPr>
            </w:pPr>
          </w:p>
        </w:tc>
        <w:tc>
          <w:tcPr>
            <w:tcW w:w="1094" w:type="dxa"/>
            <w:vAlign w:val="center"/>
          </w:tcPr>
          <w:p>
            <w:pPr>
              <w:widowControl/>
              <w:spacing w:line="240" w:lineRule="auto"/>
              <w:jc w:val="center"/>
              <w:rPr>
                <w:rFonts w:hint="eastAsia" w:asciiTheme="minorEastAsia" w:hAnsiTheme="minorEastAsia" w:eastAsiaTheme="minorEastAsia" w:cstheme="minorEastAsia"/>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784" w:type="dxa"/>
            <w:vMerge w:val="restart"/>
            <w:vAlign w:val="center"/>
          </w:tcPr>
          <w:p>
            <w:pPr>
              <w:widowControl/>
              <w:spacing w:line="24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w:t>
            </w:r>
          </w:p>
        </w:tc>
        <w:tc>
          <w:tcPr>
            <w:tcW w:w="1403" w:type="dxa"/>
            <w:vMerge w:val="restart"/>
            <w:vAlign w:val="center"/>
          </w:tcPr>
          <w:p>
            <w:pPr>
              <w:widowControl/>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储存单元</w:t>
            </w:r>
          </w:p>
        </w:tc>
        <w:tc>
          <w:tcPr>
            <w:tcW w:w="5466" w:type="dxa"/>
            <w:vAlign w:val="center"/>
          </w:tcPr>
          <w:p>
            <w:pPr>
              <w:widowControl/>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型号：（由投标人填写）；</w:t>
            </w:r>
          </w:p>
          <w:p>
            <w:pPr>
              <w:widowControl/>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材质：</w:t>
            </w:r>
            <w:r>
              <w:rPr>
                <w:rFonts w:hint="eastAsia" w:asciiTheme="minorEastAsia" w:hAnsiTheme="minorEastAsia" w:eastAsiaTheme="minorEastAsia" w:cstheme="minorEastAsia"/>
                <w:color w:val="auto"/>
                <w:kern w:val="0"/>
                <w:sz w:val="21"/>
                <w:szCs w:val="21"/>
                <w:highlight w:val="none"/>
                <w:lang w:val="en-US" w:eastAsia="zh-CN"/>
              </w:rPr>
              <w:t>不低于</w:t>
            </w:r>
            <w:r>
              <w:rPr>
                <w:rFonts w:hint="eastAsia" w:asciiTheme="minorEastAsia" w:hAnsiTheme="minorEastAsia" w:eastAsiaTheme="minorEastAsia" w:cstheme="minorEastAsia"/>
                <w:color w:val="auto"/>
                <w:kern w:val="0"/>
                <w:sz w:val="21"/>
                <w:szCs w:val="21"/>
                <w:highlight w:val="none"/>
              </w:rPr>
              <w:t>304不锈钢；容积</w:t>
            </w:r>
            <w:r>
              <w:rPr>
                <w:rFonts w:hint="eastAsia" w:asciiTheme="minorEastAsia" w:hAnsiTheme="minorEastAsia" w:eastAsiaTheme="minorEastAsia" w:cstheme="minorEastAsia"/>
                <w:color w:val="auto"/>
                <w:kern w:val="0"/>
                <w:sz w:val="21"/>
                <w:szCs w:val="21"/>
                <w:highlight w:val="none"/>
                <w:u w:val="single"/>
              </w:rPr>
              <w:t>≥1</w:t>
            </w:r>
            <w:r>
              <w:rPr>
                <w:rFonts w:hint="eastAsia" w:asciiTheme="minorEastAsia" w:hAnsiTheme="minorEastAsia" w:eastAsiaTheme="minorEastAsia" w:cstheme="minorEastAsia"/>
                <w:color w:val="auto"/>
                <w:kern w:val="0"/>
                <w:sz w:val="21"/>
                <w:szCs w:val="21"/>
                <w:highlight w:val="none"/>
              </w:rPr>
              <w:t>m³；</w:t>
            </w:r>
          </w:p>
        </w:tc>
        <w:tc>
          <w:tcPr>
            <w:tcW w:w="669" w:type="dxa"/>
            <w:vMerge w:val="restart"/>
            <w:vAlign w:val="center"/>
          </w:tcPr>
          <w:p>
            <w:pPr>
              <w:widowControl/>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套</w:t>
            </w:r>
          </w:p>
        </w:tc>
        <w:tc>
          <w:tcPr>
            <w:tcW w:w="740" w:type="dxa"/>
            <w:vMerge w:val="restart"/>
            <w:vAlign w:val="center"/>
          </w:tcPr>
          <w:p>
            <w:pPr>
              <w:widowControl/>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w:t>
            </w:r>
          </w:p>
        </w:tc>
        <w:tc>
          <w:tcPr>
            <w:tcW w:w="2485" w:type="dxa"/>
            <w:vMerge w:val="restart"/>
            <w:vAlign w:val="center"/>
          </w:tcPr>
          <w:p>
            <w:pPr>
              <w:widowControl/>
              <w:spacing w:line="360" w:lineRule="auto"/>
              <w:jc w:val="center"/>
              <w:rPr>
                <w:rFonts w:hint="eastAsia" w:asciiTheme="minorEastAsia" w:hAnsiTheme="minorEastAsia" w:eastAsiaTheme="minorEastAsia" w:cstheme="minorEastAsia"/>
                <w:color w:val="auto"/>
                <w:kern w:val="0"/>
                <w:sz w:val="21"/>
                <w:szCs w:val="21"/>
                <w:highlight w:val="none"/>
              </w:rPr>
            </w:pPr>
          </w:p>
        </w:tc>
        <w:tc>
          <w:tcPr>
            <w:tcW w:w="1524" w:type="dxa"/>
            <w:vMerge w:val="restart"/>
            <w:vAlign w:val="center"/>
          </w:tcPr>
          <w:p>
            <w:pPr>
              <w:widowControl/>
              <w:spacing w:line="240" w:lineRule="auto"/>
              <w:jc w:val="center"/>
              <w:rPr>
                <w:rFonts w:hint="eastAsia" w:asciiTheme="minorEastAsia" w:hAnsiTheme="minorEastAsia" w:eastAsiaTheme="minorEastAsia" w:cstheme="minorEastAsia"/>
                <w:color w:val="auto"/>
                <w:kern w:val="0"/>
                <w:sz w:val="21"/>
                <w:szCs w:val="21"/>
                <w:highlight w:val="none"/>
              </w:rPr>
            </w:pPr>
          </w:p>
        </w:tc>
        <w:tc>
          <w:tcPr>
            <w:tcW w:w="1094" w:type="dxa"/>
            <w:vMerge w:val="restart"/>
            <w:vAlign w:val="center"/>
          </w:tcPr>
          <w:p>
            <w:pPr>
              <w:widowControl/>
              <w:spacing w:line="240" w:lineRule="auto"/>
              <w:jc w:val="center"/>
              <w:rPr>
                <w:rFonts w:hint="eastAsia" w:asciiTheme="minorEastAsia" w:hAnsiTheme="minorEastAsia" w:eastAsiaTheme="minorEastAsia" w:cstheme="minorEastAsia"/>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784" w:type="dxa"/>
            <w:vMerge w:val="continue"/>
            <w:vAlign w:val="center"/>
          </w:tcPr>
          <w:p>
            <w:pPr>
              <w:widowControl/>
              <w:spacing w:line="240" w:lineRule="auto"/>
              <w:jc w:val="center"/>
              <w:rPr>
                <w:rFonts w:hint="eastAsia" w:asciiTheme="minorEastAsia" w:hAnsiTheme="minorEastAsia" w:eastAsiaTheme="minorEastAsia" w:cstheme="minorEastAsia"/>
                <w:color w:val="auto"/>
                <w:kern w:val="0"/>
                <w:sz w:val="21"/>
                <w:szCs w:val="21"/>
                <w:highlight w:val="none"/>
              </w:rPr>
            </w:pPr>
          </w:p>
        </w:tc>
        <w:tc>
          <w:tcPr>
            <w:tcW w:w="1403" w:type="dxa"/>
            <w:vMerge w:val="continue"/>
            <w:vAlign w:val="center"/>
          </w:tcPr>
          <w:p>
            <w:pPr>
              <w:widowControl/>
              <w:spacing w:line="360" w:lineRule="auto"/>
              <w:jc w:val="center"/>
              <w:rPr>
                <w:rFonts w:hint="eastAsia" w:asciiTheme="minorEastAsia" w:hAnsiTheme="minorEastAsia" w:eastAsiaTheme="minorEastAsia" w:cstheme="minorEastAsia"/>
                <w:color w:val="auto"/>
                <w:kern w:val="0"/>
                <w:sz w:val="21"/>
                <w:szCs w:val="21"/>
                <w:highlight w:val="none"/>
              </w:rPr>
            </w:pPr>
          </w:p>
        </w:tc>
        <w:tc>
          <w:tcPr>
            <w:tcW w:w="5466" w:type="dxa"/>
            <w:vAlign w:val="center"/>
          </w:tcPr>
          <w:p>
            <w:pPr>
              <w:widowControl/>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电机减速机参照（或相当于）</w:t>
            </w:r>
            <w:r>
              <w:rPr>
                <w:rFonts w:hint="eastAsia" w:asciiTheme="minorEastAsia" w:hAnsiTheme="minorEastAsia" w:eastAsiaTheme="minorEastAsia" w:cstheme="minorEastAsia"/>
                <w:color w:val="auto"/>
                <w:kern w:val="0"/>
                <w:sz w:val="21"/>
                <w:szCs w:val="21"/>
                <w:highlight w:val="none"/>
                <w:lang w:val="en-US" w:eastAsia="zh-CN"/>
              </w:rPr>
              <w:t>品牌</w:t>
            </w:r>
            <w:r>
              <w:rPr>
                <w:rFonts w:hint="eastAsia" w:asciiTheme="minorEastAsia" w:hAnsiTheme="minorEastAsia" w:eastAsiaTheme="minorEastAsia" w:cstheme="minorEastAsia"/>
                <w:color w:val="auto"/>
                <w:kern w:val="0"/>
                <w:sz w:val="21"/>
                <w:szCs w:val="21"/>
                <w:highlight w:val="none"/>
              </w:rPr>
              <w:t>：</w:t>
            </w:r>
            <w:r>
              <w:rPr>
                <w:rFonts w:hint="eastAsia" w:asciiTheme="minorEastAsia" w:hAnsiTheme="minorEastAsia" w:eastAsiaTheme="minorEastAsia" w:cstheme="minorEastAsia"/>
                <w:color w:val="auto"/>
                <w:kern w:val="0"/>
                <w:sz w:val="21"/>
                <w:szCs w:val="21"/>
                <w:highlight w:val="none"/>
                <w:u w:val="single"/>
              </w:rPr>
              <w:t>NORD</w:t>
            </w:r>
            <w:r>
              <w:rPr>
                <w:rFonts w:hint="eastAsia" w:asciiTheme="minorEastAsia" w:hAnsiTheme="minorEastAsia" w:eastAsiaTheme="minorEastAsia" w:cstheme="minorEastAsia"/>
                <w:color w:val="auto"/>
                <w:kern w:val="0"/>
                <w:sz w:val="21"/>
                <w:szCs w:val="21"/>
                <w:highlight w:val="none"/>
                <w:u w:val="single"/>
                <w:lang w:eastAsia="zh-CN"/>
              </w:rPr>
              <w:t>、</w:t>
            </w:r>
            <w:r>
              <w:rPr>
                <w:rFonts w:hint="eastAsia" w:asciiTheme="minorEastAsia" w:hAnsiTheme="minorEastAsia" w:eastAsiaTheme="minorEastAsia" w:cstheme="minorEastAsia"/>
                <w:i w:val="0"/>
                <w:caps w:val="0"/>
                <w:color w:val="auto"/>
                <w:spacing w:val="0"/>
                <w:kern w:val="0"/>
                <w:sz w:val="21"/>
                <w:szCs w:val="21"/>
                <w:highlight w:val="none"/>
                <w:u w:val="single"/>
                <w:shd w:val="clear" w:color="auto" w:fill="FFFFFF"/>
              </w:rPr>
              <w:t>SEW、弗兰德</w:t>
            </w:r>
            <w:r>
              <w:rPr>
                <w:rFonts w:hint="eastAsia" w:asciiTheme="minorEastAsia" w:hAnsiTheme="minorEastAsia" w:eastAsiaTheme="minorEastAsia" w:cstheme="minorEastAsia"/>
                <w:color w:val="auto"/>
                <w:kern w:val="0"/>
                <w:sz w:val="21"/>
                <w:szCs w:val="21"/>
                <w:highlight w:val="none"/>
              </w:rPr>
              <w:t>；功率：≤0.55KW；</w:t>
            </w:r>
          </w:p>
        </w:tc>
        <w:tc>
          <w:tcPr>
            <w:tcW w:w="669" w:type="dxa"/>
            <w:vMerge w:val="continue"/>
            <w:vAlign w:val="center"/>
          </w:tcPr>
          <w:p>
            <w:pPr>
              <w:widowControl/>
              <w:spacing w:line="360" w:lineRule="auto"/>
              <w:jc w:val="center"/>
              <w:rPr>
                <w:rFonts w:hint="eastAsia" w:asciiTheme="minorEastAsia" w:hAnsiTheme="minorEastAsia" w:eastAsiaTheme="minorEastAsia" w:cstheme="minorEastAsia"/>
                <w:color w:val="auto"/>
                <w:kern w:val="0"/>
                <w:sz w:val="21"/>
                <w:szCs w:val="21"/>
                <w:highlight w:val="none"/>
              </w:rPr>
            </w:pPr>
          </w:p>
        </w:tc>
        <w:tc>
          <w:tcPr>
            <w:tcW w:w="740" w:type="dxa"/>
            <w:vMerge w:val="continue"/>
            <w:vAlign w:val="center"/>
          </w:tcPr>
          <w:p>
            <w:pPr>
              <w:widowControl/>
              <w:spacing w:line="360" w:lineRule="auto"/>
              <w:jc w:val="center"/>
              <w:rPr>
                <w:rFonts w:hint="eastAsia" w:asciiTheme="minorEastAsia" w:hAnsiTheme="minorEastAsia" w:eastAsiaTheme="minorEastAsia" w:cstheme="minorEastAsia"/>
                <w:color w:val="auto"/>
                <w:kern w:val="0"/>
                <w:sz w:val="21"/>
                <w:szCs w:val="21"/>
                <w:highlight w:val="none"/>
              </w:rPr>
            </w:pPr>
          </w:p>
        </w:tc>
        <w:tc>
          <w:tcPr>
            <w:tcW w:w="2485" w:type="dxa"/>
            <w:vMerge w:val="continue"/>
            <w:vAlign w:val="center"/>
          </w:tcPr>
          <w:p>
            <w:pPr>
              <w:widowControl/>
              <w:spacing w:line="360" w:lineRule="auto"/>
              <w:jc w:val="center"/>
              <w:rPr>
                <w:rFonts w:hint="eastAsia" w:asciiTheme="minorEastAsia" w:hAnsiTheme="minorEastAsia" w:eastAsiaTheme="minorEastAsia" w:cstheme="minorEastAsia"/>
                <w:color w:val="auto"/>
                <w:kern w:val="0"/>
                <w:sz w:val="21"/>
                <w:szCs w:val="21"/>
                <w:highlight w:val="none"/>
              </w:rPr>
            </w:pPr>
          </w:p>
        </w:tc>
        <w:tc>
          <w:tcPr>
            <w:tcW w:w="1524" w:type="dxa"/>
            <w:vMerge w:val="continue"/>
            <w:vAlign w:val="center"/>
          </w:tcPr>
          <w:p>
            <w:pPr>
              <w:widowControl/>
              <w:spacing w:line="240" w:lineRule="auto"/>
              <w:jc w:val="center"/>
              <w:rPr>
                <w:rFonts w:hint="eastAsia" w:asciiTheme="minorEastAsia" w:hAnsiTheme="minorEastAsia" w:eastAsiaTheme="minorEastAsia" w:cstheme="minorEastAsia"/>
                <w:color w:val="auto"/>
                <w:kern w:val="0"/>
                <w:sz w:val="21"/>
                <w:szCs w:val="21"/>
                <w:highlight w:val="none"/>
              </w:rPr>
            </w:pPr>
          </w:p>
        </w:tc>
        <w:tc>
          <w:tcPr>
            <w:tcW w:w="1094" w:type="dxa"/>
            <w:vMerge w:val="continue"/>
            <w:vAlign w:val="center"/>
          </w:tcPr>
          <w:p>
            <w:pPr>
              <w:widowControl/>
              <w:spacing w:line="240" w:lineRule="auto"/>
              <w:jc w:val="center"/>
              <w:rPr>
                <w:rFonts w:hint="eastAsia" w:asciiTheme="minorEastAsia" w:hAnsiTheme="minorEastAsia" w:eastAsiaTheme="minorEastAsia" w:cstheme="minorEastAsia"/>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784" w:type="dxa"/>
            <w:vMerge w:val="restart"/>
            <w:vAlign w:val="center"/>
          </w:tcPr>
          <w:p>
            <w:pPr>
              <w:widowControl/>
              <w:spacing w:line="24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4</w:t>
            </w:r>
          </w:p>
        </w:tc>
        <w:tc>
          <w:tcPr>
            <w:tcW w:w="1403" w:type="dxa"/>
            <w:vMerge w:val="restart"/>
            <w:vAlign w:val="center"/>
          </w:tcPr>
          <w:p>
            <w:pPr>
              <w:widowControl/>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破碎单元</w:t>
            </w:r>
          </w:p>
        </w:tc>
        <w:tc>
          <w:tcPr>
            <w:tcW w:w="5466" w:type="dxa"/>
            <w:vAlign w:val="center"/>
          </w:tcPr>
          <w:p>
            <w:pPr>
              <w:widowControl/>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型号：（由投标人填写）；箱体材质：球墨铸铁；</w:t>
            </w:r>
          </w:p>
          <w:p>
            <w:pPr>
              <w:widowControl/>
              <w:spacing w:line="36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特制刀片：材质高强度耐磨钢；刀具材质</w:t>
            </w:r>
            <w:r>
              <w:rPr>
                <w:rFonts w:hint="eastAsia" w:asciiTheme="minorEastAsia" w:hAnsiTheme="minorEastAsia" w:eastAsiaTheme="minorEastAsia" w:cstheme="minorEastAsia"/>
                <w:color w:val="auto"/>
                <w:kern w:val="0"/>
                <w:sz w:val="21"/>
                <w:szCs w:val="21"/>
                <w:highlight w:val="none"/>
                <w:lang w:val="en-US" w:eastAsia="zh-CN"/>
              </w:rPr>
              <w:t>推荐</w:t>
            </w:r>
            <w:r>
              <w:rPr>
                <w:rFonts w:hint="eastAsia" w:asciiTheme="minorEastAsia" w:hAnsiTheme="minorEastAsia" w:eastAsiaTheme="minorEastAsia" w:cstheme="minorEastAsia"/>
                <w:color w:val="auto"/>
                <w:kern w:val="0"/>
                <w:sz w:val="21"/>
                <w:szCs w:val="21"/>
                <w:highlight w:val="none"/>
              </w:rPr>
              <w:t>为CrNiMo合金钢、HANDOX550或DLL；硬度57</w:t>
            </w:r>
            <w:r>
              <w:rPr>
                <w:rFonts w:hint="eastAsia" w:asciiTheme="minorEastAsia" w:hAnsiTheme="minorEastAsia" w:eastAsiaTheme="minorEastAsia" w:cstheme="minorEastAsia"/>
                <w:color w:val="auto"/>
                <w:kern w:val="0"/>
                <w:sz w:val="21"/>
                <w:szCs w:val="21"/>
                <w:highlight w:val="none"/>
                <w:lang w:val="en-US" w:eastAsia="zh-CN"/>
              </w:rPr>
              <w:t>HRC</w:t>
            </w:r>
            <w:r>
              <w:rPr>
                <w:rFonts w:hint="eastAsia" w:asciiTheme="minorEastAsia" w:hAnsiTheme="minorEastAsia" w:eastAsiaTheme="minorEastAsia" w:cstheme="minorEastAsia"/>
                <w:color w:val="auto"/>
                <w:kern w:val="0"/>
                <w:sz w:val="21"/>
                <w:szCs w:val="21"/>
                <w:highlight w:val="none"/>
              </w:rPr>
              <w:t>以上；刀片连续使用时间不低于3000小时，刀片数量≥18片；本数值为最低标准、厂家也可根据自己的刀具结构自行选定规格和数量</w:t>
            </w:r>
          </w:p>
        </w:tc>
        <w:tc>
          <w:tcPr>
            <w:tcW w:w="669" w:type="dxa"/>
            <w:vMerge w:val="restart"/>
            <w:vAlign w:val="center"/>
          </w:tcPr>
          <w:p>
            <w:pPr>
              <w:widowControl/>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套</w:t>
            </w:r>
          </w:p>
        </w:tc>
        <w:tc>
          <w:tcPr>
            <w:tcW w:w="740" w:type="dxa"/>
            <w:vMerge w:val="restart"/>
            <w:vAlign w:val="center"/>
          </w:tcPr>
          <w:p>
            <w:pPr>
              <w:widowControl/>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w:t>
            </w:r>
          </w:p>
        </w:tc>
        <w:tc>
          <w:tcPr>
            <w:tcW w:w="2485" w:type="dxa"/>
            <w:vMerge w:val="restart"/>
            <w:vAlign w:val="center"/>
          </w:tcPr>
          <w:p>
            <w:pPr>
              <w:widowControl/>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刀片部件满足维修更换备用一套</w:t>
            </w:r>
          </w:p>
        </w:tc>
        <w:tc>
          <w:tcPr>
            <w:tcW w:w="1524" w:type="dxa"/>
            <w:vMerge w:val="restart"/>
            <w:vAlign w:val="center"/>
          </w:tcPr>
          <w:p>
            <w:pPr>
              <w:widowControl/>
              <w:spacing w:line="240" w:lineRule="auto"/>
              <w:jc w:val="center"/>
              <w:rPr>
                <w:rFonts w:hint="eastAsia" w:asciiTheme="minorEastAsia" w:hAnsiTheme="minorEastAsia" w:eastAsiaTheme="minorEastAsia" w:cstheme="minorEastAsia"/>
                <w:color w:val="auto"/>
                <w:kern w:val="0"/>
                <w:sz w:val="21"/>
                <w:szCs w:val="21"/>
                <w:highlight w:val="none"/>
              </w:rPr>
            </w:pPr>
          </w:p>
        </w:tc>
        <w:tc>
          <w:tcPr>
            <w:tcW w:w="1094" w:type="dxa"/>
            <w:vMerge w:val="restart"/>
            <w:vAlign w:val="center"/>
          </w:tcPr>
          <w:p>
            <w:pPr>
              <w:widowControl/>
              <w:spacing w:line="240" w:lineRule="auto"/>
              <w:jc w:val="center"/>
              <w:rPr>
                <w:rFonts w:hint="eastAsia" w:asciiTheme="minorEastAsia" w:hAnsiTheme="minorEastAsia" w:eastAsiaTheme="minorEastAsia" w:cstheme="minorEastAsia"/>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784" w:type="dxa"/>
            <w:vMerge w:val="continue"/>
            <w:vAlign w:val="center"/>
          </w:tcPr>
          <w:p>
            <w:pPr>
              <w:widowControl/>
              <w:spacing w:line="240" w:lineRule="auto"/>
              <w:jc w:val="center"/>
              <w:rPr>
                <w:rFonts w:hint="eastAsia" w:asciiTheme="minorEastAsia" w:hAnsiTheme="minorEastAsia" w:eastAsiaTheme="minorEastAsia" w:cstheme="minorEastAsia"/>
                <w:color w:val="auto"/>
                <w:kern w:val="0"/>
                <w:sz w:val="21"/>
                <w:szCs w:val="21"/>
                <w:highlight w:val="none"/>
              </w:rPr>
            </w:pPr>
          </w:p>
        </w:tc>
        <w:tc>
          <w:tcPr>
            <w:tcW w:w="1403" w:type="dxa"/>
            <w:vMerge w:val="continue"/>
            <w:vAlign w:val="center"/>
          </w:tcPr>
          <w:p>
            <w:pPr>
              <w:widowControl/>
              <w:spacing w:line="360" w:lineRule="auto"/>
              <w:jc w:val="center"/>
              <w:rPr>
                <w:rFonts w:hint="eastAsia" w:asciiTheme="minorEastAsia" w:hAnsiTheme="minorEastAsia" w:eastAsiaTheme="minorEastAsia" w:cstheme="minorEastAsia"/>
                <w:color w:val="auto"/>
                <w:kern w:val="0"/>
                <w:sz w:val="21"/>
                <w:szCs w:val="21"/>
                <w:highlight w:val="none"/>
              </w:rPr>
            </w:pPr>
          </w:p>
        </w:tc>
        <w:tc>
          <w:tcPr>
            <w:tcW w:w="5466" w:type="dxa"/>
            <w:vAlign w:val="center"/>
          </w:tcPr>
          <w:p>
            <w:pPr>
              <w:widowControl/>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电机减速机参照（或相当于）</w:t>
            </w:r>
            <w:r>
              <w:rPr>
                <w:rFonts w:hint="eastAsia" w:asciiTheme="minorEastAsia" w:hAnsiTheme="minorEastAsia" w:eastAsiaTheme="minorEastAsia" w:cstheme="minorEastAsia"/>
                <w:color w:val="auto"/>
                <w:kern w:val="0"/>
                <w:sz w:val="21"/>
                <w:szCs w:val="21"/>
                <w:highlight w:val="none"/>
                <w:lang w:val="en-US" w:eastAsia="zh-CN"/>
              </w:rPr>
              <w:t>品牌</w:t>
            </w:r>
            <w:r>
              <w:rPr>
                <w:rFonts w:hint="eastAsia" w:asciiTheme="minorEastAsia" w:hAnsiTheme="minorEastAsia" w:eastAsiaTheme="minorEastAsia" w:cstheme="minorEastAsia"/>
                <w:color w:val="auto"/>
                <w:kern w:val="0"/>
                <w:sz w:val="21"/>
                <w:szCs w:val="21"/>
                <w:highlight w:val="none"/>
              </w:rPr>
              <w:t>：</w:t>
            </w:r>
            <w:r>
              <w:rPr>
                <w:rFonts w:hint="eastAsia" w:asciiTheme="minorEastAsia" w:hAnsiTheme="minorEastAsia" w:eastAsiaTheme="minorEastAsia" w:cstheme="minorEastAsia"/>
                <w:color w:val="auto"/>
                <w:kern w:val="0"/>
                <w:sz w:val="21"/>
                <w:szCs w:val="21"/>
                <w:highlight w:val="none"/>
                <w:u w:val="single"/>
              </w:rPr>
              <w:t>NORD</w:t>
            </w:r>
            <w:r>
              <w:rPr>
                <w:rFonts w:hint="eastAsia" w:asciiTheme="minorEastAsia" w:hAnsiTheme="minorEastAsia" w:eastAsiaTheme="minorEastAsia" w:cstheme="minorEastAsia"/>
                <w:color w:val="auto"/>
                <w:kern w:val="0"/>
                <w:sz w:val="21"/>
                <w:szCs w:val="21"/>
                <w:highlight w:val="none"/>
                <w:u w:val="single"/>
                <w:lang w:eastAsia="zh-CN"/>
              </w:rPr>
              <w:t>、</w:t>
            </w:r>
            <w:r>
              <w:rPr>
                <w:rFonts w:hint="eastAsia" w:asciiTheme="minorEastAsia" w:hAnsiTheme="minorEastAsia" w:eastAsiaTheme="minorEastAsia" w:cstheme="minorEastAsia"/>
                <w:i w:val="0"/>
                <w:caps w:val="0"/>
                <w:color w:val="auto"/>
                <w:spacing w:val="0"/>
                <w:kern w:val="0"/>
                <w:sz w:val="21"/>
                <w:szCs w:val="21"/>
                <w:highlight w:val="none"/>
                <w:u w:val="single"/>
                <w:shd w:val="clear" w:color="auto" w:fill="auto"/>
              </w:rPr>
              <w:t>SEW、弗兰德</w:t>
            </w:r>
            <w:r>
              <w:rPr>
                <w:rFonts w:hint="eastAsia" w:asciiTheme="minorEastAsia" w:hAnsiTheme="minorEastAsia" w:eastAsiaTheme="minorEastAsia" w:cstheme="minorEastAsia"/>
                <w:color w:val="auto"/>
                <w:kern w:val="0"/>
                <w:sz w:val="21"/>
                <w:szCs w:val="21"/>
                <w:highlight w:val="none"/>
              </w:rPr>
              <w:t>；</w:t>
            </w:r>
          </w:p>
          <w:p>
            <w:pPr>
              <w:widowControl/>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功率： ≥</w:t>
            </w:r>
            <w:r>
              <w:rPr>
                <w:rFonts w:hint="eastAsia" w:asciiTheme="minorEastAsia" w:hAnsiTheme="minorEastAsia" w:eastAsiaTheme="minorEastAsia" w:cstheme="minorEastAsia"/>
                <w:color w:val="auto"/>
                <w:kern w:val="0"/>
                <w:sz w:val="21"/>
                <w:szCs w:val="21"/>
                <w:highlight w:val="none"/>
                <w:lang w:val="en-US" w:eastAsia="zh-CN"/>
              </w:rPr>
              <w:t>45</w:t>
            </w:r>
            <w:r>
              <w:rPr>
                <w:rFonts w:hint="eastAsia" w:asciiTheme="minorEastAsia" w:hAnsiTheme="minorEastAsia" w:eastAsiaTheme="minorEastAsia" w:cstheme="minorEastAsia"/>
                <w:color w:val="auto"/>
                <w:kern w:val="0"/>
                <w:sz w:val="21"/>
                <w:szCs w:val="21"/>
                <w:highlight w:val="none"/>
              </w:rPr>
              <w:t>KW；</w:t>
            </w:r>
            <w:r>
              <w:rPr>
                <w:rFonts w:hint="eastAsia" w:asciiTheme="minorEastAsia" w:hAnsiTheme="minorEastAsia" w:eastAsiaTheme="minorEastAsia" w:cstheme="minorEastAsia"/>
                <w:color w:val="auto"/>
                <w:kern w:val="0"/>
                <w:sz w:val="21"/>
                <w:szCs w:val="21"/>
                <w:highlight w:val="none"/>
                <w:lang w:val="en-US" w:eastAsia="zh-CN"/>
              </w:rPr>
              <w:t>不低于</w:t>
            </w:r>
            <w:r>
              <w:rPr>
                <w:rFonts w:hint="eastAsia" w:asciiTheme="minorEastAsia" w:hAnsiTheme="minorEastAsia" w:eastAsiaTheme="minorEastAsia" w:cstheme="minorEastAsia"/>
                <w:color w:val="auto"/>
                <w:kern w:val="0"/>
                <w:sz w:val="21"/>
                <w:szCs w:val="21"/>
                <w:highlight w:val="none"/>
              </w:rPr>
              <w:t>IP55</w:t>
            </w:r>
          </w:p>
        </w:tc>
        <w:tc>
          <w:tcPr>
            <w:tcW w:w="669" w:type="dxa"/>
            <w:vMerge w:val="continue"/>
            <w:vAlign w:val="center"/>
          </w:tcPr>
          <w:p>
            <w:pPr>
              <w:widowControl/>
              <w:spacing w:line="360" w:lineRule="auto"/>
              <w:jc w:val="center"/>
              <w:rPr>
                <w:rFonts w:hint="eastAsia" w:asciiTheme="minorEastAsia" w:hAnsiTheme="minorEastAsia" w:eastAsiaTheme="minorEastAsia" w:cstheme="minorEastAsia"/>
                <w:color w:val="auto"/>
                <w:kern w:val="0"/>
                <w:sz w:val="21"/>
                <w:szCs w:val="21"/>
                <w:highlight w:val="none"/>
              </w:rPr>
            </w:pPr>
          </w:p>
        </w:tc>
        <w:tc>
          <w:tcPr>
            <w:tcW w:w="740" w:type="dxa"/>
            <w:vMerge w:val="continue"/>
            <w:vAlign w:val="center"/>
          </w:tcPr>
          <w:p>
            <w:pPr>
              <w:widowControl/>
              <w:spacing w:line="360" w:lineRule="auto"/>
              <w:jc w:val="center"/>
              <w:rPr>
                <w:rFonts w:hint="eastAsia" w:asciiTheme="minorEastAsia" w:hAnsiTheme="minorEastAsia" w:eastAsiaTheme="minorEastAsia" w:cstheme="minorEastAsia"/>
                <w:color w:val="auto"/>
                <w:kern w:val="0"/>
                <w:sz w:val="21"/>
                <w:szCs w:val="21"/>
                <w:highlight w:val="none"/>
              </w:rPr>
            </w:pPr>
          </w:p>
        </w:tc>
        <w:tc>
          <w:tcPr>
            <w:tcW w:w="2485" w:type="dxa"/>
            <w:vMerge w:val="continue"/>
            <w:vAlign w:val="center"/>
          </w:tcPr>
          <w:p>
            <w:pPr>
              <w:widowControl/>
              <w:spacing w:line="360" w:lineRule="auto"/>
              <w:jc w:val="center"/>
              <w:rPr>
                <w:rFonts w:hint="eastAsia" w:asciiTheme="minorEastAsia" w:hAnsiTheme="minorEastAsia" w:eastAsiaTheme="minorEastAsia" w:cstheme="minorEastAsia"/>
                <w:color w:val="auto"/>
                <w:kern w:val="0"/>
                <w:sz w:val="21"/>
                <w:szCs w:val="21"/>
                <w:highlight w:val="none"/>
              </w:rPr>
            </w:pPr>
          </w:p>
        </w:tc>
        <w:tc>
          <w:tcPr>
            <w:tcW w:w="1524" w:type="dxa"/>
            <w:vMerge w:val="continue"/>
            <w:vAlign w:val="center"/>
          </w:tcPr>
          <w:p>
            <w:pPr>
              <w:widowControl/>
              <w:spacing w:line="240" w:lineRule="auto"/>
              <w:jc w:val="center"/>
              <w:rPr>
                <w:rFonts w:hint="eastAsia" w:asciiTheme="minorEastAsia" w:hAnsiTheme="minorEastAsia" w:eastAsiaTheme="minorEastAsia" w:cstheme="minorEastAsia"/>
                <w:color w:val="auto"/>
                <w:kern w:val="0"/>
                <w:sz w:val="21"/>
                <w:szCs w:val="21"/>
                <w:highlight w:val="none"/>
              </w:rPr>
            </w:pPr>
          </w:p>
        </w:tc>
        <w:tc>
          <w:tcPr>
            <w:tcW w:w="1094" w:type="dxa"/>
            <w:vMerge w:val="continue"/>
            <w:vAlign w:val="center"/>
          </w:tcPr>
          <w:p>
            <w:pPr>
              <w:widowControl/>
              <w:spacing w:line="240" w:lineRule="auto"/>
              <w:jc w:val="center"/>
              <w:rPr>
                <w:rFonts w:hint="eastAsia" w:asciiTheme="minorEastAsia" w:hAnsiTheme="minorEastAsia" w:eastAsiaTheme="minorEastAsia" w:cstheme="minorEastAsia"/>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784" w:type="dxa"/>
            <w:vMerge w:val="restart"/>
            <w:vAlign w:val="center"/>
          </w:tcPr>
          <w:p>
            <w:pPr>
              <w:widowControl/>
              <w:spacing w:line="24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5</w:t>
            </w:r>
          </w:p>
        </w:tc>
        <w:tc>
          <w:tcPr>
            <w:tcW w:w="1403" w:type="dxa"/>
            <w:vMerge w:val="restart"/>
            <w:vAlign w:val="center"/>
          </w:tcPr>
          <w:p>
            <w:pPr>
              <w:widowControl/>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微波消毒单元</w:t>
            </w:r>
          </w:p>
        </w:tc>
        <w:tc>
          <w:tcPr>
            <w:tcW w:w="5466" w:type="dxa"/>
            <w:vAlign w:val="center"/>
          </w:tcPr>
          <w:p>
            <w:pPr>
              <w:widowControl/>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型号：（由投标人填写）；材质：</w:t>
            </w:r>
            <w:r>
              <w:rPr>
                <w:rFonts w:hint="eastAsia" w:asciiTheme="minorEastAsia" w:hAnsiTheme="minorEastAsia" w:eastAsiaTheme="minorEastAsia" w:cstheme="minorEastAsia"/>
                <w:color w:val="auto"/>
                <w:kern w:val="0"/>
                <w:sz w:val="21"/>
                <w:szCs w:val="21"/>
                <w:highlight w:val="none"/>
                <w:lang w:val="en-US" w:eastAsia="zh-CN"/>
              </w:rPr>
              <w:t>不低于</w:t>
            </w:r>
            <w:r>
              <w:rPr>
                <w:rFonts w:hint="eastAsia" w:asciiTheme="minorEastAsia" w:hAnsiTheme="minorEastAsia" w:eastAsiaTheme="minorEastAsia" w:cstheme="minorEastAsia"/>
                <w:color w:val="auto"/>
                <w:kern w:val="0"/>
                <w:sz w:val="21"/>
                <w:szCs w:val="21"/>
                <w:highlight w:val="none"/>
              </w:rPr>
              <w:t>304不锈钢；</w:t>
            </w:r>
          </w:p>
        </w:tc>
        <w:tc>
          <w:tcPr>
            <w:tcW w:w="669" w:type="dxa"/>
            <w:vAlign w:val="center"/>
          </w:tcPr>
          <w:p>
            <w:pPr>
              <w:widowControl/>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套</w:t>
            </w:r>
          </w:p>
        </w:tc>
        <w:tc>
          <w:tcPr>
            <w:tcW w:w="740" w:type="dxa"/>
            <w:vAlign w:val="center"/>
          </w:tcPr>
          <w:p>
            <w:pPr>
              <w:widowControl/>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w:t>
            </w:r>
          </w:p>
        </w:tc>
        <w:tc>
          <w:tcPr>
            <w:tcW w:w="2485" w:type="dxa"/>
            <w:vMerge w:val="restart"/>
            <w:vAlign w:val="center"/>
          </w:tcPr>
          <w:p>
            <w:pPr>
              <w:widowControl/>
              <w:spacing w:line="360" w:lineRule="auto"/>
              <w:jc w:val="center"/>
              <w:rPr>
                <w:rFonts w:hint="eastAsia" w:asciiTheme="minorEastAsia" w:hAnsiTheme="minorEastAsia" w:eastAsiaTheme="minorEastAsia" w:cstheme="minorEastAsia"/>
                <w:color w:val="auto"/>
                <w:kern w:val="0"/>
                <w:sz w:val="21"/>
                <w:szCs w:val="21"/>
                <w:highlight w:val="none"/>
              </w:rPr>
            </w:pPr>
          </w:p>
        </w:tc>
        <w:tc>
          <w:tcPr>
            <w:tcW w:w="1524" w:type="dxa"/>
            <w:vMerge w:val="restart"/>
            <w:vAlign w:val="center"/>
          </w:tcPr>
          <w:p>
            <w:pPr>
              <w:widowControl/>
              <w:spacing w:line="240" w:lineRule="auto"/>
              <w:jc w:val="center"/>
              <w:rPr>
                <w:rFonts w:hint="eastAsia" w:asciiTheme="minorEastAsia" w:hAnsiTheme="minorEastAsia" w:eastAsiaTheme="minorEastAsia" w:cstheme="minorEastAsia"/>
                <w:color w:val="auto"/>
                <w:kern w:val="0"/>
                <w:sz w:val="21"/>
                <w:szCs w:val="21"/>
                <w:highlight w:val="none"/>
              </w:rPr>
            </w:pPr>
          </w:p>
        </w:tc>
        <w:tc>
          <w:tcPr>
            <w:tcW w:w="1094" w:type="dxa"/>
            <w:vMerge w:val="restart"/>
            <w:vAlign w:val="center"/>
          </w:tcPr>
          <w:p>
            <w:pPr>
              <w:widowControl/>
              <w:spacing w:line="240" w:lineRule="auto"/>
              <w:jc w:val="center"/>
              <w:rPr>
                <w:rFonts w:hint="eastAsia" w:asciiTheme="minorEastAsia" w:hAnsiTheme="minorEastAsia" w:eastAsiaTheme="minorEastAsia" w:cstheme="minorEastAsia"/>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784" w:type="dxa"/>
            <w:vMerge w:val="continue"/>
            <w:vAlign w:val="center"/>
          </w:tcPr>
          <w:p>
            <w:pPr>
              <w:widowControl/>
              <w:spacing w:line="240" w:lineRule="auto"/>
              <w:jc w:val="center"/>
              <w:rPr>
                <w:rFonts w:hint="eastAsia" w:asciiTheme="minorEastAsia" w:hAnsiTheme="minorEastAsia" w:eastAsiaTheme="minorEastAsia" w:cstheme="minorEastAsia"/>
                <w:color w:val="auto"/>
                <w:kern w:val="0"/>
                <w:sz w:val="21"/>
                <w:szCs w:val="21"/>
                <w:highlight w:val="none"/>
              </w:rPr>
            </w:pPr>
          </w:p>
        </w:tc>
        <w:tc>
          <w:tcPr>
            <w:tcW w:w="1403" w:type="dxa"/>
            <w:vMerge w:val="continue"/>
            <w:vAlign w:val="center"/>
          </w:tcPr>
          <w:p>
            <w:pPr>
              <w:widowControl/>
              <w:spacing w:line="360" w:lineRule="auto"/>
              <w:jc w:val="center"/>
              <w:rPr>
                <w:rFonts w:hint="eastAsia" w:asciiTheme="minorEastAsia" w:hAnsiTheme="minorEastAsia" w:eastAsiaTheme="minorEastAsia" w:cstheme="minorEastAsia"/>
                <w:color w:val="auto"/>
                <w:kern w:val="0"/>
                <w:sz w:val="21"/>
                <w:szCs w:val="21"/>
                <w:highlight w:val="none"/>
              </w:rPr>
            </w:pPr>
          </w:p>
        </w:tc>
        <w:tc>
          <w:tcPr>
            <w:tcW w:w="5466" w:type="dxa"/>
            <w:vAlign w:val="center"/>
          </w:tcPr>
          <w:p>
            <w:pPr>
              <w:widowControl/>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电机减速机参照（或相当于）</w:t>
            </w:r>
            <w:r>
              <w:rPr>
                <w:rFonts w:hint="eastAsia" w:asciiTheme="minorEastAsia" w:hAnsiTheme="minorEastAsia" w:eastAsiaTheme="minorEastAsia" w:cstheme="minorEastAsia"/>
                <w:color w:val="auto"/>
                <w:kern w:val="0"/>
                <w:sz w:val="21"/>
                <w:szCs w:val="21"/>
                <w:highlight w:val="none"/>
                <w:lang w:val="en-US" w:eastAsia="zh-CN"/>
              </w:rPr>
              <w:t>品牌</w:t>
            </w:r>
            <w:r>
              <w:rPr>
                <w:rFonts w:hint="eastAsia" w:asciiTheme="minorEastAsia" w:hAnsiTheme="minorEastAsia" w:eastAsiaTheme="minorEastAsia" w:cstheme="minorEastAsia"/>
                <w:color w:val="auto"/>
                <w:kern w:val="0"/>
                <w:sz w:val="21"/>
                <w:szCs w:val="21"/>
                <w:highlight w:val="none"/>
              </w:rPr>
              <w:t>：</w:t>
            </w:r>
            <w:r>
              <w:rPr>
                <w:rFonts w:hint="eastAsia" w:asciiTheme="minorEastAsia" w:hAnsiTheme="minorEastAsia" w:eastAsiaTheme="minorEastAsia" w:cstheme="minorEastAsia"/>
                <w:color w:val="auto"/>
                <w:kern w:val="0"/>
                <w:sz w:val="21"/>
                <w:szCs w:val="21"/>
                <w:highlight w:val="none"/>
                <w:u w:val="single"/>
              </w:rPr>
              <w:t>NORD</w:t>
            </w:r>
            <w:r>
              <w:rPr>
                <w:rFonts w:hint="eastAsia" w:asciiTheme="minorEastAsia" w:hAnsiTheme="minorEastAsia" w:eastAsiaTheme="minorEastAsia" w:cstheme="minorEastAsia"/>
                <w:color w:val="auto"/>
                <w:kern w:val="0"/>
                <w:sz w:val="21"/>
                <w:szCs w:val="21"/>
                <w:highlight w:val="none"/>
                <w:u w:val="single"/>
                <w:lang w:eastAsia="zh-CN"/>
              </w:rPr>
              <w:t>、</w:t>
            </w:r>
            <w:r>
              <w:rPr>
                <w:rFonts w:hint="eastAsia" w:asciiTheme="minorEastAsia" w:hAnsiTheme="minorEastAsia" w:eastAsiaTheme="minorEastAsia" w:cstheme="minorEastAsia"/>
                <w:i w:val="0"/>
                <w:caps w:val="0"/>
                <w:color w:val="auto"/>
                <w:spacing w:val="0"/>
                <w:kern w:val="0"/>
                <w:sz w:val="21"/>
                <w:szCs w:val="21"/>
                <w:highlight w:val="none"/>
                <w:u w:val="single"/>
                <w:shd w:val="clear" w:color="auto" w:fill="auto"/>
              </w:rPr>
              <w:t>SEW、弗兰德</w:t>
            </w:r>
            <w:r>
              <w:rPr>
                <w:rFonts w:hint="eastAsia" w:asciiTheme="minorEastAsia" w:hAnsiTheme="minorEastAsia" w:eastAsiaTheme="minorEastAsia" w:cstheme="minorEastAsia"/>
                <w:color w:val="auto"/>
                <w:kern w:val="0"/>
                <w:sz w:val="21"/>
                <w:szCs w:val="21"/>
                <w:highlight w:val="none"/>
              </w:rPr>
              <w:t>；</w:t>
            </w:r>
          </w:p>
          <w:p>
            <w:pPr>
              <w:widowControl/>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功率 ≤2KW；</w:t>
            </w:r>
          </w:p>
        </w:tc>
        <w:tc>
          <w:tcPr>
            <w:tcW w:w="669" w:type="dxa"/>
            <w:vAlign w:val="center"/>
          </w:tcPr>
          <w:p>
            <w:pPr>
              <w:widowControl/>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个</w:t>
            </w:r>
          </w:p>
        </w:tc>
        <w:tc>
          <w:tcPr>
            <w:tcW w:w="740" w:type="dxa"/>
            <w:vAlign w:val="center"/>
          </w:tcPr>
          <w:p>
            <w:pPr>
              <w:widowControl/>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w:t>
            </w:r>
          </w:p>
        </w:tc>
        <w:tc>
          <w:tcPr>
            <w:tcW w:w="2485" w:type="dxa"/>
            <w:vMerge w:val="continue"/>
            <w:vAlign w:val="center"/>
          </w:tcPr>
          <w:p>
            <w:pPr>
              <w:widowControl/>
              <w:spacing w:line="360" w:lineRule="auto"/>
              <w:jc w:val="center"/>
              <w:rPr>
                <w:rFonts w:hint="eastAsia" w:asciiTheme="minorEastAsia" w:hAnsiTheme="minorEastAsia" w:eastAsiaTheme="minorEastAsia" w:cstheme="minorEastAsia"/>
                <w:color w:val="auto"/>
                <w:kern w:val="0"/>
                <w:sz w:val="21"/>
                <w:szCs w:val="21"/>
                <w:highlight w:val="none"/>
              </w:rPr>
            </w:pPr>
          </w:p>
        </w:tc>
        <w:tc>
          <w:tcPr>
            <w:tcW w:w="1524" w:type="dxa"/>
            <w:vMerge w:val="continue"/>
            <w:vAlign w:val="center"/>
          </w:tcPr>
          <w:p>
            <w:pPr>
              <w:widowControl/>
              <w:spacing w:line="240" w:lineRule="auto"/>
              <w:jc w:val="center"/>
              <w:rPr>
                <w:rFonts w:hint="eastAsia" w:asciiTheme="minorEastAsia" w:hAnsiTheme="minorEastAsia" w:eastAsiaTheme="minorEastAsia" w:cstheme="minorEastAsia"/>
                <w:color w:val="auto"/>
                <w:kern w:val="0"/>
                <w:sz w:val="21"/>
                <w:szCs w:val="21"/>
                <w:highlight w:val="none"/>
              </w:rPr>
            </w:pPr>
          </w:p>
        </w:tc>
        <w:tc>
          <w:tcPr>
            <w:tcW w:w="1094" w:type="dxa"/>
            <w:vMerge w:val="continue"/>
            <w:vAlign w:val="center"/>
          </w:tcPr>
          <w:p>
            <w:pPr>
              <w:widowControl/>
              <w:spacing w:line="240" w:lineRule="auto"/>
              <w:jc w:val="center"/>
              <w:rPr>
                <w:rFonts w:hint="eastAsia" w:asciiTheme="minorEastAsia" w:hAnsiTheme="minorEastAsia" w:eastAsiaTheme="minorEastAsia" w:cstheme="minorEastAsia"/>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784" w:type="dxa"/>
            <w:vMerge w:val="continue"/>
            <w:vAlign w:val="center"/>
          </w:tcPr>
          <w:p>
            <w:pPr>
              <w:widowControl/>
              <w:spacing w:line="240" w:lineRule="auto"/>
              <w:jc w:val="center"/>
              <w:rPr>
                <w:rFonts w:hint="eastAsia" w:asciiTheme="minorEastAsia" w:hAnsiTheme="minorEastAsia" w:eastAsiaTheme="minorEastAsia" w:cstheme="minorEastAsia"/>
                <w:color w:val="auto"/>
                <w:kern w:val="0"/>
                <w:sz w:val="21"/>
                <w:szCs w:val="21"/>
                <w:highlight w:val="none"/>
              </w:rPr>
            </w:pPr>
          </w:p>
        </w:tc>
        <w:tc>
          <w:tcPr>
            <w:tcW w:w="1403" w:type="dxa"/>
            <w:vMerge w:val="continue"/>
            <w:vAlign w:val="center"/>
          </w:tcPr>
          <w:p>
            <w:pPr>
              <w:widowControl/>
              <w:spacing w:line="360" w:lineRule="auto"/>
              <w:jc w:val="center"/>
              <w:rPr>
                <w:rFonts w:hint="eastAsia" w:asciiTheme="minorEastAsia" w:hAnsiTheme="minorEastAsia" w:eastAsiaTheme="minorEastAsia" w:cstheme="minorEastAsia"/>
                <w:color w:val="auto"/>
                <w:kern w:val="0"/>
                <w:sz w:val="21"/>
                <w:szCs w:val="21"/>
                <w:highlight w:val="none"/>
              </w:rPr>
            </w:pPr>
          </w:p>
        </w:tc>
        <w:tc>
          <w:tcPr>
            <w:tcW w:w="5466" w:type="dxa"/>
            <w:vAlign w:val="center"/>
          </w:tcPr>
          <w:p>
            <w:pPr>
              <w:widowControl/>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微波发生器功率≥1.25KW；</w:t>
            </w:r>
          </w:p>
          <w:p>
            <w:pPr>
              <w:widowControl/>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使用寿命不低于2000小时。</w:t>
            </w:r>
          </w:p>
        </w:tc>
        <w:tc>
          <w:tcPr>
            <w:tcW w:w="669" w:type="dxa"/>
            <w:vAlign w:val="center"/>
          </w:tcPr>
          <w:p>
            <w:pPr>
              <w:widowControl/>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个</w:t>
            </w:r>
          </w:p>
        </w:tc>
        <w:tc>
          <w:tcPr>
            <w:tcW w:w="740" w:type="dxa"/>
            <w:vAlign w:val="center"/>
          </w:tcPr>
          <w:p>
            <w:pPr>
              <w:widowControl/>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w:t>
            </w:r>
            <w:r>
              <w:rPr>
                <w:rFonts w:hint="eastAsia" w:asciiTheme="minorEastAsia" w:hAnsiTheme="minorEastAsia" w:eastAsiaTheme="minorEastAsia" w:cstheme="minorEastAsia"/>
                <w:color w:val="auto"/>
                <w:kern w:val="0"/>
                <w:sz w:val="21"/>
                <w:szCs w:val="21"/>
                <w:highlight w:val="none"/>
              </w:rPr>
              <w:t>20</w:t>
            </w:r>
          </w:p>
        </w:tc>
        <w:tc>
          <w:tcPr>
            <w:tcW w:w="2485" w:type="dxa"/>
            <w:vMerge w:val="continue"/>
            <w:vAlign w:val="center"/>
          </w:tcPr>
          <w:p>
            <w:pPr>
              <w:widowControl/>
              <w:spacing w:line="360" w:lineRule="auto"/>
              <w:jc w:val="center"/>
              <w:rPr>
                <w:rFonts w:hint="eastAsia" w:asciiTheme="minorEastAsia" w:hAnsiTheme="minorEastAsia" w:eastAsiaTheme="minorEastAsia" w:cstheme="minorEastAsia"/>
                <w:color w:val="auto"/>
                <w:kern w:val="0"/>
                <w:sz w:val="21"/>
                <w:szCs w:val="21"/>
                <w:highlight w:val="none"/>
              </w:rPr>
            </w:pPr>
          </w:p>
        </w:tc>
        <w:tc>
          <w:tcPr>
            <w:tcW w:w="1524" w:type="dxa"/>
            <w:vMerge w:val="continue"/>
            <w:vAlign w:val="center"/>
          </w:tcPr>
          <w:p>
            <w:pPr>
              <w:widowControl/>
              <w:spacing w:line="240" w:lineRule="auto"/>
              <w:jc w:val="center"/>
              <w:rPr>
                <w:rFonts w:hint="eastAsia" w:asciiTheme="minorEastAsia" w:hAnsiTheme="minorEastAsia" w:eastAsiaTheme="minorEastAsia" w:cstheme="minorEastAsia"/>
                <w:color w:val="auto"/>
                <w:kern w:val="0"/>
                <w:sz w:val="21"/>
                <w:szCs w:val="21"/>
                <w:highlight w:val="none"/>
              </w:rPr>
            </w:pPr>
          </w:p>
        </w:tc>
        <w:tc>
          <w:tcPr>
            <w:tcW w:w="1094" w:type="dxa"/>
            <w:vMerge w:val="continue"/>
            <w:vAlign w:val="center"/>
          </w:tcPr>
          <w:p>
            <w:pPr>
              <w:widowControl/>
              <w:spacing w:line="240" w:lineRule="auto"/>
              <w:jc w:val="center"/>
              <w:rPr>
                <w:rFonts w:hint="eastAsia" w:asciiTheme="minorEastAsia" w:hAnsiTheme="minorEastAsia" w:eastAsiaTheme="minorEastAsia" w:cstheme="minorEastAsia"/>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784" w:type="dxa"/>
            <w:vMerge w:val="restart"/>
            <w:vAlign w:val="center"/>
          </w:tcPr>
          <w:p>
            <w:pPr>
              <w:widowControl/>
              <w:spacing w:line="24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6</w:t>
            </w:r>
          </w:p>
        </w:tc>
        <w:tc>
          <w:tcPr>
            <w:tcW w:w="1403" w:type="dxa"/>
            <w:vMerge w:val="restart"/>
            <w:vAlign w:val="center"/>
          </w:tcPr>
          <w:p>
            <w:pPr>
              <w:widowControl/>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出料单元</w:t>
            </w:r>
          </w:p>
        </w:tc>
        <w:tc>
          <w:tcPr>
            <w:tcW w:w="5466" w:type="dxa"/>
            <w:vAlign w:val="center"/>
          </w:tcPr>
          <w:p>
            <w:pPr>
              <w:widowControl/>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型号：（由投标人填写）；材质：</w:t>
            </w:r>
            <w:r>
              <w:rPr>
                <w:rFonts w:hint="eastAsia" w:asciiTheme="minorEastAsia" w:hAnsiTheme="minorEastAsia" w:eastAsiaTheme="minorEastAsia" w:cstheme="minorEastAsia"/>
                <w:color w:val="auto"/>
                <w:kern w:val="0"/>
                <w:sz w:val="21"/>
                <w:szCs w:val="21"/>
                <w:highlight w:val="none"/>
                <w:lang w:val="en-US" w:eastAsia="zh-CN"/>
              </w:rPr>
              <w:t>不低于</w:t>
            </w:r>
            <w:r>
              <w:rPr>
                <w:rFonts w:hint="eastAsia" w:asciiTheme="minorEastAsia" w:hAnsiTheme="minorEastAsia" w:eastAsiaTheme="minorEastAsia" w:cstheme="minorEastAsia"/>
                <w:color w:val="auto"/>
                <w:kern w:val="0"/>
                <w:sz w:val="21"/>
                <w:szCs w:val="21"/>
                <w:highlight w:val="none"/>
              </w:rPr>
              <w:t>304不锈钢；</w:t>
            </w:r>
          </w:p>
        </w:tc>
        <w:tc>
          <w:tcPr>
            <w:tcW w:w="669" w:type="dxa"/>
            <w:vMerge w:val="restart"/>
            <w:vAlign w:val="center"/>
          </w:tcPr>
          <w:p>
            <w:pPr>
              <w:widowControl/>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套</w:t>
            </w:r>
          </w:p>
        </w:tc>
        <w:tc>
          <w:tcPr>
            <w:tcW w:w="740" w:type="dxa"/>
            <w:vMerge w:val="restart"/>
            <w:vAlign w:val="center"/>
          </w:tcPr>
          <w:p>
            <w:pPr>
              <w:widowControl/>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w:t>
            </w:r>
          </w:p>
        </w:tc>
        <w:tc>
          <w:tcPr>
            <w:tcW w:w="2485" w:type="dxa"/>
            <w:vMerge w:val="restart"/>
            <w:vAlign w:val="center"/>
          </w:tcPr>
          <w:p>
            <w:pPr>
              <w:widowControl/>
              <w:spacing w:line="360" w:lineRule="auto"/>
              <w:jc w:val="center"/>
              <w:rPr>
                <w:rFonts w:hint="eastAsia" w:asciiTheme="minorEastAsia" w:hAnsiTheme="minorEastAsia" w:eastAsiaTheme="minorEastAsia" w:cstheme="minorEastAsia"/>
                <w:color w:val="auto"/>
                <w:kern w:val="0"/>
                <w:sz w:val="21"/>
                <w:szCs w:val="21"/>
                <w:highlight w:val="none"/>
              </w:rPr>
            </w:pPr>
          </w:p>
        </w:tc>
        <w:tc>
          <w:tcPr>
            <w:tcW w:w="1524" w:type="dxa"/>
            <w:vMerge w:val="restart"/>
            <w:vAlign w:val="center"/>
          </w:tcPr>
          <w:p>
            <w:pPr>
              <w:widowControl/>
              <w:spacing w:line="240" w:lineRule="auto"/>
              <w:jc w:val="center"/>
              <w:rPr>
                <w:rFonts w:hint="eastAsia" w:asciiTheme="minorEastAsia" w:hAnsiTheme="minorEastAsia" w:eastAsiaTheme="minorEastAsia" w:cstheme="minorEastAsia"/>
                <w:color w:val="auto"/>
                <w:kern w:val="0"/>
                <w:sz w:val="21"/>
                <w:szCs w:val="21"/>
                <w:highlight w:val="none"/>
              </w:rPr>
            </w:pPr>
          </w:p>
        </w:tc>
        <w:tc>
          <w:tcPr>
            <w:tcW w:w="1094" w:type="dxa"/>
            <w:vMerge w:val="restart"/>
            <w:vAlign w:val="center"/>
          </w:tcPr>
          <w:p>
            <w:pPr>
              <w:widowControl/>
              <w:spacing w:line="240" w:lineRule="auto"/>
              <w:jc w:val="center"/>
              <w:rPr>
                <w:rFonts w:hint="eastAsia" w:asciiTheme="minorEastAsia" w:hAnsiTheme="minorEastAsia" w:eastAsiaTheme="minorEastAsia" w:cstheme="minorEastAsia"/>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784" w:type="dxa"/>
            <w:vMerge w:val="continue"/>
            <w:vAlign w:val="center"/>
          </w:tcPr>
          <w:p>
            <w:pPr>
              <w:widowControl/>
              <w:spacing w:line="240" w:lineRule="auto"/>
              <w:jc w:val="center"/>
              <w:rPr>
                <w:rFonts w:hint="eastAsia" w:asciiTheme="minorEastAsia" w:hAnsiTheme="minorEastAsia" w:eastAsiaTheme="minorEastAsia" w:cstheme="minorEastAsia"/>
                <w:color w:val="auto"/>
                <w:kern w:val="0"/>
                <w:sz w:val="21"/>
                <w:szCs w:val="21"/>
                <w:highlight w:val="none"/>
              </w:rPr>
            </w:pPr>
          </w:p>
        </w:tc>
        <w:tc>
          <w:tcPr>
            <w:tcW w:w="1403" w:type="dxa"/>
            <w:vMerge w:val="continue"/>
            <w:vAlign w:val="center"/>
          </w:tcPr>
          <w:p>
            <w:pPr>
              <w:widowControl/>
              <w:spacing w:line="360" w:lineRule="auto"/>
              <w:jc w:val="center"/>
              <w:rPr>
                <w:rFonts w:hint="eastAsia" w:asciiTheme="minorEastAsia" w:hAnsiTheme="minorEastAsia" w:eastAsiaTheme="minorEastAsia" w:cstheme="minorEastAsia"/>
                <w:color w:val="auto"/>
                <w:kern w:val="0"/>
                <w:sz w:val="21"/>
                <w:szCs w:val="21"/>
                <w:highlight w:val="none"/>
              </w:rPr>
            </w:pPr>
          </w:p>
        </w:tc>
        <w:tc>
          <w:tcPr>
            <w:tcW w:w="5466" w:type="dxa"/>
            <w:vAlign w:val="center"/>
          </w:tcPr>
          <w:p>
            <w:pPr>
              <w:widowControl/>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电机减速机参照（或相当于）</w:t>
            </w:r>
            <w:r>
              <w:rPr>
                <w:rFonts w:hint="eastAsia" w:asciiTheme="minorEastAsia" w:hAnsiTheme="minorEastAsia" w:eastAsiaTheme="minorEastAsia" w:cstheme="minorEastAsia"/>
                <w:color w:val="auto"/>
                <w:kern w:val="0"/>
                <w:sz w:val="21"/>
                <w:szCs w:val="21"/>
                <w:highlight w:val="none"/>
                <w:lang w:val="en-US" w:eastAsia="zh-CN"/>
              </w:rPr>
              <w:t>品牌</w:t>
            </w:r>
            <w:r>
              <w:rPr>
                <w:rFonts w:hint="eastAsia" w:asciiTheme="minorEastAsia" w:hAnsiTheme="minorEastAsia" w:eastAsiaTheme="minorEastAsia" w:cstheme="minorEastAsia"/>
                <w:color w:val="auto"/>
                <w:kern w:val="0"/>
                <w:sz w:val="21"/>
                <w:szCs w:val="21"/>
                <w:highlight w:val="none"/>
              </w:rPr>
              <w:t>：</w:t>
            </w:r>
            <w:r>
              <w:rPr>
                <w:rFonts w:hint="eastAsia" w:asciiTheme="minorEastAsia" w:hAnsiTheme="minorEastAsia" w:eastAsiaTheme="minorEastAsia" w:cstheme="minorEastAsia"/>
                <w:color w:val="auto"/>
                <w:kern w:val="0"/>
                <w:sz w:val="21"/>
                <w:szCs w:val="21"/>
                <w:highlight w:val="none"/>
                <w:u w:val="single"/>
              </w:rPr>
              <w:t>NORD</w:t>
            </w:r>
            <w:r>
              <w:rPr>
                <w:rFonts w:hint="eastAsia" w:asciiTheme="minorEastAsia" w:hAnsiTheme="minorEastAsia" w:eastAsiaTheme="minorEastAsia" w:cstheme="minorEastAsia"/>
                <w:color w:val="auto"/>
                <w:kern w:val="0"/>
                <w:sz w:val="21"/>
                <w:szCs w:val="21"/>
                <w:highlight w:val="none"/>
                <w:u w:val="single"/>
                <w:lang w:eastAsia="zh-CN"/>
              </w:rPr>
              <w:t>、</w:t>
            </w:r>
            <w:r>
              <w:rPr>
                <w:rFonts w:hint="eastAsia" w:asciiTheme="minorEastAsia" w:hAnsiTheme="minorEastAsia" w:eastAsiaTheme="minorEastAsia" w:cstheme="minorEastAsia"/>
                <w:i w:val="0"/>
                <w:caps w:val="0"/>
                <w:color w:val="auto"/>
                <w:spacing w:val="0"/>
                <w:kern w:val="0"/>
                <w:sz w:val="21"/>
                <w:szCs w:val="21"/>
                <w:highlight w:val="none"/>
                <w:u w:val="single"/>
                <w:shd w:val="clear" w:color="auto" w:fill="auto"/>
              </w:rPr>
              <w:t>SEW、弗兰德</w:t>
            </w:r>
            <w:r>
              <w:rPr>
                <w:rFonts w:hint="eastAsia" w:asciiTheme="minorEastAsia" w:hAnsiTheme="minorEastAsia" w:eastAsiaTheme="minorEastAsia" w:cstheme="minorEastAsia"/>
                <w:color w:val="auto"/>
                <w:kern w:val="0"/>
                <w:sz w:val="21"/>
                <w:szCs w:val="21"/>
                <w:highlight w:val="none"/>
              </w:rPr>
              <w:t>；功率:≤3KW；</w:t>
            </w:r>
          </w:p>
        </w:tc>
        <w:tc>
          <w:tcPr>
            <w:tcW w:w="669" w:type="dxa"/>
            <w:vMerge w:val="continue"/>
            <w:vAlign w:val="center"/>
          </w:tcPr>
          <w:p>
            <w:pPr>
              <w:widowControl/>
              <w:spacing w:line="360" w:lineRule="auto"/>
              <w:jc w:val="center"/>
              <w:rPr>
                <w:rFonts w:hint="eastAsia" w:asciiTheme="minorEastAsia" w:hAnsiTheme="minorEastAsia" w:eastAsiaTheme="minorEastAsia" w:cstheme="minorEastAsia"/>
                <w:color w:val="auto"/>
                <w:kern w:val="0"/>
                <w:sz w:val="21"/>
                <w:szCs w:val="21"/>
                <w:highlight w:val="none"/>
              </w:rPr>
            </w:pPr>
          </w:p>
        </w:tc>
        <w:tc>
          <w:tcPr>
            <w:tcW w:w="740" w:type="dxa"/>
            <w:vMerge w:val="continue"/>
            <w:vAlign w:val="center"/>
          </w:tcPr>
          <w:p>
            <w:pPr>
              <w:widowControl/>
              <w:spacing w:line="360" w:lineRule="auto"/>
              <w:jc w:val="center"/>
              <w:rPr>
                <w:rFonts w:hint="eastAsia" w:asciiTheme="minorEastAsia" w:hAnsiTheme="minorEastAsia" w:eastAsiaTheme="minorEastAsia" w:cstheme="minorEastAsia"/>
                <w:color w:val="auto"/>
                <w:kern w:val="0"/>
                <w:sz w:val="21"/>
                <w:szCs w:val="21"/>
                <w:highlight w:val="none"/>
              </w:rPr>
            </w:pPr>
          </w:p>
        </w:tc>
        <w:tc>
          <w:tcPr>
            <w:tcW w:w="2485" w:type="dxa"/>
            <w:vMerge w:val="continue"/>
            <w:vAlign w:val="center"/>
          </w:tcPr>
          <w:p>
            <w:pPr>
              <w:widowControl/>
              <w:spacing w:line="360" w:lineRule="auto"/>
              <w:jc w:val="center"/>
              <w:rPr>
                <w:rFonts w:hint="eastAsia" w:asciiTheme="minorEastAsia" w:hAnsiTheme="minorEastAsia" w:eastAsiaTheme="minorEastAsia" w:cstheme="minorEastAsia"/>
                <w:color w:val="auto"/>
                <w:kern w:val="0"/>
                <w:sz w:val="21"/>
                <w:szCs w:val="21"/>
                <w:highlight w:val="none"/>
              </w:rPr>
            </w:pPr>
          </w:p>
        </w:tc>
        <w:tc>
          <w:tcPr>
            <w:tcW w:w="1524" w:type="dxa"/>
            <w:vMerge w:val="continue"/>
            <w:vAlign w:val="center"/>
          </w:tcPr>
          <w:p>
            <w:pPr>
              <w:widowControl/>
              <w:spacing w:line="240" w:lineRule="auto"/>
              <w:jc w:val="center"/>
              <w:rPr>
                <w:rFonts w:hint="eastAsia" w:asciiTheme="minorEastAsia" w:hAnsiTheme="minorEastAsia" w:eastAsiaTheme="minorEastAsia" w:cstheme="minorEastAsia"/>
                <w:color w:val="auto"/>
                <w:kern w:val="0"/>
                <w:sz w:val="21"/>
                <w:szCs w:val="21"/>
                <w:highlight w:val="none"/>
              </w:rPr>
            </w:pPr>
          </w:p>
        </w:tc>
        <w:tc>
          <w:tcPr>
            <w:tcW w:w="1094" w:type="dxa"/>
            <w:vMerge w:val="continue"/>
            <w:vAlign w:val="center"/>
          </w:tcPr>
          <w:p>
            <w:pPr>
              <w:widowControl/>
              <w:spacing w:line="240" w:lineRule="auto"/>
              <w:jc w:val="center"/>
              <w:rPr>
                <w:rFonts w:hint="eastAsia" w:asciiTheme="minorEastAsia" w:hAnsiTheme="minorEastAsia" w:eastAsiaTheme="minorEastAsia" w:cstheme="minorEastAsia"/>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784" w:type="dxa"/>
            <w:vAlign w:val="center"/>
          </w:tcPr>
          <w:p>
            <w:pPr>
              <w:widowControl/>
              <w:spacing w:line="24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7</w:t>
            </w:r>
          </w:p>
        </w:tc>
        <w:tc>
          <w:tcPr>
            <w:tcW w:w="1403" w:type="dxa"/>
            <w:vAlign w:val="center"/>
          </w:tcPr>
          <w:p>
            <w:pPr>
              <w:widowControl/>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废气处理单元</w:t>
            </w:r>
          </w:p>
        </w:tc>
        <w:tc>
          <w:tcPr>
            <w:tcW w:w="5466" w:type="dxa"/>
            <w:vAlign w:val="center"/>
          </w:tcPr>
          <w:p>
            <w:pPr>
              <w:widowControl/>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初效过滤器、高效过滤器、活性炭，≤1.5KW风机；</w:t>
            </w:r>
          </w:p>
        </w:tc>
        <w:tc>
          <w:tcPr>
            <w:tcW w:w="669" w:type="dxa"/>
            <w:vAlign w:val="center"/>
          </w:tcPr>
          <w:p>
            <w:pPr>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套</w:t>
            </w:r>
          </w:p>
        </w:tc>
        <w:tc>
          <w:tcPr>
            <w:tcW w:w="740" w:type="dxa"/>
            <w:vAlign w:val="center"/>
          </w:tcPr>
          <w:p>
            <w:pPr>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w:t>
            </w:r>
          </w:p>
        </w:tc>
        <w:tc>
          <w:tcPr>
            <w:tcW w:w="2485" w:type="dxa"/>
            <w:vAlign w:val="center"/>
          </w:tcPr>
          <w:p>
            <w:pPr>
              <w:widowControl/>
              <w:spacing w:line="360" w:lineRule="auto"/>
              <w:jc w:val="center"/>
              <w:rPr>
                <w:rFonts w:hint="eastAsia" w:asciiTheme="minorEastAsia" w:hAnsiTheme="minorEastAsia" w:eastAsiaTheme="minorEastAsia" w:cstheme="minorEastAsia"/>
                <w:color w:val="auto"/>
                <w:kern w:val="0"/>
                <w:sz w:val="21"/>
                <w:szCs w:val="21"/>
                <w:highlight w:val="none"/>
              </w:rPr>
            </w:pPr>
          </w:p>
        </w:tc>
        <w:tc>
          <w:tcPr>
            <w:tcW w:w="1524" w:type="dxa"/>
            <w:vAlign w:val="center"/>
          </w:tcPr>
          <w:p>
            <w:pPr>
              <w:widowControl/>
              <w:spacing w:line="240" w:lineRule="auto"/>
              <w:jc w:val="center"/>
              <w:rPr>
                <w:rFonts w:hint="eastAsia" w:asciiTheme="minorEastAsia" w:hAnsiTheme="minorEastAsia" w:eastAsiaTheme="minorEastAsia" w:cstheme="minorEastAsia"/>
                <w:color w:val="auto"/>
                <w:kern w:val="0"/>
                <w:sz w:val="21"/>
                <w:szCs w:val="21"/>
                <w:highlight w:val="none"/>
              </w:rPr>
            </w:pPr>
          </w:p>
        </w:tc>
        <w:tc>
          <w:tcPr>
            <w:tcW w:w="1094" w:type="dxa"/>
            <w:vAlign w:val="center"/>
          </w:tcPr>
          <w:p>
            <w:pPr>
              <w:widowControl/>
              <w:spacing w:line="240" w:lineRule="auto"/>
              <w:jc w:val="center"/>
              <w:rPr>
                <w:rFonts w:hint="eastAsia" w:asciiTheme="minorEastAsia" w:hAnsiTheme="minorEastAsia" w:eastAsiaTheme="minorEastAsia" w:cstheme="minorEastAsia"/>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784" w:type="dxa"/>
            <w:vAlign w:val="center"/>
          </w:tcPr>
          <w:p>
            <w:pPr>
              <w:widowControl/>
              <w:spacing w:line="24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8</w:t>
            </w:r>
          </w:p>
        </w:tc>
        <w:tc>
          <w:tcPr>
            <w:tcW w:w="1403" w:type="dxa"/>
            <w:vAlign w:val="center"/>
          </w:tcPr>
          <w:p>
            <w:pPr>
              <w:widowControl/>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蒸汽发生器</w:t>
            </w:r>
          </w:p>
        </w:tc>
        <w:tc>
          <w:tcPr>
            <w:tcW w:w="5466" w:type="dxa"/>
            <w:vAlign w:val="center"/>
          </w:tcPr>
          <w:p>
            <w:pPr>
              <w:widowControl/>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功率:≤110KW，蒸汽产生量:≥150kg/h</w:t>
            </w:r>
          </w:p>
        </w:tc>
        <w:tc>
          <w:tcPr>
            <w:tcW w:w="669" w:type="dxa"/>
            <w:vAlign w:val="center"/>
          </w:tcPr>
          <w:p>
            <w:pPr>
              <w:widowControl/>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套</w:t>
            </w:r>
          </w:p>
        </w:tc>
        <w:tc>
          <w:tcPr>
            <w:tcW w:w="740" w:type="dxa"/>
            <w:vAlign w:val="center"/>
          </w:tcPr>
          <w:p>
            <w:pPr>
              <w:widowControl/>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w:t>
            </w:r>
          </w:p>
        </w:tc>
        <w:tc>
          <w:tcPr>
            <w:tcW w:w="2485" w:type="dxa"/>
            <w:vAlign w:val="center"/>
          </w:tcPr>
          <w:p>
            <w:pPr>
              <w:widowControl/>
              <w:spacing w:line="360" w:lineRule="auto"/>
              <w:jc w:val="center"/>
              <w:rPr>
                <w:rFonts w:hint="eastAsia" w:asciiTheme="minorEastAsia" w:hAnsiTheme="minorEastAsia" w:eastAsiaTheme="minorEastAsia" w:cstheme="minorEastAsia"/>
                <w:color w:val="auto"/>
                <w:kern w:val="0"/>
                <w:sz w:val="21"/>
                <w:szCs w:val="21"/>
                <w:highlight w:val="none"/>
              </w:rPr>
            </w:pPr>
          </w:p>
        </w:tc>
        <w:tc>
          <w:tcPr>
            <w:tcW w:w="1524" w:type="dxa"/>
            <w:vAlign w:val="center"/>
          </w:tcPr>
          <w:p>
            <w:pPr>
              <w:widowControl/>
              <w:spacing w:line="240" w:lineRule="auto"/>
              <w:jc w:val="center"/>
              <w:rPr>
                <w:rFonts w:hint="eastAsia" w:asciiTheme="minorEastAsia" w:hAnsiTheme="minorEastAsia" w:eastAsiaTheme="minorEastAsia" w:cstheme="minorEastAsia"/>
                <w:color w:val="auto"/>
                <w:kern w:val="0"/>
                <w:sz w:val="21"/>
                <w:szCs w:val="21"/>
                <w:highlight w:val="none"/>
              </w:rPr>
            </w:pPr>
          </w:p>
        </w:tc>
        <w:tc>
          <w:tcPr>
            <w:tcW w:w="1094" w:type="dxa"/>
            <w:vAlign w:val="center"/>
          </w:tcPr>
          <w:p>
            <w:pPr>
              <w:widowControl/>
              <w:spacing w:line="240" w:lineRule="auto"/>
              <w:jc w:val="center"/>
              <w:rPr>
                <w:rFonts w:hint="eastAsia" w:asciiTheme="minorEastAsia" w:hAnsiTheme="minorEastAsia" w:eastAsiaTheme="minorEastAsia" w:cstheme="minorEastAsia"/>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784" w:type="dxa"/>
            <w:vMerge w:val="restart"/>
            <w:vAlign w:val="center"/>
          </w:tcPr>
          <w:p>
            <w:pPr>
              <w:widowControl/>
              <w:spacing w:line="24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9</w:t>
            </w:r>
          </w:p>
        </w:tc>
        <w:tc>
          <w:tcPr>
            <w:tcW w:w="1403" w:type="dxa"/>
            <w:vMerge w:val="restart"/>
            <w:vAlign w:val="center"/>
          </w:tcPr>
          <w:p>
            <w:pPr>
              <w:widowControl/>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电气（含供电）控制及自动化单元</w:t>
            </w:r>
          </w:p>
        </w:tc>
        <w:tc>
          <w:tcPr>
            <w:tcW w:w="5466" w:type="dxa"/>
            <w:vAlign w:val="center"/>
          </w:tcPr>
          <w:p>
            <w:pPr>
              <w:widowControl/>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PLC 含工控机和控制软件参照（或相当于）</w:t>
            </w:r>
            <w:r>
              <w:rPr>
                <w:rFonts w:hint="eastAsia" w:asciiTheme="minorEastAsia" w:hAnsiTheme="minorEastAsia" w:eastAsiaTheme="minorEastAsia" w:cstheme="minorEastAsia"/>
                <w:color w:val="auto"/>
                <w:kern w:val="0"/>
                <w:sz w:val="21"/>
                <w:szCs w:val="21"/>
                <w:highlight w:val="none"/>
                <w:lang w:val="en-US" w:eastAsia="zh-CN"/>
              </w:rPr>
              <w:t>品牌</w:t>
            </w:r>
            <w:r>
              <w:rPr>
                <w:rFonts w:hint="eastAsia" w:asciiTheme="minorEastAsia" w:hAnsiTheme="minorEastAsia" w:eastAsiaTheme="minorEastAsia" w:cstheme="minorEastAsia"/>
                <w:color w:val="auto"/>
                <w:kern w:val="0"/>
                <w:sz w:val="21"/>
                <w:szCs w:val="21"/>
                <w:highlight w:val="none"/>
              </w:rPr>
              <w:t>ABB/西门子</w:t>
            </w:r>
            <w:r>
              <w:rPr>
                <w:rFonts w:hint="eastAsia" w:asciiTheme="minorEastAsia" w:hAnsiTheme="minorEastAsia" w:eastAsiaTheme="minorEastAsia" w:cstheme="minorEastAsia"/>
                <w:color w:val="auto"/>
                <w:kern w:val="0"/>
                <w:sz w:val="21"/>
                <w:szCs w:val="21"/>
                <w:highlight w:val="none"/>
                <w:lang w:val="en-US" w:eastAsia="zh-CN"/>
              </w:rPr>
              <w:t>/三菱</w:t>
            </w:r>
          </w:p>
        </w:tc>
        <w:tc>
          <w:tcPr>
            <w:tcW w:w="669" w:type="dxa"/>
            <w:vAlign w:val="center"/>
          </w:tcPr>
          <w:p>
            <w:pPr>
              <w:widowControl/>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套</w:t>
            </w:r>
          </w:p>
        </w:tc>
        <w:tc>
          <w:tcPr>
            <w:tcW w:w="740" w:type="dxa"/>
            <w:vAlign w:val="center"/>
          </w:tcPr>
          <w:p>
            <w:pPr>
              <w:widowControl/>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w:t>
            </w:r>
          </w:p>
        </w:tc>
        <w:tc>
          <w:tcPr>
            <w:tcW w:w="2485" w:type="dxa"/>
            <w:vMerge w:val="restart"/>
            <w:vAlign w:val="center"/>
          </w:tcPr>
          <w:p>
            <w:pPr>
              <w:widowControl/>
              <w:spacing w:line="360" w:lineRule="auto"/>
              <w:jc w:val="center"/>
              <w:rPr>
                <w:rFonts w:hint="eastAsia" w:asciiTheme="minorEastAsia" w:hAnsiTheme="minorEastAsia" w:eastAsiaTheme="minorEastAsia" w:cstheme="minorEastAsia"/>
                <w:color w:val="auto"/>
                <w:kern w:val="0"/>
                <w:sz w:val="21"/>
                <w:szCs w:val="21"/>
                <w:highlight w:val="none"/>
              </w:rPr>
            </w:pPr>
          </w:p>
        </w:tc>
        <w:tc>
          <w:tcPr>
            <w:tcW w:w="1524" w:type="dxa"/>
            <w:vMerge w:val="restart"/>
            <w:vAlign w:val="center"/>
          </w:tcPr>
          <w:p>
            <w:pPr>
              <w:widowControl/>
              <w:spacing w:line="240" w:lineRule="auto"/>
              <w:jc w:val="center"/>
              <w:rPr>
                <w:rFonts w:hint="eastAsia" w:asciiTheme="minorEastAsia" w:hAnsiTheme="minorEastAsia" w:eastAsiaTheme="minorEastAsia" w:cstheme="minorEastAsia"/>
                <w:color w:val="auto"/>
                <w:kern w:val="0"/>
                <w:sz w:val="21"/>
                <w:szCs w:val="21"/>
                <w:highlight w:val="none"/>
              </w:rPr>
            </w:pPr>
          </w:p>
        </w:tc>
        <w:tc>
          <w:tcPr>
            <w:tcW w:w="1094" w:type="dxa"/>
            <w:vMerge w:val="restart"/>
            <w:vAlign w:val="center"/>
          </w:tcPr>
          <w:p>
            <w:pPr>
              <w:widowControl/>
              <w:spacing w:line="240" w:lineRule="auto"/>
              <w:jc w:val="center"/>
              <w:rPr>
                <w:rFonts w:hint="eastAsia" w:asciiTheme="minorEastAsia" w:hAnsiTheme="minorEastAsia" w:eastAsiaTheme="minorEastAsia" w:cstheme="minorEastAsia"/>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784" w:type="dxa"/>
            <w:vMerge w:val="continue"/>
            <w:vAlign w:val="center"/>
          </w:tcPr>
          <w:p>
            <w:pPr>
              <w:widowControl/>
              <w:spacing w:line="240" w:lineRule="auto"/>
              <w:jc w:val="center"/>
              <w:rPr>
                <w:rFonts w:hint="eastAsia" w:asciiTheme="minorEastAsia" w:hAnsiTheme="minorEastAsia" w:eastAsiaTheme="minorEastAsia" w:cstheme="minorEastAsia"/>
                <w:color w:val="auto"/>
                <w:kern w:val="0"/>
                <w:sz w:val="21"/>
                <w:szCs w:val="21"/>
                <w:highlight w:val="none"/>
              </w:rPr>
            </w:pPr>
          </w:p>
        </w:tc>
        <w:tc>
          <w:tcPr>
            <w:tcW w:w="1403" w:type="dxa"/>
            <w:vMerge w:val="continue"/>
            <w:vAlign w:val="center"/>
          </w:tcPr>
          <w:p>
            <w:pPr>
              <w:spacing w:line="360" w:lineRule="auto"/>
              <w:jc w:val="center"/>
              <w:rPr>
                <w:rFonts w:hint="eastAsia" w:asciiTheme="minorEastAsia" w:hAnsiTheme="minorEastAsia" w:eastAsiaTheme="minorEastAsia" w:cstheme="minorEastAsia"/>
                <w:color w:val="auto"/>
                <w:kern w:val="0"/>
                <w:sz w:val="21"/>
                <w:szCs w:val="21"/>
                <w:highlight w:val="none"/>
              </w:rPr>
            </w:pPr>
          </w:p>
        </w:tc>
        <w:tc>
          <w:tcPr>
            <w:tcW w:w="5466" w:type="dxa"/>
            <w:vAlign w:val="center"/>
          </w:tcPr>
          <w:p>
            <w:pPr>
              <w:widowControl/>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继电器、接触器、漏电断路器、空气开关参照（或相当于）</w:t>
            </w:r>
            <w:r>
              <w:rPr>
                <w:rFonts w:hint="eastAsia" w:asciiTheme="minorEastAsia" w:hAnsiTheme="minorEastAsia" w:eastAsiaTheme="minorEastAsia" w:cstheme="minorEastAsia"/>
                <w:color w:val="auto"/>
                <w:kern w:val="0"/>
                <w:sz w:val="21"/>
                <w:szCs w:val="21"/>
                <w:highlight w:val="none"/>
                <w:lang w:val="en-US" w:eastAsia="zh-CN"/>
              </w:rPr>
              <w:t>品牌：</w:t>
            </w:r>
            <w:r>
              <w:rPr>
                <w:rFonts w:hint="eastAsia" w:asciiTheme="minorEastAsia" w:hAnsiTheme="minorEastAsia" w:eastAsiaTheme="minorEastAsia" w:cstheme="minorEastAsia"/>
                <w:color w:val="auto"/>
                <w:kern w:val="0"/>
                <w:sz w:val="21"/>
                <w:szCs w:val="21"/>
                <w:highlight w:val="none"/>
              </w:rPr>
              <w:t>图尔克、施耐德、西门子</w:t>
            </w:r>
          </w:p>
        </w:tc>
        <w:tc>
          <w:tcPr>
            <w:tcW w:w="669" w:type="dxa"/>
            <w:vAlign w:val="center"/>
          </w:tcPr>
          <w:p>
            <w:pPr>
              <w:widowControl/>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个</w:t>
            </w:r>
          </w:p>
        </w:tc>
        <w:tc>
          <w:tcPr>
            <w:tcW w:w="740" w:type="dxa"/>
            <w:vAlign w:val="center"/>
          </w:tcPr>
          <w:p>
            <w:pPr>
              <w:widowControl/>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若干</w:t>
            </w:r>
          </w:p>
        </w:tc>
        <w:tc>
          <w:tcPr>
            <w:tcW w:w="2485" w:type="dxa"/>
            <w:vMerge w:val="continue"/>
            <w:vAlign w:val="center"/>
          </w:tcPr>
          <w:p>
            <w:pPr>
              <w:widowControl/>
              <w:spacing w:line="360" w:lineRule="auto"/>
              <w:jc w:val="center"/>
              <w:rPr>
                <w:rFonts w:hint="eastAsia" w:asciiTheme="minorEastAsia" w:hAnsiTheme="minorEastAsia" w:eastAsiaTheme="minorEastAsia" w:cstheme="minorEastAsia"/>
                <w:color w:val="auto"/>
                <w:kern w:val="0"/>
                <w:sz w:val="21"/>
                <w:szCs w:val="21"/>
                <w:highlight w:val="none"/>
              </w:rPr>
            </w:pPr>
          </w:p>
        </w:tc>
        <w:tc>
          <w:tcPr>
            <w:tcW w:w="1524" w:type="dxa"/>
            <w:vMerge w:val="continue"/>
            <w:vAlign w:val="center"/>
          </w:tcPr>
          <w:p>
            <w:pPr>
              <w:widowControl/>
              <w:spacing w:line="240" w:lineRule="auto"/>
              <w:jc w:val="center"/>
              <w:rPr>
                <w:rFonts w:hint="eastAsia" w:asciiTheme="minorEastAsia" w:hAnsiTheme="minorEastAsia" w:eastAsiaTheme="minorEastAsia" w:cstheme="minorEastAsia"/>
                <w:color w:val="auto"/>
                <w:kern w:val="0"/>
                <w:sz w:val="21"/>
                <w:szCs w:val="21"/>
                <w:highlight w:val="none"/>
              </w:rPr>
            </w:pPr>
          </w:p>
        </w:tc>
        <w:tc>
          <w:tcPr>
            <w:tcW w:w="1094" w:type="dxa"/>
            <w:vMerge w:val="continue"/>
            <w:vAlign w:val="center"/>
          </w:tcPr>
          <w:p>
            <w:pPr>
              <w:widowControl/>
              <w:spacing w:line="240" w:lineRule="auto"/>
              <w:jc w:val="center"/>
              <w:rPr>
                <w:rFonts w:hint="eastAsia" w:asciiTheme="minorEastAsia" w:hAnsiTheme="minorEastAsia" w:eastAsiaTheme="minorEastAsia" w:cstheme="minorEastAsia"/>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784" w:type="dxa"/>
            <w:vMerge w:val="continue"/>
            <w:vAlign w:val="center"/>
          </w:tcPr>
          <w:p>
            <w:pPr>
              <w:widowControl/>
              <w:spacing w:line="240" w:lineRule="auto"/>
              <w:jc w:val="center"/>
              <w:rPr>
                <w:rFonts w:hint="eastAsia" w:asciiTheme="minorEastAsia" w:hAnsiTheme="minorEastAsia" w:eastAsiaTheme="minorEastAsia" w:cstheme="minorEastAsia"/>
                <w:color w:val="auto"/>
                <w:kern w:val="0"/>
                <w:sz w:val="21"/>
                <w:szCs w:val="21"/>
                <w:highlight w:val="none"/>
              </w:rPr>
            </w:pPr>
          </w:p>
        </w:tc>
        <w:tc>
          <w:tcPr>
            <w:tcW w:w="1403" w:type="dxa"/>
            <w:vMerge w:val="continue"/>
            <w:vAlign w:val="center"/>
          </w:tcPr>
          <w:p>
            <w:pPr>
              <w:spacing w:line="360" w:lineRule="auto"/>
              <w:jc w:val="center"/>
              <w:rPr>
                <w:rFonts w:hint="eastAsia" w:asciiTheme="minorEastAsia" w:hAnsiTheme="minorEastAsia" w:eastAsiaTheme="minorEastAsia" w:cstheme="minorEastAsia"/>
                <w:color w:val="auto"/>
                <w:kern w:val="0"/>
                <w:sz w:val="21"/>
                <w:szCs w:val="21"/>
                <w:highlight w:val="none"/>
              </w:rPr>
            </w:pPr>
          </w:p>
        </w:tc>
        <w:tc>
          <w:tcPr>
            <w:tcW w:w="5466" w:type="dxa"/>
            <w:vAlign w:val="center"/>
          </w:tcPr>
          <w:p>
            <w:pPr>
              <w:widowControl/>
              <w:spacing w:line="360" w:lineRule="auto"/>
              <w:jc w:val="center"/>
              <w:rPr>
                <w:rFonts w:hint="eastAsia" w:asciiTheme="minorEastAsia" w:hAnsiTheme="minorEastAsia" w:eastAsiaTheme="minorEastAsia" w:cstheme="minorEastAsia"/>
                <w:color w:val="auto"/>
                <w:kern w:val="0"/>
                <w:sz w:val="21"/>
                <w:szCs w:val="21"/>
                <w:highlight w:val="none"/>
                <w:lang w:eastAsia="zh-CN"/>
              </w:rPr>
            </w:pPr>
            <w:r>
              <w:rPr>
                <w:rFonts w:hint="eastAsia" w:asciiTheme="minorEastAsia" w:hAnsiTheme="minorEastAsia" w:eastAsiaTheme="minorEastAsia" w:cstheme="minorEastAsia"/>
                <w:b w:val="0"/>
                <w:bCs w:val="0"/>
                <w:color w:val="auto"/>
                <w:kern w:val="0"/>
                <w:sz w:val="21"/>
                <w:szCs w:val="21"/>
                <w:highlight w:val="none"/>
                <w:lang w:val="en-US" w:eastAsia="zh-CN"/>
              </w:rPr>
              <w:t>光电开关</w:t>
            </w:r>
            <w:r>
              <w:rPr>
                <w:rFonts w:hint="eastAsia" w:asciiTheme="minorEastAsia" w:hAnsiTheme="minorEastAsia" w:eastAsiaTheme="minorEastAsia" w:cstheme="minorEastAsia"/>
                <w:color w:val="auto"/>
                <w:kern w:val="0"/>
                <w:sz w:val="21"/>
                <w:szCs w:val="21"/>
                <w:highlight w:val="none"/>
              </w:rPr>
              <w:t>参照（或相当于）</w:t>
            </w:r>
            <w:r>
              <w:rPr>
                <w:rFonts w:hint="eastAsia" w:asciiTheme="minorEastAsia" w:hAnsiTheme="minorEastAsia" w:eastAsiaTheme="minorEastAsia" w:cstheme="minorEastAsia"/>
                <w:color w:val="auto"/>
                <w:kern w:val="0"/>
                <w:sz w:val="21"/>
                <w:szCs w:val="21"/>
                <w:highlight w:val="none"/>
                <w:lang w:val="en-US" w:eastAsia="zh-CN"/>
              </w:rPr>
              <w:t>品牌</w:t>
            </w:r>
            <w:r>
              <w:rPr>
                <w:rFonts w:hint="eastAsia" w:asciiTheme="minorEastAsia" w:hAnsiTheme="minorEastAsia" w:eastAsiaTheme="minorEastAsia" w:cstheme="minorEastAsia"/>
                <w:b w:val="0"/>
                <w:bCs w:val="0"/>
                <w:color w:val="auto"/>
                <w:kern w:val="0"/>
                <w:sz w:val="21"/>
                <w:szCs w:val="21"/>
                <w:highlight w:val="none"/>
                <w:lang w:val="en-US" w:eastAsia="zh-CN"/>
              </w:rPr>
              <w:t>：欧姆龙、松下、基恩士；或模块压力开关</w:t>
            </w:r>
          </w:p>
        </w:tc>
        <w:tc>
          <w:tcPr>
            <w:tcW w:w="669" w:type="dxa"/>
            <w:vAlign w:val="center"/>
          </w:tcPr>
          <w:p>
            <w:pPr>
              <w:widowControl/>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个</w:t>
            </w:r>
          </w:p>
        </w:tc>
        <w:tc>
          <w:tcPr>
            <w:tcW w:w="740" w:type="dxa"/>
            <w:vAlign w:val="center"/>
          </w:tcPr>
          <w:p>
            <w:pPr>
              <w:widowControl/>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4</w:t>
            </w:r>
          </w:p>
        </w:tc>
        <w:tc>
          <w:tcPr>
            <w:tcW w:w="2485" w:type="dxa"/>
            <w:vMerge w:val="continue"/>
            <w:vAlign w:val="center"/>
          </w:tcPr>
          <w:p>
            <w:pPr>
              <w:widowControl/>
              <w:spacing w:line="360" w:lineRule="auto"/>
              <w:jc w:val="center"/>
              <w:rPr>
                <w:rFonts w:hint="eastAsia" w:asciiTheme="minorEastAsia" w:hAnsiTheme="minorEastAsia" w:eastAsiaTheme="minorEastAsia" w:cstheme="minorEastAsia"/>
                <w:color w:val="auto"/>
                <w:kern w:val="0"/>
                <w:sz w:val="21"/>
                <w:szCs w:val="21"/>
                <w:highlight w:val="none"/>
              </w:rPr>
            </w:pPr>
          </w:p>
        </w:tc>
        <w:tc>
          <w:tcPr>
            <w:tcW w:w="1524" w:type="dxa"/>
            <w:vMerge w:val="continue"/>
            <w:vAlign w:val="center"/>
          </w:tcPr>
          <w:p>
            <w:pPr>
              <w:widowControl/>
              <w:spacing w:line="240" w:lineRule="auto"/>
              <w:jc w:val="center"/>
              <w:rPr>
                <w:rFonts w:hint="eastAsia" w:asciiTheme="minorEastAsia" w:hAnsiTheme="minorEastAsia" w:eastAsiaTheme="minorEastAsia" w:cstheme="minorEastAsia"/>
                <w:color w:val="auto"/>
                <w:kern w:val="0"/>
                <w:sz w:val="21"/>
                <w:szCs w:val="21"/>
                <w:highlight w:val="none"/>
              </w:rPr>
            </w:pPr>
          </w:p>
        </w:tc>
        <w:tc>
          <w:tcPr>
            <w:tcW w:w="1094" w:type="dxa"/>
            <w:vMerge w:val="continue"/>
            <w:vAlign w:val="center"/>
          </w:tcPr>
          <w:p>
            <w:pPr>
              <w:widowControl/>
              <w:spacing w:line="240" w:lineRule="auto"/>
              <w:jc w:val="center"/>
              <w:rPr>
                <w:rFonts w:hint="eastAsia" w:asciiTheme="minorEastAsia" w:hAnsiTheme="minorEastAsia" w:eastAsiaTheme="minorEastAsia" w:cstheme="minorEastAsia"/>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blHeader/>
          <w:jc w:val="center"/>
        </w:trPr>
        <w:tc>
          <w:tcPr>
            <w:tcW w:w="784" w:type="dxa"/>
            <w:vMerge w:val="continue"/>
            <w:vAlign w:val="center"/>
          </w:tcPr>
          <w:p>
            <w:pPr>
              <w:widowControl/>
              <w:spacing w:line="240" w:lineRule="auto"/>
              <w:jc w:val="center"/>
              <w:rPr>
                <w:rFonts w:hint="eastAsia" w:asciiTheme="minorEastAsia" w:hAnsiTheme="minorEastAsia" w:eastAsiaTheme="minorEastAsia" w:cstheme="minorEastAsia"/>
                <w:color w:val="auto"/>
                <w:kern w:val="0"/>
                <w:sz w:val="21"/>
                <w:szCs w:val="21"/>
                <w:highlight w:val="none"/>
              </w:rPr>
            </w:pPr>
          </w:p>
        </w:tc>
        <w:tc>
          <w:tcPr>
            <w:tcW w:w="1403" w:type="dxa"/>
            <w:vMerge w:val="continue"/>
            <w:vAlign w:val="center"/>
          </w:tcPr>
          <w:p>
            <w:pPr>
              <w:widowControl/>
              <w:spacing w:line="360" w:lineRule="auto"/>
              <w:jc w:val="center"/>
              <w:rPr>
                <w:rFonts w:hint="eastAsia" w:asciiTheme="minorEastAsia" w:hAnsiTheme="minorEastAsia" w:eastAsiaTheme="minorEastAsia" w:cstheme="minorEastAsia"/>
                <w:color w:val="auto"/>
                <w:kern w:val="0"/>
                <w:sz w:val="21"/>
                <w:szCs w:val="21"/>
                <w:highlight w:val="none"/>
              </w:rPr>
            </w:pPr>
          </w:p>
        </w:tc>
        <w:tc>
          <w:tcPr>
            <w:tcW w:w="5466" w:type="dxa"/>
            <w:vAlign w:val="center"/>
          </w:tcPr>
          <w:p>
            <w:pPr>
              <w:widowControl/>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温度传感器：0-200℃</w:t>
            </w:r>
          </w:p>
        </w:tc>
        <w:tc>
          <w:tcPr>
            <w:tcW w:w="669" w:type="dxa"/>
            <w:vAlign w:val="center"/>
          </w:tcPr>
          <w:p>
            <w:pPr>
              <w:widowControl/>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个</w:t>
            </w:r>
          </w:p>
        </w:tc>
        <w:tc>
          <w:tcPr>
            <w:tcW w:w="740" w:type="dxa"/>
            <w:vAlign w:val="center"/>
          </w:tcPr>
          <w:p>
            <w:pPr>
              <w:widowControl/>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5</w:t>
            </w:r>
          </w:p>
        </w:tc>
        <w:tc>
          <w:tcPr>
            <w:tcW w:w="2485" w:type="dxa"/>
            <w:vMerge w:val="continue"/>
            <w:vAlign w:val="center"/>
          </w:tcPr>
          <w:p>
            <w:pPr>
              <w:widowControl/>
              <w:spacing w:line="360" w:lineRule="auto"/>
              <w:jc w:val="center"/>
              <w:rPr>
                <w:rFonts w:hint="eastAsia" w:asciiTheme="minorEastAsia" w:hAnsiTheme="minorEastAsia" w:eastAsiaTheme="minorEastAsia" w:cstheme="minorEastAsia"/>
                <w:color w:val="auto"/>
                <w:kern w:val="0"/>
                <w:sz w:val="21"/>
                <w:szCs w:val="21"/>
                <w:highlight w:val="none"/>
              </w:rPr>
            </w:pPr>
          </w:p>
        </w:tc>
        <w:tc>
          <w:tcPr>
            <w:tcW w:w="1524" w:type="dxa"/>
            <w:vMerge w:val="continue"/>
            <w:vAlign w:val="center"/>
          </w:tcPr>
          <w:p>
            <w:pPr>
              <w:widowControl/>
              <w:spacing w:line="240" w:lineRule="auto"/>
              <w:jc w:val="center"/>
              <w:rPr>
                <w:rFonts w:hint="eastAsia" w:asciiTheme="minorEastAsia" w:hAnsiTheme="minorEastAsia" w:eastAsiaTheme="minorEastAsia" w:cstheme="minorEastAsia"/>
                <w:color w:val="auto"/>
                <w:kern w:val="0"/>
                <w:sz w:val="21"/>
                <w:szCs w:val="21"/>
                <w:highlight w:val="none"/>
              </w:rPr>
            </w:pPr>
          </w:p>
        </w:tc>
        <w:tc>
          <w:tcPr>
            <w:tcW w:w="1094" w:type="dxa"/>
            <w:vMerge w:val="continue"/>
            <w:vAlign w:val="center"/>
          </w:tcPr>
          <w:p>
            <w:pPr>
              <w:widowControl/>
              <w:spacing w:line="240" w:lineRule="auto"/>
              <w:jc w:val="center"/>
              <w:rPr>
                <w:rFonts w:hint="eastAsia" w:asciiTheme="minorEastAsia" w:hAnsiTheme="minorEastAsia" w:eastAsiaTheme="minorEastAsia" w:cstheme="minorEastAsia"/>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tblHeader/>
          <w:jc w:val="center"/>
        </w:trPr>
        <w:tc>
          <w:tcPr>
            <w:tcW w:w="784" w:type="dxa"/>
            <w:vMerge w:val="continue"/>
            <w:vAlign w:val="center"/>
          </w:tcPr>
          <w:p>
            <w:pPr>
              <w:widowControl/>
              <w:spacing w:line="240" w:lineRule="auto"/>
              <w:jc w:val="center"/>
              <w:rPr>
                <w:rFonts w:hint="eastAsia" w:asciiTheme="minorEastAsia" w:hAnsiTheme="minorEastAsia" w:eastAsiaTheme="minorEastAsia" w:cstheme="minorEastAsia"/>
                <w:color w:val="auto"/>
                <w:kern w:val="0"/>
                <w:sz w:val="21"/>
                <w:szCs w:val="21"/>
                <w:highlight w:val="none"/>
              </w:rPr>
            </w:pPr>
          </w:p>
        </w:tc>
        <w:tc>
          <w:tcPr>
            <w:tcW w:w="1403" w:type="dxa"/>
            <w:vMerge w:val="continue"/>
            <w:vAlign w:val="center"/>
          </w:tcPr>
          <w:p>
            <w:pPr>
              <w:widowControl/>
              <w:spacing w:line="360" w:lineRule="auto"/>
              <w:jc w:val="center"/>
              <w:rPr>
                <w:rFonts w:hint="eastAsia" w:asciiTheme="minorEastAsia" w:hAnsiTheme="minorEastAsia" w:eastAsiaTheme="minorEastAsia" w:cstheme="minorEastAsia"/>
                <w:color w:val="auto"/>
                <w:kern w:val="0"/>
                <w:sz w:val="21"/>
                <w:szCs w:val="21"/>
                <w:highlight w:val="none"/>
              </w:rPr>
            </w:pPr>
          </w:p>
        </w:tc>
        <w:tc>
          <w:tcPr>
            <w:tcW w:w="5466" w:type="dxa"/>
            <w:vAlign w:val="center"/>
          </w:tcPr>
          <w:p>
            <w:pPr>
              <w:widowControl/>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控制屏及PLC：ABB</w:t>
            </w: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rPr>
              <w:t>西门子</w:t>
            </w: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lang w:val="en-US" w:eastAsia="zh-CN"/>
              </w:rPr>
              <w:t>三菱</w:t>
            </w:r>
          </w:p>
        </w:tc>
        <w:tc>
          <w:tcPr>
            <w:tcW w:w="669" w:type="dxa"/>
            <w:vAlign w:val="center"/>
          </w:tcPr>
          <w:p>
            <w:pPr>
              <w:widowControl/>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套</w:t>
            </w:r>
          </w:p>
        </w:tc>
        <w:tc>
          <w:tcPr>
            <w:tcW w:w="740" w:type="dxa"/>
            <w:vAlign w:val="center"/>
          </w:tcPr>
          <w:p>
            <w:pPr>
              <w:widowControl/>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w:t>
            </w:r>
          </w:p>
        </w:tc>
        <w:tc>
          <w:tcPr>
            <w:tcW w:w="2485" w:type="dxa"/>
            <w:vMerge w:val="continue"/>
            <w:vAlign w:val="center"/>
          </w:tcPr>
          <w:p>
            <w:pPr>
              <w:widowControl/>
              <w:spacing w:line="360" w:lineRule="auto"/>
              <w:jc w:val="center"/>
              <w:rPr>
                <w:rFonts w:hint="eastAsia" w:asciiTheme="minorEastAsia" w:hAnsiTheme="minorEastAsia" w:eastAsiaTheme="minorEastAsia" w:cstheme="minorEastAsia"/>
                <w:color w:val="auto"/>
                <w:kern w:val="0"/>
                <w:sz w:val="21"/>
                <w:szCs w:val="21"/>
                <w:highlight w:val="none"/>
              </w:rPr>
            </w:pPr>
          </w:p>
        </w:tc>
        <w:tc>
          <w:tcPr>
            <w:tcW w:w="1524" w:type="dxa"/>
            <w:vMerge w:val="continue"/>
            <w:vAlign w:val="center"/>
          </w:tcPr>
          <w:p>
            <w:pPr>
              <w:widowControl/>
              <w:spacing w:line="240" w:lineRule="auto"/>
              <w:jc w:val="center"/>
              <w:rPr>
                <w:rFonts w:hint="eastAsia" w:asciiTheme="minorEastAsia" w:hAnsiTheme="minorEastAsia" w:eastAsiaTheme="minorEastAsia" w:cstheme="minorEastAsia"/>
                <w:color w:val="auto"/>
                <w:kern w:val="0"/>
                <w:sz w:val="21"/>
                <w:szCs w:val="21"/>
                <w:highlight w:val="none"/>
              </w:rPr>
            </w:pPr>
          </w:p>
        </w:tc>
        <w:tc>
          <w:tcPr>
            <w:tcW w:w="1094" w:type="dxa"/>
            <w:vMerge w:val="continue"/>
            <w:vAlign w:val="center"/>
          </w:tcPr>
          <w:p>
            <w:pPr>
              <w:widowControl/>
              <w:spacing w:line="240" w:lineRule="auto"/>
              <w:jc w:val="center"/>
              <w:rPr>
                <w:rFonts w:hint="eastAsia" w:asciiTheme="minorEastAsia" w:hAnsiTheme="minorEastAsia" w:eastAsiaTheme="minorEastAsia" w:cstheme="minorEastAsia"/>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784" w:type="dxa"/>
            <w:vAlign w:val="center"/>
          </w:tcPr>
          <w:p>
            <w:pPr>
              <w:widowControl/>
              <w:spacing w:line="24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w:t>
            </w:r>
          </w:p>
        </w:tc>
        <w:tc>
          <w:tcPr>
            <w:tcW w:w="1403" w:type="dxa"/>
            <w:vAlign w:val="center"/>
          </w:tcPr>
          <w:p>
            <w:pPr>
              <w:widowControl/>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冷水机</w:t>
            </w:r>
          </w:p>
        </w:tc>
        <w:tc>
          <w:tcPr>
            <w:tcW w:w="5466" w:type="dxa"/>
            <w:vAlign w:val="center"/>
          </w:tcPr>
          <w:p>
            <w:pPr>
              <w:widowControl/>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冷量：≥</w:t>
            </w:r>
            <w:r>
              <w:rPr>
                <w:rFonts w:hint="eastAsia" w:asciiTheme="minorEastAsia" w:hAnsiTheme="minorEastAsia" w:eastAsiaTheme="minorEastAsia" w:cstheme="minorEastAsia"/>
                <w:color w:val="auto"/>
                <w:kern w:val="0"/>
                <w:sz w:val="21"/>
                <w:szCs w:val="21"/>
                <w:highlight w:val="none"/>
                <w:u w:val="none"/>
              </w:rPr>
              <w:t xml:space="preserve"> 14000 </w:t>
            </w:r>
            <w:r>
              <w:rPr>
                <w:rFonts w:hint="eastAsia" w:asciiTheme="minorEastAsia" w:hAnsiTheme="minorEastAsia" w:eastAsiaTheme="minorEastAsia" w:cstheme="minorEastAsia"/>
                <w:color w:val="auto"/>
                <w:kern w:val="0"/>
                <w:sz w:val="21"/>
                <w:szCs w:val="21"/>
                <w:highlight w:val="none"/>
              </w:rPr>
              <w:t>W功率：≥3P</w:t>
            </w:r>
          </w:p>
        </w:tc>
        <w:tc>
          <w:tcPr>
            <w:tcW w:w="669" w:type="dxa"/>
            <w:vAlign w:val="center"/>
          </w:tcPr>
          <w:p>
            <w:pPr>
              <w:widowControl/>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台</w:t>
            </w:r>
          </w:p>
        </w:tc>
        <w:tc>
          <w:tcPr>
            <w:tcW w:w="740" w:type="dxa"/>
            <w:vAlign w:val="center"/>
          </w:tcPr>
          <w:p>
            <w:pPr>
              <w:widowControl/>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w:t>
            </w:r>
          </w:p>
        </w:tc>
        <w:tc>
          <w:tcPr>
            <w:tcW w:w="2485" w:type="dxa"/>
            <w:vAlign w:val="center"/>
          </w:tcPr>
          <w:p>
            <w:pPr>
              <w:widowControl/>
              <w:spacing w:line="360" w:lineRule="auto"/>
              <w:jc w:val="center"/>
              <w:rPr>
                <w:rFonts w:hint="eastAsia" w:asciiTheme="minorEastAsia" w:hAnsiTheme="minorEastAsia" w:eastAsiaTheme="minorEastAsia" w:cstheme="minorEastAsia"/>
                <w:color w:val="auto"/>
                <w:kern w:val="0"/>
                <w:sz w:val="21"/>
                <w:szCs w:val="21"/>
                <w:highlight w:val="none"/>
              </w:rPr>
            </w:pPr>
          </w:p>
        </w:tc>
        <w:tc>
          <w:tcPr>
            <w:tcW w:w="1524" w:type="dxa"/>
            <w:vAlign w:val="center"/>
          </w:tcPr>
          <w:p>
            <w:pPr>
              <w:widowControl/>
              <w:spacing w:line="240" w:lineRule="auto"/>
              <w:jc w:val="center"/>
              <w:rPr>
                <w:rFonts w:hint="eastAsia" w:asciiTheme="minorEastAsia" w:hAnsiTheme="minorEastAsia" w:eastAsiaTheme="minorEastAsia" w:cstheme="minorEastAsia"/>
                <w:color w:val="auto"/>
                <w:kern w:val="0"/>
                <w:sz w:val="21"/>
                <w:szCs w:val="21"/>
                <w:highlight w:val="none"/>
              </w:rPr>
            </w:pPr>
          </w:p>
        </w:tc>
        <w:tc>
          <w:tcPr>
            <w:tcW w:w="1094" w:type="dxa"/>
            <w:vAlign w:val="center"/>
          </w:tcPr>
          <w:p>
            <w:pPr>
              <w:widowControl/>
              <w:spacing w:line="240" w:lineRule="auto"/>
              <w:jc w:val="center"/>
              <w:rPr>
                <w:rFonts w:hint="eastAsia" w:asciiTheme="minorEastAsia" w:hAnsiTheme="minorEastAsia" w:eastAsiaTheme="minorEastAsia" w:cstheme="minorEastAsia"/>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784" w:type="dxa"/>
            <w:vAlign w:val="center"/>
          </w:tcPr>
          <w:p>
            <w:pPr>
              <w:widowControl/>
              <w:spacing w:line="24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11</w:t>
            </w:r>
          </w:p>
        </w:tc>
        <w:tc>
          <w:tcPr>
            <w:tcW w:w="1403" w:type="dxa"/>
            <w:vAlign w:val="center"/>
          </w:tcPr>
          <w:p>
            <w:pPr>
              <w:widowControl/>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在线式微波测漏仪</w:t>
            </w:r>
          </w:p>
        </w:tc>
        <w:tc>
          <w:tcPr>
            <w:tcW w:w="5466" w:type="dxa"/>
            <w:vAlign w:val="center"/>
          </w:tcPr>
          <w:p>
            <w:pPr>
              <w:widowControl/>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功率密度测量范围：0.01-</w:t>
            </w:r>
            <w:r>
              <w:rPr>
                <w:rFonts w:hint="eastAsia" w:asciiTheme="minorEastAsia" w:hAnsiTheme="minorEastAsia" w:eastAsiaTheme="minorEastAsia" w:cstheme="minorEastAsia"/>
                <w:color w:val="auto"/>
                <w:kern w:val="0"/>
                <w:sz w:val="21"/>
                <w:szCs w:val="21"/>
                <w:highlight w:val="none"/>
                <w:lang w:val="en-US" w:eastAsia="zh-CN"/>
              </w:rPr>
              <w:t>9</w:t>
            </w:r>
            <w:r>
              <w:rPr>
                <w:rFonts w:hint="eastAsia" w:asciiTheme="minorEastAsia" w:hAnsiTheme="minorEastAsia" w:eastAsiaTheme="minorEastAsia" w:cstheme="minorEastAsia"/>
                <w:color w:val="auto"/>
                <w:kern w:val="0"/>
                <w:sz w:val="21"/>
                <w:szCs w:val="21"/>
                <w:highlight w:val="none"/>
              </w:rPr>
              <w:t>.99mw/cm</w:t>
            </w:r>
            <w:r>
              <w:rPr>
                <w:rFonts w:hint="eastAsia" w:asciiTheme="minorEastAsia" w:hAnsiTheme="minorEastAsia" w:eastAsiaTheme="minorEastAsia" w:cstheme="minorEastAsia"/>
                <w:color w:val="auto"/>
                <w:kern w:val="0"/>
                <w:sz w:val="21"/>
                <w:szCs w:val="21"/>
                <w:highlight w:val="none"/>
                <w:vertAlign w:val="superscript"/>
              </w:rPr>
              <w:t>2</w:t>
            </w:r>
          </w:p>
          <w:p>
            <w:pPr>
              <w:widowControl/>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工作频段：0.9</w:t>
            </w:r>
            <w:r>
              <w:rPr>
                <w:rFonts w:hint="eastAsia" w:asciiTheme="minorEastAsia" w:hAnsiTheme="minorEastAsia" w:eastAsiaTheme="minorEastAsia" w:cstheme="minorEastAsia"/>
                <w:color w:val="auto"/>
                <w:kern w:val="0"/>
                <w:sz w:val="21"/>
                <w:szCs w:val="21"/>
                <w:highlight w:val="none"/>
                <w:lang w:val="en-US" w:eastAsia="zh-CN"/>
              </w:rPr>
              <w:t>G</w:t>
            </w:r>
            <w:r>
              <w:rPr>
                <w:rFonts w:hint="eastAsia" w:asciiTheme="minorEastAsia" w:hAnsiTheme="minorEastAsia" w:eastAsiaTheme="minorEastAsia" w:cstheme="minorEastAsia"/>
                <w:color w:val="auto"/>
                <w:kern w:val="0"/>
                <w:sz w:val="21"/>
                <w:szCs w:val="21"/>
                <w:highlight w:val="none"/>
              </w:rPr>
              <w:t>-3.0</w:t>
            </w:r>
            <w:r>
              <w:rPr>
                <w:rFonts w:hint="eastAsia" w:asciiTheme="minorEastAsia" w:hAnsiTheme="minorEastAsia" w:eastAsiaTheme="minorEastAsia" w:cstheme="minorEastAsia"/>
                <w:color w:val="auto"/>
                <w:kern w:val="0"/>
                <w:sz w:val="21"/>
                <w:szCs w:val="21"/>
                <w:highlight w:val="none"/>
                <w:lang w:val="en-US" w:eastAsia="zh-CN"/>
              </w:rPr>
              <w:t>G</w:t>
            </w:r>
            <w:r>
              <w:rPr>
                <w:rFonts w:hint="eastAsia" w:asciiTheme="minorEastAsia" w:hAnsiTheme="minorEastAsia" w:eastAsiaTheme="minorEastAsia" w:cstheme="minorEastAsia"/>
                <w:color w:val="auto"/>
                <w:kern w:val="0"/>
                <w:sz w:val="21"/>
                <w:szCs w:val="21"/>
                <w:highlight w:val="none"/>
              </w:rPr>
              <w:t>HZ</w:t>
            </w:r>
          </w:p>
        </w:tc>
        <w:tc>
          <w:tcPr>
            <w:tcW w:w="669" w:type="dxa"/>
            <w:vAlign w:val="center"/>
          </w:tcPr>
          <w:p>
            <w:pPr>
              <w:widowControl/>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个</w:t>
            </w:r>
          </w:p>
        </w:tc>
        <w:tc>
          <w:tcPr>
            <w:tcW w:w="740" w:type="dxa"/>
            <w:vAlign w:val="center"/>
          </w:tcPr>
          <w:p>
            <w:pPr>
              <w:widowControl/>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w:t>
            </w:r>
          </w:p>
        </w:tc>
        <w:tc>
          <w:tcPr>
            <w:tcW w:w="2485" w:type="dxa"/>
            <w:vAlign w:val="center"/>
          </w:tcPr>
          <w:p>
            <w:pPr>
              <w:widowControl/>
              <w:spacing w:line="360" w:lineRule="auto"/>
              <w:jc w:val="center"/>
              <w:rPr>
                <w:rFonts w:hint="eastAsia" w:asciiTheme="minorEastAsia" w:hAnsiTheme="minorEastAsia" w:eastAsiaTheme="minorEastAsia" w:cstheme="minorEastAsia"/>
                <w:color w:val="auto"/>
                <w:kern w:val="0"/>
                <w:sz w:val="21"/>
                <w:szCs w:val="21"/>
                <w:highlight w:val="none"/>
              </w:rPr>
            </w:pPr>
          </w:p>
        </w:tc>
        <w:tc>
          <w:tcPr>
            <w:tcW w:w="1524" w:type="dxa"/>
            <w:vAlign w:val="center"/>
          </w:tcPr>
          <w:p>
            <w:pPr>
              <w:widowControl/>
              <w:spacing w:line="240" w:lineRule="auto"/>
              <w:jc w:val="center"/>
              <w:rPr>
                <w:rFonts w:hint="eastAsia" w:asciiTheme="minorEastAsia" w:hAnsiTheme="minorEastAsia" w:eastAsiaTheme="minorEastAsia" w:cstheme="minorEastAsia"/>
                <w:color w:val="auto"/>
                <w:kern w:val="0"/>
                <w:sz w:val="21"/>
                <w:szCs w:val="21"/>
                <w:highlight w:val="none"/>
              </w:rPr>
            </w:pPr>
          </w:p>
        </w:tc>
        <w:tc>
          <w:tcPr>
            <w:tcW w:w="1094" w:type="dxa"/>
            <w:vAlign w:val="center"/>
          </w:tcPr>
          <w:p>
            <w:pPr>
              <w:widowControl/>
              <w:spacing w:line="240" w:lineRule="auto"/>
              <w:jc w:val="center"/>
              <w:rPr>
                <w:rFonts w:hint="eastAsia" w:asciiTheme="minorEastAsia" w:hAnsiTheme="minorEastAsia" w:eastAsiaTheme="minorEastAsia" w:cstheme="minorEastAsia"/>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784" w:type="dxa"/>
            <w:vMerge w:val="restart"/>
            <w:vAlign w:val="center"/>
          </w:tcPr>
          <w:p>
            <w:pPr>
              <w:widowControl/>
              <w:spacing w:line="240" w:lineRule="auto"/>
              <w:jc w:val="center"/>
              <w:rPr>
                <w:rFonts w:hint="eastAsia" w:asciiTheme="minorEastAsia" w:hAnsiTheme="minorEastAsia" w:eastAsiaTheme="minorEastAsia" w:cstheme="minorEastAsia"/>
                <w:b/>
                <w:bCs/>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12</w:t>
            </w:r>
          </w:p>
        </w:tc>
        <w:tc>
          <w:tcPr>
            <w:tcW w:w="1403" w:type="dxa"/>
            <w:vMerge w:val="restart"/>
            <w:vAlign w:val="center"/>
          </w:tcPr>
          <w:p>
            <w:pPr>
              <w:widowControl/>
              <w:spacing w:line="360" w:lineRule="auto"/>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设备监控系统</w:t>
            </w:r>
          </w:p>
        </w:tc>
        <w:tc>
          <w:tcPr>
            <w:tcW w:w="5466" w:type="dxa"/>
            <w:vAlign w:val="center"/>
          </w:tcPr>
          <w:p>
            <w:pPr>
              <w:spacing w:line="360" w:lineRule="auto"/>
              <w:jc w:val="center"/>
              <w:rPr>
                <w:rFonts w:hint="eastAsia" w:asciiTheme="minorEastAsia" w:hAnsiTheme="minorEastAsia" w:eastAsiaTheme="minorEastAsia" w:cstheme="minorEastAsia"/>
                <w:b/>
                <w:bCs/>
                <w:color w:val="auto"/>
                <w:kern w:val="0"/>
                <w:sz w:val="21"/>
                <w:szCs w:val="21"/>
                <w:highlight w:val="none"/>
                <w:lang w:eastAsia="zh-CN"/>
              </w:rPr>
            </w:pPr>
            <w:r>
              <w:rPr>
                <w:rFonts w:hint="eastAsia" w:asciiTheme="minorEastAsia" w:hAnsiTheme="minorEastAsia" w:eastAsiaTheme="minorEastAsia" w:cstheme="minorEastAsia"/>
                <w:color w:val="auto"/>
                <w:kern w:val="0"/>
                <w:sz w:val="21"/>
                <w:szCs w:val="21"/>
                <w:highlight w:val="none"/>
              </w:rPr>
              <w:t>录像机参照（或相当于）</w:t>
            </w:r>
            <w:r>
              <w:rPr>
                <w:rFonts w:hint="eastAsia" w:asciiTheme="minorEastAsia" w:hAnsiTheme="minorEastAsia" w:eastAsiaTheme="minorEastAsia" w:cstheme="minorEastAsia"/>
                <w:color w:val="auto"/>
                <w:kern w:val="0"/>
                <w:sz w:val="21"/>
                <w:szCs w:val="21"/>
                <w:highlight w:val="none"/>
                <w:lang w:val="en-US" w:eastAsia="zh-CN"/>
              </w:rPr>
              <w:t>品牌</w:t>
            </w:r>
            <w:r>
              <w:rPr>
                <w:rFonts w:hint="eastAsia" w:asciiTheme="minorEastAsia" w:hAnsiTheme="minorEastAsia" w:eastAsiaTheme="minorEastAsia" w:cstheme="minorEastAsia"/>
                <w:color w:val="auto"/>
                <w:kern w:val="0"/>
                <w:sz w:val="21"/>
                <w:szCs w:val="21"/>
                <w:highlight w:val="none"/>
                <w:lang w:eastAsia="zh-CN"/>
              </w:rPr>
              <w:t>：海康威视、大华、安迅士</w:t>
            </w:r>
          </w:p>
        </w:tc>
        <w:tc>
          <w:tcPr>
            <w:tcW w:w="669" w:type="dxa"/>
            <w:vMerge w:val="restart"/>
            <w:vAlign w:val="center"/>
          </w:tcPr>
          <w:p>
            <w:pPr>
              <w:widowControl/>
              <w:spacing w:line="360" w:lineRule="auto"/>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套</w:t>
            </w:r>
          </w:p>
        </w:tc>
        <w:tc>
          <w:tcPr>
            <w:tcW w:w="740" w:type="dxa"/>
            <w:vMerge w:val="restart"/>
            <w:vAlign w:val="center"/>
          </w:tcPr>
          <w:p>
            <w:pPr>
              <w:widowControl/>
              <w:spacing w:line="360" w:lineRule="auto"/>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w:t>
            </w:r>
          </w:p>
        </w:tc>
        <w:tc>
          <w:tcPr>
            <w:tcW w:w="2485" w:type="dxa"/>
            <w:vMerge w:val="restart"/>
            <w:vAlign w:val="center"/>
          </w:tcPr>
          <w:p>
            <w:pPr>
              <w:widowControl/>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需接入</w:t>
            </w:r>
            <w:r>
              <w:rPr>
                <w:rFonts w:hint="eastAsia" w:asciiTheme="minorEastAsia" w:hAnsiTheme="minorEastAsia" w:eastAsiaTheme="minorEastAsia" w:cstheme="minorEastAsia"/>
                <w:color w:val="auto"/>
                <w:kern w:val="0"/>
                <w:sz w:val="21"/>
                <w:szCs w:val="21"/>
                <w:highlight w:val="none"/>
                <w:lang w:eastAsia="zh-CN"/>
              </w:rPr>
              <w:t>招标人</w:t>
            </w:r>
            <w:r>
              <w:rPr>
                <w:rFonts w:hint="eastAsia" w:asciiTheme="minorEastAsia" w:hAnsiTheme="minorEastAsia" w:eastAsiaTheme="minorEastAsia" w:cstheme="minorEastAsia"/>
                <w:color w:val="auto"/>
                <w:kern w:val="0"/>
                <w:sz w:val="21"/>
                <w:szCs w:val="21"/>
                <w:highlight w:val="none"/>
              </w:rPr>
              <w:t>监控系统</w:t>
            </w:r>
          </w:p>
        </w:tc>
        <w:tc>
          <w:tcPr>
            <w:tcW w:w="1524" w:type="dxa"/>
            <w:vMerge w:val="restart"/>
            <w:vAlign w:val="center"/>
          </w:tcPr>
          <w:p>
            <w:pPr>
              <w:widowControl/>
              <w:spacing w:line="240" w:lineRule="auto"/>
              <w:jc w:val="center"/>
              <w:rPr>
                <w:rFonts w:hint="eastAsia" w:asciiTheme="minorEastAsia" w:hAnsiTheme="minorEastAsia" w:eastAsiaTheme="minorEastAsia" w:cstheme="minorEastAsia"/>
                <w:color w:val="auto"/>
                <w:kern w:val="0"/>
                <w:sz w:val="21"/>
                <w:szCs w:val="21"/>
                <w:highlight w:val="none"/>
              </w:rPr>
            </w:pPr>
          </w:p>
        </w:tc>
        <w:tc>
          <w:tcPr>
            <w:tcW w:w="1094" w:type="dxa"/>
            <w:vMerge w:val="restart"/>
            <w:vAlign w:val="center"/>
          </w:tcPr>
          <w:p>
            <w:pPr>
              <w:widowControl/>
              <w:spacing w:line="240" w:lineRule="auto"/>
              <w:jc w:val="center"/>
              <w:rPr>
                <w:rFonts w:hint="eastAsia" w:asciiTheme="minorEastAsia" w:hAnsiTheme="minorEastAsia" w:eastAsiaTheme="minorEastAsia" w:cstheme="minorEastAsia"/>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784" w:type="dxa"/>
            <w:vMerge w:val="continue"/>
            <w:vAlign w:val="center"/>
          </w:tcPr>
          <w:p>
            <w:pPr>
              <w:widowControl/>
              <w:spacing w:line="240" w:lineRule="auto"/>
              <w:jc w:val="center"/>
              <w:rPr>
                <w:rFonts w:hint="eastAsia" w:asciiTheme="minorEastAsia" w:hAnsiTheme="minorEastAsia" w:eastAsiaTheme="minorEastAsia" w:cstheme="minorEastAsia"/>
                <w:b/>
                <w:bCs/>
                <w:color w:val="auto"/>
                <w:kern w:val="0"/>
                <w:sz w:val="21"/>
                <w:szCs w:val="21"/>
                <w:highlight w:val="none"/>
              </w:rPr>
            </w:pPr>
          </w:p>
        </w:tc>
        <w:tc>
          <w:tcPr>
            <w:tcW w:w="1403" w:type="dxa"/>
            <w:vMerge w:val="continue"/>
            <w:vAlign w:val="center"/>
          </w:tcPr>
          <w:p>
            <w:pPr>
              <w:widowControl/>
              <w:spacing w:line="360" w:lineRule="auto"/>
              <w:jc w:val="center"/>
              <w:rPr>
                <w:rFonts w:hint="eastAsia" w:asciiTheme="minorEastAsia" w:hAnsiTheme="minorEastAsia" w:eastAsiaTheme="minorEastAsia" w:cstheme="minorEastAsia"/>
                <w:b/>
                <w:bCs/>
                <w:color w:val="auto"/>
                <w:kern w:val="0"/>
                <w:sz w:val="21"/>
                <w:szCs w:val="21"/>
                <w:highlight w:val="none"/>
              </w:rPr>
            </w:pPr>
          </w:p>
        </w:tc>
        <w:tc>
          <w:tcPr>
            <w:tcW w:w="5466" w:type="dxa"/>
            <w:vAlign w:val="center"/>
          </w:tcPr>
          <w:p>
            <w:pPr>
              <w:spacing w:line="360" w:lineRule="auto"/>
              <w:jc w:val="center"/>
              <w:rPr>
                <w:rFonts w:hint="eastAsia" w:asciiTheme="minorEastAsia" w:hAnsiTheme="minorEastAsia" w:eastAsiaTheme="minorEastAsia" w:cstheme="minorEastAsia"/>
                <w:b/>
                <w:bCs/>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rPr>
              <w:t>硬盘（1T）（数据保存6个月以上）参照（或相当于）</w:t>
            </w:r>
            <w:r>
              <w:rPr>
                <w:rFonts w:hint="eastAsia" w:asciiTheme="minorEastAsia" w:hAnsiTheme="minorEastAsia" w:eastAsiaTheme="minorEastAsia" w:cstheme="minorEastAsia"/>
                <w:color w:val="auto"/>
                <w:kern w:val="0"/>
                <w:sz w:val="21"/>
                <w:szCs w:val="21"/>
                <w:highlight w:val="none"/>
                <w:lang w:val="en-US" w:eastAsia="zh-CN"/>
              </w:rPr>
              <w:t>品牌：</w:t>
            </w:r>
            <w:r>
              <w:rPr>
                <w:rFonts w:hint="eastAsia" w:asciiTheme="minorEastAsia" w:hAnsiTheme="minorEastAsia" w:eastAsiaTheme="minorEastAsia" w:cstheme="minorEastAsia"/>
                <w:color w:val="auto"/>
                <w:kern w:val="0"/>
                <w:sz w:val="21"/>
                <w:szCs w:val="21"/>
                <w:highlight w:val="none"/>
              </w:rPr>
              <w:t>希捷、海康威视、大华</w:t>
            </w:r>
          </w:p>
        </w:tc>
        <w:tc>
          <w:tcPr>
            <w:tcW w:w="669" w:type="dxa"/>
            <w:vMerge w:val="continue"/>
            <w:vAlign w:val="center"/>
          </w:tcPr>
          <w:p>
            <w:pPr>
              <w:widowControl/>
              <w:spacing w:line="360" w:lineRule="auto"/>
              <w:jc w:val="center"/>
              <w:rPr>
                <w:rFonts w:hint="eastAsia" w:asciiTheme="minorEastAsia" w:hAnsiTheme="minorEastAsia" w:eastAsiaTheme="minorEastAsia" w:cstheme="minorEastAsia"/>
                <w:b/>
                <w:bCs/>
                <w:color w:val="auto"/>
                <w:kern w:val="0"/>
                <w:sz w:val="21"/>
                <w:szCs w:val="21"/>
                <w:highlight w:val="none"/>
              </w:rPr>
            </w:pPr>
          </w:p>
        </w:tc>
        <w:tc>
          <w:tcPr>
            <w:tcW w:w="740" w:type="dxa"/>
            <w:vMerge w:val="continue"/>
            <w:vAlign w:val="center"/>
          </w:tcPr>
          <w:p>
            <w:pPr>
              <w:widowControl/>
              <w:spacing w:line="360" w:lineRule="auto"/>
              <w:jc w:val="center"/>
              <w:rPr>
                <w:rFonts w:hint="eastAsia" w:asciiTheme="minorEastAsia" w:hAnsiTheme="minorEastAsia" w:eastAsiaTheme="minorEastAsia" w:cstheme="minorEastAsia"/>
                <w:b/>
                <w:bCs/>
                <w:color w:val="auto"/>
                <w:kern w:val="0"/>
                <w:sz w:val="21"/>
                <w:szCs w:val="21"/>
                <w:highlight w:val="none"/>
              </w:rPr>
            </w:pPr>
          </w:p>
        </w:tc>
        <w:tc>
          <w:tcPr>
            <w:tcW w:w="2485" w:type="dxa"/>
            <w:vMerge w:val="continue"/>
            <w:vAlign w:val="center"/>
          </w:tcPr>
          <w:p>
            <w:pPr>
              <w:widowControl/>
              <w:spacing w:line="360" w:lineRule="auto"/>
              <w:jc w:val="center"/>
              <w:rPr>
                <w:rFonts w:hint="eastAsia" w:asciiTheme="minorEastAsia" w:hAnsiTheme="minorEastAsia" w:eastAsiaTheme="minorEastAsia" w:cstheme="minorEastAsia"/>
                <w:color w:val="auto"/>
                <w:kern w:val="0"/>
                <w:sz w:val="21"/>
                <w:szCs w:val="21"/>
                <w:highlight w:val="none"/>
              </w:rPr>
            </w:pPr>
          </w:p>
        </w:tc>
        <w:tc>
          <w:tcPr>
            <w:tcW w:w="1524" w:type="dxa"/>
            <w:vMerge w:val="continue"/>
            <w:vAlign w:val="center"/>
          </w:tcPr>
          <w:p>
            <w:pPr>
              <w:widowControl/>
              <w:spacing w:line="240" w:lineRule="auto"/>
              <w:jc w:val="center"/>
              <w:rPr>
                <w:rFonts w:hint="eastAsia" w:asciiTheme="minorEastAsia" w:hAnsiTheme="minorEastAsia" w:eastAsiaTheme="minorEastAsia" w:cstheme="minorEastAsia"/>
                <w:color w:val="auto"/>
                <w:kern w:val="0"/>
                <w:sz w:val="21"/>
                <w:szCs w:val="21"/>
                <w:highlight w:val="none"/>
              </w:rPr>
            </w:pPr>
          </w:p>
        </w:tc>
        <w:tc>
          <w:tcPr>
            <w:tcW w:w="1094" w:type="dxa"/>
            <w:vMerge w:val="continue"/>
            <w:vAlign w:val="center"/>
          </w:tcPr>
          <w:p>
            <w:pPr>
              <w:widowControl/>
              <w:spacing w:line="240" w:lineRule="auto"/>
              <w:jc w:val="center"/>
              <w:rPr>
                <w:rFonts w:hint="eastAsia" w:asciiTheme="minorEastAsia" w:hAnsiTheme="minorEastAsia" w:eastAsiaTheme="minorEastAsia" w:cstheme="minorEastAsia"/>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784" w:type="dxa"/>
            <w:vMerge w:val="continue"/>
            <w:vAlign w:val="center"/>
          </w:tcPr>
          <w:p>
            <w:pPr>
              <w:widowControl/>
              <w:spacing w:line="240" w:lineRule="auto"/>
              <w:jc w:val="center"/>
              <w:rPr>
                <w:rFonts w:hint="eastAsia" w:asciiTheme="minorEastAsia" w:hAnsiTheme="minorEastAsia" w:eastAsiaTheme="minorEastAsia" w:cstheme="minorEastAsia"/>
                <w:b/>
                <w:bCs/>
                <w:color w:val="auto"/>
                <w:kern w:val="0"/>
                <w:sz w:val="21"/>
                <w:szCs w:val="21"/>
                <w:highlight w:val="none"/>
              </w:rPr>
            </w:pPr>
          </w:p>
        </w:tc>
        <w:tc>
          <w:tcPr>
            <w:tcW w:w="1403" w:type="dxa"/>
            <w:vMerge w:val="continue"/>
            <w:vAlign w:val="center"/>
          </w:tcPr>
          <w:p>
            <w:pPr>
              <w:widowControl/>
              <w:spacing w:line="360" w:lineRule="auto"/>
              <w:jc w:val="center"/>
              <w:rPr>
                <w:rFonts w:hint="eastAsia" w:asciiTheme="minorEastAsia" w:hAnsiTheme="minorEastAsia" w:eastAsiaTheme="minorEastAsia" w:cstheme="minorEastAsia"/>
                <w:b/>
                <w:bCs/>
                <w:color w:val="auto"/>
                <w:kern w:val="0"/>
                <w:sz w:val="21"/>
                <w:szCs w:val="21"/>
                <w:highlight w:val="none"/>
              </w:rPr>
            </w:pPr>
          </w:p>
        </w:tc>
        <w:tc>
          <w:tcPr>
            <w:tcW w:w="5466" w:type="dxa"/>
            <w:vAlign w:val="center"/>
          </w:tcPr>
          <w:p>
            <w:pPr>
              <w:spacing w:line="360" w:lineRule="auto"/>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摄像头（3个）参照（或相当于）</w:t>
            </w:r>
            <w:r>
              <w:rPr>
                <w:rFonts w:hint="eastAsia" w:asciiTheme="minorEastAsia" w:hAnsiTheme="minorEastAsia" w:eastAsiaTheme="minorEastAsia" w:cstheme="minorEastAsia"/>
                <w:color w:val="auto"/>
                <w:kern w:val="0"/>
                <w:sz w:val="21"/>
                <w:szCs w:val="21"/>
                <w:highlight w:val="none"/>
                <w:lang w:val="en-US" w:eastAsia="zh-CN"/>
              </w:rPr>
              <w:t>品牌</w:t>
            </w:r>
            <w:r>
              <w:rPr>
                <w:rFonts w:hint="eastAsia" w:asciiTheme="minorEastAsia" w:hAnsiTheme="minorEastAsia" w:eastAsiaTheme="minorEastAsia" w:cstheme="minorEastAsia"/>
                <w:color w:val="auto"/>
                <w:kern w:val="0"/>
                <w:sz w:val="21"/>
                <w:szCs w:val="21"/>
                <w:highlight w:val="none"/>
                <w:lang w:eastAsia="zh-CN"/>
              </w:rPr>
              <w:t>：海康威视、大华、安迅士</w:t>
            </w:r>
          </w:p>
        </w:tc>
        <w:tc>
          <w:tcPr>
            <w:tcW w:w="669" w:type="dxa"/>
            <w:vMerge w:val="continue"/>
            <w:vAlign w:val="center"/>
          </w:tcPr>
          <w:p>
            <w:pPr>
              <w:widowControl/>
              <w:spacing w:line="360" w:lineRule="auto"/>
              <w:jc w:val="center"/>
              <w:rPr>
                <w:rFonts w:hint="eastAsia" w:asciiTheme="minorEastAsia" w:hAnsiTheme="minorEastAsia" w:eastAsiaTheme="minorEastAsia" w:cstheme="minorEastAsia"/>
                <w:b/>
                <w:bCs/>
                <w:color w:val="auto"/>
                <w:kern w:val="0"/>
                <w:sz w:val="21"/>
                <w:szCs w:val="21"/>
                <w:highlight w:val="none"/>
              </w:rPr>
            </w:pPr>
          </w:p>
        </w:tc>
        <w:tc>
          <w:tcPr>
            <w:tcW w:w="740" w:type="dxa"/>
            <w:vMerge w:val="continue"/>
            <w:vAlign w:val="center"/>
          </w:tcPr>
          <w:p>
            <w:pPr>
              <w:widowControl/>
              <w:spacing w:line="360" w:lineRule="auto"/>
              <w:jc w:val="center"/>
              <w:rPr>
                <w:rFonts w:hint="eastAsia" w:asciiTheme="minorEastAsia" w:hAnsiTheme="minorEastAsia" w:eastAsiaTheme="minorEastAsia" w:cstheme="minorEastAsia"/>
                <w:b/>
                <w:bCs/>
                <w:color w:val="auto"/>
                <w:kern w:val="0"/>
                <w:sz w:val="21"/>
                <w:szCs w:val="21"/>
                <w:highlight w:val="none"/>
              </w:rPr>
            </w:pPr>
          </w:p>
        </w:tc>
        <w:tc>
          <w:tcPr>
            <w:tcW w:w="2485" w:type="dxa"/>
            <w:vMerge w:val="continue"/>
            <w:vAlign w:val="center"/>
          </w:tcPr>
          <w:p>
            <w:pPr>
              <w:widowControl/>
              <w:spacing w:line="360" w:lineRule="auto"/>
              <w:jc w:val="center"/>
              <w:rPr>
                <w:rFonts w:hint="eastAsia" w:asciiTheme="minorEastAsia" w:hAnsiTheme="minorEastAsia" w:eastAsiaTheme="minorEastAsia" w:cstheme="minorEastAsia"/>
                <w:color w:val="auto"/>
                <w:kern w:val="0"/>
                <w:sz w:val="21"/>
                <w:szCs w:val="21"/>
                <w:highlight w:val="none"/>
              </w:rPr>
            </w:pPr>
          </w:p>
        </w:tc>
        <w:tc>
          <w:tcPr>
            <w:tcW w:w="1524" w:type="dxa"/>
            <w:vMerge w:val="continue"/>
            <w:vAlign w:val="center"/>
          </w:tcPr>
          <w:p>
            <w:pPr>
              <w:widowControl/>
              <w:spacing w:line="240" w:lineRule="auto"/>
              <w:jc w:val="center"/>
              <w:rPr>
                <w:rFonts w:hint="eastAsia" w:asciiTheme="minorEastAsia" w:hAnsiTheme="minorEastAsia" w:eastAsiaTheme="minorEastAsia" w:cstheme="minorEastAsia"/>
                <w:color w:val="auto"/>
                <w:kern w:val="0"/>
                <w:sz w:val="21"/>
                <w:szCs w:val="21"/>
                <w:highlight w:val="none"/>
              </w:rPr>
            </w:pPr>
          </w:p>
        </w:tc>
        <w:tc>
          <w:tcPr>
            <w:tcW w:w="1094" w:type="dxa"/>
            <w:vMerge w:val="continue"/>
            <w:vAlign w:val="center"/>
          </w:tcPr>
          <w:p>
            <w:pPr>
              <w:widowControl/>
              <w:spacing w:line="240" w:lineRule="auto"/>
              <w:jc w:val="center"/>
              <w:rPr>
                <w:rFonts w:hint="eastAsia" w:asciiTheme="minorEastAsia" w:hAnsiTheme="minorEastAsia" w:eastAsiaTheme="minorEastAsia" w:cstheme="minorEastAsia"/>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784" w:type="dxa"/>
            <w:vMerge w:val="restart"/>
            <w:vAlign w:val="center"/>
          </w:tcPr>
          <w:p>
            <w:pPr>
              <w:widowControl/>
              <w:spacing w:line="240" w:lineRule="auto"/>
              <w:jc w:val="center"/>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13</w:t>
            </w:r>
          </w:p>
        </w:tc>
        <w:tc>
          <w:tcPr>
            <w:tcW w:w="1403" w:type="dxa"/>
            <w:vMerge w:val="restart"/>
            <w:vAlign w:val="center"/>
          </w:tcPr>
          <w:p>
            <w:pPr>
              <w:widowControl/>
              <w:spacing w:line="360" w:lineRule="auto"/>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称重系统</w:t>
            </w:r>
          </w:p>
        </w:tc>
        <w:tc>
          <w:tcPr>
            <w:tcW w:w="5466" w:type="dxa"/>
            <w:vAlign w:val="center"/>
          </w:tcPr>
          <w:p>
            <w:pPr>
              <w:spacing w:line="360" w:lineRule="auto"/>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平台称（量程：≥500KG）</w:t>
            </w:r>
          </w:p>
        </w:tc>
        <w:tc>
          <w:tcPr>
            <w:tcW w:w="669" w:type="dxa"/>
            <w:vMerge w:val="restart"/>
            <w:vAlign w:val="center"/>
          </w:tcPr>
          <w:p>
            <w:pPr>
              <w:widowControl/>
              <w:spacing w:line="360" w:lineRule="auto"/>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套</w:t>
            </w:r>
          </w:p>
        </w:tc>
        <w:tc>
          <w:tcPr>
            <w:tcW w:w="740" w:type="dxa"/>
            <w:vMerge w:val="restart"/>
            <w:vAlign w:val="center"/>
          </w:tcPr>
          <w:p>
            <w:pPr>
              <w:widowControl/>
              <w:spacing w:line="360" w:lineRule="auto"/>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w:t>
            </w:r>
          </w:p>
        </w:tc>
        <w:tc>
          <w:tcPr>
            <w:tcW w:w="2485" w:type="dxa"/>
            <w:vMerge w:val="restart"/>
            <w:vAlign w:val="center"/>
          </w:tcPr>
          <w:p>
            <w:pPr>
              <w:widowControl/>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需接入</w:t>
            </w:r>
            <w:r>
              <w:rPr>
                <w:rFonts w:hint="eastAsia" w:asciiTheme="minorEastAsia" w:hAnsiTheme="minorEastAsia" w:eastAsiaTheme="minorEastAsia" w:cstheme="minorEastAsia"/>
                <w:color w:val="auto"/>
                <w:kern w:val="0"/>
                <w:sz w:val="21"/>
                <w:szCs w:val="21"/>
                <w:highlight w:val="none"/>
                <w:lang w:eastAsia="zh-CN"/>
              </w:rPr>
              <w:t>招标人</w:t>
            </w:r>
            <w:r>
              <w:rPr>
                <w:rFonts w:hint="eastAsia" w:asciiTheme="minorEastAsia" w:hAnsiTheme="minorEastAsia" w:eastAsiaTheme="minorEastAsia" w:cstheme="minorEastAsia"/>
                <w:color w:val="auto"/>
                <w:kern w:val="0"/>
                <w:sz w:val="21"/>
                <w:szCs w:val="21"/>
                <w:highlight w:val="none"/>
                <w:lang w:val="en-US" w:eastAsia="zh-CN"/>
              </w:rPr>
              <w:t>生产管理</w:t>
            </w:r>
            <w:r>
              <w:rPr>
                <w:rFonts w:hint="eastAsia" w:asciiTheme="minorEastAsia" w:hAnsiTheme="minorEastAsia" w:eastAsiaTheme="minorEastAsia" w:cstheme="minorEastAsia"/>
                <w:color w:val="auto"/>
                <w:kern w:val="0"/>
                <w:sz w:val="21"/>
                <w:szCs w:val="21"/>
                <w:highlight w:val="none"/>
              </w:rPr>
              <w:t>系统</w:t>
            </w:r>
          </w:p>
        </w:tc>
        <w:tc>
          <w:tcPr>
            <w:tcW w:w="1524" w:type="dxa"/>
            <w:vMerge w:val="restart"/>
            <w:vAlign w:val="center"/>
          </w:tcPr>
          <w:p>
            <w:pPr>
              <w:widowControl/>
              <w:spacing w:line="240" w:lineRule="auto"/>
              <w:jc w:val="center"/>
              <w:rPr>
                <w:rFonts w:hint="eastAsia" w:asciiTheme="minorEastAsia" w:hAnsiTheme="minorEastAsia" w:eastAsiaTheme="minorEastAsia" w:cstheme="minorEastAsia"/>
                <w:color w:val="auto"/>
                <w:kern w:val="0"/>
                <w:sz w:val="21"/>
                <w:szCs w:val="21"/>
                <w:highlight w:val="none"/>
              </w:rPr>
            </w:pPr>
          </w:p>
        </w:tc>
        <w:tc>
          <w:tcPr>
            <w:tcW w:w="1094" w:type="dxa"/>
            <w:vMerge w:val="restart"/>
            <w:vAlign w:val="center"/>
          </w:tcPr>
          <w:p>
            <w:pPr>
              <w:widowControl/>
              <w:spacing w:line="240" w:lineRule="auto"/>
              <w:jc w:val="center"/>
              <w:rPr>
                <w:rFonts w:hint="eastAsia" w:asciiTheme="minorEastAsia" w:hAnsiTheme="minorEastAsia" w:eastAsiaTheme="minorEastAsia" w:cstheme="minorEastAsia"/>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784" w:type="dxa"/>
            <w:vMerge w:val="continue"/>
            <w:vAlign w:val="center"/>
          </w:tcPr>
          <w:p>
            <w:pPr>
              <w:widowControl/>
              <w:spacing w:line="240" w:lineRule="auto"/>
              <w:jc w:val="center"/>
              <w:rPr>
                <w:rFonts w:hint="eastAsia" w:asciiTheme="minorEastAsia" w:hAnsiTheme="minorEastAsia" w:eastAsiaTheme="minorEastAsia" w:cstheme="minorEastAsia"/>
                <w:color w:val="auto"/>
                <w:kern w:val="0"/>
                <w:sz w:val="21"/>
                <w:szCs w:val="21"/>
                <w:highlight w:val="none"/>
                <w:lang w:val="en-US" w:eastAsia="zh-CN"/>
              </w:rPr>
            </w:pPr>
          </w:p>
        </w:tc>
        <w:tc>
          <w:tcPr>
            <w:tcW w:w="1403" w:type="dxa"/>
            <w:vMerge w:val="continue"/>
            <w:vAlign w:val="center"/>
          </w:tcPr>
          <w:p>
            <w:pPr>
              <w:widowControl/>
              <w:spacing w:line="360" w:lineRule="auto"/>
              <w:jc w:val="center"/>
              <w:rPr>
                <w:rFonts w:hint="eastAsia" w:asciiTheme="minorEastAsia" w:hAnsiTheme="minorEastAsia" w:eastAsiaTheme="minorEastAsia" w:cstheme="minorEastAsia"/>
                <w:b/>
                <w:bCs/>
                <w:color w:val="auto"/>
                <w:kern w:val="0"/>
                <w:sz w:val="21"/>
                <w:szCs w:val="21"/>
                <w:highlight w:val="none"/>
              </w:rPr>
            </w:pPr>
          </w:p>
        </w:tc>
        <w:tc>
          <w:tcPr>
            <w:tcW w:w="5466" w:type="dxa"/>
            <w:vAlign w:val="center"/>
          </w:tcPr>
          <w:p>
            <w:pPr>
              <w:spacing w:line="360" w:lineRule="auto"/>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称重仪表，其数据要远传至PLC、累积，带现场显示</w:t>
            </w:r>
          </w:p>
        </w:tc>
        <w:tc>
          <w:tcPr>
            <w:tcW w:w="669" w:type="dxa"/>
            <w:vMerge w:val="continue"/>
            <w:vAlign w:val="center"/>
          </w:tcPr>
          <w:p>
            <w:pPr>
              <w:widowControl/>
              <w:spacing w:line="360" w:lineRule="auto"/>
              <w:jc w:val="center"/>
              <w:rPr>
                <w:rFonts w:hint="eastAsia" w:asciiTheme="minorEastAsia" w:hAnsiTheme="minorEastAsia" w:eastAsiaTheme="minorEastAsia" w:cstheme="minorEastAsia"/>
                <w:b/>
                <w:bCs/>
                <w:color w:val="auto"/>
                <w:kern w:val="0"/>
                <w:sz w:val="21"/>
                <w:szCs w:val="21"/>
                <w:highlight w:val="none"/>
              </w:rPr>
            </w:pPr>
          </w:p>
        </w:tc>
        <w:tc>
          <w:tcPr>
            <w:tcW w:w="740" w:type="dxa"/>
            <w:vMerge w:val="continue"/>
            <w:vAlign w:val="center"/>
          </w:tcPr>
          <w:p>
            <w:pPr>
              <w:widowControl/>
              <w:spacing w:line="360" w:lineRule="auto"/>
              <w:jc w:val="center"/>
              <w:rPr>
                <w:rFonts w:hint="eastAsia" w:asciiTheme="minorEastAsia" w:hAnsiTheme="minorEastAsia" w:eastAsiaTheme="minorEastAsia" w:cstheme="minorEastAsia"/>
                <w:b/>
                <w:bCs/>
                <w:color w:val="auto"/>
                <w:kern w:val="0"/>
                <w:sz w:val="21"/>
                <w:szCs w:val="21"/>
                <w:highlight w:val="none"/>
              </w:rPr>
            </w:pPr>
          </w:p>
        </w:tc>
        <w:tc>
          <w:tcPr>
            <w:tcW w:w="2485" w:type="dxa"/>
            <w:vMerge w:val="continue"/>
            <w:vAlign w:val="center"/>
          </w:tcPr>
          <w:p>
            <w:pPr>
              <w:widowControl/>
              <w:spacing w:line="360" w:lineRule="auto"/>
              <w:jc w:val="center"/>
              <w:rPr>
                <w:rFonts w:hint="eastAsia" w:asciiTheme="minorEastAsia" w:hAnsiTheme="minorEastAsia" w:eastAsiaTheme="minorEastAsia" w:cstheme="minorEastAsia"/>
                <w:b/>
                <w:bCs/>
                <w:color w:val="auto"/>
                <w:kern w:val="0"/>
                <w:sz w:val="21"/>
                <w:szCs w:val="21"/>
                <w:highlight w:val="none"/>
              </w:rPr>
            </w:pPr>
          </w:p>
        </w:tc>
        <w:tc>
          <w:tcPr>
            <w:tcW w:w="1524" w:type="dxa"/>
            <w:vMerge w:val="continue"/>
            <w:vAlign w:val="center"/>
          </w:tcPr>
          <w:p>
            <w:pPr>
              <w:widowControl/>
              <w:spacing w:line="240" w:lineRule="auto"/>
              <w:jc w:val="center"/>
              <w:rPr>
                <w:rFonts w:hint="eastAsia" w:asciiTheme="minorEastAsia" w:hAnsiTheme="minorEastAsia" w:eastAsiaTheme="minorEastAsia" w:cstheme="minorEastAsia"/>
                <w:b/>
                <w:bCs/>
                <w:color w:val="auto"/>
                <w:kern w:val="0"/>
                <w:sz w:val="21"/>
                <w:szCs w:val="21"/>
                <w:highlight w:val="none"/>
              </w:rPr>
            </w:pPr>
          </w:p>
        </w:tc>
        <w:tc>
          <w:tcPr>
            <w:tcW w:w="1094" w:type="dxa"/>
            <w:vMerge w:val="continue"/>
            <w:vAlign w:val="center"/>
          </w:tcPr>
          <w:p>
            <w:pPr>
              <w:widowControl/>
              <w:spacing w:line="240" w:lineRule="auto"/>
              <w:jc w:val="center"/>
              <w:rPr>
                <w:rFonts w:hint="eastAsia" w:asciiTheme="minorEastAsia" w:hAnsiTheme="minorEastAsia" w:eastAsiaTheme="minorEastAsia" w:cstheme="minorEastAsia"/>
                <w:b/>
                <w:bCs/>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784" w:type="dxa"/>
            <w:vAlign w:val="center"/>
          </w:tcPr>
          <w:p>
            <w:pPr>
              <w:widowControl/>
              <w:spacing w:line="240" w:lineRule="auto"/>
              <w:jc w:val="center"/>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14</w:t>
            </w:r>
          </w:p>
        </w:tc>
        <w:tc>
          <w:tcPr>
            <w:tcW w:w="1403" w:type="dxa"/>
            <w:vAlign w:val="center"/>
          </w:tcPr>
          <w:p>
            <w:pPr>
              <w:widowControl/>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进料输送机</w:t>
            </w:r>
            <w:r>
              <w:rPr>
                <w:rFonts w:hint="eastAsia" w:asciiTheme="minorEastAsia" w:hAnsiTheme="minorEastAsia" w:eastAsiaTheme="minorEastAsia" w:cstheme="minorEastAsia"/>
                <w:color w:val="auto"/>
                <w:kern w:val="0"/>
                <w:sz w:val="21"/>
                <w:szCs w:val="21"/>
                <w:highlight w:val="none"/>
                <w:lang w:val="en-US" w:eastAsia="zh-CN"/>
              </w:rPr>
              <w:t>到生</w:t>
            </w:r>
            <w:r>
              <w:rPr>
                <w:rFonts w:hint="eastAsia" w:asciiTheme="minorEastAsia" w:hAnsiTheme="minorEastAsia" w:eastAsiaTheme="minorEastAsia" w:cstheme="minorEastAsia"/>
                <w:color w:val="auto"/>
                <w:kern w:val="0"/>
                <w:sz w:val="21"/>
                <w:szCs w:val="21"/>
                <w:highlight w:val="none"/>
              </w:rPr>
              <w:t>料斗</w:t>
            </w:r>
          </w:p>
        </w:tc>
        <w:tc>
          <w:tcPr>
            <w:tcW w:w="5466" w:type="dxa"/>
            <w:vAlign w:val="center"/>
          </w:tcPr>
          <w:p>
            <w:pPr>
              <w:spacing w:line="259"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链板式输送机</w:t>
            </w:r>
            <w:r>
              <w:rPr>
                <w:rFonts w:hint="eastAsia" w:asciiTheme="minorEastAsia" w:hAnsiTheme="minorEastAsia" w:eastAsiaTheme="minorEastAsia" w:cstheme="minorEastAsia"/>
                <w:color w:val="auto"/>
                <w:kern w:val="0"/>
                <w:sz w:val="21"/>
                <w:szCs w:val="21"/>
                <w:highlight w:val="none"/>
              </w:rPr>
              <w:t>（由投标人填写）材质：   ；总功率≤   KW；</w:t>
            </w:r>
          </w:p>
          <w:p>
            <w:pPr>
              <w:widowControl/>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设备规格：</w:t>
            </w:r>
          </w:p>
        </w:tc>
        <w:tc>
          <w:tcPr>
            <w:tcW w:w="669" w:type="dxa"/>
            <w:vAlign w:val="center"/>
          </w:tcPr>
          <w:p>
            <w:pPr>
              <w:widowControl/>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套</w:t>
            </w:r>
          </w:p>
        </w:tc>
        <w:tc>
          <w:tcPr>
            <w:tcW w:w="740" w:type="dxa"/>
            <w:vAlign w:val="center"/>
          </w:tcPr>
          <w:p>
            <w:pPr>
              <w:widowControl/>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w:t>
            </w:r>
          </w:p>
        </w:tc>
        <w:tc>
          <w:tcPr>
            <w:tcW w:w="2485" w:type="dxa"/>
            <w:vAlign w:val="center"/>
          </w:tcPr>
          <w:p>
            <w:pPr>
              <w:widowControl/>
              <w:spacing w:line="360" w:lineRule="auto"/>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人工上料</w:t>
            </w:r>
            <w:r>
              <w:rPr>
                <w:rFonts w:hint="eastAsia" w:asciiTheme="minorEastAsia" w:hAnsiTheme="minorEastAsia" w:eastAsiaTheme="minorEastAsia" w:cstheme="minorEastAsia"/>
                <w:color w:val="auto"/>
                <w:sz w:val="21"/>
                <w:szCs w:val="21"/>
                <w:highlight w:val="none"/>
                <w:lang w:val="en-US" w:eastAsia="zh-CN"/>
              </w:rPr>
              <w:t>通道</w:t>
            </w:r>
            <w:r>
              <w:rPr>
                <w:rFonts w:hint="eastAsia" w:asciiTheme="minorEastAsia" w:hAnsiTheme="minorEastAsia" w:eastAsiaTheme="minorEastAsia" w:cstheme="minorEastAsia"/>
                <w:color w:val="auto"/>
                <w:sz w:val="21"/>
                <w:szCs w:val="21"/>
                <w:highlight w:val="none"/>
              </w:rPr>
              <w:t>，与医废微波处理设备进料口对接</w:t>
            </w:r>
          </w:p>
        </w:tc>
        <w:tc>
          <w:tcPr>
            <w:tcW w:w="1524" w:type="dxa"/>
            <w:vAlign w:val="center"/>
          </w:tcPr>
          <w:p>
            <w:pPr>
              <w:widowControl/>
              <w:spacing w:line="240" w:lineRule="auto"/>
              <w:jc w:val="center"/>
              <w:rPr>
                <w:rFonts w:hint="eastAsia" w:asciiTheme="minorEastAsia" w:hAnsiTheme="minorEastAsia" w:eastAsiaTheme="minorEastAsia" w:cstheme="minorEastAsia"/>
                <w:color w:val="auto"/>
                <w:sz w:val="21"/>
                <w:szCs w:val="21"/>
                <w:highlight w:val="none"/>
              </w:rPr>
            </w:pPr>
          </w:p>
        </w:tc>
        <w:tc>
          <w:tcPr>
            <w:tcW w:w="1094" w:type="dxa"/>
            <w:vAlign w:val="center"/>
          </w:tcPr>
          <w:p>
            <w:pPr>
              <w:widowControl/>
              <w:spacing w:line="240" w:lineRule="auto"/>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blHeader/>
          <w:jc w:val="center"/>
        </w:trPr>
        <w:tc>
          <w:tcPr>
            <w:tcW w:w="784" w:type="dxa"/>
            <w:vAlign w:val="center"/>
          </w:tcPr>
          <w:p>
            <w:pPr>
              <w:widowControl/>
              <w:spacing w:line="240" w:lineRule="auto"/>
              <w:jc w:val="center"/>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b/>
                <w:bCs/>
                <w:color w:val="auto"/>
                <w:kern w:val="0"/>
                <w:sz w:val="21"/>
                <w:szCs w:val="21"/>
                <w:highlight w:val="none"/>
                <w:lang w:val="en-US" w:eastAsia="zh-CN"/>
              </w:rPr>
              <w:t>二、</w:t>
            </w:r>
          </w:p>
        </w:tc>
        <w:tc>
          <w:tcPr>
            <w:tcW w:w="6869" w:type="dxa"/>
            <w:gridSpan w:val="2"/>
            <w:vAlign w:val="center"/>
          </w:tcPr>
          <w:p>
            <w:pPr>
              <w:widowControl/>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strike w:val="0"/>
                <w:color w:val="auto"/>
                <w:kern w:val="0"/>
                <w:sz w:val="21"/>
                <w:szCs w:val="21"/>
                <w:highlight w:val="none"/>
                <w:lang w:val="en-US" w:eastAsia="zh-CN"/>
              </w:rPr>
              <w:t>电缆、电箱</w:t>
            </w:r>
          </w:p>
        </w:tc>
        <w:tc>
          <w:tcPr>
            <w:tcW w:w="669" w:type="dxa"/>
            <w:vAlign w:val="center"/>
          </w:tcPr>
          <w:p>
            <w:pPr>
              <w:spacing w:line="24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b/>
                <w:bCs/>
                <w:strike w:val="0"/>
                <w:color w:val="auto"/>
                <w:kern w:val="0"/>
                <w:sz w:val="21"/>
                <w:szCs w:val="21"/>
                <w:highlight w:val="none"/>
                <w:lang w:val="en-US" w:eastAsia="zh-CN"/>
              </w:rPr>
              <w:t>批</w:t>
            </w:r>
          </w:p>
        </w:tc>
        <w:tc>
          <w:tcPr>
            <w:tcW w:w="740" w:type="dxa"/>
            <w:vAlign w:val="center"/>
          </w:tcPr>
          <w:p>
            <w:pPr>
              <w:spacing w:line="24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b/>
                <w:bCs/>
                <w:strike w:val="0"/>
                <w:color w:val="auto"/>
                <w:kern w:val="0"/>
                <w:sz w:val="21"/>
                <w:szCs w:val="21"/>
                <w:highlight w:val="none"/>
                <w:lang w:val="en-US" w:eastAsia="zh-CN"/>
              </w:rPr>
              <w:t>1</w:t>
            </w:r>
          </w:p>
        </w:tc>
        <w:tc>
          <w:tcPr>
            <w:tcW w:w="2485" w:type="dxa"/>
            <w:vAlign w:val="center"/>
          </w:tcPr>
          <w:p>
            <w:pPr>
              <w:widowControl/>
              <w:spacing w:line="240" w:lineRule="auto"/>
              <w:jc w:val="center"/>
              <w:rPr>
                <w:rFonts w:hint="eastAsia" w:asciiTheme="minorEastAsia" w:hAnsiTheme="minorEastAsia" w:eastAsiaTheme="minorEastAsia" w:cstheme="minorEastAsia"/>
                <w:color w:val="auto"/>
                <w:sz w:val="21"/>
                <w:szCs w:val="21"/>
                <w:highlight w:val="none"/>
              </w:rPr>
            </w:pPr>
          </w:p>
        </w:tc>
        <w:tc>
          <w:tcPr>
            <w:tcW w:w="1524" w:type="dxa"/>
            <w:vAlign w:val="center"/>
          </w:tcPr>
          <w:p>
            <w:pPr>
              <w:widowControl/>
              <w:spacing w:line="240" w:lineRule="auto"/>
              <w:jc w:val="center"/>
              <w:rPr>
                <w:rFonts w:hint="eastAsia" w:asciiTheme="minorEastAsia" w:hAnsiTheme="minorEastAsia" w:eastAsiaTheme="minorEastAsia" w:cstheme="minorEastAsia"/>
                <w:color w:val="auto"/>
                <w:sz w:val="21"/>
                <w:szCs w:val="21"/>
                <w:highlight w:val="none"/>
              </w:rPr>
            </w:pPr>
          </w:p>
        </w:tc>
        <w:tc>
          <w:tcPr>
            <w:tcW w:w="1094" w:type="dxa"/>
            <w:vAlign w:val="center"/>
          </w:tcPr>
          <w:p>
            <w:pPr>
              <w:widowControl/>
              <w:spacing w:line="240" w:lineRule="auto"/>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blHeader/>
          <w:jc w:val="center"/>
        </w:trPr>
        <w:tc>
          <w:tcPr>
            <w:tcW w:w="784" w:type="dxa"/>
            <w:vAlign w:val="center"/>
          </w:tcPr>
          <w:p>
            <w:pPr>
              <w:widowControl/>
              <w:spacing w:line="240" w:lineRule="auto"/>
              <w:jc w:val="center"/>
              <w:rPr>
                <w:rFonts w:hint="eastAsia" w:asciiTheme="minorEastAsia" w:hAnsiTheme="minorEastAsia" w:eastAsiaTheme="minorEastAsia" w:cstheme="minorEastAsia"/>
                <w:b/>
                <w:bCs/>
                <w:color w:val="auto"/>
                <w:kern w:val="0"/>
                <w:sz w:val="21"/>
                <w:szCs w:val="21"/>
                <w:highlight w:val="none"/>
                <w:lang w:val="en-US" w:eastAsia="zh-CN"/>
              </w:rPr>
            </w:pPr>
            <w:r>
              <w:rPr>
                <w:rFonts w:hint="eastAsia" w:asciiTheme="minorEastAsia" w:hAnsiTheme="minorEastAsia" w:eastAsiaTheme="minorEastAsia" w:cstheme="minorEastAsia"/>
                <w:b w:val="0"/>
                <w:bCs w:val="0"/>
                <w:color w:val="auto"/>
                <w:kern w:val="0"/>
                <w:sz w:val="21"/>
                <w:szCs w:val="21"/>
                <w:highlight w:val="none"/>
                <w:lang w:val="en-US" w:eastAsia="zh-CN"/>
              </w:rPr>
              <w:t>1</w:t>
            </w:r>
          </w:p>
        </w:tc>
        <w:tc>
          <w:tcPr>
            <w:tcW w:w="1403"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进线电缆</w:t>
            </w:r>
          </w:p>
        </w:tc>
        <w:tc>
          <w:tcPr>
            <w:tcW w:w="5466"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ZB-YJV22-4x240+1x120（根据设备的功率进行匹配）</w:t>
            </w:r>
          </w:p>
        </w:tc>
        <w:tc>
          <w:tcPr>
            <w:tcW w:w="669" w:type="dxa"/>
            <w:vAlign w:val="center"/>
          </w:tcPr>
          <w:p>
            <w:pPr>
              <w:spacing w:line="240" w:lineRule="auto"/>
              <w:jc w:val="center"/>
              <w:rPr>
                <w:rFonts w:hint="eastAsia" w:asciiTheme="minorEastAsia" w:hAnsiTheme="minorEastAsia" w:eastAsiaTheme="minorEastAsia" w:cstheme="minorEastAsia"/>
                <w:b/>
                <w:bCs/>
                <w:color w:val="auto"/>
                <w:kern w:val="0"/>
                <w:sz w:val="21"/>
                <w:szCs w:val="21"/>
                <w:highlight w:val="none"/>
                <w:lang w:val="en-US" w:eastAsia="zh-CN"/>
              </w:rPr>
            </w:pPr>
            <w:r>
              <w:rPr>
                <w:rFonts w:hint="eastAsia" w:asciiTheme="minorEastAsia" w:hAnsiTheme="minorEastAsia" w:eastAsiaTheme="minorEastAsia" w:cstheme="minorEastAsia"/>
                <w:b w:val="0"/>
                <w:bCs w:val="0"/>
                <w:color w:val="auto"/>
                <w:kern w:val="0"/>
                <w:sz w:val="21"/>
                <w:szCs w:val="21"/>
                <w:highlight w:val="none"/>
                <w:lang w:val="en-US" w:eastAsia="zh-CN"/>
              </w:rPr>
              <w:t>米</w:t>
            </w:r>
          </w:p>
        </w:tc>
        <w:tc>
          <w:tcPr>
            <w:tcW w:w="74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180</w:t>
            </w:r>
          </w:p>
        </w:tc>
        <w:tc>
          <w:tcPr>
            <w:tcW w:w="2485" w:type="dxa"/>
            <w:vAlign w:val="center"/>
          </w:tcPr>
          <w:p>
            <w:pPr>
              <w:widowControl/>
              <w:spacing w:line="240" w:lineRule="auto"/>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val="en-US" w:eastAsia="zh-CN"/>
              </w:rPr>
              <w:t>满足现场安装要求</w:t>
            </w:r>
          </w:p>
        </w:tc>
        <w:tc>
          <w:tcPr>
            <w:tcW w:w="1524" w:type="dxa"/>
            <w:vAlign w:val="center"/>
          </w:tcPr>
          <w:p>
            <w:pPr>
              <w:widowControl/>
              <w:spacing w:line="240" w:lineRule="auto"/>
              <w:jc w:val="center"/>
              <w:rPr>
                <w:rFonts w:hint="eastAsia" w:asciiTheme="minorEastAsia" w:hAnsiTheme="minorEastAsia" w:eastAsiaTheme="minorEastAsia" w:cstheme="minorEastAsia"/>
                <w:b/>
                <w:bCs/>
                <w:color w:val="auto"/>
                <w:kern w:val="0"/>
                <w:sz w:val="21"/>
                <w:szCs w:val="21"/>
                <w:highlight w:val="none"/>
              </w:rPr>
            </w:pPr>
          </w:p>
        </w:tc>
        <w:tc>
          <w:tcPr>
            <w:tcW w:w="1094" w:type="dxa"/>
            <w:vAlign w:val="center"/>
          </w:tcPr>
          <w:p>
            <w:pPr>
              <w:widowControl/>
              <w:spacing w:line="240" w:lineRule="auto"/>
              <w:jc w:val="center"/>
              <w:rPr>
                <w:rFonts w:hint="eastAsia" w:asciiTheme="minorEastAsia" w:hAnsiTheme="minorEastAsia" w:eastAsiaTheme="minorEastAsia" w:cstheme="minorEastAsia"/>
                <w:b/>
                <w:bCs/>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blHeader/>
          <w:jc w:val="center"/>
        </w:trPr>
        <w:tc>
          <w:tcPr>
            <w:tcW w:w="784" w:type="dxa"/>
            <w:vAlign w:val="center"/>
          </w:tcPr>
          <w:p>
            <w:pPr>
              <w:widowControl/>
              <w:spacing w:line="240" w:lineRule="auto"/>
              <w:jc w:val="center"/>
              <w:rPr>
                <w:rFonts w:hint="eastAsia" w:asciiTheme="minorEastAsia" w:hAnsiTheme="minorEastAsia" w:eastAsiaTheme="minorEastAsia" w:cstheme="minorEastAsia"/>
                <w:b/>
                <w:bCs/>
                <w:color w:val="auto"/>
                <w:kern w:val="0"/>
                <w:sz w:val="21"/>
                <w:szCs w:val="21"/>
                <w:highlight w:val="none"/>
                <w:lang w:val="en-US" w:eastAsia="zh-CN"/>
              </w:rPr>
            </w:pPr>
            <w:r>
              <w:rPr>
                <w:rFonts w:hint="eastAsia" w:asciiTheme="minorEastAsia" w:hAnsiTheme="minorEastAsia" w:eastAsiaTheme="minorEastAsia" w:cstheme="minorEastAsia"/>
                <w:b w:val="0"/>
                <w:bCs w:val="0"/>
                <w:color w:val="auto"/>
                <w:kern w:val="0"/>
                <w:sz w:val="21"/>
                <w:szCs w:val="21"/>
                <w:highlight w:val="none"/>
                <w:lang w:val="en-US" w:eastAsia="zh-CN"/>
              </w:rPr>
              <w:t>2</w:t>
            </w:r>
          </w:p>
        </w:tc>
        <w:tc>
          <w:tcPr>
            <w:tcW w:w="1403"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电箱</w:t>
            </w:r>
          </w:p>
        </w:tc>
        <w:tc>
          <w:tcPr>
            <w:tcW w:w="5466"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提供一个进线开关（220KW）(使用时会根据实际通过管理管控用电量)，4个出线开关接口：功率为10KW（污水一体化设备）、210KW（微波消毒设备）、100KW（等离子设备）、50KW（备用）</w:t>
            </w:r>
          </w:p>
        </w:tc>
        <w:tc>
          <w:tcPr>
            <w:tcW w:w="669" w:type="dxa"/>
            <w:vAlign w:val="center"/>
          </w:tcPr>
          <w:p>
            <w:pPr>
              <w:spacing w:line="240" w:lineRule="auto"/>
              <w:jc w:val="center"/>
              <w:rPr>
                <w:rFonts w:hint="eastAsia" w:asciiTheme="minorEastAsia" w:hAnsiTheme="minorEastAsia" w:eastAsiaTheme="minorEastAsia" w:cstheme="minorEastAsia"/>
                <w:b w:val="0"/>
                <w:bCs w:val="0"/>
                <w:color w:val="auto"/>
                <w:kern w:val="0"/>
                <w:sz w:val="21"/>
                <w:szCs w:val="21"/>
                <w:highlight w:val="none"/>
                <w:lang w:val="en-US" w:eastAsia="zh-CN"/>
              </w:rPr>
            </w:pPr>
            <w:r>
              <w:rPr>
                <w:rFonts w:hint="eastAsia" w:asciiTheme="minorEastAsia" w:hAnsiTheme="minorEastAsia" w:eastAsiaTheme="minorEastAsia" w:cstheme="minorEastAsia"/>
                <w:b w:val="0"/>
                <w:bCs w:val="0"/>
                <w:color w:val="auto"/>
                <w:kern w:val="0"/>
                <w:sz w:val="21"/>
                <w:szCs w:val="21"/>
                <w:highlight w:val="none"/>
                <w:lang w:val="en-US" w:eastAsia="zh-CN"/>
              </w:rPr>
              <w:t>个</w:t>
            </w:r>
          </w:p>
        </w:tc>
        <w:tc>
          <w:tcPr>
            <w:tcW w:w="74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w:t>
            </w:r>
          </w:p>
        </w:tc>
        <w:tc>
          <w:tcPr>
            <w:tcW w:w="2485" w:type="dxa"/>
            <w:vAlign w:val="center"/>
          </w:tcPr>
          <w:p>
            <w:pPr>
              <w:widowControl/>
              <w:spacing w:line="240" w:lineRule="auto"/>
              <w:jc w:val="center"/>
              <w:rPr>
                <w:rFonts w:hint="eastAsia" w:asciiTheme="minorEastAsia" w:hAnsiTheme="minorEastAsia" w:eastAsiaTheme="minorEastAsia" w:cstheme="minorEastAsia"/>
                <w:b w:val="0"/>
                <w:bCs w:val="0"/>
                <w:color w:val="auto"/>
                <w:kern w:val="0"/>
                <w:sz w:val="21"/>
                <w:szCs w:val="21"/>
                <w:highlight w:val="none"/>
                <w:lang w:val="en-US" w:eastAsia="zh-CN"/>
              </w:rPr>
            </w:pPr>
          </w:p>
        </w:tc>
        <w:tc>
          <w:tcPr>
            <w:tcW w:w="1524" w:type="dxa"/>
            <w:vAlign w:val="center"/>
          </w:tcPr>
          <w:p>
            <w:pPr>
              <w:widowControl/>
              <w:spacing w:line="240" w:lineRule="auto"/>
              <w:jc w:val="center"/>
              <w:rPr>
                <w:rFonts w:hint="eastAsia" w:asciiTheme="minorEastAsia" w:hAnsiTheme="minorEastAsia" w:eastAsiaTheme="minorEastAsia" w:cstheme="minorEastAsia"/>
                <w:b w:val="0"/>
                <w:bCs w:val="0"/>
                <w:color w:val="auto"/>
                <w:kern w:val="0"/>
                <w:sz w:val="21"/>
                <w:szCs w:val="21"/>
                <w:highlight w:val="none"/>
              </w:rPr>
            </w:pPr>
          </w:p>
        </w:tc>
        <w:tc>
          <w:tcPr>
            <w:tcW w:w="1094" w:type="dxa"/>
            <w:vAlign w:val="center"/>
          </w:tcPr>
          <w:p>
            <w:pPr>
              <w:widowControl/>
              <w:spacing w:line="240" w:lineRule="auto"/>
              <w:jc w:val="center"/>
              <w:rPr>
                <w:rFonts w:hint="eastAsia" w:asciiTheme="minorEastAsia" w:hAnsiTheme="minorEastAsia" w:eastAsiaTheme="minorEastAsia" w:cstheme="minorEastAsia"/>
                <w:b/>
                <w:bCs/>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blHeader/>
          <w:jc w:val="center"/>
        </w:trPr>
        <w:tc>
          <w:tcPr>
            <w:tcW w:w="13071" w:type="dxa"/>
            <w:gridSpan w:val="7"/>
            <w:vAlign w:val="center"/>
          </w:tcPr>
          <w:p>
            <w:pPr>
              <w:widowControl/>
              <w:spacing w:line="240" w:lineRule="auto"/>
              <w:jc w:val="center"/>
              <w:rPr>
                <w:rFonts w:hint="eastAsia" w:asciiTheme="minorEastAsia" w:hAnsiTheme="minorEastAsia" w:eastAsiaTheme="minorEastAsia" w:cstheme="minorEastAsia"/>
                <w:b/>
                <w:bCs/>
                <w:color w:val="auto"/>
                <w:kern w:val="0"/>
                <w:sz w:val="21"/>
                <w:szCs w:val="21"/>
                <w:highlight w:val="none"/>
                <w:lang w:val="en-US" w:eastAsia="zh-CN"/>
              </w:rPr>
            </w:pPr>
            <w:r>
              <w:rPr>
                <w:rFonts w:hint="eastAsia" w:asciiTheme="minorEastAsia" w:hAnsiTheme="minorEastAsia" w:eastAsiaTheme="minorEastAsia" w:cstheme="minorEastAsia"/>
                <w:b/>
                <w:bCs/>
                <w:color w:val="auto"/>
                <w:kern w:val="0"/>
                <w:sz w:val="21"/>
                <w:szCs w:val="21"/>
                <w:highlight w:val="none"/>
                <w:lang w:val="en-US" w:eastAsia="zh-CN"/>
              </w:rPr>
              <w:t>合计</w:t>
            </w:r>
          </w:p>
        </w:tc>
        <w:tc>
          <w:tcPr>
            <w:tcW w:w="1094" w:type="dxa"/>
            <w:vAlign w:val="center"/>
          </w:tcPr>
          <w:p>
            <w:pPr>
              <w:widowControl/>
              <w:spacing w:line="240" w:lineRule="auto"/>
              <w:jc w:val="center"/>
              <w:rPr>
                <w:rFonts w:hint="eastAsia" w:asciiTheme="minorEastAsia" w:hAnsiTheme="minorEastAsia" w:eastAsiaTheme="minorEastAsia" w:cstheme="minorEastAsia"/>
                <w:b/>
                <w:bCs/>
                <w:color w:val="auto"/>
                <w:kern w:val="0"/>
                <w:sz w:val="21"/>
                <w:szCs w:val="21"/>
                <w:highlight w:val="none"/>
              </w:rPr>
            </w:pPr>
          </w:p>
        </w:tc>
      </w:tr>
    </w:tbl>
    <w:p>
      <w:pPr>
        <w:pStyle w:val="18"/>
        <w:numPr>
          <w:ilvl w:val="0"/>
          <w:numId w:val="0"/>
        </w:numPr>
        <w:spacing w:line="312" w:lineRule="auto"/>
        <w:ind w:leftChars="200"/>
        <w:rPr>
          <w:rFonts w:hint="eastAsia" w:hAnsi="宋体" w:cs="宋体"/>
          <w:bCs/>
          <w:color w:val="auto"/>
          <w:highlight w:val="none"/>
        </w:rPr>
      </w:pPr>
      <w:r>
        <w:rPr>
          <w:rFonts w:hint="eastAsia" w:hAnsi="宋体" w:cs="宋体"/>
          <w:bCs/>
          <w:color w:val="auto"/>
          <w:highlight w:val="none"/>
        </w:rPr>
        <w:t>注：</w:t>
      </w:r>
    </w:p>
    <w:p>
      <w:pPr>
        <w:pStyle w:val="18"/>
        <w:numPr>
          <w:ilvl w:val="0"/>
          <w:numId w:val="2"/>
        </w:numPr>
        <w:spacing w:line="312" w:lineRule="auto"/>
        <w:ind w:left="0" w:leftChars="0" w:firstLine="400" w:firstLineChars="200"/>
        <w:rPr>
          <w:rFonts w:hint="eastAsia" w:hAnsi="宋体" w:cs="宋体"/>
          <w:bCs/>
          <w:color w:val="auto"/>
          <w:highlight w:val="none"/>
        </w:rPr>
      </w:pPr>
      <w:r>
        <w:rPr>
          <w:rFonts w:hint="eastAsia" w:hAnsi="宋体" w:cs="宋体"/>
          <w:bCs/>
          <w:color w:val="auto"/>
          <w:highlight w:val="none"/>
        </w:rPr>
        <w:t>投标人须按要求填写所有信息，不得随意更改本表格式，如有特殊情况填在备注一栏。</w:t>
      </w:r>
    </w:p>
    <w:p>
      <w:pPr>
        <w:pStyle w:val="18"/>
        <w:numPr>
          <w:ilvl w:val="0"/>
          <w:numId w:val="2"/>
        </w:numPr>
        <w:spacing w:line="312" w:lineRule="auto"/>
        <w:ind w:left="0" w:leftChars="0" w:firstLine="400" w:firstLineChars="200"/>
        <w:rPr>
          <w:rFonts w:hint="eastAsia" w:hAnsi="宋体" w:cs="宋体"/>
          <w:bCs/>
          <w:color w:val="auto"/>
          <w:highlight w:val="none"/>
        </w:rPr>
      </w:pPr>
      <w:r>
        <w:rPr>
          <w:rFonts w:hint="eastAsia" w:hAnsi="宋体" w:cs="宋体"/>
          <w:bCs/>
          <w:color w:val="auto"/>
          <w:highlight w:val="none"/>
        </w:rPr>
        <w:t>所有价格均应以人民币报价，金额单位为元。</w:t>
      </w:r>
    </w:p>
    <w:p>
      <w:pPr>
        <w:pStyle w:val="18"/>
        <w:numPr>
          <w:ilvl w:val="0"/>
          <w:numId w:val="2"/>
        </w:numPr>
        <w:spacing w:line="312" w:lineRule="auto"/>
        <w:ind w:firstLine="400" w:firstLineChars="200"/>
        <w:rPr>
          <w:rFonts w:hint="eastAsia" w:hAnsi="宋体" w:eastAsia="宋体" w:cs="宋体"/>
          <w:bCs/>
          <w:color w:val="auto"/>
          <w:highlight w:val="none"/>
          <w:lang w:val="en-US" w:eastAsia="zh-CN"/>
        </w:rPr>
      </w:pPr>
      <w:r>
        <w:rPr>
          <w:rFonts w:hint="eastAsia" w:hAnsi="宋体" w:cs="宋体"/>
          <w:bCs/>
          <w:color w:val="auto"/>
          <w:highlight w:val="none"/>
          <w:lang w:val="en-US" w:eastAsia="zh-CN"/>
        </w:rPr>
        <w:t>投标人根据技术需求书的要求，完善技术参数，未填写的视作按招标文件要求的内容提供。</w:t>
      </w:r>
    </w:p>
    <w:p>
      <w:pPr>
        <w:pStyle w:val="18"/>
        <w:numPr>
          <w:ilvl w:val="0"/>
          <w:numId w:val="0"/>
        </w:numPr>
        <w:ind w:leftChars="200" w:firstLine="0" w:firstLineChars="0"/>
        <w:rPr>
          <w:rFonts w:hint="eastAsia" w:ascii="宋体" w:hAnsi="宋体" w:cs="宋体"/>
          <w:bCs/>
          <w:color w:val="auto"/>
          <w:szCs w:val="21"/>
          <w:highlight w:val="none"/>
        </w:rPr>
      </w:pPr>
    </w:p>
    <w:p>
      <w:pPr>
        <w:tabs>
          <w:tab w:val="left" w:pos="3828"/>
        </w:tabs>
        <w:spacing w:line="312" w:lineRule="auto"/>
        <w:rPr>
          <w:rFonts w:hint="eastAsia" w:ascii="宋体" w:hAnsi="宋体" w:cs="宋体"/>
          <w:color w:val="auto"/>
          <w:highlight w:val="none"/>
        </w:rPr>
      </w:pPr>
    </w:p>
    <w:p>
      <w:pPr>
        <w:spacing w:line="312" w:lineRule="auto"/>
        <w:rPr>
          <w:rFonts w:hint="eastAsia" w:ascii="宋体" w:hAnsi="宋体" w:cs="宋体"/>
          <w:color w:val="auto"/>
          <w:sz w:val="24"/>
          <w:highlight w:val="none"/>
        </w:rPr>
      </w:pPr>
      <w:r>
        <w:rPr>
          <w:rFonts w:hint="eastAsia" w:ascii="宋体" w:hAnsi="宋体" w:cs="宋体"/>
          <w:color w:val="auto"/>
          <w:sz w:val="24"/>
          <w:highlight w:val="none"/>
        </w:rPr>
        <w:t>投标人（盖章）：</w:t>
      </w:r>
    </w:p>
    <w:p>
      <w:pPr>
        <w:spacing w:line="312" w:lineRule="auto"/>
        <w:rPr>
          <w:rFonts w:hint="eastAsia" w:ascii="宋体" w:hAnsi="宋体" w:cs="宋体"/>
          <w:color w:val="auto"/>
          <w:sz w:val="24"/>
          <w:highlight w:val="none"/>
        </w:rPr>
      </w:pPr>
      <w:r>
        <w:rPr>
          <w:rFonts w:hint="eastAsia" w:ascii="宋体" w:hAnsi="宋体" w:cs="宋体"/>
          <w:color w:val="auto"/>
          <w:sz w:val="24"/>
          <w:highlight w:val="none"/>
        </w:rPr>
        <w:t>投标人法定代表人或其授权代表（签字或签章）：</w:t>
      </w:r>
    </w:p>
    <w:p>
      <w:pPr>
        <w:pStyle w:val="13"/>
        <w:rPr>
          <w:rFonts w:hint="eastAsia" w:ascii="宋体" w:hAnsi="宋体" w:cs="宋体"/>
          <w:color w:val="auto"/>
          <w:sz w:val="24"/>
          <w:highlight w:val="none"/>
          <w:lang w:eastAsia="zh-CN"/>
        </w:rPr>
      </w:pPr>
      <w:r>
        <w:rPr>
          <w:rFonts w:hint="eastAsia" w:ascii="宋体" w:hAnsi="宋体" w:cs="宋体"/>
          <w:color w:val="auto"/>
          <w:sz w:val="24"/>
          <w:highlight w:val="none"/>
        </w:rPr>
        <w:t>日期</w:t>
      </w:r>
      <w:r>
        <w:rPr>
          <w:rFonts w:hint="eastAsia" w:ascii="宋体" w:hAnsi="宋体" w:cs="宋体"/>
          <w:color w:val="auto"/>
          <w:sz w:val="24"/>
          <w:highlight w:val="none"/>
          <w:lang w:eastAsia="zh-CN"/>
        </w:rPr>
        <w:t>：</w:t>
      </w:r>
    </w:p>
    <w:p>
      <w:pPr>
        <w:pStyle w:val="18"/>
        <w:spacing w:line="360" w:lineRule="auto"/>
        <w:jc w:val="center"/>
        <w:rPr>
          <w:rFonts w:hint="eastAsia" w:ascii="宋体" w:hAnsi="宋体" w:cs="宋体"/>
          <w:color w:val="auto"/>
          <w:sz w:val="24"/>
          <w:highlight w:val="none"/>
          <w:lang w:eastAsia="zh-CN"/>
        </w:rPr>
        <w:sectPr>
          <w:pgSz w:w="16840" w:h="11907" w:orient="landscape"/>
          <w:pgMar w:top="1080" w:right="1440" w:bottom="1080" w:left="1440" w:header="851" w:footer="851" w:gutter="0"/>
          <w:pgNumType w:fmt="decimal"/>
          <w:cols w:space="720" w:num="1"/>
          <w:docGrid w:linePitch="312" w:charSpace="0"/>
        </w:sectPr>
      </w:pPr>
    </w:p>
    <w:p>
      <w:pPr>
        <w:pStyle w:val="18"/>
        <w:spacing w:line="360" w:lineRule="auto"/>
        <w:jc w:val="center"/>
        <w:rPr>
          <w:rFonts w:hint="eastAsia" w:hAnsi="宋体" w:eastAsia="宋体" w:cs="宋体"/>
          <w:b/>
          <w:bCs/>
          <w:color w:val="auto"/>
          <w:sz w:val="28"/>
          <w:szCs w:val="28"/>
          <w:highlight w:val="none"/>
        </w:rPr>
      </w:pPr>
      <w:r>
        <w:rPr>
          <w:rFonts w:hint="eastAsia" w:hAnsi="宋体" w:eastAsia="宋体" w:cs="宋体"/>
          <w:b/>
          <w:bCs/>
          <w:color w:val="auto"/>
          <w:sz w:val="28"/>
          <w:szCs w:val="28"/>
          <w:highlight w:val="none"/>
          <w:lang w:val="en-US" w:eastAsia="zh-CN"/>
        </w:rPr>
        <w:t>2、整机</w:t>
      </w:r>
      <w:r>
        <w:rPr>
          <w:rFonts w:hint="eastAsia" w:hAnsi="宋体" w:eastAsia="宋体" w:cs="宋体"/>
          <w:b/>
          <w:bCs/>
          <w:color w:val="auto"/>
          <w:sz w:val="28"/>
          <w:szCs w:val="28"/>
          <w:highlight w:val="none"/>
        </w:rPr>
        <w:t>配件、备品、备件</w:t>
      </w:r>
      <w:r>
        <w:rPr>
          <w:rFonts w:hint="eastAsia" w:hAnsi="宋体" w:eastAsia="宋体" w:cs="宋体"/>
          <w:b/>
          <w:bCs/>
          <w:color w:val="auto"/>
          <w:sz w:val="28"/>
          <w:szCs w:val="28"/>
          <w:highlight w:val="none"/>
          <w:lang w:eastAsia="zh-CN"/>
        </w:rPr>
        <w:t>、</w:t>
      </w:r>
      <w:r>
        <w:rPr>
          <w:rFonts w:hint="eastAsia" w:hAnsi="宋体" w:eastAsia="宋体" w:cs="宋体"/>
          <w:b/>
          <w:bCs/>
          <w:color w:val="auto"/>
          <w:sz w:val="28"/>
          <w:szCs w:val="28"/>
          <w:highlight w:val="none"/>
        </w:rPr>
        <w:t>易损件的清单及供应价格表</w:t>
      </w:r>
    </w:p>
    <w:p>
      <w:pPr>
        <w:pStyle w:val="18"/>
        <w:tabs>
          <w:tab w:val="left" w:pos="11340"/>
        </w:tabs>
        <w:spacing w:line="360" w:lineRule="auto"/>
        <w:ind w:right="48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项目名称：</w:t>
      </w:r>
      <w:r>
        <w:rPr>
          <w:rFonts w:hint="eastAsia" w:hAnsi="宋体" w:eastAsia="宋体" w:cs="宋体"/>
          <w:color w:val="auto"/>
          <w:sz w:val="24"/>
          <w:szCs w:val="24"/>
          <w:highlight w:val="none"/>
          <w:lang w:val="en-US" w:eastAsia="zh-CN"/>
        </w:rPr>
        <w:t xml:space="preserve"> </w:t>
      </w:r>
      <w:r>
        <w:rPr>
          <w:rFonts w:hint="eastAsia" w:hAnsi="宋体" w:eastAsia="宋体" w:cs="宋体"/>
          <w:color w:val="auto"/>
          <w:sz w:val="24"/>
          <w:szCs w:val="24"/>
          <w:highlight w:val="none"/>
        </w:rPr>
        <w:t xml:space="preserve">     </w:t>
      </w:r>
    </w:p>
    <w:p>
      <w:pPr>
        <w:pStyle w:val="18"/>
        <w:tabs>
          <w:tab w:val="left" w:pos="11340"/>
        </w:tabs>
        <w:spacing w:line="360" w:lineRule="auto"/>
        <w:ind w:right="48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 xml:space="preserve">项目编号：      </w:t>
      </w:r>
    </w:p>
    <w:p>
      <w:pPr>
        <w:pStyle w:val="18"/>
        <w:tabs>
          <w:tab w:val="left" w:pos="11340"/>
        </w:tabs>
        <w:spacing w:line="360" w:lineRule="auto"/>
        <w:ind w:right="480"/>
        <w:jc w:val="right"/>
        <w:rPr>
          <w:rFonts w:hint="eastAsia" w:hAnsi="宋体" w:eastAsia="宋体" w:cs="宋体"/>
          <w:color w:val="auto"/>
          <w:sz w:val="24"/>
          <w:szCs w:val="24"/>
          <w:highlight w:val="none"/>
        </w:rPr>
      </w:pPr>
      <w:r>
        <w:rPr>
          <w:rFonts w:hint="eastAsia" w:hAnsi="宋体" w:eastAsia="宋体" w:cs="宋体"/>
          <w:color w:val="auto"/>
          <w:sz w:val="24"/>
          <w:szCs w:val="24"/>
          <w:highlight w:val="none"/>
        </w:rPr>
        <w:t>货币单位：人民币元</w:t>
      </w:r>
    </w:p>
    <w:tbl>
      <w:tblPr>
        <w:tblStyle w:val="33"/>
        <w:tblW w:w="96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1690"/>
        <w:gridCol w:w="900"/>
        <w:gridCol w:w="914"/>
        <w:gridCol w:w="1091"/>
        <w:gridCol w:w="750"/>
        <w:gridCol w:w="655"/>
        <w:gridCol w:w="830"/>
        <w:gridCol w:w="914"/>
        <w:gridCol w:w="1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2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序号</w:t>
            </w:r>
          </w:p>
        </w:tc>
        <w:tc>
          <w:tcPr>
            <w:tcW w:w="169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投标设备名称</w:t>
            </w: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规格</w:t>
            </w:r>
          </w:p>
        </w:tc>
        <w:tc>
          <w:tcPr>
            <w:tcW w:w="91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品牌</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制造商/产地</w:t>
            </w:r>
          </w:p>
        </w:tc>
        <w:tc>
          <w:tcPr>
            <w:tcW w:w="7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单位</w:t>
            </w:r>
          </w:p>
        </w:tc>
        <w:tc>
          <w:tcPr>
            <w:tcW w:w="6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数量</w:t>
            </w:r>
          </w:p>
        </w:tc>
        <w:tc>
          <w:tcPr>
            <w:tcW w:w="83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单价（元）</w:t>
            </w:r>
          </w:p>
        </w:tc>
        <w:tc>
          <w:tcPr>
            <w:tcW w:w="91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合价（元）</w:t>
            </w:r>
          </w:p>
        </w:tc>
        <w:tc>
          <w:tcPr>
            <w:tcW w:w="124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62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w:t>
            </w:r>
          </w:p>
        </w:tc>
        <w:tc>
          <w:tcPr>
            <w:tcW w:w="169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备用微波发生器</w:t>
            </w:r>
          </w:p>
        </w:tc>
        <w:tc>
          <w:tcPr>
            <w:tcW w:w="900" w:type="dxa"/>
            <w:tcBorders>
              <w:top w:val="single" w:color="auto" w:sz="4" w:space="0"/>
              <w:left w:val="single" w:color="auto" w:sz="4" w:space="0"/>
              <w:bottom w:val="single" w:color="auto" w:sz="4" w:space="0"/>
              <w:right w:val="single" w:color="auto" w:sz="4" w:space="0"/>
            </w:tcBorders>
            <w:vAlign w:val="center"/>
          </w:tcPr>
          <w:p>
            <w:pPr>
              <w:pStyle w:val="8"/>
              <w:spacing w:line="288" w:lineRule="auto"/>
              <w:jc w:val="center"/>
              <w:rPr>
                <w:rFonts w:hint="eastAsia" w:asciiTheme="minorEastAsia" w:hAnsiTheme="minorEastAsia" w:eastAsiaTheme="minorEastAsia" w:cstheme="minorEastAsia"/>
                <w:color w:val="auto"/>
                <w:kern w:val="2"/>
                <w:sz w:val="21"/>
                <w:szCs w:val="21"/>
                <w:highlight w:val="none"/>
                <w:lang w:val="en-US" w:eastAsia="zh-CN"/>
              </w:rPr>
            </w:pPr>
          </w:p>
        </w:tc>
        <w:tc>
          <w:tcPr>
            <w:tcW w:w="914" w:type="dxa"/>
            <w:tcBorders>
              <w:top w:val="single" w:color="auto" w:sz="4" w:space="0"/>
              <w:left w:val="single" w:color="auto" w:sz="4" w:space="0"/>
              <w:bottom w:val="single" w:color="auto" w:sz="4" w:space="0"/>
              <w:right w:val="single" w:color="auto" w:sz="4" w:space="0"/>
            </w:tcBorders>
            <w:vAlign w:val="center"/>
          </w:tcPr>
          <w:p>
            <w:pPr>
              <w:pStyle w:val="8"/>
              <w:spacing w:line="288" w:lineRule="auto"/>
              <w:jc w:val="center"/>
              <w:rPr>
                <w:rFonts w:hint="eastAsia" w:asciiTheme="minorEastAsia" w:hAnsiTheme="minorEastAsia" w:eastAsiaTheme="minorEastAsia" w:cstheme="minorEastAsia"/>
                <w:color w:val="auto"/>
                <w:kern w:val="2"/>
                <w:sz w:val="21"/>
                <w:szCs w:val="21"/>
                <w:highlight w:val="none"/>
                <w:lang w:val="en-US" w:eastAsia="zh-CN"/>
              </w:rPr>
            </w:pPr>
          </w:p>
        </w:tc>
        <w:tc>
          <w:tcPr>
            <w:tcW w:w="1091" w:type="dxa"/>
            <w:tcBorders>
              <w:top w:val="single" w:color="auto" w:sz="4" w:space="0"/>
              <w:left w:val="single" w:color="auto" w:sz="4" w:space="0"/>
              <w:bottom w:val="single" w:color="auto" w:sz="4" w:space="0"/>
              <w:right w:val="single" w:color="auto" w:sz="4" w:space="0"/>
            </w:tcBorders>
            <w:vAlign w:val="center"/>
          </w:tcPr>
          <w:p>
            <w:pPr>
              <w:pStyle w:val="8"/>
              <w:spacing w:line="288" w:lineRule="auto"/>
              <w:jc w:val="center"/>
              <w:rPr>
                <w:rFonts w:hint="eastAsia" w:asciiTheme="minorEastAsia" w:hAnsiTheme="minorEastAsia" w:eastAsiaTheme="minorEastAsia" w:cstheme="minorEastAsia"/>
                <w:color w:val="auto"/>
                <w:kern w:val="2"/>
                <w:sz w:val="21"/>
                <w:szCs w:val="21"/>
                <w:highlight w:val="none"/>
                <w:lang w:val="en-US" w:eastAsia="zh-CN"/>
              </w:rPr>
            </w:pPr>
          </w:p>
        </w:tc>
        <w:tc>
          <w:tcPr>
            <w:tcW w:w="7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宋体" w:hAnsi="宋体" w:cs="宋体"/>
                <w:color w:val="auto"/>
                <w:kern w:val="0"/>
                <w:szCs w:val="21"/>
                <w:highlight w:val="none"/>
                <w:lang w:bidi="ar"/>
              </w:rPr>
              <w:t>台</w:t>
            </w:r>
          </w:p>
        </w:tc>
        <w:tc>
          <w:tcPr>
            <w:tcW w:w="655" w:type="dxa"/>
            <w:tcBorders>
              <w:top w:val="single" w:color="auto" w:sz="4" w:space="0"/>
              <w:left w:val="single" w:color="auto" w:sz="4" w:space="0"/>
              <w:bottom w:val="single" w:color="auto" w:sz="4" w:space="0"/>
              <w:right w:val="single" w:color="auto" w:sz="4" w:space="0"/>
            </w:tcBorders>
            <w:vAlign w:val="center"/>
          </w:tcPr>
          <w:p>
            <w:pPr>
              <w:pStyle w:val="8"/>
              <w:spacing w:line="288" w:lineRule="auto"/>
              <w:ind w:firstLine="0"/>
              <w:jc w:val="center"/>
              <w:rPr>
                <w:rFonts w:hint="eastAsia" w:asciiTheme="minorEastAsia" w:hAnsiTheme="minorEastAsia" w:eastAsiaTheme="minorEastAsia" w:cstheme="minorEastAsia"/>
                <w:color w:val="auto"/>
                <w:kern w:val="2"/>
                <w:sz w:val="21"/>
                <w:szCs w:val="21"/>
                <w:highlight w:val="none"/>
                <w:lang w:val="en-US" w:eastAsia="zh-CN"/>
              </w:rPr>
            </w:pPr>
          </w:p>
        </w:tc>
        <w:tc>
          <w:tcPr>
            <w:tcW w:w="830" w:type="dxa"/>
            <w:tcBorders>
              <w:top w:val="single" w:color="auto" w:sz="4" w:space="0"/>
              <w:left w:val="single" w:color="auto" w:sz="4" w:space="0"/>
              <w:bottom w:val="single" w:color="auto" w:sz="4" w:space="0"/>
              <w:right w:val="single" w:color="auto" w:sz="4" w:space="0"/>
            </w:tcBorders>
            <w:vAlign w:val="center"/>
          </w:tcPr>
          <w:p>
            <w:pPr>
              <w:pStyle w:val="8"/>
              <w:spacing w:line="288" w:lineRule="auto"/>
              <w:ind w:firstLine="0"/>
              <w:jc w:val="center"/>
              <w:rPr>
                <w:rFonts w:hint="eastAsia" w:asciiTheme="minorEastAsia" w:hAnsiTheme="minorEastAsia" w:eastAsiaTheme="minorEastAsia" w:cstheme="minorEastAsia"/>
                <w:color w:val="auto"/>
                <w:kern w:val="2"/>
                <w:sz w:val="21"/>
                <w:szCs w:val="21"/>
                <w:highlight w:val="none"/>
                <w:lang w:val="en-US" w:eastAsia="zh-CN"/>
              </w:rPr>
            </w:pPr>
          </w:p>
        </w:tc>
        <w:tc>
          <w:tcPr>
            <w:tcW w:w="914" w:type="dxa"/>
            <w:tcBorders>
              <w:top w:val="single" w:color="auto" w:sz="4" w:space="0"/>
              <w:left w:val="single" w:color="auto" w:sz="4" w:space="0"/>
              <w:bottom w:val="single" w:color="auto" w:sz="4" w:space="0"/>
              <w:right w:val="single" w:color="auto" w:sz="4" w:space="0"/>
            </w:tcBorders>
            <w:vAlign w:val="center"/>
          </w:tcPr>
          <w:p>
            <w:pPr>
              <w:pStyle w:val="8"/>
              <w:spacing w:line="288" w:lineRule="auto"/>
              <w:ind w:firstLine="0"/>
              <w:jc w:val="center"/>
              <w:rPr>
                <w:rFonts w:hint="eastAsia" w:asciiTheme="minorEastAsia" w:hAnsiTheme="minorEastAsia" w:eastAsiaTheme="minorEastAsia" w:cstheme="minorEastAsia"/>
                <w:color w:val="auto"/>
                <w:kern w:val="2"/>
                <w:sz w:val="21"/>
                <w:szCs w:val="21"/>
                <w:highlight w:val="none"/>
                <w:lang w:val="en-US" w:eastAsia="zh-CN"/>
              </w:rPr>
            </w:pPr>
          </w:p>
        </w:tc>
        <w:tc>
          <w:tcPr>
            <w:tcW w:w="124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宋体" w:hAnsi="宋体" w:cs="宋体"/>
                <w:color w:val="auto"/>
                <w:kern w:val="0"/>
                <w:szCs w:val="21"/>
                <w:highlight w:val="none"/>
                <w:lang w:bidi="ar"/>
              </w:rPr>
              <w:t>不少于2台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62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2</w:t>
            </w:r>
          </w:p>
        </w:tc>
        <w:tc>
          <w:tcPr>
            <w:tcW w:w="169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微波电源</w:t>
            </w:r>
          </w:p>
        </w:tc>
        <w:tc>
          <w:tcPr>
            <w:tcW w:w="900" w:type="dxa"/>
            <w:tcBorders>
              <w:top w:val="single" w:color="auto" w:sz="4" w:space="0"/>
              <w:left w:val="single" w:color="auto" w:sz="4" w:space="0"/>
              <w:bottom w:val="single" w:color="auto" w:sz="4" w:space="0"/>
              <w:right w:val="single" w:color="auto" w:sz="4" w:space="0"/>
            </w:tcBorders>
            <w:vAlign w:val="center"/>
          </w:tcPr>
          <w:p>
            <w:pPr>
              <w:pStyle w:val="8"/>
              <w:spacing w:line="288" w:lineRule="auto"/>
              <w:jc w:val="center"/>
              <w:rPr>
                <w:rFonts w:hint="eastAsia" w:asciiTheme="minorEastAsia" w:hAnsiTheme="minorEastAsia" w:eastAsiaTheme="minorEastAsia" w:cstheme="minorEastAsia"/>
                <w:color w:val="auto"/>
                <w:kern w:val="2"/>
                <w:sz w:val="21"/>
                <w:szCs w:val="21"/>
                <w:highlight w:val="none"/>
                <w:lang w:val="en-US" w:eastAsia="zh-CN"/>
              </w:rPr>
            </w:pPr>
          </w:p>
        </w:tc>
        <w:tc>
          <w:tcPr>
            <w:tcW w:w="914" w:type="dxa"/>
            <w:tcBorders>
              <w:top w:val="single" w:color="auto" w:sz="4" w:space="0"/>
              <w:left w:val="single" w:color="auto" w:sz="4" w:space="0"/>
              <w:bottom w:val="single" w:color="auto" w:sz="4" w:space="0"/>
              <w:right w:val="single" w:color="auto" w:sz="4" w:space="0"/>
            </w:tcBorders>
            <w:vAlign w:val="center"/>
          </w:tcPr>
          <w:p>
            <w:pPr>
              <w:pStyle w:val="8"/>
              <w:spacing w:line="288" w:lineRule="auto"/>
              <w:jc w:val="center"/>
              <w:rPr>
                <w:rFonts w:hint="eastAsia" w:asciiTheme="minorEastAsia" w:hAnsiTheme="minorEastAsia" w:eastAsiaTheme="minorEastAsia" w:cstheme="minorEastAsia"/>
                <w:color w:val="auto"/>
                <w:kern w:val="2"/>
                <w:sz w:val="21"/>
                <w:szCs w:val="21"/>
                <w:highlight w:val="none"/>
                <w:lang w:val="en-US" w:eastAsia="zh-CN"/>
              </w:rPr>
            </w:pPr>
          </w:p>
        </w:tc>
        <w:tc>
          <w:tcPr>
            <w:tcW w:w="1091" w:type="dxa"/>
            <w:tcBorders>
              <w:top w:val="single" w:color="auto" w:sz="4" w:space="0"/>
              <w:left w:val="single" w:color="auto" w:sz="4" w:space="0"/>
              <w:bottom w:val="single" w:color="auto" w:sz="4" w:space="0"/>
              <w:right w:val="single" w:color="auto" w:sz="4" w:space="0"/>
            </w:tcBorders>
            <w:vAlign w:val="center"/>
          </w:tcPr>
          <w:p>
            <w:pPr>
              <w:pStyle w:val="8"/>
              <w:spacing w:line="288" w:lineRule="auto"/>
              <w:jc w:val="center"/>
              <w:rPr>
                <w:rFonts w:hint="eastAsia" w:asciiTheme="minorEastAsia" w:hAnsiTheme="minorEastAsia" w:eastAsiaTheme="minorEastAsia" w:cstheme="minorEastAsia"/>
                <w:color w:val="auto"/>
                <w:kern w:val="2"/>
                <w:sz w:val="21"/>
                <w:szCs w:val="21"/>
                <w:highlight w:val="none"/>
                <w:lang w:val="en-US" w:eastAsia="zh-CN"/>
              </w:rPr>
            </w:pPr>
          </w:p>
        </w:tc>
        <w:tc>
          <w:tcPr>
            <w:tcW w:w="7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宋体" w:hAnsi="宋体" w:cs="宋体"/>
                <w:color w:val="auto"/>
                <w:kern w:val="0"/>
                <w:szCs w:val="21"/>
                <w:highlight w:val="none"/>
                <w:lang w:bidi="ar"/>
              </w:rPr>
              <w:t>个</w:t>
            </w:r>
          </w:p>
        </w:tc>
        <w:tc>
          <w:tcPr>
            <w:tcW w:w="655" w:type="dxa"/>
            <w:tcBorders>
              <w:top w:val="single" w:color="auto" w:sz="4" w:space="0"/>
              <w:left w:val="single" w:color="auto" w:sz="4" w:space="0"/>
              <w:bottom w:val="single" w:color="auto" w:sz="4" w:space="0"/>
              <w:right w:val="single" w:color="auto" w:sz="4" w:space="0"/>
            </w:tcBorders>
            <w:vAlign w:val="center"/>
          </w:tcPr>
          <w:p>
            <w:pPr>
              <w:pStyle w:val="8"/>
              <w:spacing w:line="288" w:lineRule="auto"/>
              <w:ind w:firstLine="0"/>
              <w:jc w:val="center"/>
              <w:rPr>
                <w:rFonts w:hint="eastAsia" w:asciiTheme="minorEastAsia" w:hAnsiTheme="minorEastAsia" w:eastAsiaTheme="minorEastAsia" w:cstheme="minorEastAsia"/>
                <w:color w:val="auto"/>
                <w:kern w:val="2"/>
                <w:sz w:val="21"/>
                <w:szCs w:val="21"/>
                <w:highlight w:val="none"/>
                <w:lang w:val="en-US" w:eastAsia="zh-CN"/>
              </w:rPr>
            </w:pPr>
          </w:p>
        </w:tc>
        <w:tc>
          <w:tcPr>
            <w:tcW w:w="830" w:type="dxa"/>
            <w:tcBorders>
              <w:top w:val="single" w:color="auto" w:sz="4" w:space="0"/>
              <w:left w:val="single" w:color="auto" w:sz="4" w:space="0"/>
              <w:bottom w:val="single" w:color="auto" w:sz="4" w:space="0"/>
              <w:right w:val="single" w:color="auto" w:sz="4" w:space="0"/>
            </w:tcBorders>
            <w:vAlign w:val="center"/>
          </w:tcPr>
          <w:p>
            <w:pPr>
              <w:pStyle w:val="8"/>
              <w:spacing w:line="288" w:lineRule="auto"/>
              <w:ind w:firstLine="0"/>
              <w:jc w:val="center"/>
              <w:rPr>
                <w:rFonts w:hint="eastAsia" w:asciiTheme="minorEastAsia" w:hAnsiTheme="minorEastAsia" w:eastAsiaTheme="minorEastAsia" w:cstheme="minorEastAsia"/>
                <w:color w:val="auto"/>
                <w:kern w:val="2"/>
                <w:sz w:val="21"/>
                <w:szCs w:val="21"/>
                <w:highlight w:val="none"/>
                <w:lang w:val="en-US" w:eastAsia="zh-CN"/>
              </w:rPr>
            </w:pPr>
          </w:p>
        </w:tc>
        <w:tc>
          <w:tcPr>
            <w:tcW w:w="914" w:type="dxa"/>
            <w:tcBorders>
              <w:top w:val="single" w:color="auto" w:sz="4" w:space="0"/>
              <w:left w:val="single" w:color="auto" w:sz="4" w:space="0"/>
              <w:bottom w:val="single" w:color="auto" w:sz="4" w:space="0"/>
              <w:right w:val="single" w:color="auto" w:sz="4" w:space="0"/>
            </w:tcBorders>
            <w:vAlign w:val="center"/>
          </w:tcPr>
          <w:p>
            <w:pPr>
              <w:pStyle w:val="8"/>
              <w:spacing w:line="288" w:lineRule="auto"/>
              <w:ind w:firstLine="0"/>
              <w:jc w:val="center"/>
              <w:rPr>
                <w:rFonts w:hint="eastAsia" w:asciiTheme="minorEastAsia" w:hAnsiTheme="minorEastAsia" w:eastAsiaTheme="minorEastAsia" w:cstheme="minorEastAsia"/>
                <w:color w:val="auto"/>
                <w:kern w:val="2"/>
                <w:sz w:val="21"/>
                <w:szCs w:val="21"/>
                <w:highlight w:val="none"/>
                <w:lang w:val="en-US" w:eastAsia="zh-CN"/>
              </w:rPr>
            </w:pPr>
          </w:p>
        </w:tc>
        <w:tc>
          <w:tcPr>
            <w:tcW w:w="124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宋体" w:hAnsi="宋体" w:cs="宋体"/>
                <w:color w:val="auto"/>
                <w:kern w:val="0"/>
                <w:szCs w:val="21"/>
                <w:highlight w:val="none"/>
                <w:lang w:bidi="ar"/>
              </w:rPr>
              <w:t>不少于3个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62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3</w:t>
            </w:r>
          </w:p>
        </w:tc>
        <w:tc>
          <w:tcPr>
            <w:tcW w:w="169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磁控管</w:t>
            </w:r>
          </w:p>
        </w:tc>
        <w:tc>
          <w:tcPr>
            <w:tcW w:w="900" w:type="dxa"/>
            <w:tcBorders>
              <w:top w:val="single" w:color="auto" w:sz="4" w:space="0"/>
              <w:left w:val="single" w:color="auto" w:sz="4" w:space="0"/>
              <w:bottom w:val="single" w:color="auto" w:sz="4" w:space="0"/>
              <w:right w:val="single" w:color="auto" w:sz="4" w:space="0"/>
            </w:tcBorders>
            <w:vAlign w:val="center"/>
          </w:tcPr>
          <w:p>
            <w:pPr>
              <w:pStyle w:val="8"/>
              <w:spacing w:line="288" w:lineRule="auto"/>
              <w:jc w:val="center"/>
              <w:rPr>
                <w:rFonts w:hint="eastAsia" w:asciiTheme="minorEastAsia" w:hAnsiTheme="minorEastAsia" w:eastAsiaTheme="minorEastAsia" w:cstheme="minorEastAsia"/>
                <w:color w:val="auto"/>
                <w:kern w:val="2"/>
                <w:sz w:val="21"/>
                <w:szCs w:val="21"/>
                <w:highlight w:val="none"/>
                <w:lang w:val="en-US" w:eastAsia="zh-CN"/>
              </w:rPr>
            </w:pPr>
          </w:p>
        </w:tc>
        <w:tc>
          <w:tcPr>
            <w:tcW w:w="914" w:type="dxa"/>
            <w:tcBorders>
              <w:top w:val="single" w:color="auto" w:sz="4" w:space="0"/>
              <w:left w:val="single" w:color="auto" w:sz="4" w:space="0"/>
              <w:bottom w:val="single" w:color="auto" w:sz="4" w:space="0"/>
              <w:right w:val="single" w:color="auto" w:sz="4" w:space="0"/>
            </w:tcBorders>
            <w:vAlign w:val="center"/>
          </w:tcPr>
          <w:p>
            <w:pPr>
              <w:pStyle w:val="8"/>
              <w:spacing w:line="288" w:lineRule="auto"/>
              <w:jc w:val="center"/>
              <w:rPr>
                <w:rFonts w:hint="eastAsia" w:asciiTheme="minorEastAsia" w:hAnsiTheme="minorEastAsia" w:eastAsiaTheme="minorEastAsia" w:cstheme="minorEastAsia"/>
                <w:color w:val="auto"/>
                <w:kern w:val="2"/>
                <w:sz w:val="21"/>
                <w:szCs w:val="21"/>
                <w:highlight w:val="none"/>
                <w:lang w:val="en-US" w:eastAsia="zh-CN"/>
              </w:rPr>
            </w:pPr>
          </w:p>
        </w:tc>
        <w:tc>
          <w:tcPr>
            <w:tcW w:w="1091" w:type="dxa"/>
            <w:tcBorders>
              <w:top w:val="single" w:color="auto" w:sz="4" w:space="0"/>
              <w:left w:val="single" w:color="auto" w:sz="4" w:space="0"/>
              <w:bottom w:val="single" w:color="auto" w:sz="4" w:space="0"/>
              <w:right w:val="single" w:color="auto" w:sz="4" w:space="0"/>
            </w:tcBorders>
            <w:vAlign w:val="center"/>
          </w:tcPr>
          <w:p>
            <w:pPr>
              <w:pStyle w:val="8"/>
              <w:spacing w:line="288" w:lineRule="auto"/>
              <w:jc w:val="center"/>
              <w:rPr>
                <w:rFonts w:hint="eastAsia" w:asciiTheme="minorEastAsia" w:hAnsiTheme="minorEastAsia" w:eastAsiaTheme="minorEastAsia" w:cstheme="minorEastAsia"/>
                <w:color w:val="auto"/>
                <w:kern w:val="2"/>
                <w:sz w:val="21"/>
                <w:szCs w:val="21"/>
                <w:highlight w:val="none"/>
                <w:lang w:val="en-US" w:eastAsia="zh-CN"/>
              </w:rPr>
            </w:pPr>
          </w:p>
        </w:tc>
        <w:tc>
          <w:tcPr>
            <w:tcW w:w="7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宋体" w:hAnsi="宋体" w:cs="宋体"/>
                <w:color w:val="auto"/>
                <w:kern w:val="0"/>
                <w:szCs w:val="21"/>
                <w:highlight w:val="none"/>
                <w:lang w:bidi="ar"/>
              </w:rPr>
              <w:t>个</w:t>
            </w:r>
          </w:p>
        </w:tc>
        <w:tc>
          <w:tcPr>
            <w:tcW w:w="655" w:type="dxa"/>
            <w:tcBorders>
              <w:top w:val="single" w:color="auto" w:sz="4" w:space="0"/>
              <w:left w:val="single" w:color="auto" w:sz="4" w:space="0"/>
              <w:bottom w:val="single" w:color="auto" w:sz="4" w:space="0"/>
              <w:right w:val="single" w:color="auto" w:sz="4" w:space="0"/>
            </w:tcBorders>
            <w:vAlign w:val="center"/>
          </w:tcPr>
          <w:p>
            <w:pPr>
              <w:pStyle w:val="8"/>
              <w:spacing w:line="288" w:lineRule="auto"/>
              <w:ind w:firstLine="0"/>
              <w:jc w:val="center"/>
              <w:rPr>
                <w:rFonts w:hint="eastAsia" w:asciiTheme="minorEastAsia" w:hAnsiTheme="minorEastAsia" w:eastAsiaTheme="minorEastAsia" w:cstheme="minorEastAsia"/>
                <w:color w:val="auto"/>
                <w:kern w:val="2"/>
                <w:sz w:val="21"/>
                <w:szCs w:val="21"/>
                <w:highlight w:val="none"/>
                <w:lang w:val="en-US" w:eastAsia="zh-CN"/>
              </w:rPr>
            </w:pPr>
          </w:p>
        </w:tc>
        <w:tc>
          <w:tcPr>
            <w:tcW w:w="830" w:type="dxa"/>
            <w:tcBorders>
              <w:top w:val="single" w:color="auto" w:sz="4" w:space="0"/>
              <w:left w:val="single" w:color="auto" w:sz="4" w:space="0"/>
              <w:bottom w:val="single" w:color="auto" w:sz="4" w:space="0"/>
              <w:right w:val="single" w:color="auto" w:sz="4" w:space="0"/>
            </w:tcBorders>
            <w:vAlign w:val="center"/>
          </w:tcPr>
          <w:p>
            <w:pPr>
              <w:pStyle w:val="8"/>
              <w:spacing w:line="288" w:lineRule="auto"/>
              <w:ind w:firstLine="0"/>
              <w:jc w:val="center"/>
              <w:rPr>
                <w:rFonts w:hint="eastAsia" w:asciiTheme="minorEastAsia" w:hAnsiTheme="minorEastAsia" w:eastAsiaTheme="minorEastAsia" w:cstheme="minorEastAsia"/>
                <w:color w:val="auto"/>
                <w:kern w:val="2"/>
                <w:sz w:val="21"/>
                <w:szCs w:val="21"/>
                <w:highlight w:val="none"/>
                <w:lang w:val="en-US" w:eastAsia="zh-CN"/>
              </w:rPr>
            </w:pPr>
          </w:p>
        </w:tc>
        <w:tc>
          <w:tcPr>
            <w:tcW w:w="914" w:type="dxa"/>
            <w:tcBorders>
              <w:top w:val="single" w:color="auto" w:sz="4" w:space="0"/>
              <w:left w:val="single" w:color="auto" w:sz="4" w:space="0"/>
              <w:bottom w:val="single" w:color="auto" w:sz="4" w:space="0"/>
              <w:right w:val="single" w:color="auto" w:sz="4" w:space="0"/>
            </w:tcBorders>
            <w:vAlign w:val="center"/>
          </w:tcPr>
          <w:p>
            <w:pPr>
              <w:pStyle w:val="8"/>
              <w:spacing w:line="288" w:lineRule="auto"/>
              <w:ind w:firstLine="0"/>
              <w:jc w:val="center"/>
              <w:rPr>
                <w:rFonts w:hint="eastAsia" w:asciiTheme="minorEastAsia" w:hAnsiTheme="minorEastAsia" w:eastAsiaTheme="minorEastAsia" w:cstheme="minorEastAsia"/>
                <w:color w:val="auto"/>
                <w:kern w:val="2"/>
                <w:sz w:val="21"/>
                <w:szCs w:val="21"/>
                <w:highlight w:val="none"/>
                <w:lang w:val="en-US" w:eastAsia="zh-CN"/>
              </w:rPr>
            </w:pPr>
          </w:p>
        </w:tc>
        <w:tc>
          <w:tcPr>
            <w:tcW w:w="124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宋体" w:hAnsi="宋体" w:cs="宋体"/>
                <w:color w:val="auto"/>
                <w:kern w:val="0"/>
                <w:szCs w:val="21"/>
                <w:highlight w:val="none"/>
                <w:lang w:bidi="ar"/>
              </w:rPr>
              <w:t>不少于5个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62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4</w:t>
            </w:r>
          </w:p>
        </w:tc>
        <w:tc>
          <w:tcPr>
            <w:tcW w:w="169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间隔环</w:t>
            </w:r>
          </w:p>
        </w:tc>
        <w:tc>
          <w:tcPr>
            <w:tcW w:w="900" w:type="dxa"/>
            <w:tcBorders>
              <w:top w:val="single" w:color="auto" w:sz="4" w:space="0"/>
              <w:left w:val="single" w:color="auto" w:sz="4" w:space="0"/>
              <w:bottom w:val="single" w:color="auto" w:sz="4" w:space="0"/>
              <w:right w:val="single" w:color="auto" w:sz="4" w:space="0"/>
            </w:tcBorders>
            <w:vAlign w:val="center"/>
          </w:tcPr>
          <w:p>
            <w:pPr>
              <w:pStyle w:val="8"/>
              <w:spacing w:line="288" w:lineRule="auto"/>
              <w:jc w:val="center"/>
              <w:rPr>
                <w:rFonts w:hint="eastAsia" w:asciiTheme="minorEastAsia" w:hAnsiTheme="minorEastAsia" w:eastAsiaTheme="minorEastAsia" w:cstheme="minorEastAsia"/>
                <w:color w:val="auto"/>
                <w:kern w:val="2"/>
                <w:sz w:val="21"/>
                <w:szCs w:val="21"/>
                <w:highlight w:val="none"/>
                <w:lang w:val="en-US" w:eastAsia="zh-CN"/>
              </w:rPr>
            </w:pPr>
          </w:p>
        </w:tc>
        <w:tc>
          <w:tcPr>
            <w:tcW w:w="914" w:type="dxa"/>
            <w:tcBorders>
              <w:top w:val="single" w:color="auto" w:sz="4" w:space="0"/>
              <w:left w:val="single" w:color="auto" w:sz="4" w:space="0"/>
              <w:bottom w:val="single" w:color="auto" w:sz="4" w:space="0"/>
              <w:right w:val="single" w:color="auto" w:sz="4" w:space="0"/>
            </w:tcBorders>
            <w:vAlign w:val="center"/>
          </w:tcPr>
          <w:p>
            <w:pPr>
              <w:pStyle w:val="8"/>
              <w:spacing w:line="288" w:lineRule="auto"/>
              <w:jc w:val="center"/>
              <w:rPr>
                <w:rFonts w:hint="eastAsia" w:asciiTheme="minorEastAsia" w:hAnsiTheme="minorEastAsia" w:eastAsiaTheme="minorEastAsia" w:cstheme="minorEastAsia"/>
                <w:color w:val="auto"/>
                <w:kern w:val="2"/>
                <w:sz w:val="21"/>
                <w:szCs w:val="21"/>
                <w:highlight w:val="none"/>
                <w:lang w:val="en-US" w:eastAsia="zh-CN"/>
              </w:rPr>
            </w:pPr>
          </w:p>
        </w:tc>
        <w:tc>
          <w:tcPr>
            <w:tcW w:w="1091" w:type="dxa"/>
            <w:tcBorders>
              <w:top w:val="single" w:color="auto" w:sz="4" w:space="0"/>
              <w:left w:val="single" w:color="auto" w:sz="4" w:space="0"/>
              <w:bottom w:val="single" w:color="auto" w:sz="4" w:space="0"/>
              <w:right w:val="single" w:color="auto" w:sz="4" w:space="0"/>
            </w:tcBorders>
            <w:vAlign w:val="center"/>
          </w:tcPr>
          <w:p>
            <w:pPr>
              <w:pStyle w:val="8"/>
              <w:spacing w:line="288" w:lineRule="auto"/>
              <w:jc w:val="center"/>
              <w:rPr>
                <w:rFonts w:hint="eastAsia" w:asciiTheme="minorEastAsia" w:hAnsiTheme="minorEastAsia" w:eastAsiaTheme="minorEastAsia" w:cstheme="minorEastAsia"/>
                <w:color w:val="auto"/>
                <w:kern w:val="2"/>
                <w:sz w:val="21"/>
                <w:szCs w:val="21"/>
                <w:highlight w:val="none"/>
                <w:lang w:val="en-US" w:eastAsia="zh-CN"/>
              </w:rPr>
            </w:pPr>
          </w:p>
        </w:tc>
        <w:tc>
          <w:tcPr>
            <w:tcW w:w="7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宋体" w:hAnsi="宋体" w:cs="宋体"/>
                <w:color w:val="auto"/>
                <w:kern w:val="0"/>
                <w:szCs w:val="21"/>
                <w:highlight w:val="none"/>
                <w:lang w:bidi="ar"/>
              </w:rPr>
              <w:t>个</w:t>
            </w:r>
          </w:p>
        </w:tc>
        <w:tc>
          <w:tcPr>
            <w:tcW w:w="655" w:type="dxa"/>
            <w:tcBorders>
              <w:top w:val="single" w:color="auto" w:sz="4" w:space="0"/>
              <w:left w:val="single" w:color="auto" w:sz="4" w:space="0"/>
              <w:bottom w:val="single" w:color="auto" w:sz="4" w:space="0"/>
              <w:right w:val="single" w:color="auto" w:sz="4" w:space="0"/>
            </w:tcBorders>
            <w:vAlign w:val="center"/>
          </w:tcPr>
          <w:p>
            <w:pPr>
              <w:pStyle w:val="8"/>
              <w:spacing w:line="288" w:lineRule="auto"/>
              <w:ind w:firstLine="0"/>
              <w:jc w:val="center"/>
              <w:rPr>
                <w:rFonts w:hint="eastAsia" w:asciiTheme="minorEastAsia" w:hAnsiTheme="minorEastAsia" w:eastAsiaTheme="minorEastAsia" w:cstheme="minorEastAsia"/>
                <w:color w:val="auto"/>
                <w:kern w:val="2"/>
                <w:sz w:val="21"/>
                <w:szCs w:val="21"/>
                <w:highlight w:val="none"/>
                <w:lang w:val="en-US" w:eastAsia="zh-CN"/>
              </w:rPr>
            </w:pPr>
          </w:p>
        </w:tc>
        <w:tc>
          <w:tcPr>
            <w:tcW w:w="830" w:type="dxa"/>
            <w:tcBorders>
              <w:top w:val="single" w:color="auto" w:sz="4" w:space="0"/>
              <w:left w:val="single" w:color="auto" w:sz="4" w:space="0"/>
              <w:bottom w:val="single" w:color="auto" w:sz="4" w:space="0"/>
              <w:right w:val="single" w:color="auto" w:sz="4" w:space="0"/>
            </w:tcBorders>
            <w:vAlign w:val="center"/>
          </w:tcPr>
          <w:p>
            <w:pPr>
              <w:pStyle w:val="8"/>
              <w:spacing w:line="288" w:lineRule="auto"/>
              <w:ind w:firstLine="0"/>
              <w:jc w:val="center"/>
              <w:rPr>
                <w:rFonts w:hint="eastAsia" w:asciiTheme="minorEastAsia" w:hAnsiTheme="minorEastAsia" w:eastAsiaTheme="minorEastAsia" w:cstheme="minorEastAsia"/>
                <w:color w:val="auto"/>
                <w:kern w:val="2"/>
                <w:sz w:val="21"/>
                <w:szCs w:val="21"/>
                <w:highlight w:val="none"/>
                <w:lang w:val="en-US" w:eastAsia="zh-CN"/>
              </w:rPr>
            </w:pPr>
          </w:p>
        </w:tc>
        <w:tc>
          <w:tcPr>
            <w:tcW w:w="914" w:type="dxa"/>
            <w:tcBorders>
              <w:top w:val="single" w:color="auto" w:sz="4" w:space="0"/>
              <w:left w:val="single" w:color="auto" w:sz="4" w:space="0"/>
              <w:bottom w:val="single" w:color="auto" w:sz="4" w:space="0"/>
              <w:right w:val="single" w:color="auto" w:sz="4" w:space="0"/>
            </w:tcBorders>
            <w:vAlign w:val="center"/>
          </w:tcPr>
          <w:p>
            <w:pPr>
              <w:pStyle w:val="8"/>
              <w:spacing w:line="288" w:lineRule="auto"/>
              <w:ind w:firstLine="0"/>
              <w:jc w:val="center"/>
              <w:rPr>
                <w:rFonts w:hint="eastAsia" w:asciiTheme="minorEastAsia" w:hAnsiTheme="minorEastAsia" w:eastAsiaTheme="minorEastAsia" w:cstheme="minorEastAsia"/>
                <w:color w:val="auto"/>
                <w:kern w:val="2"/>
                <w:sz w:val="21"/>
                <w:szCs w:val="21"/>
                <w:highlight w:val="none"/>
                <w:lang w:val="en-US" w:eastAsia="zh-CN"/>
              </w:rPr>
            </w:pPr>
          </w:p>
        </w:tc>
        <w:tc>
          <w:tcPr>
            <w:tcW w:w="124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宋体" w:hAnsi="宋体" w:cs="宋体"/>
                <w:color w:val="auto"/>
                <w:kern w:val="0"/>
                <w:szCs w:val="21"/>
                <w:highlight w:val="none"/>
                <w:lang w:bidi="ar"/>
              </w:rPr>
              <w:t>不少于2个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62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5</w:t>
            </w:r>
          </w:p>
        </w:tc>
        <w:tc>
          <w:tcPr>
            <w:tcW w:w="169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轴承</w:t>
            </w:r>
          </w:p>
        </w:tc>
        <w:tc>
          <w:tcPr>
            <w:tcW w:w="900" w:type="dxa"/>
            <w:tcBorders>
              <w:top w:val="single" w:color="auto" w:sz="4" w:space="0"/>
              <w:left w:val="single" w:color="auto" w:sz="4" w:space="0"/>
              <w:bottom w:val="single" w:color="auto" w:sz="4" w:space="0"/>
              <w:right w:val="single" w:color="auto" w:sz="4" w:space="0"/>
            </w:tcBorders>
            <w:vAlign w:val="center"/>
          </w:tcPr>
          <w:p>
            <w:pPr>
              <w:pStyle w:val="8"/>
              <w:spacing w:line="288" w:lineRule="auto"/>
              <w:jc w:val="center"/>
              <w:rPr>
                <w:rFonts w:hint="eastAsia" w:asciiTheme="minorEastAsia" w:hAnsiTheme="minorEastAsia" w:eastAsiaTheme="minorEastAsia" w:cstheme="minorEastAsia"/>
                <w:color w:val="auto"/>
                <w:kern w:val="2"/>
                <w:sz w:val="21"/>
                <w:szCs w:val="21"/>
                <w:highlight w:val="none"/>
                <w:lang w:val="en-US" w:eastAsia="zh-CN"/>
              </w:rPr>
            </w:pPr>
          </w:p>
        </w:tc>
        <w:tc>
          <w:tcPr>
            <w:tcW w:w="914" w:type="dxa"/>
            <w:tcBorders>
              <w:top w:val="single" w:color="auto" w:sz="4" w:space="0"/>
              <w:left w:val="single" w:color="auto" w:sz="4" w:space="0"/>
              <w:bottom w:val="single" w:color="auto" w:sz="4" w:space="0"/>
              <w:right w:val="single" w:color="auto" w:sz="4" w:space="0"/>
            </w:tcBorders>
            <w:vAlign w:val="center"/>
          </w:tcPr>
          <w:p>
            <w:pPr>
              <w:pStyle w:val="8"/>
              <w:spacing w:line="288" w:lineRule="auto"/>
              <w:jc w:val="center"/>
              <w:rPr>
                <w:rFonts w:hint="eastAsia" w:asciiTheme="minorEastAsia" w:hAnsiTheme="minorEastAsia" w:eastAsiaTheme="minorEastAsia" w:cstheme="minorEastAsia"/>
                <w:color w:val="auto"/>
                <w:kern w:val="2"/>
                <w:sz w:val="21"/>
                <w:szCs w:val="21"/>
                <w:highlight w:val="none"/>
                <w:lang w:val="en-US" w:eastAsia="zh-CN"/>
              </w:rPr>
            </w:pPr>
          </w:p>
        </w:tc>
        <w:tc>
          <w:tcPr>
            <w:tcW w:w="1091" w:type="dxa"/>
            <w:tcBorders>
              <w:top w:val="single" w:color="auto" w:sz="4" w:space="0"/>
              <w:left w:val="single" w:color="auto" w:sz="4" w:space="0"/>
              <w:bottom w:val="single" w:color="auto" w:sz="4" w:space="0"/>
              <w:right w:val="single" w:color="auto" w:sz="4" w:space="0"/>
            </w:tcBorders>
            <w:vAlign w:val="center"/>
          </w:tcPr>
          <w:p>
            <w:pPr>
              <w:pStyle w:val="8"/>
              <w:spacing w:line="288" w:lineRule="auto"/>
              <w:jc w:val="center"/>
              <w:rPr>
                <w:rFonts w:hint="eastAsia" w:asciiTheme="minorEastAsia" w:hAnsiTheme="minorEastAsia" w:eastAsiaTheme="minorEastAsia" w:cstheme="minorEastAsia"/>
                <w:color w:val="auto"/>
                <w:kern w:val="2"/>
                <w:sz w:val="21"/>
                <w:szCs w:val="21"/>
                <w:highlight w:val="none"/>
                <w:lang w:val="en-US" w:eastAsia="zh-CN"/>
              </w:rPr>
            </w:pPr>
          </w:p>
        </w:tc>
        <w:tc>
          <w:tcPr>
            <w:tcW w:w="7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宋体" w:hAnsi="宋体" w:cs="宋体"/>
                <w:color w:val="auto"/>
                <w:kern w:val="0"/>
                <w:szCs w:val="21"/>
                <w:highlight w:val="none"/>
                <w:lang w:bidi="ar"/>
              </w:rPr>
              <w:t>盘</w:t>
            </w:r>
          </w:p>
        </w:tc>
        <w:tc>
          <w:tcPr>
            <w:tcW w:w="655" w:type="dxa"/>
            <w:tcBorders>
              <w:top w:val="single" w:color="auto" w:sz="4" w:space="0"/>
              <w:left w:val="single" w:color="auto" w:sz="4" w:space="0"/>
              <w:bottom w:val="single" w:color="auto" w:sz="4" w:space="0"/>
              <w:right w:val="single" w:color="auto" w:sz="4" w:space="0"/>
            </w:tcBorders>
            <w:vAlign w:val="center"/>
          </w:tcPr>
          <w:p>
            <w:pPr>
              <w:pStyle w:val="8"/>
              <w:spacing w:line="288" w:lineRule="auto"/>
              <w:ind w:firstLine="0"/>
              <w:jc w:val="center"/>
              <w:rPr>
                <w:rFonts w:hint="eastAsia" w:asciiTheme="minorEastAsia" w:hAnsiTheme="minorEastAsia" w:eastAsiaTheme="minorEastAsia" w:cstheme="minorEastAsia"/>
                <w:color w:val="auto"/>
                <w:kern w:val="2"/>
                <w:sz w:val="21"/>
                <w:szCs w:val="21"/>
                <w:highlight w:val="none"/>
                <w:lang w:val="en-US" w:eastAsia="zh-CN"/>
              </w:rPr>
            </w:pPr>
          </w:p>
        </w:tc>
        <w:tc>
          <w:tcPr>
            <w:tcW w:w="830" w:type="dxa"/>
            <w:tcBorders>
              <w:top w:val="single" w:color="auto" w:sz="4" w:space="0"/>
              <w:left w:val="single" w:color="auto" w:sz="4" w:space="0"/>
              <w:bottom w:val="single" w:color="auto" w:sz="4" w:space="0"/>
              <w:right w:val="single" w:color="auto" w:sz="4" w:space="0"/>
            </w:tcBorders>
            <w:vAlign w:val="center"/>
          </w:tcPr>
          <w:p>
            <w:pPr>
              <w:pStyle w:val="8"/>
              <w:spacing w:line="288" w:lineRule="auto"/>
              <w:ind w:firstLine="0"/>
              <w:jc w:val="center"/>
              <w:rPr>
                <w:rFonts w:hint="eastAsia" w:asciiTheme="minorEastAsia" w:hAnsiTheme="minorEastAsia" w:eastAsiaTheme="minorEastAsia" w:cstheme="minorEastAsia"/>
                <w:color w:val="auto"/>
                <w:kern w:val="2"/>
                <w:sz w:val="21"/>
                <w:szCs w:val="21"/>
                <w:highlight w:val="none"/>
                <w:lang w:val="en-US" w:eastAsia="zh-CN"/>
              </w:rPr>
            </w:pPr>
          </w:p>
        </w:tc>
        <w:tc>
          <w:tcPr>
            <w:tcW w:w="914" w:type="dxa"/>
            <w:tcBorders>
              <w:top w:val="single" w:color="auto" w:sz="4" w:space="0"/>
              <w:left w:val="single" w:color="auto" w:sz="4" w:space="0"/>
              <w:bottom w:val="single" w:color="auto" w:sz="4" w:space="0"/>
              <w:right w:val="single" w:color="auto" w:sz="4" w:space="0"/>
            </w:tcBorders>
            <w:vAlign w:val="center"/>
          </w:tcPr>
          <w:p>
            <w:pPr>
              <w:pStyle w:val="8"/>
              <w:spacing w:line="288" w:lineRule="auto"/>
              <w:ind w:firstLine="0"/>
              <w:jc w:val="center"/>
              <w:rPr>
                <w:rFonts w:hint="eastAsia" w:asciiTheme="minorEastAsia" w:hAnsiTheme="minorEastAsia" w:eastAsiaTheme="minorEastAsia" w:cstheme="minorEastAsia"/>
                <w:color w:val="auto"/>
                <w:kern w:val="2"/>
                <w:sz w:val="21"/>
                <w:szCs w:val="21"/>
                <w:highlight w:val="none"/>
                <w:lang w:val="en-US" w:eastAsia="zh-CN"/>
              </w:rPr>
            </w:pPr>
          </w:p>
        </w:tc>
        <w:tc>
          <w:tcPr>
            <w:tcW w:w="124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宋体" w:hAnsi="宋体" w:cs="宋体"/>
                <w:color w:val="auto"/>
                <w:kern w:val="0"/>
                <w:szCs w:val="21"/>
                <w:highlight w:val="none"/>
                <w:lang w:bidi="ar"/>
              </w:rPr>
              <w:t>不少于2盘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62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6</w:t>
            </w:r>
          </w:p>
        </w:tc>
        <w:tc>
          <w:tcPr>
            <w:tcW w:w="169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发射光电开关</w:t>
            </w:r>
          </w:p>
        </w:tc>
        <w:tc>
          <w:tcPr>
            <w:tcW w:w="900" w:type="dxa"/>
            <w:tcBorders>
              <w:top w:val="single" w:color="auto" w:sz="4" w:space="0"/>
              <w:left w:val="single" w:color="auto" w:sz="4" w:space="0"/>
              <w:bottom w:val="single" w:color="auto" w:sz="4" w:space="0"/>
              <w:right w:val="single" w:color="auto" w:sz="4" w:space="0"/>
            </w:tcBorders>
            <w:vAlign w:val="center"/>
          </w:tcPr>
          <w:p>
            <w:pPr>
              <w:pStyle w:val="8"/>
              <w:spacing w:line="288" w:lineRule="auto"/>
              <w:jc w:val="center"/>
              <w:rPr>
                <w:rFonts w:hint="eastAsia" w:asciiTheme="minorEastAsia" w:hAnsiTheme="minorEastAsia" w:eastAsiaTheme="minorEastAsia" w:cstheme="minorEastAsia"/>
                <w:color w:val="auto"/>
                <w:kern w:val="2"/>
                <w:sz w:val="21"/>
                <w:szCs w:val="21"/>
                <w:highlight w:val="none"/>
                <w:lang w:val="en-US" w:eastAsia="zh-CN"/>
              </w:rPr>
            </w:pPr>
          </w:p>
        </w:tc>
        <w:tc>
          <w:tcPr>
            <w:tcW w:w="914" w:type="dxa"/>
            <w:tcBorders>
              <w:top w:val="single" w:color="auto" w:sz="4" w:space="0"/>
              <w:left w:val="single" w:color="auto" w:sz="4" w:space="0"/>
              <w:bottom w:val="single" w:color="auto" w:sz="4" w:space="0"/>
              <w:right w:val="single" w:color="auto" w:sz="4" w:space="0"/>
            </w:tcBorders>
            <w:vAlign w:val="center"/>
          </w:tcPr>
          <w:p>
            <w:pPr>
              <w:pStyle w:val="8"/>
              <w:spacing w:line="288" w:lineRule="auto"/>
              <w:jc w:val="center"/>
              <w:rPr>
                <w:rFonts w:hint="eastAsia" w:asciiTheme="minorEastAsia" w:hAnsiTheme="minorEastAsia" w:eastAsiaTheme="minorEastAsia" w:cstheme="minorEastAsia"/>
                <w:color w:val="auto"/>
                <w:kern w:val="2"/>
                <w:sz w:val="21"/>
                <w:szCs w:val="21"/>
                <w:highlight w:val="none"/>
                <w:lang w:val="en-US" w:eastAsia="zh-CN"/>
              </w:rPr>
            </w:pPr>
          </w:p>
        </w:tc>
        <w:tc>
          <w:tcPr>
            <w:tcW w:w="1091" w:type="dxa"/>
            <w:tcBorders>
              <w:top w:val="single" w:color="auto" w:sz="4" w:space="0"/>
              <w:left w:val="single" w:color="auto" w:sz="4" w:space="0"/>
              <w:bottom w:val="single" w:color="auto" w:sz="4" w:space="0"/>
              <w:right w:val="single" w:color="auto" w:sz="4" w:space="0"/>
            </w:tcBorders>
            <w:vAlign w:val="center"/>
          </w:tcPr>
          <w:p>
            <w:pPr>
              <w:pStyle w:val="8"/>
              <w:spacing w:line="288" w:lineRule="auto"/>
              <w:jc w:val="center"/>
              <w:rPr>
                <w:rFonts w:hint="eastAsia" w:asciiTheme="minorEastAsia" w:hAnsiTheme="minorEastAsia" w:eastAsiaTheme="minorEastAsia" w:cstheme="minorEastAsia"/>
                <w:color w:val="auto"/>
                <w:kern w:val="2"/>
                <w:sz w:val="21"/>
                <w:szCs w:val="21"/>
                <w:highlight w:val="none"/>
                <w:lang w:val="en-US" w:eastAsia="zh-CN"/>
              </w:rPr>
            </w:pPr>
          </w:p>
        </w:tc>
        <w:tc>
          <w:tcPr>
            <w:tcW w:w="7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宋体" w:hAnsi="宋体" w:cs="宋体"/>
                <w:color w:val="auto"/>
                <w:kern w:val="0"/>
                <w:szCs w:val="21"/>
                <w:highlight w:val="none"/>
                <w:lang w:bidi="ar"/>
              </w:rPr>
              <w:t>个</w:t>
            </w:r>
          </w:p>
        </w:tc>
        <w:tc>
          <w:tcPr>
            <w:tcW w:w="655" w:type="dxa"/>
            <w:tcBorders>
              <w:top w:val="single" w:color="auto" w:sz="4" w:space="0"/>
              <w:left w:val="single" w:color="auto" w:sz="4" w:space="0"/>
              <w:bottom w:val="single" w:color="auto" w:sz="4" w:space="0"/>
              <w:right w:val="single" w:color="auto" w:sz="4" w:space="0"/>
            </w:tcBorders>
            <w:vAlign w:val="center"/>
          </w:tcPr>
          <w:p>
            <w:pPr>
              <w:pStyle w:val="8"/>
              <w:spacing w:line="288" w:lineRule="auto"/>
              <w:ind w:firstLine="0"/>
              <w:jc w:val="center"/>
              <w:rPr>
                <w:rFonts w:hint="eastAsia" w:asciiTheme="minorEastAsia" w:hAnsiTheme="minorEastAsia" w:eastAsiaTheme="minorEastAsia" w:cstheme="minorEastAsia"/>
                <w:color w:val="auto"/>
                <w:kern w:val="2"/>
                <w:sz w:val="21"/>
                <w:szCs w:val="21"/>
                <w:highlight w:val="none"/>
                <w:lang w:val="en-US" w:eastAsia="zh-CN"/>
              </w:rPr>
            </w:pPr>
          </w:p>
        </w:tc>
        <w:tc>
          <w:tcPr>
            <w:tcW w:w="830" w:type="dxa"/>
            <w:tcBorders>
              <w:top w:val="single" w:color="auto" w:sz="4" w:space="0"/>
              <w:left w:val="single" w:color="auto" w:sz="4" w:space="0"/>
              <w:bottom w:val="single" w:color="auto" w:sz="4" w:space="0"/>
              <w:right w:val="single" w:color="auto" w:sz="4" w:space="0"/>
            </w:tcBorders>
            <w:vAlign w:val="center"/>
          </w:tcPr>
          <w:p>
            <w:pPr>
              <w:pStyle w:val="8"/>
              <w:spacing w:line="288" w:lineRule="auto"/>
              <w:ind w:firstLine="0"/>
              <w:jc w:val="center"/>
              <w:rPr>
                <w:rFonts w:hint="eastAsia" w:asciiTheme="minorEastAsia" w:hAnsiTheme="minorEastAsia" w:eastAsiaTheme="minorEastAsia" w:cstheme="minorEastAsia"/>
                <w:color w:val="auto"/>
                <w:kern w:val="2"/>
                <w:sz w:val="21"/>
                <w:szCs w:val="21"/>
                <w:highlight w:val="none"/>
                <w:lang w:val="en-US" w:eastAsia="zh-CN"/>
              </w:rPr>
            </w:pPr>
          </w:p>
        </w:tc>
        <w:tc>
          <w:tcPr>
            <w:tcW w:w="914" w:type="dxa"/>
            <w:tcBorders>
              <w:top w:val="single" w:color="auto" w:sz="4" w:space="0"/>
              <w:left w:val="single" w:color="auto" w:sz="4" w:space="0"/>
              <w:bottom w:val="single" w:color="auto" w:sz="4" w:space="0"/>
              <w:right w:val="single" w:color="auto" w:sz="4" w:space="0"/>
            </w:tcBorders>
            <w:vAlign w:val="center"/>
          </w:tcPr>
          <w:p>
            <w:pPr>
              <w:pStyle w:val="8"/>
              <w:spacing w:line="288" w:lineRule="auto"/>
              <w:ind w:firstLine="0"/>
              <w:jc w:val="center"/>
              <w:rPr>
                <w:rFonts w:hint="eastAsia" w:asciiTheme="minorEastAsia" w:hAnsiTheme="minorEastAsia" w:eastAsiaTheme="minorEastAsia" w:cstheme="minorEastAsia"/>
                <w:color w:val="auto"/>
                <w:kern w:val="2"/>
                <w:sz w:val="21"/>
                <w:szCs w:val="21"/>
                <w:highlight w:val="none"/>
                <w:lang w:val="en-US" w:eastAsia="zh-CN"/>
              </w:rPr>
            </w:pPr>
          </w:p>
        </w:tc>
        <w:tc>
          <w:tcPr>
            <w:tcW w:w="124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宋体" w:hAnsi="宋体" w:cs="宋体"/>
                <w:color w:val="auto"/>
                <w:kern w:val="0"/>
                <w:szCs w:val="21"/>
                <w:highlight w:val="none"/>
                <w:lang w:bidi="ar"/>
              </w:rPr>
              <w:t>不少于1个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62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7</w:t>
            </w:r>
          </w:p>
        </w:tc>
        <w:tc>
          <w:tcPr>
            <w:tcW w:w="169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油封</w:t>
            </w:r>
          </w:p>
        </w:tc>
        <w:tc>
          <w:tcPr>
            <w:tcW w:w="900" w:type="dxa"/>
            <w:tcBorders>
              <w:top w:val="single" w:color="auto" w:sz="4" w:space="0"/>
              <w:left w:val="single" w:color="auto" w:sz="4" w:space="0"/>
              <w:bottom w:val="single" w:color="auto" w:sz="4" w:space="0"/>
              <w:right w:val="single" w:color="auto" w:sz="4" w:space="0"/>
            </w:tcBorders>
            <w:vAlign w:val="center"/>
          </w:tcPr>
          <w:p>
            <w:pPr>
              <w:pStyle w:val="8"/>
              <w:spacing w:line="288" w:lineRule="auto"/>
              <w:jc w:val="center"/>
              <w:rPr>
                <w:rFonts w:hint="eastAsia" w:asciiTheme="minorEastAsia" w:hAnsiTheme="minorEastAsia" w:eastAsiaTheme="minorEastAsia" w:cstheme="minorEastAsia"/>
                <w:color w:val="auto"/>
                <w:kern w:val="2"/>
                <w:sz w:val="21"/>
                <w:szCs w:val="21"/>
                <w:highlight w:val="none"/>
                <w:lang w:val="en-US" w:eastAsia="zh-CN"/>
              </w:rPr>
            </w:pPr>
          </w:p>
        </w:tc>
        <w:tc>
          <w:tcPr>
            <w:tcW w:w="914" w:type="dxa"/>
            <w:tcBorders>
              <w:top w:val="single" w:color="auto" w:sz="4" w:space="0"/>
              <w:left w:val="single" w:color="auto" w:sz="4" w:space="0"/>
              <w:bottom w:val="single" w:color="auto" w:sz="4" w:space="0"/>
              <w:right w:val="single" w:color="auto" w:sz="4" w:space="0"/>
            </w:tcBorders>
            <w:vAlign w:val="center"/>
          </w:tcPr>
          <w:p>
            <w:pPr>
              <w:pStyle w:val="8"/>
              <w:spacing w:line="288" w:lineRule="auto"/>
              <w:jc w:val="center"/>
              <w:rPr>
                <w:rFonts w:hint="eastAsia" w:asciiTheme="minorEastAsia" w:hAnsiTheme="minorEastAsia" w:eastAsiaTheme="minorEastAsia" w:cstheme="minorEastAsia"/>
                <w:color w:val="auto"/>
                <w:kern w:val="2"/>
                <w:sz w:val="21"/>
                <w:szCs w:val="21"/>
                <w:highlight w:val="none"/>
                <w:lang w:val="en-US" w:eastAsia="zh-CN"/>
              </w:rPr>
            </w:pPr>
          </w:p>
        </w:tc>
        <w:tc>
          <w:tcPr>
            <w:tcW w:w="1091" w:type="dxa"/>
            <w:tcBorders>
              <w:top w:val="single" w:color="auto" w:sz="4" w:space="0"/>
              <w:left w:val="single" w:color="auto" w:sz="4" w:space="0"/>
              <w:bottom w:val="single" w:color="auto" w:sz="4" w:space="0"/>
              <w:right w:val="single" w:color="auto" w:sz="4" w:space="0"/>
            </w:tcBorders>
            <w:vAlign w:val="center"/>
          </w:tcPr>
          <w:p>
            <w:pPr>
              <w:pStyle w:val="8"/>
              <w:spacing w:line="288" w:lineRule="auto"/>
              <w:jc w:val="center"/>
              <w:rPr>
                <w:rFonts w:hint="eastAsia" w:asciiTheme="minorEastAsia" w:hAnsiTheme="minorEastAsia" w:eastAsiaTheme="minorEastAsia" w:cstheme="minorEastAsia"/>
                <w:color w:val="auto"/>
                <w:kern w:val="2"/>
                <w:sz w:val="21"/>
                <w:szCs w:val="21"/>
                <w:highlight w:val="none"/>
                <w:lang w:val="en-US" w:eastAsia="zh-CN"/>
              </w:rPr>
            </w:pPr>
          </w:p>
        </w:tc>
        <w:tc>
          <w:tcPr>
            <w:tcW w:w="7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宋体" w:hAnsi="宋体" w:cs="宋体"/>
                <w:color w:val="auto"/>
                <w:kern w:val="0"/>
                <w:szCs w:val="21"/>
                <w:highlight w:val="none"/>
                <w:lang w:bidi="ar"/>
              </w:rPr>
              <w:t>个</w:t>
            </w:r>
          </w:p>
        </w:tc>
        <w:tc>
          <w:tcPr>
            <w:tcW w:w="655" w:type="dxa"/>
            <w:tcBorders>
              <w:top w:val="single" w:color="auto" w:sz="4" w:space="0"/>
              <w:left w:val="single" w:color="auto" w:sz="4" w:space="0"/>
              <w:bottom w:val="single" w:color="auto" w:sz="4" w:space="0"/>
              <w:right w:val="single" w:color="auto" w:sz="4" w:space="0"/>
            </w:tcBorders>
            <w:vAlign w:val="center"/>
          </w:tcPr>
          <w:p>
            <w:pPr>
              <w:pStyle w:val="8"/>
              <w:spacing w:line="288" w:lineRule="auto"/>
              <w:ind w:firstLine="0"/>
              <w:jc w:val="center"/>
              <w:rPr>
                <w:rFonts w:hint="eastAsia" w:asciiTheme="minorEastAsia" w:hAnsiTheme="minorEastAsia" w:eastAsiaTheme="minorEastAsia" w:cstheme="minorEastAsia"/>
                <w:color w:val="auto"/>
                <w:kern w:val="2"/>
                <w:sz w:val="21"/>
                <w:szCs w:val="21"/>
                <w:highlight w:val="none"/>
                <w:lang w:val="en-US" w:eastAsia="zh-CN"/>
              </w:rPr>
            </w:pPr>
          </w:p>
        </w:tc>
        <w:tc>
          <w:tcPr>
            <w:tcW w:w="830" w:type="dxa"/>
            <w:tcBorders>
              <w:top w:val="single" w:color="auto" w:sz="4" w:space="0"/>
              <w:left w:val="single" w:color="auto" w:sz="4" w:space="0"/>
              <w:bottom w:val="single" w:color="auto" w:sz="4" w:space="0"/>
              <w:right w:val="single" w:color="auto" w:sz="4" w:space="0"/>
            </w:tcBorders>
            <w:vAlign w:val="center"/>
          </w:tcPr>
          <w:p>
            <w:pPr>
              <w:pStyle w:val="8"/>
              <w:spacing w:line="288" w:lineRule="auto"/>
              <w:ind w:firstLine="0"/>
              <w:jc w:val="center"/>
              <w:rPr>
                <w:rFonts w:hint="eastAsia" w:asciiTheme="minorEastAsia" w:hAnsiTheme="minorEastAsia" w:eastAsiaTheme="minorEastAsia" w:cstheme="minorEastAsia"/>
                <w:color w:val="auto"/>
                <w:kern w:val="2"/>
                <w:sz w:val="21"/>
                <w:szCs w:val="21"/>
                <w:highlight w:val="none"/>
                <w:lang w:val="en-US" w:eastAsia="zh-CN"/>
              </w:rPr>
            </w:pPr>
          </w:p>
        </w:tc>
        <w:tc>
          <w:tcPr>
            <w:tcW w:w="914" w:type="dxa"/>
            <w:tcBorders>
              <w:top w:val="single" w:color="auto" w:sz="4" w:space="0"/>
              <w:left w:val="single" w:color="auto" w:sz="4" w:space="0"/>
              <w:bottom w:val="single" w:color="auto" w:sz="4" w:space="0"/>
              <w:right w:val="single" w:color="auto" w:sz="4" w:space="0"/>
            </w:tcBorders>
            <w:vAlign w:val="center"/>
          </w:tcPr>
          <w:p>
            <w:pPr>
              <w:pStyle w:val="8"/>
              <w:spacing w:line="288" w:lineRule="auto"/>
              <w:ind w:firstLine="0"/>
              <w:jc w:val="center"/>
              <w:rPr>
                <w:rFonts w:hint="eastAsia" w:asciiTheme="minorEastAsia" w:hAnsiTheme="minorEastAsia" w:eastAsiaTheme="minorEastAsia" w:cstheme="minorEastAsia"/>
                <w:color w:val="auto"/>
                <w:kern w:val="2"/>
                <w:sz w:val="21"/>
                <w:szCs w:val="21"/>
                <w:highlight w:val="none"/>
                <w:lang w:val="en-US" w:eastAsia="zh-CN"/>
              </w:rPr>
            </w:pPr>
          </w:p>
        </w:tc>
        <w:tc>
          <w:tcPr>
            <w:tcW w:w="124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宋体" w:hAnsi="宋体" w:cs="宋体"/>
                <w:color w:val="auto"/>
                <w:kern w:val="0"/>
                <w:szCs w:val="21"/>
                <w:highlight w:val="none"/>
                <w:lang w:bidi="ar"/>
              </w:rPr>
              <w:t>不少于3个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62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8</w:t>
            </w:r>
          </w:p>
        </w:tc>
        <w:tc>
          <w:tcPr>
            <w:tcW w:w="169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电热管</w:t>
            </w:r>
          </w:p>
        </w:tc>
        <w:tc>
          <w:tcPr>
            <w:tcW w:w="900" w:type="dxa"/>
            <w:tcBorders>
              <w:top w:val="single" w:color="auto" w:sz="4" w:space="0"/>
              <w:left w:val="single" w:color="auto" w:sz="4" w:space="0"/>
              <w:bottom w:val="single" w:color="auto" w:sz="4" w:space="0"/>
              <w:right w:val="single" w:color="auto" w:sz="4" w:space="0"/>
            </w:tcBorders>
            <w:vAlign w:val="center"/>
          </w:tcPr>
          <w:p>
            <w:pPr>
              <w:pStyle w:val="8"/>
              <w:spacing w:line="288" w:lineRule="auto"/>
              <w:jc w:val="center"/>
              <w:rPr>
                <w:rFonts w:hint="eastAsia" w:asciiTheme="minorEastAsia" w:hAnsiTheme="minorEastAsia" w:eastAsiaTheme="minorEastAsia" w:cstheme="minorEastAsia"/>
                <w:color w:val="auto"/>
                <w:kern w:val="2"/>
                <w:sz w:val="21"/>
                <w:szCs w:val="21"/>
                <w:highlight w:val="none"/>
                <w:lang w:val="en-US" w:eastAsia="zh-CN"/>
              </w:rPr>
            </w:pPr>
          </w:p>
        </w:tc>
        <w:tc>
          <w:tcPr>
            <w:tcW w:w="914" w:type="dxa"/>
            <w:tcBorders>
              <w:top w:val="single" w:color="auto" w:sz="4" w:space="0"/>
              <w:left w:val="single" w:color="auto" w:sz="4" w:space="0"/>
              <w:bottom w:val="single" w:color="auto" w:sz="4" w:space="0"/>
              <w:right w:val="single" w:color="auto" w:sz="4" w:space="0"/>
            </w:tcBorders>
            <w:vAlign w:val="center"/>
          </w:tcPr>
          <w:p>
            <w:pPr>
              <w:pStyle w:val="8"/>
              <w:spacing w:line="288" w:lineRule="auto"/>
              <w:jc w:val="center"/>
              <w:rPr>
                <w:rFonts w:hint="eastAsia" w:asciiTheme="minorEastAsia" w:hAnsiTheme="minorEastAsia" w:eastAsiaTheme="minorEastAsia" w:cstheme="minorEastAsia"/>
                <w:color w:val="auto"/>
                <w:kern w:val="2"/>
                <w:sz w:val="21"/>
                <w:szCs w:val="21"/>
                <w:highlight w:val="none"/>
                <w:lang w:val="en-US" w:eastAsia="zh-CN"/>
              </w:rPr>
            </w:pPr>
          </w:p>
        </w:tc>
        <w:tc>
          <w:tcPr>
            <w:tcW w:w="1091" w:type="dxa"/>
            <w:tcBorders>
              <w:top w:val="single" w:color="auto" w:sz="4" w:space="0"/>
              <w:left w:val="single" w:color="auto" w:sz="4" w:space="0"/>
              <w:bottom w:val="single" w:color="auto" w:sz="4" w:space="0"/>
              <w:right w:val="single" w:color="auto" w:sz="4" w:space="0"/>
            </w:tcBorders>
            <w:vAlign w:val="center"/>
          </w:tcPr>
          <w:p>
            <w:pPr>
              <w:pStyle w:val="8"/>
              <w:spacing w:line="288" w:lineRule="auto"/>
              <w:jc w:val="center"/>
              <w:rPr>
                <w:rFonts w:hint="eastAsia" w:asciiTheme="minorEastAsia" w:hAnsiTheme="minorEastAsia" w:eastAsiaTheme="minorEastAsia" w:cstheme="minorEastAsia"/>
                <w:color w:val="auto"/>
                <w:kern w:val="2"/>
                <w:sz w:val="21"/>
                <w:szCs w:val="21"/>
                <w:highlight w:val="none"/>
                <w:lang w:val="en-US" w:eastAsia="zh-CN"/>
              </w:rPr>
            </w:pPr>
          </w:p>
        </w:tc>
        <w:tc>
          <w:tcPr>
            <w:tcW w:w="7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宋体" w:hAnsi="宋体" w:cs="宋体"/>
                <w:color w:val="auto"/>
                <w:kern w:val="0"/>
                <w:szCs w:val="21"/>
                <w:highlight w:val="none"/>
                <w:lang w:bidi="ar"/>
              </w:rPr>
              <w:t>个</w:t>
            </w:r>
          </w:p>
        </w:tc>
        <w:tc>
          <w:tcPr>
            <w:tcW w:w="655" w:type="dxa"/>
            <w:tcBorders>
              <w:top w:val="single" w:color="auto" w:sz="4" w:space="0"/>
              <w:left w:val="single" w:color="auto" w:sz="4" w:space="0"/>
              <w:bottom w:val="single" w:color="auto" w:sz="4" w:space="0"/>
              <w:right w:val="single" w:color="auto" w:sz="4" w:space="0"/>
            </w:tcBorders>
            <w:vAlign w:val="center"/>
          </w:tcPr>
          <w:p>
            <w:pPr>
              <w:pStyle w:val="8"/>
              <w:spacing w:line="288" w:lineRule="auto"/>
              <w:ind w:firstLine="0"/>
              <w:jc w:val="center"/>
              <w:rPr>
                <w:rFonts w:hint="eastAsia" w:asciiTheme="minorEastAsia" w:hAnsiTheme="minorEastAsia" w:eastAsiaTheme="minorEastAsia" w:cstheme="minorEastAsia"/>
                <w:color w:val="auto"/>
                <w:kern w:val="2"/>
                <w:sz w:val="21"/>
                <w:szCs w:val="21"/>
                <w:highlight w:val="none"/>
                <w:lang w:val="en-US" w:eastAsia="zh-CN"/>
              </w:rPr>
            </w:pPr>
          </w:p>
        </w:tc>
        <w:tc>
          <w:tcPr>
            <w:tcW w:w="830" w:type="dxa"/>
            <w:tcBorders>
              <w:top w:val="single" w:color="auto" w:sz="4" w:space="0"/>
              <w:left w:val="single" w:color="auto" w:sz="4" w:space="0"/>
              <w:bottom w:val="single" w:color="auto" w:sz="4" w:space="0"/>
              <w:right w:val="single" w:color="auto" w:sz="4" w:space="0"/>
            </w:tcBorders>
            <w:vAlign w:val="center"/>
          </w:tcPr>
          <w:p>
            <w:pPr>
              <w:pStyle w:val="8"/>
              <w:spacing w:line="288" w:lineRule="auto"/>
              <w:ind w:firstLine="0"/>
              <w:jc w:val="center"/>
              <w:rPr>
                <w:rFonts w:hint="eastAsia" w:asciiTheme="minorEastAsia" w:hAnsiTheme="minorEastAsia" w:eastAsiaTheme="minorEastAsia" w:cstheme="minorEastAsia"/>
                <w:color w:val="auto"/>
                <w:kern w:val="2"/>
                <w:sz w:val="21"/>
                <w:szCs w:val="21"/>
                <w:highlight w:val="none"/>
                <w:lang w:val="en-US" w:eastAsia="zh-CN"/>
              </w:rPr>
            </w:pPr>
          </w:p>
        </w:tc>
        <w:tc>
          <w:tcPr>
            <w:tcW w:w="914" w:type="dxa"/>
            <w:tcBorders>
              <w:top w:val="single" w:color="auto" w:sz="4" w:space="0"/>
              <w:left w:val="single" w:color="auto" w:sz="4" w:space="0"/>
              <w:bottom w:val="single" w:color="auto" w:sz="4" w:space="0"/>
              <w:right w:val="single" w:color="auto" w:sz="4" w:space="0"/>
            </w:tcBorders>
            <w:vAlign w:val="center"/>
          </w:tcPr>
          <w:p>
            <w:pPr>
              <w:pStyle w:val="8"/>
              <w:spacing w:line="288" w:lineRule="auto"/>
              <w:ind w:firstLine="0"/>
              <w:jc w:val="center"/>
              <w:rPr>
                <w:rFonts w:hint="eastAsia" w:asciiTheme="minorEastAsia" w:hAnsiTheme="minorEastAsia" w:eastAsiaTheme="minorEastAsia" w:cstheme="minorEastAsia"/>
                <w:color w:val="auto"/>
                <w:kern w:val="2"/>
                <w:sz w:val="21"/>
                <w:szCs w:val="21"/>
                <w:highlight w:val="none"/>
                <w:lang w:val="en-US" w:eastAsia="zh-CN"/>
              </w:rPr>
            </w:pPr>
          </w:p>
        </w:tc>
        <w:tc>
          <w:tcPr>
            <w:tcW w:w="124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宋体" w:hAnsi="宋体" w:cs="宋体"/>
                <w:color w:val="auto"/>
                <w:kern w:val="0"/>
                <w:szCs w:val="21"/>
                <w:highlight w:val="none"/>
                <w:lang w:bidi="ar"/>
              </w:rPr>
              <w:t>不少于2个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62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9</w:t>
            </w:r>
          </w:p>
        </w:tc>
        <w:tc>
          <w:tcPr>
            <w:tcW w:w="169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温度变送器</w:t>
            </w:r>
          </w:p>
        </w:tc>
        <w:tc>
          <w:tcPr>
            <w:tcW w:w="900" w:type="dxa"/>
            <w:tcBorders>
              <w:top w:val="single" w:color="auto" w:sz="4" w:space="0"/>
              <w:left w:val="single" w:color="auto" w:sz="4" w:space="0"/>
              <w:bottom w:val="single" w:color="auto" w:sz="4" w:space="0"/>
              <w:right w:val="single" w:color="auto" w:sz="4" w:space="0"/>
            </w:tcBorders>
            <w:vAlign w:val="center"/>
          </w:tcPr>
          <w:p>
            <w:pPr>
              <w:pStyle w:val="8"/>
              <w:spacing w:line="288" w:lineRule="auto"/>
              <w:jc w:val="center"/>
              <w:rPr>
                <w:rFonts w:hint="eastAsia" w:asciiTheme="minorEastAsia" w:hAnsiTheme="minorEastAsia" w:eastAsiaTheme="minorEastAsia" w:cstheme="minorEastAsia"/>
                <w:color w:val="auto"/>
                <w:kern w:val="2"/>
                <w:sz w:val="21"/>
                <w:szCs w:val="21"/>
                <w:highlight w:val="none"/>
                <w:lang w:val="en-US" w:eastAsia="zh-CN"/>
              </w:rPr>
            </w:pPr>
          </w:p>
        </w:tc>
        <w:tc>
          <w:tcPr>
            <w:tcW w:w="914" w:type="dxa"/>
            <w:tcBorders>
              <w:top w:val="single" w:color="auto" w:sz="4" w:space="0"/>
              <w:left w:val="single" w:color="auto" w:sz="4" w:space="0"/>
              <w:bottom w:val="single" w:color="auto" w:sz="4" w:space="0"/>
              <w:right w:val="single" w:color="auto" w:sz="4" w:space="0"/>
            </w:tcBorders>
            <w:vAlign w:val="center"/>
          </w:tcPr>
          <w:p>
            <w:pPr>
              <w:pStyle w:val="8"/>
              <w:spacing w:line="288" w:lineRule="auto"/>
              <w:jc w:val="center"/>
              <w:rPr>
                <w:rFonts w:hint="eastAsia" w:asciiTheme="minorEastAsia" w:hAnsiTheme="minorEastAsia" w:eastAsiaTheme="minorEastAsia" w:cstheme="minorEastAsia"/>
                <w:color w:val="auto"/>
                <w:kern w:val="2"/>
                <w:sz w:val="21"/>
                <w:szCs w:val="21"/>
                <w:highlight w:val="none"/>
                <w:lang w:val="en-US" w:eastAsia="zh-CN"/>
              </w:rPr>
            </w:pPr>
          </w:p>
        </w:tc>
        <w:tc>
          <w:tcPr>
            <w:tcW w:w="1091" w:type="dxa"/>
            <w:tcBorders>
              <w:top w:val="single" w:color="auto" w:sz="4" w:space="0"/>
              <w:left w:val="single" w:color="auto" w:sz="4" w:space="0"/>
              <w:bottom w:val="single" w:color="auto" w:sz="4" w:space="0"/>
              <w:right w:val="single" w:color="auto" w:sz="4" w:space="0"/>
            </w:tcBorders>
            <w:vAlign w:val="center"/>
          </w:tcPr>
          <w:p>
            <w:pPr>
              <w:pStyle w:val="8"/>
              <w:spacing w:line="288" w:lineRule="auto"/>
              <w:jc w:val="center"/>
              <w:rPr>
                <w:rFonts w:hint="eastAsia" w:asciiTheme="minorEastAsia" w:hAnsiTheme="minorEastAsia" w:eastAsiaTheme="minorEastAsia" w:cstheme="minorEastAsia"/>
                <w:color w:val="auto"/>
                <w:kern w:val="2"/>
                <w:sz w:val="21"/>
                <w:szCs w:val="21"/>
                <w:highlight w:val="none"/>
                <w:lang w:val="en-US" w:eastAsia="zh-CN"/>
              </w:rPr>
            </w:pPr>
          </w:p>
        </w:tc>
        <w:tc>
          <w:tcPr>
            <w:tcW w:w="7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宋体" w:hAnsi="宋体" w:cs="宋体"/>
                <w:color w:val="auto"/>
                <w:kern w:val="0"/>
                <w:szCs w:val="21"/>
                <w:highlight w:val="none"/>
                <w:lang w:bidi="ar"/>
              </w:rPr>
              <w:t>个</w:t>
            </w:r>
          </w:p>
        </w:tc>
        <w:tc>
          <w:tcPr>
            <w:tcW w:w="655" w:type="dxa"/>
            <w:tcBorders>
              <w:top w:val="single" w:color="auto" w:sz="4" w:space="0"/>
              <w:left w:val="single" w:color="auto" w:sz="4" w:space="0"/>
              <w:bottom w:val="single" w:color="auto" w:sz="4" w:space="0"/>
              <w:right w:val="single" w:color="auto" w:sz="4" w:space="0"/>
            </w:tcBorders>
            <w:vAlign w:val="center"/>
          </w:tcPr>
          <w:p>
            <w:pPr>
              <w:pStyle w:val="8"/>
              <w:spacing w:line="288" w:lineRule="auto"/>
              <w:ind w:firstLine="0"/>
              <w:jc w:val="center"/>
              <w:rPr>
                <w:rFonts w:hint="eastAsia" w:asciiTheme="minorEastAsia" w:hAnsiTheme="minorEastAsia" w:eastAsiaTheme="minorEastAsia" w:cstheme="minorEastAsia"/>
                <w:color w:val="auto"/>
                <w:kern w:val="2"/>
                <w:sz w:val="21"/>
                <w:szCs w:val="21"/>
                <w:highlight w:val="none"/>
                <w:lang w:val="en-US" w:eastAsia="zh-CN"/>
              </w:rPr>
            </w:pPr>
          </w:p>
        </w:tc>
        <w:tc>
          <w:tcPr>
            <w:tcW w:w="830" w:type="dxa"/>
            <w:tcBorders>
              <w:top w:val="single" w:color="auto" w:sz="4" w:space="0"/>
              <w:left w:val="single" w:color="auto" w:sz="4" w:space="0"/>
              <w:bottom w:val="single" w:color="auto" w:sz="4" w:space="0"/>
              <w:right w:val="single" w:color="auto" w:sz="4" w:space="0"/>
            </w:tcBorders>
            <w:vAlign w:val="center"/>
          </w:tcPr>
          <w:p>
            <w:pPr>
              <w:pStyle w:val="8"/>
              <w:spacing w:line="288" w:lineRule="auto"/>
              <w:ind w:firstLine="0"/>
              <w:jc w:val="center"/>
              <w:rPr>
                <w:rFonts w:hint="eastAsia" w:asciiTheme="minorEastAsia" w:hAnsiTheme="minorEastAsia" w:eastAsiaTheme="minorEastAsia" w:cstheme="minorEastAsia"/>
                <w:color w:val="auto"/>
                <w:kern w:val="2"/>
                <w:sz w:val="21"/>
                <w:szCs w:val="21"/>
                <w:highlight w:val="none"/>
                <w:lang w:val="en-US" w:eastAsia="zh-CN"/>
              </w:rPr>
            </w:pPr>
          </w:p>
        </w:tc>
        <w:tc>
          <w:tcPr>
            <w:tcW w:w="914" w:type="dxa"/>
            <w:tcBorders>
              <w:top w:val="single" w:color="auto" w:sz="4" w:space="0"/>
              <w:left w:val="single" w:color="auto" w:sz="4" w:space="0"/>
              <w:bottom w:val="single" w:color="auto" w:sz="4" w:space="0"/>
              <w:right w:val="single" w:color="auto" w:sz="4" w:space="0"/>
            </w:tcBorders>
            <w:vAlign w:val="center"/>
          </w:tcPr>
          <w:p>
            <w:pPr>
              <w:pStyle w:val="8"/>
              <w:spacing w:line="288" w:lineRule="auto"/>
              <w:ind w:firstLine="0"/>
              <w:jc w:val="center"/>
              <w:rPr>
                <w:rFonts w:hint="eastAsia" w:asciiTheme="minorEastAsia" w:hAnsiTheme="minorEastAsia" w:eastAsiaTheme="minorEastAsia" w:cstheme="minorEastAsia"/>
                <w:color w:val="auto"/>
                <w:kern w:val="2"/>
                <w:sz w:val="21"/>
                <w:szCs w:val="21"/>
                <w:highlight w:val="none"/>
                <w:lang w:val="en-US" w:eastAsia="zh-CN"/>
              </w:rPr>
            </w:pPr>
          </w:p>
        </w:tc>
        <w:tc>
          <w:tcPr>
            <w:tcW w:w="124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宋体" w:hAnsi="宋体" w:cs="宋体"/>
                <w:color w:val="auto"/>
                <w:kern w:val="0"/>
                <w:szCs w:val="21"/>
                <w:highlight w:val="none"/>
                <w:lang w:bidi="ar"/>
              </w:rPr>
              <w:t>不少于2个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62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10</w:t>
            </w:r>
          </w:p>
        </w:tc>
        <w:tc>
          <w:tcPr>
            <w:tcW w:w="169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接收光电开关</w:t>
            </w:r>
          </w:p>
        </w:tc>
        <w:tc>
          <w:tcPr>
            <w:tcW w:w="900" w:type="dxa"/>
            <w:tcBorders>
              <w:top w:val="single" w:color="auto" w:sz="4" w:space="0"/>
              <w:left w:val="single" w:color="auto" w:sz="4" w:space="0"/>
              <w:bottom w:val="single" w:color="auto" w:sz="4" w:space="0"/>
              <w:right w:val="single" w:color="auto" w:sz="4" w:space="0"/>
            </w:tcBorders>
            <w:vAlign w:val="center"/>
          </w:tcPr>
          <w:p>
            <w:pPr>
              <w:pStyle w:val="8"/>
              <w:spacing w:line="288" w:lineRule="auto"/>
              <w:jc w:val="center"/>
              <w:rPr>
                <w:rFonts w:hint="eastAsia" w:asciiTheme="minorEastAsia" w:hAnsiTheme="minorEastAsia" w:eastAsiaTheme="minorEastAsia" w:cstheme="minorEastAsia"/>
                <w:color w:val="auto"/>
                <w:kern w:val="2"/>
                <w:sz w:val="21"/>
                <w:szCs w:val="21"/>
                <w:highlight w:val="none"/>
                <w:lang w:val="en-US" w:eastAsia="zh-CN"/>
              </w:rPr>
            </w:pPr>
          </w:p>
        </w:tc>
        <w:tc>
          <w:tcPr>
            <w:tcW w:w="914" w:type="dxa"/>
            <w:tcBorders>
              <w:top w:val="single" w:color="auto" w:sz="4" w:space="0"/>
              <w:left w:val="single" w:color="auto" w:sz="4" w:space="0"/>
              <w:bottom w:val="single" w:color="auto" w:sz="4" w:space="0"/>
              <w:right w:val="single" w:color="auto" w:sz="4" w:space="0"/>
            </w:tcBorders>
            <w:vAlign w:val="center"/>
          </w:tcPr>
          <w:p>
            <w:pPr>
              <w:pStyle w:val="8"/>
              <w:spacing w:line="288" w:lineRule="auto"/>
              <w:jc w:val="center"/>
              <w:rPr>
                <w:rFonts w:hint="eastAsia" w:asciiTheme="minorEastAsia" w:hAnsiTheme="minorEastAsia" w:eastAsiaTheme="minorEastAsia" w:cstheme="minorEastAsia"/>
                <w:color w:val="auto"/>
                <w:kern w:val="2"/>
                <w:sz w:val="21"/>
                <w:szCs w:val="21"/>
                <w:highlight w:val="none"/>
                <w:lang w:val="en-US" w:eastAsia="zh-CN"/>
              </w:rPr>
            </w:pPr>
          </w:p>
        </w:tc>
        <w:tc>
          <w:tcPr>
            <w:tcW w:w="1091" w:type="dxa"/>
            <w:tcBorders>
              <w:top w:val="single" w:color="auto" w:sz="4" w:space="0"/>
              <w:left w:val="single" w:color="auto" w:sz="4" w:space="0"/>
              <w:bottom w:val="single" w:color="auto" w:sz="4" w:space="0"/>
              <w:right w:val="single" w:color="auto" w:sz="4" w:space="0"/>
            </w:tcBorders>
            <w:vAlign w:val="center"/>
          </w:tcPr>
          <w:p>
            <w:pPr>
              <w:pStyle w:val="8"/>
              <w:spacing w:line="288" w:lineRule="auto"/>
              <w:jc w:val="center"/>
              <w:rPr>
                <w:rFonts w:hint="eastAsia" w:asciiTheme="minorEastAsia" w:hAnsiTheme="minorEastAsia" w:eastAsiaTheme="minorEastAsia" w:cstheme="minorEastAsia"/>
                <w:color w:val="auto"/>
                <w:kern w:val="2"/>
                <w:sz w:val="21"/>
                <w:szCs w:val="21"/>
                <w:highlight w:val="none"/>
                <w:lang w:val="en-US" w:eastAsia="zh-CN"/>
              </w:rPr>
            </w:pPr>
          </w:p>
        </w:tc>
        <w:tc>
          <w:tcPr>
            <w:tcW w:w="7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宋体" w:hAnsi="宋体" w:cs="宋体"/>
                <w:color w:val="auto"/>
                <w:kern w:val="0"/>
                <w:szCs w:val="21"/>
                <w:highlight w:val="none"/>
                <w:lang w:bidi="ar"/>
              </w:rPr>
              <w:t>个</w:t>
            </w:r>
          </w:p>
        </w:tc>
        <w:tc>
          <w:tcPr>
            <w:tcW w:w="655" w:type="dxa"/>
            <w:tcBorders>
              <w:top w:val="single" w:color="auto" w:sz="4" w:space="0"/>
              <w:left w:val="single" w:color="auto" w:sz="4" w:space="0"/>
              <w:bottom w:val="single" w:color="auto" w:sz="4" w:space="0"/>
              <w:right w:val="single" w:color="auto" w:sz="4" w:space="0"/>
            </w:tcBorders>
            <w:vAlign w:val="center"/>
          </w:tcPr>
          <w:p>
            <w:pPr>
              <w:pStyle w:val="8"/>
              <w:spacing w:line="288" w:lineRule="auto"/>
              <w:ind w:firstLine="0"/>
              <w:jc w:val="center"/>
              <w:rPr>
                <w:rFonts w:hint="eastAsia" w:asciiTheme="minorEastAsia" w:hAnsiTheme="minorEastAsia" w:eastAsiaTheme="minorEastAsia" w:cstheme="minorEastAsia"/>
                <w:color w:val="auto"/>
                <w:kern w:val="2"/>
                <w:sz w:val="21"/>
                <w:szCs w:val="21"/>
                <w:highlight w:val="none"/>
                <w:lang w:val="en-US" w:eastAsia="zh-CN"/>
              </w:rPr>
            </w:pPr>
          </w:p>
        </w:tc>
        <w:tc>
          <w:tcPr>
            <w:tcW w:w="830" w:type="dxa"/>
            <w:tcBorders>
              <w:top w:val="single" w:color="auto" w:sz="4" w:space="0"/>
              <w:left w:val="single" w:color="auto" w:sz="4" w:space="0"/>
              <w:bottom w:val="single" w:color="auto" w:sz="4" w:space="0"/>
              <w:right w:val="single" w:color="auto" w:sz="4" w:space="0"/>
            </w:tcBorders>
            <w:vAlign w:val="center"/>
          </w:tcPr>
          <w:p>
            <w:pPr>
              <w:pStyle w:val="8"/>
              <w:spacing w:line="288" w:lineRule="auto"/>
              <w:ind w:firstLine="0"/>
              <w:jc w:val="center"/>
              <w:rPr>
                <w:rFonts w:hint="eastAsia" w:asciiTheme="minorEastAsia" w:hAnsiTheme="minorEastAsia" w:eastAsiaTheme="minorEastAsia" w:cstheme="minorEastAsia"/>
                <w:color w:val="auto"/>
                <w:kern w:val="2"/>
                <w:sz w:val="21"/>
                <w:szCs w:val="21"/>
                <w:highlight w:val="none"/>
                <w:lang w:val="en-US" w:eastAsia="zh-CN"/>
              </w:rPr>
            </w:pPr>
          </w:p>
        </w:tc>
        <w:tc>
          <w:tcPr>
            <w:tcW w:w="914" w:type="dxa"/>
            <w:tcBorders>
              <w:top w:val="single" w:color="auto" w:sz="4" w:space="0"/>
              <w:left w:val="single" w:color="auto" w:sz="4" w:space="0"/>
              <w:bottom w:val="single" w:color="auto" w:sz="4" w:space="0"/>
              <w:right w:val="single" w:color="auto" w:sz="4" w:space="0"/>
            </w:tcBorders>
            <w:vAlign w:val="center"/>
          </w:tcPr>
          <w:p>
            <w:pPr>
              <w:pStyle w:val="8"/>
              <w:spacing w:line="288" w:lineRule="auto"/>
              <w:ind w:firstLine="0"/>
              <w:jc w:val="center"/>
              <w:rPr>
                <w:rFonts w:hint="eastAsia" w:asciiTheme="minorEastAsia" w:hAnsiTheme="minorEastAsia" w:eastAsiaTheme="minorEastAsia" w:cstheme="minorEastAsia"/>
                <w:color w:val="auto"/>
                <w:kern w:val="2"/>
                <w:sz w:val="21"/>
                <w:szCs w:val="21"/>
                <w:highlight w:val="none"/>
                <w:lang w:val="en-US" w:eastAsia="zh-CN"/>
              </w:rPr>
            </w:pPr>
          </w:p>
        </w:tc>
        <w:tc>
          <w:tcPr>
            <w:tcW w:w="124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Theme="minorEastAsia" w:hAnsiTheme="minorEastAsia" w:eastAsiaTheme="minorEastAsia" w:cstheme="minorEastAsia"/>
                <w:color w:val="auto"/>
                <w:kern w:val="2"/>
                <w:sz w:val="21"/>
                <w:szCs w:val="21"/>
                <w:highlight w:val="none"/>
                <w:lang w:val="en-US" w:eastAsia="zh-CN"/>
              </w:rPr>
            </w:pPr>
            <w:r>
              <w:rPr>
                <w:rFonts w:hint="eastAsia" w:ascii="宋体" w:hAnsi="宋体" w:cs="宋体"/>
                <w:color w:val="auto"/>
                <w:kern w:val="0"/>
                <w:szCs w:val="21"/>
                <w:highlight w:val="none"/>
                <w:lang w:bidi="ar"/>
              </w:rPr>
              <w:t>不少于1个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jc w:val="center"/>
        </w:trPr>
        <w:tc>
          <w:tcPr>
            <w:tcW w:w="62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11</w:t>
            </w:r>
          </w:p>
        </w:tc>
        <w:tc>
          <w:tcPr>
            <w:tcW w:w="169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sz w:val="21"/>
                <w:szCs w:val="21"/>
                <w:highlight w:val="none"/>
                <w:lang w:val="en-US" w:eastAsia="zh-CN"/>
              </w:rPr>
              <w:t>破碎机刀片</w:t>
            </w:r>
          </w:p>
        </w:tc>
        <w:tc>
          <w:tcPr>
            <w:tcW w:w="900" w:type="dxa"/>
            <w:tcBorders>
              <w:top w:val="single" w:color="auto" w:sz="4" w:space="0"/>
              <w:left w:val="single" w:color="auto" w:sz="4" w:space="0"/>
              <w:bottom w:val="single" w:color="auto" w:sz="4" w:space="0"/>
              <w:right w:val="single" w:color="auto" w:sz="4" w:space="0"/>
            </w:tcBorders>
            <w:vAlign w:val="center"/>
          </w:tcPr>
          <w:p>
            <w:pPr>
              <w:pStyle w:val="8"/>
              <w:spacing w:line="288" w:lineRule="auto"/>
              <w:jc w:val="center"/>
              <w:rPr>
                <w:rFonts w:hint="eastAsia" w:asciiTheme="minorEastAsia" w:hAnsiTheme="minorEastAsia" w:eastAsiaTheme="minorEastAsia" w:cstheme="minorEastAsia"/>
                <w:color w:val="auto"/>
                <w:kern w:val="2"/>
                <w:sz w:val="21"/>
                <w:szCs w:val="21"/>
                <w:highlight w:val="none"/>
                <w:lang w:val="en-US" w:eastAsia="zh-CN"/>
              </w:rPr>
            </w:pPr>
          </w:p>
        </w:tc>
        <w:tc>
          <w:tcPr>
            <w:tcW w:w="914" w:type="dxa"/>
            <w:tcBorders>
              <w:top w:val="single" w:color="auto" w:sz="4" w:space="0"/>
              <w:left w:val="single" w:color="auto" w:sz="4" w:space="0"/>
              <w:bottom w:val="single" w:color="auto" w:sz="4" w:space="0"/>
              <w:right w:val="single" w:color="auto" w:sz="4" w:space="0"/>
            </w:tcBorders>
            <w:vAlign w:val="center"/>
          </w:tcPr>
          <w:p>
            <w:pPr>
              <w:pStyle w:val="8"/>
              <w:spacing w:line="288" w:lineRule="auto"/>
              <w:jc w:val="center"/>
              <w:rPr>
                <w:rFonts w:hint="eastAsia" w:asciiTheme="minorEastAsia" w:hAnsiTheme="minorEastAsia" w:eastAsiaTheme="minorEastAsia" w:cstheme="minorEastAsia"/>
                <w:color w:val="auto"/>
                <w:kern w:val="2"/>
                <w:sz w:val="21"/>
                <w:szCs w:val="21"/>
                <w:highlight w:val="none"/>
                <w:lang w:val="en-US" w:eastAsia="zh-CN"/>
              </w:rPr>
            </w:pPr>
          </w:p>
        </w:tc>
        <w:tc>
          <w:tcPr>
            <w:tcW w:w="1091" w:type="dxa"/>
            <w:tcBorders>
              <w:top w:val="single" w:color="auto" w:sz="4" w:space="0"/>
              <w:left w:val="single" w:color="auto" w:sz="4" w:space="0"/>
              <w:bottom w:val="single" w:color="auto" w:sz="4" w:space="0"/>
              <w:right w:val="single" w:color="auto" w:sz="4" w:space="0"/>
            </w:tcBorders>
            <w:vAlign w:val="center"/>
          </w:tcPr>
          <w:p>
            <w:pPr>
              <w:pStyle w:val="8"/>
              <w:spacing w:line="288" w:lineRule="auto"/>
              <w:jc w:val="center"/>
              <w:rPr>
                <w:rFonts w:hint="eastAsia" w:asciiTheme="minorEastAsia" w:hAnsiTheme="minorEastAsia" w:eastAsiaTheme="minorEastAsia" w:cstheme="minorEastAsia"/>
                <w:color w:val="auto"/>
                <w:kern w:val="2"/>
                <w:sz w:val="21"/>
                <w:szCs w:val="21"/>
                <w:highlight w:val="none"/>
                <w:lang w:val="en-US" w:eastAsia="zh-CN"/>
              </w:rPr>
            </w:pPr>
          </w:p>
        </w:tc>
        <w:tc>
          <w:tcPr>
            <w:tcW w:w="7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宋体" w:hAnsi="宋体" w:cs="宋体"/>
                <w:color w:val="auto"/>
                <w:kern w:val="0"/>
                <w:szCs w:val="21"/>
                <w:highlight w:val="none"/>
                <w:lang w:val="en-US" w:eastAsia="zh-CN" w:bidi="ar"/>
              </w:rPr>
              <w:t>套</w:t>
            </w:r>
          </w:p>
        </w:tc>
        <w:tc>
          <w:tcPr>
            <w:tcW w:w="655" w:type="dxa"/>
            <w:tcBorders>
              <w:top w:val="single" w:color="auto" w:sz="4" w:space="0"/>
              <w:left w:val="single" w:color="auto" w:sz="4" w:space="0"/>
              <w:bottom w:val="single" w:color="auto" w:sz="4" w:space="0"/>
              <w:right w:val="single" w:color="auto" w:sz="4" w:space="0"/>
            </w:tcBorders>
            <w:vAlign w:val="center"/>
          </w:tcPr>
          <w:p>
            <w:pPr>
              <w:pStyle w:val="8"/>
              <w:spacing w:line="288" w:lineRule="auto"/>
              <w:ind w:firstLine="0"/>
              <w:jc w:val="center"/>
              <w:rPr>
                <w:rFonts w:hint="eastAsia" w:asciiTheme="minorEastAsia" w:hAnsiTheme="minorEastAsia" w:eastAsiaTheme="minorEastAsia" w:cstheme="minorEastAsia"/>
                <w:color w:val="auto"/>
                <w:kern w:val="2"/>
                <w:sz w:val="21"/>
                <w:szCs w:val="21"/>
                <w:highlight w:val="none"/>
                <w:lang w:val="en-US" w:eastAsia="zh-CN"/>
              </w:rPr>
            </w:pPr>
          </w:p>
        </w:tc>
        <w:tc>
          <w:tcPr>
            <w:tcW w:w="830" w:type="dxa"/>
            <w:tcBorders>
              <w:top w:val="single" w:color="auto" w:sz="4" w:space="0"/>
              <w:left w:val="single" w:color="auto" w:sz="4" w:space="0"/>
              <w:bottom w:val="single" w:color="auto" w:sz="4" w:space="0"/>
              <w:right w:val="single" w:color="auto" w:sz="4" w:space="0"/>
            </w:tcBorders>
            <w:vAlign w:val="center"/>
          </w:tcPr>
          <w:p>
            <w:pPr>
              <w:pStyle w:val="8"/>
              <w:spacing w:line="288" w:lineRule="auto"/>
              <w:ind w:firstLine="0"/>
              <w:jc w:val="center"/>
              <w:rPr>
                <w:rFonts w:hint="eastAsia" w:asciiTheme="minorEastAsia" w:hAnsiTheme="minorEastAsia" w:eastAsiaTheme="minorEastAsia" w:cstheme="minorEastAsia"/>
                <w:color w:val="auto"/>
                <w:kern w:val="2"/>
                <w:sz w:val="21"/>
                <w:szCs w:val="21"/>
                <w:highlight w:val="none"/>
                <w:lang w:val="en-US" w:eastAsia="zh-CN"/>
              </w:rPr>
            </w:pPr>
          </w:p>
        </w:tc>
        <w:tc>
          <w:tcPr>
            <w:tcW w:w="914" w:type="dxa"/>
            <w:tcBorders>
              <w:top w:val="single" w:color="auto" w:sz="4" w:space="0"/>
              <w:left w:val="single" w:color="auto" w:sz="4" w:space="0"/>
              <w:bottom w:val="single" w:color="auto" w:sz="4" w:space="0"/>
              <w:right w:val="single" w:color="auto" w:sz="4" w:space="0"/>
            </w:tcBorders>
            <w:vAlign w:val="center"/>
          </w:tcPr>
          <w:p>
            <w:pPr>
              <w:pStyle w:val="8"/>
              <w:spacing w:line="288" w:lineRule="auto"/>
              <w:ind w:firstLine="0"/>
              <w:jc w:val="center"/>
              <w:rPr>
                <w:rFonts w:hint="eastAsia" w:asciiTheme="minorEastAsia" w:hAnsiTheme="minorEastAsia" w:eastAsiaTheme="minorEastAsia" w:cstheme="minorEastAsia"/>
                <w:color w:val="auto"/>
                <w:kern w:val="2"/>
                <w:sz w:val="21"/>
                <w:szCs w:val="21"/>
                <w:highlight w:val="none"/>
                <w:lang w:val="en-US" w:eastAsia="zh-CN"/>
              </w:rPr>
            </w:pPr>
          </w:p>
        </w:tc>
        <w:tc>
          <w:tcPr>
            <w:tcW w:w="124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Theme="minorEastAsia" w:hAnsiTheme="minorEastAsia" w:eastAsiaTheme="minorEastAsia" w:cstheme="minorEastAsia"/>
                <w:color w:val="auto"/>
                <w:kern w:val="2"/>
                <w:sz w:val="21"/>
                <w:szCs w:val="21"/>
                <w:highlight w:val="none"/>
                <w:lang w:val="en-US" w:eastAsia="zh-CN"/>
              </w:rPr>
            </w:pPr>
            <w:r>
              <w:rPr>
                <w:rFonts w:hint="eastAsia" w:ascii="宋体" w:hAnsi="宋体" w:cs="宋体"/>
                <w:color w:val="auto"/>
                <w:kern w:val="0"/>
                <w:szCs w:val="21"/>
                <w:highlight w:val="none"/>
                <w:lang w:val="en-US" w:eastAsia="zh-CN" w:bidi="ar"/>
              </w:rPr>
              <w:t>1套及配件，满足维修更换及备用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62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w:t>
            </w:r>
          </w:p>
        </w:tc>
        <w:tc>
          <w:tcPr>
            <w:tcW w:w="169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w:t>
            </w:r>
          </w:p>
        </w:tc>
        <w:tc>
          <w:tcPr>
            <w:tcW w:w="900" w:type="dxa"/>
            <w:tcBorders>
              <w:top w:val="single" w:color="auto" w:sz="4" w:space="0"/>
              <w:left w:val="single" w:color="auto" w:sz="4" w:space="0"/>
              <w:bottom w:val="single" w:color="auto" w:sz="4" w:space="0"/>
              <w:right w:val="single" w:color="auto" w:sz="4" w:space="0"/>
            </w:tcBorders>
            <w:vAlign w:val="center"/>
          </w:tcPr>
          <w:p>
            <w:pPr>
              <w:pStyle w:val="8"/>
              <w:spacing w:line="288" w:lineRule="auto"/>
              <w:jc w:val="center"/>
              <w:rPr>
                <w:rFonts w:hint="eastAsia" w:asciiTheme="minorEastAsia" w:hAnsiTheme="minorEastAsia" w:eastAsiaTheme="minorEastAsia" w:cstheme="minorEastAsia"/>
                <w:color w:val="auto"/>
                <w:kern w:val="2"/>
                <w:sz w:val="21"/>
                <w:szCs w:val="21"/>
                <w:highlight w:val="none"/>
                <w:lang w:val="en-US" w:eastAsia="zh-CN"/>
              </w:rPr>
            </w:pPr>
          </w:p>
        </w:tc>
        <w:tc>
          <w:tcPr>
            <w:tcW w:w="914" w:type="dxa"/>
            <w:tcBorders>
              <w:top w:val="single" w:color="auto" w:sz="4" w:space="0"/>
              <w:left w:val="single" w:color="auto" w:sz="4" w:space="0"/>
              <w:bottom w:val="single" w:color="auto" w:sz="4" w:space="0"/>
              <w:right w:val="single" w:color="auto" w:sz="4" w:space="0"/>
            </w:tcBorders>
            <w:vAlign w:val="center"/>
          </w:tcPr>
          <w:p>
            <w:pPr>
              <w:pStyle w:val="8"/>
              <w:spacing w:line="288" w:lineRule="auto"/>
              <w:jc w:val="center"/>
              <w:rPr>
                <w:rFonts w:hint="eastAsia" w:asciiTheme="minorEastAsia" w:hAnsiTheme="minorEastAsia" w:eastAsiaTheme="minorEastAsia" w:cstheme="minorEastAsia"/>
                <w:color w:val="auto"/>
                <w:kern w:val="2"/>
                <w:sz w:val="21"/>
                <w:szCs w:val="21"/>
                <w:highlight w:val="none"/>
                <w:lang w:val="en-US" w:eastAsia="zh-CN"/>
              </w:rPr>
            </w:pPr>
          </w:p>
        </w:tc>
        <w:tc>
          <w:tcPr>
            <w:tcW w:w="1091" w:type="dxa"/>
            <w:tcBorders>
              <w:top w:val="single" w:color="auto" w:sz="4" w:space="0"/>
              <w:left w:val="single" w:color="auto" w:sz="4" w:space="0"/>
              <w:bottom w:val="single" w:color="auto" w:sz="4" w:space="0"/>
              <w:right w:val="single" w:color="auto" w:sz="4" w:space="0"/>
            </w:tcBorders>
            <w:vAlign w:val="center"/>
          </w:tcPr>
          <w:p>
            <w:pPr>
              <w:pStyle w:val="8"/>
              <w:spacing w:line="288" w:lineRule="auto"/>
              <w:jc w:val="center"/>
              <w:rPr>
                <w:rFonts w:hint="eastAsia" w:asciiTheme="minorEastAsia" w:hAnsiTheme="minorEastAsia" w:eastAsiaTheme="minorEastAsia" w:cstheme="minorEastAsia"/>
                <w:color w:val="auto"/>
                <w:kern w:val="2"/>
                <w:sz w:val="21"/>
                <w:szCs w:val="21"/>
                <w:highlight w:val="none"/>
                <w:lang w:val="en-US" w:eastAsia="zh-CN"/>
              </w:rPr>
            </w:pPr>
          </w:p>
        </w:tc>
        <w:tc>
          <w:tcPr>
            <w:tcW w:w="750" w:type="dxa"/>
            <w:tcBorders>
              <w:top w:val="single" w:color="auto" w:sz="4" w:space="0"/>
              <w:left w:val="single" w:color="auto" w:sz="4" w:space="0"/>
              <w:bottom w:val="single" w:color="auto" w:sz="4" w:space="0"/>
              <w:right w:val="single" w:color="auto" w:sz="4" w:space="0"/>
            </w:tcBorders>
            <w:vAlign w:val="center"/>
          </w:tcPr>
          <w:p>
            <w:pPr>
              <w:pStyle w:val="8"/>
              <w:spacing w:line="288" w:lineRule="auto"/>
              <w:ind w:firstLine="0"/>
              <w:jc w:val="center"/>
              <w:rPr>
                <w:rFonts w:hint="eastAsia" w:asciiTheme="minorEastAsia" w:hAnsiTheme="minorEastAsia" w:eastAsiaTheme="minorEastAsia" w:cstheme="minorEastAsia"/>
                <w:color w:val="auto"/>
                <w:kern w:val="2"/>
                <w:sz w:val="21"/>
                <w:szCs w:val="21"/>
                <w:highlight w:val="none"/>
                <w:lang w:val="en-US" w:eastAsia="zh-CN"/>
              </w:rPr>
            </w:pPr>
          </w:p>
        </w:tc>
        <w:tc>
          <w:tcPr>
            <w:tcW w:w="655" w:type="dxa"/>
            <w:tcBorders>
              <w:top w:val="single" w:color="auto" w:sz="4" w:space="0"/>
              <w:left w:val="single" w:color="auto" w:sz="4" w:space="0"/>
              <w:bottom w:val="single" w:color="auto" w:sz="4" w:space="0"/>
              <w:right w:val="single" w:color="auto" w:sz="4" w:space="0"/>
            </w:tcBorders>
            <w:vAlign w:val="center"/>
          </w:tcPr>
          <w:p>
            <w:pPr>
              <w:pStyle w:val="8"/>
              <w:spacing w:line="288" w:lineRule="auto"/>
              <w:ind w:firstLine="0"/>
              <w:jc w:val="center"/>
              <w:rPr>
                <w:rFonts w:hint="eastAsia" w:asciiTheme="minorEastAsia" w:hAnsiTheme="minorEastAsia" w:eastAsiaTheme="minorEastAsia" w:cstheme="minorEastAsia"/>
                <w:color w:val="auto"/>
                <w:kern w:val="2"/>
                <w:sz w:val="21"/>
                <w:szCs w:val="21"/>
                <w:highlight w:val="none"/>
                <w:lang w:val="en-US" w:eastAsia="zh-CN"/>
              </w:rPr>
            </w:pPr>
          </w:p>
        </w:tc>
        <w:tc>
          <w:tcPr>
            <w:tcW w:w="830" w:type="dxa"/>
            <w:tcBorders>
              <w:top w:val="single" w:color="auto" w:sz="4" w:space="0"/>
              <w:left w:val="single" w:color="auto" w:sz="4" w:space="0"/>
              <w:bottom w:val="single" w:color="auto" w:sz="4" w:space="0"/>
              <w:right w:val="single" w:color="auto" w:sz="4" w:space="0"/>
            </w:tcBorders>
            <w:vAlign w:val="center"/>
          </w:tcPr>
          <w:p>
            <w:pPr>
              <w:pStyle w:val="8"/>
              <w:spacing w:line="288" w:lineRule="auto"/>
              <w:ind w:firstLine="0"/>
              <w:jc w:val="center"/>
              <w:rPr>
                <w:rFonts w:hint="eastAsia" w:asciiTheme="minorEastAsia" w:hAnsiTheme="minorEastAsia" w:eastAsiaTheme="minorEastAsia" w:cstheme="minorEastAsia"/>
                <w:color w:val="auto"/>
                <w:kern w:val="2"/>
                <w:sz w:val="21"/>
                <w:szCs w:val="21"/>
                <w:highlight w:val="none"/>
                <w:lang w:val="en-US" w:eastAsia="zh-CN"/>
              </w:rPr>
            </w:pPr>
          </w:p>
        </w:tc>
        <w:tc>
          <w:tcPr>
            <w:tcW w:w="914" w:type="dxa"/>
            <w:tcBorders>
              <w:top w:val="single" w:color="auto" w:sz="4" w:space="0"/>
              <w:left w:val="single" w:color="auto" w:sz="4" w:space="0"/>
              <w:bottom w:val="single" w:color="auto" w:sz="4" w:space="0"/>
              <w:right w:val="single" w:color="auto" w:sz="4" w:space="0"/>
            </w:tcBorders>
            <w:vAlign w:val="center"/>
          </w:tcPr>
          <w:p>
            <w:pPr>
              <w:pStyle w:val="8"/>
              <w:spacing w:line="288" w:lineRule="auto"/>
              <w:ind w:firstLine="0"/>
              <w:jc w:val="center"/>
              <w:rPr>
                <w:rFonts w:hint="eastAsia" w:asciiTheme="minorEastAsia" w:hAnsiTheme="minorEastAsia" w:eastAsiaTheme="minorEastAsia" w:cstheme="minorEastAsia"/>
                <w:color w:val="auto"/>
                <w:kern w:val="2"/>
                <w:sz w:val="21"/>
                <w:szCs w:val="21"/>
                <w:highlight w:val="none"/>
                <w:lang w:val="en-US" w:eastAsia="zh-CN"/>
              </w:rPr>
            </w:pPr>
          </w:p>
        </w:tc>
        <w:tc>
          <w:tcPr>
            <w:tcW w:w="1241" w:type="dxa"/>
            <w:tcBorders>
              <w:top w:val="single" w:color="auto" w:sz="4" w:space="0"/>
              <w:left w:val="single" w:color="auto" w:sz="4" w:space="0"/>
              <w:bottom w:val="single" w:color="auto" w:sz="4" w:space="0"/>
              <w:right w:val="single" w:color="auto" w:sz="4" w:space="0"/>
            </w:tcBorders>
            <w:vAlign w:val="center"/>
          </w:tcPr>
          <w:p>
            <w:pPr>
              <w:pStyle w:val="8"/>
              <w:spacing w:line="288" w:lineRule="auto"/>
              <w:ind w:firstLine="0"/>
              <w:jc w:val="center"/>
              <w:rPr>
                <w:rFonts w:hint="eastAsia" w:asciiTheme="minorEastAsia" w:hAnsiTheme="minorEastAsia" w:eastAsiaTheme="minorEastAsia" w:cstheme="minorEastAsia"/>
                <w:color w:val="auto"/>
                <w:kern w:val="2"/>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624" w:type="dxa"/>
            <w:tcBorders>
              <w:top w:val="single" w:color="auto" w:sz="4" w:space="0"/>
              <w:left w:val="single" w:color="auto" w:sz="4" w:space="0"/>
              <w:bottom w:val="single" w:color="auto" w:sz="4" w:space="0"/>
              <w:right w:val="single" w:color="auto" w:sz="4" w:space="0"/>
            </w:tcBorders>
            <w:vAlign w:val="center"/>
          </w:tcPr>
          <w:p>
            <w:pPr>
              <w:pStyle w:val="8"/>
              <w:spacing w:line="288" w:lineRule="auto"/>
              <w:ind w:firstLine="0"/>
              <w:jc w:val="center"/>
              <w:rPr>
                <w:rFonts w:hint="eastAsia" w:asciiTheme="minorEastAsia" w:hAnsiTheme="minorEastAsia" w:eastAsiaTheme="minorEastAsia" w:cstheme="minorEastAsia"/>
                <w:color w:val="auto"/>
                <w:kern w:val="2"/>
                <w:sz w:val="21"/>
                <w:szCs w:val="21"/>
                <w:highlight w:val="none"/>
                <w:lang w:val="en-US" w:eastAsia="zh-CN"/>
              </w:rPr>
            </w:pPr>
          </w:p>
        </w:tc>
        <w:tc>
          <w:tcPr>
            <w:tcW w:w="1690" w:type="dxa"/>
            <w:tcBorders>
              <w:top w:val="single" w:color="auto" w:sz="4" w:space="0"/>
              <w:left w:val="single" w:color="auto" w:sz="4" w:space="0"/>
              <w:bottom w:val="single" w:color="auto" w:sz="4" w:space="0"/>
              <w:right w:val="single" w:color="auto" w:sz="4" w:space="0"/>
            </w:tcBorders>
            <w:vAlign w:val="center"/>
          </w:tcPr>
          <w:p>
            <w:pPr>
              <w:pStyle w:val="8"/>
              <w:spacing w:line="288" w:lineRule="auto"/>
              <w:jc w:val="center"/>
              <w:rPr>
                <w:rFonts w:hint="eastAsia" w:asciiTheme="minorEastAsia" w:hAnsiTheme="minorEastAsia" w:eastAsiaTheme="minorEastAsia" w:cstheme="minorEastAsia"/>
                <w:color w:val="auto"/>
                <w:kern w:val="2"/>
                <w:sz w:val="21"/>
                <w:szCs w:val="21"/>
                <w:highlight w:val="none"/>
                <w:lang w:val="en-US" w:eastAsia="zh-CN"/>
              </w:rPr>
            </w:pPr>
          </w:p>
        </w:tc>
        <w:tc>
          <w:tcPr>
            <w:tcW w:w="900" w:type="dxa"/>
            <w:tcBorders>
              <w:top w:val="single" w:color="auto" w:sz="4" w:space="0"/>
              <w:left w:val="single" w:color="auto" w:sz="4" w:space="0"/>
              <w:bottom w:val="single" w:color="auto" w:sz="4" w:space="0"/>
              <w:right w:val="single" w:color="auto" w:sz="4" w:space="0"/>
            </w:tcBorders>
            <w:vAlign w:val="center"/>
          </w:tcPr>
          <w:p>
            <w:pPr>
              <w:pStyle w:val="8"/>
              <w:spacing w:line="288" w:lineRule="auto"/>
              <w:jc w:val="center"/>
              <w:rPr>
                <w:rFonts w:hint="eastAsia" w:asciiTheme="minorEastAsia" w:hAnsiTheme="minorEastAsia" w:eastAsiaTheme="minorEastAsia" w:cstheme="minorEastAsia"/>
                <w:color w:val="auto"/>
                <w:kern w:val="2"/>
                <w:sz w:val="21"/>
                <w:szCs w:val="21"/>
                <w:highlight w:val="none"/>
                <w:lang w:val="en-US" w:eastAsia="zh-CN"/>
              </w:rPr>
            </w:pPr>
          </w:p>
        </w:tc>
        <w:tc>
          <w:tcPr>
            <w:tcW w:w="914" w:type="dxa"/>
            <w:tcBorders>
              <w:top w:val="single" w:color="auto" w:sz="4" w:space="0"/>
              <w:left w:val="single" w:color="auto" w:sz="4" w:space="0"/>
              <w:bottom w:val="single" w:color="auto" w:sz="4" w:space="0"/>
              <w:right w:val="single" w:color="auto" w:sz="4" w:space="0"/>
            </w:tcBorders>
            <w:vAlign w:val="center"/>
          </w:tcPr>
          <w:p>
            <w:pPr>
              <w:pStyle w:val="8"/>
              <w:spacing w:line="288" w:lineRule="auto"/>
              <w:jc w:val="center"/>
              <w:rPr>
                <w:rFonts w:hint="eastAsia" w:asciiTheme="minorEastAsia" w:hAnsiTheme="minorEastAsia" w:eastAsiaTheme="minorEastAsia" w:cstheme="minorEastAsia"/>
                <w:color w:val="auto"/>
                <w:kern w:val="2"/>
                <w:sz w:val="21"/>
                <w:szCs w:val="21"/>
                <w:highlight w:val="none"/>
                <w:lang w:val="en-US" w:eastAsia="zh-CN"/>
              </w:rPr>
            </w:pPr>
          </w:p>
        </w:tc>
        <w:tc>
          <w:tcPr>
            <w:tcW w:w="1091" w:type="dxa"/>
            <w:tcBorders>
              <w:top w:val="single" w:color="auto" w:sz="4" w:space="0"/>
              <w:left w:val="single" w:color="auto" w:sz="4" w:space="0"/>
              <w:bottom w:val="single" w:color="auto" w:sz="4" w:space="0"/>
              <w:right w:val="single" w:color="auto" w:sz="4" w:space="0"/>
            </w:tcBorders>
            <w:vAlign w:val="center"/>
          </w:tcPr>
          <w:p>
            <w:pPr>
              <w:pStyle w:val="8"/>
              <w:spacing w:line="288" w:lineRule="auto"/>
              <w:jc w:val="center"/>
              <w:rPr>
                <w:rFonts w:hint="eastAsia" w:asciiTheme="minorEastAsia" w:hAnsiTheme="minorEastAsia" w:eastAsiaTheme="minorEastAsia" w:cstheme="minorEastAsia"/>
                <w:color w:val="auto"/>
                <w:kern w:val="2"/>
                <w:sz w:val="21"/>
                <w:szCs w:val="21"/>
                <w:highlight w:val="none"/>
                <w:lang w:val="en-US" w:eastAsia="zh-CN"/>
              </w:rPr>
            </w:pPr>
          </w:p>
        </w:tc>
        <w:tc>
          <w:tcPr>
            <w:tcW w:w="750" w:type="dxa"/>
            <w:tcBorders>
              <w:top w:val="single" w:color="auto" w:sz="4" w:space="0"/>
              <w:left w:val="single" w:color="auto" w:sz="4" w:space="0"/>
              <w:bottom w:val="single" w:color="auto" w:sz="4" w:space="0"/>
              <w:right w:val="single" w:color="auto" w:sz="4" w:space="0"/>
            </w:tcBorders>
            <w:vAlign w:val="center"/>
          </w:tcPr>
          <w:p>
            <w:pPr>
              <w:pStyle w:val="8"/>
              <w:spacing w:line="288" w:lineRule="auto"/>
              <w:ind w:firstLine="0"/>
              <w:jc w:val="center"/>
              <w:rPr>
                <w:rFonts w:hint="eastAsia" w:asciiTheme="minorEastAsia" w:hAnsiTheme="minorEastAsia" w:eastAsiaTheme="minorEastAsia" w:cstheme="minorEastAsia"/>
                <w:color w:val="auto"/>
                <w:kern w:val="2"/>
                <w:sz w:val="21"/>
                <w:szCs w:val="21"/>
                <w:highlight w:val="none"/>
                <w:lang w:val="en-US" w:eastAsia="zh-CN"/>
              </w:rPr>
            </w:pPr>
          </w:p>
        </w:tc>
        <w:tc>
          <w:tcPr>
            <w:tcW w:w="655" w:type="dxa"/>
            <w:tcBorders>
              <w:top w:val="single" w:color="auto" w:sz="4" w:space="0"/>
              <w:left w:val="single" w:color="auto" w:sz="4" w:space="0"/>
              <w:bottom w:val="single" w:color="auto" w:sz="4" w:space="0"/>
              <w:right w:val="single" w:color="auto" w:sz="4" w:space="0"/>
            </w:tcBorders>
            <w:vAlign w:val="center"/>
          </w:tcPr>
          <w:p>
            <w:pPr>
              <w:pStyle w:val="8"/>
              <w:spacing w:line="288" w:lineRule="auto"/>
              <w:ind w:firstLine="0"/>
              <w:jc w:val="center"/>
              <w:rPr>
                <w:rFonts w:hint="eastAsia" w:asciiTheme="minorEastAsia" w:hAnsiTheme="minorEastAsia" w:eastAsiaTheme="minorEastAsia" w:cstheme="minorEastAsia"/>
                <w:color w:val="auto"/>
                <w:kern w:val="2"/>
                <w:sz w:val="21"/>
                <w:szCs w:val="21"/>
                <w:highlight w:val="none"/>
                <w:lang w:val="en-US" w:eastAsia="zh-CN"/>
              </w:rPr>
            </w:pPr>
          </w:p>
        </w:tc>
        <w:tc>
          <w:tcPr>
            <w:tcW w:w="830" w:type="dxa"/>
            <w:tcBorders>
              <w:top w:val="single" w:color="auto" w:sz="4" w:space="0"/>
              <w:left w:val="single" w:color="auto" w:sz="4" w:space="0"/>
              <w:bottom w:val="single" w:color="auto" w:sz="4" w:space="0"/>
              <w:right w:val="single" w:color="auto" w:sz="4" w:space="0"/>
            </w:tcBorders>
            <w:vAlign w:val="center"/>
          </w:tcPr>
          <w:p>
            <w:pPr>
              <w:pStyle w:val="8"/>
              <w:spacing w:line="288" w:lineRule="auto"/>
              <w:ind w:firstLine="0"/>
              <w:jc w:val="center"/>
              <w:rPr>
                <w:rFonts w:hint="eastAsia" w:asciiTheme="minorEastAsia" w:hAnsiTheme="minorEastAsia" w:eastAsiaTheme="minorEastAsia" w:cstheme="minorEastAsia"/>
                <w:color w:val="auto"/>
                <w:kern w:val="2"/>
                <w:sz w:val="21"/>
                <w:szCs w:val="21"/>
                <w:highlight w:val="none"/>
                <w:lang w:val="en-US" w:eastAsia="zh-CN"/>
              </w:rPr>
            </w:pPr>
          </w:p>
        </w:tc>
        <w:tc>
          <w:tcPr>
            <w:tcW w:w="914" w:type="dxa"/>
            <w:tcBorders>
              <w:top w:val="single" w:color="auto" w:sz="4" w:space="0"/>
              <w:left w:val="single" w:color="auto" w:sz="4" w:space="0"/>
              <w:bottom w:val="single" w:color="auto" w:sz="4" w:space="0"/>
              <w:right w:val="single" w:color="auto" w:sz="4" w:space="0"/>
            </w:tcBorders>
            <w:vAlign w:val="center"/>
          </w:tcPr>
          <w:p>
            <w:pPr>
              <w:pStyle w:val="8"/>
              <w:spacing w:line="288" w:lineRule="auto"/>
              <w:ind w:firstLine="0"/>
              <w:jc w:val="center"/>
              <w:rPr>
                <w:rFonts w:hint="eastAsia" w:asciiTheme="minorEastAsia" w:hAnsiTheme="minorEastAsia" w:eastAsiaTheme="minorEastAsia" w:cstheme="minorEastAsia"/>
                <w:color w:val="auto"/>
                <w:kern w:val="2"/>
                <w:sz w:val="21"/>
                <w:szCs w:val="21"/>
                <w:highlight w:val="none"/>
                <w:lang w:val="en-US" w:eastAsia="zh-CN"/>
              </w:rPr>
            </w:pPr>
          </w:p>
        </w:tc>
        <w:tc>
          <w:tcPr>
            <w:tcW w:w="1241" w:type="dxa"/>
            <w:tcBorders>
              <w:top w:val="single" w:color="auto" w:sz="4" w:space="0"/>
              <w:left w:val="single" w:color="auto" w:sz="4" w:space="0"/>
              <w:bottom w:val="single" w:color="auto" w:sz="4" w:space="0"/>
              <w:right w:val="single" w:color="auto" w:sz="4" w:space="0"/>
            </w:tcBorders>
            <w:vAlign w:val="center"/>
          </w:tcPr>
          <w:p>
            <w:pPr>
              <w:pStyle w:val="8"/>
              <w:spacing w:line="288" w:lineRule="auto"/>
              <w:ind w:firstLine="0"/>
              <w:jc w:val="center"/>
              <w:rPr>
                <w:rFonts w:hint="eastAsia" w:asciiTheme="minorEastAsia" w:hAnsiTheme="minorEastAsia" w:eastAsiaTheme="minorEastAsia" w:cstheme="minorEastAsia"/>
                <w:color w:val="auto"/>
                <w:kern w:val="2"/>
                <w:sz w:val="21"/>
                <w:szCs w:val="21"/>
                <w:highlight w:val="none"/>
                <w:lang w:val="en-US" w:eastAsia="zh-CN"/>
              </w:rPr>
            </w:pPr>
          </w:p>
        </w:tc>
      </w:tr>
    </w:tbl>
    <w:p>
      <w:pPr>
        <w:pStyle w:val="14"/>
        <w:keepNext w:val="0"/>
        <w:keepLines w:val="0"/>
        <w:pageBreakBefore w:val="0"/>
        <w:widowControl w:val="0"/>
        <w:kinsoku/>
        <w:wordWrap/>
        <w:overflowPunct/>
        <w:topLinePunct w:val="0"/>
        <w:autoSpaceDE/>
        <w:autoSpaceDN/>
        <w:bidi w:val="0"/>
        <w:adjustRightInd/>
        <w:snapToGrid/>
        <w:spacing w:after="0"/>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rPr>
        <w:t>注：</w:t>
      </w:r>
      <w:r>
        <w:rPr>
          <w:rFonts w:hint="eastAsia" w:ascii="宋体" w:hAnsi="宋体" w:cs="宋体"/>
          <w:color w:val="auto"/>
          <w:sz w:val="21"/>
          <w:szCs w:val="21"/>
          <w:highlight w:val="none"/>
          <w:lang w:val="en-US" w:eastAsia="zh-CN"/>
        </w:rPr>
        <w:t>1.</w:t>
      </w:r>
      <w:r>
        <w:rPr>
          <w:rFonts w:hint="eastAsia" w:ascii="宋体" w:hAnsi="宋体" w:eastAsia="宋体" w:cs="宋体"/>
          <w:b w:val="0"/>
          <w:bCs w:val="0"/>
          <w:color w:val="auto"/>
          <w:sz w:val="21"/>
          <w:szCs w:val="21"/>
          <w:highlight w:val="none"/>
        </w:rPr>
        <w:t>上述主要设备清单表中价格均为包干价（单价为单套</w:t>
      </w:r>
      <w:r>
        <w:rPr>
          <w:rFonts w:hint="eastAsia" w:ascii="宋体" w:hAnsi="宋体" w:eastAsia="宋体" w:cs="宋体"/>
          <w:b w:val="0"/>
          <w:bCs w:val="0"/>
          <w:color w:val="auto"/>
          <w:sz w:val="21"/>
          <w:szCs w:val="21"/>
          <w:highlight w:val="none"/>
          <w:lang w:val="en-US" w:eastAsia="zh-CN"/>
        </w:rPr>
        <w:t>总包</w:t>
      </w:r>
      <w:r>
        <w:rPr>
          <w:rFonts w:hint="eastAsia" w:ascii="宋体" w:hAnsi="宋体" w:eastAsia="宋体" w:cs="宋体"/>
          <w:b w:val="0"/>
          <w:bCs w:val="0"/>
          <w:color w:val="auto"/>
          <w:sz w:val="21"/>
          <w:szCs w:val="21"/>
          <w:highlight w:val="none"/>
        </w:rPr>
        <w:t>价），内容包含但不限于项目范围内的货物、施工（含清场等费用）、设备、税费、运输、装卸、安装、咨询、系统产品费用、软件、版权、测试、培训、自动控制系统费用(如有)、保险、技术服务、质保期售后服务等费用，所有附（配）件按现场实际所需供足，乙方不得再以任何理由向甲方主张合同之外的费用。</w:t>
      </w:r>
    </w:p>
    <w:p>
      <w:pPr>
        <w:pStyle w:val="18"/>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2.投标人提供整机配件、备品、备件、易损件数量不得低于本项目需求书中要求的数量。</w:t>
      </w:r>
    </w:p>
    <w:p>
      <w:pPr>
        <w:pStyle w:val="18"/>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质保期破碎机使用1套刀片，另加备品备件1套刀片，另外除清单上明确的核心器件数量外，需备足两套维护需要的辅材辅件。上述清单仅为部分备品备件，其余包括维修拆装工具、各类配套开关管线、垫片、法兰等相关易损易耗件投标人也须列明并提供，所供数量需满足设备两次维护大修与日常保养之用。投标人承诺对本表中列出的备品备件与未列出与项目有关的易损件价格自项目通过验收之日起5年内不涨价。</w:t>
      </w:r>
    </w:p>
    <w:p>
      <w:pPr>
        <w:spacing w:line="360" w:lineRule="auto"/>
        <w:ind w:left="0" w:right="0"/>
        <w:rPr>
          <w:rFonts w:hint="eastAsia" w:ascii="宋体" w:hAnsi="宋体" w:eastAsia="宋体" w:cs="宋体"/>
          <w:color w:val="auto"/>
          <w:sz w:val="24"/>
          <w:szCs w:val="24"/>
          <w:highlight w:val="none"/>
          <w:u w:val="single"/>
        </w:rPr>
      </w:pPr>
    </w:p>
    <w:p>
      <w:pPr>
        <w:spacing w:line="360" w:lineRule="auto"/>
        <w:ind w:left="0" w:right="0"/>
        <w:rPr>
          <w:rFonts w:hint="eastAsia" w:ascii="宋体" w:hAnsi="宋体" w:eastAsia="宋体" w:cs="宋体"/>
          <w:color w:val="auto"/>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（盖单位章）</w:t>
      </w:r>
    </w:p>
    <w:p>
      <w:pPr>
        <w:spacing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法定代表人或其授权代表签字或盖章：</w:t>
      </w:r>
      <w:r>
        <w:rPr>
          <w:rFonts w:hint="eastAsia" w:ascii="宋体" w:hAnsi="宋体" w:eastAsia="宋体" w:cs="宋体"/>
          <w:color w:val="auto"/>
          <w:sz w:val="24"/>
          <w:szCs w:val="24"/>
          <w:highlight w:val="none"/>
          <w:u w:val="single"/>
        </w:rPr>
        <w:t xml:space="preserve">               </w:t>
      </w:r>
    </w:p>
    <w:p>
      <w:pPr>
        <w:spacing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pPr>
        <w:pStyle w:val="32"/>
        <w:rPr>
          <w:rFonts w:hint="eastAsia"/>
          <w:color w:val="auto"/>
          <w:highlight w:val="none"/>
        </w:rPr>
      </w:pPr>
      <w:r>
        <w:rPr>
          <w:rFonts w:hint="eastAsia"/>
          <w:color w:val="auto"/>
          <w:highlight w:val="none"/>
        </w:rPr>
        <w:br w:type="page"/>
      </w:r>
    </w:p>
    <w:p>
      <w:pPr>
        <w:spacing w:after="0" w:line="360" w:lineRule="auto"/>
        <w:jc w:val="center"/>
        <w:rPr>
          <w:rFonts w:hint="eastAsia" w:ascii="宋体" w:hAnsi="宋体" w:eastAsia="宋体" w:cs="宋体"/>
          <w:bCs w:val="0"/>
          <w:color w:val="auto"/>
          <w:kern w:val="0"/>
          <w:sz w:val="32"/>
          <w:szCs w:val="20"/>
          <w:highlight w:val="none"/>
        </w:rPr>
      </w:pPr>
      <w:bookmarkStart w:id="186" w:name="_Toc27848"/>
      <w:bookmarkStart w:id="187" w:name="_Toc520184749"/>
      <w:bookmarkStart w:id="188" w:name="_Toc25513679"/>
      <w:bookmarkStart w:id="189" w:name="_Toc11379"/>
      <w:bookmarkStart w:id="190" w:name="_Toc8637"/>
      <w:bookmarkStart w:id="191" w:name="_Toc7454678"/>
      <w:r>
        <w:rPr>
          <w:rFonts w:hint="eastAsia" w:ascii="宋体" w:hAnsi="宋体" w:eastAsia="宋体" w:cs="宋体"/>
          <w:b/>
          <w:bCs w:val="0"/>
          <w:color w:val="auto"/>
          <w:kern w:val="0"/>
          <w:sz w:val="32"/>
          <w:szCs w:val="20"/>
          <w:highlight w:val="none"/>
          <w:lang w:val="en-US" w:eastAsia="zh-CN"/>
        </w:rPr>
        <w:t>六</w:t>
      </w:r>
      <w:r>
        <w:rPr>
          <w:rFonts w:hint="eastAsia" w:ascii="宋体" w:hAnsi="宋体" w:eastAsia="宋体" w:cs="宋体"/>
          <w:b/>
          <w:bCs w:val="0"/>
          <w:color w:val="auto"/>
          <w:kern w:val="0"/>
          <w:sz w:val="32"/>
          <w:szCs w:val="20"/>
          <w:highlight w:val="none"/>
        </w:rPr>
        <w:t>、资格审查资料</w:t>
      </w:r>
      <w:bookmarkEnd w:id="186"/>
      <w:bookmarkEnd w:id="187"/>
      <w:bookmarkEnd w:id="188"/>
      <w:bookmarkEnd w:id="189"/>
      <w:bookmarkEnd w:id="190"/>
      <w:bookmarkEnd w:id="191"/>
    </w:p>
    <w:p>
      <w:pPr>
        <w:spacing w:line="360" w:lineRule="auto"/>
        <w:rPr>
          <w:rFonts w:hint="eastAsia" w:ascii="宋体" w:hAnsi="宋体" w:eastAsia="宋体" w:cs="宋体"/>
          <w:color w:val="auto"/>
          <w:sz w:val="24"/>
          <w:szCs w:val="24"/>
          <w:highlight w:val="none"/>
        </w:rPr>
      </w:pPr>
      <w:bookmarkStart w:id="192" w:name="_Toc520184750"/>
      <w:bookmarkStart w:id="193" w:name="_Toc7454679"/>
      <w:bookmarkStart w:id="194" w:name="_Toc19280"/>
      <w:r>
        <w:rPr>
          <w:rFonts w:hint="eastAsia" w:ascii="宋体" w:hAnsi="宋体" w:eastAsia="宋体" w:cs="宋体"/>
          <w:color w:val="auto"/>
          <w:sz w:val="24"/>
          <w:szCs w:val="24"/>
          <w:highlight w:val="none"/>
        </w:rPr>
        <w:t>（一）基本情况表</w:t>
      </w:r>
      <w:bookmarkEnd w:id="192"/>
      <w:bookmarkEnd w:id="193"/>
      <w:bookmarkEnd w:id="194"/>
    </w:p>
    <w:tbl>
      <w:tblPr>
        <w:tblStyle w:val="33"/>
        <w:tblW w:w="927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6"/>
        <w:gridCol w:w="936"/>
        <w:gridCol w:w="2414"/>
        <w:gridCol w:w="1343"/>
        <w:gridCol w:w="24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136" w:type="dxa"/>
            <w:tcBorders>
              <w:top w:val="single" w:color="auto" w:sz="4" w:space="0"/>
              <w:left w:val="single" w:color="auto" w:sz="4" w:space="0"/>
              <w:bottom w:val="single" w:color="auto" w:sz="4" w:space="0"/>
              <w:right w:val="single" w:color="auto" w:sz="4" w:space="0"/>
            </w:tcBorders>
            <w:vAlign w:val="center"/>
          </w:tcPr>
          <w:p>
            <w:pPr>
              <w:topLinePun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w:t>
            </w:r>
          </w:p>
        </w:tc>
        <w:tc>
          <w:tcPr>
            <w:tcW w:w="7136" w:type="dxa"/>
            <w:gridSpan w:val="4"/>
            <w:tcBorders>
              <w:top w:val="single" w:color="auto" w:sz="4" w:space="0"/>
              <w:left w:val="single" w:color="auto" w:sz="4" w:space="0"/>
              <w:bottom w:val="single" w:color="auto" w:sz="4" w:space="0"/>
              <w:right w:val="single" w:color="auto" w:sz="4" w:space="0"/>
            </w:tcBorders>
            <w:vAlign w:val="center"/>
          </w:tcPr>
          <w:p>
            <w:pPr>
              <w:topLinePun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136" w:type="dxa"/>
            <w:tcBorders>
              <w:top w:val="single" w:color="auto" w:sz="4" w:space="0"/>
              <w:left w:val="single" w:color="auto" w:sz="4" w:space="0"/>
              <w:bottom w:val="single" w:color="auto" w:sz="4" w:space="0"/>
              <w:right w:val="single" w:color="auto" w:sz="4" w:space="0"/>
            </w:tcBorders>
            <w:vAlign w:val="center"/>
          </w:tcPr>
          <w:p>
            <w:pPr>
              <w:topLinePun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注册资金</w:t>
            </w:r>
          </w:p>
        </w:tc>
        <w:tc>
          <w:tcPr>
            <w:tcW w:w="3350" w:type="dxa"/>
            <w:gridSpan w:val="2"/>
            <w:tcBorders>
              <w:top w:val="single" w:color="auto" w:sz="4" w:space="0"/>
              <w:left w:val="single" w:color="auto" w:sz="4" w:space="0"/>
              <w:bottom w:val="single" w:color="auto" w:sz="4" w:space="0"/>
              <w:right w:val="single" w:color="auto" w:sz="4" w:space="0"/>
            </w:tcBorders>
            <w:vAlign w:val="center"/>
          </w:tcPr>
          <w:p>
            <w:pPr>
              <w:topLinePunct/>
              <w:jc w:val="center"/>
              <w:rPr>
                <w:rFonts w:hint="eastAsia" w:ascii="宋体" w:hAnsi="宋体" w:eastAsia="宋体" w:cs="宋体"/>
                <w:color w:val="auto"/>
                <w:szCs w:val="21"/>
                <w:highlight w:val="none"/>
              </w:rPr>
            </w:pPr>
          </w:p>
        </w:tc>
        <w:tc>
          <w:tcPr>
            <w:tcW w:w="1343" w:type="dxa"/>
            <w:tcBorders>
              <w:top w:val="single" w:color="auto" w:sz="4" w:space="0"/>
              <w:left w:val="single" w:color="auto" w:sz="4" w:space="0"/>
              <w:bottom w:val="single" w:color="auto" w:sz="4" w:space="0"/>
              <w:right w:val="single" w:color="auto" w:sz="4" w:space="0"/>
            </w:tcBorders>
            <w:vAlign w:val="center"/>
          </w:tcPr>
          <w:p>
            <w:pPr>
              <w:topLinePun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成立时间</w:t>
            </w:r>
          </w:p>
        </w:tc>
        <w:tc>
          <w:tcPr>
            <w:tcW w:w="2443" w:type="dxa"/>
            <w:tcBorders>
              <w:top w:val="single" w:color="auto" w:sz="4" w:space="0"/>
              <w:left w:val="single" w:color="auto" w:sz="4" w:space="0"/>
              <w:bottom w:val="single" w:color="auto" w:sz="4" w:space="0"/>
              <w:right w:val="single" w:color="auto" w:sz="4" w:space="0"/>
            </w:tcBorders>
            <w:vAlign w:val="center"/>
          </w:tcPr>
          <w:p>
            <w:pPr>
              <w:topLinePun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136" w:type="dxa"/>
            <w:tcBorders>
              <w:top w:val="single" w:color="auto" w:sz="4" w:space="0"/>
              <w:left w:val="single" w:color="auto" w:sz="4" w:space="0"/>
              <w:bottom w:val="single" w:color="auto" w:sz="4" w:space="0"/>
              <w:right w:val="single" w:color="auto" w:sz="4" w:space="0"/>
            </w:tcBorders>
            <w:vAlign w:val="center"/>
          </w:tcPr>
          <w:p>
            <w:pPr>
              <w:topLinePun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注册地址</w:t>
            </w:r>
          </w:p>
        </w:tc>
        <w:tc>
          <w:tcPr>
            <w:tcW w:w="7136" w:type="dxa"/>
            <w:gridSpan w:val="4"/>
            <w:tcBorders>
              <w:top w:val="single" w:color="auto" w:sz="4" w:space="0"/>
              <w:left w:val="single" w:color="auto" w:sz="4" w:space="0"/>
              <w:bottom w:val="single" w:color="auto" w:sz="4" w:space="0"/>
              <w:right w:val="single" w:color="auto" w:sz="4" w:space="0"/>
            </w:tcBorders>
            <w:vAlign w:val="center"/>
          </w:tcPr>
          <w:p>
            <w:pPr>
              <w:topLinePun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136" w:type="dxa"/>
            <w:tcBorders>
              <w:top w:val="single" w:color="auto" w:sz="4" w:space="0"/>
              <w:left w:val="single" w:color="auto" w:sz="4" w:space="0"/>
              <w:bottom w:val="single" w:color="auto" w:sz="4" w:space="0"/>
              <w:right w:val="single" w:color="auto" w:sz="4" w:space="0"/>
            </w:tcBorders>
            <w:vAlign w:val="center"/>
          </w:tcPr>
          <w:p>
            <w:pPr>
              <w:topLinePun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tc>
        <w:tc>
          <w:tcPr>
            <w:tcW w:w="3350" w:type="dxa"/>
            <w:gridSpan w:val="2"/>
            <w:tcBorders>
              <w:top w:val="single" w:color="auto" w:sz="4" w:space="0"/>
              <w:left w:val="single" w:color="auto" w:sz="4" w:space="0"/>
              <w:bottom w:val="single" w:color="auto" w:sz="4" w:space="0"/>
              <w:right w:val="single" w:color="auto" w:sz="4" w:space="0"/>
            </w:tcBorders>
            <w:vAlign w:val="center"/>
          </w:tcPr>
          <w:p>
            <w:pPr>
              <w:topLinePunct/>
              <w:jc w:val="center"/>
              <w:rPr>
                <w:rFonts w:hint="eastAsia" w:ascii="宋体" w:hAnsi="宋体" w:eastAsia="宋体" w:cs="宋体"/>
                <w:color w:val="auto"/>
                <w:szCs w:val="21"/>
                <w:highlight w:val="none"/>
              </w:rPr>
            </w:pPr>
          </w:p>
        </w:tc>
        <w:tc>
          <w:tcPr>
            <w:tcW w:w="1343" w:type="dxa"/>
            <w:tcBorders>
              <w:top w:val="single" w:color="auto" w:sz="4" w:space="0"/>
              <w:left w:val="single" w:color="auto" w:sz="4" w:space="0"/>
              <w:bottom w:val="single" w:color="auto" w:sz="4" w:space="0"/>
              <w:right w:val="single" w:color="auto" w:sz="4" w:space="0"/>
            </w:tcBorders>
            <w:vAlign w:val="center"/>
          </w:tcPr>
          <w:p>
            <w:pPr>
              <w:topLinePun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员工总数</w:t>
            </w:r>
          </w:p>
        </w:tc>
        <w:tc>
          <w:tcPr>
            <w:tcW w:w="2443" w:type="dxa"/>
            <w:tcBorders>
              <w:top w:val="single" w:color="auto" w:sz="4" w:space="0"/>
              <w:left w:val="single" w:color="auto" w:sz="4" w:space="0"/>
              <w:bottom w:val="single" w:color="auto" w:sz="4" w:space="0"/>
              <w:right w:val="single" w:color="auto" w:sz="4" w:space="0"/>
            </w:tcBorders>
            <w:vAlign w:val="center"/>
          </w:tcPr>
          <w:p>
            <w:pPr>
              <w:topLinePun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136" w:type="dxa"/>
            <w:vMerge w:val="restart"/>
            <w:tcBorders>
              <w:top w:val="single" w:color="auto" w:sz="4" w:space="0"/>
              <w:left w:val="single" w:color="auto" w:sz="4" w:space="0"/>
              <w:bottom w:val="single" w:color="auto" w:sz="4" w:space="0"/>
              <w:right w:val="single" w:color="auto" w:sz="4" w:space="0"/>
            </w:tcBorders>
            <w:vAlign w:val="center"/>
          </w:tcPr>
          <w:p>
            <w:pPr>
              <w:topLinePun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联系方式</w:t>
            </w:r>
          </w:p>
        </w:tc>
        <w:tc>
          <w:tcPr>
            <w:tcW w:w="936" w:type="dxa"/>
            <w:tcBorders>
              <w:top w:val="single" w:color="auto" w:sz="4" w:space="0"/>
              <w:left w:val="single" w:color="auto" w:sz="4" w:space="0"/>
              <w:bottom w:val="single" w:color="auto" w:sz="4" w:space="0"/>
              <w:right w:val="single" w:color="auto" w:sz="4" w:space="0"/>
            </w:tcBorders>
            <w:vAlign w:val="center"/>
          </w:tcPr>
          <w:p>
            <w:pPr>
              <w:topLinePun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w:t>
            </w:r>
          </w:p>
        </w:tc>
        <w:tc>
          <w:tcPr>
            <w:tcW w:w="2414" w:type="dxa"/>
            <w:tcBorders>
              <w:top w:val="single" w:color="auto" w:sz="4" w:space="0"/>
              <w:left w:val="single" w:color="auto" w:sz="4" w:space="0"/>
              <w:bottom w:val="single" w:color="auto" w:sz="4" w:space="0"/>
              <w:right w:val="single" w:color="auto" w:sz="4" w:space="0"/>
            </w:tcBorders>
            <w:vAlign w:val="center"/>
          </w:tcPr>
          <w:p>
            <w:pPr>
              <w:topLinePunct/>
              <w:jc w:val="center"/>
              <w:rPr>
                <w:rFonts w:hint="eastAsia" w:ascii="宋体" w:hAnsi="宋体" w:eastAsia="宋体" w:cs="宋体"/>
                <w:color w:val="auto"/>
                <w:szCs w:val="21"/>
                <w:highlight w:val="none"/>
              </w:rPr>
            </w:pPr>
          </w:p>
        </w:tc>
        <w:tc>
          <w:tcPr>
            <w:tcW w:w="1343" w:type="dxa"/>
            <w:tcBorders>
              <w:top w:val="single" w:color="auto" w:sz="4" w:space="0"/>
              <w:left w:val="single" w:color="auto" w:sz="4" w:space="0"/>
              <w:bottom w:val="single" w:color="auto" w:sz="4" w:space="0"/>
              <w:right w:val="single" w:color="auto" w:sz="4" w:space="0"/>
            </w:tcBorders>
            <w:vAlign w:val="center"/>
          </w:tcPr>
          <w:p>
            <w:pPr>
              <w:topLinePun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 话</w:t>
            </w:r>
          </w:p>
        </w:tc>
        <w:tc>
          <w:tcPr>
            <w:tcW w:w="2443" w:type="dxa"/>
            <w:tcBorders>
              <w:top w:val="single" w:color="auto" w:sz="4" w:space="0"/>
              <w:left w:val="single" w:color="auto" w:sz="4" w:space="0"/>
              <w:bottom w:val="single" w:color="auto" w:sz="4" w:space="0"/>
              <w:right w:val="single" w:color="auto" w:sz="4" w:space="0"/>
            </w:tcBorders>
            <w:vAlign w:val="center"/>
          </w:tcPr>
          <w:p>
            <w:pPr>
              <w:topLinePun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13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p>
        </w:tc>
        <w:tc>
          <w:tcPr>
            <w:tcW w:w="936" w:type="dxa"/>
            <w:tcBorders>
              <w:top w:val="single" w:color="auto" w:sz="4" w:space="0"/>
              <w:left w:val="single" w:color="auto" w:sz="4" w:space="0"/>
              <w:bottom w:val="single" w:color="auto" w:sz="4" w:space="0"/>
              <w:right w:val="single" w:color="auto" w:sz="4" w:space="0"/>
            </w:tcBorders>
            <w:vAlign w:val="center"/>
          </w:tcPr>
          <w:p>
            <w:pPr>
              <w:topLinePun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网 址</w:t>
            </w:r>
          </w:p>
        </w:tc>
        <w:tc>
          <w:tcPr>
            <w:tcW w:w="2414" w:type="dxa"/>
            <w:tcBorders>
              <w:top w:val="single" w:color="auto" w:sz="4" w:space="0"/>
              <w:left w:val="single" w:color="auto" w:sz="4" w:space="0"/>
              <w:bottom w:val="single" w:color="auto" w:sz="4" w:space="0"/>
              <w:right w:val="single" w:color="auto" w:sz="4" w:space="0"/>
            </w:tcBorders>
            <w:vAlign w:val="center"/>
          </w:tcPr>
          <w:p>
            <w:pPr>
              <w:topLinePunct/>
              <w:jc w:val="center"/>
              <w:rPr>
                <w:rFonts w:hint="eastAsia" w:ascii="宋体" w:hAnsi="宋体" w:eastAsia="宋体" w:cs="宋体"/>
                <w:color w:val="auto"/>
                <w:szCs w:val="21"/>
                <w:highlight w:val="none"/>
              </w:rPr>
            </w:pPr>
          </w:p>
        </w:tc>
        <w:tc>
          <w:tcPr>
            <w:tcW w:w="1343" w:type="dxa"/>
            <w:tcBorders>
              <w:top w:val="single" w:color="auto" w:sz="4" w:space="0"/>
              <w:left w:val="single" w:color="auto" w:sz="4" w:space="0"/>
              <w:bottom w:val="single" w:color="auto" w:sz="4" w:space="0"/>
              <w:right w:val="single" w:color="auto" w:sz="4" w:space="0"/>
            </w:tcBorders>
            <w:vAlign w:val="center"/>
          </w:tcPr>
          <w:p>
            <w:pPr>
              <w:topLinePun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传  真</w:t>
            </w:r>
          </w:p>
        </w:tc>
        <w:tc>
          <w:tcPr>
            <w:tcW w:w="2443" w:type="dxa"/>
            <w:tcBorders>
              <w:top w:val="single" w:color="auto" w:sz="4" w:space="0"/>
              <w:left w:val="single" w:color="auto" w:sz="4" w:space="0"/>
              <w:bottom w:val="single" w:color="auto" w:sz="4" w:space="0"/>
              <w:right w:val="single" w:color="auto" w:sz="4" w:space="0"/>
            </w:tcBorders>
            <w:vAlign w:val="center"/>
          </w:tcPr>
          <w:p>
            <w:pPr>
              <w:topLinePun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136" w:type="dxa"/>
            <w:tcBorders>
              <w:top w:val="single" w:color="auto" w:sz="4" w:space="0"/>
              <w:left w:val="single" w:color="auto" w:sz="4" w:space="0"/>
              <w:bottom w:val="single" w:color="auto" w:sz="4" w:space="0"/>
              <w:right w:val="single" w:color="auto" w:sz="4" w:space="0"/>
            </w:tcBorders>
            <w:vAlign w:val="center"/>
          </w:tcPr>
          <w:p>
            <w:pPr>
              <w:topLinePun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p>
          <w:p>
            <w:pPr>
              <w:topLinePun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（单位负责人）</w:t>
            </w:r>
          </w:p>
        </w:tc>
        <w:tc>
          <w:tcPr>
            <w:tcW w:w="936" w:type="dxa"/>
            <w:tcBorders>
              <w:top w:val="single" w:color="auto" w:sz="4" w:space="0"/>
              <w:left w:val="single" w:color="auto" w:sz="4" w:space="0"/>
              <w:bottom w:val="single" w:color="auto" w:sz="4" w:space="0"/>
              <w:right w:val="single" w:color="auto" w:sz="4" w:space="0"/>
            </w:tcBorders>
            <w:vAlign w:val="center"/>
          </w:tcPr>
          <w:p>
            <w:pPr>
              <w:topLinePun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2414" w:type="dxa"/>
            <w:tcBorders>
              <w:top w:val="single" w:color="auto" w:sz="4" w:space="0"/>
              <w:left w:val="single" w:color="auto" w:sz="4" w:space="0"/>
              <w:bottom w:val="single" w:color="auto" w:sz="4" w:space="0"/>
              <w:right w:val="single" w:color="auto" w:sz="4" w:space="0"/>
            </w:tcBorders>
            <w:vAlign w:val="center"/>
          </w:tcPr>
          <w:p>
            <w:pPr>
              <w:topLinePunct/>
              <w:jc w:val="center"/>
              <w:rPr>
                <w:rFonts w:hint="eastAsia" w:ascii="宋体" w:hAnsi="宋体" w:eastAsia="宋体" w:cs="宋体"/>
                <w:color w:val="auto"/>
                <w:szCs w:val="21"/>
                <w:highlight w:val="none"/>
              </w:rPr>
            </w:pPr>
          </w:p>
        </w:tc>
        <w:tc>
          <w:tcPr>
            <w:tcW w:w="1343" w:type="dxa"/>
            <w:tcBorders>
              <w:top w:val="single" w:color="auto" w:sz="4" w:space="0"/>
              <w:left w:val="single" w:color="auto" w:sz="4" w:space="0"/>
              <w:bottom w:val="single" w:color="auto" w:sz="4" w:space="0"/>
              <w:right w:val="single" w:color="auto" w:sz="4" w:space="0"/>
            </w:tcBorders>
            <w:vAlign w:val="center"/>
          </w:tcPr>
          <w:p>
            <w:pPr>
              <w:topLinePun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tc>
        <w:tc>
          <w:tcPr>
            <w:tcW w:w="2443" w:type="dxa"/>
            <w:tcBorders>
              <w:top w:val="single" w:color="auto" w:sz="4" w:space="0"/>
              <w:left w:val="single" w:color="auto" w:sz="4" w:space="0"/>
              <w:bottom w:val="single" w:color="auto" w:sz="4" w:space="0"/>
              <w:right w:val="single" w:color="auto" w:sz="4" w:space="0"/>
            </w:tcBorders>
            <w:vAlign w:val="center"/>
          </w:tcPr>
          <w:p>
            <w:pPr>
              <w:topLinePun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136" w:type="dxa"/>
            <w:tcBorders>
              <w:top w:val="single" w:color="auto" w:sz="4" w:space="0"/>
              <w:left w:val="single" w:color="auto" w:sz="4" w:space="0"/>
              <w:bottom w:val="single" w:color="auto" w:sz="4" w:space="0"/>
              <w:right w:val="single" w:color="auto" w:sz="4" w:space="0"/>
            </w:tcBorders>
            <w:vAlign w:val="center"/>
          </w:tcPr>
          <w:p>
            <w:pPr>
              <w:topLinePun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投标人须知要求投标</w:t>
            </w:r>
          </w:p>
          <w:p>
            <w:pPr>
              <w:topLinePun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人需具有的各类资质</w:t>
            </w:r>
          </w:p>
          <w:p>
            <w:pPr>
              <w:topLinePun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证书</w:t>
            </w:r>
          </w:p>
        </w:tc>
        <w:tc>
          <w:tcPr>
            <w:tcW w:w="7136" w:type="dxa"/>
            <w:gridSpan w:val="4"/>
            <w:tcBorders>
              <w:top w:val="single" w:color="auto" w:sz="4" w:space="0"/>
              <w:left w:val="single" w:color="auto" w:sz="4" w:space="0"/>
              <w:bottom w:val="single" w:color="auto" w:sz="4" w:space="0"/>
              <w:right w:val="single" w:color="auto" w:sz="4" w:space="0"/>
            </w:tcBorders>
            <w:vAlign w:val="center"/>
          </w:tcPr>
          <w:p>
            <w:pPr>
              <w:topLinePunct/>
              <w:ind w:firstLine="105" w:firstLineChar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类型：                    等级：      证书号：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136" w:type="dxa"/>
            <w:tcBorders>
              <w:top w:val="single" w:color="auto" w:sz="4" w:space="0"/>
              <w:left w:val="single" w:color="auto" w:sz="4" w:space="0"/>
              <w:bottom w:val="single" w:color="auto" w:sz="4" w:space="0"/>
              <w:right w:val="single" w:color="auto" w:sz="4" w:space="0"/>
            </w:tcBorders>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基本账户开户银行</w:t>
            </w:r>
          </w:p>
        </w:tc>
        <w:tc>
          <w:tcPr>
            <w:tcW w:w="7136" w:type="dxa"/>
            <w:gridSpan w:val="4"/>
            <w:tcBorders>
              <w:top w:val="single" w:color="auto" w:sz="4" w:space="0"/>
              <w:left w:val="single" w:color="auto" w:sz="4" w:space="0"/>
              <w:bottom w:val="single" w:color="auto" w:sz="4" w:space="0"/>
              <w:right w:val="single" w:color="auto" w:sz="4" w:space="0"/>
            </w:tcBorders>
            <w:vAlign w:val="center"/>
          </w:tcPr>
          <w:p>
            <w:pPr>
              <w:topLinePunct/>
              <w:ind w:firstLine="105" w:firstLineChars="5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136" w:type="dxa"/>
            <w:tcBorders>
              <w:top w:val="single" w:color="auto" w:sz="4" w:space="0"/>
              <w:left w:val="single" w:color="auto" w:sz="4" w:space="0"/>
              <w:bottom w:val="single" w:color="auto" w:sz="4" w:space="0"/>
              <w:right w:val="single" w:color="auto" w:sz="4" w:space="0"/>
            </w:tcBorders>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基本账户银行账号</w:t>
            </w:r>
          </w:p>
        </w:tc>
        <w:tc>
          <w:tcPr>
            <w:tcW w:w="7136" w:type="dxa"/>
            <w:gridSpan w:val="4"/>
            <w:tcBorders>
              <w:top w:val="single" w:color="auto" w:sz="4" w:space="0"/>
              <w:left w:val="single" w:color="auto" w:sz="4" w:space="0"/>
              <w:bottom w:val="single" w:color="auto" w:sz="4" w:space="0"/>
              <w:right w:val="single" w:color="auto" w:sz="4" w:space="0"/>
            </w:tcBorders>
            <w:vAlign w:val="center"/>
          </w:tcPr>
          <w:p>
            <w:pPr>
              <w:topLinePunct/>
              <w:ind w:firstLine="105" w:firstLineChars="5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136" w:type="dxa"/>
            <w:tcBorders>
              <w:top w:val="single" w:color="auto" w:sz="4" w:space="0"/>
              <w:left w:val="single" w:color="auto" w:sz="4" w:space="0"/>
              <w:bottom w:val="single" w:color="auto" w:sz="4" w:space="0"/>
              <w:right w:val="single" w:color="auto" w:sz="4" w:space="0"/>
            </w:tcBorders>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近三年营业额</w:t>
            </w:r>
          </w:p>
        </w:tc>
        <w:tc>
          <w:tcPr>
            <w:tcW w:w="7136" w:type="dxa"/>
            <w:gridSpan w:val="4"/>
            <w:tcBorders>
              <w:top w:val="single" w:color="auto" w:sz="4" w:space="0"/>
              <w:left w:val="single" w:color="auto" w:sz="4" w:space="0"/>
              <w:bottom w:val="single" w:color="auto" w:sz="4" w:space="0"/>
              <w:right w:val="single" w:color="auto" w:sz="4" w:space="0"/>
            </w:tcBorders>
            <w:vAlign w:val="center"/>
          </w:tcPr>
          <w:p>
            <w:pPr>
              <w:topLinePunct/>
              <w:ind w:firstLine="105" w:firstLineChars="5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136" w:type="dxa"/>
            <w:tcBorders>
              <w:top w:val="single" w:color="auto" w:sz="4" w:space="0"/>
              <w:left w:val="single" w:color="auto" w:sz="4" w:space="0"/>
              <w:right w:val="single" w:color="auto" w:sz="4" w:space="0"/>
            </w:tcBorders>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投标人关联企业情况（包括但不限于与投</w:t>
            </w:r>
          </w:p>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标人法定代表人（单</w:t>
            </w:r>
          </w:p>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位负责人）为同一人</w:t>
            </w:r>
          </w:p>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或者存在控股、管理</w:t>
            </w:r>
          </w:p>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关系的不同单位）</w:t>
            </w:r>
          </w:p>
        </w:tc>
        <w:tc>
          <w:tcPr>
            <w:tcW w:w="7136" w:type="dxa"/>
            <w:gridSpan w:val="4"/>
            <w:tcBorders>
              <w:top w:val="single" w:color="auto" w:sz="4" w:space="0"/>
              <w:left w:val="single" w:color="auto" w:sz="4" w:space="0"/>
              <w:right w:val="single" w:color="auto" w:sz="4" w:space="0"/>
            </w:tcBorders>
            <w:vAlign w:val="center"/>
          </w:tcPr>
          <w:p>
            <w:pPr>
              <w:topLinePun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136" w:type="dxa"/>
            <w:tcBorders>
              <w:top w:val="single" w:color="auto" w:sz="4" w:space="0"/>
              <w:left w:val="single" w:color="auto" w:sz="4" w:space="0"/>
              <w:bottom w:val="single" w:color="auto" w:sz="4" w:space="0"/>
              <w:right w:val="single" w:color="auto" w:sz="4" w:space="0"/>
            </w:tcBorders>
            <w:vAlign w:val="center"/>
          </w:tcPr>
          <w:p>
            <w:pPr>
              <w:topLinePun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c>
          <w:tcPr>
            <w:tcW w:w="7136" w:type="dxa"/>
            <w:gridSpan w:val="4"/>
            <w:tcBorders>
              <w:top w:val="single" w:color="auto" w:sz="4" w:space="0"/>
              <w:left w:val="single" w:color="auto" w:sz="4" w:space="0"/>
              <w:bottom w:val="single" w:color="auto" w:sz="4" w:space="0"/>
              <w:right w:val="single" w:color="auto" w:sz="4" w:space="0"/>
            </w:tcBorders>
            <w:vAlign w:val="center"/>
          </w:tcPr>
          <w:p>
            <w:pPr>
              <w:topLinePunct/>
              <w:jc w:val="center"/>
              <w:rPr>
                <w:rFonts w:hint="eastAsia" w:ascii="宋体" w:hAnsi="宋体" w:eastAsia="宋体" w:cs="宋体"/>
                <w:color w:val="auto"/>
                <w:szCs w:val="21"/>
                <w:highlight w:val="none"/>
              </w:rPr>
            </w:pPr>
          </w:p>
        </w:tc>
      </w:tr>
    </w:tbl>
    <w:p>
      <w:pPr>
        <w:spacing w:before="260" w:after="260" w:line="416" w:lineRule="auto"/>
        <w:ind w:firstLine="137"/>
        <w:outlineLvl w:val="2"/>
        <w:rPr>
          <w:rFonts w:hint="eastAsia" w:ascii="宋体" w:hAnsi="宋体" w:eastAsia="宋体" w:cs="宋体"/>
          <w:b/>
          <w:bCs/>
          <w:color w:val="auto"/>
          <w:sz w:val="32"/>
          <w:szCs w:val="32"/>
          <w:highlight w:val="none"/>
        </w:rPr>
      </w:pPr>
    </w:p>
    <w:p>
      <w:pPr>
        <w:spacing w:line="360" w:lineRule="auto"/>
        <w:rPr>
          <w:rFonts w:hint="eastAsia" w:ascii="宋体" w:hAnsi="宋体" w:eastAsia="宋体" w:cs="宋体"/>
          <w:bCs/>
          <w:color w:val="auto"/>
          <w:sz w:val="28"/>
          <w:szCs w:val="32"/>
          <w:highlight w:val="none"/>
        </w:rPr>
      </w:pPr>
      <w:bookmarkStart w:id="195" w:name="_Toc520184751"/>
      <w:r>
        <w:rPr>
          <w:rFonts w:hint="eastAsia" w:ascii="宋体" w:hAnsi="宋体" w:eastAsia="宋体" w:cs="宋体"/>
          <w:bCs/>
          <w:color w:val="auto"/>
          <w:sz w:val="28"/>
          <w:szCs w:val="32"/>
          <w:highlight w:val="none"/>
        </w:rPr>
        <w:br w:type="page"/>
      </w:r>
      <w:bookmarkEnd w:id="195"/>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rPr>
        <w:t>）投标人声明格式</w:t>
      </w:r>
    </w:p>
    <w:p>
      <w:pPr>
        <w:spacing w:line="360" w:lineRule="auto"/>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投标人声明</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本招标项目招标人及招标监管机构：</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本公司就参加</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投标工作，作出郑重声明：</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一、本公司保证投标登记及其后提供的一切材料都是真实的。如我司成为本项目中标候选人，我司同意并授权招标人将我司</w:t>
      </w:r>
      <w:r>
        <w:rPr>
          <w:rFonts w:hint="eastAsia" w:ascii="宋体" w:hAnsi="宋体" w:eastAsia="宋体" w:cs="宋体"/>
          <w:b/>
          <w:bCs/>
          <w:color w:val="auto"/>
          <w:kern w:val="0"/>
          <w:sz w:val="24"/>
          <w:szCs w:val="24"/>
          <w:highlight w:val="none"/>
        </w:rPr>
        <w:t>投标文件商务部分的人员、业绩、奖项</w:t>
      </w:r>
      <w:r>
        <w:rPr>
          <w:rFonts w:hint="eastAsia" w:ascii="宋体" w:hAnsi="宋体" w:eastAsia="宋体" w:cs="宋体"/>
          <w:color w:val="auto"/>
          <w:kern w:val="0"/>
          <w:sz w:val="24"/>
          <w:szCs w:val="24"/>
          <w:highlight w:val="none"/>
        </w:rPr>
        <w:t>等资料进行公示。</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二、本公司保证不与其他单位围标、串标，不出让投标资格，不向招标人或评标委员会成员行贿。</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三、本公司及其有隶属关系的机构，没有参加本项目招标文件的编写工作；本公司与本次招标的招标代理机构没有隶属关系或其他利害关系。</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四</w:t>
      </w:r>
      <w:r>
        <w:rPr>
          <w:rFonts w:hint="eastAsia" w:ascii="宋体" w:hAnsi="宋体" w:eastAsia="宋体" w:cs="宋体"/>
          <w:color w:val="auto"/>
          <w:kern w:val="0"/>
          <w:sz w:val="24"/>
          <w:szCs w:val="24"/>
          <w:highlight w:val="none"/>
        </w:rPr>
        <w:t>、本公司承诺，中标后严格执行安全生产相关管理规定。</w:t>
      </w:r>
    </w:p>
    <w:p>
      <w:pPr>
        <w:snapToGrid w:val="0"/>
        <w:spacing w:line="360" w:lineRule="auto"/>
        <w:ind w:firstLine="480" w:firstLineChars="200"/>
        <w:rPr>
          <w:rFonts w:hint="eastAsia" w:ascii="宋体" w:hAnsi="宋体" w:eastAsia="宋体" w:cs="宋体"/>
          <w:color w:val="auto"/>
          <w:highlight w:val="none"/>
          <w:lang w:val="en-US" w:eastAsia="zh-CN"/>
        </w:rPr>
      </w:pPr>
      <w:r>
        <w:rPr>
          <w:rFonts w:hint="eastAsia" w:ascii="宋体" w:hAnsi="宋体" w:cs="宋体"/>
          <w:color w:val="auto"/>
          <w:kern w:val="0"/>
          <w:sz w:val="24"/>
          <w:szCs w:val="24"/>
          <w:highlight w:val="none"/>
          <w:u w:val="single"/>
          <w:lang w:val="en-US" w:eastAsia="zh-CN"/>
        </w:rPr>
        <w:t>五</w:t>
      </w:r>
      <w:r>
        <w:rPr>
          <w:rFonts w:hint="eastAsia" w:ascii="宋体" w:hAnsi="宋体" w:eastAsia="宋体" w:cs="宋体"/>
          <w:color w:val="auto"/>
          <w:kern w:val="0"/>
          <w:sz w:val="24"/>
          <w:szCs w:val="24"/>
          <w:highlight w:val="none"/>
          <w:u w:val="single"/>
          <w:lang w:val="en-US" w:eastAsia="zh-CN"/>
        </w:rPr>
        <w:t>、</w:t>
      </w:r>
      <w:r>
        <w:rPr>
          <w:rFonts w:hint="eastAsia" w:ascii="宋体" w:hAnsi="宋体" w:eastAsia="宋体" w:cs="宋体"/>
          <w:color w:val="auto"/>
          <w:kern w:val="0"/>
          <w:sz w:val="24"/>
          <w:szCs w:val="24"/>
          <w:highlight w:val="none"/>
          <w:u w:val="single"/>
        </w:rPr>
        <w:t>本公司承诺，</w:t>
      </w:r>
      <w:r>
        <w:rPr>
          <w:rFonts w:hint="eastAsia" w:ascii="宋体" w:hAnsi="宋体" w:eastAsia="宋体" w:cs="宋体"/>
          <w:color w:val="auto"/>
          <w:kern w:val="0"/>
          <w:sz w:val="24"/>
          <w:szCs w:val="24"/>
          <w:highlight w:val="none"/>
          <w:u w:val="single"/>
          <w:lang w:val="en-US" w:eastAsia="zh-CN"/>
        </w:rPr>
        <w:t>参加本招标项目前3年内，在经营活动中没有重大违法记录。</w:t>
      </w:r>
      <w:r>
        <w:rPr>
          <w:rFonts w:hint="eastAsia" w:ascii="宋体" w:hAnsi="宋体" w:cs="Times New Roman"/>
          <w:color w:val="auto"/>
          <w:sz w:val="24"/>
          <w:szCs w:val="24"/>
          <w:highlight w:val="none"/>
          <w:u w:val="single"/>
        </w:rPr>
        <w:t>重大违法记录，是指供应商因违法经营受到刑事处罚或者责令停产停业、吊销许可证或者执照、较大数额罚款等行政处罚。（根据财库〔2022〕3 号“较大数额罚款”认定为200万元以上的罚款，法律、行政法规以及国务院有关部门明确规定相关领域“较大数额罚款”标准高于200万元的，从其规定）。</w:t>
      </w:r>
    </w:p>
    <w:p>
      <w:pPr>
        <w:snapToGrid w:val="0"/>
        <w:spacing w:line="360" w:lineRule="auto"/>
        <w:ind w:firstLine="480" w:firstLineChars="200"/>
        <w:rPr>
          <w:rFonts w:hint="eastAsia" w:ascii="宋体" w:hAnsi="宋体" w:eastAsia="宋体" w:cs="宋体"/>
          <w:color w:val="auto"/>
          <w:kern w:val="0"/>
          <w:sz w:val="24"/>
          <w:szCs w:val="24"/>
          <w:highlight w:val="none"/>
          <w:u w:val="single"/>
        </w:rPr>
      </w:pPr>
      <w:r>
        <w:rPr>
          <w:rFonts w:hint="eastAsia" w:ascii="宋体" w:hAnsi="宋体" w:cs="宋体"/>
          <w:color w:val="auto"/>
          <w:kern w:val="0"/>
          <w:sz w:val="24"/>
          <w:szCs w:val="24"/>
          <w:highlight w:val="none"/>
          <w:u w:val="single"/>
          <w:lang w:val="en-US" w:eastAsia="zh-CN"/>
        </w:rPr>
        <w:t>六</w:t>
      </w:r>
      <w:r>
        <w:rPr>
          <w:rFonts w:hint="eastAsia" w:ascii="宋体" w:hAnsi="宋体" w:eastAsia="宋体" w:cs="宋体"/>
          <w:color w:val="auto"/>
          <w:kern w:val="0"/>
          <w:sz w:val="24"/>
          <w:szCs w:val="24"/>
          <w:highlight w:val="none"/>
          <w:u w:val="single"/>
          <w:lang w:val="en-US" w:eastAsia="zh-CN"/>
        </w:rPr>
        <w:t>、在本项目</w:t>
      </w:r>
      <w:r>
        <w:rPr>
          <w:rFonts w:hint="eastAsia" w:ascii="宋体" w:hAnsi="宋体" w:cs="宋体"/>
          <w:color w:val="auto"/>
          <w:kern w:val="0"/>
          <w:sz w:val="24"/>
          <w:szCs w:val="24"/>
          <w:highlight w:val="none"/>
          <w:u w:val="single"/>
          <w:lang w:val="en-US" w:eastAsia="zh-CN"/>
        </w:rPr>
        <w:t>投标截止时间前</w:t>
      </w:r>
      <w:r>
        <w:rPr>
          <w:rFonts w:hint="eastAsia" w:ascii="宋体" w:hAnsi="宋体" w:eastAsia="宋体" w:cs="宋体"/>
          <w:color w:val="auto"/>
          <w:kern w:val="0"/>
          <w:sz w:val="24"/>
          <w:szCs w:val="24"/>
          <w:highlight w:val="none"/>
          <w:u w:val="single"/>
          <w:lang w:val="en-US" w:eastAsia="zh-CN"/>
        </w:rPr>
        <w:t>，</w:t>
      </w:r>
      <w:r>
        <w:rPr>
          <w:rFonts w:hint="eastAsia" w:ascii="宋体" w:hAnsi="宋体" w:eastAsia="宋体" w:cs="宋体"/>
          <w:color w:val="auto"/>
          <w:kern w:val="0"/>
          <w:sz w:val="24"/>
          <w:szCs w:val="24"/>
          <w:highlight w:val="none"/>
          <w:u w:val="single"/>
        </w:rPr>
        <w:t>本公司未被列入“信用中国”网站(www.creditchina.gov.cn)“失信被执行人或重大税收违法失信主体”记录名单。</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本公司违反上述保证，或本声明陈述与事实不符，经查实，本公司愿意接受公开通报，承担由此带来的法律后果，并自愿停</w:t>
      </w:r>
      <w:r>
        <w:rPr>
          <w:rFonts w:ascii="宋体" w:hAnsi="宋体" w:eastAsia="宋体" w:cs="宋体"/>
          <w:color w:val="auto"/>
          <w:kern w:val="0"/>
          <w:sz w:val="24"/>
          <w:szCs w:val="24"/>
          <w:highlight w:val="none"/>
        </w:rPr>
        <w:t>止参加</w:t>
      </w:r>
      <w:r>
        <w:rPr>
          <w:rFonts w:hint="default" w:ascii="宋体" w:hAnsi="宋体" w:eastAsia="宋体" w:cs="宋体"/>
          <w:color w:val="auto"/>
          <w:kern w:val="0"/>
          <w:sz w:val="24"/>
          <w:szCs w:val="24"/>
          <w:highlight w:val="none"/>
          <w:lang w:val="en-US" w:eastAsia="zh-CN"/>
        </w:rPr>
        <w:t>潮州</w:t>
      </w:r>
      <w:r>
        <w:rPr>
          <w:rFonts w:ascii="宋体" w:hAnsi="宋体" w:eastAsia="宋体" w:cs="宋体"/>
          <w:color w:val="auto"/>
          <w:kern w:val="0"/>
          <w:sz w:val="24"/>
          <w:szCs w:val="24"/>
          <w:highlight w:val="none"/>
        </w:rPr>
        <w:t>市行政</w:t>
      </w:r>
      <w:r>
        <w:rPr>
          <w:rFonts w:hint="eastAsia" w:ascii="宋体" w:hAnsi="宋体" w:eastAsia="宋体" w:cs="宋体"/>
          <w:color w:val="auto"/>
          <w:kern w:val="0"/>
          <w:sz w:val="24"/>
          <w:szCs w:val="24"/>
          <w:highlight w:val="none"/>
        </w:rPr>
        <w:t>辖区内的招标投标活动三个月。</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特此声明。</w:t>
      </w:r>
    </w:p>
    <w:p>
      <w:pPr>
        <w:snapToGrid w:val="0"/>
        <w:spacing w:line="360" w:lineRule="auto"/>
        <w:ind w:firstLine="480" w:firstLineChars="200"/>
        <w:jc w:val="center"/>
        <w:rPr>
          <w:rFonts w:hint="eastAsia" w:ascii="宋体" w:hAnsi="宋体" w:eastAsia="宋体" w:cs="宋体"/>
          <w:color w:val="auto"/>
          <w:kern w:val="0"/>
          <w:sz w:val="24"/>
          <w:szCs w:val="24"/>
          <w:highlight w:val="none"/>
        </w:rPr>
      </w:pPr>
    </w:p>
    <w:p>
      <w:pPr>
        <w:snapToGrid w:val="0"/>
        <w:spacing w:line="360" w:lineRule="auto"/>
        <w:ind w:firstLine="480" w:firstLineChars="200"/>
        <w:jc w:val="center"/>
        <w:rPr>
          <w:rFonts w:hint="eastAsia" w:ascii="宋体" w:hAnsi="宋体" w:eastAsia="宋体" w:cs="宋体"/>
          <w:color w:val="auto"/>
          <w:kern w:val="0"/>
          <w:sz w:val="24"/>
          <w:szCs w:val="24"/>
          <w:highlight w:val="none"/>
        </w:rPr>
      </w:pPr>
    </w:p>
    <w:p>
      <w:pPr>
        <w:snapToGrid w:val="0"/>
        <w:spacing w:line="360" w:lineRule="auto"/>
        <w:ind w:firstLine="480" w:firstLineChars="20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声明企业：            (企业公章)</w:t>
      </w:r>
    </w:p>
    <w:p>
      <w:pPr>
        <w:snapToGrid w:val="0"/>
        <w:spacing w:line="360" w:lineRule="auto"/>
        <w:ind w:firstLine="480" w:firstLineChars="20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法定代表人签字或盖章：</w:t>
      </w:r>
    </w:p>
    <w:p>
      <w:pPr>
        <w:topLinePunct/>
        <w:adjustRightInd w:val="0"/>
        <w:snapToGrid w:val="0"/>
        <w:spacing w:line="360" w:lineRule="auto"/>
        <w:ind w:firstLine="480" w:firstLineChars="20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年   月   日</w:t>
      </w:r>
    </w:p>
    <w:p>
      <w:pP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br w:type="page"/>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三</w:t>
      </w:r>
      <w:r>
        <w:rPr>
          <w:rFonts w:hint="eastAsia" w:ascii="宋体" w:hAnsi="宋体" w:eastAsia="宋体" w:cs="宋体"/>
          <w:color w:val="auto"/>
          <w:sz w:val="24"/>
          <w:szCs w:val="24"/>
          <w:highlight w:val="none"/>
        </w:rPr>
        <w:t>）投标人认为应提交的其他资料</w:t>
      </w:r>
    </w:p>
    <w:p>
      <w:pPr>
        <w:ind w:firstLine="2520" w:firstLineChars="1050"/>
        <w:outlineLvl w:val="9"/>
        <w:rPr>
          <w:rFonts w:ascii="Times New Roman" w:hAnsi="Times New Roman"/>
          <w:b w:val="0"/>
          <w:color w:val="auto"/>
          <w:highlight w:val="none"/>
          <w:shd w:val="clear" w:color="auto" w:fill="FFFF00"/>
        </w:rPr>
      </w:pPr>
      <w:r>
        <w:rPr>
          <w:rFonts w:hint="eastAsia" w:ascii="宋体" w:hAnsi="宋体" w:eastAsia="宋体" w:cs="宋体"/>
          <w:color w:val="auto"/>
          <w:sz w:val="24"/>
          <w:szCs w:val="24"/>
          <w:highlight w:val="none"/>
        </w:rPr>
        <w:br w:type="page"/>
      </w:r>
      <w:r>
        <w:rPr>
          <w:rFonts w:hint="eastAsia" w:ascii="宋体" w:hAnsi="宋体" w:eastAsia="宋体" w:cs="宋体"/>
          <w:b/>
          <w:color w:val="auto"/>
          <w:kern w:val="0"/>
          <w:sz w:val="32"/>
          <w:szCs w:val="20"/>
          <w:highlight w:val="none"/>
          <w:lang w:val="en-US" w:eastAsia="zh-CN"/>
        </w:rPr>
        <w:t>七</w:t>
      </w:r>
      <w:r>
        <w:rPr>
          <w:rFonts w:hint="eastAsia" w:ascii="宋体" w:hAnsi="宋体" w:eastAsia="宋体" w:cs="宋体"/>
          <w:b/>
          <w:bCs w:val="0"/>
          <w:color w:val="auto"/>
          <w:kern w:val="0"/>
          <w:sz w:val="32"/>
          <w:szCs w:val="20"/>
          <w:highlight w:val="none"/>
          <w:lang w:val="en-US" w:eastAsia="zh-CN"/>
        </w:rPr>
        <w:t>、</w:t>
      </w:r>
      <w:r>
        <w:rPr>
          <w:rFonts w:hint="eastAsia" w:ascii="宋体" w:hAnsi="宋体" w:eastAsia="宋体" w:cs="宋体"/>
          <w:b/>
          <w:bCs w:val="0"/>
          <w:color w:val="auto"/>
          <w:kern w:val="0"/>
          <w:sz w:val="32"/>
          <w:szCs w:val="20"/>
          <w:highlight w:val="none"/>
        </w:rPr>
        <w:t>企业</w:t>
      </w:r>
      <w:r>
        <w:rPr>
          <w:rFonts w:hint="eastAsia" w:ascii="宋体" w:hAnsi="宋体" w:eastAsia="宋体" w:cs="宋体"/>
          <w:b/>
          <w:bCs w:val="0"/>
          <w:color w:val="auto"/>
          <w:kern w:val="0"/>
          <w:sz w:val="32"/>
          <w:szCs w:val="20"/>
          <w:highlight w:val="none"/>
          <w:lang w:val="en-US" w:eastAsia="zh-CN"/>
        </w:rPr>
        <w:t>商务</w:t>
      </w:r>
      <w:r>
        <w:rPr>
          <w:rFonts w:hint="eastAsia" w:ascii="宋体" w:hAnsi="宋体" w:eastAsia="宋体" w:cs="宋体"/>
          <w:b/>
          <w:bCs w:val="0"/>
          <w:color w:val="auto"/>
          <w:kern w:val="0"/>
          <w:sz w:val="32"/>
          <w:szCs w:val="20"/>
          <w:highlight w:val="none"/>
        </w:rPr>
        <w:t>部分资料</w:t>
      </w:r>
    </w:p>
    <w:p>
      <w:pPr>
        <w:tabs>
          <w:tab w:val="left" w:pos="720"/>
          <w:tab w:val="left" w:pos="864"/>
        </w:tabs>
        <w:jc w:val="center"/>
        <w:outlineLvl w:val="9"/>
        <w:rPr>
          <w:rFonts w:hint="eastAsia" w:ascii="宋体" w:hAnsi="宋体" w:eastAsia="宋体" w:cs="宋体"/>
          <w:bCs w:val="0"/>
          <w:color w:val="auto"/>
          <w:szCs w:val="20"/>
          <w:highlight w:val="none"/>
        </w:rPr>
      </w:pPr>
    </w:p>
    <w:p>
      <w:pPr>
        <w:tabs>
          <w:tab w:val="left" w:pos="720"/>
          <w:tab w:val="left" w:pos="864"/>
        </w:tabs>
        <w:jc w:val="center"/>
        <w:outlineLvl w:val="9"/>
        <w:rPr>
          <w:rFonts w:hint="eastAsia" w:ascii="宋体" w:hAnsi="宋体" w:eastAsia="宋体" w:cs="宋体"/>
          <w:bCs w:val="0"/>
          <w:color w:val="auto"/>
          <w:sz w:val="32"/>
          <w:szCs w:val="20"/>
          <w:highlight w:val="none"/>
          <w:lang w:eastAsia="zh-CN"/>
        </w:rPr>
      </w:pPr>
      <w:r>
        <w:rPr>
          <w:rFonts w:hint="eastAsia" w:ascii="宋体" w:hAnsi="宋体" w:cs="宋体"/>
          <w:bCs w:val="0"/>
          <w:color w:val="auto"/>
          <w:sz w:val="32"/>
          <w:szCs w:val="20"/>
          <w:highlight w:val="none"/>
          <w:lang w:eastAsia="zh-CN"/>
        </w:rPr>
        <w:t>（</w:t>
      </w:r>
      <w:r>
        <w:rPr>
          <w:rFonts w:hint="eastAsia" w:ascii="宋体" w:hAnsi="宋体" w:cs="宋体"/>
          <w:bCs w:val="0"/>
          <w:color w:val="auto"/>
          <w:sz w:val="32"/>
          <w:szCs w:val="20"/>
          <w:highlight w:val="none"/>
          <w:lang w:val="en-US" w:eastAsia="zh-CN"/>
        </w:rPr>
        <w:t>根据《评标办法前附表》第2.2.4（1）款“商务评分标准”的要求编写，投标人可以补充认为应提交的其他资料</w:t>
      </w:r>
      <w:r>
        <w:rPr>
          <w:rFonts w:hint="eastAsia" w:ascii="宋体" w:hAnsi="宋体" w:cs="宋体"/>
          <w:bCs w:val="0"/>
          <w:color w:val="auto"/>
          <w:sz w:val="32"/>
          <w:szCs w:val="20"/>
          <w:highlight w:val="none"/>
          <w:lang w:eastAsia="zh-CN"/>
        </w:rPr>
        <w:t>）</w:t>
      </w:r>
    </w:p>
    <w:p>
      <w:pPr>
        <w:ind w:firstLine="0" w:firstLineChars="0"/>
        <w:jc w:val="center"/>
        <w:outlineLvl w:val="9"/>
        <w:rPr>
          <w:rFonts w:hint="default" w:ascii="宋体" w:hAnsi="宋体" w:eastAsia="宋体" w:cs="宋体"/>
          <w:b/>
          <w:bCs w:val="0"/>
          <w:color w:val="auto"/>
          <w:kern w:val="0"/>
          <w:sz w:val="32"/>
          <w:szCs w:val="20"/>
          <w:highlight w:val="none"/>
          <w:lang w:val="en-US" w:eastAsia="zh-CN"/>
        </w:rPr>
      </w:pPr>
      <w:bookmarkStart w:id="196" w:name="_Toc520184757"/>
      <w:bookmarkStart w:id="197" w:name="_Toc22042"/>
      <w:bookmarkStart w:id="198" w:name="_Toc25513680"/>
      <w:bookmarkStart w:id="199" w:name="_Toc32434"/>
      <w:r>
        <w:rPr>
          <w:rFonts w:hint="eastAsia" w:ascii="宋体" w:hAnsi="宋体" w:eastAsia="宋体" w:cs="宋体"/>
          <w:b/>
          <w:bCs w:val="0"/>
          <w:color w:val="auto"/>
          <w:kern w:val="0"/>
          <w:sz w:val="32"/>
          <w:szCs w:val="20"/>
          <w:highlight w:val="none"/>
          <w:lang w:val="en-US"/>
        </w:rPr>
        <w:br w:type="page"/>
      </w:r>
      <w:r>
        <w:rPr>
          <w:rFonts w:hint="eastAsia" w:ascii="宋体" w:hAnsi="宋体" w:eastAsia="宋体" w:cs="宋体"/>
          <w:b/>
          <w:bCs w:val="0"/>
          <w:color w:val="auto"/>
          <w:kern w:val="0"/>
          <w:sz w:val="32"/>
          <w:szCs w:val="20"/>
          <w:highlight w:val="none"/>
          <w:lang w:val="en-US" w:eastAsia="zh-CN"/>
        </w:rPr>
        <w:t>八</w:t>
      </w:r>
      <w:r>
        <w:rPr>
          <w:rFonts w:hint="eastAsia" w:ascii="宋体" w:hAnsi="宋体" w:eastAsia="宋体" w:cs="宋体"/>
          <w:b/>
          <w:bCs w:val="0"/>
          <w:color w:val="auto"/>
          <w:kern w:val="0"/>
          <w:sz w:val="32"/>
          <w:szCs w:val="20"/>
          <w:highlight w:val="none"/>
        </w:rPr>
        <w:t>、</w:t>
      </w:r>
      <w:bookmarkEnd w:id="196"/>
      <w:r>
        <w:rPr>
          <w:rFonts w:hint="eastAsia" w:ascii="宋体" w:hAnsi="宋体" w:cs="宋体"/>
          <w:b/>
          <w:color w:val="auto"/>
          <w:kern w:val="0"/>
          <w:sz w:val="32"/>
          <w:szCs w:val="20"/>
          <w:highlight w:val="none"/>
        </w:rPr>
        <w:t>企业技术部分资料（包括但不限于投标设备技术性能指标的详细描述及技术支持资料等）</w:t>
      </w:r>
      <w:bookmarkEnd w:id="197"/>
      <w:bookmarkEnd w:id="198"/>
      <w:bookmarkEnd w:id="199"/>
    </w:p>
    <w:p>
      <w:pPr>
        <w:tabs>
          <w:tab w:val="left" w:pos="720"/>
          <w:tab w:val="left" w:pos="864"/>
        </w:tabs>
        <w:jc w:val="center"/>
        <w:outlineLvl w:val="9"/>
        <w:rPr>
          <w:rFonts w:hint="eastAsia" w:ascii="宋体" w:hAnsi="宋体" w:cs="宋体"/>
          <w:bCs w:val="0"/>
          <w:color w:val="auto"/>
          <w:sz w:val="32"/>
          <w:szCs w:val="20"/>
          <w:highlight w:val="none"/>
          <w:lang w:eastAsia="zh-CN"/>
        </w:rPr>
      </w:pPr>
      <w:bookmarkStart w:id="200" w:name="_Toc7454687"/>
      <w:bookmarkStart w:id="201" w:name="_Toc21972"/>
    </w:p>
    <w:p>
      <w:pPr>
        <w:tabs>
          <w:tab w:val="left" w:pos="720"/>
          <w:tab w:val="left" w:pos="864"/>
        </w:tabs>
        <w:jc w:val="center"/>
        <w:outlineLvl w:val="9"/>
        <w:rPr>
          <w:rFonts w:hint="eastAsia" w:ascii="宋体" w:hAnsi="宋体" w:eastAsia="宋体" w:cs="宋体"/>
          <w:bCs w:val="0"/>
          <w:color w:val="auto"/>
          <w:sz w:val="32"/>
          <w:szCs w:val="20"/>
          <w:highlight w:val="none"/>
          <w:lang w:eastAsia="zh-CN"/>
        </w:rPr>
      </w:pPr>
      <w:r>
        <w:rPr>
          <w:rFonts w:hint="eastAsia" w:ascii="宋体" w:hAnsi="宋体" w:cs="宋体"/>
          <w:bCs w:val="0"/>
          <w:color w:val="auto"/>
          <w:sz w:val="32"/>
          <w:szCs w:val="20"/>
          <w:highlight w:val="none"/>
          <w:lang w:eastAsia="zh-CN"/>
        </w:rPr>
        <w:t>（</w:t>
      </w:r>
      <w:r>
        <w:rPr>
          <w:rFonts w:hint="eastAsia" w:ascii="宋体" w:hAnsi="宋体" w:cs="宋体"/>
          <w:bCs w:val="0"/>
          <w:color w:val="auto"/>
          <w:sz w:val="32"/>
          <w:szCs w:val="20"/>
          <w:highlight w:val="none"/>
          <w:lang w:val="en-US" w:eastAsia="zh-CN"/>
        </w:rPr>
        <w:t>根据《评标办法前附表》第2.2.3款“响应性评审标准”的“投标设备及技术服务和质保期服务”、第2.2.4（2）款“技术评分标准”等要求编写，投标人可以补充认为应提交的其他资料</w:t>
      </w:r>
      <w:r>
        <w:rPr>
          <w:rFonts w:hint="eastAsia" w:ascii="宋体" w:hAnsi="宋体" w:cs="宋体"/>
          <w:bCs w:val="0"/>
          <w:color w:val="auto"/>
          <w:sz w:val="32"/>
          <w:szCs w:val="20"/>
          <w:highlight w:val="none"/>
          <w:lang w:eastAsia="zh-CN"/>
        </w:rPr>
        <w:t>）</w:t>
      </w:r>
    </w:p>
    <w:p>
      <w:pPr>
        <w:keepNext/>
        <w:keepLines/>
        <w:widowControl/>
        <w:spacing w:line="360" w:lineRule="auto"/>
        <w:ind w:firstLine="0"/>
        <w:jc w:val="center"/>
        <w:outlineLvl w:val="9"/>
        <w:rPr>
          <w:rFonts w:hint="eastAsia" w:ascii="宋体" w:hAnsi="宋体" w:eastAsia="宋体" w:cs="宋体"/>
          <w:b/>
          <w:color w:val="auto"/>
          <w:kern w:val="0"/>
          <w:sz w:val="32"/>
          <w:szCs w:val="20"/>
          <w:highlight w:val="none"/>
        </w:rPr>
      </w:pPr>
      <w:r>
        <w:rPr>
          <w:rFonts w:hint="eastAsia" w:ascii="宋体" w:hAnsi="宋体" w:eastAsia="宋体" w:cs="宋体"/>
          <w:color w:val="auto"/>
          <w:kern w:val="0"/>
          <w:sz w:val="32"/>
          <w:szCs w:val="20"/>
          <w:highlight w:val="none"/>
        </w:rPr>
        <w:br w:type="page"/>
      </w:r>
      <w:bookmarkStart w:id="202" w:name="_Toc12367"/>
      <w:bookmarkStart w:id="203" w:name="_Toc16925"/>
      <w:bookmarkStart w:id="204" w:name="_Toc25513683"/>
      <w:r>
        <w:rPr>
          <w:rFonts w:hint="eastAsia" w:ascii="宋体" w:hAnsi="宋体" w:eastAsia="宋体" w:cs="宋体"/>
          <w:b/>
          <w:color w:val="auto"/>
          <w:kern w:val="0"/>
          <w:sz w:val="32"/>
          <w:szCs w:val="20"/>
          <w:highlight w:val="none"/>
          <w:lang w:val="en-US" w:eastAsia="zh-CN"/>
        </w:rPr>
        <w:t>九</w:t>
      </w:r>
      <w:r>
        <w:rPr>
          <w:rFonts w:hint="eastAsia" w:ascii="宋体" w:hAnsi="宋体" w:eastAsia="宋体" w:cs="宋体"/>
          <w:b/>
          <w:color w:val="auto"/>
          <w:kern w:val="0"/>
          <w:sz w:val="32"/>
          <w:szCs w:val="20"/>
          <w:highlight w:val="none"/>
        </w:rPr>
        <w:t>、其他资料</w:t>
      </w:r>
      <w:bookmarkEnd w:id="200"/>
      <w:bookmarkEnd w:id="201"/>
      <w:bookmarkEnd w:id="202"/>
      <w:bookmarkEnd w:id="203"/>
      <w:bookmarkEnd w:id="204"/>
    </w:p>
    <w:p>
      <w:pPr>
        <w:widowControl/>
        <w:tabs>
          <w:tab w:val="center" w:pos="4320"/>
          <w:tab w:val="center" w:pos="8723"/>
        </w:tabs>
        <w:spacing w:line="360" w:lineRule="auto"/>
        <w:ind w:firstLine="0"/>
        <w:rPr>
          <w:rFonts w:hint="eastAsia" w:ascii="宋体" w:hAnsi="宋体" w:eastAsia="宋体" w:cs="宋体"/>
          <w:color w:val="auto"/>
          <w:highlight w:val="none"/>
        </w:rPr>
      </w:pPr>
    </w:p>
    <w:sectPr>
      <w:footerReference r:id="rId13" w:type="first"/>
      <w:footerReference r:id="rId11" w:type="default"/>
      <w:footerReference r:id="rId12" w:type="even"/>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New Roman Bold">
    <w:altName w:val="Times New Roman"/>
    <w:panose1 w:val="02020803070505020304"/>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p>
  <w:p>
    <w:pPr>
      <w:pStyle w:val="22"/>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right" w:y="1"/>
      <w:rPr>
        <w:rStyle w:val="37"/>
      </w:rPr>
    </w:pPr>
    <w:r>
      <w:fldChar w:fldCharType="begin"/>
    </w:r>
    <w:r>
      <w:rPr>
        <w:rStyle w:val="37"/>
      </w:rPr>
      <w:instrText xml:space="preserve">PAGE  </w:instrText>
    </w:r>
    <w:r>
      <w:fldChar w:fldCharType="end"/>
    </w:r>
  </w:p>
  <w:p>
    <w:pPr>
      <w:pStyle w:val="22"/>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pfMzM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yl8zMyQEAAJkDAAAOAAAAAAAAAAEAIAAAAB4BAABkcnMvZTJvRG9j&#10;LnhtbFBLBQYAAAAABgAGAFkBAABZBQAAAAA=&#10;">
              <v:fill on="f" focussize="0,0"/>
              <v:stroke on="f"/>
              <v:imagedata o:title=""/>
              <o:lock v:ext="edit" aspectratio="f"/>
              <v:textbox inset="0mm,0mm,0mm,0mm" style="mso-fit-shape-to-text:t;">
                <w:txbxContent>
                  <w:p>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6" w:lineRule="auto"/>
      <w:ind w:left="4232"/>
      <w:rPr>
        <w:rFonts w:ascii="Calibri" w:hAnsi="Calibri" w:eastAsia="Calibri" w:cs="Calibri"/>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6" w:lineRule="auto"/>
      <w:ind w:left="4232"/>
      <w:rPr>
        <w:rFonts w:ascii="Calibri" w:hAnsi="Calibri" w:eastAsia="Calibri" w:cs="Calibri"/>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2"/>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6" w:lineRule="auto"/>
      <w:ind w:left="4352"/>
      <w:rPr>
        <w:rFonts w:ascii="Calibri" w:hAnsi="Calibri" w:eastAsia="Calibri" w:cs="Calibri"/>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pPr>
                      <w:pStyle w:val="22"/>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7" w:lineRule="auto"/>
      <w:ind w:left="4239"/>
      <w:rPr>
        <w:rFonts w:ascii="Calibri" w:hAnsi="Calibri" w:eastAsia="Calibri" w:cs="Calibri"/>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pPr>
                      <w:pStyle w:val="22"/>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6" w:lineRule="auto"/>
      <w:ind w:left="4232"/>
      <w:rPr>
        <w:rFonts w:ascii="Calibri" w:hAnsi="Calibri" w:eastAsia="Calibri" w:cs="Calibri"/>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pPr>
                      <w:pStyle w:val="22"/>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6" w:lineRule="auto"/>
      <w:ind w:left="4238"/>
      <w:rPr>
        <w:rFonts w:ascii="Calibri" w:hAnsi="Calibri" w:eastAsia="Calibri" w:cs="Calibri"/>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pPr>
                      <w:pStyle w:val="22"/>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6" w:lineRule="auto"/>
      <w:ind w:left="4233"/>
      <w:rPr>
        <w:rFonts w:ascii="Calibri" w:hAnsi="Calibri" w:eastAsia="Calibri" w:cs="Calibri"/>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22"/>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2"/>
                            <w:jc w:val="center"/>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cUoWg3gEAAL4DAAAOAAAAAAAA&#10;AAEAIAAAAB4BAABkcnMvZTJvRG9jLnhtbFBLBQYAAAAABgAGAFkBAABuBQAAAAA=&#10;">
              <v:fill on="f" focussize="0,0"/>
              <v:stroke on="f"/>
              <v:imagedata o:title=""/>
              <o:lock v:ext="edit" aspectratio="f"/>
              <v:textbox inset="0mm,0mm,0mm,0mm" style="mso-fit-shape-to-text:t;">
                <w:txbxContent>
                  <w:p>
                    <w:pPr>
                      <w:pStyle w:val="22"/>
                      <w:jc w:val="center"/>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79092C"/>
    <w:multiLevelType w:val="singleLevel"/>
    <w:tmpl w:val="AB79092C"/>
    <w:lvl w:ilvl="0" w:tentative="0">
      <w:start w:val="1"/>
      <w:numFmt w:val="decimal"/>
      <w:suff w:val="space"/>
      <w:lvlText w:val="%1."/>
      <w:lvlJc w:val="left"/>
    </w:lvl>
  </w:abstractNum>
  <w:abstractNum w:abstractNumId="1">
    <w:nsid w:val="1579A7BF"/>
    <w:multiLevelType w:val="singleLevel"/>
    <w:tmpl w:val="1579A7BF"/>
    <w:lvl w:ilvl="0" w:tentative="0">
      <w:start w:val="1"/>
      <w:numFmt w:val="decimal"/>
      <w:suff w:val="nothing"/>
      <w:lvlText w:val="%1．"/>
      <w:lvlJc w:val="left"/>
      <w:pPr>
        <w:ind w:left="0" w:firstLine="4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lODQ5MzQ1ZWFlZWNkOWFhOWI3MmEwMjc5YTljZTAifQ=="/>
  </w:docVars>
  <w:rsids>
    <w:rsidRoot w:val="005F7120"/>
    <w:rsid w:val="00001C8B"/>
    <w:rsid w:val="00006B54"/>
    <w:rsid w:val="00007832"/>
    <w:rsid w:val="00026188"/>
    <w:rsid w:val="00040C4D"/>
    <w:rsid w:val="00045D9C"/>
    <w:rsid w:val="000539EF"/>
    <w:rsid w:val="00067F27"/>
    <w:rsid w:val="000734C8"/>
    <w:rsid w:val="00083B1E"/>
    <w:rsid w:val="000A17A7"/>
    <w:rsid w:val="000A3CD7"/>
    <w:rsid w:val="000B509C"/>
    <w:rsid w:val="000C101B"/>
    <w:rsid w:val="000D4DDC"/>
    <w:rsid w:val="000E4692"/>
    <w:rsid w:val="000E5C55"/>
    <w:rsid w:val="000F1C6D"/>
    <w:rsid w:val="000F2DA5"/>
    <w:rsid w:val="00101D3D"/>
    <w:rsid w:val="0011262C"/>
    <w:rsid w:val="00113868"/>
    <w:rsid w:val="00136855"/>
    <w:rsid w:val="001562DC"/>
    <w:rsid w:val="001576FF"/>
    <w:rsid w:val="00157728"/>
    <w:rsid w:val="00176809"/>
    <w:rsid w:val="00186BF0"/>
    <w:rsid w:val="00194736"/>
    <w:rsid w:val="001A1A7C"/>
    <w:rsid w:val="001D2AE7"/>
    <w:rsid w:val="001D61EB"/>
    <w:rsid w:val="001D7E37"/>
    <w:rsid w:val="001E786B"/>
    <w:rsid w:val="001E7C98"/>
    <w:rsid w:val="001F1BDC"/>
    <w:rsid w:val="00204886"/>
    <w:rsid w:val="00205540"/>
    <w:rsid w:val="0020715B"/>
    <w:rsid w:val="00214807"/>
    <w:rsid w:val="0022709A"/>
    <w:rsid w:val="002304B2"/>
    <w:rsid w:val="00244115"/>
    <w:rsid w:val="0024481D"/>
    <w:rsid w:val="00246946"/>
    <w:rsid w:val="00251B2E"/>
    <w:rsid w:val="00265145"/>
    <w:rsid w:val="00280D81"/>
    <w:rsid w:val="002822AA"/>
    <w:rsid w:val="00284E45"/>
    <w:rsid w:val="002927AC"/>
    <w:rsid w:val="002932D3"/>
    <w:rsid w:val="00295B74"/>
    <w:rsid w:val="002A7DE0"/>
    <w:rsid w:val="002C66BD"/>
    <w:rsid w:val="003002B3"/>
    <w:rsid w:val="00301239"/>
    <w:rsid w:val="00302E24"/>
    <w:rsid w:val="0031305E"/>
    <w:rsid w:val="003304E2"/>
    <w:rsid w:val="00340780"/>
    <w:rsid w:val="003436AE"/>
    <w:rsid w:val="00367645"/>
    <w:rsid w:val="00371014"/>
    <w:rsid w:val="00382F2E"/>
    <w:rsid w:val="0038517B"/>
    <w:rsid w:val="00385D17"/>
    <w:rsid w:val="00394ECB"/>
    <w:rsid w:val="003B6EC4"/>
    <w:rsid w:val="003C0A5D"/>
    <w:rsid w:val="003C7E51"/>
    <w:rsid w:val="003D0342"/>
    <w:rsid w:val="003E7180"/>
    <w:rsid w:val="003F3298"/>
    <w:rsid w:val="003F34F2"/>
    <w:rsid w:val="003F5D64"/>
    <w:rsid w:val="004041E2"/>
    <w:rsid w:val="004157AD"/>
    <w:rsid w:val="00415C12"/>
    <w:rsid w:val="00431205"/>
    <w:rsid w:val="00437585"/>
    <w:rsid w:val="00441284"/>
    <w:rsid w:val="00446580"/>
    <w:rsid w:val="00450531"/>
    <w:rsid w:val="00457C75"/>
    <w:rsid w:val="00464658"/>
    <w:rsid w:val="00474641"/>
    <w:rsid w:val="00480D40"/>
    <w:rsid w:val="004962E6"/>
    <w:rsid w:val="004A6DC6"/>
    <w:rsid w:val="004B073C"/>
    <w:rsid w:val="004B2627"/>
    <w:rsid w:val="004B65B1"/>
    <w:rsid w:val="004C1410"/>
    <w:rsid w:val="004C6005"/>
    <w:rsid w:val="004D7736"/>
    <w:rsid w:val="004E188B"/>
    <w:rsid w:val="004E58E4"/>
    <w:rsid w:val="004E60EE"/>
    <w:rsid w:val="00507154"/>
    <w:rsid w:val="00526CB0"/>
    <w:rsid w:val="00530C1E"/>
    <w:rsid w:val="00533122"/>
    <w:rsid w:val="00550A13"/>
    <w:rsid w:val="00552C37"/>
    <w:rsid w:val="005553CC"/>
    <w:rsid w:val="005565E7"/>
    <w:rsid w:val="005634C4"/>
    <w:rsid w:val="005642DF"/>
    <w:rsid w:val="0058019B"/>
    <w:rsid w:val="00581461"/>
    <w:rsid w:val="00584F45"/>
    <w:rsid w:val="0059320E"/>
    <w:rsid w:val="00597C76"/>
    <w:rsid w:val="005A31A2"/>
    <w:rsid w:val="005A3978"/>
    <w:rsid w:val="005A770B"/>
    <w:rsid w:val="005A7DC1"/>
    <w:rsid w:val="005B36CD"/>
    <w:rsid w:val="005C0D93"/>
    <w:rsid w:val="005F7120"/>
    <w:rsid w:val="00611F2D"/>
    <w:rsid w:val="0061213B"/>
    <w:rsid w:val="00614094"/>
    <w:rsid w:val="006224CE"/>
    <w:rsid w:val="00624E6C"/>
    <w:rsid w:val="00626004"/>
    <w:rsid w:val="00634F3D"/>
    <w:rsid w:val="00636165"/>
    <w:rsid w:val="006405A6"/>
    <w:rsid w:val="0064399D"/>
    <w:rsid w:val="0064589B"/>
    <w:rsid w:val="00646EC5"/>
    <w:rsid w:val="00650B3D"/>
    <w:rsid w:val="006510ED"/>
    <w:rsid w:val="00653C23"/>
    <w:rsid w:val="00683966"/>
    <w:rsid w:val="00686EE2"/>
    <w:rsid w:val="006960B9"/>
    <w:rsid w:val="006A58A7"/>
    <w:rsid w:val="006C7EBA"/>
    <w:rsid w:val="006D0CF3"/>
    <w:rsid w:val="006D6234"/>
    <w:rsid w:val="006E17FA"/>
    <w:rsid w:val="006E4010"/>
    <w:rsid w:val="0070387C"/>
    <w:rsid w:val="007069BB"/>
    <w:rsid w:val="00712EB2"/>
    <w:rsid w:val="0072648F"/>
    <w:rsid w:val="007310FA"/>
    <w:rsid w:val="00731642"/>
    <w:rsid w:val="007361C8"/>
    <w:rsid w:val="00750560"/>
    <w:rsid w:val="0075323E"/>
    <w:rsid w:val="00753403"/>
    <w:rsid w:val="00753BB7"/>
    <w:rsid w:val="0077061B"/>
    <w:rsid w:val="00773195"/>
    <w:rsid w:val="00786A0C"/>
    <w:rsid w:val="00791D23"/>
    <w:rsid w:val="00797E61"/>
    <w:rsid w:val="007A1B96"/>
    <w:rsid w:val="007A3868"/>
    <w:rsid w:val="007B2EB5"/>
    <w:rsid w:val="007C0859"/>
    <w:rsid w:val="007C6B22"/>
    <w:rsid w:val="007C770E"/>
    <w:rsid w:val="007F3C81"/>
    <w:rsid w:val="00803716"/>
    <w:rsid w:val="0080444E"/>
    <w:rsid w:val="008069E1"/>
    <w:rsid w:val="008070D2"/>
    <w:rsid w:val="0081470F"/>
    <w:rsid w:val="00814B47"/>
    <w:rsid w:val="0082012C"/>
    <w:rsid w:val="00821554"/>
    <w:rsid w:val="008253DE"/>
    <w:rsid w:val="00830189"/>
    <w:rsid w:val="008401D3"/>
    <w:rsid w:val="008418D9"/>
    <w:rsid w:val="008452D6"/>
    <w:rsid w:val="00860821"/>
    <w:rsid w:val="00861105"/>
    <w:rsid w:val="0087019C"/>
    <w:rsid w:val="0087034A"/>
    <w:rsid w:val="008812B7"/>
    <w:rsid w:val="008911EF"/>
    <w:rsid w:val="008A0696"/>
    <w:rsid w:val="008A3715"/>
    <w:rsid w:val="008A7A82"/>
    <w:rsid w:val="008B169E"/>
    <w:rsid w:val="008C162B"/>
    <w:rsid w:val="008C19A9"/>
    <w:rsid w:val="008D758C"/>
    <w:rsid w:val="008E315C"/>
    <w:rsid w:val="008E4638"/>
    <w:rsid w:val="008E5213"/>
    <w:rsid w:val="008E7DEF"/>
    <w:rsid w:val="008F535C"/>
    <w:rsid w:val="00903330"/>
    <w:rsid w:val="009076DF"/>
    <w:rsid w:val="00907815"/>
    <w:rsid w:val="00914226"/>
    <w:rsid w:val="00932686"/>
    <w:rsid w:val="00932DF0"/>
    <w:rsid w:val="00941764"/>
    <w:rsid w:val="0094608C"/>
    <w:rsid w:val="00950597"/>
    <w:rsid w:val="00951600"/>
    <w:rsid w:val="00986EFA"/>
    <w:rsid w:val="009927F3"/>
    <w:rsid w:val="009A69DB"/>
    <w:rsid w:val="009B6530"/>
    <w:rsid w:val="009C32FE"/>
    <w:rsid w:val="009D2BDE"/>
    <w:rsid w:val="009E4294"/>
    <w:rsid w:val="009E5EE6"/>
    <w:rsid w:val="009E6743"/>
    <w:rsid w:val="009E763C"/>
    <w:rsid w:val="009F3F5C"/>
    <w:rsid w:val="00A0301B"/>
    <w:rsid w:val="00A03EE9"/>
    <w:rsid w:val="00A11D84"/>
    <w:rsid w:val="00A146D6"/>
    <w:rsid w:val="00A154AA"/>
    <w:rsid w:val="00A3121D"/>
    <w:rsid w:val="00A412F8"/>
    <w:rsid w:val="00A45FAC"/>
    <w:rsid w:val="00A47380"/>
    <w:rsid w:val="00A564C1"/>
    <w:rsid w:val="00A64E3E"/>
    <w:rsid w:val="00A65B10"/>
    <w:rsid w:val="00A66CFF"/>
    <w:rsid w:val="00A7012E"/>
    <w:rsid w:val="00A71EAE"/>
    <w:rsid w:val="00A812DB"/>
    <w:rsid w:val="00A94751"/>
    <w:rsid w:val="00AA7665"/>
    <w:rsid w:val="00AA7AB7"/>
    <w:rsid w:val="00AB1C88"/>
    <w:rsid w:val="00AB630E"/>
    <w:rsid w:val="00AB7A6D"/>
    <w:rsid w:val="00AC0ECB"/>
    <w:rsid w:val="00AD3439"/>
    <w:rsid w:val="00AE3BC6"/>
    <w:rsid w:val="00AE4E67"/>
    <w:rsid w:val="00AE5583"/>
    <w:rsid w:val="00AE6378"/>
    <w:rsid w:val="00AF1832"/>
    <w:rsid w:val="00AF63AB"/>
    <w:rsid w:val="00B0109D"/>
    <w:rsid w:val="00B30420"/>
    <w:rsid w:val="00B3656F"/>
    <w:rsid w:val="00B44078"/>
    <w:rsid w:val="00B44AE3"/>
    <w:rsid w:val="00B529C3"/>
    <w:rsid w:val="00B63E62"/>
    <w:rsid w:val="00B64D4C"/>
    <w:rsid w:val="00B72655"/>
    <w:rsid w:val="00B76EED"/>
    <w:rsid w:val="00B81A96"/>
    <w:rsid w:val="00B8758B"/>
    <w:rsid w:val="00BA204F"/>
    <w:rsid w:val="00BB52D4"/>
    <w:rsid w:val="00BB57E0"/>
    <w:rsid w:val="00BC4404"/>
    <w:rsid w:val="00BC5CFD"/>
    <w:rsid w:val="00BC79D3"/>
    <w:rsid w:val="00BD0230"/>
    <w:rsid w:val="00BD242E"/>
    <w:rsid w:val="00BD2F41"/>
    <w:rsid w:val="00BD3283"/>
    <w:rsid w:val="00BE07D7"/>
    <w:rsid w:val="00BE105C"/>
    <w:rsid w:val="00BF726B"/>
    <w:rsid w:val="00C00872"/>
    <w:rsid w:val="00C110F1"/>
    <w:rsid w:val="00C15D04"/>
    <w:rsid w:val="00C452E9"/>
    <w:rsid w:val="00C601FA"/>
    <w:rsid w:val="00C67199"/>
    <w:rsid w:val="00C77E4D"/>
    <w:rsid w:val="00C8350B"/>
    <w:rsid w:val="00C9544A"/>
    <w:rsid w:val="00CA0E18"/>
    <w:rsid w:val="00CA50BC"/>
    <w:rsid w:val="00CA6A83"/>
    <w:rsid w:val="00CA6FC6"/>
    <w:rsid w:val="00CA712F"/>
    <w:rsid w:val="00CB2F50"/>
    <w:rsid w:val="00CC64B4"/>
    <w:rsid w:val="00CC660A"/>
    <w:rsid w:val="00CC77D6"/>
    <w:rsid w:val="00CD69C1"/>
    <w:rsid w:val="00CE6ED8"/>
    <w:rsid w:val="00CF0C7B"/>
    <w:rsid w:val="00CF714A"/>
    <w:rsid w:val="00CF7F80"/>
    <w:rsid w:val="00D03C09"/>
    <w:rsid w:val="00D04112"/>
    <w:rsid w:val="00D10787"/>
    <w:rsid w:val="00D20B6B"/>
    <w:rsid w:val="00D226C8"/>
    <w:rsid w:val="00D267CE"/>
    <w:rsid w:val="00D33D14"/>
    <w:rsid w:val="00D3436E"/>
    <w:rsid w:val="00D37679"/>
    <w:rsid w:val="00D406C8"/>
    <w:rsid w:val="00D45D3A"/>
    <w:rsid w:val="00D5221A"/>
    <w:rsid w:val="00D52978"/>
    <w:rsid w:val="00D57D10"/>
    <w:rsid w:val="00D75F6C"/>
    <w:rsid w:val="00D97979"/>
    <w:rsid w:val="00DC1990"/>
    <w:rsid w:val="00DC327D"/>
    <w:rsid w:val="00DC3609"/>
    <w:rsid w:val="00DE6FAB"/>
    <w:rsid w:val="00DF6AAC"/>
    <w:rsid w:val="00E05176"/>
    <w:rsid w:val="00E1073E"/>
    <w:rsid w:val="00E2276E"/>
    <w:rsid w:val="00E313B1"/>
    <w:rsid w:val="00E3291C"/>
    <w:rsid w:val="00E36C67"/>
    <w:rsid w:val="00E4652D"/>
    <w:rsid w:val="00E477BB"/>
    <w:rsid w:val="00E542E9"/>
    <w:rsid w:val="00E60502"/>
    <w:rsid w:val="00E61485"/>
    <w:rsid w:val="00E67F0A"/>
    <w:rsid w:val="00E702BE"/>
    <w:rsid w:val="00E707B6"/>
    <w:rsid w:val="00E708F5"/>
    <w:rsid w:val="00E70A59"/>
    <w:rsid w:val="00E70D0D"/>
    <w:rsid w:val="00E7294A"/>
    <w:rsid w:val="00E81B9D"/>
    <w:rsid w:val="00E852CC"/>
    <w:rsid w:val="00EA5620"/>
    <w:rsid w:val="00EB21EE"/>
    <w:rsid w:val="00EC5F51"/>
    <w:rsid w:val="00ED2578"/>
    <w:rsid w:val="00ED7014"/>
    <w:rsid w:val="00EE458B"/>
    <w:rsid w:val="00EE5101"/>
    <w:rsid w:val="00EF7B53"/>
    <w:rsid w:val="00F0259A"/>
    <w:rsid w:val="00F16447"/>
    <w:rsid w:val="00F24B23"/>
    <w:rsid w:val="00F3128A"/>
    <w:rsid w:val="00F31D7B"/>
    <w:rsid w:val="00F711D3"/>
    <w:rsid w:val="00F92DB2"/>
    <w:rsid w:val="00F95B1E"/>
    <w:rsid w:val="00FA1163"/>
    <w:rsid w:val="00FB1ADB"/>
    <w:rsid w:val="00FB2AF3"/>
    <w:rsid w:val="00FE2794"/>
    <w:rsid w:val="01B24313"/>
    <w:rsid w:val="042B5143"/>
    <w:rsid w:val="04684A19"/>
    <w:rsid w:val="049F77B2"/>
    <w:rsid w:val="05770C06"/>
    <w:rsid w:val="06515822"/>
    <w:rsid w:val="072145E4"/>
    <w:rsid w:val="07302BB0"/>
    <w:rsid w:val="07864CAA"/>
    <w:rsid w:val="08B33FE1"/>
    <w:rsid w:val="08B86F43"/>
    <w:rsid w:val="08E76AD6"/>
    <w:rsid w:val="0A054803"/>
    <w:rsid w:val="0A1E7B92"/>
    <w:rsid w:val="0A623A94"/>
    <w:rsid w:val="0E253359"/>
    <w:rsid w:val="0E8E7A8F"/>
    <w:rsid w:val="0FBD67DF"/>
    <w:rsid w:val="104A62BE"/>
    <w:rsid w:val="10856228"/>
    <w:rsid w:val="11612713"/>
    <w:rsid w:val="13BE3078"/>
    <w:rsid w:val="14BF20A4"/>
    <w:rsid w:val="15172664"/>
    <w:rsid w:val="15A223E5"/>
    <w:rsid w:val="16861701"/>
    <w:rsid w:val="1796798B"/>
    <w:rsid w:val="18CE48A3"/>
    <w:rsid w:val="19EE481E"/>
    <w:rsid w:val="1C0676ED"/>
    <w:rsid w:val="1DBF39DD"/>
    <w:rsid w:val="1F5A7F86"/>
    <w:rsid w:val="200B4F38"/>
    <w:rsid w:val="202B22BA"/>
    <w:rsid w:val="204D37B2"/>
    <w:rsid w:val="20A31FB0"/>
    <w:rsid w:val="220855E6"/>
    <w:rsid w:val="22B94C5E"/>
    <w:rsid w:val="230D485C"/>
    <w:rsid w:val="236F19FA"/>
    <w:rsid w:val="23FA6623"/>
    <w:rsid w:val="24351BAF"/>
    <w:rsid w:val="254617FF"/>
    <w:rsid w:val="25706A02"/>
    <w:rsid w:val="25757D0D"/>
    <w:rsid w:val="2584615C"/>
    <w:rsid w:val="261F00C8"/>
    <w:rsid w:val="267E34B7"/>
    <w:rsid w:val="27144F25"/>
    <w:rsid w:val="28667F40"/>
    <w:rsid w:val="289900D7"/>
    <w:rsid w:val="28B210AB"/>
    <w:rsid w:val="29AC227E"/>
    <w:rsid w:val="2AB32136"/>
    <w:rsid w:val="2AD11053"/>
    <w:rsid w:val="2B6345A1"/>
    <w:rsid w:val="2B8C2D9D"/>
    <w:rsid w:val="2BF3475F"/>
    <w:rsid w:val="2C613850"/>
    <w:rsid w:val="2E003E5D"/>
    <w:rsid w:val="2F9B6BFC"/>
    <w:rsid w:val="30DE15FD"/>
    <w:rsid w:val="314F47ED"/>
    <w:rsid w:val="315423FA"/>
    <w:rsid w:val="31DE2F46"/>
    <w:rsid w:val="321049C3"/>
    <w:rsid w:val="324026E3"/>
    <w:rsid w:val="32782718"/>
    <w:rsid w:val="33471DAB"/>
    <w:rsid w:val="357F154B"/>
    <w:rsid w:val="36D75C4E"/>
    <w:rsid w:val="37475F76"/>
    <w:rsid w:val="37864942"/>
    <w:rsid w:val="37DA4DE1"/>
    <w:rsid w:val="38AB36CE"/>
    <w:rsid w:val="3C5F7611"/>
    <w:rsid w:val="3CC727F5"/>
    <w:rsid w:val="3D43771E"/>
    <w:rsid w:val="3F227404"/>
    <w:rsid w:val="3F235948"/>
    <w:rsid w:val="3F8B3ED6"/>
    <w:rsid w:val="3FF002D0"/>
    <w:rsid w:val="409F78FB"/>
    <w:rsid w:val="40DD2C36"/>
    <w:rsid w:val="421B5801"/>
    <w:rsid w:val="424246E0"/>
    <w:rsid w:val="48045A37"/>
    <w:rsid w:val="48DB7C08"/>
    <w:rsid w:val="4A0215EB"/>
    <w:rsid w:val="4B6D2F19"/>
    <w:rsid w:val="4BC864F7"/>
    <w:rsid w:val="4C04479C"/>
    <w:rsid w:val="4D7C4E4C"/>
    <w:rsid w:val="4D9211CF"/>
    <w:rsid w:val="4D994CEB"/>
    <w:rsid w:val="4D9D0BA8"/>
    <w:rsid w:val="4E455106"/>
    <w:rsid w:val="4EB27CA8"/>
    <w:rsid w:val="4ED612C5"/>
    <w:rsid w:val="4F035E3C"/>
    <w:rsid w:val="4F71626E"/>
    <w:rsid w:val="515A61D8"/>
    <w:rsid w:val="527618D9"/>
    <w:rsid w:val="53402A26"/>
    <w:rsid w:val="53942FFE"/>
    <w:rsid w:val="55293B09"/>
    <w:rsid w:val="55575F99"/>
    <w:rsid w:val="57A21831"/>
    <w:rsid w:val="58ED4ED5"/>
    <w:rsid w:val="59997288"/>
    <w:rsid w:val="5ACB54AD"/>
    <w:rsid w:val="5AED56AC"/>
    <w:rsid w:val="5B1B3C00"/>
    <w:rsid w:val="5C33182A"/>
    <w:rsid w:val="5C735466"/>
    <w:rsid w:val="5C83588F"/>
    <w:rsid w:val="5F217E4A"/>
    <w:rsid w:val="60842D13"/>
    <w:rsid w:val="61632641"/>
    <w:rsid w:val="62906FD1"/>
    <w:rsid w:val="63814EBC"/>
    <w:rsid w:val="651947B7"/>
    <w:rsid w:val="661D1024"/>
    <w:rsid w:val="667A1ADF"/>
    <w:rsid w:val="67425D31"/>
    <w:rsid w:val="674477E4"/>
    <w:rsid w:val="68AE0231"/>
    <w:rsid w:val="691163EC"/>
    <w:rsid w:val="692613ED"/>
    <w:rsid w:val="6A42698D"/>
    <w:rsid w:val="6A4B1598"/>
    <w:rsid w:val="6A730503"/>
    <w:rsid w:val="6A9E314E"/>
    <w:rsid w:val="6BC74928"/>
    <w:rsid w:val="6C5D0ED7"/>
    <w:rsid w:val="6EFD6F1A"/>
    <w:rsid w:val="71946BA2"/>
    <w:rsid w:val="73101B57"/>
    <w:rsid w:val="73237AF4"/>
    <w:rsid w:val="74DF7F33"/>
    <w:rsid w:val="75ED2186"/>
    <w:rsid w:val="769F2009"/>
    <w:rsid w:val="77637680"/>
    <w:rsid w:val="799702C8"/>
    <w:rsid w:val="79D32C4C"/>
    <w:rsid w:val="79FF03B2"/>
    <w:rsid w:val="7BCB0E8D"/>
    <w:rsid w:val="7BFC0C24"/>
    <w:rsid w:val="7F2A28F3"/>
    <w:rsid w:val="7FBF761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qFormat="1" w:unhideWhenUsed="0" w:uiPriority="0" w:semiHidden="0"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4"/>
    <w:next w:val="1"/>
    <w:link w:val="42"/>
    <w:qFormat/>
    <w:uiPriority w:val="0"/>
    <w:pPr>
      <w:keepNext/>
      <w:keepLines/>
      <w:tabs>
        <w:tab w:val="left" w:pos="720"/>
        <w:tab w:val="left" w:pos="864"/>
      </w:tabs>
      <w:spacing w:before="340" w:after="330" w:line="576" w:lineRule="auto"/>
      <w:outlineLvl w:val="0"/>
    </w:pPr>
    <w:rPr>
      <w:b w:val="0"/>
      <w:kern w:val="44"/>
      <w:sz w:val="44"/>
      <w:szCs w:val="20"/>
    </w:rPr>
  </w:style>
  <w:style w:type="paragraph" w:styleId="4">
    <w:name w:val="heading 2"/>
    <w:basedOn w:val="1"/>
    <w:next w:val="1"/>
    <w:link w:val="41"/>
    <w:qFormat/>
    <w:uiPriority w:val="0"/>
    <w:pPr>
      <w:keepNext/>
      <w:keepLines/>
      <w:tabs>
        <w:tab w:val="left" w:pos="720"/>
        <w:tab w:val="left" w:pos="864"/>
      </w:tabs>
      <w:spacing w:before="260" w:after="260" w:line="416" w:lineRule="auto"/>
      <w:outlineLvl w:val="1"/>
    </w:pPr>
    <w:rPr>
      <w:rFonts w:ascii="Arial" w:hAnsi="Arial" w:eastAsia="黑体"/>
      <w:b/>
      <w:bCs/>
      <w:kern w:val="0"/>
      <w:sz w:val="32"/>
      <w:szCs w:val="32"/>
    </w:rPr>
  </w:style>
  <w:style w:type="paragraph" w:styleId="5">
    <w:name w:val="heading 3"/>
    <w:basedOn w:val="6"/>
    <w:next w:val="1"/>
    <w:link w:val="44"/>
    <w:qFormat/>
    <w:uiPriority w:val="0"/>
    <w:pPr>
      <w:keepNext/>
      <w:keepLines/>
      <w:tabs>
        <w:tab w:val="left" w:pos="864"/>
      </w:tabs>
      <w:spacing w:before="260" w:after="260" w:line="416" w:lineRule="auto"/>
      <w:outlineLvl w:val="2"/>
    </w:pPr>
    <w:rPr>
      <w:rFonts w:ascii="Calibri" w:hAnsi="Calibri"/>
      <w:b w:val="0"/>
      <w:bCs/>
      <w:kern w:val="0"/>
      <w:sz w:val="32"/>
      <w:szCs w:val="32"/>
    </w:rPr>
  </w:style>
  <w:style w:type="paragraph" w:styleId="6">
    <w:name w:val="heading 4"/>
    <w:basedOn w:val="1"/>
    <w:next w:val="1"/>
    <w:link w:val="43"/>
    <w:qFormat/>
    <w:uiPriority w:val="0"/>
    <w:pPr>
      <w:keepNext/>
      <w:keepLines/>
      <w:widowControl/>
      <w:tabs>
        <w:tab w:val="left" w:pos="864"/>
      </w:tabs>
      <w:spacing w:before="120" w:after="180"/>
      <w:outlineLvl w:val="3"/>
    </w:pPr>
    <w:rPr>
      <w:rFonts w:ascii="Times New Roman Bold" w:hAnsi="Times New Roman Bold"/>
      <w:b/>
      <w:kern w:val="0"/>
      <w:sz w:val="24"/>
      <w:szCs w:val="20"/>
      <w:lang w:val="en-GB" w:eastAsia="en-US"/>
    </w:rPr>
  </w:style>
  <w:style w:type="paragraph" w:styleId="7">
    <w:name w:val="heading 5"/>
    <w:basedOn w:val="1"/>
    <w:next w:val="1"/>
    <w:link w:val="45"/>
    <w:qFormat/>
    <w:uiPriority w:val="0"/>
    <w:pPr>
      <w:keepNext/>
      <w:tabs>
        <w:tab w:val="left" w:pos="1008"/>
      </w:tabs>
      <w:spacing w:line="360" w:lineRule="auto"/>
      <w:outlineLvl w:val="4"/>
    </w:pPr>
    <w:rPr>
      <w:rFonts w:ascii="Arial" w:hAnsi="Arial"/>
      <w:b/>
      <w:bCs/>
      <w:iCs/>
      <w:kern w:val="0"/>
      <w:sz w:val="20"/>
      <w:szCs w:val="21"/>
    </w:rPr>
  </w:style>
  <w:style w:type="character" w:default="1" w:styleId="35">
    <w:name w:val="Default Paragraph Font"/>
    <w:unhideWhenUsed/>
    <w:qFormat/>
    <w:uiPriority w:val="1"/>
  </w:style>
  <w:style w:type="table" w:default="1" w:styleId="33">
    <w:name w:val="Normal Table"/>
    <w:unhideWhenUsed/>
    <w:qFormat/>
    <w:uiPriority w:val="99"/>
    <w:tblPr>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Arial" w:hAnsi="Arial" w:eastAsia="宋体" w:cs="Times New Roman"/>
      <w:color w:val="000000"/>
      <w:sz w:val="24"/>
      <w:lang w:val="en-US" w:eastAsia="zh-CN" w:bidi="ar-SA"/>
    </w:rPr>
  </w:style>
  <w:style w:type="paragraph" w:styleId="8">
    <w:name w:val="Normal Indent"/>
    <w:basedOn w:val="1"/>
    <w:next w:val="1"/>
    <w:qFormat/>
    <w:uiPriority w:val="0"/>
    <w:pPr>
      <w:ind w:firstLine="420" w:firstLineChars="200"/>
    </w:pPr>
    <w:rPr>
      <w:rFonts w:ascii="Times New Roman" w:hAnsi="Times New Roman" w:eastAsia="宋体" w:cs="Times New Roman"/>
      <w:szCs w:val="24"/>
    </w:rPr>
  </w:style>
  <w:style w:type="paragraph" w:styleId="9">
    <w:name w:val="Document Map"/>
    <w:basedOn w:val="1"/>
    <w:link w:val="46"/>
    <w:semiHidden/>
    <w:qFormat/>
    <w:uiPriority w:val="0"/>
    <w:pPr>
      <w:shd w:val="clear" w:color="auto" w:fill="000080"/>
    </w:pPr>
    <w:rPr>
      <w:rFonts w:ascii="Calibri" w:hAnsi="Calibri"/>
      <w:kern w:val="0"/>
      <w:sz w:val="20"/>
      <w:szCs w:val="20"/>
    </w:rPr>
  </w:style>
  <w:style w:type="paragraph" w:styleId="10">
    <w:name w:val="annotation text"/>
    <w:basedOn w:val="1"/>
    <w:next w:val="11"/>
    <w:link w:val="47"/>
    <w:qFormat/>
    <w:uiPriority w:val="0"/>
    <w:pPr>
      <w:jc w:val="left"/>
    </w:pPr>
    <w:rPr>
      <w:rFonts w:eastAsia="宋体" w:cs="Times New Roman"/>
      <w:kern w:val="0"/>
      <w:sz w:val="20"/>
      <w:szCs w:val="20"/>
    </w:rPr>
  </w:style>
  <w:style w:type="paragraph" w:styleId="11">
    <w:name w:val="Salutation"/>
    <w:basedOn w:val="1"/>
    <w:next w:val="1"/>
    <w:qFormat/>
    <w:uiPriority w:val="0"/>
    <w:pPr>
      <w:widowControl w:val="0"/>
      <w:autoSpaceDE/>
      <w:autoSpaceDN/>
      <w:spacing w:before="0" w:beforeLines="0" w:after="0" w:afterLines="0" w:line="240" w:lineRule="auto"/>
      <w:ind w:left="0" w:firstLine="5632"/>
      <w:jc w:val="both"/>
    </w:pPr>
  </w:style>
  <w:style w:type="paragraph" w:styleId="12">
    <w:name w:val="Body Text 3"/>
    <w:basedOn w:val="1"/>
    <w:link w:val="48"/>
    <w:qFormat/>
    <w:uiPriority w:val="0"/>
    <w:pPr>
      <w:spacing w:after="120"/>
    </w:pPr>
    <w:rPr>
      <w:rFonts w:ascii="Calibri" w:hAnsi="Calibri"/>
      <w:kern w:val="0"/>
      <w:sz w:val="16"/>
      <w:szCs w:val="16"/>
    </w:rPr>
  </w:style>
  <w:style w:type="paragraph" w:styleId="13">
    <w:name w:val="Body Text"/>
    <w:basedOn w:val="1"/>
    <w:next w:val="14"/>
    <w:link w:val="49"/>
    <w:qFormat/>
    <w:uiPriority w:val="0"/>
    <w:pPr>
      <w:spacing w:after="120"/>
    </w:pPr>
    <w:rPr>
      <w:rFonts w:ascii="Calibri" w:hAnsi="Calibri"/>
      <w:kern w:val="0"/>
      <w:sz w:val="20"/>
      <w:szCs w:val="20"/>
    </w:rPr>
  </w:style>
  <w:style w:type="paragraph" w:styleId="14">
    <w:name w:val="Body Text First Indent"/>
    <w:basedOn w:val="13"/>
    <w:next w:val="13"/>
    <w:link w:val="58"/>
    <w:qFormat/>
    <w:uiPriority w:val="0"/>
    <w:pPr>
      <w:ind w:firstLine="420" w:firstLineChars="100"/>
    </w:pPr>
  </w:style>
  <w:style w:type="paragraph" w:styleId="15">
    <w:name w:val="Body Text Indent"/>
    <w:basedOn w:val="1"/>
    <w:next w:val="16"/>
    <w:link w:val="40"/>
    <w:qFormat/>
    <w:uiPriority w:val="0"/>
    <w:pPr>
      <w:tabs>
        <w:tab w:val="left" w:pos="567"/>
      </w:tabs>
      <w:spacing w:line="360" w:lineRule="auto"/>
      <w:ind w:left="420" w:leftChars="200"/>
    </w:pPr>
    <w:rPr>
      <w:rFonts w:cs="Times New Roman"/>
      <w:kern w:val="0"/>
      <w:sz w:val="20"/>
      <w:szCs w:val="21"/>
    </w:rPr>
  </w:style>
  <w:style w:type="paragraph" w:styleId="16">
    <w:name w:val="envelope return"/>
    <w:basedOn w:val="1"/>
    <w:qFormat/>
    <w:uiPriority w:val="0"/>
    <w:pPr>
      <w:snapToGrid w:val="0"/>
    </w:pPr>
    <w:rPr>
      <w:rFonts w:ascii="Arial" w:hAnsi="Arial"/>
      <w:szCs w:val="24"/>
    </w:rPr>
  </w:style>
  <w:style w:type="paragraph" w:styleId="17">
    <w:name w:val="toc 3"/>
    <w:basedOn w:val="1"/>
    <w:next w:val="1"/>
    <w:unhideWhenUsed/>
    <w:qFormat/>
    <w:uiPriority w:val="39"/>
    <w:pPr>
      <w:widowControl/>
      <w:spacing w:after="100" w:line="276" w:lineRule="auto"/>
      <w:ind w:left="440"/>
      <w:jc w:val="left"/>
    </w:pPr>
    <w:rPr>
      <w:rFonts w:ascii="Calibri" w:hAnsi="Calibri" w:eastAsia="宋体" w:cs="Times New Roman"/>
      <w:kern w:val="0"/>
      <w:sz w:val="22"/>
    </w:rPr>
  </w:style>
  <w:style w:type="paragraph" w:styleId="18">
    <w:name w:val="Plain Text"/>
    <w:basedOn w:val="1"/>
    <w:next w:val="1"/>
    <w:link w:val="50"/>
    <w:qFormat/>
    <w:uiPriority w:val="99"/>
    <w:rPr>
      <w:rFonts w:ascii="宋体" w:hAnsi="Courier New"/>
      <w:kern w:val="0"/>
      <w:sz w:val="20"/>
      <w:szCs w:val="21"/>
    </w:rPr>
  </w:style>
  <w:style w:type="paragraph" w:styleId="19">
    <w:name w:val="Date"/>
    <w:basedOn w:val="1"/>
    <w:next w:val="1"/>
    <w:link w:val="51"/>
    <w:qFormat/>
    <w:uiPriority w:val="0"/>
    <w:pPr>
      <w:ind w:left="100" w:leftChars="2500"/>
    </w:pPr>
    <w:rPr>
      <w:rFonts w:cs="Times New Roman"/>
      <w:kern w:val="0"/>
      <w:sz w:val="20"/>
      <w:szCs w:val="24"/>
    </w:rPr>
  </w:style>
  <w:style w:type="paragraph" w:styleId="20">
    <w:name w:val="Body Text Indent 2"/>
    <w:basedOn w:val="1"/>
    <w:link w:val="52"/>
    <w:qFormat/>
    <w:uiPriority w:val="0"/>
    <w:pPr>
      <w:spacing w:after="120" w:line="480" w:lineRule="auto"/>
      <w:ind w:left="420" w:leftChars="200"/>
    </w:pPr>
    <w:rPr>
      <w:rFonts w:cs="Times New Roman"/>
      <w:kern w:val="0"/>
      <w:sz w:val="20"/>
      <w:szCs w:val="24"/>
    </w:rPr>
  </w:style>
  <w:style w:type="paragraph" w:styleId="21">
    <w:name w:val="Balloon Text"/>
    <w:basedOn w:val="1"/>
    <w:link w:val="53"/>
    <w:semiHidden/>
    <w:qFormat/>
    <w:uiPriority w:val="0"/>
    <w:rPr>
      <w:rFonts w:ascii="Calibri" w:hAnsi="Calibri"/>
      <w:kern w:val="0"/>
      <w:sz w:val="18"/>
      <w:szCs w:val="18"/>
    </w:rPr>
  </w:style>
  <w:style w:type="paragraph" w:styleId="22">
    <w:name w:val="footer"/>
    <w:basedOn w:val="1"/>
    <w:link w:val="54"/>
    <w:unhideWhenUsed/>
    <w:qFormat/>
    <w:uiPriority w:val="99"/>
    <w:pPr>
      <w:tabs>
        <w:tab w:val="center" w:pos="4153"/>
        <w:tab w:val="right" w:pos="8306"/>
      </w:tabs>
      <w:snapToGrid w:val="0"/>
      <w:jc w:val="left"/>
    </w:pPr>
    <w:rPr>
      <w:kern w:val="0"/>
      <w:sz w:val="18"/>
      <w:szCs w:val="18"/>
    </w:rPr>
  </w:style>
  <w:style w:type="paragraph" w:styleId="23">
    <w:name w:val="header"/>
    <w:basedOn w:val="1"/>
    <w:link w:val="55"/>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24">
    <w:name w:val="toc 1"/>
    <w:basedOn w:val="1"/>
    <w:next w:val="1"/>
    <w:unhideWhenUsed/>
    <w:qFormat/>
    <w:uiPriority w:val="39"/>
    <w:pPr>
      <w:widowControl/>
      <w:spacing w:after="100" w:line="276" w:lineRule="auto"/>
      <w:jc w:val="left"/>
    </w:pPr>
    <w:rPr>
      <w:rFonts w:ascii="Calibri" w:hAnsi="Calibri" w:eastAsia="宋体" w:cs="Times New Roman"/>
      <w:kern w:val="0"/>
      <w:sz w:val="22"/>
    </w:rPr>
  </w:style>
  <w:style w:type="paragraph" w:styleId="25">
    <w:name w:val="Subtitle"/>
    <w:basedOn w:val="1"/>
    <w:next w:val="1"/>
    <w:qFormat/>
    <w:uiPriority w:val="0"/>
    <w:pPr>
      <w:spacing w:before="240" w:after="60" w:line="312" w:lineRule="auto"/>
      <w:ind w:firstLine="200" w:firstLineChars="200"/>
      <w:outlineLvl w:val="1"/>
    </w:pPr>
    <w:rPr>
      <w:rFonts w:ascii="Cambria" w:hAnsi="Cambria"/>
      <w:b/>
      <w:bCs/>
      <w:kern w:val="28"/>
      <w:sz w:val="32"/>
      <w:szCs w:val="32"/>
      <w:lang w:eastAsia="zh-CN"/>
    </w:rPr>
  </w:style>
  <w:style w:type="paragraph" w:styleId="26">
    <w:name w:val="List"/>
    <w:basedOn w:val="1"/>
    <w:qFormat/>
    <w:uiPriority w:val="0"/>
    <w:pPr>
      <w:ind w:left="200" w:hanging="200" w:hangingChars="200"/>
    </w:pPr>
    <w:rPr>
      <w:rFonts w:ascii="Times New Roman" w:hAnsi="Times New Roman" w:eastAsia="宋体" w:cs="Times New Roman"/>
      <w:szCs w:val="24"/>
    </w:rPr>
  </w:style>
  <w:style w:type="paragraph" w:styleId="27">
    <w:name w:val="toc 6"/>
    <w:basedOn w:val="1"/>
    <w:next w:val="1"/>
    <w:qFormat/>
    <w:uiPriority w:val="0"/>
    <w:pPr>
      <w:ind w:left="2100" w:leftChars="1000"/>
    </w:pPr>
    <w:rPr>
      <w:rFonts w:ascii="Times New Roman" w:hAnsi="Times New Roman" w:eastAsia="宋体" w:cs="Times New Roman"/>
      <w:szCs w:val="24"/>
    </w:rPr>
  </w:style>
  <w:style w:type="paragraph" w:styleId="28">
    <w:name w:val="toc 2"/>
    <w:basedOn w:val="1"/>
    <w:next w:val="1"/>
    <w:unhideWhenUsed/>
    <w:qFormat/>
    <w:uiPriority w:val="39"/>
    <w:pPr>
      <w:widowControl/>
      <w:spacing w:after="100" w:line="276" w:lineRule="auto"/>
      <w:ind w:left="220"/>
      <w:jc w:val="left"/>
    </w:pPr>
    <w:rPr>
      <w:rFonts w:ascii="Calibri" w:hAnsi="Calibri" w:eastAsia="宋体" w:cs="Times New Roman"/>
      <w:kern w:val="0"/>
      <w:sz w:val="22"/>
    </w:rPr>
  </w:style>
  <w:style w:type="paragraph" w:styleId="29">
    <w:name w:val="HTML Preformatted"/>
    <w:basedOn w:val="1"/>
    <w:link w:val="56"/>
    <w:qFormat/>
    <w:uiPriority w:val="99"/>
    <w:rPr>
      <w:rFonts w:ascii="Courier New" w:hAnsi="Courier New"/>
      <w:kern w:val="0"/>
      <w:sz w:val="20"/>
      <w:szCs w:val="20"/>
    </w:rPr>
  </w:style>
  <w:style w:type="paragraph" w:styleId="30">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31">
    <w:name w:val="annotation subject"/>
    <w:basedOn w:val="10"/>
    <w:next w:val="10"/>
    <w:link w:val="57"/>
    <w:semiHidden/>
    <w:qFormat/>
    <w:uiPriority w:val="0"/>
    <w:rPr>
      <w:rFonts w:ascii="Calibri" w:hAnsi="Calibri"/>
      <w:b/>
      <w:bCs/>
    </w:rPr>
  </w:style>
  <w:style w:type="paragraph" w:styleId="32">
    <w:name w:val="Body Text First Indent 2"/>
    <w:basedOn w:val="15"/>
    <w:qFormat/>
    <w:uiPriority w:val="0"/>
    <w:pPr>
      <w:adjustRightInd/>
      <w:snapToGrid/>
      <w:spacing w:line="360" w:lineRule="auto"/>
      <w:ind w:firstLine="471" w:firstLineChars="200"/>
      <w:textAlignment w:val="auto"/>
    </w:pPr>
    <w:rPr>
      <w:kern w:val="2"/>
    </w:rPr>
  </w:style>
  <w:style w:type="table" w:styleId="34">
    <w:name w:val="Table Grid"/>
    <w:basedOn w:val="33"/>
    <w:qFormat/>
    <w:uiPriority w:val="0"/>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6">
    <w:name w:val="Strong"/>
    <w:basedOn w:val="35"/>
    <w:qFormat/>
    <w:uiPriority w:val="22"/>
    <w:rPr>
      <w:b/>
      <w:bCs/>
    </w:rPr>
  </w:style>
  <w:style w:type="character" w:styleId="37">
    <w:name w:val="page number"/>
    <w:qFormat/>
    <w:uiPriority w:val="0"/>
  </w:style>
  <w:style w:type="character" w:styleId="38">
    <w:name w:val="Hyperlink"/>
    <w:qFormat/>
    <w:uiPriority w:val="99"/>
    <w:rPr>
      <w:color w:val="0000FF"/>
      <w:u w:val="single"/>
    </w:rPr>
  </w:style>
  <w:style w:type="character" w:styleId="39">
    <w:name w:val="annotation reference"/>
    <w:qFormat/>
    <w:uiPriority w:val="0"/>
    <w:rPr>
      <w:rFonts w:cs="Times New Roman"/>
      <w:sz w:val="21"/>
    </w:rPr>
  </w:style>
  <w:style w:type="character" w:customStyle="1" w:styleId="40">
    <w:name w:val="正文文本缩进 字符"/>
    <w:link w:val="15"/>
    <w:semiHidden/>
    <w:qFormat/>
    <w:uiPriority w:val="99"/>
  </w:style>
  <w:style w:type="character" w:customStyle="1" w:styleId="41">
    <w:name w:val="标题 2 字符"/>
    <w:link w:val="4"/>
    <w:qFormat/>
    <w:uiPriority w:val="0"/>
    <w:rPr>
      <w:rFonts w:ascii="Arial" w:hAnsi="Arial" w:eastAsia="黑体" w:cs="Times New Roman"/>
      <w:b/>
      <w:bCs/>
      <w:sz w:val="32"/>
      <w:szCs w:val="32"/>
    </w:rPr>
  </w:style>
  <w:style w:type="character" w:customStyle="1" w:styleId="42">
    <w:name w:val="标题 1 字符"/>
    <w:link w:val="3"/>
    <w:qFormat/>
    <w:uiPriority w:val="0"/>
    <w:rPr>
      <w:rFonts w:ascii="Times New Roman" w:hAnsi="Times New Roman" w:eastAsia="宋体" w:cs="Times New Roman"/>
      <w:b/>
      <w:kern w:val="44"/>
      <w:sz w:val="44"/>
      <w:szCs w:val="20"/>
    </w:rPr>
  </w:style>
  <w:style w:type="character" w:customStyle="1" w:styleId="43">
    <w:name w:val="标题 4 字符"/>
    <w:link w:val="6"/>
    <w:qFormat/>
    <w:uiPriority w:val="0"/>
    <w:rPr>
      <w:rFonts w:ascii="Times New Roman Bold" w:hAnsi="Times New Roman Bold" w:eastAsia="宋体" w:cs="Times New Roman"/>
      <w:b/>
      <w:kern w:val="0"/>
      <w:sz w:val="24"/>
      <w:szCs w:val="20"/>
      <w:lang w:val="en-GB" w:eastAsia="en-US"/>
    </w:rPr>
  </w:style>
  <w:style w:type="character" w:customStyle="1" w:styleId="44">
    <w:name w:val="标题 3 字符"/>
    <w:basedOn w:val="35"/>
    <w:link w:val="5"/>
    <w:qFormat/>
    <w:uiPriority w:val="0"/>
    <w:rPr>
      <w:rFonts w:ascii="Calibri" w:hAnsi="Calibri" w:eastAsia="宋体" w:cs="Times New Roman"/>
      <w:b/>
      <w:bCs/>
      <w:sz w:val="32"/>
      <w:szCs w:val="32"/>
    </w:rPr>
  </w:style>
  <w:style w:type="character" w:customStyle="1" w:styleId="45">
    <w:name w:val="标题 5 字符"/>
    <w:link w:val="7"/>
    <w:qFormat/>
    <w:uiPriority w:val="0"/>
    <w:rPr>
      <w:rFonts w:ascii="Arial" w:hAnsi="Arial" w:eastAsia="宋体" w:cs="Times New Roman"/>
      <w:b/>
      <w:bCs/>
      <w:iCs/>
      <w:kern w:val="0"/>
      <w:szCs w:val="21"/>
    </w:rPr>
  </w:style>
  <w:style w:type="character" w:customStyle="1" w:styleId="46">
    <w:name w:val="文档结构图 字符"/>
    <w:link w:val="9"/>
    <w:semiHidden/>
    <w:qFormat/>
    <w:uiPriority w:val="0"/>
    <w:rPr>
      <w:rFonts w:ascii="Calibri" w:hAnsi="Calibri" w:eastAsia="宋体" w:cs="Times New Roman"/>
      <w:shd w:val="clear" w:color="auto" w:fill="000080"/>
    </w:rPr>
  </w:style>
  <w:style w:type="character" w:customStyle="1" w:styleId="47">
    <w:name w:val="批注文字 字符"/>
    <w:link w:val="10"/>
    <w:semiHidden/>
    <w:qFormat/>
    <w:uiPriority w:val="99"/>
  </w:style>
  <w:style w:type="character" w:customStyle="1" w:styleId="48">
    <w:name w:val="正文文本 3 字符"/>
    <w:link w:val="12"/>
    <w:qFormat/>
    <w:uiPriority w:val="0"/>
    <w:rPr>
      <w:rFonts w:ascii="Calibri" w:hAnsi="Calibri" w:eastAsia="宋体" w:cs="Times New Roman"/>
      <w:sz w:val="16"/>
      <w:szCs w:val="16"/>
    </w:rPr>
  </w:style>
  <w:style w:type="character" w:customStyle="1" w:styleId="49">
    <w:name w:val="正文文本 字符"/>
    <w:link w:val="13"/>
    <w:qFormat/>
    <w:uiPriority w:val="0"/>
    <w:rPr>
      <w:rFonts w:ascii="Calibri" w:hAnsi="Calibri" w:eastAsia="宋体" w:cs="Times New Roman"/>
    </w:rPr>
  </w:style>
  <w:style w:type="character" w:customStyle="1" w:styleId="50">
    <w:name w:val="纯文本 字符"/>
    <w:link w:val="18"/>
    <w:semiHidden/>
    <w:qFormat/>
    <w:uiPriority w:val="99"/>
    <w:rPr>
      <w:rFonts w:ascii="宋体" w:hAnsi="Courier New" w:eastAsia="宋体" w:cs="Courier New"/>
      <w:szCs w:val="21"/>
    </w:rPr>
  </w:style>
  <w:style w:type="character" w:customStyle="1" w:styleId="51">
    <w:name w:val="日期 字符"/>
    <w:link w:val="19"/>
    <w:semiHidden/>
    <w:qFormat/>
    <w:uiPriority w:val="99"/>
  </w:style>
  <w:style w:type="character" w:customStyle="1" w:styleId="52">
    <w:name w:val="正文文本缩进 2 字符"/>
    <w:link w:val="20"/>
    <w:semiHidden/>
    <w:qFormat/>
    <w:uiPriority w:val="99"/>
  </w:style>
  <w:style w:type="character" w:customStyle="1" w:styleId="53">
    <w:name w:val="批注框文本 字符"/>
    <w:link w:val="21"/>
    <w:semiHidden/>
    <w:qFormat/>
    <w:uiPriority w:val="0"/>
    <w:rPr>
      <w:rFonts w:ascii="Calibri" w:hAnsi="Calibri" w:eastAsia="宋体" w:cs="Times New Roman"/>
      <w:sz w:val="18"/>
      <w:szCs w:val="18"/>
    </w:rPr>
  </w:style>
  <w:style w:type="character" w:customStyle="1" w:styleId="54">
    <w:name w:val="页脚 字符"/>
    <w:link w:val="22"/>
    <w:qFormat/>
    <w:uiPriority w:val="99"/>
    <w:rPr>
      <w:sz w:val="18"/>
      <w:szCs w:val="18"/>
    </w:rPr>
  </w:style>
  <w:style w:type="character" w:customStyle="1" w:styleId="55">
    <w:name w:val="页眉 字符"/>
    <w:link w:val="23"/>
    <w:qFormat/>
    <w:uiPriority w:val="0"/>
    <w:rPr>
      <w:sz w:val="18"/>
      <w:szCs w:val="18"/>
    </w:rPr>
  </w:style>
  <w:style w:type="character" w:customStyle="1" w:styleId="56">
    <w:name w:val="HTML 预设格式 字符"/>
    <w:link w:val="29"/>
    <w:semiHidden/>
    <w:qFormat/>
    <w:uiPriority w:val="99"/>
    <w:rPr>
      <w:rFonts w:ascii="Courier New" w:hAnsi="Courier New" w:cs="Courier New"/>
      <w:sz w:val="20"/>
      <w:szCs w:val="20"/>
    </w:rPr>
  </w:style>
  <w:style w:type="character" w:customStyle="1" w:styleId="57">
    <w:name w:val="批注主题 字符"/>
    <w:link w:val="31"/>
    <w:semiHidden/>
    <w:qFormat/>
    <w:uiPriority w:val="0"/>
    <w:rPr>
      <w:rFonts w:ascii="Calibri" w:hAnsi="Calibri" w:eastAsia="宋体"/>
      <w:b/>
      <w:bCs/>
    </w:rPr>
  </w:style>
  <w:style w:type="character" w:customStyle="1" w:styleId="58">
    <w:name w:val="正文文本首行缩进 字符"/>
    <w:link w:val="14"/>
    <w:qFormat/>
    <w:uiPriority w:val="0"/>
  </w:style>
  <w:style w:type="character" w:customStyle="1" w:styleId="59">
    <w:name w:val="日期 Char"/>
    <w:qFormat/>
    <w:uiPriority w:val="0"/>
    <w:rPr>
      <w:szCs w:val="24"/>
    </w:rPr>
  </w:style>
  <w:style w:type="character" w:customStyle="1" w:styleId="60">
    <w:name w:val="首行缩进2字符 Char"/>
    <w:link w:val="61"/>
    <w:qFormat/>
    <w:uiPriority w:val="0"/>
    <w:rPr>
      <w:bCs/>
      <w:sz w:val="24"/>
      <w:szCs w:val="24"/>
    </w:rPr>
  </w:style>
  <w:style w:type="paragraph" w:customStyle="1" w:styleId="61">
    <w:name w:val="首行缩进2字符"/>
    <w:basedOn w:val="1"/>
    <w:next w:val="1"/>
    <w:link w:val="60"/>
    <w:qFormat/>
    <w:uiPriority w:val="0"/>
    <w:pPr>
      <w:spacing w:line="360" w:lineRule="auto"/>
      <w:ind w:firstLine="200" w:firstLineChars="200"/>
    </w:pPr>
    <w:rPr>
      <w:bCs/>
      <w:kern w:val="0"/>
      <w:sz w:val="24"/>
      <w:szCs w:val="24"/>
    </w:rPr>
  </w:style>
  <w:style w:type="character" w:customStyle="1" w:styleId="62">
    <w:name w:val="纯文本 Char"/>
    <w:qFormat/>
    <w:uiPriority w:val="0"/>
    <w:rPr>
      <w:rFonts w:ascii="宋体" w:hAnsi="Courier New" w:cs="Courier New"/>
      <w:szCs w:val="21"/>
    </w:rPr>
  </w:style>
  <w:style w:type="character" w:customStyle="1" w:styleId="63">
    <w:name w:val="fontstyle01"/>
    <w:qFormat/>
    <w:uiPriority w:val="0"/>
    <w:rPr>
      <w:rFonts w:hint="eastAsia" w:ascii="宋体" w:hAnsi="宋体" w:eastAsia="宋体"/>
      <w:color w:val="000000"/>
      <w:sz w:val="22"/>
      <w:szCs w:val="22"/>
    </w:rPr>
  </w:style>
  <w:style w:type="character" w:customStyle="1" w:styleId="64">
    <w:name w:val="Arial 12 Fett"/>
    <w:qFormat/>
    <w:uiPriority w:val="0"/>
    <w:rPr>
      <w:rFonts w:ascii="Arial" w:hAnsi="Arial"/>
      <w:b/>
      <w:sz w:val="24"/>
    </w:rPr>
  </w:style>
  <w:style w:type="character" w:customStyle="1" w:styleId="65">
    <w:name w:val="日期 Char1"/>
    <w:qFormat/>
    <w:uiPriority w:val="0"/>
    <w:rPr>
      <w:rFonts w:ascii="Calibri" w:hAnsi="Calibri"/>
      <w:kern w:val="2"/>
      <w:sz w:val="21"/>
      <w:szCs w:val="22"/>
    </w:rPr>
  </w:style>
  <w:style w:type="character" w:customStyle="1" w:styleId="66">
    <w:name w:val="页脚 Char1"/>
    <w:qFormat/>
    <w:uiPriority w:val="0"/>
    <w:rPr>
      <w:rFonts w:eastAsia="宋体"/>
      <w:kern w:val="2"/>
      <w:sz w:val="18"/>
      <w:szCs w:val="18"/>
      <w:lang w:val="en-US" w:eastAsia="zh-CN" w:bidi="ar-SA"/>
    </w:rPr>
  </w:style>
  <w:style w:type="character" w:customStyle="1" w:styleId="67">
    <w:name w:val="正文文本缩进 Char1"/>
    <w:qFormat/>
    <w:uiPriority w:val="0"/>
    <w:rPr>
      <w:rFonts w:ascii="Calibri" w:hAnsi="Calibri"/>
      <w:kern w:val="2"/>
      <w:sz w:val="21"/>
      <w:szCs w:val="22"/>
    </w:rPr>
  </w:style>
  <w:style w:type="character" w:customStyle="1" w:styleId="68">
    <w:name w:val="HTML 预设格式 Char1"/>
    <w:qFormat/>
    <w:uiPriority w:val="0"/>
    <w:rPr>
      <w:rFonts w:ascii="Courier New" w:hAnsi="Courier New" w:cs="Courier New"/>
      <w:kern w:val="2"/>
    </w:rPr>
  </w:style>
  <w:style w:type="character" w:customStyle="1" w:styleId="69">
    <w:name w:val="fontstyle11"/>
    <w:qFormat/>
    <w:uiPriority w:val="0"/>
    <w:rPr>
      <w:rFonts w:hint="default" w:ascii="Times New Roman" w:hAnsi="Times New Roman" w:cs="Times New Roman"/>
      <w:color w:val="000000"/>
      <w:sz w:val="22"/>
      <w:szCs w:val="22"/>
    </w:rPr>
  </w:style>
  <w:style w:type="character" w:customStyle="1" w:styleId="70">
    <w:name w:val="cucd-0 Char Char"/>
    <w:link w:val="71"/>
    <w:qFormat/>
    <w:uiPriority w:val="0"/>
    <w:rPr>
      <w:kern w:val="2"/>
      <w:sz w:val="24"/>
      <w:szCs w:val="24"/>
      <w:lang w:val="en-US" w:eastAsia="zh-CN" w:bidi="ar-SA"/>
    </w:rPr>
  </w:style>
  <w:style w:type="paragraph" w:customStyle="1" w:styleId="71">
    <w:name w:val="cucd-0"/>
    <w:link w:val="70"/>
    <w:qFormat/>
    <w:uiPriority w:val="0"/>
    <w:pPr>
      <w:spacing w:line="360" w:lineRule="auto"/>
      <w:ind w:firstLine="480" w:firstLineChars="200"/>
    </w:pPr>
    <w:rPr>
      <w:rFonts w:ascii="Times New Roman" w:hAnsi="Times New Roman" w:eastAsia="宋体" w:cs="Times New Roman"/>
      <w:kern w:val="2"/>
      <w:sz w:val="24"/>
      <w:szCs w:val="24"/>
      <w:lang w:val="en-US" w:eastAsia="zh-CN" w:bidi="ar-SA"/>
    </w:rPr>
  </w:style>
  <w:style w:type="character" w:customStyle="1" w:styleId="72">
    <w:name w:val="纯文本 Char1"/>
    <w:qFormat/>
    <w:uiPriority w:val="0"/>
    <w:rPr>
      <w:rFonts w:ascii="宋体" w:hAnsi="Courier New" w:cs="Courier New"/>
      <w:kern w:val="2"/>
      <w:sz w:val="21"/>
      <w:szCs w:val="21"/>
    </w:rPr>
  </w:style>
  <w:style w:type="character" w:customStyle="1" w:styleId="73">
    <w:name w:val="Arial 10"/>
    <w:qFormat/>
    <w:uiPriority w:val="0"/>
    <w:rPr>
      <w:rFonts w:ascii="Arial" w:hAnsi="Arial"/>
      <w:sz w:val="20"/>
    </w:rPr>
  </w:style>
  <w:style w:type="character" w:customStyle="1" w:styleId="74">
    <w:name w:val="HTML 预设格式 Char"/>
    <w:qFormat/>
    <w:uiPriority w:val="0"/>
    <w:rPr>
      <w:rFonts w:ascii="Courier New" w:hAnsi="Courier New" w:cs="Courier New"/>
    </w:rPr>
  </w:style>
  <w:style w:type="character" w:customStyle="1" w:styleId="75">
    <w:name w:val="批注文字 Char"/>
    <w:qFormat/>
    <w:locked/>
    <w:uiPriority w:val="0"/>
    <w:rPr>
      <w:rFonts w:eastAsia="宋体"/>
    </w:rPr>
  </w:style>
  <w:style w:type="character" w:customStyle="1" w:styleId="76">
    <w:name w:val="正文文本缩进 2 Char"/>
    <w:qFormat/>
    <w:uiPriority w:val="0"/>
    <w:rPr>
      <w:szCs w:val="24"/>
    </w:rPr>
  </w:style>
  <w:style w:type="character" w:customStyle="1" w:styleId="77">
    <w:name w:val="cucd-0 Char"/>
    <w:qFormat/>
    <w:uiPriority w:val="99"/>
    <w:rPr>
      <w:kern w:val="2"/>
      <w:sz w:val="24"/>
      <w:szCs w:val="24"/>
      <w:lang w:val="en-US" w:eastAsia="zh-CN" w:bidi="ar-SA"/>
    </w:rPr>
  </w:style>
  <w:style w:type="character" w:customStyle="1" w:styleId="78">
    <w:name w:val="样式 (符号) 宋体 小三 加粗 黑色"/>
    <w:qFormat/>
    <w:uiPriority w:val="0"/>
    <w:rPr>
      <w:b/>
      <w:bCs/>
      <w:color w:val="000000"/>
      <w:sz w:val="30"/>
    </w:rPr>
  </w:style>
  <w:style w:type="character" w:customStyle="1" w:styleId="79">
    <w:name w:val="正文文本缩进 Char"/>
    <w:qFormat/>
    <w:uiPriority w:val="0"/>
    <w:rPr>
      <w:szCs w:val="21"/>
    </w:rPr>
  </w:style>
  <w:style w:type="character" w:customStyle="1" w:styleId="80">
    <w:name w:val="正文文本缩进 2 Char1"/>
    <w:qFormat/>
    <w:uiPriority w:val="0"/>
    <w:rPr>
      <w:rFonts w:ascii="Calibri" w:hAnsi="Calibri"/>
      <w:kern w:val="2"/>
      <w:sz w:val="21"/>
      <w:szCs w:val="22"/>
    </w:rPr>
  </w:style>
  <w:style w:type="paragraph" w:customStyle="1" w:styleId="81">
    <w:name w:val="样式1"/>
    <w:basedOn w:val="1"/>
    <w:qFormat/>
    <w:uiPriority w:val="0"/>
    <w:pPr>
      <w:adjustRightInd w:val="0"/>
      <w:spacing w:line="420" w:lineRule="auto"/>
      <w:jc w:val="center"/>
      <w:textAlignment w:val="baseline"/>
    </w:pPr>
    <w:rPr>
      <w:rFonts w:ascii="宋体" w:hAnsi="新宋体" w:eastAsia="新宋体" w:cs="Times New Roman"/>
      <w:kern w:val="0"/>
      <w:sz w:val="24"/>
      <w:szCs w:val="21"/>
    </w:rPr>
  </w:style>
  <w:style w:type="paragraph" w:customStyle="1" w:styleId="82">
    <w:name w:val="Char"/>
    <w:basedOn w:val="1"/>
    <w:qFormat/>
    <w:uiPriority w:val="0"/>
    <w:rPr>
      <w:rFonts w:ascii="Times New Roman" w:hAnsi="Times New Roman" w:eastAsia="宋体" w:cs="Times New Roman"/>
      <w:szCs w:val="24"/>
    </w:rPr>
  </w:style>
  <w:style w:type="paragraph" w:customStyle="1" w:styleId="83">
    <w:name w:val="Char2"/>
    <w:basedOn w:val="1"/>
    <w:qFormat/>
    <w:uiPriority w:val="0"/>
    <w:rPr>
      <w:rFonts w:ascii="Times New Roman" w:hAnsi="Times New Roman" w:eastAsia="宋体" w:cs="Times New Roman"/>
      <w:szCs w:val="24"/>
    </w:rPr>
  </w:style>
  <w:style w:type="paragraph" w:customStyle="1" w:styleId="84">
    <w:name w:val="默认段落字体 Para Char Char Char Char"/>
    <w:basedOn w:val="1"/>
    <w:qFormat/>
    <w:uiPriority w:val="0"/>
    <w:pPr>
      <w:spacing w:line="480" w:lineRule="exact"/>
      <w:outlineLvl w:val="3"/>
    </w:pPr>
    <w:rPr>
      <w:rFonts w:ascii="Times New Roman" w:hAnsi="Times New Roman" w:eastAsia="宋体" w:cs="Times New Roman"/>
      <w:b/>
      <w:sz w:val="24"/>
      <w:szCs w:val="24"/>
    </w:rPr>
  </w:style>
  <w:style w:type="paragraph" w:customStyle="1" w:styleId="85">
    <w:name w:val="首行缩进"/>
    <w:basedOn w:val="1"/>
    <w:next w:val="1"/>
    <w:qFormat/>
    <w:uiPriority w:val="0"/>
    <w:pPr>
      <w:ind w:firstLine="200" w:firstLineChars="200"/>
    </w:pPr>
    <w:rPr>
      <w:rFonts w:ascii="Times New Roman" w:hAnsi="Times New Roman" w:eastAsia="宋体" w:cs="Times New Roman"/>
      <w:szCs w:val="24"/>
    </w:rPr>
  </w:style>
  <w:style w:type="paragraph" w:customStyle="1" w:styleId="86">
    <w:name w:val="表格"/>
    <w:basedOn w:val="1"/>
    <w:qFormat/>
    <w:uiPriority w:val="0"/>
    <w:pPr>
      <w:tabs>
        <w:tab w:val="left" w:pos="737"/>
      </w:tabs>
      <w:adjustRightInd w:val="0"/>
      <w:spacing w:before="60" w:after="60" w:line="240" w:lineRule="atLeast"/>
      <w:jc w:val="center"/>
      <w:textAlignment w:val="bottom"/>
    </w:pPr>
    <w:rPr>
      <w:rFonts w:ascii="Times New Roman" w:hAnsi="Times New Roman" w:eastAsia="宋体" w:cs="Times New Roman"/>
      <w:kern w:val="0"/>
      <w:szCs w:val="21"/>
    </w:rPr>
  </w:style>
  <w:style w:type="paragraph" w:customStyle="1" w:styleId="87">
    <w:name w:val="_Style 84"/>
    <w:unhideWhenUsed/>
    <w:qFormat/>
    <w:uiPriority w:val="99"/>
    <w:rPr>
      <w:rFonts w:ascii="Times New Roman" w:hAnsi="Times New Roman" w:eastAsia="宋体" w:cs="Times New Roman"/>
      <w:kern w:val="2"/>
      <w:sz w:val="21"/>
      <w:szCs w:val="22"/>
      <w:lang w:val="en-US" w:eastAsia="zh-CN" w:bidi="ar-SA"/>
    </w:rPr>
  </w:style>
  <w:style w:type="paragraph" w:customStyle="1" w:styleId="88">
    <w:name w:val="表格1"/>
    <w:basedOn w:val="1"/>
    <w:qFormat/>
    <w:uiPriority w:val="0"/>
    <w:pPr>
      <w:adjustRightInd w:val="0"/>
      <w:textAlignment w:val="baseline"/>
    </w:pPr>
    <w:rPr>
      <w:rFonts w:ascii="Times New Roman" w:hAnsi="Times New Roman" w:eastAsia="宋体" w:cs="Times New Roman"/>
      <w:kern w:val="24"/>
      <w:szCs w:val="21"/>
    </w:rPr>
  </w:style>
  <w:style w:type="paragraph" w:customStyle="1" w:styleId="89">
    <w:name w:val="Char Char Char Char"/>
    <w:basedOn w:val="1"/>
    <w:qFormat/>
    <w:uiPriority w:val="0"/>
    <w:rPr>
      <w:rFonts w:ascii="Times New Roman" w:hAnsi="Times New Roman" w:eastAsia="宋体" w:cs="Times New Roman"/>
      <w:szCs w:val="21"/>
    </w:rPr>
  </w:style>
  <w:style w:type="paragraph" w:customStyle="1" w:styleId="90">
    <w:name w:val="TOC 标题11"/>
    <w:basedOn w:val="3"/>
    <w:next w:val="1"/>
    <w:qFormat/>
    <w:uiPriority w:val="0"/>
    <w:pPr>
      <w:widowControl/>
      <w:spacing w:before="480" w:after="0" w:line="276" w:lineRule="auto"/>
      <w:jc w:val="left"/>
      <w:outlineLvl w:val="9"/>
    </w:pPr>
    <w:rPr>
      <w:rFonts w:ascii="Cambria" w:hAnsi="Cambria"/>
      <w:color w:val="365F91"/>
      <w:kern w:val="0"/>
      <w:sz w:val="28"/>
    </w:rPr>
  </w:style>
  <w:style w:type="paragraph" w:customStyle="1" w:styleId="91">
    <w:name w:val="Text7-1 Char"/>
    <w:basedOn w:val="1"/>
    <w:qFormat/>
    <w:uiPriority w:val="0"/>
    <w:pPr>
      <w:adjustRightInd w:val="0"/>
      <w:textAlignment w:val="baseline"/>
    </w:pPr>
    <w:rPr>
      <w:rFonts w:ascii="Times New Roman" w:hAnsi="Times New Roman" w:eastAsia="宋体" w:cs="Times New Roman"/>
      <w:kern w:val="0"/>
      <w:sz w:val="24"/>
      <w:szCs w:val="24"/>
    </w:rPr>
  </w:style>
  <w:style w:type="paragraph" w:customStyle="1" w:styleId="92">
    <w:name w:val="Char1"/>
    <w:basedOn w:val="1"/>
    <w:qFormat/>
    <w:uiPriority w:val="0"/>
    <w:rPr>
      <w:rFonts w:ascii="Times New Roman" w:hAnsi="Times New Roman" w:eastAsia="宋体" w:cs="Times New Roman"/>
      <w:szCs w:val="21"/>
    </w:rPr>
  </w:style>
  <w:style w:type="paragraph" w:customStyle="1" w:styleId="93">
    <w:name w:val="样式 宋体 四号 首行缩进:  2 字符"/>
    <w:basedOn w:val="1"/>
    <w:qFormat/>
    <w:uiPriority w:val="0"/>
    <w:pPr>
      <w:widowControl/>
    </w:pPr>
    <w:rPr>
      <w:rFonts w:cs="宋体"/>
      <w:color w:val="000000"/>
      <w:kern w:val="0"/>
      <w:szCs w:val="20"/>
    </w:rPr>
  </w:style>
  <w:style w:type="paragraph" w:customStyle="1" w:styleId="94">
    <w:name w:val="cucd-2"/>
    <w:next w:val="95"/>
    <w:qFormat/>
    <w:uiPriority w:val="0"/>
    <w:pPr>
      <w:tabs>
        <w:tab w:val="left" w:pos="567"/>
      </w:tabs>
      <w:spacing w:line="360" w:lineRule="auto"/>
      <w:outlineLvl w:val="1"/>
    </w:pPr>
    <w:rPr>
      <w:rFonts w:ascii="宋体" w:hAnsi="宋体" w:eastAsia="宋体" w:cs="Times New Roman"/>
      <w:b/>
      <w:kern w:val="2"/>
      <w:sz w:val="21"/>
      <w:szCs w:val="21"/>
      <w:lang w:val="en-US" w:eastAsia="zh-CN" w:bidi="ar-SA"/>
    </w:rPr>
  </w:style>
  <w:style w:type="paragraph" w:customStyle="1" w:styleId="95">
    <w:name w:val="cucd-3"/>
    <w:next w:val="1"/>
    <w:qFormat/>
    <w:uiPriority w:val="0"/>
    <w:pPr>
      <w:tabs>
        <w:tab w:val="left" w:pos="1276"/>
      </w:tabs>
      <w:spacing w:line="360" w:lineRule="auto"/>
      <w:outlineLvl w:val="2"/>
    </w:pPr>
    <w:rPr>
      <w:rFonts w:ascii="Times New Roman" w:hAnsi="Times New Roman" w:eastAsia="宋体" w:cs="Times New Roman"/>
      <w:kern w:val="2"/>
      <w:sz w:val="21"/>
      <w:szCs w:val="21"/>
      <w:lang w:val="en-US" w:eastAsia="zh-CN" w:bidi="ar-SA"/>
    </w:rPr>
  </w:style>
  <w:style w:type="paragraph" w:customStyle="1" w:styleId="96">
    <w:name w:val="cucd-1"/>
    <w:next w:val="94"/>
    <w:qFormat/>
    <w:uiPriority w:val="0"/>
    <w:pPr>
      <w:pageBreakBefore/>
      <w:tabs>
        <w:tab w:val="left" w:pos="3260"/>
      </w:tabs>
      <w:spacing w:afterLines="50" w:line="360" w:lineRule="auto"/>
      <w:outlineLvl w:val="0"/>
    </w:pPr>
    <w:rPr>
      <w:rFonts w:ascii="Times New Roman" w:hAnsi="Times New Roman" w:eastAsia="黑体" w:cs="Times New Roman"/>
      <w:b/>
      <w:kern w:val="2"/>
      <w:sz w:val="28"/>
      <w:szCs w:val="28"/>
      <w:lang w:val="en-US" w:eastAsia="zh-CN" w:bidi="ar-SA"/>
    </w:rPr>
  </w:style>
  <w:style w:type="paragraph" w:customStyle="1" w:styleId="97">
    <w:name w:val="Table Paragraph"/>
    <w:basedOn w:val="1"/>
    <w:qFormat/>
    <w:uiPriority w:val="1"/>
  </w:style>
  <w:style w:type="paragraph" w:customStyle="1" w:styleId="98">
    <w:name w:val="文二"/>
    <w:basedOn w:val="1"/>
    <w:qFormat/>
    <w:uiPriority w:val="0"/>
    <w:pPr>
      <w:jc w:val="left"/>
    </w:pPr>
    <w:rPr>
      <w:rFonts w:ascii="宋体" w:hAnsi="宋体" w:cs="宋体"/>
    </w:rPr>
  </w:style>
  <w:style w:type="paragraph" w:customStyle="1" w:styleId="99">
    <w:name w:val="TOC 标题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00">
    <w:name w:val="_Style 98"/>
    <w:basedOn w:val="3"/>
    <w:next w:val="1"/>
    <w:qFormat/>
    <w:uiPriority w:val="39"/>
    <w:pPr>
      <w:widowControl/>
      <w:spacing w:before="480" w:after="0" w:line="276" w:lineRule="auto"/>
      <w:jc w:val="left"/>
      <w:outlineLvl w:val="9"/>
    </w:pPr>
    <w:rPr>
      <w:rFonts w:ascii="Cambria" w:hAnsi="Cambria" w:eastAsia="宋体" w:cs="Times New Roman"/>
      <w:bCs w:val="0"/>
      <w:color w:val="365F91"/>
      <w:kern w:val="0"/>
      <w:sz w:val="28"/>
      <w:szCs w:val="28"/>
      <w:lang w:val="en-US" w:eastAsia="zh-CN"/>
    </w:rPr>
  </w:style>
  <w:style w:type="paragraph" w:customStyle="1" w:styleId="101">
    <w:name w:val="Char Char Char1 Char"/>
    <w:basedOn w:val="9"/>
    <w:qFormat/>
    <w:uiPriority w:val="0"/>
    <w:rPr>
      <w:rFonts w:ascii="Tahoma" w:hAnsi="Tahoma"/>
      <w:sz w:val="24"/>
      <w:szCs w:val="24"/>
    </w:rPr>
  </w:style>
  <w:style w:type="paragraph" w:customStyle="1" w:styleId="102">
    <w:name w:val="Char Char2 Char Char Char Char Char Char"/>
    <w:basedOn w:val="1"/>
    <w:qFormat/>
    <w:uiPriority w:val="0"/>
    <w:pPr>
      <w:spacing w:line="360" w:lineRule="auto"/>
    </w:pPr>
    <w:rPr>
      <w:rFonts w:ascii="宋体" w:hAnsi="宋体" w:eastAsia="宋体" w:cs="Times New Roman"/>
      <w:sz w:val="22"/>
      <w:szCs w:val="24"/>
    </w:rPr>
  </w:style>
  <w:style w:type="paragraph" w:customStyle="1" w:styleId="103">
    <w:name w:val="默认段落字体 Para Char"/>
    <w:basedOn w:val="1"/>
    <w:qFormat/>
    <w:uiPriority w:val="0"/>
    <w:rPr>
      <w:rFonts w:ascii="Times New Roman" w:hAnsi="Times New Roman" w:eastAsia="宋体" w:cs="Times New Roman"/>
      <w:szCs w:val="24"/>
    </w:rPr>
  </w:style>
  <w:style w:type="paragraph" w:customStyle="1" w:styleId="104">
    <w:name w:val="Char Char1 Char Char Char Char Char Char Char Char Char Char Char Char Char 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character" w:customStyle="1" w:styleId="105">
    <w:name w:val="font61"/>
    <w:basedOn w:val="35"/>
    <w:qFormat/>
    <w:uiPriority w:val="0"/>
    <w:rPr>
      <w:rFonts w:hint="eastAsia" w:ascii="宋体" w:hAnsi="宋体" w:eastAsia="宋体" w:cs="宋体"/>
      <w:b/>
      <w:bCs/>
      <w:color w:val="000000"/>
      <w:sz w:val="22"/>
      <w:szCs w:val="22"/>
      <w:u w:val="none"/>
    </w:rPr>
  </w:style>
  <w:style w:type="character" w:customStyle="1" w:styleId="106">
    <w:name w:val="font81"/>
    <w:basedOn w:val="35"/>
    <w:qFormat/>
    <w:uiPriority w:val="0"/>
    <w:rPr>
      <w:rFonts w:hint="default" w:ascii="Times New Roman" w:hAnsi="Times New Roman" w:cs="Times New Roman"/>
      <w:b/>
      <w:bCs/>
      <w:color w:val="000000"/>
      <w:sz w:val="22"/>
      <w:szCs w:val="22"/>
      <w:u w:val="none"/>
    </w:rPr>
  </w:style>
  <w:style w:type="paragraph" w:customStyle="1" w:styleId="107">
    <w:name w:val="PlainText"/>
    <w:basedOn w:val="1"/>
    <w:qFormat/>
    <w:uiPriority w:val="0"/>
    <w:rPr>
      <w:rFonts w:ascii="宋体" w:hAnsi="Courier New"/>
      <w:kern w:val="0"/>
      <w:sz w:val="20"/>
      <w:szCs w:val="20"/>
    </w:rPr>
  </w:style>
  <w:style w:type="paragraph" w:customStyle="1" w:styleId="108">
    <w:name w:val="正文首行缩进 21"/>
    <w:basedOn w:val="15"/>
    <w:unhideWhenUsed/>
    <w:qFormat/>
    <w:uiPriority w:val="0"/>
    <w:pPr>
      <w:ind w:firstLine="420" w:firstLineChars="200"/>
    </w:pPr>
    <w:rPr>
      <w:rFonts w:ascii="Calibri" w:hAnsi="Calibri"/>
    </w:rPr>
  </w:style>
  <w:style w:type="table" w:customStyle="1" w:styleId="109">
    <w:name w:val="Table Normal"/>
    <w:semiHidden/>
    <w:unhideWhenUsed/>
    <w:qFormat/>
    <w:uiPriority w:val="0"/>
    <w:tblPr>
      <w:tblCellMar>
        <w:top w:w="0" w:type="dxa"/>
        <w:left w:w="0" w:type="dxa"/>
        <w:bottom w:w="0" w:type="dxa"/>
        <w:right w:w="0" w:type="dxa"/>
      </w:tblCellMar>
    </w:tblPr>
  </w:style>
  <w:style w:type="paragraph" w:customStyle="1" w:styleId="110">
    <w:name w:val="Table Text"/>
    <w:basedOn w:val="1"/>
    <w:semiHidden/>
    <w:qFormat/>
    <w:uiPriority w:val="0"/>
    <w:rPr>
      <w:rFonts w:ascii="宋体" w:hAnsi="宋体" w:eastAsia="宋体" w:cs="宋体"/>
      <w:sz w:val="21"/>
      <w:szCs w:val="21"/>
      <w:lang w:val="en-US" w:eastAsia="en-US" w:bidi="ar-SA"/>
    </w:rPr>
  </w:style>
  <w:style w:type="paragraph" w:customStyle="1" w:styleId="111">
    <w:name w:val="样式 宋体 行距: 1.5 倍行距"/>
    <w:basedOn w:val="112"/>
    <w:next w:val="1"/>
    <w:qFormat/>
    <w:uiPriority w:val="0"/>
    <w:pPr>
      <w:jc w:val="center"/>
    </w:pPr>
    <w:rPr>
      <w:rFonts w:ascii="Times New Roman"/>
      <w:b/>
    </w:rPr>
  </w:style>
  <w:style w:type="paragraph" w:customStyle="1" w:styleId="112">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next w:val="111"/>
    <w:qFormat/>
    <w:uiPriority w:val="0"/>
    <w:pPr>
      <w:widowControl w:val="0"/>
      <w:jc w:val="both"/>
    </w:pPr>
    <w:rPr>
      <w:rFonts w:ascii="Calibri" w:hAnsi="Calibri" w:eastAsia="宋体" w:cs="黑体"/>
      <w:kern w:val="2"/>
      <w:sz w:val="21"/>
      <w:szCs w:val="24"/>
      <w:lang w:val="en-US" w:eastAsia="zh-CN" w:bidi="ar-SA"/>
    </w:rPr>
  </w:style>
  <w:style w:type="paragraph" w:customStyle="1" w:styleId="113">
    <w:name w:val="正题"/>
    <w:basedOn w:val="114"/>
    <w:next w:val="1"/>
    <w:qFormat/>
    <w:uiPriority w:val="0"/>
    <w:pPr>
      <w:ind w:firstLine="0" w:firstLineChars="0"/>
      <w:jc w:val="center"/>
    </w:pPr>
    <w:rPr>
      <w:rFonts w:eastAsia="黑体"/>
      <w:b/>
      <w:sz w:val="36"/>
      <w:szCs w:val="36"/>
    </w:rPr>
  </w:style>
  <w:style w:type="paragraph" w:customStyle="1" w:styleId="114">
    <w:name w:val="文一"/>
    <w:basedOn w:val="1"/>
    <w:qFormat/>
    <w:uiPriority w:val="0"/>
    <w:pPr>
      <w:topLinePunct/>
      <w:adjustRightInd w:val="0"/>
      <w:snapToGrid w:val="0"/>
      <w:spacing w:line="360" w:lineRule="auto"/>
      <w:ind w:firstLine="200" w:firstLineChars="200"/>
    </w:pPr>
    <w:rPr>
      <w:snapToGrid/>
      <w:spacing w:val="4"/>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62</Pages>
  <Words>22985</Words>
  <Characters>24448</Characters>
  <Lines>147</Lines>
  <Paragraphs>41</Paragraphs>
  <TotalTime>64</TotalTime>
  <ScaleCrop>false</ScaleCrop>
  <LinksUpToDate>false</LinksUpToDate>
  <CharactersWithSpaces>26069</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2023-12-07T01:39:00Z</dcterms:created>
  <dc:creator>NTKO</dc:creator>
  <cp:lastModifiedBy>于工</cp:lastModifiedBy>
  <dcterms:modified xsi:type="dcterms:W3CDTF">2025-09-08T02:43:04Z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8B76B30D0E2A4DEABAB7162B371981D2_13</vt:lpwstr>
  </property>
</Properties>
</file>