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auto"/>
        <w:spacing w:after="0" w:line="240" w:lineRule="auto"/>
        <w:outlineLvl w:val="1"/>
        <w:rPr>
          <w:rFonts w:ascii="宋体" w:hAnsi="宋体" w:eastAsia="宋体"/>
          <w:b/>
        </w:rPr>
      </w:pPr>
      <w:bookmarkStart w:id="0" w:name="bookmark103"/>
      <w:r>
        <w:rPr>
          <w:rStyle w:val="9"/>
          <w:rFonts w:hint="eastAsia" w:ascii="黑体" w:hAnsi="黑体" w:eastAsia="黑体" w:cs="黑体"/>
          <w:b/>
          <w:bCs/>
          <w:spacing w:val="40"/>
          <w:sz w:val="36"/>
          <w:szCs w:val="36"/>
        </w:rPr>
        <w:t>第三章</w:t>
      </w:r>
      <w:r>
        <w:rPr>
          <w:rStyle w:val="9"/>
          <w:rFonts w:hint="eastAsia" w:ascii="黑体" w:hAnsi="黑体" w:eastAsia="黑体" w:cs="黑体"/>
          <w:b/>
          <w:bCs/>
          <w:spacing w:val="40"/>
          <w:sz w:val="36"/>
          <w:szCs w:val="36"/>
          <w:lang w:val="en-US"/>
        </w:rPr>
        <w:t xml:space="preserve"> </w:t>
      </w:r>
      <w:r>
        <w:rPr>
          <w:rStyle w:val="9"/>
          <w:rFonts w:hint="eastAsia" w:ascii="黑体" w:hAnsi="黑体" w:eastAsia="黑体" w:cs="黑体"/>
          <w:b/>
          <w:bCs/>
          <w:spacing w:val="40"/>
          <w:sz w:val="36"/>
          <w:szCs w:val="36"/>
        </w:rPr>
        <w:t>评标办法（双信封的综合评分法）</w:t>
      </w:r>
      <w:bookmarkEnd w:id="0"/>
    </w:p>
    <w:p>
      <w:pPr>
        <w:pStyle w:val="11"/>
        <w:shd w:val="clear" w:color="auto" w:fill="auto"/>
        <w:spacing w:before="0" w:after="0" w:line="240" w:lineRule="auto"/>
        <w:rPr>
          <w:rStyle w:val="12"/>
          <w:rFonts w:hint="eastAsia" w:ascii="宋体" w:hAnsi="宋体" w:eastAsia="宋体"/>
          <w:b w:val="0"/>
          <w:bCs/>
        </w:rPr>
      </w:pPr>
      <w:bookmarkStart w:id="1" w:name="bookmark104"/>
    </w:p>
    <w:p>
      <w:pPr>
        <w:pStyle w:val="11"/>
        <w:shd w:val="clear" w:color="auto" w:fill="auto"/>
        <w:spacing w:before="0" w:after="0" w:line="240" w:lineRule="auto"/>
        <w:rPr>
          <w:rStyle w:val="13"/>
          <w:rFonts w:hint="eastAsia" w:ascii="宋体" w:hAnsi="宋体" w:eastAsia="宋体"/>
          <w:b w:val="0"/>
          <w:bCs w:val="0"/>
          <w:spacing w:val="0"/>
          <w:sz w:val="28"/>
          <w:szCs w:val="28"/>
        </w:rPr>
      </w:pPr>
      <w:r>
        <w:rPr>
          <w:rStyle w:val="13"/>
          <w:rFonts w:hint="eastAsia" w:ascii="宋体" w:hAnsi="宋体" w:eastAsia="宋体"/>
          <w:b/>
          <w:bCs/>
          <w:spacing w:val="0"/>
          <w:sz w:val="28"/>
          <w:szCs w:val="28"/>
        </w:rPr>
        <w:t>评标办法前附表</w:t>
      </w:r>
      <w:bookmarkEnd w:id="1"/>
    </w:p>
    <w:tbl>
      <w:tblPr>
        <w:tblStyle w:val="6"/>
        <w:tblW w:w="0" w:type="auto"/>
        <w:tblInd w:w="-5" w:type="dxa"/>
        <w:tblLayout w:type="fixed"/>
        <w:tblCellMar>
          <w:top w:w="0" w:type="dxa"/>
          <w:left w:w="0" w:type="dxa"/>
          <w:bottom w:w="0" w:type="dxa"/>
          <w:right w:w="0" w:type="dxa"/>
        </w:tblCellMar>
      </w:tblPr>
      <w:tblGrid>
        <w:gridCol w:w="922"/>
        <w:gridCol w:w="1140"/>
        <w:gridCol w:w="7050"/>
      </w:tblGrid>
      <w:tr>
        <w:tblPrEx>
          <w:tblCellMar>
            <w:top w:w="0" w:type="dxa"/>
            <w:left w:w="0" w:type="dxa"/>
            <w:bottom w:w="0" w:type="dxa"/>
            <w:right w:w="0" w:type="dxa"/>
          </w:tblCellMar>
        </w:tblPrEx>
        <w:trPr>
          <w:trHeight w:val="646" w:hRule="exact"/>
          <w:tblHeader/>
        </w:trPr>
        <w:tc>
          <w:tcPr>
            <w:tcW w:w="2062" w:type="dxa"/>
            <w:gridSpan w:val="2"/>
            <w:tcBorders>
              <w:top w:val="single" w:color="auto" w:sz="4" w:space="0"/>
              <w:left w:val="single" w:color="auto" w:sz="4" w:space="0"/>
              <w:bottom w:val="single" w:color="auto" w:sz="4" w:space="0"/>
              <w:right w:val="nil"/>
            </w:tcBorders>
            <w:shd w:val="clear" w:color="auto" w:fill="FFFFFF"/>
            <w:noWrap w:val="0"/>
            <w:vAlign w:val="bottom"/>
          </w:tcPr>
          <w:p>
            <w:pPr>
              <w:pStyle w:val="15"/>
              <w:shd w:val="clear" w:color="auto" w:fill="auto"/>
              <w:spacing w:before="0" w:line="360" w:lineRule="auto"/>
              <w:jc w:val="center"/>
              <w:rPr>
                <w:rFonts w:ascii="宋体" w:hAnsi="宋体" w:eastAsia="宋体" w:cs="MingLiU"/>
                <w:b/>
                <w:bCs/>
                <w:sz w:val="24"/>
                <w:szCs w:val="24"/>
                <w:lang w:val="en-US"/>
              </w:rPr>
            </w:pPr>
            <w:r>
              <w:rPr>
                <w:rStyle w:val="16"/>
                <w:rFonts w:hint="eastAsia" w:ascii="宋体" w:hAnsi="宋体" w:eastAsia="宋体"/>
                <w:b/>
                <w:bCs/>
                <w:sz w:val="24"/>
                <w:szCs w:val="24"/>
              </w:rPr>
              <w:t>条款号</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5"/>
              <w:shd w:val="clear" w:color="auto" w:fill="auto"/>
              <w:spacing w:before="0" w:line="360" w:lineRule="auto"/>
              <w:jc w:val="center"/>
              <w:rPr>
                <w:rFonts w:ascii="宋体" w:hAnsi="宋体" w:eastAsia="宋体" w:cs="MingLiU"/>
                <w:b/>
                <w:bCs/>
                <w:sz w:val="24"/>
                <w:szCs w:val="24"/>
                <w:lang w:val="en-US"/>
              </w:rPr>
            </w:pPr>
            <w:r>
              <w:rPr>
                <w:rStyle w:val="16"/>
                <w:rFonts w:hint="eastAsia" w:ascii="宋体" w:hAnsi="宋体" w:eastAsia="宋体"/>
                <w:b/>
                <w:bCs/>
                <w:sz w:val="24"/>
                <w:szCs w:val="24"/>
              </w:rPr>
              <w:t>评审因素与评审标准</w:t>
            </w:r>
          </w:p>
        </w:tc>
      </w:tr>
      <w:tr>
        <w:tblPrEx>
          <w:tblCellMar>
            <w:top w:w="0" w:type="dxa"/>
            <w:left w:w="0" w:type="dxa"/>
            <w:bottom w:w="0" w:type="dxa"/>
            <w:right w:w="0" w:type="dxa"/>
          </w:tblCellMar>
        </w:tblPrEx>
        <w:trPr>
          <w:cantSplit/>
          <w:trHeight w:val="3299" w:hRule="exact"/>
          <w:tblHeader/>
        </w:trPr>
        <w:tc>
          <w:tcPr>
            <w:tcW w:w="922"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ind w:left="120" w:leftChars="50" w:right="120" w:rightChars="50"/>
              <w:jc w:val="center"/>
              <w:rPr>
                <w:rFonts w:ascii="宋体" w:hAnsi="宋体" w:eastAsia="宋体" w:cs="MingLiU"/>
                <w:sz w:val="21"/>
                <w:szCs w:val="21"/>
                <w:lang w:val="en-US"/>
              </w:rPr>
            </w:pPr>
            <w:r>
              <w:rPr>
                <w:rStyle w:val="16"/>
                <w:rFonts w:ascii="宋体" w:hAnsi="宋体" w:eastAsia="宋体"/>
                <w:sz w:val="21"/>
                <w:szCs w:val="21"/>
              </w:rPr>
              <w:t>1</w:t>
            </w:r>
          </w:p>
        </w:tc>
        <w:tc>
          <w:tcPr>
            <w:tcW w:w="1140"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ind w:left="120" w:leftChars="50" w:right="120" w:rightChars="50"/>
              <w:jc w:val="center"/>
              <w:rPr>
                <w:rFonts w:ascii="宋体" w:hAnsi="宋体" w:eastAsia="宋体" w:cs="MingLiU"/>
                <w:sz w:val="21"/>
                <w:szCs w:val="21"/>
                <w:lang w:val="en-US"/>
              </w:rPr>
            </w:pPr>
            <w:r>
              <w:rPr>
                <w:rStyle w:val="16"/>
                <w:rFonts w:hint="eastAsia" w:ascii="宋体" w:hAnsi="宋体" w:eastAsia="宋体"/>
                <w:sz w:val="21"/>
                <w:szCs w:val="21"/>
              </w:rPr>
              <w:t>评标方法</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shd w:val="clear" w:color="auto" w:fill="auto"/>
              <w:spacing w:before="0" w:line="360" w:lineRule="exact"/>
              <w:ind w:left="120" w:leftChars="50" w:right="120" w:rightChars="50" w:firstLine="420" w:firstLineChars="200"/>
              <w:jc w:val="both"/>
              <w:rPr>
                <w:rStyle w:val="17"/>
                <w:rFonts w:hint="eastAsia" w:ascii="宋体" w:hAnsi="宋体" w:eastAsia="宋体"/>
                <w:sz w:val="21"/>
                <w:szCs w:val="21"/>
              </w:rPr>
            </w:pPr>
            <w:r>
              <w:rPr>
                <w:rStyle w:val="17"/>
                <w:rFonts w:hint="eastAsia" w:ascii="宋体" w:hAnsi="宋体" w:eastAsia="宋体"/>
                <w:sz w:val="21"/>
                <w:szCs w:val="21"/>
              </w:rPr>
              <w:t>综合评分相等时，评标委员会依次按照以下优先顺序推荐中标候选人或确定中标人：</w:t>
            </w:r>
          </w:p>
          <w:p>
            <w:pPr>
              <w:pStyle w:val="15"/>
              <w:shd w:val="clear" w:color="auto" w:fill="auto"/>
              <w:spacing w:before="0" w:line="360" w:lineRule="exact"/>
              <w:ind w:left="120" w:leftChars="50" w:right="120" w:rightChars="50" w:firstLine="420" w:firstLineChars="200"/>
              <w:jc w:val="both"/>
              <w:rPr>
                <w:rStyle w:val="17"/>
                <w:rFonts w:hint="eastAsia" w:ascii="宋体" w:hAnsi="宋体" w:eastAsia="宋体"/>
                <w:sz w:val="21"/>
                <w:szCs w:val="21"/>
              </w:rPr>
            </w:pPr>
            <w:r>
              <w:rPr>
                <w:rStyle w:val="17"/>
                <w:rFonts w:hint="eastAsia" w:ascii="宋体" w:hAnsi="宋体" w:eastAsia="宋体"/>
                <w:sz w:val="21"/>
                <w:szCs w:val="21"/>
              </w:rPr>
              <w:t>（</w:t>
            </w:r>
            <w:r>
              <w:rPr>
                <w:rStyle w:val="17"/>
                <w:rFonts w:hint="eastAsia" w:ascii="宋体" w:hAnsi="宋体" w:eastAsia="宋体"/>
                <w:sz w:val="21"/>
                <w:szCs w:val="21"/>
                <w:lang w:val="en-US"/>
              </w:rPr>
              <w:t>1</w:t>
            </w:r>
            <w:r>
              <w:rPr>
                <w:rStyle w:val="17"/>
                <w:rFonts w:hint="eastAsia" w:ascii="宋体" w:hAnsi="宋体" w:eastAsia="宋体"/>
                <w:sz w:val="21"/>
                <w:szCs w:val="21"/>
              </w:rPr>
              <w:t>）评标价低的优先；当一家以上投标人综合得分相等且评标价也相等时，若各投标人工程量清单细目单价也相同，视为串标（一个合同段仅一工作细目报价的除外），应否决其投标；</w:t>
            </w:r>
          </w:p>
          <w:p>
            <w:pPr>
              <w:adjustRightInd w:val="0"/>
              <w:snapToGrid w:val="0"/>
              <w:spacing w:line="360" w:lineRule="exact"/>
              <w:ind w:left="120" w:leftChars="50" w:right="120" w:rightChars="50" w:firstLine="210" w:firstLineChars="100"/>
              <w:jc w:val="both"/>
              <w:rPr>
                <w:rStyle w:val="17"/>
                <w:rFonts w:hint="eastAsia" w:ascii="宋体" w:hAnsi="宋体" w:eastAsia="宋体"/>
                <w:color w:val="auto"/>
                <w:sz w:val="21"/>
                <w:szCs w:val="21"/>
              </w:rPr>
            </w:pPr>
            <w:r>
              <w:rPr>
                <w:rStyle w:val="17"/>
                <w:rFonts w:hint="eastAsia" w:ascii="宋体" w:hAnsi="宋体" w:eastAsia="宋体"/>
                <w:color w:val="auto"/>
                <w:sz w:val="21"/>
                <w:szCs w:val="21"/>
              </w:rPr>
              <w:t>（</w:t>
            </w:r>
            <w:r>
              <w:rPr>
                <w:rStyle w:val="17"/>
                <w:rFonts w:hint="eastAsia" w:ascii="宋体" w:hAnsi="宋体" w:eastAsia="宋体"/>
                <w:color w:val="auto"/>
                <w:sz w:val="21"/>
                <w:szCs w:val="21"/>
                <w:lang w:val="en-US"/>
              </w:rPr>
              <w:t>2</w:t>
            </w:r>
            <w:r>
              <w:rPr>
                <w:rStyle w:val="17"/>
                <w:rFonts w:hint="eastAsia" w:ascii="宋体" w:hAnsi="宋体" w:eastAsia="宋体"/>
                <w:color w:val="auto"/>
                <w:sz w:val="21"/>
                <w:szCs w:val="21"/>
              </w:rPr>
              <w:t>）以投标人企业最新年度净资产较高的优先；</w:t>
            </w:r>
          </w:p>
          <w:p>
            <w:pPr>
              <w:adjustRightInd w:val="0"/>
              <w:snapToGrid w:val="0"/>
              <w:spacing w:line="360" w:lineRule="exact"/>
              <w:ind w:left="120" w:leftChars="50" w:right="120" w:rightChars="50" w:firstLine="210" w:firstLineChars="100"/>
              <w:jc w:val="both"/>
              <w:rPr>
                <w:rStyle w:val="17"/>
                <w:rFonts w:ascii="宋体" w:hAnsi="宋体" w:eastAsia="宋体"/>
                <w:sz w:val="21"/>
                <w:szCs w:val="21"/>
              </w:rPr>
            </w:pPr>
            <w:r>
              <w:rPr>
                <w:rStyle w:val="17"/>
                <w:rFonts w:hint="eastAsia" w:ascii="宋体" w:hAnsi="宋体" w:eastAsia="宋体"/>
                <w:color w:val="auto"/>
                <w:sz w:val="21"/>
                <w:szCs w:val="21"/>
              </w:rPr>
              <w:t>（</w:t>
            </w:r>
            <w:r>
              <w:rPr>
                <w:rStyle w:val="17"/>
                <w:rFonts w:hint="eastAsia" w:ascii="宋体" w:hAnsi="宋体" w:eastAsia="宋体"/>
                <w:color w:val="auto"/>
                <w:sz w:val="21"/>
                <w:szCs w:val="21"/>
                <w:lang w:val="en-US"/>
              </w:rPr>
              <w:t>3</w:t>
            </w:r>
            <w:r>
              <w:rPr>
                <w:rStyle w:val="17"/>
                <w:rFonts w:hint="eastAsia" w:ascii="宋体" w:hAnsi="宋体" w:eastAsia="宋体"/>
                <w:color w:val="auto"/>
                <w:sz w:val="21"/>
                <w:szCs w:val="21"/>
              </w:rPr>
              <w:t>）评标委员会视投标人情况综合比较，投票确定其名次。</w:t>
            </w:r>
          </w:p>
        </w:tc>
      </w:tr>
      <w:tr>
        <w:tblPrEx>
          <w:tblCellMar>
            <w:top w:w="0" w:type="dxa"/>
            <w:left w:w="0" w:type="dxa"/>
            <w:bottom w:w="0" w:type="dxa"/>
            <w:right w:w="0" w:type="dxa"/>
          </w:tblCellMar>
        </w:tblPrEx>
        <w:trPr>
          <w:cantSplit/>
          <w:trHeight w:val="8551" w:hRule="exact"/>
          <w:tblHeader/>
        </w:trPr>
        <w:tc>
          <w:tcPr>
            <w:tcW w:w="922"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jc w:val="center"/>
              <w:rPr>
                <w:rStyle w:val="17"/>
                <w:rFonts w:hint="eastAsia" w:ascii="宋体" w:hAnsi="宋体" w:eastAsia="宋体"/>
                <w:sz w:val="21"/>
                <w:szCs w:val="21"/>
                <w:lang w:val="en-US"/>
              </w:rPr>
            </w:pPr>
            <w:r>
              <w:rPr>
                <w:rStyle w:val="17"/>
                <w:rFonts w:hint="eastAsia" w:ascii="宋体" w:hAnsi="宋体" w:eastAsia="宋体"/>
                <w:sz w:val="21"/>
                <w:szCs w:val="21"/>
                <w:lang w:val="en-US"/>
              </w:rPr>
              <w:t>2.1.1</w:t>
            </w:r>
          </w:p>
          <w:p>
            <w:pPr>
              <w:pStyle w:val="15"/>
              <w:shd w:val="clear" w:color="auto" w:fill="auto"/>
              <w:spacing w:before="0" w:line="360" w:lineRule="auto"/>
              <w:jc w:val="center"/>
              <w:rPr>
                <w:rStyle w:val="16"/>
                <w:rFonts w:ascii="宋体" w:hAnsi="宋体" w:eastAsia="宋体"/>
                <w:sz w:val="21"/>
                <w:szCs w:val="21"/>
              </w:rPr>
            </w:pPr>
            <w:r>
              <w:rPr>
                <w:rStyle w:val="17"/>
                <w:rFonts w:hint="eastAsia" w:ascii="宋体" w:hAnsi="宋体" w:eastAsia="宋体"/>
                <w:sz w:val="21"/>
                <w:szCs w:val="21"/>
                <w:lang w:val="en-US"/>
              </w:rPr>
              <w:t>2.1.</w:t>
            </w:r>
            <w:r>
              <w:rPr>
                <w:rStyle w:val="16"/>
                <w:rFonts w:hint="eastAsia" w:ascii="宋体" w:hAnsi="宋体" w:eastAsia="宋体"/>
                <w:sz w:val="21"/>
                <w:szCs w:val="21"/>
                <w:lang w:val="en-US"/>
              </w:rPr>
              <w:t>3</w:t>
            </w:r>
          </w:p>
        </w:tc>
        <w:tc>
          <w:tcPr>
            <w:tcW w:w="1140"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ind w:left="120" w:leftChars="50" w:right="120" w:rightChars="50"/>
              <w:jc w:val="both"/>
              <w:rPr>
                <w:rStyle w:val="16"/>
                <w:rFonts w:hint="eastAsia" w:ascii="宋体" w:hAnsi="宋体" w:eastAsia="宋体"/>
                <w:sz w:val="21"/>
                <w:szCs w:val="21"/>
              </w:rPr>
            </w:pPr>
            <w:r>
              <w:rPr>
                <w:rStyle w:val="17"/>
                <w:rFonts w:hint="eastAsia" w:ascii="宋体" w:hAnsi="宋体" w:eastAsia="宋体"/>
                <w:sz w:val="21"/>
                <w:szCs w:val="21"/>
              </w:rPr>
              <w:t>形式评审与响应性评审标准</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shd w:val="clear" w:color="auto" w:fill="auto"/>
              <w:tabs>
                <w:tab w:val="left" w:pos="1087"/>
              </w:tabs>
              <w:spacing w:before="0" w:line="360" w:lineRule="exact"/>
              <w:ind w:left="120" w:leftChars="50" w:right="120" w:rightChars="50"/>
              <w:jc w:val="both"/>
              <w:rPr>
                <w:rStyle w:val="17"/>
                <w:rFonts w:hint="eastAsia" w:ascii="宋体" w:hAnsi="宋体" w:eastAsia="宋体"/>
                <w:sz w:val="21"/>
                <w:szCs w:val="21"/>
                <w:lang w:val="en-US"/>
              </w:rPr>
            </w:pPr>
            <w:r>
              <w:rPr>
                <w:rStyle w:val="17"/>
                <w:rFonts w:hint="eastAsia" w:ascii="宋体" w:hAnsi="宋体" w:eastAsia="宋体"/>
                <w:sz w:val="21"/>
                <w:szCs w:val="21"/>
              </w:rPr>
              <w:t>第一个信封（商务及技术文件）评审标准：</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(1)投标文件按照招标文件规定的格式、内容填写，字迹清晰可辨：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a.投标函按招标文件规定填报了项目名称、标段号（如有)、补遗书编号（如有)、工期、工程质量要求及安全目标；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b.投标函附录的所有数据均符合招标文件规定；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c.投标文件组成齐全完整，内容均按规定填写。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(2)投标文件上法定代表人或其委托代理人的签字、投标人的单位章盖章齐全，符合招标文件规定。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(3)投标人按照招标文件的规定提供了投标保证金： </w:t>
            </w:r>
          </w:p>
          <w:p>
            <w:pPr>
              <w:pStyle w:val="15"/>
              <w:shd w:val="clear" w:color="auto" w:fill="auto"/>
              <w:tabs>
                <w:tab w:val="left" w:pos="695"/>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a.投标保证金金额符合招标文件规定的金额，且投标保证金有效期不少于投标有效期； </w:t>
            </w:r>
          </w:p>
          <w:p>
            <w:pPr>
              <w:pStyle w:val="15"/>
              <w:shd w:val="clear" w:color="auto" w:fill="auto"/>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b.若投标保证金采用现金或支票形式提交，投标人应在投标人须知</w:t>
            </w:r>
          </w:p>
          <w:p>
            <w:pPr>
              <w:pStyle w:val="15"/>
              <w:shd w:val="clear" w:color="auto" w:fill="auto"/>
              <w:tabs>
                <w:tab w:val="left" w:pos="571"/>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3.4.1款规定的时间，将投标保证金由投标人的基本账户转入招标人指定账户； </w:t>
            </w:r>
          </w:p>
          <w:p>
            <w:pPr>
              <w:pStyle w:val="15"/>
              <w:shd w:val="clear" w:color="auto" w:fill="auto"/>
              <w:tabs>
                <w:tab w:val="left" w:pos="571"/>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rPr>
            </w:pPr>
            <w:r>
              <w:rPr>
                <w:rStyle w:val="17"/>
                <w:rFonts w:hint="eastAsia" w:ascii="宋体" w:hAnsi="宋体" w:eastAsia="宋体"/>
                <w:sz w:val="21"/>
                <w:szCs w:val="21"/>
                <w:lang w:val="en-US"/>
              </w:rPr>
              <w:t xml:space="preserve">c.若投标保证金采用银行保函或投标人须知前附表3.4.1项规定的其他形式提交，应满足招标文件要求。 </w:t>
            </w:r>
          </w:p>
          <w:p>
            <w:pPr>
              <w:pStyle w:val="15"/>
              <w:shd w:val="clear" w:color="auto" w:fill="auto"/>
              <w:tabs>
                <w:tab w:val="left" w:pos="571"/>
              </w:tabs>
              <w:adjustRightInd w:val="0"/>
              <w:snapToGrid w:val="0"/>
              <w:spacing w:before="0" w:line="360" w:lineRule="exact"/>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d.若投标保证金采用保险形式提交，投标人应按投标人须知 3.4.1款规定，投标保证金的保费必须由投标人的基本账户转出并提供证明材料原件: </w:t>
            </w:r>
          </w:p>
          <w:p>
            <w:pPr>
              <w:pStyle w:val="15"/>
              <w:shd w:val="clear" w:color="auto" w:fill="auto"/>
              <w:spacing w:before="0" w:line="360" w:lineRule="auto"/>
              <w:ind w:right="120" w:rightChars="50" w:firstLine="420" w:firstLineChars="200"/>
              <w:jc w:val="both"/>
              <w:rPr>
                <w:rStyle w:val="17"/>
                <w:rFonts w:hint="eastAsia" w:ascii="宋体" w:hAnsi="宋体" w:eastAsia="宋体"/>
                <w:sz w:val="21"/>
                <w:szCs w:val="21"/>
              </w:rPr>
            </w:pPr>
          </w:p>
        </w:tc>
      </w:tr>
      <w:tr>
        <w:tblPrEx>
          <w:tblCellMar>
            <w:top w:w="0" w:type="dxa"/>
            <w:left w:w="0" w:type="dxa"/>
            <w:bottom w:w="0" w:type="dxa"/>
            <w:right w:w="0" w:type="dxa"/>
          </w:tblCellMar>
        </w:tblPrEx>
        <w:trPr>
          <w:cantSplit/>
          <w:trHeight w:val="13494" w:hRule="exact"/>
          <w:tblHeader/>
        </w:trPr>
        <w:tc>
          <w:tcPr>
            <w:tcW w:w="922"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jc w:val="center"/>
              <w:rPr>
                <w:rStyle w:val="17"/>
                <w:rFonts w:hint="eastAsia" w:ascii="宋体" w:hAnsi="宋体" w:eastAsia="宋体"/>
                <w:sz w:val="21"/>
                <w:szCs w:val="21"/>
                <w:lang w:val="en-US"/>
              </w:rPr>
            </w:pPr>
            <w:r>
              <w:rPr>
                <w:rStyle w:val="17"/>
                <w:rFonts w:hint="eastAsia" w:ascii="宋体" w:hAnsi="宋体" w:eastAsia="宋体"/>
                <w:sz w:val="21"/>
                <w:szCs w:val="21"/>
                <w:lang w:val="en-US"/>
              </w:rPr>
              <w:t>2.1.1</w:t>
            </w:r>
          </w:p>
          <w:p>
            <w:pPr>
              <w:pStyle w:val="15"/>
              <w:shd w:val="clear" w:color="auto" w:fill="auto"/>
              <w:spacing w:before="0" w:line="360" w:lineRule="auto"/>
              <w:jc w:val="center"/>
              <w:rPr>
                <w:rStyle w:val="16"/>
                <w:rFonts w:ascii="宋体" w:hAnsi="宋体" w:eastAsia="宋体"/>
                <w:sz w:val="21"/>
                <w:szCs w:val="21"/>
              </w:rPr>
            </w:pPr>
            <w:r>
              <w:rPr>
                <w:rStyle w:val="17"/>
                <w:rFonts w:hint="eastAsia" w:ascii="宋体" w:hAnsi="宋体" w:eastAsia="宋体"/>
                <w:sz w:val="21"/>
                <w:szCs w:val="21"/>
                <w:lang w:val="en-US"/>
              </w:rPr>
              <w:t>2.1.</w:t>
            </w:r>
            <w:r>
              <w:rPr>
                <w:rStyle w:val="16"/>
                <w:rFonts w:hint="eastAsia" w:ascii="宋体" w:hAnsi="宋体" w:eastAsia="宋体"/>
                <w:sz w:val="21"/>
                <w:szCs w:val="21"/>
                <w:lang w:val="en-US"/>
              </w:rPr>
              <w:t>3</w:t>
            </w:r>
          </w:p>
        </w:tc>
        <w:tc>
          <w:tcPr>
            <w:tcW w:w="1140"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spacing w:before="0" w:line="360" w:lineRule="auto"/>
              <w:ind w:left="120" w:leftChars="50" w:right="120" w:rightChars="50"/>
              <w:jc w:val="both"/>
              <w:rPr>
                <w:rStyle w:val="16"/>
                <w:rFonts w:hint="eastAsia" w:ascii="宋体" w:hAnsi="宋体" w:eastAsia="宋体"/>
                <w:sz w:val="21"/>
                <w:szCs w:val="21"/>
              </w:rPr>
            </w:pPr>
            <w:r>
              <w:rPr>
                <w:rStyle w:val="17"/>
                <w:rFonts w:hint="eastAsia" w:ascii="宋体" w:hAnsi="宋体" w:eastAsia="宋体"/>
                <w:sz w:val="21"/>
                <w:szCs w:val="21"/>
              </w:rPr>
              <w:t>形式评审与响应性评审标准</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shd w:val="clear" w:color="auto" w:fill="auto"/>
              <w:tabs>
                <w:tab w:val="left" w:pos="571"/>
              </w:tabs>
              <w:adjustRightInd w:val="0"/>
              <w:snapToGrid w:val="0"/>
              <w:spacing w:before="0" w:line="360" w:lineRule="auto"/>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 </w:t>
            </w:r>
          </w:p>
          <w:p>
            <w:pPr>
              <w:pStyle w:val="15"/>
              <w:shd w:val="clear" w:color="auto" w:fill="auto"/>
              <w:tabs>
                <w:tab w:val="left" w:pos="571"/>
              </w:tabs>
              <w:adjustRightInd w:val="0"/>
              <w:snapToGrid w:val="0"/>
              <w:spacing w:before="0" w:line="360" w:lineRule="auto"/>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(4)投标人法定代表人授权委托代理人签署投标文件的，需提交授权委托书，且授权人和被授权人均在授权委托书上签名，未使用印章、签名章或其他电子制版签名代替。 </w:t>
            </w:r>
          </w:p>
          <w:p>
            <w:pPr>
              <w:pStyle w:val="15"/>
              <w:shd w:val="clear" w:color="auto" w:fill="auto"/>
              <w:tabs>
                <w:tab w:val="left" w:pos="571"/>
              </w:tabs>
              <w:adjustRightInd w:val="0"/>
              <w:snapToGrid w:val="0"/>
              <w:spacing w:before="0" w:line="360" w:lineRule="auto"/>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(5)投标人法定代表人亲自签署投标文件的，提供了法定代表人身份证明，且法定代表人在法定代表人身份证明上签名，未使用印章、签名章或其他电子制版签名代替。 </w:t>
            </w:r>
          </w:p>
          <w:p>
            <w:pPr>
              <w:pStyle w:val="15"/>
              <w:shd w:val="clear" w:color="auto" w:fill="auto"/>
              <w:tabs>
                <w:tab w:val="left" w:pos="571"/>
              </w:tabs>
              <w:adjustRightInd w:val="0"/>
              <w:snapToGrid w:val="0"/>
              <w:spacing w:before="0" w:line="360" w:lineRule="auto"/>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(6)如投标人不具备拟分包工程所需的某专项工程相应资质或投标人如有分包计划，符合招标文件第二章“投标人须知” 第 1.11款规定，且按招标文件第九章“投标文件格式”的要求填写 了“拟分包项目情况表”。 </w:t>
            </w:r>
          </w:p>
          <w:p>
            <w:pPr>
              <w:pStyle w:val="15"/>
              <w:shd w:val="clear" w:color="auto" w:fill="auto"/>
              <w:tabs>
                <w:tab w:val="left" w:pos="571"/>
              </w:tabs>
              <w:adjustRightInd w:val="0"/>
              <w:snapToGrid w:val="0"/>
              <w:spacing w:before="0" w:line="360" w:lineRule="auto"/>
              <w:ind w:left="120" w:leftChars="50" w:right="120" w:rightChars="50" w:firstLine="315" w:firstLineChars="15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(7)同一投标人未提交两个以上不同的投标文件，但招标文件要求提交备选投标的除外。 </w:t>
            </w:r>
          </w:p>
          <w:p>
            <w:pPr>
              <w:pStyle w:val="15"/>
              <w:shd w:val="clear" w:color="auto" w:fill="auto"/>
              <w:tabs>
                <w:tab w:val="left" w:pos="571"/>
              </w:tabs>
              <w:adjustRightInd w:val="0"/>
              <w:snapToGrid w:val="0"/>
              <w:spacing w:before="0" w:line="360" w:lineRule="auto"/>
              <w:ind w:left="120" w:leftChars="50" w:right="120" w:rightChars="50" w:firstLine="315" w:firstLineChars="150"/>
              <w:jc w:val="both"/>
              <w:rPr>
                <w:rFonts w:hint="eastAsia" w:ascii="宋体" w:hAnsi="宋体" w:eastAsia="宋体" w:cs="宋体"/>
                <w:color w:val="000000"/>
                <w:sz w:val="24"/>
                <w:szCs w:val="24"/>
                <w:lang w:val="en-US" w:bidi="ar"/>
              </w:rPr>
            </w:pPr>
            <w:r>
              <w:rPr>
                <w:rStyle w:val="17"/>
                <w:rFonts w:hint="eastAsia" w:ascii="宋体" w:hAnsi="宋体" w:eastAsia="宋体"/>
                <w:sz w:val="21"/>
                <w:szCs w:val="21"/>
                <w:lang w:val="en-US"/>
              </w:rPr>
              <w:t xml:space="preserve">(8)投标文件中未出现有关投标报价的内容。 </w:t>
            </w:r>
            <w:r>
              <w:rPr>
                <w:rFonts w:hint="eastAsia" w:ascii="宋体" w:hAnsi="宋体" w:eastAsia="宋体" w:cs="宋体"/>
                <w:color w:val="000000"/>
                <w:sz w:val="24"/>
                <w:szCs w:val="24"/>
                <w:lang w:val="en-US" w:bidi="ar"/>
              </w:rPr>
              <w:t xml:space="preserve">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(9)投标文件载明的招标项目完成期限未超过招标文件规定的时限。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(10)投标文件对招标文件的实质性要求和条件作出响应。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(11)权利义务符合招标文件规定：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a.投标人应接受招标文件规定的风险划分原则，未提出新的风险划分办法；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b.投标人未增加发包人的责任范围，或减少投标人义务；</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c.投标人未提出不同的工程验收、计量、支付办法；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d.投标人对合同纠纷、事故处理办法未提出异议；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e.投标人在投标活动中无欺诈行为；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f.投标人未对合同条款有重要保留。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(12)投标文件正、副本份数符合招标文件第二章“投标人须知”第3.7.4项规定。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(13)投标文件未附有招标人不能接受的条件。 </w:t>
            </w:r>
          </w:p>
          <w:p>
            <w:pPr>
              <w:pStyle w:val="15"/>
              <w:shd w:val="clear" w:color="auto" w:fill="auto"/>
              <w:tabs>
                <w:tab w:val="left" w:pos="571"/>
              </w:tabs>
              <w:adjustRightInd w:val="0"/>
              <w:snapToGrid w:val="0"/>
              <w:spacing w:before="0" w:line="360" w:lineRule="auto"/>
              <w:ind w:left="120" w:leftChars="50" w:right="120" w:rightChars="50" w:firstLine="420" w:firstLineChars="150"/>
              <w:jc w:val="both"/>
              <w:rPr>
                <w:rStyle w:val="17"/>
                <w:rFonts w:hint="eastAsia" w:ascii="宋体" w:hAnsi="宋体" w:eastAsia="宋体"/>
                <w:sz w:val="21"/>
                <w:szCs w:val="21"/>
              </w:rPr>
            </w:pPr>
            <w:r>
              <w:rPr>
                <w:rFonts w:hint="eastAsia" w:ascii="宋体" w:hAnsi="宋体" w:eastAsia="宋体" w:cs="宋体"/>
                <w:color w:val="000000"/>
                <w:sz w:val="24"/>
                <w:szCs w:val="24"/>
                <w:lang w:val="en-US" w:bidi="ar"/>
              </w:rPr>
              <w:t xml:space="preserve">   </w:t>
            </w:r>
          </w:p>
        </w:tc>
      </w:tr>
    </w:tbl>
    <w:p>
      <w:pPr>
        <w:sectPr>
          <w:footnotePr>
            <w:numFmt w:val="decimalEnclosedCircleChinese"/>
            <w:numRestart w:val="eachPage"/>
          </w:footnotePr>
          <w:pgSz w:w="11900" w:h="16838"/>
          <w:pgMar w:top="1417" w:right="1417" w:bottom="1417" w:left="1417" w:header="680" w:footer="680" w:gutter="0"/>
          <w:pgBorders>
            <w:top w:val="none" w:sz="0" w:space="0"/>
            <w:left w:val="none" w:sz="0" w:space="0"/>
            <w:bottom w:val="none" w:sz="0" w:space="0"/>
            <w:right w:val="none" w:sz="0" w:space="0"/>
          </w:pgBorders>
          <w:cols w:space="720" w:num="1"/>
          <w:docGrid w:linePitch="360" w:charSpace="0"/>
        </w:sect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tbl>
      <w:tblPr>
        <w:tblStyle w:val="6"/>
        <w:tblW w:w="9112" w:type="dxa"/>
        <w:tblInd w:w="-5" w:type="dxa"/>
        <w:tblLayout w:type="fixed"/>
        <w:tblCellMar>
          <w:top w:w="0" w:type="dxa"/>
          <w:left w:w="0" w:type="dxa"/>
          <w:bottom w:w="0" w:type="dxa"/>
          <w:right w:w="0" w:type="dxa"/>
        </w:tblCellMar>
      </w:tblPr>
      <w:tblGrid>
        <w:gridCol w:w="922"/>
        <w:gridCol w:w="1140"/>
        <w:gridCol w:w="7050"/>
      </w:tblGrid>
      <w:tr>
        <w:tblPrEx>
          <w:tblCellMar>
            <w:top w:w="0" w:type="dxa"/>
            <w:left w:w="0" w:type="dxa"/>
            <w:bottom w:w="0" w:type="dxa"/>
            <w:right w:w="0" w:type="dxa"/>
          </w:tblCellMar>
        </w:tblPrEx>
        <w:trPr>
          <w:trHeight w:val="659" w:hRule="exact"/>
          <w:tblHeader/>
        </w:trPr>
        <w:tc>
          <w:tcPr>
            <w:tcW w:w="2062" w:type="dxa"/>
            <w:gridSpan w:val="2"/>
            <w:tcBorders>
              <w:top w:val="single" w:color="auto" w:sz="4" w:space="0"/>
              <w:left w:val="single" w:color="auto" w:sz="4" w:space="0"/>
              <w:bottom w:val="single" w:color="auto" w:sz="4" w:space="0"/>
              <w:right w:val="nil"/>
            </w:tcBorders>
            <w:shd w:val="clear" w:color="auto" w:fill="FFFFFF"/>
            <w:noWrap w:val="0"/>
            <w:vAlign w:val="bottom"/>
          </w:tcPr>
          <w:p>
            <w:pPr>
              <w:pStyle w:val="15"/>
              <w:shd w:val="clear" w:color="auto" w:fill="auto"/>
              <w:spacing w:before="0" w:line="360" w:lineRule="auto"/>
              <w:jc w:val="center"/>
              <w:rPr>
                <w:rFonts w:ascii="宋体" w:hAnsi="宋体" w:eastAsia="宋体" w:cs="MingLiU"/>
                <w:b/>
                <w:bCs/>
                <w:sz w:val="24"/>
                <w:szCs w:val="24"/>
                <w:lang w:val="en-US"/>
              </w:rPr>
            </w:pPr>
            <w:r>
              <w:rPr>
                <w:rStyle w:val="16"/>
                <w:rFonts w:hint="eastAsia" w:ascii="宋体" w:hAnsi="宋体" w:eastAsia="宋体"/>
                <w:b/>
                <w:bCs/>
                <w:sz w:val="24"/>
                <w:szCs w:val="24"/>
              </w:rPr>
              <w:t>条款号</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5"/>
              <w:shd w:val="clear" w:color="auto" w:fill="auto"/>
              <w:spacing w:before="0" w:line="360" w:lineRule="auto"/>
              <w:jc w:val="center"/>
              <w:rPr>
                <w:rFonts w:ascii="宋体" w:hAnsi="宋体" w:eastAsia="宋体" w:cs="MingLiU"/>
                <w:b/>
                <w:bCs/>
                <w:sz w:val="24"/>
                <w:szCs w:val="24"/>
                <w:lang w:val="en-US"/>
              </w:rPr>
            </w:pPr>
            <w:r>
              <w:rPr>
                <w:rStyle w:val="16"/>
                <w:rFonts w:hint="eastAsia" w:ascii="宋体" w:hAnsi="宋体" w:eastAsia="宋体"/>
                <w:b/>
                <w:bCs/>
                <w:sz w:val="24"/>
                <w:szCs w:val="24"/>
              </w:rPr>
              <w:t>评审因素与评审标准</w:t>
            </w:r>
          </w:p>
        </w:tc>
      </w:tr>
      <w:tr>
        <w:tblPrEx>
          <w:tblCellMar>
            <w:top w:w="0" w:type="dxa"/>
            <w:left w:w="0" w:type="dxa"/>
            <w:bottom w:w="0" w:type="dxa"/>
            <w:right w:w="0" w:type="dxa"/>
          </w:tblCellMar>
        </w:tblPrEx>
        <w:trPr>
          <w:cantSplit/>
          <w:trHeight w:val="8494" w:hRule="exact"/>
          <w:tblHeader/>
        </w:trPr>
        <w:tc>
          <w:tcPr>
            <w:tcW w:w="922"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adjustRightInd w:val="0"/>
              <w:snapToGrid w:val="0"/>
              <w:spacing w:before="0" w:line="360" w:lineRule="auto"/>
              <w:ind w:left="120" w:leftChars="50" w:right="120" w:rightChars="50"/>
              <w:jc w:val="center"/>
              <w:rPr>
                <w:rStyle w:val="17"/>
                <w:rFonts w:hint="eastAsia" w:ascii="宋体" w:hAnsi="宋体" w:eastAsia="宋体"/>
                <w:sz w:val="21"/>
                <w:szCs w:val="21"/>
                <w:lang w:val="en-US"/>
              </w:rPr>
            </w:pPr>
            <w:r>
              <w:rPr>
                <w:rStyle w:val="17"/>
                <w:rFonts w:hint="eastAsia" w:ascii="宋体" w:hAnsi="宋体" w:eastAsia="宋体"/>
                <w:sz w:val="21"/>
                <w:szCs w:val="21"/>
                <w:lang w:val="en-US"/>
              </w:rPr>
              <w:t>2.1.1</w:t>
            </w:r>
          </w:p>
          <w:p>
            <w:pPr>
              <w:pStyle w:val="15"/>
              <w:shd w:val="clear" w:color="auto" w:fill="auto"/>
              <w:adjustRightInd w:val="0"/>
              <w:snapToGrid w:val="0"/>
              <w:spacing w:before="0" w:line="360" w:lineRule="auto"/>
              <w:ind w:left="120" w:leftChars="50" w:right="120" w:rightChars="50"/>
              <w:jc w:val="center"/>
              <w:rPr>
                <w:rFonts w:ascii="宋体" w:hAnsi="宋体" w:eastAsia="宋体" w:cs="MingLiU"/>
                <w:sz w:val="21"/>
                <w:szCs w:val="21"/>
                <w:lang w:val="en-US"/>
              </w:rPr>
            </w:pPr>
            <w:r>
              <w:rPr>
                <w:rStyle w:val="17"/>
                <w:rFonts w:hint="eastAsia" w:ascii="宋体" w:hAnsi="宋体" w:eastAsia="宋体"/>
                <w:sz w:val="21"/>
                <w:szCs w:val="21"/>
                <w:lang w:val="en-US"/>
              </w:rPr>
              <w:t>2.1.</w:t>
            </w:r>
            <w:r>
              <w:rPr>
                <w:rStyle w:val="16"/>
                <w:rFonts w:hint="eastAsia" w:ascii="宋体" w:hAnsi="宋体" w:eastAsia="宋体"/>
                <w:sz w:val="21"/>
                <w:szCs w:val="21"/>
                <w:lang w:val="en-US"/>
              </w:rPr>
              <w:t>3</w:t>
            </w:r>
          </w:p>
        </w:tc>
        <w:tc>
          <w:tcPr>
            <w:tcW w:w="1140" w:type="dxa"/>
            <w:tcBorders>
              <w:top w:val="single" w:color="auto" w:sz="4" w:space="0"/>
              <w:left w:val="single" w:color="auto" w:sz="4" w:space="0"/>
              <w:bottom w:val="single" w:color="auto" w:sz="4" w:space="0"/>
              <w:right w:val="nil"/>
            </w:tcBorders>
            <w:shd w:val="clear" w:color="auto" w:fill="FFFFFF"/>
            <w:noWrap w:val="0"/>
            <w:vAlign w:val="center"/>
          </w:tcPr>
          <w:p>
            <w:pPr>
              <w:pStyle w:val="15"/>
              <w:shd w:val="clear" w:color="auto" w:fill="auto"/>
              <w:adjustRightInd w:val="0"/>
              <w:snapToGrid w:val="0"/>
              <w:spacing w:before="0" w:line="360" w:lineRule="auto"/>
              <w:ind w:left="120" w:leftChars="50" w:right="120" w:rightChars="50"/>
              <w:jc w:val="center"/>
              <w:rPr>
                <w:rFonts w:ascii="宋体" w:hAnsi="宋体" w:eastAsia="宋体" w:cs="MingLiU"/>
                <w:sz w:val="21"/>
                <w:szCs w:val="21"/>
                <w:lang w:val="en-US"/>
              </w:rPr>
            </w:pPr>
            <w:r>
              <w:rPr>
                <w:rStyle w:val="17"/>
                <w:rFonts w:hint="eastAsia" w:ascii="宋体" w:hAnsi="宋体" w:eastAsia="宋体"/>
                <w:sz w:val="21"/>
                <w:szCs w:val="21"/>
              </w:rPr>
              <w:t>形式评审与响应性评审标准</w:t>
            </w:r>
          </w:p>
        </w:tc>
        <w:tc>
          <w:tcPr>
            <w:tcW w:w="7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shd w:val="clear" w:color="auto" w:fill="auto"/>
              <w:tabs>
                <w:tab w:val="left" w:pos="571"/>
              </w:tabs>
              <w:adjustRightInd w:val="0"/>
              <w:snapToGrid w:val="0"/>
              <w:spacing w:before="0" w:line="360" w:lineRule="exact"/>
              <w:ind w:left="120" w:leftChars="50" w:right="120" w:rightChars="50" w:firstLine="422" w:firstLineChars="200"/>
              <w:jc w:val="both"/>
              <w:rPr>
                <w:rStyle w:val="17"/>
                <w:rFonts w:hint="eastAsia" w:ascii="宋体" w:hAnsi="宋体" w:eastAsia="宋体"/>
                <w:sz w:val="21"/>
                <w:szCs w:val="21"/>
                <w:lang w:val="en-US"/>
              </w:rPr>
            </w:pPr>
            <w:r>
              <w:rPr>
                <w:rStyle w:val="17"/>
                <w:rFonts w:hint="eastAsia" w:ascii="宋体" w:hAnsi="宋体" w:eastAsia="宋体"/>
                <w:b/>
                <w:bCs/>
                <w:sz w:val="21"/>
                <w:szCs w:val="21"/>
                <w:lang w:val="en-US"/>
              </w:rPr>
              <w:t>第二个信封（报价文件）评审标准：</w:t>
            </w:r>
            <w:r>
              <w:rPr>
                <w:rStyle w:val="17"/>
                <w:rFonts w:hint="eastAsia" w:ascii="宋体" w:hAnsi="宋体" w:eastAsia="宋体"/>
                <w:sz w:val="21"/>
                <w:szCs w:val="21"/>
                <w:lang w:val="en-US"/>
              </w:rPr>
              <w:t xml:space="preserve">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(1)投标文件按照招标文件规定的格式、内容填写，字迹清晰可辨：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a.投标函按招标文件规定填报了项目名称、标段号（如有)、补遗书编号（如有)、投标总报价（包括大写金额和小写金额)；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b.已标价工程量清单说明文字与招标文件规定一致，未进行实质性修改和删减；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c.投标文件组成齐全完整，内容均按规定填写。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(2)投标文件上法定代表人或其委托代理人的签字、投标人的单位章盖章齐全，符合招标文件规定。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(3)投标总报价或调价函中的报价未超过招标文件设定的最高投标限价（如有)及最高评标限价（如有）。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(4)投标总报价或调价函中报价的大写金额能够确定具体数值。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(5)同一投标人未提交两个以上不同的投标报价，但招标文件要求提交备选投标的除外。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 xml:space="preserve">(6)投标人若填写工程量固化清单，填写完毕的工程量固化清单未对工程量固化清单电子文件中的数据、格式和运算定义进行修改；工程量固化清单中的投标报价和投标函大写金额报价一致。 </w:t>
            </w:r>
          </w:p>
          <w:p>
            <w:pPr>
              <w:pStyle w:val="15"/>
              <w:shd w:val="clear" w:color="auto" w:fill="auto"/>
              <w:tabs>
                <w:tab w:val="left" w:pos="571"/>
              </w:tabs>
              <w:adjustRightInd w:val="0"/>
              <w:snapToGrid w:val="0"/>
              <w:spacing w:before="0" w:line="360" w:lineRule="exact"/>
              <w:ind w:left="120" w:leftChars="50" w:right="120" w:rightChars="50" w:firstLine="420" w:firstLineChars="200"/>
              <w:jc w:val="both"/>
              <w:rPr>
                <w:rStyle w:val="17"/>
                <w:rFonts w:hint="eastAsia" w:ascii="宋体" w:hAnsi="宋体" w:eastAsia="宋体"/>
                <w:sz w:val="21"/>
                <w:szCs w:val="21"/>
                <w:lang w:val="en-US"/>
              </w:rPr>
            </w:pPr>
            <w:r>
              <w:rPr>
                <w:rStyle w:val="17"/>
                <w:rFonts w:hint="eastAsia" w:ascii="宋体" w:hAnsi="宋体" w:eastAsia="宋体"/>
                <w:sz w:val="21"/>
                <w:szCs w:val="21"/>
                <w:lang w:val="en-US"/>
              </w:rPr>
              <w:t>(7)投标文件正、副本份数符合招标文件第二章“投标人须知 ”第 3.7.4项规定。</w:t>
            </w:r>
          </w:p>
          <w:p>
            <w:pPr>
              <w:widowControl/>
            </w:pPr>
            <w:r>
              <w:rPr>
                <w:rFonts w:hint="eastAsia" w:ascii="宋体" w:hAnsi="宋体" w:cs="宋体"/>
                <w:lang w:val="en-US" w:bidi="ar"/>
              </w:rPr>
              <w:t xml:space="preserve"> </w:t>
            </w:r>
          </w:p>
          <w:p>
            <w:pPr>
              <w:pStyle w:val="15"/>
              <w:shd w:val="clear" w:color="auto" w:fill="auto"/>
              <w:tabs>
                <w:tab w:val="left" w:pos="917"/>
              </w:tabs>
              <w:spacing w:before="0" w:line="360" w:lineRule="auto"/>
              <w:ind w:left="120" w:leftChars="50" w:right="120" w:rightChars="50"/>
              <w:jc w:val="both"/>
              <w:rPr>
                <w:rStyle w:val="17"/>
                <w:rFonts w:ascii="宋体" w:hAnsi="宋体" w:eastAsia="宋体"/>
                <w:sz w:val="21"/>
                <w:szCs w:val="21"/>
              </w:rPr>
            </w:pPr>
          </w:p>
        </w:tc>
      </w:tr>
    </w:tbl>
    <w:p>
      <w:pPr>
        <w:spacing w:line="360" w:lineRule="auto"/>
        <w:rPr>
          <w:rFonts w:ascii="宋体" w:hAnsi="宋体" w:cs="Times New Roman"/>
          <w:color w:val="auto"/>
          <w:sz w:val="2"/>
          <w:szCs w:val="2"/>
          <w:lang w:val="en-US"/>
        </w:rPr>
        <w:sectPr>
          <w:footnotePr>
            <w:numFmt w:val="decimalEnclosedCircleChinese"/>
            <w:numRestart w:val="eachPage"/>
          </w:footnotePr>
          <w:type w:val="continuous"/>
          <w:pgSz w:w="11900" w:h="16838"/>
          <w:pgMar w:top="1417" w:right="1417" w:bottom="1417" w:left="1417" w:header="680" w:footer="680" w:gutter="0"/>
          <w:pgBorders>
            <w:top w:val="none" w:sz="0" w:space="0"/>
            <w:left w:val="none" w:sz="0" w:space="0"/>
            <w:bottom w:val="none" w:sz="0" w:space="0"/>
            <w:right w:val="none" w:sz="0" w:space="0"/>
          </w:pgBorders>
          <w:cols w:space="720" w:num="1"/>
          <w:docGrid w:linePitch="360" w:charSpace="0"/>
        </w:sectPr>
      </w:pPr>
    </w:p>
    <w:tbl>
      <w:tblPr>
        <w:tblStyle w:val="6"/>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1875" w:type="dxa"/>
            <w:gridSpan w:val="2"/>
            <w:noWrap w:val="0"/>
            <w:vAlign w:val="center"/>
          </w:tcPr>
          <w:p>
            <w:pPr>
              <w:jc w:val="center"/>
              <w:rPr>
                <w:rStyle w:val="19"/>
                <w:rFonts w:ascii="宋体" w:hAnsi="宋体" w:eastAsia="宋体"/>
                <w:b/>
                <w:bCs/>
                <w:color w:val="auto"/>
                <w:sz w:val="21"/>
                <w:szCs w:val="21"/>
                <w:lang w:val="en-US"/>
              </w:rPr>
            </w:pPr>
            <w:r>
              <w:rPr>
                <w:rStyle w:val="18"/>
                <w:rFonts w:hint="eastAsia" w:ascii="宋体" w:hAnsi="宋体" w:eastAsia="宋体"/>
                <w:b/>
                <w:bCs/>
                <w:color w:val="auto"/>
                <w:sz w:val="21"/>
                <w:szCs w:val="21"/>
                <w:u w:val="none"/>
              </w:rPr>
              <w:t>条款号</w:t>
            </w:r>
          </w:p>
        </w:tc>
        <w:tc>
          <w:tcPr>
            <w:tcW w:w="7170" w:type="dxa"/>
            <w:noWrap w:val="0"/>
            <w:vAlign w:val="center"/>
          </w:tcPr>
          <w:p>
            <w:pPr>
              <w:jc w:val="center"/>
              <w:rPr>
                <w:rStyle w:val="19"/>
                <w:rFonts w:ascii="宋体" w:hAnsi="宋体" w:eastAsia="宋体"/>
                <w:b/>
                <w:bCs/>
                <w:color w:val="auto"/>
                <w:sz w:val="21"/>
                <w:szCs w:val="21"/>
                <w:lang w:val="en-US"/>
              </w:rPr>
            </w:pPr>
            <w:r>
              <w:rPr>
                <w:rStyle w:val="18"/>
                <w:rFonts w:hint="eastAsia" w:ascii="宋体" w:hAnsi="宋体" w:eastAsia="宋体"/>
                <w:b/>
                <w:bCs/>
                <w:color w:val="auto"/>
                <w:sz w:val="21"/>
                <w:szCs w:val="21"/>
                <w:u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8" w:hRule="atLeast"/>
        </w:trPr>
        <w:tc>
          <w:tcPr>
            <w:tcW w:w="900" w:type="dxa"/>
            <w:noWrap w:val="0"/>
            <w:vAlign w:val="center"/>
          </w:tcPr>
          <w:p>
            <w:pPr>
              <w:pStyle w:val="21"/>
              <w:shd w:val="clear" w:color="auto" w:fill="auto"/>
              <w:spacing w:after="0" w:line="360" w:lineRule="auto"/>
              <w:jc w:val="center"/>
              <w:rPr>
                <w:rStyle w:val="22"/>
                <w:rFonts w:hint="eastAsia" w:ascii="宋体" w:hAnsi="宋体"/>
                <w:sz w:val="21"/>
                <w:szCs w:val="21"/>
                <w:lang w:eastAsia="zh-CN"/>
              </w:rPr>
            </w:pPr>
            <w:r>
              <w:rPr>
                <w:rStyle w:val="17"/>
                <w:rFonts w:hint="eastAsia" w:ascii="宋体" w:eastAsia="宋体"/>
                <w:sz w:val="21"/>
                <w:szCs w:val="21"/>
                <w:lang w:val="zh-CN"/>
              </w:rPr>
              <w:t>2.1.2</w:t>
            </w:r>
          </w:p>
        </w:tc>
        <w:tc>
          <w:tcPr>
            <w:tcW w:w="975" w:type="dxa"/>
            <w:noWrap w:val="0"/>
            <w:vAlign w:val="center"/>
          </w:tcPr>
          <w:p>
            <w:pPr>
              <w:pStyle w:val="21"/>
              <w:shd w:val="clear" w:color="auto" w:fill="auto"/>
              <w:spacing w:after="0" w:line="360" w:lineRule="auto"/>
              <w:ind w:left="120" w:leftChars="50" w:right="120" w:rightChars="50"/>
              <w:jc w:val="center"/>
              <w:rPr>
                <w:rStyle w:val="22"/>
                <w:rFonts w:ascii="宋体" w:hAnsi="宋体"/>
                <w:sz w:val="21"/>
                <w:szCs w:val="21"/>
                <w:lang w:eastAsia="zh-CN"/>
              </w:rPr>
            </w:pPr>
            <w:r>
              <w:rPr>
                <w:rStyle w:val="17"/>
                <w:rFonts w:hint="eastAsia" w:ascii="宋体" w:hAnsi="宋体" w:eastAsia="宋体"/>
                <w:sz w:val="21"/>
                <w:szCs w:val="21"/>
                <w:lang w:val="zh-CN"/>
              </w:rPr>
              <w:t>资格评审</w:t>
            </w:r>
            <w:r>
              <w:rPr>
                <w:rStyle w:val="17"/>
                <w:rFonts w:ascii="宋体" w:hAnsi="宋体" w:eastAsia="宋体"/>
                <w:sz w:val="21"/>
                <w:szCs w:val="21"/>
                <w:lang w:val="zh-CN"/>
              </w:rPr>
              <w:t xml:space="preserve"> </w:t>
            </w:r>
            <w:r>
              <w:rPr>
                <w:rStyle w:val="17"/>
                <w:rFonts w:hint="eastAsia" w:ascii="宋体" w:hAnsi="宋体" w:eastAsia="宋体"/>
                <w:sz w:val="21"/>
                <w:szCs w:val="21"/>
                <w:lang w:val="zh-CN"/>
              </w:rPr>
              <w:t>标准</w:t>
            </w:r>
          </w:p>
        </w:tc>
        <w:tc>
          <w:tcPr>
            <w:tcW w:w="7170" w:type="dxa"/>
            <w:noWrap w:val="0"/>
            <w:vAlign w:val="center"/>
          </w:tcPr>
          <w:p>
            <w:pPr>
              <w:pStyle w:val="20"/>
              <w:shd w:val="clear" w:color="auto" w:fill="auto"/>
              <w:spacing w:before="0" w:line="360" w:lineRule="exact"/>
              <w:ind w:left="120" w:leftChars="50" w:right="120" w:rightChars="50"/>
              <w:jc w:val="both"/>
              <w:rPr>
                <w:rStyle w:val="19"/>
                <w:rFonts w:hint="eastAsia" w:ascii="宋体" w:eastAsia="宋体"/>
                <w:sz w:val="21"/>
                <w:szCs w:val="21"/>
              </w:rPr>
            </w:pPr>
            <w:r>
              <w:rPr>
                <w:rStyle w:val="19"/>
                <w:rFonts w:hint="eastAsia" w:ascii="宋体" w:hAnsi="宋体" w:eastAsia="宋体"/>
                <w:sz w:val="21"/>
                <w:szCs w:val="21"/>
                <w:lang w:val="en-US"/>
              </w:rPr>
              <w:t>（1）</w:t>
            </w:r>
            <w:r>
              <w:rPr>
                <w:rStyle w:val="19"/>
                <w:rFonts w:hint="eastAsia" w:ascii="宋体" w:hAnsi="宋体" w:eastAsia="宋体"/>
                <w:sz w:val="21"/>
                <w:szCs w:val="21"/>
              </w:rPr>
              <w:t>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20"/>
              <w:shd w:val="clear" w:color="auto" w:fill="auto"/>
              <w:spacing w:before="0" w:line="360" w:lineRule="exact"/>
              <w:ind w:left="120" w:leftChars="50" w:right="120" w:rightChars="50"/>
              <w:jc w:val="both"/>
              <w:rPr>
                <w:rStyle w:val="19"/>
                <w:rFonts w:ascii="宋体" w:eastAsia="宋体"/>
                <w:sz w:val="21"/>
                <w:szCs w:val="21"/>
              </w:rPr>
            </w:pPr>
            <w:r>
              <w:rPr>
                <w:rStyle w:val="19"/>
                <w:rFonts w:hint="eastAsia" w:ascii="宋体" w:hAnsi="宋体" w:eastAsia="宋体"/>
                <w:sz w:val="21"/>
                <w:szCs w:val="21"/>
              </w:rPr>
              <w:t>（2）投标人的资质等级符合招标文件规定；</w:t>
            </w:r>
          </w:p>
          <w:p>
            <w:pPr>
              <w:pStyle w:val="20"/>
              <w:shd w:val="clear" w:color="auto" w:fill="auto"/>
              <w:spacing w:before="0" w:line="360" w:lineRule="exact"/>
              <w:ind w:left="120" w:leftChars="50" w:right="120" w:rightChars="50"/>
              <w:jc w:val="both"/>
              <w:rPr>
                <w:rStyle w:val="19"/>
                <w:rFonts w:ascii="宋体" w:eastAsia="宋体"/>
                <w:sz w:val="21"/>
                <w:szCs w:val="21"/>
              </w:rPr>
            </w:pPr>
            <w:r>
              <w:rPr>
                <w:rStyle w:val="19"/>
                <w:rFonts w:hint="eastAsia" w:ascii="宋体" w:hAnsi="宋体" w:eastAsia="宋体"/>
                <w:sz w:val="21"/>
                <w:szCs w:val="21"/>
              </w:rPr>
              <w:t>（3）投标人的财务状况符合招标文件规定；</w:t>
            </w:r>
          </w:p>
          <w:p>
            <w:pPr>
              <w:pStyle w:val="20"/>
              <w:shd w:val="clear" w:color="auto" w:fill="auto"/>
              <w:spacing w:before="0" w:line="360" w:lineRule="exact"/>
              <w:ind w:left="120" w:leftChars="50" w:right="120" w:rightChars="50"/>
              <w:jc w:val="both"/>
              <w:rPr>
                <w:rStyle w:val="19"/>
                <w:rFonts w:ascii="宋体" w:eastAsia="宋体"/>
                <w:sz w:val="21"/>
                <w:szCs w:val="21"/>
              </w:rPr>
            </w:pPr>
            <w:r>
              <w:rPr>
                <w:rStyle w:val="19"/>
                <w:rFonts w:hint="eastAsia" w:ascii="宋体" w:hAnsi="宋体" w:eastAsia="宋体"/>
                <w:sz w:val="21"/>
                <w:szCs w:val="21"/>
              </w:rPr>
              <w:t>（4）投标人的类似项目业绩符合招标文件规定；</w:t>
            </w:r>
          </w:p>
          <w:p>
            <w:pPr>
              <w:pStyle w:val="20"/>
              <w:shd w:val="clear" w:color="auto" w:fill="auto"/>
              <w:spacing w:before="0" w:line="360" w:lineRule="exact"/>
              <w:ind w:left="120" w:leftChars="50" w:right="120" w:rightChars="50"/>
              <w:jc w:val="both"/>
              <w:rPr>
                <w:rStyle w:val="19"/>
                <w:rFonts w:ascii="宋体" w:eastAsia="宋体"/>
                <w:sz w:val="21"/>
                <w:szCs w:val="21"/>
              </w:rPr>
            </w:pPr>
            <w:r>
              <w:rPr>
                <w:rStyle w:val="19"/>
                <w:rFonts w:hint="eastAsia" w:ascii="宋体" w:hAnsi="宋体" w:eastAsia="宋体"/>
                <w:sz w:val="21"/>
                <w:szCs w:val="21"/>
              </w:rPr>
              <w:t>（5）投标人的信誉符合招标文件规定；</w:t>
            </w:r>
          </w:p>
          <w:p>
            <w:pPr>
              <w:pStyle w:val="20"/>
              <w:shd w:val="clear" w:color="auto" w:fill="auto"/>
              <w:spacing w:before="0" w:line="360" w:lineRule="exact"/>
              <w:ind w:left="120" w:leftChars="50" w:right="120" w:rightChars="50"/>
              <w:jc w:val="both"/>
              <w:rPr>
                <w:rFonts w:ascii="宋体" w:hAnsi="宋体" w:eastAsia="宋体" w:cs="MingLiU"/>
                <w:sz w:val="21"/>
                <w:szCs w:val="21"/>
                <w:lang w:val="en-US"/>
              </w:rPr>
            </w:pPr>
            <w:r>
              <w:rPr>
                <w:rStyle w:val="19"/>
                <w:rFonts w:hint="eastAsia" w:ascii="宋体" w:eastAsia="宋体"/>
                <w:sz w:val="21"/>
                <w:szCs w:val="21"/>
              </w:rPr>
              <w:t>（6）投标人的项目经理和项目总工资格、在岗情况</w:t>
            </w:r>
            <w:r>
              <w:rPr>
                <w:rStyle w:val="16"/>
                <w:rFonts w:hint="eastAsia" w:ascii="宋体" w:hAnsi="宋体" w:eastAsia="宋体"/>
                <w:sz w:val="21"/>
                <w:szCs w:val="21"/>
              </w:rPr>
              <w:t>符合招标文件规定</w:t>
            </w:r>
            <w:r>
              <w:rPr>
                <w:rStyle w:val="19"/>
                <w:rFonts w:hint="eastAsia" w:ascii="宋体" w:eastAsia="宋体"/>
                <w:sz w:val="21"/>
                <w:szCs w:val="21"/>
              </w:rPr>
              <w:t>，并按规定在投标文件中签字确认，相关工作经验资料</w:t>
            </w:r>
            <w:r>
              <w:rPr>
                <w:rStyle w:val="16"/>
                <w:rFonts w:hint="eastAsia" w:ascii="宋体" w:hAnsi="宋体" w:eastAsia="宋体"/>
                <w:sz w:val="21"/>
                <w:szCs w:val="21"/>
              </w:rPr>
              <w:t>；</w:t>
            </w:r>
          </w:p>
          <w:p>
            <w:pPr>
              <w:pStyle w:val="15"/>
              <w:shd w:val="clear" w:color="auto" w:fill="auto"/>
              <w:tabs>
                <w:tab w:val="left" w:pos="1075"/>
              </w:tabs>
              <w:spacing w:before="0" w:line="360" w:lineRule="exact"/>
              <w:ind w:left="120" w:leftChars="50" w:right="120" w:rightChars="50"/>
              <w:jc w:val="both"/>
              <w:rPr>
                <w:rStyle w:val="16"/>
                <w:rFonts w:hint="eastAsia" w:ascii="宋体" w:hAnsi="宋体" w:eastAsia="宋体"/>
                <w:sz w:val="21"/>
                <w:szCs w:val="21"/>
                <w:vertAlign w:val="subscript"/>
              </w:rPr>
            </w:pPr>
            <w:r>
              <w:rPr>
                <w:rStyle w:val="16"/>
                <w:rFonts w:hint="eastAsia" w:ascii="宋体" w:hAnsi="宋体" w:eastAsia="宋体"/>
                <w:sz w:val="21"/>
                <w:szCs w:val="21"/>
                <w:lang w:val="en-US"/>
              </w:rPr>
              <w:t>（7）</w:t>
            </w:r>
            <w:r>
              <w:rPr>
                <w:rStyle w:val="16"/>
                <w:rFonts w:hint="eastAsia" w:ascii="宋体" w:hAnsi="宋体" w:eastAsia="宋体"/>
                <w:sz w:val="21"/>
                <w:szCs w:val="21"/>
              </w:rPr>
              <w:t>投标人的其他要求符合招标文件规定</w:t>
            </w:r>
            <w:r>
              <w:rPr>
                <w:rStyle w:val="16"/>
                <w:rFonts w:hint="eastAsia" w:ascii="宋体" w:hAnsi="宋体" w:eastAsia="宋体"/>
                <w:sz w:val="21"/>
                <w:szCs w:val="21"/>
                <w:vertAlign w:val="subscript"/>
              </w:rPr>
              <w:t>；</w:t>
            </w:r>
          </w:p>
          <w:p>
            <w:pPr>
              <w:pStyle w:val="15"/>
              <w:shd w:val="clear" w:color="auto" w:fill="auto"/>
              <w:tabs>
                <w:tab w:val="left" w:pos="1075"/>
              </w:tabs>
              <w:spacing w:before="0" w:line="360" w:lineRule="exact"/>
              <w:ind w:left="120" w:leftChars="50" w:right="120" w:rightChars="50"/>
              <w:jc w:val="both"/>
              <w:rPr>
                <w:rFonts w:ascii="宋体" w:hAnsi="宋体" w:eastAsia="宋体" w:cs="MingLiU"/>
                <w:sz w:val="21"/>
                <w:szCs w:val="21"/>
                <w:lang w:val="en-US"/>
              </w:rPr>
            </w:pPr>
            <w:r>
              <w:rPr>
                <w:rStyle w:val="16"/>
                <w:rFonts w:hint="eastAsia" w:ascii="宋体" w:hAnsi="宋体" w:eastAsia="宋体"/>
                <w:sz w:val="21"/>
                <w:szCs w:val="21"/>
                <w:lang w:val="en-US"/>
              </w:rPr>
              <w:t>（8）</w:t>
            </w:r>
            <w:r>
              <w:rPr>
                <w:rStyle w:val="16"/>
                <w:rFonts w:hint="eastAsia" w:ascii="宋体" w:hAnsi="宋体" w:eastAsia="宋体"/>
                <w:sz w:val="21"/>
                <w:szCs w:val="21"/>
              </w:rPr>
              <w:t>投标人不存在第二章“投标人须知”第</w:t>
            </w:r>
            <w:r>
              <w:rPr>
                <w:rStyle w:val="16"/>
                <w:rFonts w:ascii="宋体" w:hAnsi="宋体" w:eastAsia="宋体"/>
                <w:sz w:val="21"/>
                <w:szCs w:val="21"/>
                <w:lang w:val="en-US"/>
              </w:rPr>
              <w:t>1.4.3</w:t>
            </w:r>
            <w:r>
              <w:rPr>
                <w:rStyle w:val="16"/>
                <w:rFonts w:hint="eastAsia" w:ascii="宋体" w:hAnsi="宋体" w:eastAsia="宋体"/>
                <w:sz w:val="21"/>
                <w:szCs w:val="21"/>
              </w:rPr>
              <w:t>项或第</w:t>
            </w:r>
            <w:r>
              <w:rPr>
                <w:rStyle w:val="16"/>
                <w:rFonts w:ascii="宋体" w:hAnsi="宋体" w:eastAsia="宋体"/>
                <w:sz w:val="21"/>
                <w:szCs w:val="21"/>
                <w:lang w:val="en-US"/>
              </w:rPr>
              <w:t>1.4.4</w:t>
            </w:r>
            <w:r>
              <w:rPr>
                <w:rStyle w:val="16"/>
                <w:rFonts w:hint="eastAsia" w:ascii="宋体" w:hAnsi="宋体" w:eastAsia="宋体"/>
                <w:sz w:val="21"/>
                <w:szCs w:val="21"/>
              </w:rPr>
              <w:t>项规定的任何一种情形；</w:t>
            </w:r>
          </w:p>
          <w:p>
            <w:pPr>
              <w:pStyle w:val="20"/>
              <w:shd w:val="clear" w:color="auto" w:fill="auto"/>
              <w:tabs>
                <w:tab w:val="left" w:pos="2133"/>
              </w:tabs>
              <w:spacing w:before="0" w:line="360" w:lineRule="auto"/>
              <w:ind w:left="120" w:leftChars="50" w:right="120" w:rightChars="50"/>
              <w:jc w:val="both"/>
              <w:rPr>
                <w:rStyle w:val="19"/>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trPr>
        <w:tc>
          <w:tcPr>
            <w:tcW w:w="900" w:type="dxa"/>
            <w:noWrap w:val="0"/>
            <w:vAlign w:val="center"/>
          </w:tcPr>
          <w:p>
            <w:pPr>
              <w:pStyle w:val="15"/>
              <w:shd w:val="clear" w:color="auto" w:fill="auto"/>
              <w:spacing w:before="0" w:line="360" w:lineRule="auto"/>
              <w:ind w:left="120" w:leftChars="50" w:right="120" w:rightChars="50"/>
              <w:jc w:val="center"/>
              <w:rPr>
                <w:rFonts w:ascii="宋体" w:hAnsi="宋体" w:eastAsia="宋体" w:cs="MingLiU"/>
                <w:sz w:val="21"/>
                <w:szCs w:val="21"/>
                <w:lang w:val="en-US"/>
              </w:rPr>
            </w:pPr>
            <w:r>
              <w:rPr>
                <w:rStyle w:val="23"/>
                <w:rFonts w:ascii="宋体" w:hAnsi="宋体" w:eastAsia="宋体"/>
                <w:b w:val="0"/>
                <w:sz w:val="21"/>
                <w:szCs w:val="21"/>
              </w:rPr>
              <w:t>2.2.1</w:t>
            </w:r>
          </w:p>
        </w:tc>
        <w:tc>
          <w:tcPr>
            <w:tcW w:w="975" w:type="dxa"/>
            <w:noWrap w:val="0"/>
            <w:vAlign w:val="center"/>
          </w:tcPr>
          <w:p>
            <w:pPr>
              <w:pStyle w:val="15"/>
              <w:shd w:val="clear" w:color="auto" w:fill="auto"/>
              <w:spacing w:before="0" w:line="360" w:lineRule="auto"/>
              <w:ind w:left="120" w:leftChars="50" w:right="120" w:rightChars="50"/>
              <w:jc w:val="both"/>
              <w:rPr>
                <w:rFonts w:ascii="宋体" w:hAnsi="宋体" w:eastAsia="宋体" w:cs="MingLiU"/>
                <w:sz w:val="21"/>
                <w:szCs w:val="21"/>
                <w:lang w:val="en-US"/>
              </w:rPr>
            </w:pPr>
            <w:r>
              <w:rPr>
                <w:rStyle w:val="16"/>
                <w:rFonts w:hint="eastAsia" w:ascii="宋体" w:hAnsi="宋体" w:eastAsia="宋体"/>
                <w:sz w:val="21"/>
                <w:szCs w:val="21"/>
              </w:rPr>
              <w:t>分值构成</w:t>
            </w:r>
            <w:r>
              <w:rPr>
                <w:rStyle w:val="16"/>
                <w:rFonts w:ascii="宋体" w:hAnsi="宋体" w:eastAsia="宋体"/>
                <w:sz w:val="21"/>
                <w:szCs w:val="21"/>
              </w:rPr>
              <w:t xml:space="preserve"> (</w:t>
            </w:r>
            <w:r>
              <w:rPr>
                <w:rStyle w:val="16"/>
                <w:rFonts w:hint="eastAsia" w:ascii="宋体" w:hAnsi="宋体" w:eastAsia="宋体"/>
                <w:sz w:val="21"/>
                <w:szCs w:val="21"/>
              </w:rPr>
              <w:t>总分</w:t>
            </w:r>
            <w:r>
              <w:rPr>
                <w:rStyle w:val="23"/>
                <w:rFonts w:ascii="宋体" w:hAnsi="宋体" w:eastAsia="宋体"/>
                <w:b w:val="0"/>
                <w:sz w:val="21"/>
                <w:szCs w:val="21"/>
              </w:rPr>
              <w:t>100</w:t>
            </w:r>
          </w:p>
          <w:p>
            <w:pPr>
              <w:pStyle w:val="15"/>
              <w:shd w:val="clear" w:color="auto" w:fill="auto"/>
              <w:spacing w:before="0" w:line="360" w:lineRule="auto"/>
              <w:ind w:left="120" w:leftChars="50" w:right="120" w:rightChars="50"/>
              <w:jc w:val="both"/>
              <w:rPr>
                <w:rFonts w:ascii="宋体" w:hAnsi="宋体" w:eastAsia="宋体" w:cs="MingLiU"/>
                <w:sz w:val="21"/>
                <w:szCs w:val="21"/>
                <w:lang w:val="en-US"/>
              </w:rPr>
            </w:pPr>
            <w:r>
              <w:rPr>
                <w:rStyle w:val="16"/>
                <w:rFonts w:hint="eastAsia" w:ascii="宋体" w:hAnsi="宋体" w:eastAsia="宋体"/>
                <w:sz w:val="21"/>
                <w:szCs w:val="21"/>
              </w:rPr>
              <w:t>分）</w:t>
            </w:r>
          </w:p>
        </w:tc>
        <w:tc>
          <w:tcPr>
            <w:tcW w:w="7170" w:type="dxa"/>
            <w:noWrap w:val="0"/>
            <w:vAlign w:val="center"/>
          </w:tcPr>
          <w:p>
            <w:pPr>
              <w:pStyle w:val="15"/>
              <w:shd w:val="clear" w:color="auto" w:fill="auto"/>
              <w:spacing w:before="0" w:line="360" w:lineRule="atLeast"/>
              <w:ind w:left="120" w:leftChars="50" w:right="120" w:rightChars="50"/>
              <w:jc w:val="both"/>
              <w:rPr>
                <w:rFonts w:ascii="宋体" w:hAnsi="宋体" w:eastAsia="宋体" w:cs="MingLiU"/>
                <w:sz w:val="21"/>
                <w:szCs w:val="21"/>
                <w:lang w:val="en-US"/>
              </w:rPr>
            </w:pPr>
            <w:r>
              <w:rPr>
                <w:rStyle w:val="23"/>
                <w:rFonts w:hint="eastAsia" w:ascii="宋体" w:hAnsi="宋体" w:eastAsia="宋体"/>
                <w:b w:val="0"/>
                <w:sz w:val="21"/>
                <w:szCs w:val="21"/>
              </w:rPr>
              <w:t>第一个信封（商务及技术文件）评分分值构成：</w:t>
            </w:r>
          </w:p>
          <w:p>
            <w:pPr>
              <w:spacing w:line="360" w:lineRule="atLeast"/>
              <w:ind w:left="120" w:leftChars="50" w:right="120" w:rightChars="50"/>
              <w:jc w:val="both"/>
              <w:rPr>
                <w:rFonts w:ascii="宋体" w:hAnsi="宋体" w:cs="Times New Roman"/>
                <w:color w:val="auto"/>
                <w:kern w:val="2"/>
                <w:sz w:val="21"/>
                <w:szCs w:val="21"/>
                <w:lang w:val="en-US"/>
              </w:rPr>
            </w:pPr>
            <w:r>
              <w:rPr>
                <w:rFonts w:ascii="宋体" w:hAnsi="宋体" w:cs="Times New Roman"/>
                <w:color w:val="auto"/>
                <w:kern w:val="2"/>
                <w:sz w:val="21"/>
                <w:szCs w:val="21"/>
                <w:lang w:val="en-US"/>
              </w:rPr>
              <w:t>施工组织设计</w:t>
            </w:r>
            <w:r>
              <w:rPr>
                <w:rFonts w:hint="eastAsia" w:ascii="宋体" w:hAnsi="宋体" w:cs="Times New Roman"/>
                <w:color w:val="auto"/>
                <w:kern w:val="2"/>
                <w:sz w:val="21"/>
                <w:szCs w:val="21"/>
                <w:lang w:val="en-US"/>
              </w:rPr>
              <w:t>（A）</w:t>
            </w:r>
            <w:r>
              <w:rPr>
                <w:rFonts w:ascii="宋体" w:hAnsi="宋体" w:cs="Times New Roman"/>
                <w:color w:val="auto"/>
                <w:kern w:val="2"/>
                <w:sz w:val="21"/>
                <w:szCs w:val="21"/>
                <w:lang w:val="en-US"/>
              </w:rPr>
              <w:t>：</w:t>
            </w:r>
            <w:r>
              <w:rPr>
                <w:rFonts w:hint="eastAsia" w:ascii="宋体" w:hAnsi="宋体" w:cs="Times New Roman"/>
                <w:color w:val="auto"/>
                <w:kern w:val="2"/>
                <w:sz w:val="21"/>
                <w:szCs w:val="21"/>
                <w:u w:val="single"/>
                <w:lang w:val="en-US"/>
              </w:rPr>
              <w:t xml:space="preserve">7  </w:t>
            </w:r>
            <w:r>
              <w:rPr>
                <w:rFonts w:hint="eastAsia" w:ascii="宋体" w:hAnsi="宋体" w:cs="Times New Roman"/>
                <w:color w:val="auto"/>
                <w:kern w:val="2"/>
                <w:sz w:val="21"/>
                <w:szCs w:val="21"/>
                <w:lang w:val="en-US"/>
              </w:rPr>
              <w:t>分</w:t>
            </w:r>
          </w:p>
          <w:p>
            <w:pPr>
              <w:spacing w:line="360" w:lineRule="atLeast"/>
              <w:ind w:left="120" w:leftChars="50" w:right="120" w:rightChars="50"/>
              <w:jc w:val="both"/>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主要人员 (B)</w:t>
            </w:r>
            <w:r>
              <w:rPr>
                <w:rFonts w:ascii="宋体" w:hAnsi="宋体" w:cs="Times New Roman"/>
                <w:color w:val="auto"/>
                <w:kern w:val="2"/>
                <w:sz w:val="21"/>
                <w:szCs w:val="21"/>
                <w:lang w:val="en-US"/>
              </w:rPr>
              <w:t>：</w:t>
            </w:r>
            <w:r>
              <w:rPr>
                <w:rFonts w:hint="eastAsia" w:ascii="宋体" w:hAnsi="宋体" w:cs="Times New Roman"/>
                <w:color w:val="auto"/>
                <w:kern w:val="2"/>
                <w:sz w:val="21"/>
                <w:szCs w:val="21"/>
                <w:u w:val="single"/>
                <w:lang w:val="en-US"/>
              </w:rPr>
              <w:t xml:space="preserve"> 0   </w:t>
            </w:r>
            <w:r>
              <w:rPr>
                <w:rFonts w:hint="eastAsia" w:ascii="宋体" w:hAnsi="宋体" w:cs="Times New Roman"/>
                <w:color w:val="auto"/>
                <w:kern w:val="2"/>
                <w:sz w:val="21"/>
                <w:szCs w:val="21"/>
                <w:lang w:val="en-US"/>
              </w:rPr>
              <w:t>分</w:t>
            </w:r>
          </w:p>
          <w:p>
            <w:pPr>
              <w:spacing w:line="360" w:lineRule="atLeast"/>
              <w:ind w:left="120" w:leftChars="50" w:right="120" w:rightChars="50"/>
              <w:jc w:val="both"/>
              <w:rPr>
                <w:rFonts w:hint="eastAsia" w:ascii="宋体" w:hAnsi="宋体" w:cs="Times New Roman"/>
                <w:color w:val="auto"/>
                <w:kern w:val="2"/>
                <w:sz w:val="21"/>
                <w:szCs w:val="21"/>
                <w:lang w:val="en-US"/>
              </w:rPr>
            </w:pPr>
            <w:r>
              <w:rPr>
                <w:rFonts w:ascii="宋体" w:hAnsi="宋体" w:cs="Times New Roman"/>
                <w:color w:val="auto"/>
                <w:kern w:val="2"/>
                <w:sz w:val="21"/>
                <w:szCs w:val="21"/>
                <w:lang w:val="en-US"/>
              </w:rPr>
              <w:t>其他因素</w:t>
            </w:r>
            <w:r>
              <w:rPr>
                <w:rFonts w:hint="eastAsia" w:ascii="宋体" w:hAnsi="宋体" w:cs="Times New Roman"/>
                <w:color w:val="auto"/>
                <w:kern w:val="2"/>
                <w:sz w:val="21"/>
                <w:szCs w:val="21"/>
                <w:lang w:val="en-US"/>
              </w:rPr>
              <w:t xml:space="preserve"> (D)</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ascii="宋体" w:hAnsi="宋体" w:cs="Times New Roman"/>
                <w:color w:val="auto"/>
                <w:kern w:val="2"/>
                <w:sz w:val="21"/>
                <w:szCs w:val="21"/>
                <w:lang w:val="en-US"/>
              </w:rPr>
              <w:t>履约信誉：</w:t>
            </w:r>
            <w:r>
              <w:rPr>
                <w:rFonts w:hint="eastAsia" w:ascii="宋体" w:hAnsi="宋体" w:cs="Times New Roman"/>
                <w:color w:val="auto"/>
                <w:kern w:val="2"/>
                <w:sz w:val="21"/>
                <w:szCs w:val="21"/>
                <w:u w:val="single"/>
                <w:lang w:val="en-US"/>
              </w:rPr>
              <w:t>10分</w:t>
            </w:r>
          </w:p>
          <w:p>
            <w:pPr>
              <w:spacing w:line="360" w:lineRule="atLeast"/>
              <w:ind w:left="120" w:leftChars="50" w:right="120" w:rightChars="50" w:firstLine="420" w:firstLineChars="200"/>
              <w:jc w:val="both"/>
              <w:rPr>
                <w:rFonts w:ascii="宋体" w:hAnsi="宋体" w:cs="Times New Roman"/>
                <w:color w:val="auto"/>
                <w:kern w:val="2"/>
                <w:sz w:val="21"/>
                <w:szCs w:val="21"/>
                <w:lang w:val="en-US"/>
              </w:rPr>
            </w:pPr>
            <w:r>
              <w:rPr>
                <w:rFonts w:ascii="宋体" w:hAnsi="宋体" w:cs="Times New Roman"/>
                <w:color w:val="auto"/>
                <w:kern w:val="2"/>
                <w:sz w:val="21"/>
                <w:szCs w:val="21"/>
                <w:lang w:val="en-US"/>
              </w:rPr>
              <w:t>财务能力：</w:t>
            </w:r>
            <w:r>
              <w:rPr>
                <w:rFonts w:hint="eastAsia" w:ascii="宋体" w:hAnsi="宋体" w:cs="Times New Roman"/>
                <w:color w:val="auto"/>
                <w:kern w:val="2"/>
                <w:sz w:val="21"/>
                <w:szCs w:val="21"/>
                <w:u w:val="single"/>
                <w:lang w:val="en-US"/>
              </w:rPr>
              <w:t xml:space="preserve"> 0</w:t>
            </w:r>
            <w:r>
              <w:rPr>
                <w:rFonts w:ascii="宋体" w:hAnsi="宋体" w:cs="Times New Roman"/>
                <w:color w:val="auto"/>
                <w:kern w:val="2"/>
                <w:sz w:val="21"/>
                <w:szCs w:val="21"/>
                <w:u w:val="single"/>
                <w:lang w:val="en-US"/>
              </w:rPr>
              <w:t>分</w:t>
            </w:r>
          </w:p>
          <w:p>
            <w:pPr>
              <w:spacing w:line="360" w:lineRule="atLeast"/>
              <w:ind w:left="120" w:leftChars="50" w:right="120" w:rightChars="50" w:firstLine="420" w:firstLineChars="200"/>
              <w:jc w:val="both"/>
              <w:rPr>
                <w:rFonts w:ascii="宋体" w:hAnsi="宋体" w:cs="Times New Roman"/>
                <w:color w:val="auto"/>
                <w:kern w:val="2"/>
                <w:sz w:val="21"/>
                <w:szCs w:val="21"/>
                <w:lang w:val="en-US"/>
              </w:rPr>
            </w:pPr>
            <w:r>
              <w:rPr>
                <w:rFonts w:ascii="宋体" w:hAnsi="宋体" w:cs="Times New Roman"/>
                <w:color w:val="auto"/>
                <w:kern w:val="2"/>
                <w:sz w:val="21"/>
                <w:szCs w:val="21"/>
                <w:lang w:val="en-US"/>
              </w:rPr>
              <w:t>业</w:t>
            </w:r>
            <w:r>
              <w:rPr>
                <w:rFonts w:hint="eastAsia" w:ascii="宋体" w:hAnsi="宋体" w:cs="Times New Roman"/>
                <w:color w:val="auto"/>
                <w:kern w:val="2"/>
                <w:sz w:val="21"/>
                <w:szCs w:val="21"/>
                <w:lang w:val="en-US"/>
              </w:rPr>
              <w:t xml:space="preserve">    </w:t>
            </w:r>
            <w:r>
              <w:rPr>
                <w:rFonts w:ascii="宋体" w:hAnsi="宋体" w:cs="Times New Roman"/>
                <w:color w:val="auto"/>
                <w:kern w:val="2"/>
                <w:sz w:val="21"/>
                <w:szCs w:val="21"/>
                <w:lang w:val="en-US"/>
              </w:rPr>
              <w:t>绩：</w:t>
            </w:r>
            <w:r>
              <w:rPr>
                <w:rFonts w:hint="eastAsia" w:ascii="宋体" w:hAnsi="宋体" w:cs="Times New Roman"/>
                <w:color w:val="auto"/>
                <w:kern w:val="2"/>
                <w:sz w:val="21"/>
                <w:szCs w:val="21"/>
                <w:u w:val="single"/>
                <w:lang w:val="en-US"/>
              </w:rPr>
              <w:t xml:space="preserve"> 3</w:t>
            </w:r>
            <w:r>
              <w:rPr>
                <w:rFonts w:ascii="宋体" w:hAnsi="宋体" w:cs="Times New Roman"/>
                <w:color w:val="auto"/>
                <w:kern w:val="2"/>
                <w:sz w:val="21"/>
                <w:szCs w:val="21"/>
                <w:u w:val="single"/>
                <w:lang w:val="en-US"/>
              </w:rPr>
              <w:t>分</w:t>
            </w:r>
          </w:p>
          <w:p>
            <w:pPr>
              <w:pStyle w:val="15"/>
              <w:shd w:val="clear" w:color="auto" w:fill="auto"/>
              <w:spacing w:before="0" w:line="360" w:lineRule="atLeast"/>
              <w:ind w:left="120" w:leftChars="50" w:right="120" w:rightChars="50"/>
              <w:jc w:val="both"/>
              <w:rPr>
                <w:rFonts w:ascii="宋体" w:hAnsi="宋体" w:eastAsia="宋体" w:cs="MingLiU"/>
                <w:sz w:val="21"/>
                <w:szCs w:val="21"/>
                <w:lang w:val="en-US"/>
              </w:rPr>
            </w:pPr>
            <w:r>
              <w:rPr>
                <w:rStyle w:val="23"/>
                <w:rFonts w:hint="eastAsia" w:ascii="宋体" w:hAnsi="宋体" w:eastAsia="宋体"/>
                <w:b w:val="0"/>
                <w:sz w:val="21"/>
                <w:szCs w:val="21"/>
              </w:rPr>
              <w:t>第二个信封（报价文件）评分分值构成：</w:t>
            </w:r>
          </w:p>
          <w:p>
            <w:pPr>
              <w:pStyle w:val="15"/>
              <w:shd w:val="clear" w:color="auto" w:fill="auto"/>
              <w:spacing w:before="0" w:line="360" w:lineRule="atLeast"/>
              <w:ind w:left="120" w:leftChars="50" w:right="120" w:rightChars="50"/>
              <w:jc w:val="both"/>
              <w:rPr>
                <w:rFonts w:ascii="宋体" w:hAnsi="宋体" w:eastAsia="宋体" w:cs="MingLiU"/>
                <w:sz w:val="21"/>
                <w:szCs w:val="21"/>
                <w:lang w:val="en-US"/>
              </w:rPr>
            </w:pPr>
            <w:r>
              <w:rPr>
                <w:rFonts w:ascii="宋体" w:hAnsi="宋体" w:eastAsia="宋体" w:cs="MingLiU"/>
                <w:sz w:val="21"/>
                <w:szCs w:val="21"/>
                <w:lang w:val="en-US"/>
              </w:rPr>
              <w:t>评标价</w:t>
            </w:r>
            <w:r>
              <w:rPr>
                <w:rFonts w:hint="eastAsia" w:ascii="宋体" w:hAnsi="宋体" w:eastAsia="宋体"/>
                <w:kern w:val="2"/>
                <w:sz w:val="21"/>
                <w:szCs w:val="21"/>
                <w:lang w:val="en-US"/>
              </w:rPr>
              <w:t>(C)</w:t>
            </w:r>
            <w:r>
              <w:rPr>
                <w:rFonts w:ascii="宋体" w:hAnsi="宋体" w:eastAsia="宋体" w:cs="MingLiU"/>
                <w:sz w:val="21"/>
                <w:szCs w:val="21"/>
                <w:lang w:val="en-US"/>
              </w:rPr>
              <w:t>：</w:t>
            </w:r>
            <w:r>
              <w:rPr>
                <w:rFonts w:hint="eastAsia" w:ascii="宋体" w:hAnsi="宋体" w:eastAsia="宋体" w:cs="MingLiU"/>
                <w:sz w:val="21"/>
                <w:szCs w:val="21"/>
                <w:u w:val="single"/>
                <w:lang w:val="en-US"/>
              </w:rPr>
              <w:t xml:space="preserve">  80  </w:t>
            </w:r>
            <w:r>
              <w:rPr>
                <w:rFonts w:hint="eastAsia" w:ascii="宋体" w:hAnsi="宋体" w:eastAsia="宋体" w:cs="MingLiU"/>
                <w:sz w:val="21"/>
                <w:szCs w:val="21"/>
                <w:lang w:val="en-US"/>
              </w:rPr>
              <w:t>分</w:t>
            </w:r>
          </w:p>
        </w:tc>
      </w:tr>
    </w:tbl>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r>
        <w:rPr>
          <w:rFonts w:hint="eastAsia" w:ascii="宋体" w:hAnsi="宋体" w:cs="Times New Roman"/>
          <w:color w:val="auto"/>
          <w:sz w:val="2"/>
          <w:szCs w:val="2"/>
          <w:lang w:val="en-US"/>
        </w:rPr>
        <w:br w:type="page"/>
      </w: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p>
      <w:pPr>
        <w:spacing w:line="360" w:lineRule="auto"/>
        <w:rPr>
          <w:rFonts w:hint="eastAsia" w:ascii="宋体" w:hAnsi="宋体" w:cs="Times New Roman"/>
          <w:color w:val="auto"/>
          <w:sz w:val="2"/>
          <w:szCs w:val="2"/>
          <w:lang w:val="en-US"/>
        </w:rPr>
      </w:pPr>
    </w:p>
    <w:tbl>
      <w:tblPr>
        <w:tblStyle w:val="6"/>
        <w:tblW w:w="93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269"/>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exact"/>
          <w:tblHeader/>
        </w:trPr>
        <w:tc>
          <w:tcPr>
            <w:tcW w:w="988" w:type="dxa"/>
            <w:shd w:val="clear" w:color="auto" w:fill="FFFFFF"/>
            <w:noWrap w:val="0"/>
            <w:vAlign w:val="center"/>
          </w:tcPr>
          <w:p>
            <w:pPr>
              <w:jc w:val="center"/>
              <w:rPr>
                <w:b/>
                <w:bCs/>
                <w:sz w:val="21"/>
                <w:szCs w:val="21"/>
                <w:lang w:val="en-US"/>
              </w:rPr>
            </w:pPr>
            <w:r>
              <w:rPr>
                <w:rFonts w:hint="eastAsia"/>
                <w:b/>
                <w:bCs/>
                <w:sz w:val="21"/>
                <w:szCs w:val="21"/>
              </w:rPr>
              <w:t>条款号</w:t>
            </w:r>
          </w:p>
        </w:tc>
        <w:tc>
          <w:tcPr>
            <w:tcW w:w="1269" w:type="dxa"/>
            <w:shd w:val="clear" w:color="auto" w:fill="FFFFFF"/>
            <w:noWrap w:val="0"/>
            <w:vAlign w:val="center"/>
          </w:tcPr>
          <w:p>
            <w:pPr>
              <w:jc w:val="center"/>
              <w:rPr>
                <w:rFonts w:hint="eastAsia"/>
                <w:b/>
                <w:bCs/>
                <w:sz w:val="21"/>
                <w:szCs w:val="21"/>
                <w:lang w:val="en-US"/>
              </w:rPr>
            </w:pPr>
            <w:r>
              <w:rPr>
                <w:rFonts w:hint="eastAsia"/>
                <w:b/>
                <w:bCs/>
                <w:sz w:val="21"/>
                <w:szCs w:val="21"/>
              </w:rPr>
              <w:t>条款内容</w:t>
            </w:r>
          </w:p>
        </w:tc>
        <w:tc>
          <w:tcPr>
            <w:tcW w:w="7104" w:type="dxa"/>
            <w:shd w:val="clear" w:color="auto" w:fill="FFFFFF"/>
            <w:noWrap w:val="0"/>
            <w:vAlign w:val="center"/>
          </w:tcPr>
          <w:p>
            <w:pPr>
              <w:jc w:val="center"/>
              <w:rPr>
                <w:rFonts w:hint="eastAsia"/>
                <w:b/>
                <w:bCs/>
                <w:sz w:val="21"/>
                <w:szCs w:val="21"/>
                <w:lang w:val="en-US"/>
              </w:rPr>
            </w:pPr>
            <w:r>
              <w:rPr>
                <w:rFonts w:hint="eastAsia"/>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3" w:hRule="exact"/>
        </w:trPr>
        <w:tc>
          <w:tcPr>
            <w:tcW w:w="988" w:type="dxa"/>
            <w:shd w:val="clear" w:color="auto" w:fill="FFFFFF"/>
            <w:noWrap w:val="0"/>
            <w:vAlign w:val="center"/>
          </w:tcPr>
          <w:p>
            <w:pPr>
              <w:spacing w:line="360" w:lineRule="auto"/>
              <w:jc w:val="center"/>
              <w:rPr>
                <w:rFonts w:ascii="宋体" w:hAnsi="宋体"/>
                <w:color w:val="auto"/>
                <w:sz w:val="21"/>
                <w:szCs w:val="21"/>
              </w:rPr>
            </w:pPr>
            <w:r>
              <w:rPr>
                <w:rFonts w:ascii="宋体" w:hAnsi="宋体"/>
                <w:color w:val="auto"/>
                <w:sz w:val="21"/>
                <w:szCs w:val="21"/>
              </w:rPr>
              <w:t>2.2.2</w:t>
            </w:r>
          </w:p>
        </w:tc>
        <w:tc>
          <w:tcPr>
            <w:tcW w:w="1269" w:type="dxa"/>
            <w:shd w:val="clear" w:color="auto" w:fill="FFFFFF"/>
            <w:noWrap w:val="0"/>
            <w:vAlign w:val="center"/>
          </w:tcPr>
          <w:p>
            <w:pPr>
              <w:spacing w:line="360" w:lineRule="auto"/>
              <w:ind w:left="120" w:leftChars="50" w:right="120" w:rightChars="50"/>
              <w:jc w:val="center"/>
              <w:rPr>
                <w:rFonts w:ascii="宋体" w:hAnsi="宋体"/>
                <w:color w:val="auto"/>
                <w:sz w:val="21"/>
                <w:szCs w:val="21"/>
              </w:rPr>
            </w:pPr>
            <w:r>
              <w:rPr>
                <w:rFonts w:ascii="宋体" w:hAnsi="宋体"/>
                <w:color w:val="auto"/>
                <w:sz w:val="21"/>
                <w:szCs w:val="21"/>
              </w:rPr>
              <w:t>评标基准价计算方法</w:t>
            </w:r>
          </w:p>
        </w:tc>
        <w:tc>
          <w:tcPr>
            <w:tcW w:w="7104" w:type="dxa"/>
            <w:shd w:val="clear" w:color="auto" w:fill="FFFFFF"/>
            <w:noWrap w:val="0"/>
            <w:vAlign w:val="center"/>
          </w:tcPr>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评标基准价的计算：</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在开标现场，招标人将当场计算并宣布评标基准价。</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（1）评标价的确定：</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评标价=投标函文字报价</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（2）最高评标限价的确定</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最高投标限价下浮率（以下简称“下浮率”）在开标前在开标现场采取摇珠方式确定。摇珠操作办法如下：在下浮率摇珠范围内，以0.1%为一档次增序确定摇珠号码，不少于31个球，每个标段各一次性摇出3个球（摇出的珠不放回），摇出3个球对应的下浮率的平均值即为本标段招标的下浮率。（注：三个下浮率的平均值四舍五入取整到0.001％）</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最高评标限价=招标控制价×（1-下浮率）。</w:t>
            </w:r>
          </w:p>
          <w:p>
            <w:pPr>
              <w:pStyle w:val="2"/>
              <w:spacing w:after="0" w:line="360" w:lineRule="atLeast"/>
              <w:ind w:left="120" w:leftChars="50" w:right="120" w:rightChars="50" w:firstLine="422" w:firstLineChars="200"/>
              <w:rPr>
                <w:rFonts w:hint="eastAsia"/>
                <w:b/>
                <w:bCs/>
                <w:lang w:val="en-US"/>
              </w:rPr>
            </w:pPr>
            <w:r>
              <w:rPr>
                <w:rFonts w:hint="eastAsia"/>
                <w:b/>
                <w:bCs/>
                <w:lang w:val="en-US"/>
              </w:rPr>
              <w:t>最高投标限价、下浮率有效范围在投标文件递交截止日15天前以书面补遗书的形式通知各投标人。</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（3）有效评标价范围；</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有效评标价范围：不大于最高评标限价的评标价为有效评标价。若大于最高评标限价的评标价，将否决其投标。</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（4）评标基准价的确定：</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最高评标限</w:t>
            </w:r>
            <w:r>
              <w:rPr>
                <w:rFonts w:hint="eastAsia" w:ascii="宋体" w:hAnsi="宋体" w:cs="Times New Roman"/>
                <w:color w:val="auto"/>
                <w:kern w:val="2"/>
                <w:sz w:val="21"/>
                <w:szCs w:val="21"/>
                <w:highlight w:val="none"/>
                <w:lang w:val="en-US"/>
              </w:rPr>
              <w:t>价下浮3%后，作为评标</w:t>
            </w:r>
            <w:r>
              <w:rPr>
                <w:rFonts w:hint="eastAsia" w:ascii="宋体" w:hAnsi="宋体" w:cs="Times New Roman"/>
                <w:color w:val="auto"/>
                <w:kern w:val="2"/>
                <w:sz w:val="21"/>
                <w:szCs w:val="21"/>
                <w:lang w:val="en-US"/>
              </w:rPr>
              <w:t>基准价。</w:t>
            </w:r>
          </w:p>
          <w:p>
            <w:pPr>
              <w:spacing w:line="360" w:lineRule="atLeast"/>
              <w:ind w:left="120" w:leftChars="50" w:right="120" w:rightChars="50" w:firstLine="420" w:firstLineChars="200"/>
              <w:jc w:val="both"/>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60" w:lineRule="atLeast"/>
              <w:ind w:left="120" w:leftChars="50" w:right="120" w:rightChars="50" w:firstLine="420" w:firstLineChars="200"/>
              <w:jc w:val="both"/>
              <w:rPr>
                <w:rFonts w:ascii="宋体" w:hAnsi="宋体" w:cs="MingLiU"/>
                <w:color w:val="auto"/>
                <w:sz w:val="21"/>
                <w:szCs w:val="21"/>
                <w:lang w:val="en-US"/>
              </w:rPr>
            </w:pPr>
            <w:r>
              <w:rPr>
                <w:rFonts w:hint="eastAsia" w:ascii="宋体" w:hAnsi="宋体" w:cs="Times New Roman"/>
                <w:color w:val="auto"/>
                <w:kern w:val="2"/>
                <w:sz w:val="21"/>
                <w:szCs w:val="21"/>
                <w:lang w:val="en-US"/>
              </w:rPr>
              <w:t>注：最高评标限价、评标基准价四舍五入至个位整数。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exact"/>
        </w:trPr>
        <w:tc>
          <w:tcPr>
            <w:tcW w:w="988" w:type="dxa"/>
            <w:shd w:val="clear" w:color="auto" w:fill="FFFFFF"/>
            <w:noWrap w:val="0"/>
            <w:vAlign w:val="center"/>
          </w:tcPr>
          <w:p>
            <w:pPr>
              <w:spacing w:line="360" w:lineRule="auto"/>
              <w:jc w:val="center"/>
              <w:rPr>
                <w:rFonts w:ascii="宋体" w:hAnsi="宋体"/>
                <w:color w:val="auto"/>
                <w:sz w:val="21"/>
                <w:szCs w:val="21"/>
              </w:rPr>
            </w:pPr>
            <w:r>
              <w:rPr>
                <w:rFonts w:ascii="宋体" w:hAnsi="宋体"/>
                <w:color w:val="auto"/>
                <w:sz w:val="21"/>
                <w:szCs w:val="21"/>
              </w:rPr>
              <w:t>2.2.3</w:t>
            </w:r>
          </w:p>
        </w:tc>
        <w:tc>
          <w:tcPr>
            <w:tcW w:w="1269" w:type="dxa"/>
            <w:shd w:val="clear" w:color="auto" w:fill="FFFFFF"/>
            <w:noWrap w:val="0"/>
            <w:vAlign w:val="center"/>
          </w:tcPr>
          <w:p>
            <w:pPr>
              <w:spacing w:line="360" w:lineRule="auto"/>
              <w:ind w:left="120" w:leftChars="50" w:right="120" w:rightChars="50"/>
              <w:jc w:val="center"/>
              <w:rPr>
                <w:rFonts w:ascii="宋体" w:hAnsi="宋体"/>
                <w:color w:val="auto"/>
                <w:sz w:val="21"/>
                <w:szCs w:val="21"/>
              </w:rPr>
            </w:pPr>
            <w:r>
              <w:rPr>
                <w:rFonts w:ascii="宋体" w:hAnsi="宋体"/>
                <w:color w:val="auto"/>
                <w:sz w:val="21"/>
                <w:szCs w:val="21"/>
              </w:rPr>
              <w:t>评标价的偏差率计算公式</w:t>
            </w:r>
          </w:p>
        </w:tc>
        <w:tc>
          <w:tcPr>
            <w:tcW w:w="7104" w:type="dxa"/>
            <w:shd w:val="clear" w:color="auto" w:fill="FFFFFF"/>
            <w:noWrap w:val="0"/>
            <w:vAlign w:val="center"/>
          </w:tcPr>
          <w:p>
            <w:pPr>
              <w:spacing w:line="360" w:lineRule="auto"/>
              <w:ind w:left="120" w:leftChars="50" w:right="120" w:rightChars="50" w:firstLine="420" w:firstLineChars="200"/>
              <w:jc w:val="both"/>
              <w:rPr>
                <w:rFonts w:hint="eastAsia" w:ascii="宋体" w:hAnsi="宋体" w:cs="Times New Roman"/>
                <w:color w:val="auto"/>
                <w:kern w:val="2"/>
                <w:sz w:val="21"/>
                <w:szCs w:val="21"/>
                <w:lang w:val="en-US"/>
              </w:rPr>
            </w:pPr>
            <w:r>
              <w:rPr>
                <w:rFonts w:ascii="宋体" w:hAnsi="宋体"/>
                <w:color w:val="auto"/>
                <w:sz w:val="21"/>
                <w:szCs w:val="21"/>
              </w:rPr>
              <w:t>偏差率=100% ×(投标人评标价－评标基准价)/评标基准价</w:t>
            </w:r>
          </w:p>
        </w:tc>
      </w:tr>
    </w:tbl>
    <w:p>
      <w:pPr>
        <w:spacing w:line="360" w:lineRule="auto"/>
        <w:rPr>
          <w:rFonts w:ascii="宋体" w:hAnsi="宋体" w:cs="Times New Roman"/>
          <w:color w:val="auto"/>
          <w:sz w:val="2"/>
          <w:szCs w:val="2"/>
          <w:lang w:val="en-US"/>
        </w:rPr>
        <w:sectPr>
          <w:footnotePr>
            <w:numFmt w:val="decimalEnclosedCircleChinese"/>
            <w:numRestart w:val="eachPage"/>
          </w:footnotePr>
          <w:pgSz w:w="11900" w:h="16838"/>
          <w:pgMar w:top="1417" w:right="1417" w:bottom="1417" w:left="1417" w:header="680" w:footer="680" w:gutter="0"/>
          <w:pgBorders>
            <w:top w:val="none" w:sz="0" w:space="0"/>
            <w:left w:val="none" w:sz="0" w:space="0"/>
            <w:bottom w:val="none" w:sz="0" w:space="0"/>
            <w:right w:val="none" w:sz="0" w:space="0"/>
          </w:pgBorders>
          <w:cols w:space="720" w:num="1"/>
          <w:docGrid w:linePitch="360" w:charSpace="0"/>
        </w:sectPr>
      </w:pPr>
    </w:p>
    <w:tbl>
      <w:tblPr>
        <w:tblStyle w:val="6"/>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30"/>
        <w:gridCol w:w="990"/>
        <w:gridCol w:w="1290"/>
        <w:gridCol w:w="705"/>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trPr>
        <w:tc>
          <w:tcPr>
            <w:tcW w:w="4761" w:type="dxa"/>
            <w:gridSpan w:val="5"/>
            <w:noWrap w:val="0"/>
            <w:vAlign w:val="top"/>
          </w:tcPr>
          <w:p>
            <w:pPr>
              <w:jc w:val="center"/>
              <w:rPr>
                <w:rFonts w:hint="eastAsia" w:ascii="宋体" w:hAnsi="宋体" w:cs="宋体"/>
                <w:b/>
                <w:bCs/>
                <w:color w:val="auto"/>
                <w:sz w:val="21"/>
                <w:szCs w:val="21"/>
              </w:rPr>
            </w:pPr>
            <w:r>
              <w:rPr>
                <w:rFonts w:hint="eastAsia" w:ascii="宋体" w:hAnsi="宋体" w:cs="宋体"/>
                <w:b/>
                <w:bCs/>
                <w:color w:val="auto"/>
                <w:sz w:val="21"/>
                <w:szCs w:val="21"/>
              </w:rPr>
              <w:t>评分因素与权重分值</w:t>
            </w:r>
          </w:p>
        </w:tc>
        <w:tc>
          <w:tcPr>
            <w:tcW w:w="4560" w:type="dxa"/>
            <w:vMerge w:val="restart"/>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846" w:type="dxa"/>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条款号</w:t>
            </w:r>
          </w:p>
        </w:tc>
        <w:tc>
          <w:tcPr>
            <w:tcW w:w="930" w:type="dxa"/>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评分</w:t>
            </w:r>
          </w:p>
          <w:p>
            <w:pPr>
              <w:jc w:val="center"/>
              <w:rPr>
                <w:rFonts w:hint="eastAsia" w:ascii="宋体" w:hAnsi="宋体" w:cs="宋体"/>
                <w:b/>
                <w:bCs/>
                <w:color w:val="auto"/>
                <w:sz w:val="21"/>
                <w:szCs w:val="21"/>
              </w:rPr>
            </w:pPr>
            <w:r>
              <w:rPr>
                <w:rFonts w:hint="eastAsia" w:ascii="宋体" w:hAnsi="宋体" w:cs="宋体"/>
                <w:b/>
                <w:bCs/>
                <w:color w:val="auto"/>
                <w:sz w:val="21"/>
                <w:szCs w:val="21"/>
              </w:rPr>
              <w:t>因素</w:t>
            </w:r>
          </w:p>
        </w:tc>
        <w:tc>
          <w:tcPr>
            <w:tcW w:w="990" w:type="dxa"/>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评分因素权重分值</w:t>
            </w:r>
          </w:p>
        </w:tc>
        <w:tc>
          <w:tcPr>
            <w:tcW w:w="1290" w:type="dxa"/>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各评分因素细分项</w:t>
            </w:r>
          </w:p>
        </w:tc>
        <w:tc>
          <w:tcPr>
            <w:tcW w:w="705" w:type="dxa"/>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分值</w:t>
            </w:r>
          </w:p>
        </w:tc>
        <w:tc>
          <w:tcPr>
            <w:tcW w:w="4560" w:type="dxa"/>
            <w:vMerge w:val="continue"/>
            <w:noWrap w:val="0"/>
            <w:vAlign w:val="top"/>
          </w:tcPr>
          <w:p>
            <w:pPr>
              <w:jc w:val="center"/>
              <w:rPr>
                <w:rFonts w:hint="eastAsia"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846"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2.2.4</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930"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施工组织设计</w:t>
            </w:r>
          </w:p>
        </w:tc>
        <w:tc>
          <w:tcPr>
            <w:tcW w:w="990"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kern w:val="2"/>
                <w:sz w:val="21"/>
                <w:szCs w:val="21"/>
                <w:u w:val="single"/>
                <w:lang w:val="en-US"/>
              </w:rPr>
              <w:t>7</w:t>
            </w:r>
            <w:r>
              <w:rPr>
                <w:rFonts w:hint="eastAsia" w:ascii="宋体" w:hAnsi="宋体" w:cs="宋体"/>
                <w:color w:val="auto"/>
                <w:sz w:val="21"/>
                <w:szCs w:val="21"/>
              </w:rPr>
              <w:t>分</w:t>
            </w:r>
          </w:p>
        </w:tc>
        <w:tc>
          <w:tcPr>
            <w:tcW w:w="1290" w:type="dxa"/>
            <w:noWrap w:val="0"/>
            <w:vAlign w:val="center"/>
          </w:tcPr>
          <w:p>
            <w:pPr>
              <w:spacing w:line="360" w:lineRule="auto"/>
              <w:jc w:val="center"/>
              <w:rPr>
                <w:rFonts w:hint="eastAsia" w:ascii="宋体" w:hAnsi="宋体" w:cs="宋体"/>
                <w:color w:val="auto"/>
                <w:sz w:val="21"/>
                <w:szCs w:val="21"/>
                <w:highlight w:val="yellow"/>
              </w:rPr>
            </w:pPr>
            <w:r>
              <w:rPr>
                <w:rStyle w:val="24"/>
                <w:rFonts w:hint="eastAsia" w:ascii="宋体" w:hAnsi="宋体" w:eastAsia="宋体" w:cs="宋体"/>
                <w:color w:val="auto"/>
                <w:sz w:val="21"/>
                <w:szCs w:val="21"/>
              </w:rPr>
              <w:t>总体施工组织布置及规划</w:t>
            </w:r>
          </w:p>
        </w:tc>
        <w:tc>
          <w:tcPr>
            <w:tcW w:w="705" w:type="dxa"/>
            <w:noWrap w:val="0"/>
            <w:vAlign w:val="center"/>
          </w:tcPr>
          <w:p>
            <w:pPr>
              <w:spacing w:line="360" w:lineRule="auto"/>
              <w:rPr>
                <w:rFonts w:hint="eastAsia" w:ascii="宋体" w:hAnsi="宋体" w:cs="宋体"/>
                <w:color w:val="auto"/>
                <w:sz w:val="21"/>
                <w:szCs w:val="21"/>
                <w:highlight w:val="yellow"/>
              </w:rPr>
            </w:pPr>
            <w:r>
              <w:rPr>
                <w:rStyle w:val="24"/>
                <w:rFonts w:hint="eastAsia" w:ascii="宋体" w:hAnsi="宋体" w:eastAsia="宋体" w:cs="宋体"/>
                <w:color w:val="auto"/>
                <w:sz w:val="21"/>
                <w:szCs w:val="21"/>
                <w:u w:val="single"/>
              </w:rPr>
              <w:t xml:space="preserve"> </w:t>
            </w:r>
            <w:r>
              <w:rPr>
                <w:rStyle w:val="24"/>
                <w:rFonts w:hint="eastAsia" w:ascii="宋体" w:hAnsi="宋体" w:eastAsia="宋体" w:cs="宋体"/>
                <w:color w:val="auto"/>
                <w:sz w:val="21"/>
                <w:szCs w:val="21"/>
                <w:u w:val="single"/>
                <w:lang w:val="en-US"/>
              </w:rPr>
              <w:t>2</w:t>
            </w:r>
            <w:r>
              <w:rPr>
                <w:rStyle w:val="24"/>
                <w:rFonts w:hint="eastAsia" w:ascii="宋体" w:hAnsi="宋体" w:eastAsia="宋体" w:cs="宋体"/>
                <w:color w:val="auto"/>
                <w:sz w:val="21"/>
                <w:szCs w:val="21"/>
                <w:u w:val="single"/>
              </w:rPr>
              <w:t xml:space="preserve"> </w:t>
            </w:r>
            <w:r>
              <w:rPr>
                <w:rFonts w:hint="eastAsia" w:ascii="宋体" w:hAnsi="宋体" w:cs="宋体"/>
                <w:color w:val="auto"/>
                <w:sz w:val="21"/>
                <w:szCs w:val="21"/>
              </w:rPr>
              <w:t>分</w:t>
            </w:r>
          </w:p>
        </w:tc>
        <w:tc>
          <w:tcPr>
            <w:tcW w:w="4560" w:type="dxa"/>
            <w:noWrap w:val="0"/>
            <w:vAlign w:val="center"/>
          </w:tcPr>
          <w:p>
            <w:pPr>
              <w:tabs>
                <w:tab w:val="left" w:pos="380"/>
                <w:tab w:val="left" w:pos="840"/>
                <w:tab w:val="left" w:pos="1260"/>
              </w:tabs>
              <w:snapToGrid w:val="0"/>
              <w:spacing w:line="360" w:lineRule="atLeast"/>
              <w:ind w:left="130" w:leftChars="50" w:right="120" w:rightChars="50" w:hanging="10" w:hangingChars="5"/>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（1）对项目的基本情况了解全面、准确，施工总体布置规划、施工进度计划科学合理、可操作性强，得</w:t>
            </w:r>
            <w:r>
              <w:rPr>
                <w:rStyle w:val="24"/>
                <w:rFonts w:hint="eastAsia" w:ascii="宋体" w:hAnsi="宋体" w:eastAsia="宋体" w:cs="宋体"/>
                <w:color w:val="auto"/>
                <w:sz w:val="21"/>
                <w:szCs w:val="21"/>
                <w:lang w:val="en-US"/>
              </w:rPr>
              <w:t>1.6</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2.0</w:t>
            </w:r>
            <w:r>
              <w:rPr>
                <w:rStyle w:val="24"/>
                <w:rFonts w:hint="eastAsia" w:ascii="宋体" w:hAnsi="宋体" w:eastAsia="宋体" w:cs="宋体"/>
                <w:color w:val="auto"/>
                <w:sz w:val="21"/>
                <w:szCs w:val="21"/>
              </w:rPr>
              <w:t xml:space="preserve"> 分；</w:t>
            </w:r>
          </w:p>
          <w:p>
            <w:pPr>
              <w:tabs>
                <w:tab w:val="left" w:pos="380"/>
                <w:tab w:val="left" w:pos="840"/>
                <w:tab w:val="left" w:pos="1260"/>
              </w:tabs>
              <w:snapToGrid w:val="0"/>
              <w:spacing w:line="360" w:lineRule="atLeast"/>
              <w:ind w:left="130" w:leftChars="50" w:right="120" w:rightChars="50" w:hanging="10" w:hangingChars="5"/>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（2）满足工程建设需要，施工总体布置规划、施工进度计划基本可行，得</w:t>
            </w:r>
            <w:r>
              <w:rPr>
                <w:rStyle w:val="24"/>
                <w:rFonts w:hint="eastAsia" w:ascii="宋体" w:hAnsi="宋体" w:eastAsia="宋体" w:cs="宋体"/>
                <w:color w:val="auto"/>
                <w:sz w:val="21"/>
                <w:szCs w:val="21"/>
                <w:lang w:val="en-US"/>
              </w:rPr>
              <w:t>1.2</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1.6</w:t>
            </w:r>
            <w:r>
              <w:rPr>
                <w:rStyle w:val="24"/>
                <w:rFonts w:hint="eastAsia" w:ascii="宋体" w:hAnsi="宋体" w:eastAsia="宋体" w:cs="宋体"/>
                <w:color w:val="auto"/>
                <w:sz w:val="21"/>
                <w:szCs w:val="21"/>
              </w:rPr>
              <w:t xml:space="preserve"> 分；</w:t>
            </w:r>
          </w:p>
          <w:p>
            <w:pPr>
              <w:tabs>
                <w:tab w:val="left" w:pos="380"/>
                <w:tab w:val="left" w:pos="840"/>
                <w:tab w:val="left" w:pos="1260"/>
              </w:tabs>
              <w:snapToGrid w:val="0"/>
              <w:spacing w:line="360" w:lineRule="atLeast"/>
              <w:ind w:left="130" w:leftChars="50" w:right="120" w:rightChars="50" w:hanging="10" w:hangingChars="5"/>
              <w:rPr>
                <w:rFonts w:hint="eastAsia" w:ascii="宋体" w:hAnsi="宋体" w:cs="宋体"/>
                <w:color w:val="auto"/>
                <w:sz w:val="21"/>
                <w:szCs w:val="21"/>
                <w:highlight w:val="yellow"/>
              </w:rPr>
            </w:pPr>
            <w:r>
              <w:rPr>
                <w:rStyle w:val="24"/>
                <w:rFonts w:hint="eastAsia" w:ascii="宋体" w:hAnsi="宋体" w:eastAsia="宋体" w:cs="宋体"/>
                <w:color w:val="auto"/>
                <w:sz w:val="21"/>
                <w:szCs w:val="21"/>
              </w:rPr>
              <w:t>（3）一般但不被评定为不响应的,得</w:t>
            </w:r>
            <w:r>
              <w:rPr>
                <w:rStyle w:val="24"/>
                <w:rFonts w:hint="eastAsia" w:ascii="宋体" w:hAnsi="宋体" w:eastAsia="宋体" w:cs="宋体"/>
                <w:color w:val="auto"/>
                <w:sz w:val="21"/>
                <w:szCs w:val="21"/>
                <w:lang w:val="en-US"/>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846" w:type="dxa"/>
            <w:vMerge w:val="continue"/>
            <w:noWrap w:val="0"/>
            <w:vAlign w:val="center"/>
          </w:tcPr>
          <w:p>
            <w:pPr>
              <w:spacing w:line="360" w:lineRule="auto"/>
              <w:jc w:val="center"/>
              <w:rPr>
                <w:rFonts w:hint="eastAsia" w:ascii="宋体" w:hAnsi="宋体" w:cs="宋体"/>
                <w:color w:val="auto"/>
                <w:sz w:val="21"/>
                <w:szCs w:val="21"/>
              </w:rPr>
            </w:pPr>
          </w:p>
        </w:tc>
        <w:tc>
          <w:tcPr>
            <w:tcW w:w="930" w:type="dxa"/>
            <w:vMerge w:val="continue"/>
            <w:noWrap w:val="0"/>
            <w:vAlign w:val="center"/>
          </w:tcPr>
          <w:p>
            <w:pPr>
              <w:spacing w:line="360" w:lineRule="auto"/>
              <w:jc w:val="center"/>
              <w:rPr>
                <w:rFonts w:hint="eastAsia" w:ascii="宋体" w:hAnsi="宋体" w:cs="宋体"/>
                <w:color w:val="auto"/>
                <w:sz w:val="21"/>
                <w:szCs w:val="21"/>
              </w:rPr>
            </w:pPr>
          </w:p>
        </w:tc>
        <w:tc>
          <w:tcPr>
            <w:tcW w:w="990" w:type="dxa"/>
            <w:vMerge w:val="continue"/>
            <w:noWrap w:val="0"/>
            <w:vAlign w:val="center"/>
          </w:tcPr>
          <w:p>
            <w:pPr>
              <w:spacing w:line="360" w:lineRule="auto"/>
              <w:jc w:val="center"/>
              <w:rPr>
                <w:rFonts w:hint="eastAsia" w:ascii="宋体" w:hAnsi="宋体" w:cs="宋体"/>
                <w:color w:val="auto"/>
                <w:sz w:val="21"/>
                <w:szCs w:val="21"/>
              </w:rPr>
            </w:pPr>
          </w:p>
        </w:tc>
        <w:tc>
          <w:tcPr>
            <w:tcW w:w="1290" w:type="dxa"/>
            <w:noWrap w:val="0"/>
            <w:vAlign w:val="center"/>
          </w:tcPr>
          <w:p>
            <w:pPr>
              <w:spacing w:line="360" w:lineRule="auto"/>
              <w:rPr>
                <w:rFonts w:hint="eastAsia" w:ascii="宋体" w:hAnsi="宋体" w:cs="宋体"/>
                <w:color w:val="auto"/>
                <w:sz w:val="21"/>
                <w:szCs w:val="21"/>
                <w:highlight w:val="yellow"/>
              </w:rPr>
            </w:pPr>
            <w:r>
              <w:rPr>
                <w:rStyle w:val="24"/>
                <w:rFonts w:hint="eastAsia" w:ascii="宋体" w:hAnsi="宋体" w:eastAsia="宋体" w:cs="宋体"/>
                <w:color w:val="auto"/>
                <w:sz w:val="21"/>
                <w:szCs w:val="21"/>
              </w:rPr>
              <w:t>重点、难点和关键工程的施工方案与技术措施</w:t>
            </w:r>
          </w:p>
        </w:tc>
        <w:tc>
          <w:tcPr>
            <w:tcW w:w="705" w:type="dxa"/>
            <w:noWrap w:val="0"/>
            <w:vAlign w:val="center"/>
          </w:tcPr>
          <w:p>
            <w:pPr>
              <w:spacing w:line="360" w:lineRule="auto"/>
              <w:rPr>
                <w:rFonts w:hint="eastAsia" w:ascii="宋体" w:hAnsi="宋体" w:cs="宋体"/>
                <w:color w:val="auto"/>
                <w:sz w:val="21"/>
                <w:szCs w:val="21"/>
                <w:highlight w:val="yellow"/>
              </w:rPr>
            </w:pPr>
            <w:r>
              <w:rPr>
                <w:rStyle w:val="24"/>
                <w:rFonts w:hint="eastAsia" w:ascii="宋体" w:hAnsi="宋体" w:eastAsia="宋体" w:cs="宋体"/>
                <w:color w:val="auto"/>
                <w:sz w:val="21"/>
                <w:szCs w:val="21"/>
                <w:u w:val="single"/>
              </w:rPr>
              <w:t xml:space="preserve"> </w:t>
            </w:r>
            <w:r>
              <w:rPr>
                <w:rStyle w:val="24"/>
                <w:rFonts w:hint="eastAsia" w:ascii="宋体" w:hAnsi="宋体" w:eastAsia="宋体" w:cs="宋体"/>
                <w:color w:val="auto"/>
                <w:sz w:val="21"/>
                <w:szCs w:val="21"/>
                <w:u w:val="single"/>
                <w:lang w:val="en-US"/>
              </w:rPr>
              <w:t>3</w:t>
            </w:r>
            <w:r>
              <w:rPr>
                <w:rStyle w:val="24"/>
                <w:rFonts w:hint="eastAsia" w:ascii="宋体" w:hAnsi="宋体" w:eastAsia="宋体" w:cs="宋体"/>
                <w:color w:val="auto"/>
                <w:sz w:val="21"/>
                <w:szCs w:val="21"/>
                <w:u w:val="single"/>
              </w:rPr>
              <w:t xml:space="preserve"> </w:t>
            </w:r>
            <w:r>
              <w:rPr>
                <w:rFonts w:hint="eastAsia" w:ascii="宋体" w:hAnsi="宋体" w:cs="宋体"/>
                <w:color w:val="auto"/>
                <w:sz w:val="21"/>
                <w:szCs w:val="21"/>
              </w:rPr>
              <w:t>分</w:t>
            </w:r>
          </w:p>
        </w:tc>
        <w:tc>
          <w:tcPr>
            <w:tcW w:w="4560" w:type="dxa"/>
            <w:noWrap w:val="0"/>
            <w:vAlign w:val="center"/>
          </w:tcPr>
          <w:p>
            <w:pPr>
              <w:tabs>
                <w:tab w:val="left" w:pos="1260"/>
              </w:tabs>
              <w:snapToGrid w:val="0"/>
              <w:spacing w:line="360" w:lineRule="atLeast"/>
              <w:ind w:left="130" w:leftChars="50" w:right="120" w:rightChars="50" w:hanging="10" w:hangingChars="5"/>
              <w:jc w:val="both"/>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（1）对项目重点、难点和关键工程认识分析透彻，能充分发挥自身优势，积极采用“四新”技术，制定的施工方案与技术措施针对性和可操作性强，重点突出的，得</w:t>
            </w:r>
            <w:r>
              <w:rPr>
                <w:rStyle w:val="24"/>
                <w:rFonts w:hint="eastAsia" w:ascii="宋体" w:hAnsi="宋体" w:eastAsia="宋体" w:cs="宋体"/>
                <w:color w:val="auto"/>
                <w:sz w:val="21"/>
                <w:szCs w:val="21"/>
                <w:lang w:val="en-US"/>
              </w:rPr>
              <w:t>2.4</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3.0</w:t>
            </w:r>
            <w:r>
              <w:rPr>
                <w:rStyle w:val="24"/>
                <w:rFonts w:hint="eastAsia" w:ascii="宋体" w:hAnsi="宋体" w:eastAsia="宋体" w:cs="宋体"/>
                <w:color w:val="auto"/>
                <w:sz w:val="21"/>
                <w:szCs w:val="21"/>
              </w:rPr>
              <w:t>分；</w:t>
            </w:r>
          </w:p>
          <w:p>
            <w:pPr>
              <w:tabs>
                <w:tab w:val="left" w:pos="1260"/>
              </w:tabs>
              <w:snapToGrid w:val="0"/>
              <w:spacing w:line="360" w:lineRule="atLeast"/>
              <w:ind w:left="130" w:leftChars="50" w:right="120" w:rightChars="50" w:hanging="10" w:hangingChars="5"/>
              <w:jc w:val="both"/>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（2）对项目重点、难点和关键工程认识基本到位，施工方案与技术措施基本可行，重点较为突出的，得</w:t>
            </w:r>
            <w:r>
              <w:rPr>
                <w:rStyle w:val="24"/>
                <w:rFonts w:hint="eastAsia" w:ascii="宋体" w:hAnsi="宋体" w:eastAsia="宋体" w:cs="宋体"/>
                <w:color w:val="auto"/>
                <w:sz w:val="21"/>
                <w:szCs w:val="21"/>
                <w:lang w:val="en-US"/>
              </w:rPr>
              <w:t>1.8</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2.4</w:t>
            </w:r>
            <w:r>
              <w:rPr>
                <w:rStyle w:val="24"/>
                <w:rFonts w:hint="eastAsia" w:ascii="宋体" w:hAnsi="宋体" w:eastAsia="宋体" w:cs="宋体"/>
                <w:color w:val="auto"/>
                <w:sz w:val="21"/>
                <w:szCs w:val="21"/>
              </w:rPr>
              <w:t>分；</w:t>
            </w:r>
          </w:p>
          <w:p>
            <w:pPr>
              <w:spacing w:line="360" w:lineRule="atLeast"/>
              <w:ind w:left="130" w:leftChars="50" w:right="120" w:rightChars="50" w:hanging="10" w:hangingChars="5"/>
              <w:jc w:val="both"/>
              <w:rPr>
                <w:rFonts w:hint="eastAsia" w:ascii="宋体" w:hAnsi="宋体" w:cs="宋体"/>
                <w:color w:val="auto"/>
                <w:sz w:val="21"/>
                <w:szCs w:val="21"/>
                <w:highlight w:val="yellow"/>
              </w:rPr>
            </w:pPr>
            <w:r>
              <w:rPr>
                <w:rStyle w:val="24"/>
                <w:rFonts w:hint="eastAsia" w:ascii="宋体" w:hAnsi="宋体" w:eastAsia="宋体" w:cs="宋体"/>
                <w:color w:val="auto"/>
                <w:sz w:val="21"/>
                <w:szCs w:val="21"/>
              </w:rPr>
              <w:t>（3）一般但不被评定为不响应的, 得</w:t>
            </w:r>
            <w:r>
              <w:rPr>
                <w:rStyle w:val="24"/>
                <w:rFonts w:hint="eastAsia" w:ascii="宋体" w:hAnsi="宋体" w:eastAsia="宋体"/>
                <w:color w:val="auto"/>
                <w:sz w:val="20"/>
                <w:szCs w:val="20"/>
                <w:u w:val="single"/>
                <w:lang w:val="en-US"/>
              </w:rPr>
              <w:t>1.8</w:t>
            </w:r>
            <w:r>
              <w:rPr>
                <w:rStyle w:val="24"/>
                <w:rFonts w:hint="eastAsia" w:ascii="宋体" w:hAnsi="宋体" w:eastAsia="宋体"/>
                <w:color w:val="auto"/>
                <w:sz w:val="20"/>
                <w:szCs w:val="20"/>
                <w:u w:val="single"/>
              </w:rPr>
              <w:t xml:space="preserve"> </w:t>
            </w:r>
            <w:r>
              <w:rPr>
                <w:rStyle w:val="24"/>
                <w:rFonts w:ascii="宋体" w:hAnsi="宋体" w:eastAsia="宋体"/>
                <w:color w:val="auto"/>
                <w:sz w:val="20"/>
                <w:szCs w:val="20"/>
              </w:rPr>
              <w:t>分</w:t>
            </w:r>
            <w:r>
              <w:rPr>
                <w:rStyle w:val="24"/>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846" w:type="dxa"/>
            <w:vMerge w:val="continue"/>
            <w:noWrap w:val="0"/>
            <w:vAlign w:val="center"/>
          </w:tcPr>
          <w:p>
            <w:pPr>
              <w:spacing w:line="360" w:lineRule="auto"/>
              <w:jc w:val="center"/>
              <w:rPr>
                <w:rFonts w:hint="eastAsia" w:ascii="宋体" w:hAnsi="宋体" w:cs="宋体"/>
                <w:color w:val="auto"/>
                <w:sz w:val="21"/>
                <w:szCs w:val="21"/>
              </w:rPr>
            </w:pPr>
          </w:p>
        </w:tc>
        <w:tc>
          <w:tcPr>
            <w:tcW w:w="930" w:type="dxa"/>
            <w:vMerge w:val="continue"/>
            <w:noWrap w:val="0"/>
            <w:vAlign w:val="center"/>
          </w:tcPr>
          <w:p>
            <w:pPr>
              <w:spacing w:line="360" w:lineRule="auto"/>
              <w:jc w:val="center"/>
              <w:rPr>
                <w:rFonts w:hint="eastAsia" w:ascii="宋体" w:hAnsi="宋体" w:cs="宋体"/>
                <w:color w:val="auto"/>
                <w:sz w:val="21"/>
                <w:szCs w:val="21"/>
              </w:rPr>
            </w:pPr>
          </w:p>
        </w:tc>
        <w:tc>
          <w:tcPr>
            <w:tcW w:w="990" w:type="dxa"/>
            <w:vMerge w:val="continue"/>
            <w:noWrap w:val="0"/>
            <w:vAlign w:val="center"/>
          </w:tcPr>
          <w:p>
            <w:pPr>
              <w:spacing w:line="360" w:lineRule="auto"/>
              <w:jc w:val="center"/>
              <w:rPr>
                <w:rFonts w:hint="eastAsia" w:ascii="宋体" w:hAnsi="宋体" w:cs="宋体"/>
                <w:color w:val="auto"/>
                <w:sz w:val="21"/>
                <w:szCs w:val="21"/>
              </w:rPr>
            </w:pPr>
          </w:p>
        </w:tc>
        <w:tc>
          <w:tcPr>
            <w:tcW w:w="1290" w:type="dxa"/>
            <w:noWrap w:val="0"/>
            <w:vAlign w:val="center"/>
          </w:tcPr>
          <w:p>
            <w:pPr>
              <w:spacing w:line="360" w:lineRule="auto"/>
              <w:rPr>
                <w:rFonts w:hint="eastAsia" w:ascii="宋体" w:hAnsi="宋体" w:cs="宋体"/>
                <w:color w:val="auto"/>
                <w:sz w:val="21"/>
                <w:szCs w:val="21"/>
                <w:highlight w:val="yellow"/>
              </w:rPr>
            </w:pPr>
            <w:r>
              <w:rPr>
                <w:rStyle w:val="24"/>
                <w:rFonts w:hint="eastAsia" w:ascii="宋体" w:hAnsi="宋体" w:eastAsia="宋体" w:cs="宋体"/>
                <w:color w:val="auto"/>
                <w:sz w:val="21"/>
                <w:szCs w:val="21"/>
              </w:rPr>
              <w:t>工期、质量、安全、环保水保、文明施工保证措施</w:t>
            </w:r>
          </w:p>
        </w:tc>
        <w:tc>
          <w:tcPr>
            <w:tcW w:w="705" w:type="dxa"/>
            <w:noWrap w:val="0"/>
            <w:vAlign w:val="center"/>
          </w:tcPr>
          <w:p>
            <w:pPr>
              <w:spacing w:line="360" w:lineRule="auto"/>
              <w:rPr>
                <w:rFonts w:hint="eastAsia" w:ascii="宋体" w:hAnsi="宋体" w:cs="宋体"/>
                <w:color w:val="auto"/>
                <w:sz w:val="21"/>
                <w:szCs w:val="21"/>
                <w:highlight w:val="yellow"/>
              </w:rPr>
            </w:pPr>
            <w:r>
              <w:rPr>
                <w:rStyle w:val="24"/>
                <w:rFonts w:hint="eastAsia" w:ascii="宋体" w:hAnsi="宋体" w:eastAsia="宋体" w:cs="宋体"/>
                <w:color w:val="auto"/>
                <w:sz w:val="21"/>
                <w:szCs w:val="21"/>
                <w:u w:val="single"/>
              </w:rPr>
              <w:t xml:space="preserve"> </w:t>
            </w:r>
            <w:r>
              <w:rPr>
                <w:rStyle w:val="24"/>
                <w:rFonts w:hint="eastAsia" w:ascii="宋体" w:hAnsi="宋体" w:eastAsia="宋体" w:cs="宋体"/>
                <w:color w:val="auto"/>
                <w:sz w:val="21"/>
                <w:szCs w:val="21"/>
                <w:u w:val="single"/>
                <w:lang w:val="en-US"/>
              </w:rPr>
              <w:t>2</w:t>
            </w:r>
            <w:r>
              <w:rPr>
                <w:rStyle w:val="24"/>
                <w:rFonts w:hint="eastAsia" w:ascii="宋体" w:hAnsi="宋体" w:eastAsia="宋体" w:cs="宋体"/>
                <w:color w:val="auto"/>
                <w:sz w:val="21"/>
                <w:szCs w:val="21"/>
                <w:u w:val="single"/>
              </w:rPr>
              <w:t xml:space="preserve"> </w:t>
            </w:r>
            <w:r>
              <w:rPr>
                <w:rFonts w:hint="eastAsia" w:ascii="宋体" w:hAnsi="宋体" w:cs="宋体"/>
                <w:color w:val="auto"/>
                <w:sz w:val="21"/>
                <w:szCs w:val="21"/>
              </w:rPr>
              <w:t>分</w:t>
            </w:r>
          </w:p>
        </w:tc>
        <w:tc>
          <w:tcPr>
            <w:tcW w:w="4560" w:type="dxa"/>
            <w:noWrap w:val="0"/>
            <w:vAlign w:val="center"/>
          </w:tcPr>
          <w:p>
            <w:pPr>
              <w:numPr>
                <w:ilvl w:val="0"/>
                <w:numId w:val="2"/>
              </w:numPr>
              <w:tabs>
                <w:tab w:val="left" w:pos="1260"/>
              </w:tabs>
              <w:snapToGrid w:val="0"/>
              <w:spacing w:line="360" w:lineRule="atLeast"/>
              <w:ind w:left="130" w:leftChars="50" w:right="120" w:rightChars="50" w:hanging="10" w:hangingChars="5"/>
              <w:jc w:val="both"/>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能够准确预判分析工期、质量、安全、环保、水保、文明施工目标实现的主要影响因素，拟采取预防保证措施针对性强、科学有效，重点突出的，得</w:t>
            </w:r>
            <w:r>
              <w:rPr>
                <w:rStyle w:val="24"/>
                <w:rFonts w:hint="eastAsia" w:ascii="宋体" w:hAnsi="宋体" w:eastAsia="宋体" w:cs="宋体"/>
                <w:color w:val="auto"/>
                <w:sz w:val="21"/>
                <w:szCs w:val="21"/>
                <w:lang w:val="en-US"/>
              </w:rPr>
              <w:t>1.6</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2.0</w:t>
            </w:r>
            <w:r>
              <w:rPr>
                <w:rStyle w:val="24"/>
                <w:rFonts w:hint="eastAsia" w:ascii="宋体" w:hAnsi="宋体" w:eastAsia="宋体" w:cs="宋体"/>
                <w:color w:val="auto"/>
                <w:sz w:val="21"/>
                <w:szCs w:val="21"/>
              </w:rPr>
              <w:t>分；</w:t>
            </w:r>
          </w:p>
          <w:p>
            <w:pPr>
              <w:numPr>
                <w:ilvl w:val="0"/>
                <w:numId w:val="2"/>
              </w:numPr>
              <w:tabs>
                <w:tab w:val="left" w:pos="1260"/>
              </w:tabs>
              <w:snapToGrid w:val="0"/>
              <w:spacing w:line="360" w:lineRule="atLeast"/>
              <w:ind w:left="130" w:leftChars="50" w:right="120" w:rightChars="50" w:hanging="10" w:hangingChars="5"/>
              <w:jc w:val="both"/>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对工期、质量、安全、环保、水保等风险有一定认识，预防保证措施基本可行，重点较为突出的，得</w:t>
            </w:r>
            <w:r>
              <w:rPr>
                <w:rStyle w:val="24"/>
                <w:rFonts w:hint="eastAsia" w:ascii="宋体" w:hAnsi="宋体" w:eastAsia="宋体" w:cs="宋体"/>
                <w:color w:val="auto"/>
                <w:sz w:val="21"/>
                <w:szCs w:val="21"/>
                <w:lang w:val="en-US"/>
              </w:rPr>
              <w:t>1.2</w:t>
            </w:r>
            <w:r>
              <w:rPr>
                <w:rStyle w:val="24"/>
                <w:rFonts w:hint="eastAsia" w:ascii="宋体" w:hAnsi="宋体" w:eastAsia="宋体" w:cs="宋体"/>
                <w:color w:val="auto"/>
                <w:sz w:val="21"/>
                <w:szCs w:val="21"/>
              </w:rPr>
              <w:t>～</w:t>
            </w:r>
            <w:r>
              <w:rPr>
                <w:rStyle w:val="24"/>
                <w:rFonts w:hint="eastAsia" w:ascii="宋体" w:hAnsi="宋体" w:eastAsia="宋体" w:cs="宋体"/>
                <w:color w:val="auto"/>
                <w:sz w:val="21"/>
                <w:szCs w:val="21"/>
                <w:lang w:val="en-US"/>
              </w:rPr>
              <w:t>1.6</w:t>
            </w:r>
            <w:r>
              <w:rPr>
                <w:rStyle w:val="24"/>
                <w:rFonts w:hint="eastAsia" w:ascii="宋体" w:hAnsi="宋体" w:eastAsia="宋体" w:cs="宋体"/>
                <w:color w:val="auto"/>
                <w:sz w:val="21"/>
                <w:szCs w:val="21"/>
              </w:rPr>
              <w:t>分；</w:t>
            </w:r>
          </w:p>
          <w:p>
            <w:pPr>
              <w:tabs>
                <w:tab w:val="left" w:pos="1260"/>
              </w:tabs>
              <w:snapToGrid w:val="0"/>
              <w:spacing w:line="360" w:lineRule="atLeast"/>
              <w:ind w:left="120" w:leftChars="50" w:right="120" w:rightChars="50"/>
              <w:jc w:val="both"/>
              <w:rPr>
                <w:rStyle w:val="24"/>
                <w:rFonts w:hint="eastAsia" w:ascii="宋体" w:hAnsi="宋体" w:eastAsia="宋体" w:cs="宋体"/>
                <w:color w:val="auto"/>
                <w:sz w:val="21"/>
                <w:szCs w:val="21"/>
                <w:highlight w:val="yellow"/>
              </w:rPr>
            </w:pPr>
            <w:r>
              <w:rPr>
                <w:rStyle w:val="24"/>
                <w:rFonts w:hint="eastAsia" w:ascii="宋体" w:hAnsi="宋体" w:eastAsia="宋体" w:cs="宋体"/>
                <w:color w:val="auto"/>
                <w:sz w:val="21"/>
                <w:szCs w:val="21"/>
              </w:rPr>
              <w:t xml:space="preserve">（3）一般但不被评定为不响应的, 得 </w:t>
            </w:r>
            <w:r>
              <w:rPr>
                <w:rStyle w:val="24"/>
                <w:rFonts w:hint="eastAsia" w:ascii="宋体" w:hAnsi="宋体" w:eastAsia="宋体" w:cs="宋体"/>
                <w:color w:val="auto"/>
                <w:sz w:val="21"/>
                <w:szCs w:val="21"/>
                <w:lang w:val="en-US"/>
              </w:rPr>
              <w:t>1.2</w:t>
            </w:r>
            <w:r>
              <w:rPr>
                <w:rStyle w:val="24"/>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46"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2.2.4</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930"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评标价</w:t>
            </w:r>
          </w:p>
        </w:tc>
        <w:tc>
          <w:tcPr>
            <w:tcW w:w="990"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u w:val="single"/>
              </w:rPr>
              <w:t>80</w:t>
            </w:r>
            <w:r>
              <w:rPr>
                <w:rFonts w:hint="eastAsia" w:ascii="宋体" w:hAnsi="宋体" w:cs="宋体"/>
                <w:color w:val="auto"/>
                <w:sz w:val="21"/>
                <w:szCs w:val="21"/>
              </w:rPr>
              <w:t>分</w:t>
            </w:r>
          </w:p>
        </w:tc>
        <w:tc>
          <w:tcPr>
            <w:tcW w:w="6555" w:type="dxa"/>
            <w:gridSpan w:val="3"/>
            <w:noWrap w:val="0"/>
            <w:vAlign w:val="center"/>
          </w:tcPr>
          <w:p>
            <w:pPr>
              <w:spacing w:line="360" w:lineRule="atLeast"/>
              <w:ind w:left="120" w:leftChars="50" w:right="120" w:rightChars="50"/>
              <w:jc w:val="both"/>
              <w:rPr>
                <w:rFonts w:ascii="宋体" w:hAnsi="宋体"/>
                <w:color w:val="auto"/>
                <w:sz w:val="21"/>
                <w:szCs w:val="21"/>
              </w:rPr>
            </w:pPr>
            <w:r>
              <w:rPr>
                <w:rFonts w:ascii="宋体" w:hAnsi="宋体"/>
                <w:color w:val="auto"/>
                <w:sz w:val="21"/>
                <w:szCs w:val="21"/>
              </w:rPr>
              <w:t>评标价得分计算公式示例：</w:t>
            </w:r>
          </w:p>
          <w:p>
            <w:pPr>
              <w:spacing w:line="360" w:lineRule="atLeast"/>
              <w:ind w:left="120" w:leftChars="50" w:right="120" w:rightChars="50"/>
              <w:jc w:val="both"/>
              <w:rPr>
                <w:rFonts w:hint="eastAsia" w:ascii="宋体" w:hAnsi="宋体"/>
                <w:color w:val="auto"/>
                <w:sz w:val="21"/>
                <w:szCs w:val="21"/>
              </w:rPr>
            </w:pPr>
            <w:r>
              <w:rPr>
                <w:rFonts w:ascii="宋体" w:hAnsi="宋体"/>
                <w:color w:val="auto"/>
                <w:sz w:val="21"/>
                <w:szCs w:val="21"/>
              </w:rPr>
              <w:t>(1)如果投标人的评标价&gt;评标基准价，则评标价得分＝</w:t>
            </w:r>
            <w:r>
              <w:rPr>
                <w:rFonts w:hint="eastAsia" w:ascii="宋体" w:hAnsi="宋体"/>
                <w:color w:val="auto"/>
                <w:sz w:val="21"/>
                <w:szCs w:val="21"/>
                <w:lang w:val="en-US"/>
              </w:rPr>
              <w:t>80</w:t>
            </w:r>
            <w:r>
              <w:rPr>
                <w:rFonts w:ascii="宋体" w:hAnsi="宋体"/>
                <w:color w:val="auto"/>
                <w:sz w:val="21"/>
                <w:szCs w:val="21"/>
              </w:rPr>
              <w:t>－偏差率×100×</w:t>
            </w:r>
            <w:r>
              <w:rPr>
                <w:rFonts w:hint="eastAsia" w:ascii="宋体" w:hAnsi="宋体"/>
                <w:color w:val="auto"/>
                <w:sz w:val="21"/>
                <w:szCs w:val="21"/>
                <w:lang w:val="en-US"/>
              </w:rPr>
              <w:t>1.5</w:t>
            </w:r>
            <w:r>
              <w:rPr>
                <w:rFonts w:hint="eastAsia" w:ascii="宋体" w:hAnsi="宋体"/>
                <w:color w:val="auto"/>
                <w:sz w:val="21"/>
                <w:szCs w:val="21"/>
              </w:rPr>
              <w:t xml:space="preserve"> ；</w:t>
            </w:r>
          </w:p>
          <w:p>
            <w:pPr>
              <w:spacing w:line="360" w:lineRule="atLeast"/>
              <w:ind w:left="120" w:leftChars="50" w:right="120" w:rightChars="50"/>
              <w:jc w:val="both"/>
              <w:rPr>
                <w:rFonts w:ascii="宋体" w:hAnsi="宋体"/>
                <w:color w:val="auto"/>
                <w:sz w:val="21"/>
                <w:szCs w:val="21"/>
                <w:lang w:val="en-US"/>
              </w:rPr>
            </w:pPr>
            <w:r>
              <w:rPr>
                <w:rFonts w:ascii="宋体" w:hAnsi="宋体"/>
                <w:color w:val="auto"/>
                <w:sz w:val="21"/>
                <w:szCs w:val="21"/>
              </w:rPr>
              <w:t>(2)如果投标人的评标价≤评标基准价，则评标价得分＝</w:t>
            </w:r>
            <w:r>
              <w:rPr>
                <w:rFonts w:hint="eastAsia" w:ascii="宋体" w:hAnsi="宋体"/>
                <w:color w:val="auto"/>
                <w:sz w:val="21"/>
                <w:szCs w:val="21"/>
                <w:lang w:val="en-US"/>
              </w:rPr>
              <w:t>80</w:t>
            </w:r>
            <w:r>
              <w:rPr>
                <w:rFonts w:ascii="宋体" w:hAnsi="宋体"/>
                <w:color w:val="auto"/>
                <w:sz w:val="21"/>
                <w:szCs w:val="21"/>
              </w:rPr>
              <w:t>＋偏差率× 100×</w:t>
            </w:r>
            <w:r>
              <w:rPr>
                <w:rFonts w:hint="eastAsia" w:ascii="宋体" w:hAnsi="宋体"/>
                <w:color w:val="auto"/>
                <w:sz w:val="21"/>
                <w:szCs w:val="21"/>
                <w:lang w:val="en-US"/>
              </w:rPr>
              <w:t>0.5 。</w:t>
            </w:r>
          </w:p>
          <w:p>
            <w:pPr>
              <w:spacing w:line="360" w:lineRule="atLeast"/>
              <w:ind w:left="120" w:leftChars="50" w:right="120" w:rightChars="50"/>
              <w:rPr>
                <w:rFonts w:hint="eastAsia" w:ascii="宋体" w:hAnsi="宋体" w:cs="宋体"/>
                <w:color w:val="auto"/>
                <w:sz w:val="21"/>
                <w:szCs w:val="21"/>
              </w:rPr>
            </w:pPr>
            <w:r>
              <w:rPr>
                <w:rFonts w:hint="eastAsia" w:ascii="宋体" w:hAnsi="宋体" w:cs="宋体"/>
                <w:color w:val="auto"/>
                <w:sz w:val="21"/>
                <w:szCs w:val="21"/>
              </w:rPr>
              <w:t>注：评标价得分</w:t>
            </w:r>
            <w:r>
              <w:rPr>
                <w:rFonts w:hint="eastAsia" w:ascii="宋体" w:hAnsi="宋体" w:cs="宋体"/>
                <w:color w:val="auto"/>
                <w:kern w:val="2"/>
                <w:sz w:val="21"/>
                <w:szCs w:val="21"/>
                <w:lang w:val="en-US"/>
              </w:rPr>
              <w:t>计算保留小数点后四位，小数点后第五位“四舍五入”。</w:t>
            </w:r>
          </w:p>
        </w:tc>
      </w:tr>
    </w:tbl>
    <w:p>
      <w:pPr>
        <w:spacing w:line="360" w:lineRule="auto"/>
        <w:rPr>
          <w:rFonts w:ascii="宋体" w:hAnsi="宋体"/>
          <w:color w:val="auto"/>
        </w:rPr>
      </w:pPr>
    </w:p>
    <w:p>
      <w:pPr>
        <w:pStyle w:val="2"/>
        <w:ind w:left="480"/>
        <w:rPr>
          <w:rFonts w:ascii="宋体" w:hAnsi="宋体"/>
        </w:rPr>
      </w:pP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02"/>
        <w:gridCol w:w="675"/>
        <w:gridCol w:w="1012"/>
        <w:gridCol w:w="4459"/>
        <w:gridCol w:w="84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8" w:type="dxa"/>
            <w:gridSpan w:val="6"/>
            <w:noWrap w:val="0"/>
            <w:vAlign w:val="center"/>
          </w:tcPr>
          <w:p>
            <w:pPr>
              <w:spacing w:line="360" w:lineRule="auto"/>
              <w:jc w:val="center"/>
              <w:rPr>
                <w:rFonts w:ascii="宋体" w:hAnsi="宋体"/>
                <w:color w:val="auto"/>
              </w:rPr>
            </w:pPr>
            <w:r>
              <w:rPr>
                <w:rFonts w:hint="eastAsia" w:ascii="宋体" w:hAnsi="宋体" w:cs="宋体"/>
                <w:b/>
                <w:bCs/>
                <w:color w:val="auto"/>
                <w:sz w:val="21"/>
                <w:szCs w:val="21"/>
              </w:rPr>
              <w:t>评分因素与权重分值</w:t>
            </w:r>
          </w:p>
        </w:tc>
        <w:tc>
          <w:tcPr>
            <w:tcW w:w="843" w:type="dxa"/>
            <w:vMerge w:val="restart"/>
            <w:noWrap w:val="0"/>
            <w:vAlign w:val="center"/>
          </w:tcPr>
          <w:p>
            <w:pPr>
              <w:spacing w:line="360" w:lineRule="auto"/>
              <w:jc w:val="center"/>
              <w:rPr>
                <w:rFonts w:ascii="宋体" w:hAnsi="宋体"/>
                <w:color w:val="auto"/>
              </w:rPr>
            </w:pPr>
            <w:r>
              <w:rPr>
                <w:rFonts w:hint="eastAsia" w:ascii="宋体" w:hAnsi="宋体" w:cs="宋体"/>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noWrap w:val="0"/>
            <w:vAlign w:val="center"/>
          </w:tcPr>
          <w:p>
            <w:pPr>
              <w:jc w:val="center"/>
              <w:rPr>
                <w:rFonts w:ascii="宋体" w:hAnsi="宋体"/>
                <w:color w:val="auto"/>
              </w:rPr>
            </w:pPr>
            <w:r>
              <w:rPr>
                <w:rFonts w:hint="eastAsia" w:ascii="宋体" w:hAnsi="宋体" w:cs="宋体"/>
                <w:b/>
                <w:bCs/>
                <w:color w:val="auto"/>
                <w:sz w:val="21"/>
                <w:szCs w:val="21"/>
              </w:rPr>
              <w:t>条款号</w:t>
            </w:r>
          </w:p>
        </w:tc>
        <w:tc>
          <w:tcPr>
            <w:tcW w:w="1277" w:type="dxa"/>
            <w:gridSpan w:val="2"/>
            <w:noWrap w:val="0"/>
            <w:vAlign w:val="center"/>
          </w:tcPr>
          <w:p>
            <w:pPr>
              <w:jc w:val="center"/>
              <w:rPr>
                <w:rFonts w:hint="eastAsia" w:ascii="宋体" w:hAnsi="宋体" w:cs="宋体"/>
                <w:b/>
                <w:bCs/>
                <w:color w:val="auto"/>
                <w:sz w:val="21"/>
                <w:szCs w:val="21"/>
              </w:rPr>
            </w:pPr>
            <w:r>
              <w:rPr>
                <w:rFonts w:hint="eastAsia" w:ascii="宋体" w:hAnsi="宋体" w:cs="宋体"/>
                <w:b/>
                <w:bCs/>
                <w:color w:val="auto"/>
                <w:sz w:val="21"/>
                <w:szCs w:val="21"/>
              </w:rPr>
              <w:t>评分</w:t>
            </w:r>
          </w:p>
          <w:p>
            <w:pPr>
              <w:jc w:val="center"/>
              <w:rPr>
                <w:rFonts w:hint="eastAsia" w:ascii="宋体" w:hAnsi="宋体" w:cs="宋体"/>
                <w:b/>
                <w:bCs/>
                <w:color w:val="auto"/>
                <w:sz w:val="21"/>
                <w:szCs w:val="21"/>
              </w:rPr>
            </w:pPr>
            <w:r>
              <w:rPr>
                <w:rFonts w:hint="eastAsia" w:ascii="宋体" w:hAnsi="宋体" w:cs="宋体"/>
                <w:b/>
                <w:bCs/>
                <w:color w:val="auto"/>
                <w:sz w:val="21"/>
                <w:szCs w:val="21"/>
              </w:rPr>
              <w:t>因素</w:t>
            </w:r>
          </w:p>
        </w:tc>
        <w:tc>
          <w:tcPr>
            <w:tcW w:w="1012" w:type="dxa"/>
            <w:noWrap w:val="0"/>
            <w:vAlign w:val="center"/>
          </w:tcPr>
          <w:p>
            <w:pPr>
              <w:jc w:val="center"/>
              <w:rPr>
                <w:rFonts w:ascii="宋体" w:hAnsi="宋体"/>
                <w:color w:val="auto"/>
              </w:rPr>
            </w:pPr>
            <w:r>
              <w:rPr>
                <w:rFonts w:hint="eastAsia" w:ascii="宋体" w:hAnsi="宋体" w:cs="宋体"/>
                <w:b/>
                <w:bCs/>
                <w:color w:val="auto"/>
                <w:sz w:val="21"/>
                <w:szCs w:val="21"/>
              </w:rPr>
              <w:t>评分因素权重分值</w:t>
            </w:r>
          </w:p>
        </w:tc>
        <w:tc>
          <w:tcPr>
            <w:tcW w:w="4459" w:type="dxa"/>
            <w:noWrap w:val="0"/>
            <w:vAlign w:val="center"/>
          </w:tcPr>
          <w:p>
            <w:pPr>
              <w:jc w:val="center"/>
              <w:rPr>
                <w:rFonts w:ascii="宋体" w:hAnsi="宋体"/>
                <w:color w:val="auto"/>
              </w:rPr>
            </w:pPr>
            <w:r>
              <w:rPr>
                <w:rFonts w:hint="eastAsia" w:ascii="宋体" w:hAnsi="宋体" w:cs="宋体"/>
                <w:b/>
                <w:bCs/>
                <w:color w:val="auto"/>
                <w:sz w:val="21"/>
                <w:szCs w:val="21"/>
              </w:rPr>
              <w:t>各评分因素细分项</w:t>
            </w:r>
          </w:p>
        </w:tc>
        <w:tc>
          <w:tcPr>
            <w:tcW w:w="847" w:type="dxa"/>
            <w:noWrap w:val="0"/>
            <w:vAlign w:val="center"/>
          </w:tcPr>
          <w:p>
            <w:pPr>
              <w:jc w:val="center"/>
              <w:rPr>
                <w:rFonts w:ascii="宋体" w:hAnsi="宋体"/>
                <w:color w:val="auto"/>
              </w:rPr>
            </w:pPr>
            <w:r>
              <w:rPr>
                <w:rFonts w:hint="eastAsia" w:ascii="宋体" w:hAnsi="宋体" w:cs="宋体"/>
                <w:b/>
                <w:bCs/>
                <w:color w:val="auto"/>
                <w:sz w:val="21"/>
                <w:szCs w:val="21"/>
              </w:rPr>
              <w:t>分值</w:t>
            </w:r>
          </w:p>
        </w:tc>
        <w:tc>
          <w:tcPr>
            <w:tcW w:w="843" w:type="dxa"/>
            <w:vMerge w:val="continue"/>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843"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2.2.4</w:t>
            </w:r>
          </w:p>
          <w:p>
            <w:pPr>
              <w:spacing w:line="360" w:lineRule="auto"/>
              <w:jc w:val="center"/>
              <w:rPr>
                <w:rFonts w:ascii="宋体" w:hAnsi="宋体"/>
                <w:color w:val="auto"/>
              </w:rPr>
            </w:pPr>
            <w:r>
              <w:rPr>
                <w:rFonts w:hint="eastAsia" w:ascii="宋体" w:hAnsi="宋体" w:cs="宋体"/>
                <w:color w:val="auto"/>
                <w:sz w:val="21"/>
                <w:szCs w:val="21"/>
              </w:rPr>
              <w:t>(4)</w:t>
            </w:r>
          </w:p>
        </w:tc>
        <w:tc>
          <w:tcPr>
            <w:tcW w:w="602" w:type="dxa"/>
            <w:vMerge w:val="restar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其他</w:t>
            </w:r>
          </w:p>
          <w:p>
            <w:pPr>
              <w:spacing w:line="360" w:lineRule="auto"/>
              <w:jc w:val="center"/>
              <w:rPr>
                <w:rFonts w:ascii="宋体" w:hAnsi="宋体"/>
                <w:color w:val="auto"/>
              </w:rPr>
            </w:pPr>
            <w:r>
              <w:rPr>
                <w:rFonts w:hint="eastAsia" w:ascii="宋体" w:hAnsi="宋体" w:cs="宋体"/>
                <w:color w:val="auto"/>
                <w:sz w:val="21"/>
                <w:szCs w:val="21"/>
              </w:rPr>
              <w:t>因素</w:t>
            </w:r>
          </w:p>
        </w:tc>
        <w:tc>
          <w:tcPr>
            <w:tcW w:w="675" w:type="dxa"/>
            <w:noWrap w:val="0"/>
            <w:vAlign w:val="center"/>
          </w:tcPr>
          <w:p>
            <w:pPr>
              <w:spacing w:line="360" w:lineRule="auto"/>
              <w:jc w:val="center"/>
              <w:rPr>
                <w:rFonts w:ascii="宋体" w:hAnsi="宋体"/>
                <w:color w:val="auto"/>
              </w:rPr>
            </w:pPr>
            <w:r>
              <w:rPr>
                <w:rFonts w:ascii="宋体" w:hAnsi="宋体"/>
                <w:color w:val="auto"/>
                <w:sz w:val="20"/>
                <w:szCs w:val="20"/>
              </w:rPr>
              <w:t>履约信誉</w:t>
            </w:r>
          </w:p>
        </w:tc>
        <w:tc>
          <w:tcPr>
            <w:tcW w:w="1012" w:type="dxa"/>
            <w:noWrap w:val="0"/>
            <w:vAlign w:val="center"/>
          </w:tcPr>
          <w:p>
            <w:pPr>
              <w:spacing w:line="360" w:lineRule="auto"/>
              <w:ind w:left="120" w:leftChars="50" w:right="120" w:rightChars="50"/>
              <w:jc w:val="both"/>
              <w:rPr>
                <w:rFonts w:ascii="宋体" w:hAnsi="宋体"/>
                <w:color w:val="auto"/>
              </w:rPr>
            </w:pPr>
            <w:r>
              <w:rPr>
                <w:rFonts w:hint="eastAsia" w:ascii="宋体" w:hAnsi="宋体" w:cs="Times New Roman"/>
                <w:color w:val="auto"/>
                <w:kern w:val="2"/>
                <w:sz w:val="21"/>
                <w:szCs w:val="21"/>
                <w:u w:val="single"/>
                <w:lang w:val="en-US"/>
              </w:rPr>
              <w:t>10</w:t>
            </w:r>
            <w:r>
              <w:rPr>
                <w:rFonts w:hint="eastAsia" w:ascii="宋体" w:hAnsi="宋体" w:cs="Times New Roman"/>
                <w:color w:val="auto"/>
                <w:kern w:val="2"/>
                <w:sz w:val="21"/>
                <w:szCs w:val="21"/>
                <w:lang w:val="en-US"/>
              </w:rPr>
              <w:t>分</w:t>
            </w:r>
          </w:p>
        </w:tc>
        <w:tc>
          <w:tcPr>
            <w:tcW w:w="6149" w:type="dxa"/>
            <w:gridSpan w:val="3"/>
            <w:noWrap w:val="0"/>
            <w:vAlign w:val="center"/>
          </w:tcPr>
          <w:p>
            <w:pPr>
              <w:pStyle w:val="4"/>
              <w:spacing w:line="360" w:lineRule="atLeast"/>
              <w:ind w:left="120" w:leftChars="50" w:right="120" w:rightChars="50"/>
              <w:rPr>
                <w:rFonts w:hint="eastAsia" w:hAnsi="宋体"/>
                <w:sz w:val="20"/>
                <w:lang w:val="en-US"/>
              </w:rPr>
            </w:pPr>
            <w:r>
              <w:rPr>
                <w:rFonts w:hint="eastAsia" w:hAnsi="宋体"/>
                <w:sz w:val="20"/>
                <w:lang w:val="en-US"/>
              </w:rPr>
              <w:t>履约情况（10分）</w:t>
            </w:r>
          </w:p>
          <w:p>
            <w:pPr>
              <w:pStyle w:val="4"/>
              <w:spacing w:line="360" w:lineRule="atLeast"/>
              <w:ind w:left="120" w:leftChars="50" w:right="120" w:rightChars="50"/>
              <w:rPr>
                <w:rFonts w:hint="eastAsia" w:hAnsi="宋体"/>
                <w:sz w:val="20"/>
                <w:lang w:val="en-US"/>
              </w:rPr>
            </w:pPr>
            <w:r>
              <w:rPr>
                <w:rFonts w:hint="eastAsia" w:hAnsi="宋体"/>
                <w:sz w:val="20"/>
                <w:lang w:val="en-US"/>
              </w:rPr>
              <w:t>若没出现下述情形得满分；</w:t>
            </w:r>
          </w:p>
          <w:p>
            <w:pPr>
              <w:pStyle w:val="4"/>
              <w:spacing w:line="360" w:lineRule="atLeast"/>
              <w:ind w:left="120" w:leftChars="50" w:right="120" w:rightChars="50" w:firstLine="400" w:firstLineChars="200"/>
              <w:rPr>
                <w:rFonts w:hint="eastAsia" w:hAnsi="宋体"/>
                <w:sz w:val="20"/>
                <w:lang w:val="en-US"/>
              </w:rPr>
            </w:pPr>
            <w:r>
              <w:rPr>
                <w:rFonts w:hint="eastAsia" w:hAnsi="宋体"/>
                <w:sz w:val="20"/>
                <w:lang w:val="en-US"/>
              </w:rPr>
              <w:t>自投标文件递交截止日前1年内，因房建工程质量、安全、履约或招标投标问题等原因被：</w:t>
            </w:r>
          </w:p>
          <w:p>
            <w:pPr>
              <w:pStyle w:val="4"/>
              <w:spacing w:line="360" w:lineRule="atLeast"/>
              <w:ind w:left="120" w:leftChars="50" w:right="120" w:rightChars="50" w:firstLine="400" w:firstLineChars="200"/>
              <w:rPr>
                <w:rFonts w:hint="eastAsia" w:hAnsi="宋体"/>
                <w:sz w:val="20"/>
                <w:lang w:val="en-US"/>
              </w:rPr>
            </w:pPr>
            <w:r>
              <w:rPr>
                <w:rFonts w:hint="eastAsia" w:hAnsi="宋体"/>
                <w:sz w:val="20"/>
                <w:lang w:val="en-US"/>
              </w:rPr>
              <w:t>（1）交通运输部或住房和城乡建设部行政处罚的，扣5分/次；</w:t>
            </w:r>
          </w:p>
          <w:p>
            <w:pPr>
              <w:pStyle w:val="4"/>
              <w:spacing w:line="360" w:lineRule="atLeast"/>
              <w:ind w:left="120" w:leftChars="50" w:right="120" w:rightChars="50" w:firstLine="400" w:firstLineChars="200"/>
              <w:rPr>
                <w:rFonts w:hint="eastAsia" w:hAnsi="宋体"/>
                <w:sz w:val="20"/>
                <w:lang w:val="en-US"/>
              </w:rPr>
            </w:pPr>
            <w:r>
              <w:rPr>
                <w:rFonts w:hint="eastAsia" w:hAnsi="宋体"/>
                <w:sz w:val="20"/>
                <w:lang w:val="en-US"/>
              </w:rPr>
              <w:t>（2）广东省交通运输厅或广东省住房和城乡建设部厅行政处罚的，扣3分/次。</w:t>
            </w:r>
          </w:p>
          <w:p>
            <w:pPr>
              <w:spacing w:line="360" w:lineRule="atLeast"/>
              <w:ind w:left="120" w:leftChars="50" w:right="120" w:rightChars="50"/>
              <w:jc w:val="both"/>
              <w:rPr>
                <w:rFonts w:hint="eastAsia" w:hAnsi="宋体"/>
                <w:sz w:val="20"/>
                <w:szCs w:val="20"/>
                <w:lang w:val="en-US"/>
              </w:rPr>
            </w:pPr>
            <w:r>
              <w:rPr>
                <w:rFonts w:hint="eastAsia" w:hAnsi="宋体"/>
                <w:sz w:val="20"/>
                <w:szCs w:val="20"/>
                <w:lang w:val="en-US"/>
              </w:rPr>
              <w:t>注:同一事项同时被多个部门行政处罚只按最高的扣分计算1次。如果扣完本项分值，可以从总分中扣。行政处罚要以上述单位正式发交为依据，以正式发交时间为准。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843" w:type="dxa"/>
            <w:vMerge w:val="continue"/>
            <w:noWrap w:val="0"/>
            <w:vAlign w:val="top"/>
          </w:tcPr>
          <w:p>
            <w:pPr>
              <w:spacing w:line="360" w:lineRule="auto"/>
              <w:jc w:val="both"/>
              <w:rPr>
                <w:rFonts w:hint="eastAsia" w:ascii="宋体" w:hAnsi="宋体"/>
                <w:color w:val="auto"/>
              </w:rPr>
            </w:pPr>
          </w:p>
        </w:tc>
        <w:tc>
          <w:tcPr>
            <w:tcW w:w="602" w:type="dxa"/>
            <w:vMerge w:val="continue"/>
            <w:noWrap w:val="0"/>
            <w:vAlign w:val="top"/>
          </w:tcPr>
          <w:p>
            <w:pPr>
              <w:spacing w:line="360" w:lineRule="auto"/>
              <w:jc w:val="both"/>
              <w:rPr>
                <w:rFonts w:ascii="宋体" w:hAnsi="宋体"/>
                <w:color w:val="auto"/>
              </w:rPr>
            </w:pPr>
          </w:p>
        </w:tc>
        <w:tc>
          <w:tcPr>
            <w:tcW w:w="675" w:type="dxa"/>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业绩</w:t>
            </w:r>
          </w:p>
        </w:tc>
        <w:tc>
          <w:tcPr>
            <w:tcW w:w="1012" w:type="dxa"/>
            <w:noWrap w:val="0"/>
            <w:vAlign w:val="center"/>
          </w:tcPr>
          <w:p>
            <w:pPr>
              <w:spacing w:line="360" w:lineRule="auto"/>
              <w:ind w:firstLine="105" w:firstLineChars="50"/>
              <w:jc w:val="center"/>
              <w:rPr>
                <w:rFonts w:hint="eastAsia" w:ascii="宋体" w:hAnsi="宋体" w:cs="宋体"/>
                <w:color w:val="auto"/>
                <w:kern w:val="2"/>
                <w:sz w:val="21"/>
                <w:szCs w:val="21"/>
                <w:u w:val="single"/>
                <w:lang w:val="en-US"/>
              </w:rPr>
            </w:pPr>
            <w:r>
              <w:rPr>
                <w:rFonts w:hint="eastAsia" w:ascii="宋体" w:hAnsi="宋体" w:cs="Times New Roman"/>
                <w:color w:val="auto"/>
                <w:kern w:val="2"/>
                <w:sz w:val="21"/>
                <w:szCs w:val="21"/>
                <w:u w:val="single"/>
                <w:lang w:val="en-US"/>
              </w:rPr>
              <w:t>3</w:t>
            </w:r>
            <w:r>
              <w:rPr>
                <w:rFonts w:hint="eastAsia" w:ascii="宋体" w:hAnsi="宋体" w:cs="宋体"/>
                <w:color w:val="auto"/>
                <w:kern w:val="2"/>
                <w:sz w:val="21"/>
                <w:szCs w:val="21"/>
                <w:u w:val="single"/>
                <w:lang w:val="en-US"/>
              </w:rPr>
              <w:t>分</w:t>
            </w:r>
          </w:p>
        </w:tc>
        <w:tc>
          <w:tcPr>
            <w:tcW w:w="6149" w:type="dxa"/>
            <w:gridSpan w:val="3"/>
            <w:noWrap w:val="0"/>
            <w:vAlign w:val="center"/>
          </w:tcPr>
          <w:p>
            <w:pPr>
              <w:spacing w:line="360" w:lineRule="atLeast"/>
              <w:ind w:left="120" w:leftChars="50" w:right="120" w:rightChars="50"/>
              <w:rPr>
                <w:rFonts w:hint="eastAsia" w:hAnsi="宋体"/>
                <w:sz w:val="20"/>
                <w:szCs w:val="20"/>
                <w:lang w:val="en-US"/>
              </w:rPr>
            </w:pPr>
            <w:r>
              <w:rPr>
                <w:rFonts w:hint="eastAsia" w:hAnsi="宋体"/>
                <w:sz w:val="20"/>
                <w:szCs w:val="20"/>
                <w:lang w:val="en-US"/>
              </w:rPr>
              <w:t>满足资格审查条件（业绩最低要求）得1.8分；在此基础上，</w:t>
            </w:r>
          </w:p>
          <w:p>
            <w:pPr>
              <w:spacing w:line="360" w:lineRule="atLeast"/>
              <w:ind w:left="120" w:leftChars="50" w:right="120" w:rightChars="50"/>
              <w:rPr>
                <w:rFonts w:hint="eastAsia" w:hAnsi="宋体"/>
                <w:sz w:val="20"/>
                <w:szCs w:val="20"/>
                <w:lang w:val="en-US"/>
              </w:rPr>
            </w:pPr>
            <w:r>
              <w:rPr>
                <w:rFonts w:hint="eastAsia" w:hAnsi="宋体"/>
                <w:sz w:val="20"/>
                <w:szCs w:val="20"/>
                <w:lang w:val="en-US"/>
              </w:rPr>
              <w:t>近五年内：</w:t>
            </w:r>
          </w:p>
          <w:p>
            <w:pPr>
              <w:spacing w:line="360" w:lineRule="atLeast"/>
              <w:ind w:left="120" w:leftChars="50" w:right="120" w:rightChars="50"/>
              <w:rPr>
                <w:rFonts w:hint="eastAsia"/>
              </w:rPr>
            </w:pPr>
            <w:r>
              <w:rPr>
                <w:rFonts w:hint="eastAsia" w:hAnsi="宋体"/>
                <w:sz w:val="20"/>
                <w:szCs w:val="20"/>
                <w:lang w:val="en-US"/>
              </w:rPr>
              <w:t>独立完成单项合同金额不少于450万元的新建加油（气、氢）站工程,每个得0.3分，最高加1.2分。</w:t>
            </w:r>
          </w:p>
        </w:tc>
      </w:tr>
    </w:tbl>
    <w:p>
      <w:pPr>
        <w:spacing w:line="360" w:lineRule="auto"/>
        <w:rPr>
          <w:rFonts w:ascii="宋体" w:hAnsi="宋体"/>
          <w:color w:val="auto"/>
        </w:rPr>
        <w:sectPr>
          <w:footnotePr>
            <w:numFmt w:val="decimalEnclosedCircleChinese"/>
            <w:numRestart w:val="eachPage"/>
          </w:footnotePr>
          <w:pgSz w:w="11900" w:h="16838"/>
          <w:pgMar w:top="1417" w:right="1417" w:bottom="1417" w:left="1417" w:header="680" w:footer="680" w:gutter="0"/>
          <w:pgBorders>
            <w:top w:val="none" w:sz="0" w:space="0"/>
            <w:left w:val="none" w:sz="0" w:space="0"/>
            <w:bottom w:val="none" w:sz="0" w:space="0"/>
            <w:right w:val="none" w:sz="0" w:space="0"/>
          </w:pgBorders>
          <w:cols w:space="720" w:num="1"/>
          <w:docGrid w:linePitch="360"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71" w:type="dxa"/>
            <w:gridSpan w:val="2"/>
            <w:noWrap w:val="0"/>
            <w:vAlign w:val="center"/>
          </w:tcPr>
          <w:p>
            <w:pPr>
              <w:spacing w:line="360" w:lineRule="auto"/>
              <w:ind w:left="120" w:leftChars="50" w:right="120" w:rightChars="50"/>
              <w:jc w:val="center"/>
              <w:rPr>
                <w:rFonts w:hint="eastAsia" w:ascii="宋体" w:hAnsi="宋体" w:cs="Times New Roman"/>
                <w:color w:val="auto"/>
                <w:kern w:val="2"/>
                <w:sz w:val="21"/>
                <w:szCs w:val="21"/>
                <w:lang w:val="en-US"/>
              </w:rPr>
            </w:pPr>
            <w:r>
              <w:rPr>
                <w:rFonts w:ascii="宋体" w:hAnsi="宋体" w:cs="Times New Roman"/>
                <w:b/>
                <w:bCs/>
                <w:color w:val="auto"/>
                <w:kern w:val="2"/>
                <w:sz w:val="21"/>
                <w:szCs w:val="21"/>
                <w:lang w:val="en-US"/>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68" w:type="dxa"/>
            <w:noWrap w:val="0"/>
            <w:vAlign w:val="center"/>
          </w:tcPr>
          <w:p>
            <w:pPr>
              <w:spacing w:line="360" w:lineRule="auto"/>
              <w:ind w:left="120" w:leftChars="50" w:right="120" w:rightChars="50"/>
              <w:jc w:val="center"/>
              <w:rPr>
                <w:rFonts w:hint="eastAsia" w:ascii="宋体" w:hAnsi="宋体" w:cs="Times New Roman"/>
                <w:b/>
                <w:bCs/>
                <w:color w:val="auto"/>
                <w:kern w:val="2"/>
                <w:sz w:val="21"/>
                <w:szCs w:val="21"/>
                <w:lang w:val="en-US"/>
              </w:rPr>
            </w:pPr>
            <w:r>
              <w:rPr>
                <w:rFonts w:hint="eastAsia" w:ascii="宋体" w:hAnsi="宋体" w:cs="Times New Roman"/>
                <w:b/>
                <w:bCs/>
                <w:color w:val="auto"/>
                <w:kern w:val="2"/>
                <w:sz w:val="21"/>
                <w:szCs w:val="21"/>
                <w:lang w:val="en-US"/>
              </w:rPr>
              <w:t>条款号</w:t>
            </w:r>
          </w:p>
        </w:tc>
        <w:tc>
          <w:tcPr>
            <w:tcW w:w="7803" w:type="dxa"/>
            <w:noWrap w:val="0"/>
            <w:vAlign w:val="center"/>
          </w:tcPr>
          <w:p>
            <w:pPr>
              <w:spacing w:line="360" w:lineRule="auto"/>
              <w:ind w:left="120" w:leftChars="50" w:right="120" w:rightChars="50"/>
              <w:jc w:val="center"/>
              <w:rPr>
                <w:rFonts w:hint="eastAsia" w:ascii="宋体" w:hAnsi="宋体" w:cs="Times New Roman"/>
                <w:b/>
                <w:bCs/>
                <w:color w:val="auto"/>
                <w:kern w:val="2"/>
                <w:sz w:val="21"/>
                <w:szCs w:val="21"/>
                <w:lang w:val="en-US"/>
              </w:rPr>
            </w:pPr>
            <w:r>
              <w:rPr>
                <w:rFonts w:hint="eastAsia" w:ascii="宋体" w:hAnsi="宋体" w:cs="Times New Roman"/>
                <w:b/>
                <w:bCs/>
                <w:color w:val="auto"/>
                <w:kern w:val="2"/>
                <w:sz w:val="21"/>
                <w:szCs w:val="21"/>
                <w:lang w:val="en-US"/>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1368" w:type="dxa"/>
            <w:noWrap w:val="0"/>
            <w:vAlign w:val="center"/>
          </w:tcPr>
          <w:p>
            <w:pPr>
              <w:spacing w:line="360" w:lineRule="auto"/>
              <w:ind w:left="120" w:leftChars="50" w:right="120" w:rightChars="50"/>
              <w:jc w:val="center"/>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w:t>
            </w:r>
          </w:p>
        </w:tc>
        <w:tc>
          <w:tcPr>
            <w:tcW w:w="7803" w:type="dxa"/>
            <w:noWrap w:val="0"/>
            <w:vAlign w:val="bottom"/>
          </w:tcPr>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将评标办法原文第1条“评标方法”改为“评标方法、组织及工作程序”，原文内容修改如下：</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olor w:val="auto"/>
                <w:sz w:val="22"/>
                <w:szCs w:val="22"/>
              </w:rPr>
              <w:t>1.评标方法、组织及工作程序</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1.1评标方法</w:t>
            </w:r>
          </w:p>
          <w:p>
            <w:pPr>
              <w:spacing w:line="360" w:lineRule="exact"/>
              <w:ind w:left="120" w:leftChars="50" w:right="120" w:rightChars="50" w:firstLine="420" w:firstLineChars="20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1.2评标组织</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1.2.1协助工作组</w:t>
            </w:r>
          </w:p>
          <w:p>
            <w:pPr>
              <w:spacing w:line="360" w:lineRule="exact"/>
              <w:ind w:left="120" w:leftChars="50" w:right="120" w:rightChars="50" w:firstLine="315" w:firstLineChars="1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招标人可在评标工作开始前成立协助工作组，选派熟悉招标工作、政治素质高的人员组成，协助评标委员会工作。协助工作组人员的具体数量由招标人视评标工作量确定。</w:t>
            </w:r>
          </w:p>
          <w:p>
            <w:pPr>
              <w:spacing w:line="360" w:lineRule="exact"/>
              <w:ind w:left="120" w:leftChars="50" w:right="120" w:rightChars="50" w:firstLine="424" w:firstLineChars="202"/>
              <w:rPr>
                <w:rFonts w:ascii="宋体" w:hAnsi="宋体" w:cs="Times New Roman"/>
                <w:color w:val="auto"/>
                <w:kern w:val="2"/>
                <w:sz w:val="21"/>
                <w:szCs w:val="21"/>
                <w:lang w:val="en-US"/>
              </w:rPr>
            </w:pPr>
            <w:r>
              <w:rPr>
                <w:rFonts w:ascii="宋体" w:hAnsi="宋体" w:cs="Times New Roman"/>
                <w:color w:val="auto"/>
                <w:kern w:val="2"/>
                <w:sz w:val="21"/>
                <w:szCs w:val="21"/>
                <w:lang w:val="en-US"/>
              </w:rPr>
              <w:t>招标人可以协助评标委员会开展下列工作并提供相关信息：</w:t>
            </w:r>
          </w:p>
          <w:p>
            <w:pPr>
              <w:spacing w:line="360" w:lineRule="exact"/>
              <w:ind w:left="120" w:leftChars="50" w:right="120" w:rightChars="50" w:firstLine="424" w:firstLineChars="202"/>
              <w:rPr>
                <w:rFonts w:ascii="宋体" w:hAnsi="宋体" w:cs="Times New Roman"/>
                <w:color w:val="auto"/>
                <w:kern w:val="2"/>
                <w:sz w:val="21"/>
                <w:szCs w:val="21"/>
                <w:lang w:val="en-US"/>
              </w:rPr>
            </w:pPr>
            <w:r>
              <w:rPr>
                <w:rFonts w:ascii="宋体" w:hAnsi="宋体" w:cs="Times New Roman"/>
                <w:color w:val="auto"/>
                <w:kern w:val="2"/>
                <w:sz w:val="21"/>
                <w:szCs w:val="21"/>
                <w:lang w:val="en-US"/>
              </w:rPr>
              <w:t>（</w:t>
            </w:r>
            <w:r>
              <w:rPr>
                <w:rFonts w:hint="eastAsia" w:ascii="宋体" w:hAnsi="宋体" w:cs="Times New Roman"/>
                <w:color w:val="auto"/>
                <w:kern w:val="2"/>
                <w:sz w:val="21"/>
                <w:szCs w:val="21"/>
                <w:lang w:val="en-US"/>
              </w:rPr>
              <w:t>1</w:t>
            </w:r>
            <w:r>
              <w:rPr>
                <w:rFonts w:ascii="宋体" w:hAnsi="宋体" w:cs="Times New Roman"/>
                <w:color w:val="auto"/>
                <w:kern w:val="2"/>
                <w:sz w:val="21"/>
                <w:szCs w:val="21"/>
                <w:lang w:val="en-US"/>
              </w:rPr>
              <w:t>）根据招标文件，编制评标使用的相应表格；</w:t>
            </w:r>
          </w:p>
          <w:p>
            <w:pPr>
              <w:spacing w:line="360" w:lineRule="exact"/>
              <w:ind w:left="120" w:leftChars="50" w:right="120" w:rightChars="50" w:firstLine="424" w:firstLineChars="202"/>
              <w:rPr>
                <w:rFonts w:ascii="宋体" w:hAnsi="宋体" w:cs="Times New Roman"/>
                <w:color w:val="auto"/>
                <w:kern w:val="2"/>
                <w:sz w:val="21"/>
                <w:szCs w:val="21"/>
                <w:lang w:val="en-US"/>
              </w:rPr>
            </w:pPr>
            <w:r>
              <w:rPr>
                <w:rFonts w:ascii="宋体" w:hAnsi="宋体" w:cs="Times New Roman"/>
                <w:color w:val="auto"/>
                <w:kern w:val="2"/>
                <w:sz w:val="21"/>
                <w:szCs w:val="21"/>
                <w:lang w:val="en-US"/>
              </w:rPr>
              <w:t>（</w:t>
            </w:r>
            <w:r>
              <w:rPr>
                <w:rFonts w:hint="eastAsia" w:ascii="宋体" w:hAnsi="宋体" w:cs="Times New Roman"/>
                <w:color w:val="auto"/>
                <w:kern w:val="2"/>
                <w:sz w:val="21"/>
                <w:szCs w:val="21"/>
                <w:lang w:val="en-US"/>
              </w:rPr>
              <w:t>2</w:t>
            </w:r>
            <w:r>
              <w:rPr>
                <w:rFonts w:ascii="宋体" w:hAnsi="宋体" w:cs="Times New Roman"/>
                <w:color w:val="auto"/>
                <w:kern w:val="2"/>
                <w:sz w:val="21"/>
                <w:szCs w:val="21"/>
                <w:lang w:val="en-US"/>
              </w:rPr>
              <w:t>）对投标报价进行算术性校核</w:t>
            </w:r>
            <w:r>
              <w:rPr>
                <w:rFonts w:hint="eastAsia" w:ascii="宋体" w:hAnsi="宋体" w:cs="Times New Roman"/>
                <w:color w:val="auto"/>
                <w:kern w:val="2"/>
                <w:sz w:val="21"/>
                <w:szCs w:val="21"/>
                <w:lang w:val="en-US"/>
              </w:rPr>
              <w:t>（如采用固化工程量清单，本步骤省略）；</w:t>
            </w:r>
          </w:p>
          <w:p>
            <w:pPr>
              <w:spacing w:line="360" w:lineRule="exact"/>
              <w:ind w:left="120" w:leftChars="50" w:right="120" w:rightChars="50" w:firstLine="424" w:firstLineChars="202"/>
              <w:rPr>
                <w:rFonts w:ascii="宋体" w:hAnsi="宋体" w:cs="Times New Roman"/>
                <w:color w:val="auto"/>
                <w:kern w:val="2"/>
                <w:sz w:val="21"/>
                <w:szCs w:val="21"/>
                <w:lang w:val="en-US"/>
              </w:rPr>
            </w:pPr>
            <w:r>
              <w:rPr>
                <w:rFonts w:ascii="宋体" w:hAnsi="宋体" w:cs="Times New Roman"/>
                <w:color w:val="auto"/>
                <w:kern w:val="2"/>
                <w:sz w:val="21"/>
                <w:szCs w:val="21"/>
                <w:lang w:val="en-US"/>
              </w:rPr>
              <w:t>（</w:t>
            </w:r>
            <w:r>
              <w:rPr>
                <w:rFonts w:hint="eastAsia" w:ascii="宋体" w:hAnsi="宋体" w:cs="Times New Roman"/>
                <w:color w:val="auto"/>
                <w:kern w:val="2"/>
                <w:sz w:val="21"/>
                <w:szCs w:val="21"/>
                <w:lang w:val="en-US"/>
              </w:rPr>
              <w:t>3</w:t>
            </w:r>
            <w:r>
              <w:rPr>
                <w:rFonts w:ascii="宋体" w:hAnsi="宋体" w:cs="Times New Roman"/>
                <w:color w:val="auto"/>
                <w:kern w:val="2"/>
                <w:sz w:val="21"/>
                <w:szCs w:val="21"/>
                <w:lang w:val="en-US"/>
              </w:rPr>
              <w:t>）以评标标准和方法为依据，列出投标文件相对于招标文件的所有偏差，并进行归类汇总；</w:t>
            </w:r>
          </w:p>
          <w:p>
            <w:pPr>
              <w:spacing w:line="360" w:lineRule="exact"/>
              <w:ind w:left="120" w:leftChars="50" w:right="120" w:rightChars="50" w:firstLine="424" w:firstLineChars="202"/>
              <w:rPr>
                <w:rFonts w:ascii="宋体" w:hAnsi="宋体" w:cs="Times New Roman"/>
                <w:color w:val="auto"/>
                <w:kern w:val="2"/>
                <w:sz w:val="21"/>
                <w:szCs w:val="21"/>
                <w:lang w:val="en-US"/>
              </w:rPr>
            </w:pPr>
            <w:r>
              <w:rPr>
                <w:rFonts w:ascii="宋体" w:hAnsi="宋体" w:cs="Times New Roman"/>
                <w:color w:val="auto"/>
                <w:kern w:val="2"/>
                <w:sz w:val="21"/>
                <w:szCs w:val="21"/>
                <w:lang w:val="en-US"/>
              </w:rPr>
              <w:t>招标人不得对投标文件作出任何评价，不得故意遗漏或者片面摘录，不得在评标委员会对所有偏差定性之前透露存有偏差的投标人名称。</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1.2.2评标委员会</w:t>
            </w:r>
          </w:p>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评标委员会由招标人按国家、广东省等的有关规定依法组建。评标委员会的主要工作内容包括：</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（1）评标委员会开始评标工作之前，首先听取招标人、协助工作组关于工程情况和辅助工作的说明，并认真研读招标文件，获取评标所需的重要信息和数据；</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（2）对协助工作组提供的评标工作用表和评标内容进行核查。</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（3）按照以下1.3款程序进行各项评审工作。</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1.3评审工作程序</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（一）第一个信封（商务及技术文件）：</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l、初步评审：包括形式评审与响应性评审、资格评审（适用于</w:t>
            </w:r>
            <w:r>
              <w:rPr>
                <w:rFonts w:hint="eastAsia" w:ascii="宋体" w:hAnsi="宋体"/>
                <w:color w:val="auto"/>
                <w:sz w:val="22"/>
                <w:szCs w:val="22"/>
              </w:rPr>
              <w:t>未进行资格预审</w:t>
            </w:r>
            <w:r>
              <w:rPr>
                <w:rFonts w:hint="eastAsia" w:ascii="宋体" w:hAnsi="宋体" w:cs="Times New Roman"/>
                <w:color w:val="auto"/>
                <w:kern w:val="2"/>
                <w:sz w:val="21"/>
                <w:szCs w:val="21"/>
                <w:lang w:val="en-US"/>
              </w:rPr>
              <w:t>）；</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2、详细评审（评审打分）：评标委员会首先对通过初步评审的投标文件第一个信封（商务及技术文件）进行详细评审，对投标人的施工组织设计、主要人员、其他因素等分别评审打分。</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（二）第二个信封（报价文件）：</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1、初步评审：</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（1）只有投标文件第一个信封通过详细评审的投标人才能继续参加第二个信封报价文件的形式评审与响应性评审；</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（2）报价算术性修正（如采用固化工程量清单，本步骤省略）；</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2、详细评审：计算评标基准价、评标价得分及综合得分；</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（三）投标文件相关信息的核查。</w:t>
            </w:r>
          </w:p>
          <w:p>
            <w:pPr>
              <w:spacing w:line="360" w:lineRule="exact"/>
              <w:ind w:left="120" w:leftChars="50" w:right="120" w:rightChars="50" w:firstLine="220" w:firstLineChars="105"/>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(四)投标文件的澄清和说明(如有)</w:t>
            </w:r>
          </w:p>
          <w:p>
            <w:pPr>
              <w:spacing w:line="360" w:lineRule="exact"/>
              <w:ind w:left="120" w:leftChars="50" w:right="120" w:rightChars="5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（五）按评标办法规定推荐中标候选人，编写评标报告。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8" w:type="dxa"/>
            <w:noWrap w:val="0"/>
            <w:vAlign w:val="center"/>
          </w:tcPr>
          <w:p>
            <w:pPr>
              <w:spacing w:line="360" w:lineRule="auto"/>
              <w:ind w:left="120" w:leftChars="50" w:right="120" w:rightChars="50"/>
              <w:jc w:val="center"/>
              <w:rPr>
                <w:rFonts w:hint="eastAsia" w:ascii="宋体" w:hAnsi="宋体" w:cs="Times New Roman"/>
                <w:color w:val="auto"/>
                <w:kern w:val="2"/>
                <w:sz w:val="21"/>
                <w:szCs w:val="21"/>
                <w:lang w:val="en-US"/>
              </w:rPr>
            </w:pPr>
            <w:r>
              <w:rPr>
                <w:rFonts w:hint="eastAsia" w:ascii="宋体" w:hAnsi="宋体"/>
                <w:color w:val="auto"/>
                <w:sz w:val="21"/>
                <w:szCs w:val="21"/>
              </w:rPr>
              <w:t>3.2.2</w:t>
            </w:r>
          </w:p>
        </w:tc>
        <w:tc>
          <w:tcPr>
            <w:tcW w:w="7803" w:type="dxa"/>
            <w:noWrap w:val="0"/>
            <w:vAlign w:val="center"/>
          </w:tcPr>
          <w:p>
            <w:pPr>
              <w:spacing w:line="360" w:lineRule="exact"/>
              <w:ind w:left="120" w:leftChars="50" w:right="120" w:rightChars="50"/>
              <w:rPr>
                <w:rFonts w:hint="eastAsia" w:ascii="宋体" w:hAnsi="宋体"/>
                <w:color w:val="auto"/>
                <w:sz w:val="21"/>
                <w:szCs w:val="21"/>
              </w:rPr>
            </w:pPr>
            <w:r>
              <w:rPr>
                <w:rFonts w:ascii="宋体" w:hAnsi="宋体"/>
                <w:color w:val="auto"/>
                <w:sz w:val="21"/>
                <w:szCs w:val="21"/>
              </w:rPr>
              <w:t>将评标办法原文第3.2.</w:t>
            </w:r>
            <w:r>
              <w:rPr>
                <w:rFonts w:hint="eastAsia" w:ascii="宋体" w:hAnsi="宋体"/>
                <w:color w:val="auto"/>
                <w:sz w:val="21"/>
                <w:szCs w:val="21"/>
              </w:rPr>
              <w:t>2项修改</w:t>
            </w:r>
            <w:r>
              <w:rPr>
                <w:rFonts w:ascii="宋体" w:hAnsi="宋体"/>
                <w:color w:val="auto"/>
                <w:sz w:val="21"/>
                <w:szCs w:val="21"/>
              </w:rPr>
              <w:t>如下：</w:t>
            </w:r>
          </w:p>
          <w:p>
            <w:pPr>
              <w:spacing w:line="360" w:lineRule="exact"/>
              <w:ind w:left="120" w:leftChars="50" w:right="120" w:rightChars="50"/>
              <w:jc w:val="both"/>
              <w:rPr>
                <w:rFonts w:hint="eastAsia" w:ascii="宋体" w:hAnsi="宋体" w:cs="Times New Roman"/>
                <w:color w:val="auto"/>
                <w:kern w:val="2"/>
                <w:sz w:val="21"/>
                <w:szCs w:val="21"/>
                <w:lang w:val="en-US"/>
              </w:rPr>
            </w:pPr>
            <w:r>
              <w:rPr>
                <w:rFonts w:hint="eastAsia" w:ascii="宋体" w:hAnsi="宋体"/>
                <w:color w:val="auto"/>
                <w:sz w:val="21"/>
                <w:szCs w:val="21"/>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9" w:hRule="atLeast"/>
        </w:trPr>
        <w:tc>
          <w:tcPr>
            <w:tcW w:w="1368" w:type="dxa"/>
            <w:noWrap w:val="0"/>
            <w:vAlign w:val="center"/>
          </w:tcPr>
          <w:p>
            <w:pPr>
              <w:spacing w:line="360" w:lineRule="auto"/>
              <w:ind w:left="120" w:leftChars="50" w:right="120" w:rightChars="50"/>
              <w:jc w:val="center"/>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3.2.3</w:t>
            </w:r>
          </w:p>
        </w:tc>
        <w:tc>
          <w:tcPr>
            <w:tcW w:w="7803" w:type="dxa"/>
            <w:noWrap w:val="0"/>
            <w:vAlign w:val="center"/>
          </w:tcPr>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highlight w:val="none"/>
                <w:lang w:val="en-US"/>
              </w:rPr>
            </w:pPr>
            <w:r>
              <w:rPr>
                <w:rFonts w:hint="eastAsia" w:ascii="宋体" w:hAnsi="宋体" w:cs="Times New Roman"/>
                <w:color w:val="auto"/>
                <w:kern w:val="2"/>
                <w:sz w:val="21"/>
                <w:szCs w:val="21"/>
                <w:highlight w:val="none"/>
                <w:lang w:val="en-US"/>
              </w:rPr>
              <w:t>将评标办法正文第 3.2.3 款细化如下：</w:t>
            </w:r>
          </w:p>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highlight w:val="none"/>
                <w:lang w:val="en-US"/>
              </w:rPr>
            </w:pPr>
            <w:r>
              <w:rPr>
                <w:rFonts w:hint="eastAsia" w:ascii="宋体" w:hAnsi="宋体" w:cs="Times New Roman"/>
                <w:color w:val="auto"/>
                <w:kern w:val="2"/>
                <w:sz w:val="21"/>
                <w:szCs w:val="21"/>
                <w:highlight w:val="none"/>
                <w:lang w:val="en-US"/>
              </w:rPr>
              <w:t>投标人的商务和技术得分=A+B+D。</w:t>
            </w:r>
          </w:p>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lang w:val="en-US"/>
              </w:rPr>
            </w:pPr>
            <w:r>
              <w:rPr>
                <w:rFonts w:hint="eastAsia" w:ascii="宋体" w:hAnsi="宋体" w:cs="Times New Roman"/>
                <w:color w:val="auto"/>
                <w:kern w:val="2"/>
                <w:sz w:val="21"/>
                <w:szCs w:val="21"/>
                <w:highlight w:val="none"/>
                <w:lang w:val="en-US"/>
              </w:rPr>
              <w:t>除评标价、业绩、履约信誉得分</w:t>
            </w:r>
            <w:r>
              <w:rPr>
                <w:rFonts w:hint="eastAsia" w:ascii="宋体" w:hAnsi="宋体" w:cs="Times New Roman"/>
                <w:color w:val="auto"/>
                <w:kern w:val="2"/>
                <w:sz w:val="21"/>
                <w:szCs w:val="21"/>
                <w:lang w:val="en-US"/>
              </w:rPr>
              <w:t>外，投标文件各评分因素细分项得分均不应低于其权重分的60%，评分低于权重分值 60%的，评标委员会成员应当在评标报告中作出说明。</w:t>
            </w:r>
          </w:p>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评标委员人员为五人的，投标文件技术评审的各评分因素得分为评标委员会各成员评分的算术平均值，四舍五入保留小数点后两位。</w:t>
            </w:r>
          </w:p>
          <w:p>
            <w:pPr>
              <w:autoSpaceDE w:val="0"/>
              <w:autoSpaceDN w:val="0"/>
              <w:adjustRightInd w:val="0"/>
              <w:spacing w:line="360" w:lineRule="exact"/>
              <w:ind w:left="120" w:leftChars="50" w:right="120" w:rightChars="50" w:firstLine="420"/>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评标委员人员为七人的，投标文件技术评审的各评分因素得分为评标委员会各成员评分去掉一个最高分和一个最低分后计算的算术平均值，四舍五入保留小数点后两位。</w:t>
            </w:r>
          </w:p>
          <w:p>
            <w:pPr>
              <w:spacing w:line="360" w:lineRule="exact"/>
              <w:ind w:left="120" w:leftChars="50" w:right="120" w:rightChars="50" w:firstLine="420" w:firstLineChars="200"/>
              <w:jc w:val="both"/>
              <w:rPr>
                <w:rFonts w:ascii="宋体" w:hAnsi="宋体" w:cs="仿宋_GB2312"/>
                <w:color w:val="auto"/>
                <w:sz w:val="32"/>
                <w:szCs w:val="32"/>
                <w:lang w:val="en-US"/>
              </w:rPr>
            </w:pPr>
            <w:r>
              <w:rPr>
                <w:rFonts w:hint="eastAsia" w:ascii="宋体" w:hAnsi="宋体" w:cs="Times New Roman"/>
                <w:color w:val="auto"/>
                <w:kern w:val="2"/>
                <w:sz w:val="21"/>
                <w:szCs w:val="21"/>
                <w:lang w:val="en-US"/>
              </w:rPr>
              <w:t>评标委员人员为九人及以上单数的，计算投标人技术得分时：采用取消同一评委对同一标段各投标人评分总分的差值最大的评委评分分值（当 2 名或以上评委技术评分总分差值最大时，应随机抽取的方式选定取消其中 1 名评委评分），再对各评分因素细分项中取消一个最高、一个最低分后计算算术平均值的和为投标人的最终技术得分，平均值计算保留小数点后三位，小数点后第四位“四舍五入”。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368" w:type="dxa"/>
            <w:noWrap w:val="0"/>
            <w:vAlign w:val="center"/>
          </w:tcPr>
          <w:p>
            <w:pPr>
              <w:spacing w:line="360" w:lineRule="auto"/>
              <w:ind w:left="120" w:leftChars="50" w:right="120" w:rightChars="50"/>
              <w:jc w:val="center"/>
              <w:rPr>
                <w:rFonts w:hint="eastAsia" w:ascii="宋体" w:hAnsi="宋体" w:cs="Times New Roman"/>
                <w:color w:val="auto"/>
                <w:kern w:val="2"/>
                <w:sz w:val="21"/>
                <w:szCs w:val="21"/>
                <w:lang w:val="en-US"/>
              </w:rPr>
            </w:pPr>
            <w:r>
              <w:rPr>
                <w:rFonts w:hint="eastAsia" w:ascii="宋体" w:hAnsi="宋体" w:cs="Times New Roman"/>
                <w:color w:val="auto"/>
                <w:kern w:val="2"/>
                <w:sz w:val="21"/>
                <w:szCs w:val="21"/>
                <w:lang w:val="en-US"/>
              </w:rPr>
              <w:t>3.5.2</w:t>
            </w:r>
          </w:p>
        </w:tc>
        <w:tc>
          <w:tcPr>
            <w:tcW w:w="7803" w:type="dxa"/>
            <w:noWrap w:val="0"/>
            <w:vAlign w:val="center"/>
          </w:tcPr>
          <w:p>
            <w:pPr>
              <w:adjustRightInd w:val="0"/>
              <w:spacing w:line="360" w:lineRule="exact"/>
              <w:ind w:left="120" w:leftChars="50" w:right="120" w:rightChars="50"/>
              <w:rPr>
                <w:rFonts w:hint="eastAsia" w:ascii="宋体" w:hAnsi="宋体" w:cs="Times New Roman"/>
                <w:color w:val="auto"/>
                <w:sz w:val="21"/>
                <w:szCs w:val="21"/>
                <w:lang w:val="en-US"/>
              </w:rPr>
            </w:pPr>
            <w:r>
              <w:rPr>
                <w:rFonts w:ascii="宋体" w:hAnsi="宋体" w:cs="Times New Roman"/>
                <w:color w:val="auto"/>
                <w:sz w:val="21"/>
                <w:szCs w:val="21"/>
                <w:lang w:val="en-US"/>
              </w:rPr>
              <w:t>将评标办法原文第</w:t>
            </w:r>
            <w:r>
              <w:rPr>
                <w:rFonts w:hint="eastAsia" w:ascii="宋体" w:hAnsi="宋体" w:cs="Times New Roman"/>
                <w:color w:val="auto"/>
                <w:sz w:val="21"/>
                <w:szCs w:val="21"/>
                <w:lang w:val="en-US"/>
              </w:rPr>
              <w:t>3.5.2项细化</w:t>
            </w:r>
            <w:r>
              <w:rPr>
                <w:rFonts w:ascii="宋体" w:hAnsi="宋体" w:cs="Times New Roman"/>
                <w:color w:val="auto"/>
                <w:sz w:val="21"/>
                <w:szCs w:val="21"/>
                <w:lang w:val="en-US"/>
              </w:rPr>
              <w:t>如下：</w:t>
            </w:r>
          </w:p>
          <w:p>
            <w:pPr>
              <w:spacing w:line="360" w:lineRule="exact"/>
              <w:ind w:left="120" w:leftChars="50" w:right="120" w:rightChars="50"/>
              <w:jc w:val="both"/>
              <w:rPr>
                <w:rFonts w:hint="eastAsia" w:ascii="宋体" w:hAnsi="宋体" w:cs="Times New Roman"/>
                <w:color w:val="auto"/>
                <w:kern w:val="2"/>
                <w:sz w:val="21"/>
                <w:szCs w:val="21"/>
                <w:lang w:val="en-US"/>
              </w:rPr>
            </w:pPr>
            <w:r>
              <w:rPr>
                <w:rFonts w:hint="eastAsia" w:ascii="宋体" w:hAnsi="宋体" w:cs="Times New Roman"/>
                <w:color w:val="auto"/>
                <w:sz w:val="21"/>
                <w:szCs w:val="21"/>
                <w:lang w:val="en-US"/>
              </w:rPr>
              <w:t>投标人综合得分=投标人的商务和技术得分+C。（计算保留小数点后四位，小数点后第五位“</w:t>
            </w:r>
            <w:r>
              <w:rPr>
                <w:rFonts w:ascii="宋体" w:hAnsi="宋体" w:cs="Times New Roman"/>
                <w:color w:val="auto"/>
                <w:sz w:val="21"/>
                <w:szCs w:val="21"/>
                <w:lang w:val="en-US"/>
              </w:rPr>
              <w:t>四舍五入</w:t>
            </w:r>
            <w:r>
              <w:rPr>
                <w:rFonts w:hint="eastAsia" w:ascii="宋体" w:hAnsi="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1368" w:type="dxa"/>
            <w:noWrap w:val="0"/>
            <w:vAlign w:val="center"/>
          </w:tcPr>
          <w:p>
            <w:pPr>
              <w:spacing w:line="360" w:lineRule="auto"/>
              <w:ind w:left="120" w:leftChars="50" w:right="120" w:rightChars="50"/>
              <w:jc w:val="center"/>
              <w:rPr>
                <w:rFonts w:hint="eastAsia" w:ascii="宋体" w:hAnsi="宋体" w:cs="MingLiU"/>
                <w:color w:val="auto"/>
                <w:szCs w:val="21"/>
                <w:lang w:val="en-US"/>
              </w:rPr>
            </w:pPr>
            <w:r>
              <w:rPr>
                <w:rFonts w:hint="eastAsia" w:ascii="宋体" w:hAnsi="宋体"/>
                <w:color w:val="auto"/>
                <w:szCs w:val="22"/>
              </w:rPr>
              <w:t>3.6</w:t>
            </w:r>
          </w:p>
        </w:tc>
        <w:tc>
          <w:tcPr>
            <w:tcW w:w="7803" w:type="dxa"/>
            <w:noWrap w:val="0"/>
            <w:vAlign w:val="center"/>
          </w:tcPr>
          <w:p>
            <w:pPr>
              <w:adjustRightInd w:val="0"/>
              <w:spacing w:line="360" w:lineRule="exact"/>
              <w:ind w:left="120" w:leftChars="50" w:right="120" w:rightChars="50"/>
              <w:textAlignment w:val="baseline"/>
              <w:rPr>
                <w:rFonts w:ascii="宋体" w:hAnsi="宋体" w:cs="Times New Roman"/>
                <w:color w:val="auto"/>
                <w:sz w:val="21"/>
                <w:szCs w:val="21"/>
                <w:lang w:val="en-US"/>
              </w:rPr>
            </w:pPr>
            <w:r>
              <w:rPr>
                <w:rFonts w:ascii="宋体" w:hAnsi="宋体" w:cs="Times New Roman"/>
                <w:color w:val="auto"/>
                <w:sz w:val="21"/>
                <w:szCs w:val="21"/>
                <w:lang w:val="en-US"/>
              </w:rPr>
              <w:t>3.6.2项（2）目末增加以下条款：</w:t>
            </w:r>
          </w:p>
          <w:p>
            <w:pPr>
              <w:pStyle w:val="4"/>
              <w:spacing w:line="360" w:lineRule="exact"/>
              <w:ind w:left="120" w:leftChars="50" w:right="120" w:rightChars="50"/>
              <w:rPr>
                <w:rFonts w:hint="eastAsia" w:hAnsi="宋体" w:cs="宋体"/>
                <w:kern w:val="0"/>
                <w:szCs w:val="21"/>
              </w:rPr>
            </w:pPr>
            <w:r>
              <w:rPr>
                <w:rFonts w:hint="eastAsia" w:hAnsi="宋体" w:cs="宋体"/>
                <w:kern w:val="0"/>
                <w:szCs w:val="21"/>
              </w:rPr>
              <w:t>g.当一家以上投标人评标价相同时，若各投标人工程量清单细目单价也相同，视为串标（一个标段仅一工作细目报价的除外）。</w:t>
            </w:r>
          </w:p>
          <w:p>
            <w:pPr>
              <w:adjustRightInd w:val="0"/>
              <w:spacing w:line="360" w:lineRule="exact"/>
              <w:ind w:left="120" w:leftChars="50" w:right="120" w:rightChars="50"/>
              <w:textAlignment w:val="baseline"/>
              <w:rPr>
                <w:rFonts w:ascii="宋体" w:hAnsi="宋体" w:cs="Times New Roman"/>
                <w:color w:val="auto"/>
                <w:sz w:val="21"/>
                <w:szCs w:val="21"/>
                <w:lang w:val="en-US"/>
              </w:rPr>
            </w:pPr>
            <w:r>
              <w:rPr>
                <w:rFonts w:hint="eastAsia" w:ascii="宋体" w:hAnsi="宋体" w:cs="宋体"/>
                <w:color w:val="auto"/>
                <w:lang w:val="en-US"/>
              </w:rPr>
              <w:t>h</w:t>
            </w:r>
            <w:r>
              <w:rPr>
                <w:rFonts w:hint="eastAsia" w:ascii="宋体" w:hAnsi="宋体" w:cs="宋体"/>
                <w:color w:val="auto"/>
                <w:sz w:val="21"/>
                <w:szCs w:val="21"/>
              </w:rPr>
              <w:t>.</w:t>
            </w:r>
            <w:r>
              <w:rPr>
                <w:rFonts w:ascii="宋体" w:hAnsi="宋体" w:cs="Times New Roman"/>
                <w:color w:val="auto"/>
                <w:sz w:val="21"/>
                <w:szCs w:val="21"/>
                <w:lang w:val="en-US"/>
              </w:rPr>
              <w:t>广东省实施《中华人民共和国招标投标法》办法第十六条规定的情形。</w:t>
            </w:r>
          </w:p>
          <w:p>
            <w:pPr>
              <w:adjustRightInd w:val="0"/>
              <w:spacing w:line="360" w:lineRule="exact"/>
              <w:ind w:left="120" w:leftChars="50" w:right="120" w:rightChars="50"/>
              <w:textAlignment w:val="baseline"/>
              <w:rPr>
                <w:rFonts w:ascii="宋体" w:hAnsi="宋体" w:cs="Times New Roman"/>
                <w:color w:val="auto"/>
                <w:sz w:val="21"/>
                <w:szCs w:val="21"/>
                <w:lang w:val="en-US"/>
              </w:rPr>
            </w:pPr>
            <w:r>
              <w:rPr>
                <w:rFonts w:ascii="宋体" w:hAnsi="宋体" w:cs="Times New Roman"/>
                <w:color w:val="auto"/>
                <w:sz w:val="21"/>
                <w:szCs w:val="21"/>
                <w:lang w:val="en-US"/>
              </w:rPr>
              <w:t>增加3.6.3项：</w:t>
            </w:r>
          </w:p>
          <w:p>
            <w:pPr>
              <w:adjustRightInd w:val="0"/>
              <w:spacing w:line="360" w:lineRule="exact"/>
              <w:ind w:left="120" w:leftChars="50" w:right="120" w:rightChars="50"/>
              <w:textAlignment w:val="baseline"/>
              <w:rPr>
                <w:rFonts w:hint="eastAsia" w:ascii="宋体" w:hAnsi="宋体"/>
                <w:snapToGrid w:val="0"/>
                <w:color w:val="auto"/>
                <w:szCs w:val="21"/>
              </w:rPr>
            </w:pPr>
            <w:r>
              <w:rPr>
                <w:rFonts w:ascii="宋体" w:hAnsi="宋体" w:cs="Times New Roman"/>
                <w:color w:val="auto"/>
                <w:sz w:val="21"/>
                <w:szCs w:val="21"/>
                <w:lang w:val="en-US"/>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1" w:hRule="atLeast"/>
        </w:trPr>
        <w:tc>
          <w:tcPr>
            <w:tcW w:w="1368" w:type="dxa"/>
            <w:noWrap w:val="0"/>
            <w:vAlign w:val="center"/>
          </w:tcPr>
          <w:p>
            <w:pPr>
              <w:spacing w:line="360" w:lineRule="auto"/>
              <w:ind w:left="120" w:leftChars="50" w:right="120" w:rightChars="50"/>
              <w:jc w:val="center"/>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3.9</w:t>
            </w:r>
          </w:p>
        </w:tc>
        <w:tc>
          <w:tcPr>
            <w:tcW w:w="7803" w:type="dxa"/>
            <w:noWrap w:val="0"/>
            <w:vAlign w:val="center"/>
          </w:tcPr>
          <w:p>
            <w:pPr>
              <w:spacing w:line="360" w:lineRule="exact"/>
              <w:ind w:left="120" w:leftChars="50" w:right="120" w:rightChars="50"/>
              <w:jc w:val="both"/>
              <w:rPr>
                <w:rFonts w:hint="eastAsia" w:ascii="宋体" w:hAnsi="宋体" w:cs="Times New Roman"/>
                <w:bCs/>
                <w:color w:val="auto"/>
                <w:kern w:val="2"/>
                <w:sz w:val="21"/>
                <w:szCs w:val="21"/>
                <w:lang w:val="en-US"/>
              </w:rPr>
            </w:pPr>
            <w:r>
              <w:rPr>
                <w:rFonts w:hint="eastAsia" w:ascii="宋体" w:hAnsi="宋体" w:cs="Times New Roman"/>
                <w:bCs/>
                <w:color w:val="auto"/>
                <w:kern w:val="2"/>
                <w:sz w:val="21"/>
                <w:szCs w:val="21"/>
                <w:lang w:val="en-US"/>
              </w:rPr>
              <w:t>增加3.9.3-3.9.7</w:t>
            </w:r>
            <w:r>
              <w:rPr>
                <w:rFonts w:hint="eastAsia" w:ascii="宋体" w:hAnsi="宋体"/>
                <w:color w:val="auto"/>
                <w:sz w:val="22"/>
                <w:szCs w:val="22"/>
              </w:rPr>
              <w:t>项</w:t>
            </w:r>
            <w:r>
              <w:rPr>
                <w:rFonts w:hint="eastAsia" w:ascii="宋体" w:hAnsi="宋体" w:cs="Times New Roman"/>
                <w:bCs/>
                <w:color w:val="auto"/>
                <w:kern w:val="2"/>
                <w:sz w:val="21"/>
                <w:szCs w:val="21"/>
                <w:lang w:val="en-US"/>
              </w:rPr>
              <w:t>：</w:t>
            </w:r>
          </w:p>
          <w:p>
            <w:pPr>
              <w:adjustRightInd w:val="0"/>
              <w:spacing w:line="360" w:lineRule="exact"/>
              <w:ind w:left="120" w:leftChars="50" w:right="120" w:rightChars="50" w:firstLine="432" w:firstLineChars="206"/>
              <w:jc w:val="both"/>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3.9.3</w:t>
            </w:r>
            <w:r>
              <w:rPr>
                <w:rFonts w:ascii="宋体" w:hAnsi="宋体" w:cs="Times New Roman"/>
                <w:color w:val="auto"/>
                <w:kern w:val="2"/>
                <w:sz w:val="21"/>
                <w:szCs w:val="21"/>
                <w:lang w:val="en-US"/>
              </w:rPr>
              <w:t>推荐中标候选人方式：按</w:t>
            </w:r>
            <w:r>
              <w:rPr>
                <w:rFonts w:hint="eastAsia" w:ascii="宋体" w:hAnsi="宋体" w:cs="Times New Roman"/>
                <w:color w:val="auto"/>
                <w:kern w:val="2"/>
                <w:sz w:val="21"/>
                <w:szCs w:val="21"/>
                <w:lang w:val="en-US"/>
              </w:rPr>
              <w:t>标段</w:t>
            </w:r>
            <w:r>
              <w:rPr>
                <w:rFonts w:ascii="宋体" w:hAnsi="宋体" w:cs="Times New Roman"/>
                <w:color w:val="auto"/>
                <w:kern w:val="2"/>
                <w:sz w:val="21"/>
                <w:szCs w:val="21"/>
                <w:lang w:val="en-US"/>
              </w:rPr>
              <w:t>最高投标限价</w:t>
            </w:r>
            <w:r>
              <w:rPr>
                <w:rFonts w:hint="eastAsia" w:ascii="宋体" w:hAnsi="宋体" w:cs="Times New Roman"/>
                <w:color w:val="auto"/>
                <w:kern w:val="2"/>
                <w:sz w:val="21"/>
                <w:szCs w:val="21"/>
                <w:lang w:val="en-US"/>
              </w:rPr>
              <w:t>由</w:t>
            </w:r>
            <w:r>
              <w:rPr>
                <w:rFonts w:ascii="宋体" w:hAnsi="宋体" w:cs="Times New Roman"/>
                <w:color w:val="auto"/>
                <w:kern w:val="2"/>
                <w:sz w:val="21"/>
                <w:szCs w:val="21"/>
                <w:lang w:val="en-US"/>
              </w:rPr>
              <w:t>高</w:t>
            </w:r>
            <w:r>
              <w:rPr>
                <w:rFonts w:hint="eastAsia" w:ascii="宋体" w:hAnsi="宋体" w:cs="Times New Roman"/>
                <w:color w:val="auto"/>
                <w:kern w:val="2"/>
                <w:sz w:val="21"/>
                <w:szCs w:val="21"/>
                <w:lang w:val="en-US"/>
              </w:rPr>
              <w:t>到</w:t>
            </w:r>
            <w:r>
              <w:rPr>
                <w:rFonts w:ascii="宋体" w:hAnsi="宋体" w:cs="Times New Roman"/>
                <w:color w:val="auto"/>
                <w:kern w:val="2"/>
                <w:sz w:val="21"/>
                <w:szCs w:val="21"/>
                <w:lang w:val="en-US"/>
              </w:rPr>
              <w:t>低顺序依次选定</w:t>
            </w:r>
            <w:r>
              <w:rPr>
                <w:rFonts w:hint="eastAsia" w:ascii="宋体" w:hAnsi="宋体" w:cs="Times New Roman"/>
                <w:color w:val="auto"/>
                <w:kern w:val="2"/>
                <w:sz w:val="21"/>
                <w:szCs w:val="21"/>
                <w:lang w:val="en-US"/>
              </w:rPr>
              <w:t>各标段</w:t>
            </w:r>
            <w:r>
              <w:rPr>
                <w:rFonts w:ascii="宋体" w:hAnsi="宋体" w:cs="Times New Roman"/>
                <w:color w:val="auto"/>
                <w:kern w:val="2"/>
                <w:sz w:val="21"/>
                <w:szCs w:val="21"/>
                <w:lang w:val="en-US"/>
              </w:rPr>
              <w:t>中标候选人，如果出现投标人在多个</w:t>
            </w:r>
            <w:r>
              <w:rPr>
                <w:rFonts w:hint="eastAsia" w:ascii="宋体" w:hAnsi="宋体" w:cs="Times New Roman"/>
                <w:color w:val="auto"/>
                <w:kern w:val="2"/>
                <w:sz w:val="21"/>
                <w:szCs w:val="21"/>
                <w:lang w:val="en-US"/>
              </w:rPr>
              <w:t>标段</w:t>
            </w:r>
            <w:r>
              <w:rPr>
                <w:rFonts w:ascii="宋体" w:hAnsi="宋体" w:cs="Times New Roman"/>
                <w:color w:val="auto"/>
                <w:kern w:val="2"/>
                <w:sz w:val="21"/>
                <w:szCs w:val="21"/>
                <w:lang w:val="en-US"/>
              </w:rPr>
              <w:t>都排名第一，将确定该投标人为最高投标限价较高的</w:t>
            </w:r>
            <w:r>
              <w:rPr>
                <w:rFonts w:hint="eastAsia" w:ascii="宋体" w:hAnsi="宋体" w:cs="Times New Roman"/>
                <w:color w:val="auto"/>
                <w:kern w:val="2"/>
                <w:sz w:val="21"/>
                <w:szCs w:val="21"/>
                <w:lang w:val="en-US"/>
              </w:rPr>
              <w:t>标段</w:t>
            </w:r>
            <w:r>
              <w:rPr>
                <w:rFonts w:ascii="宋体" w:hAnsi="宋体" w:cs="Times New Roman"/>
                <w:color w:val="auto"/>
                <w:kern w:val="2"/>
                <w:sz w:val="21"/>
                <w:szCs w:val="21"/>
                <w:lang w:val="en-US"/>
              </w:rPr>
              <w:t>的第一中标候选人，同时该投标人</w:t>
            </w:r>
            <w:r>
              <w:rPr>
                <w:rFonts w:hint="eastAsia" w:ascii="宋体" w:hAnsi="宋体" w:cs="Times New Roman"/>
                <w:color w:val="auto"/>
                <w:kern w:val="2"/>
                <w:sz w:val="21"/>
                <w:szCs w:val="21"/>
                <w:lang w:val="en-US"/>
              </w:rPr>
              <w:t>自动</w:t>
            </w:r>
            <w:r>
              <w:rPr>
                <w:rFonts w:ascii="宋体" w:hAnsi="宋体" w:cs="Times New Roman"/>
                <w:color w:val="auto"/>
                <w:kern w:val="2"/>
                <w:sz w:val="21"/>
                <w:szCs w:val="21"/>
                <w:lang w:val="en-US"/>
              </w:rPr>
              <w:t>失去</w:t>
            </w:r>
            <w:r>
              <w:rPr>
                <w:rFonts w:hint="eastAsia" w:ascii="宋体" w:hAnsi="宋体" w:cs="Times New Roman"/>
                <w:color w:val="auto"/>
                <w:kern w:val="2"/>
                <w:sz w:val="21"/>
                <w:szCs w:val="21"/>
                <w:lang w:val="en-US"/>
              </w:rPr>
              <w:t>在本次招标中</w:t>
            </w:r>
            <w:r>
              <w:rPr>
                <w:rFonts w:ascii="宋体" w:hAnsi="宋体" w:cs="Times New Roman"/>
                <w:color w:val="auto"/>
                <w:kern w:val="2"/>
                <w:sz w:val="21"/>
                <w:szCs w:val="21"/>
                <w:lang w:val="en-US"/>
              </w:rPr>
              <w:t>其他</w:t>
            </w:r>
            <w:r>
              <w:rPr>
                <w:rFonts w:hint="eastAsia" w:ascii="宋体" w:hAnsi="宋体" w:cs="Times New Roman"/>
                <w:color w:val="auto"/>
                <w:kern w:val="2"/>
                <w:sz w:val="21"/>
                <w:szCs w:val="21"/>
                <w:lang w:val="en-US"/>
              </w:rPr>
              <w:t>标段</w:t>
            </w:r>
            <w:r>
              <w:rPr>
                <w:rFonts w:ascii="宋体" w:hAnsi="宋体" w:cs="Times New Roman"/>
                <w:color w:val="auto"/>
                <w:kern w:val="2"/>
                <w:sz w:val="21"/>
                <w:szCs w:val="21"/>
                <w:lang w:val="en-US"/>
              </w:rPr>
              <w:t>的中标候选人资格，其他</w:t>
            </w:r>
            <w:r>
              <w:rPr>
                <w:rFonts w:hint="eastAsia" w:ascii="宋体" w:hAnsi="宋体" w:cs="Times New Roman"/>
                <w:color w:val="auto"/>
                <w:kern w:val="2"/>
                <w:sz w:val="21"/>
                <w:szCs w:val="21"/>
                <w:lang w:val="en-US"/>
              </w:rPr>
              <w:t>标段</w:t>
            </w:r>
            <w:r>
              <w:rPr>
                <w:rFonts w:ascii="宋体" w:hAnsi="宋体" w:cs="Times New Roman"/>
                <w:color w:val="auto"/>
                <w:kern w:val="2"/>
                <w:sz w:val="21"/>
                <w:szCs w:val="21"/>
                <w:lang w:val="en-US"/>
              </w:rPr>
              <w:t>的综合排名名次高者自动上升为中标候选人，</w:t>
            </w:r>
            <w:r>
              <w:rPr>
                <w:rFonts w:hint="eastAsia" w:ascii="宋体" w:hAnsi="宋体" w:cs="Times New Roman"/>
                <w:color w:val="auto"/>
                <w:kern w:val="2"/>
                <w:sz w:val="21"/>
                <w:szCs w:val="21"/>
                <w:lang w:val="en-US"/>
              </w:rPr>
              <w:t>以此</w:t>
            </w:r>
            <w:r>
              <w:rPr>
                <w:rFonts w:ascii="宋体" w:hAnsi="宋体" w:cs="Times New Roman"/>
                <w:color w:val="auto"/>
                <w:kern w:val="2"/>
                <w:sz w:val="21"/>
                <w:szCs w:val="21"/>
                <w:lang w:val="en-US"/>
              </w:rPr>
              <w:t>类推。</w:t>
            </w:r>
          </w:p>
          <w:p>
            <w:pPr>
              <w:adjustRightInd w:val="0"/>
              <w:spacing w:line="360" w:lineRule="exact"/>
              <w:ind w:left="120" w:leftChars="50" w:right="120" w:rightChars="50" w:firstLine="432" w:firstLineChars="206"/>
              <w:jc w:val="both"/>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3.9.4</w:t>
            </w:r>
            <w:r>
              <w:rPr>
                <w:rFonts w:ascii="宋体" w:hAnsi="宋体" w:cs="Times New Roman"/>
                <w:color w:val="auto"/>
                <w:kern w:val="2"/>
                <w:sz w:val="21"/>
                <w:szCs w:val="21"/>
                <w:lang w:val="en-US"/>
              </w:rPr>
              <w:t>通过第一个信封商务及技术文件评审的投标人少于3个的，评标委员会可以否决全部投标；未否决全部投标的，评标委员会应当在评标报告中阐明理由，招标人应当按照</w:t>
            </w:r>
            <w:r>
              <w:rPr>
                <w:rFonts w:hint="eastAsia" w:ascii="宋体" w:hAnsi="宋体" w:cs="Times New Roman"/>
                <w:color w:val="auto"/>
                <w:kern w:val="2"/>
                <w:sz w:val="21"/>
                <w:szCs w:val="21"/>
                <w:lang w:val="en-US"/>
              </w:rPr>
              <w:t>招标文件</w:t>
            </w:r>
            <w:r>
              <w:rPr>
                <w:rFonts w:ascii="宋体" w:hAnsi="宋体" w:cs="Times New Roman"/>
                <w:color w:val="auto"/>
                <w:kern w:val="2"/>
                <w:sz w:val="21"/>
                <w:szCs w:val="21"/>
                <w:lang w:val="en-US"/>
              </w:rPr>
              <w:t>规定的程序进行第二个信封报价文件开标，但评标委员会在进行报价文件评审时仍有权否决全部投标；评标委员会未在报价文件评审时否决全部投标的，应当在评标报告中阐明理由并推荐中标候选人</w:t>
            </w:r>
            <w:r>
              <w:rPr>
                <w:rFonts w:hint="eastAsia" w:ascii="宋体" w:hAnsi="宋体" w:cs="Times New Roman"/>
                <w:color w:val="auto"/>
                <w:kern w:val="2"/>
                <w:sz w:val="21"/>
                <w:szCs w:val="20"/>
                <w:lang w:val="en-US"/>
              </w:rPr>
              <w:t>。</w:t>
            </w:r>
          </w:p>
          <w:p>
            <w:pPr>
              <w:spacing w:line="360" w:lineRule="exact"/>
              <w:ind w:left="120" w:leftChars="50" w:right="120" w:rightChars="50" w:firstLine="424" w:firstLineChars="202"/>
              <w:jc w:val="both"/>
              <w:rPr>
                <w:rFonts w:ascii="宋体" w:hAnsi="宋体" w:cs="Times New Roman"/>
                <w:color w:val="auto"/>
                <w:kern w:val="2"/>
                <w:sz w:val="21"/>
                <w:szCs w:val="21"/>
                <w:lang w:val="en-US"/>
              </w:rPr>
            </w:pPr>
            <w:r>
              <w:rPr>
                <w:rFonts w:hint="eastAsia" w:ascii="宋体" w:hAnsi="宋体" w:cs="Times New Roman"/>
                <w:color w:val="auto"/>
                <w:kern w:val="2"/>
                <w:sz w:val="21"/>
                <w:szCs w:val="21"/>
                <w:lang w:val="en-US"/>
              </w:rPr>
              <w:t>3.9.5</w:t>
            </w:r>
            <w:r>
              <w:rPr>
                <w:rFonts w:ascii="宋体" w:hAnsi="宋体" w:cs="Times New Roman"/>
                <w:color w:val="auto"/>
                <w:kern w:val="2"/>
                <w:sz w:val="21"/>
                <w:szCs w:val="21"/>
                <w:lang w:val="en-US"/>
              </w:rPr>
              <w:t>通过第一个信封商务及技术文件评审的投标人在3个</w:t>
            </w:r>
            <w:r>
              <w:rPr>
                <w:rFonts w:hint="eastAsia" w:ascii="宋体" w:hAnsi="宋体" w:cs="Times New Roman"/>
                <w:color w:val="auto"/>
                <w:kern w:val="2"/>
                <w:sz w:val="21"/>
                <w:szCs w:val="21"/>
                <w:lang w:val="en-US"/>
              </w:rPr>
              <w:t>及</w:t>
            </w:r>
            <w:r>
              <w:rPr>
                <w:rFonts w:ascii="宋体" w:hAnsi="宋体" w:cs="Times New Roman"/>
                <w:color w:val="auto"/>
                <w:kern w:val="2"/>
                <w:sz w:val="21"/>
                <w:szCs w:val="21"/>
                <w:lang w:val="en-US"/>
              </w:rPr>
              <w:t>以上的，招标人应当按照</w:t>
            </w:r>
            <w:r>
              <w:rPr>
                <w:rFonts w:hint="eastAsia" w:ascii="宋体" w:hAnsi="宋体" w:cs="Times New Roman"/>
                <w:color w:val="auto"/>
                <w:kern w:val="2"/>
                <w:sz w:val="21"/>
                <w:szCs w:val="21"/>
                <w:lang w:val="en-US"/>
              </w:rPr>
              <w:t>招标文件规定</w:t>
            </w:r>
            <w:r>
              <w:rPr>
                <w:rFonts w:ascii="宋体" w:hAnsi="宋体" w:cs="Times New Roman"/>
                <w:color w:val="auto"/>
                <w:kern w:val="2"/>
                <w:sz w:val="21"/>
                <w:szCs w:val="21"/>
                <w:lang w:val="en-US"/>
              </w:rPr>
              <w:t>的程序进行第二个信封报价文件开标；在对报价文件进行评审后，有效投标不足3个的，评标委员会可以否决全部投标</w:t>
            </w:r>
            <w:r>
              <w:rPr>
                <w:rFonts w:hint="eastAsia" w:ascii="宋体" w:hAnsi="宋体" w:cs="Times New Roman"/>
                <w:color w:val="auto"/>
                <w:kern w:val="2"/>
                <w:sz w:val="21"/>
                <w:szCs w:val="21"/>
                <w:lang w:val="en-US"/>
              </w:rPr>
              <w:t>。</w:t>
            </w:r>
            <w:r>
              <w:rPr>
                <w:rFonts w:ascii="宋体" w:hAnsi="宋体" w:cs="Times New Roman"/>
                <w:color w:val="auto"/>
                <w:kern w:val="2"/>
                <w:sz w:val="21"/>
                <w:szCs w:val="21"/>
                <w:lang w:val="en-US"/>
              </w:rPr>
              <w:t>未否决全部投标的，评标委员会应当在评标报告中阐明理由</w:t>
            </w:r>
            <w:r>
              <w:rPr>
                <w:rFonts w:hint="eastAsia" w:ascii="宋体" w:hAnsi="宋体" w:cs="Times New Roman"/>
                <w:color w:val="auto"/>
                <w:kern w:val="2"/>
                <w:sz w:val="21"/>
                <w:szCs w:val="21"/>
                <w:lang w:val="en-US"/>
              </w:rPr>
              <w:t>并推荐中标候选人</w:t>
            </w:r>
            <w:r>
              <w:rPr>
                <w:rFonts w:ascii="宋体" w:hAnsi="宋体" w:cs="Times New Roman"/>
                <w:color w:val="auto"/>
                <w:kern w:val="2"/>
                <w:sz w:val="21"/>
                <w:szCs w:val="21"/>
                <w:lang w:val="en-US"/>
              </w:rPr>
              <w:t>。</w:t>
            </w:r>
          </w:p>
          <w:p>
            <w:pPr>
              <w:adjustRightInd w:val="0"/>
              <w:spacing w:line="360" w:lineRule="exact"/>
              <w:ind w:left="120" w:leftChars="50" w:right="120" w:rightChars="50" w:firstLine="432" w:firstLineChars="206"/>
              <w:jc w:val="both"/>
              <w:rPr>
                <w:rFonts w:hint="eastAsia" w:ascii="宋体" w:hAnsi="宋体" w:cs="Times New Roman"/>
                <w:color w:val="auto"/>
                <w:sz w:val="21"/>
                <w:szCs w:val="21"/>
                <w:lang w:val="en-US"/>
              </w:rPr>
            </w:pPr>
            <w:r>
              <w:rPr>
                <w:rFonts w:hint="eastAsia" w:ascii="宋体" w:hAnsi="宋体" w:cs="Times New Roman"/>
                <w:color w:val="auto"/>
                <w:kern w:val="2"/>
                <w:sz w:val="21"/>
                <w:szCs w:val="21"/>
                <w:lang w:val="en-US"/>
              </w:rPr>
              <w:t>3.9.6</w:t>
            </w:r>
            <w:r>
              <w:rPr>
                <w:rFonts w:hint="eastAsia" w:ascii="宋体" w:hAnsi="宋体" w:cs="Times New Roman"/>
                <w:color w:val="auto"/>
                <w:sz w:val="21"/>
                <w:szCs w:val="21"/>
                <w:lang w:val="en-US"/>
              </w:rPr>
              <w:t>如果发生无法确定推荐中标候选人的其他意外情况，评标委员会可建议招标人重新招标。</w:t>
            </w:r>
          </w:p>
          <w:p>
            <w:pPr>
              <w:spacing w:line="360" w:lineRule="exact"/>
              <w:ind w:left="120" w:leftChars="50" w:right="120" w:rightChars="50" w:firstLine="442" w:firstLineChars="200"/>
              <w:rPr>
                <w:rFonts w:hint="eastAsia"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lang w:val="en-US"/>
              </w:rPr>
              <w:t>9</w:t>
            </w:r>
            <w:r>
              <w:rPr>
                <w:rFonts w:hint="eastAsia" w:ascii="宋体" w:hAnsi="宋体"/>
                <w:b/>
                <w:bCs/>
                <w:color w:val="auto"/>
                <w:sz w:val="22"/>
                <w:szCs w:val="22"/>
              </w:rPr>
              <w:t>.</w:t>
            </w:r>
            <w:r>
              <w:rPr>
                <w:rFonts w:hint="eastAsia" w:ascii="宋体" w:hAnsi="宋体"/>
                <w:b/>
                <w:bCs/>
                <w:color w:val="auto"/>
                <w:sz w:val="22"/>
                <w:szCs w:val="22"/>
                <w:lang w:val="en-US"/>
              </w:rPr>
              <w:t>7</w:t>
            </w:r>
            <w:r>
              <w:rPr>
                <w:rFonts w:hint="eastAsia" w:ascii="宋体" w:hAnsi="宋体"/>
                <w:b/>
                <w:bCs/>
                <w:color w:val="auto"/>
                <w:sz w:val="22"/>
                <w:szCs w:val="22"/>
              </w:rPr>
              <w:t>本招标文件规定的否决投标条款包含在以下条款：</w:t>
            </w:r>
          </w:p>
          <w:p>
            <w:pPr>
              <w:spacing w:line="360" w:lineRule="exact"/>
              <w:ind w:left="120" w:leftChars="50" w:right="120" w:rightChars="50" w:firstLine="442" w:firstLineChars="200"/>
              <w:rPr>
                <w:rFonts w:hint="eastAsia" w:ascii="宋体" w:hAnsi="宋体"/>
                <w:b/>
                <w:bCs/>
                <w:color w:val="auto"/>
                <w:sz w:val="22"/>
                <w:szCs w:val="22"/>
              </w:rPr>
            </w:pPr>
            <w:r>
              <w:rPr>
                <w:rFonts w:hint="eastAsia" w:ascii="宋体" w:hAnsi="宋体"/>
                <w:b/>
                <w:bCs/>
                <w:color w:val="auto"/>
                <w:sz w:val="22"/>
                <w:szCs w:val="22"/>
              </w:rPr>
              <w:t>（1）招标公告第3点 投标人资格要求；</w:t>
            </w:r>
          </w:p>
          <w:p>
            <w:pPr>
              <w:spacing w:line="360" w:lineRule="exact"/>
              <w:ind w:left="120" w:leftChars="50" w:right="120" w:rightChars="50" w:firstLine="442" w:firstLineChars="200"/>
              <w:rPr>
                <w:rFonts w:hint="eastAsia" w:ascii="宋体" w:hAnsi="宋体"/>
                <w:b/>
                <w:bCs/>
                <w:color w:val="auto"/>
                <w:sz w:val="22"/>
                <w:szCs w:val="22"/>
              </w:rPr>
            </w:pPr>
            <w:r>
              <w:rPr>
                <w:rFonts w:hint="eastAsia" w:ascii="宋体" w:hAnsi="宋体"/>
                <w:b/>
                <w:bCs/>
                <w:color w:val="auto"/>
                <w:sz w:val="22"/>
                <w:szCs w:val="22"/>
              </w:rPr>
              <w:t>（2）</w:t>
            </w:r>
            <w:r>
              <w:rPr>
                <w:rFonts w:hint="eastAsia" w:ascii="宋体" w:hAnsi="宋体" w:cs="宋体"/>
                <w:b/>
                <w:bCs/>
                <w:color w:val="auto"/>
                <w:sz w:val="22"/>
                <w:szCs w:val="22"/>
                <w:u w:val="single"/>
              </w:rPr>
              <w:t>投标人须知1.4.3项、1.4.4项、1.11.1项、1.12</w:t>
            </w:r>
            <w:r>
              <w:rPr>
                <w:rFonts w:hint="eastAsia" w:ascii="宋体" w:hAnsi="宋体" w:cs="宋体"/>
                <w:b/>
                <w:bCs/>
                <w:color w:val="auto"/>
                <w:sz w:val="22"/>
                <w:szCs w:val="22"/>
                <w:u w:val="single"/>
                <w:lang w:val="en-US"/>
              </w:rPr>
              <w:t>.2</w:t>
            </w:r>
            <w:r>
              <w:rPr>
                <w:rFonts w:hint="eastAsia" w:ascii="宋体" w:hAnsi="宋体" w:cs="宋体"/>
                <w:b/>
                <w:bCs/>
                <w:color w:val="auto"/>
                <w:sz w:val="22"/>
                <w:szCs w:val="22"/>
                <w:u w:val="single"/>
              </w:rPr>
              <w:t>项、3.4</w:t>
            </w:r>
            <w:r>
              <w:rPr>
                <w:rFonts w:hint="eastAsia" w:ascii="宋体" w:hAnsi="宋体" w:cs="宋体"/>
                <w:b/>
                <w:bCs/>
                <w:color w:val="auto"/>
                <w:sz w:val="22"/>
                <w:szCs w:val="22"/>
                <w:u w:val="single"/>
                <w:lang w:val="en-US"/>
              </w:rPr>
              <w:t>.2</w:t>
            </w:r>
            <w:r>
              <w:rPr>
                <w:rFonts w:hint="eastAsia" w:ascii="宋体" w:hAnsi="宋体" w:cs="宋体"/>
                <w:b/>
                <w:bCs/>
                <w:color w:val="auto"/>
                <w:sz w:val="22"/>
                <w:szCs w:val="22"/>
                <w:u w:val="single"/>
              </w:rPr>
              <w:t>项、</w:t>
            </w:r>
            <w:r>
              <w:rPr>
                <w:rFonts w:hint="eastAsia" w:ascii="宋体" w:hAnsi="宋体" w:cs="宋体"/>
                <w:b/>
                <w:bCs/>
                <w:color w:val="auto"/>
                <w:sz w:val="22"/>
                <w:szCs w:val="22"/>
                <w:u w:val="single"/>
                <w:lang w:val="en-US"/>
              </w:rPr>
              <w:t>3.5.11项、</w:t>
            </w:r>
            <w:r>
              <w:rPr>
                <w:rFonts w:hint="eastAsia" w:ascii="宋体" w:hAnsi="宋体" w:cs="宋体"/>
                <w:b/>
                <w:bCs/>
                <w:color w:val="auto"/>
                <w:sz w:val="22"/>
                <w:szCs w:val="22"/>
                <w:u w:val="single"/>
              </w:rPr>
              <w:t>3.6</w:t>
            </w:r>
            <w:r>
              <w:rPr>
                <w:rFonts w:hint="eastAsia" w:ascii="宋体" w:hAnsi="宋体" w:cs="宋体"/>
                <w:b/>
                <w:bCs/>
                <w:color w:val="auto"/>
                <w:sz w:val="22"/>
                <w:szCs w:val="22"/>
                <w:u w:val="single"/>
                <w:lang w:val="en-US"/>
              </w:rPr>
              <w:t>.1</w:t>
            </w:r>
            <w:r>
              <w:rPr>
                <w:rFonts w:hint="eastAsia" w:ascii="宋体" w:hAnsi="宋体" w:cs="宋体"/>
                <w:b/>
                <w:bCs/>
                <w:color w:val="auto"/>
                <w:sz w:val="22"/>
                <w:szCs w:val="22"/>
                <w:u w:val="single"/>
              </w:rPr>
              <w:t>项</w:t>
            </w:r>
            <w:r>
              <w:rPr>
                <w:rFonts w:hint="eastAsia" w:ascii="宋体" w:hAnsi="宋体"/>
                <w:b/>
                <w:bCs/>
                <w:color w:val="auto"/>
                <w:sz w:val="22"/>
                <w:szCs w:val="22"/>
                <w:u w:val="single"/>
              </w:rPr>
              <w:t>；</w:t>
            </w:r>
          </w:p>
          <w:p>
            <w:pPr>
              <w:adjustRightInd w:val="0"/>
              <w:spacing w:line="360" w:lineRule="exact"/>
              <w:ind w:left="120" w:leftChars="50" w:right="120" w:rightChars="50" w:firstLine="455" w:firstLineChars="206"/>
              <w:jc w:val="both"/>
              <w:rPr>
                <w:rFonts w:hint="eastAsia" w:ascii="宋体" w:hAnsi="宋体" w:cs="Times New Roman"/>
                <w:color w:val="auto"/>
                <w:kern w:val="2"/>
                <w:sz w:val="21"/>
                <w:szCs w:val="21"/>
                <w:lang w:val="en-US"/>
              </w:rPr>
            </w:pPr>
            <w:r>
              <w:rPr>
                <w:rFonts w:hint="eastAsia" w:ascii="宋体" w:hAnsi="宋体"/>
                <w:b/>
                <w:bCs/>
                <w:color w:val="auto"/>
                <w:sz w:val="22"/>
                <w:szCs w:val="22"/>
              </w:rPr>
              <w:t>（3）本评标办法的否决条款。</w:t>
            </w:r>
          </w:p>
        </w:tc>
      </w:tr>
    </w:tbl>
    <w:p>
      <w:r>
        <w:rPr>
          <w:rFonts w:hint="eastAsia" w:ascii="黑体" w:hAnsi="黑体" w:eastAsia="黑体" w:cs="黑体"/>
          <w:b w:val="0"/>
          <w:bCs/>
          <w:szCs w:val="32"/>
          <w:lang w:val="en-US"/>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DE"/>
    <w:family w:val="roman"/>
    <w:pitch w:val="default"/>
    <w:sig w:usb0="81000003" w:usb1="00000000" w:usb2="00000000" w:usb3="00000000" w:csb0="0001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928C2"/>
    <w:multiLevelType w:val="singleLevel"/>
    <w:tmpl w:val="DAD928C2"/>
    <w:lvl w:ilvl="0" w:tentative="0">
      <w:start w:val="1"/>
      <w:numFmt w:val="decimal"/>
      <w:suff w:val="nothing"/>
      <w:lvlText w:val="（%1）"/>
      <w:lvlJc w:val="left"/>
    </w:lvl>
  </w:abstractNum>
  <w:abstractNum w:abstractNumId="1">
    <w:nsid w:val="7BBD47F9"/>
    <w:multiLevelType w:val="multilevel"/>
    <w:tmpl w:val="7BBD47F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3"/>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A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MingLiU_HKSCS"/>
      <w:color w:val="000000"/>
      <w:sz w:val="24"/>
      <w:szCs w:val="24"/>
      <w:lang w:val="zh-CN" w:eastAsia="zh-CN" w:bidi="ar-SA"/>
    </w:rPr>
  </w:style>
  <w:style w:type="paragraph" w:styleId="3">
    <w:name w:val="heading 3"/>
    <w:basedOn w:val="1"/>
    <w:next w:val="1"/>
    <w:qFormat/>
    <w:uiPriority w:val="99"/>
    <w:pPr>
      <w:keepNext/>
      <w:keepLines/>
      <w:widowControl/>
      <w:numPr>
        <w:ilvl w:val="2"/>
        <w:numId w:val="1"/>
      </w:numPr>
      <w:spacing w:before="120" w:after="120" w:line="360" w:lineRule="auto"/>
      <w:jc w:val="center"/>
      <w:outlineLvl w:val="2"/>
    </w:pPr>
    <w:rPr>
      <w:rFonts w:cs="Times New Roman"/>
      <w:b/>
      <w:color w:val="auto"/>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jc w:val="both"/>
    </w:pPr>
    <w:rPr>
      <w:rFonts w:cs="Times New Roman"/>
      <w:color w:val="auto"/>
      <w:kern w:val="2"/>
      <w:sz w:val="21"/>
    </w:rPr>
  </w:style>
  <w:style w:type="paragraph" w:styleId="4">
    <w:name w:val="Plain Text"/>
    <w:basedOn w:val="1"/>
    <w:uiPriority w:val="0"/>
    <w:pPr>
      <w:jc w:val="both"/>
    </w:pPr>
    <w:rPr>
      <w:rFonts w:ascii="宋体" w:hAnsi="Courier New" w:cs="Times New Roman"/>
      <w:color w:val="auto"/>
      <w:kern w:val="2"/>
      <w:sz w:val="21"/>
      <w:szCs w:val="20"/>
    </w:rPr>
  </w:style>
  <w:style w:type="paragraph" w:styleId="5">
    <w:name w:val="header"/>
    <w:basedOn w:val="1"/>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customStyle="1" w:styleId="8">
    <w:name w:val="标题 #3"/>
    <w:basedOn w:val="1"/>
    <w:qFormat/>
    <w:uiPriority w:val="99"/>
    <w:pPr>
      <w:shd w:val="clear" w:color="auto" w:fill="FFFFFF"/>
      <w:spacing w:after="660" w:line="240" w:lineRule="atLeast"/>
      <w:jc w:val="center"/>
      <w:outlineLvl w:val="2"/>
    </w:pPr>
    <w:rPr>
      <w:rFonts w:ascii="MingLiU" w:eastAsia="MingLiU" w:cs="Times New Roman"/>
      <w:color w:val="auto"/>
      <w:spacing w:val="370"/>
      <w:sz w:val="42"/>
      <w:szCs w:val="42"/>
    </w:rPr>
  </w:style>
  <w:style w:type="character" w:customStyle="1" w:styleId="9">
    <w:name w:val="标题 #2_"/>
    <w:link w:val="10"/>
    <w:qFormat/>
    <w:locked/>
    <w:uiPriority w:val="99"/>
    <w:rPr>
      <w:rFonts w:ascii="MingLiU" w:eastAsia="MingLiU" w:cs="Times New Roman"/>
      <w:color w:val="auto"/>
      <w:sz w:val="42"/>
      <w:szCs w:val="42"/>
    </w:rPr>
  </w:style>
  <w:style w:type="paragraph" w:customStyle="1" w:styleId="10">
    <w:name w:val="标题 #2"/>
    <w:basedOn w:val="1"/>
    <w:link w:val="9"/>
    <w:qFormat/>
    <w:uiPriority w:val="99"/>
    <w:pPr>
      <w:shd w:val="clear" w:color="auto" w:fill="FFFFFF"/>
      <w:spacing w:after="600" w:line="240" w:lineRule="atLeast"/>
      <w:outlineLvl w:val="1"/>
    </w:pPr>
    <w:rPr>
      <w:rFonts w:ascii="MingLiU" w:eastAsia="MingLiU" w:cs="Times New Roman"/>
      <w:color w:val="auto"/>
      <w:sz w:val="42"/>
      <w:szCs w:val="42"/>
    </w:rPr>
  </w:style>
  <w:style w:type="paragraph" w:customStyle="1" w:styleId="11">
    <w:name w:val="标题 #7"/>
    <w:basedOn w:val="1"/>
    <w:uiPriority w:val="99"/>
    <w:pPr>
      <w:shd w:val="clear" w:color="auto" w:fill="FFFFFF"/>
      <w:spacing w:before="120" w:after="420" w:line="240" w:lineRule="atLeast"/>
      <w:outlineLvl w:val="6"/>
    </w:pPr>
    <w:rPr>
      <w:rFonts w:ascii="MingLiU" w:eastAsia="MingLiU" w:cs="Times New Roman"/>
      <w:b/>
      <w:bCs/>
      <w:color w:val="auto"/>
      <w:spacing w:val="10"/>
      <w:sz w:val="22"/>
      <w:szCs w:val="22"/>
    </w:rPr>
  </w:style>
  <w:style w:type="character" w:customStyle="1" w:styleId="12">
    <w:name w:val="标题 #7 + 间距 0 pt"/>
    <w:uiPriority w:val="99"/>
    <w:rPr>
      <w:rFonts w:ascii="MingLiU" w:eastAsia="MingLiU" w:cs="MingLiU"/>
      <w:b/>
      <w:bCs/>
      <w:spacing w:val="0"/>
      <w:sz w:val="22"/>
      <w:szCs w:val="22"/>
      <w:u w:val="none"/>
    </w:rPr>
  </w:style>
  <w:style w:type="character" w:customStyle="1" w:styleId="13">
    <w:name w:val="表格标题 (4)_"/>
    <w:link w:val="14"/>
    <w:locked/>
    <w:uiPriority w:val="99"/>
    <w:rPr>
      <w:rFonts w:ascii="MingLiU" w:eastAsia="MingLiU" w:cs="Times New Roman"/>
      <w:b/>
      <w:bCs/>
      <w:color w:val="auto"/>
      <w:sz w:val="22"/>
      <w:szCs w:val="22"/>
    </w:rPr>
  </w:style>
  <w:style w:type="paragraph" w:customStyle="1" w:styleId="14">
    <w:name w:val="表格标题 (4)"/>
    <w:basedOn w:val="1"/>
    <w:link w:val="13"/>
    <w:qFormat/>
    <w:uiPriority w:val="99"/>
    <w:pPr>
      <w:shd w:val="clear" w:color="auto" w:fill="FFFFFF"/>
      <w:spacing w:line="240" w:lineRule="atLeast"/>
    </w:pPr>
    <w:rPr>
      <w:rFonts w:ascii="MingLiU" w:eastAsia="MingLiU" w:cs="Times New Roman"/>
      <w:b/>
      <w:bCs/>
      <w:color w:val="auto"/>
      <w:sz w:val="22"/>
      <w:szCs w:val="22"/>
    </w:rPr>
  </w:style>
  <w:style w:type="paragraph" w:customStyle="1" w:styleId="15">
    <w:name w:val="正文文本 (2)1"/>
    <w:basedOn w:val="1"/>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6">
    <w:name w:val="正文文本 (2) + 间距 0 pt5"/>
    <w:qFormat/>
    <w:uiPriority w:val="99"/>
    <w:rPr>
      <w:rFonts w:ascii="MingLiU" w:eastAsia="MingLiU" w:cs="MingLiU"/>
      <w:spacing w:val="0"/>
      <w:sz w:val="22"/>
      <w:szCs w:val="22"/>
      <w:u w:val="none"/>
    </w:rPr>
  </w:style>
  <w:style w:type="character" w:customStyle="1" w:styleId="17">
    <w:name w:val="正文文本 (2) + 10 pt37"/>
    <w:qFormat/>
    <w:uiPriority w:val="99"/>
    <w:rPr>
      <w:rFonts w:ascii="MingLiU" w:eastAsia="MingLiU" w:cs="MingLiU"/>
      <w:spacing w:val="0"/>
      <w:sz w:val="20"/>
      <w:szCs w:val="20"/>
      <w:u w:val="none"/>
    </w:rPr>
  </w:style>
  <w:style w:type="character" w:customStyle="1" w:styleId="18">
    <w:name w:val="正文文本 (17) + 间距 0 pt"/>
    <w:qFormat/>
    <w:uiPriority w:val="99"/>
    <w:rPr>
      <w:rFonts w:ascii="MingLiU" w:eastAsia="MingLiU" w:cs="MingLiU"/>
      <w:spacing w:val="0"/>
      <w:sz w:val="22"/>
      <w:szCs w:val="22"/>
      <w:u w:val="single"/>
    </w:rPr>
  </w:style>
  <w:style w:type="character" w:customStyle="1" w:styleId="19">
    <w:name w:val="正文文本 (5)_"/>
    <w:link w:val="20"/>
    <w:locked/>
    <w:uiPriority w:val="99"/>
    <w:rPr>
      <w:rFonts w:ascii="MingLiU" w:eastAsia="MingLiU" w:cs="Times New Roman"/>
      <w:color w:val="auto"/>
      <w:sz w:val="20"/>
      <w:szCs w:val="20"/>
    </w:rPr>
  </w:style>
  <w:style w:type="paragraph" w:customStyle="1" w:styleId="20">
    <w:name w:val="正文文本 (5)1"/>
    <w:basedOn w:val="1"/>
    <w:link w:val="19"/>
    <w:qFormat/>
    <w:uiPriority w:val="99"/>
    <w:pPr>
      <w:shd w:val="clear" w:color="auto" w:fill="FFFFFF"/>
      <w:spacing w:before="5100" w:line="240" w:lineRule="atLeast"/>
    </w:pPr>
    <w:rPr>
      <w:rFonts w:ascii="MingLiU" w:eastAsia="MingLiU" w:cs="Times New Roman"/>
      <w:color w:val="auto"/>
      <w:sz w:val="20"/>
      <w:szCs w:val="20"/>
    </w:rPr>
  </w:style>
  <w:style w:type="paragraph" w:customStyle="1" w:styleId="21">
    <w:name w:val="正文文本 (28)"/>
    <w:basedOn w:val="1"/>
    <w:link w:val="22"/>
    <w:uiPriority w:val="99"/>
    <w:pPr>
      <w:shd w:val="clear" w:color="auto" w:fill="FFFFFF"/>
      <w:spacing w:after="180" w:line="240" w:lineRule="atLeast"/>
    </w:pPr>
    <w:rPr>
      <w:rFonts w:ascii="AngsanaUPC" w:hAnsi="AngsanaUPC" w:cs="Times New Roman"/>
      <w:color w:val="auto"/>
      <w:sz w:val="30"/>
      <w:szCs w:val="30"/>
      <w:lang w:val="en-US" w:eastAsia="en-US"/>
    </w:rPr>
  </w:style>
  <w:style w:type="character" w:customStyle="1" w:styleId="22">
    <w:name w:val="正文文本 (28)_"/>
    <w:link w:val="21"/>
    <w:locked/>
    <w:uiPriority w:val="99"/>
    <w:rPr>
      <w:rFonts w:ascii="AngsanaUPC" w:hAnsi="AngsanaUPC" w:cs="Times New Roman"/>
      <w:color w:val="auto"/>
      <w:sz w:val="30"/>
      <w:szCs w:val="30"/>
      <w:lang w:val="en-US" w:eastAsia="en-US"/>
    </w:rPr>
  </w:style>
  <w:style w:type="character" w:customStyle="1" w:styleId="23">
    <w:name w:val="正文文本 (2) + 10 pt24"/>
    <w:uiPriority w:val="99"/>
    <w:rPr>
      <w:rFonts w:ascii="MingLiU" w:eastAsia="MingLiU" w:cs="MingLiU"/>
      <w:b/>
      <w:bCs/>
      <w:spacing w:val="0"/>
      <w:sz w:val="20"/>
      <w:szCs w:val="20"/>
      <w:u w:val="none"/>
    </w:rPr>
  </w:style>
  <w:style w:type="character" w:customStyle="1" w:styleId="24">
    <w:name w:val="正文文本 (2) + 间距 0 pt3"/>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2025-09-06T08:02:07Z</dcterms:created>
  <dc:creator>Administrator</dc:creator>
  <cp:lastModifiedBy>陈飞</cp:lastModifiedBy>
  <dcterms:modified xsi:type="dcterms:W3CDTF">2025-09-06T08:03:07Z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FDA45A4A011544A793FF31253F55EE10</vt:lpwstr>
  </property>
</Properties>
</file>