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F025D">
      <w:pPr>
        <w:spacing w:line="400" w:lineRule="exact"/>
        <w:ind w:firstLine="420" w:firstLineChars="200"/>
        <w:rPr>
          <w:color w:val="auto"/>
          <w:highlight w:val="none"/>
        </w:rPr>
      </w:pPr>
    </w:p>
    <w:p w14:paraId="53C666F3">
      <w:pPr>
        <w:spacing w:line="400" w:lineRule="exact"/>
        <w:ind w:firstLine="420" w:firstLineChars="200"/>
        <w:rPr>
          <w:color w:val="auto"/>
          <w:highlight w:val="none"/>
        </w:rPr>
      </w:pPr>
    </w:p>
    <w:p w14:paraId="489ACE47">
      <w:pPr>
        <w:spacing w:line="300" w:lineRule="auto"/>
        <w:jc w:val="center"/>
        <w:rPr>
          <w:rFonts w:hint="eastAsia" w:ascii="宋体" w:hAnsi="宋体" w:eastAsia="宋体" w:cs="宋体"/>
          <w:b/>
          <w:color w:val="auto"/>
          <w:sz w:val="44"/>
          <w:szCs w:val="44"/>
          <w:highlight w:val="none"/>
          <w:lang w:eastAsia="zh-CN"/>
        </w:rPr>
      </w:pPr>
      <w:r>
        <w:rPr>
          <w:rFonts w:hint="eastAsia" w:ascii="宋体" w:hAnsi="宋体" w:cs="宋体"/>
          <w:b/>
          <w:color w:val="auto"/>
          <w:sz w:val="44"/>
          <w:szCs w:val="44"/>
          <w:highlight w:val="none"/>
          <w:lang w:eastAsia="zh-CN"/>
        </w:rPr>
        <w:t>珠江·琶醍啤酒文化创意园区改造</w:t>
      </w:r>
      <w:bookmarkStart w:id="333" w:name="_GoBack"/>
      <w:bookmarkEnd w:id="333"/>
      <w:r>
        <w:rPr>
          <w:rFonts w:hint="eastAsia" w:ascii="宋体" w:hAnsi="宋体" w:cs="宋体"/>
          <w:b/>
          <w:color w:val="auto"/>
          <w:sz w:val="44"/>
          <w:szCs w:val="44"/>
          <w:highlight w:val="none"/>
          <w:lang w:eastAsia="zh-CN"/>
        </w:rPr>
        <w:t>升级项目—酒店商业综合体工程监理</w:t>
      </w:r>
    </w:p>
    <w:p w14:paraId="717802E4">
      <w:pPr>
        <w:spacing w:line="300" w:lineRule="auto"/>
        <w:rPr>
          <w:rFonts w:ascii="宋体" w:hAnsi="宋体" w:cs="宋体"/>
          <w:color w:val="auto"/>
          <w:sz w:val="36"/>
          <w:highlight w:val="none"/>
          <w:u w:val="single"/>
        </w:rPr>
      </w:pPr>
    </w:p>
    <w:p w14:paraId="203B5D40">
      <w:pPr>
        <w:pStyle w:val="8"/>
        <w:rPr>
          <w:color w:val="auto"/>
          <w:highlight w:val="none"/>
          <w:lang w:val="en-US"/>
        </w:rPr>
      </w:pPr>
    </w:p>
    <w:p w14:paraId="722387F9">
      <w:pPr>
        <w:pStyle w:val="8"/>
        <w:rPr>
          <w:color w:val="auto"/>
          <w:highlight w:val="none"/>
          <w:lang w:val="en-US"/>
        </w:rPr>
      </w:pPr>
    </w:p>
    <w:p w14:paraId="588B7A35">
      <w:pPr>
        <w:pStyle w:val="8"/>
        <w:rPr>
          <w:color w:val="auto"/>
          <w:highlight w:val="none"/>
          <w:lang w:val="en-US"/>
        </w:rPr>
      </w:pPr>
    </w:p>
    <w:p w14:paraId="19DC849A">
      <w:pPr>
        <w:pStyle w:val="8"/>
        <w:spacing w:line="300" w:lineRule="auto"/>
        <w:rPr>
          <w:rFonts w:ascii="宋体" w:hAnsi="宋体" w:cs="宋体"/>
          <w:color w:val="auto"/>
          <w:sz w:val="36"/>
          <w:highlight w:val="none"/>
          <w:u w:val="single"/>
        </w:rPr>
      </w:pPr>
    </w:p>
    <w:p w14:paraId="01488686">
      <w:pPr>
        <w:spacing w:line="300" w:lineRule="auto"/>
        <w:jc w:val="center"/>
        <w:rPr>
          <w:rFonts w:ascii="宋体" w:hAnsi="宋体" w:cs="宋体"/>
          <w:b/>
          <w:color w:val="auto"/>
          <w:spacing w:val="26"/>
          <w:sz w:val="110"/>
          <w:highlight w:val="none"/>
        </w:rPr>
      </w:pPr>
      <w:r>
        <w:rPr>
          <w:rFonts w:hint="eastAsia" w:ascii="宋体" w:hAnsi="宋体" w:cs="宋体"/>
          <w:b/>
          <w:color w:val="auto"/>
          <w:spacing w:val="26"/>
          <w:sz w:val="110"/>
          <w:highlight w:val="none"/>
        </w:rPr>
        <w:t>招标文件</w:t>
      </w:r>
    </w:p>
    <w:p w14:paraId="16D51B2A">
      <w:pPr>
        <w:jc w:val="center"/>
        <w:rPr>
          <w:rFonts w:ascii="宋体" w:hAnsi="宋体" w:cs="宋体"/>
          <w:b/>
          <w:color w:val="auto"/>
          <w:sz w:val="30"/>
          <w:highlight w:val="none"/>
        </w:rPr>
      </w:pPr>
    </w:p>
    <w:p w14:paraId="092E3854">
      <w:pPr>
        <w:spacing w:line="300" w:lineRule="auto"/>
        <w:jc w:val="center"/>
        <w:rPr>
          <w:rFonts w:ascii="宋体" w:hAnsi="宋体" w:cs="宋体"/>
          <w:color w:val="auto"/>
          <w:sz w:val="32"/>
          <w:highlight w:val="none"/>
        </w:rPr>
      </w:pPr>
    </w:p>
    <w:p w14:paraId="373556CF">
      <w:pPr>
        <w:spacing w:line="300" w:lineRule="auto"/>
        <w:jc w:val="center"/>
        <w:rPr>
          <w:rFonts w:ascii="宋体" w:hAnsi="宋体" w:cs="宋体"/>
          <w:color w:val="auto"/>
          <w:sz w:val="32"/>
          <w:highlight w:val="none"/>
        </w:rPr>
      </w:pPr>
    </w:p>
    <w:p w14:paraId="30571F54">
      <w:pPr>
        <w:spacing w:line="300" w:lineRule="auto"/>
        <w:jc w:val="center"/>
        <w:rPr>
          <w:rFonts w:ascii="宋体" w:hAnsi="宋体" w:cs="宋体"/>
          <w:color w:val="auto"/>
          <w:sz w:val="32"/>
          <w:highlight w:val="none"/>
        </w:rPr>
      </w:pPr>
    </w:p>
    <w:p w14:paraId="213E616A">
      <w:pPr>
        <w:pStyle w:val="8"/>
        <w:spacing w:line="300" w:lineRule="auto"/>
        <w:jc w:val="center"/>
        <w:rPr>
          <w:rFonts w:ascii="宋体" w:hAnsi="宋体" w:cs="宋体"/>
          <w:color w:val="auto"/>
          <w:sz w:val="32"/>
          <w:highlight w:val="none"/>
        </w:rPr>
      </w:pPr>
    </w:p>
    <w:p w14:paraId="1B9BC01E">
      <w:pPr>
        <w:pStyle w:val="43"/>
        <w:rPr>
          <w:rFonts w:ascii="宋体" w:hAnsi="宋体" w:cs="宋体"/>
          <w:color w:val="auto"/>
          <w:sz w:val="52"/>
          <w:highlight w:val="none"/>
        </w:rPr>
      </w:pPr>
    </w:p>
    <w:p w14:paraId="7F4C3133">
      <w:pPr>
        <w:pStyle w:val="43"/>
        <w:rPr>
          <w:rFonts w:ascii="宋体" w:hAnsi="宋体" w:cs="宋体"/>
          <w:color w:val="auto"/>
          <w:sz w:val="52"/>
          <w:highlight w:val="none"/>
        </w:rPr>
      </w:pPr>
    </w:p>
    <w:p w14:paraId="2D26A93B">
      <w:pPr>
        <w:spacing w:line="360" w:lineRule="auto"/>
        <w:ind w:firstLine="945"/>
        <w:rPr>
          <w:rFonts w:ascii="宋体" w:hAnsi="宋体" w:cs="宋体"/>
          <w:color w:val="auto"/>
          <w:sz w:val="30"/>
          <w:highlight w:val="none"/>
          <w:u w:val="single"/>
        </w:rPr>
      </w:pPr>
      <w:r>
        <w:rPr>
          <w:rFonts w:hint="eastAsia" w:ascii="宋体" w:hAnsi="宋体" w:cs="宋体"/>
          <w:color w:val="auto"/>
          <w:sz w:val="30"/>
          <w:highlight w:val="none"/>
        </w:rPr>
        <w:t>招  标 单 位：</w:t>
      </w:r>
      <w:r>
        <w:rPr>
          <w:rFonts w:hint="eastAsia" w:ascii="宋体" w:hAnsi="宋体" w:cs="宋体"/>
          <w:color w:val="auto"/>
          <w:sz w:val="30"/>
          <w:highlight w:val="none"/>
          <w:u w:val="single"/>
          <w:lang w:eastAsia="zh-CN"/>
        </w:rPr>
        <w:t>广州珠江啤酒股份有限公司</w:t>
      </w:r>
    </w:p>
    <w:p w14:paraId="26A9A6D8">
      <w:pPr>
        <w:spacing w:line="360" w:lineRule="auto"/>
        <w:ind w:firstLine="945"/>
        <w:rPr>
          <w:rFonts w:hint="eastAsia" w:ascii="宋体" w:hAnsi="宋体" w:eastAsia="宋体" w:cs="宋体"/>
          <w:color w:val="auto"/>
          <w:sz w:val="30"/>
          <w:highlight w:val="none"/>
          <w:u w:val="single"/>
          <w:lang w:eastAsia="zh-CN"/>
        </w:rPr>
      </w:pPr>
      <w:r>
        <w:rPr>
          <w:rFonts w:hint="eastAsia" w:ascii="宋体" w:hAnsi="宋体" w:cs="宋体"/>
          <w:color w:val="auto"/>
          <w:sz w:val="30"/>
          <w:highlight w:val="none"/>
        </w:rPr>
        <w:t>招标代理单位：</w:t>
      </w:r>
      <w:r>
        <w:rPr>
          <w:rFonts w:hint="eastAsia" w:ascii="宋体" w:hAnsi="宋体" w:cs="宋体"/>
          <w:color w:val="auto"/>
          <w:sz w:val="30"/>
          <w:highlight w:val="none"/>
          <w:u w:val="single"/>
          <w:lang w:eastAsia="zh-CN"/>
        </w:rPr>
        <w:t>广州市国际工程咨询有限公司</w:t>
      </w:r>
    </w:p>
    <w:p w14:paraId="5B2EE9F1">
      <w:pPr>
        <w:spacing w:line="360" w:lineRule="auto"/>
        <w:ind w:firstLine="945"/>
        <w:rPr>
          <w:rFonts w:ascii="宋体" w:hAnsi="宋体" w:cs="宋体"/>
          <w:b/>
          <w:color w:val="auto"/>
          <w:highlight w:val="none"/>
          <w:lang w:val="zh-CN"/>
        </w:rPr>
      </w:pPr>
      <w:r>
        <w:rPr>
          <w:rFonts w:hint="eastAsia" w:ascii="宋体" w:hAnsi="宋体" w:cs="宋体"/>
          <w:color w:val="auto"/>
          <w:sz w:val="32"/>
          <w:highlight w:val="none"/>
        </w:rPr>
        <w:t>日       期：</w:t>
      </w:r>
      <w:r>
        <w:rPr>
          <w:rFonts w:hint="eastAsia" w:ascii="宋体" w:hAnsi="宋体" w:cs="宋体"/>
          <w:color w:val="auto"/>
          <w:sz w:val="32"/>
          <w:highlight w:val="none"/>
          <w:u w:val="single"/>
          <w:lang w:eastAsia="zh-CN"/>
        </w:rPr>
        <w:t>2025</w:t>
      </w:r>
      <w:r>
        <w:rPr>
          <w:rFonts w:hint="eastAsia" w:ascii="宋体" w:hAnsi="宋体" w:cs="宋体"/>
          <w:color w:val="auto"/>
          <w:sz w:val="32"/>
          <w:highlight w:val="none"/>
          <w:u w:val="single"/>
        </w:rPr>
        <w:t>年</w:t>
      </w:r>
      <w:r>
        <w:rPr>
          <w:rFonts w:hint="eastAsia" w:ascii="宋体" w:hAnsi="宋体" w:cs="宋体"/>
          <w:color w:val="auto"/>
          <w:sz w:val="32"/>
          <w:highlight w:val="none"/>
          <w:u w:val="single"/>
          <w:lang w:val="en-US" w:eastAsia="zh-CN"/>
        </w:rPr>
        <w:t>8</w:t>
      </w:r>
      <w:r>
        <w:rPr>
          <w:rFonts w:hint="eastAsia" w:ascii="宋体" w:hAnsi="宋体" w:cs="宋体"/>
          <w:color w:val="auto"/>
          <w:sz w:val="32"/>
          <w:highlight w:val="none"/>
          <w:u w:val="single"/>
        </w:rPr>
        <w:t>月</w:t>
      </w:r>
    </w:p>
    <w:p w14:paraId="14620931">
      <w:pPr>
        <w:pStyle w:val="97"/>
        <w:keepNext w:val="0"/>
        <w:keepLines w:val="0"/>
        <w:widowControl w:val="0"/>
        <w:spacing w:line="360" w:lineRule="auto"/>
        <w:jc w:val="center"/>
        <w:rPr>
          <w:rFonts w:ascii="宋体" w:hAnsi="宋体" w:cs="宋体"/>
          <w:b w:val="0"/>
          <w:color w:val="auto"/>
          <w:highlight w:val="none"/>
          <w:lang w:val="zh-CN"/>
        </w:rPr>
        <w:sectPr>
          <w:pgSz w:w="12240" w:h="15840"/>
          <w:pgMar w:top="1440" w:right="1417" w:bottom="1440" w:left="1417" w:header="720" w:footer="720" w:gutter="0"/>
          <w:pgNumType w:start="0"/>
          <w:cols w:space="720" w:num="1"/>
          <w:docGrid w:linePitch="285" w:charSpace="0"/>
        </w:sectPr>
      </w:pPr>
    </w:p>
    <w:p w14:paraId="7FF0F47C">
      <w:pPr>
        <w:adjustRightInd w:val="0"/>
        <w:snapToGrid w:val="0"/>
        <w:spacing w:line="360" w:lineRule="auto"/>
        <w:jc w:val="center"/>
        <w:rPr>
          <w:rStyle w:val="44"/>
          <w:color w:val="auto"/>
          <w:sz w:val="36"/>
          <w:szCs w:val="36"/>
          <w:highlight w:val="none"/>
        </w:rPr>
      </w:pPr>
    </w:p>
    <w:p w14:paraId="2798BC2B">
      <w:pPr>
        <w:spacing w:beforeLines="50" w:afterLines="50" w:line="360" w:lineRule="auto"/>
        <w:jc w:val="center"/>
        <w:rPr>
          <w:rFonts w:ascii="宋体" w:hAnsi="宋体"/>
          <w:color w:val="auto"/>
          <w:sz w:val="44"/>
          <w:szCs w:val="30"/>
          <w:highlight w:val="none"/>
        </w:rPr>
      </w:pPr>
      <w:r>
        <w:rPr>
          <w:rFonts w:ascii="宋体" w:hAnsi="宋体"/>
          <w:color w:val="auto"/>
          <w:sz w:val="44"/>
          <w:szCs w:val="30"/>
          <w:highlight w:val="none"/>
        </w:rPr>
        <w:t>目录</w:t>
      </w:r>
    </w:p>
    <w:p w14:paraId="3CD239B2">
      <w:pPr>
        <w:pStyle w:val="93"/>
        <w:tabs>
          <w:tab w:val="right" w:leader="dot" w:pos="9356"/>
        </w:tabs>
        <w:spacing w:line="600" w:lineRule="exact"/>
        <w:rPr>
          <w:color w:val="auto"/>
          <w:sz w:val="28"/>
          <w:szCs w:val="28"/>
          <w:highlight w:val="none"/>
        </w:rPr>
      </w:pPr>
      <w:bookmarkStart w:id="0" w:name="_Toc15277_WPSOffice_Type1"/>
      <w:r>
        <w:rPr>
          <w:color w:val="auto"/>
          <w:sz w:val="28"/>
          <w:szCs w:val="28"/>
          <w:highlight w:val="none"/>
        </w:rPr>
        <w:fldChar w:fldCharType="begin"/>
      </w:r>
      <w:r>
        <w:rPr>
          <w:color w:val="auto"/>
          <w:sz w:val="28"/>
          <w:szCs w:val="28"/>
          <w:highlight w:val="none"/>
        </w:rPr>
        <w:instrText xml:space="preserve"> HYPERLINK \l _Toc28499_WPSOffice_Level1 </w:instrText>
      </w:r>
      <w:r>
        <w:rPr>
          <w:color w:val="auto"/>
          <w:sz w:val="28"/>
          <w:szCs w:val="28"/>
          <w:highlight w:val="none"/>
        </w:rPr>
        <w:fldChar w:fldCharType="separate"/>
      </w:r>
      <w:r>
        <w:rPr>
          <w:rFonts w:hint="eastAsia"/>
          <w:color w:val="auto"/>
          <w:sz w:val="28"/>
          <w:szCs w:val="28"/>
          <w:highlight w:val="none"/>
        </w:rPr>
        <w:t>第一章 招标公告</w:t>
      </w:r>
      <w:r>
        <w:rPr>
          <w:color w:val="auto"/>
          <w:sz w:val="28"/>
          <w:szCs w:val="28"/>
          <w:highlight w:val="none"/>
        </w:rPr>
        <w:tab/>
      </w:r>
      <w:bookmarkStart w:id="1" w:name="_Toc28499_WPSOffice_Level1Page"/>
      <w:r>
        <w:rPr>
          <w:color w:val="auto"/>
          <w:sz w:val="28"/>
          <w:szCs w:val="28"/>
          <w:highlight w:val="none"/>
        </w:rPr>
        <w:t>1</w:t>
      </w:r>
      <w:bookmarkEnd w:id="1"/>
      <w:r>
        <w:rPr>
          <w:color w:val="auto"/>
          <w:sz w:val="28"/>
          <w:szCs w:val="28"/>
          <w:highlight w:val="none"/>
        </w:rPr>
        <w:fldChar w:fldCharType="end"/>
      </w:r>
    </w:p>
    <w:p w14:paraId="0A75DF78">
      <w:pPr>
        <w:pStyle w:val="93"/>
        <w:tabs>
          <w:tab w:val="right" w:leader="dot" w:pos="9356"/>
        </w:tabs>
        <w:spacing w:line="600" w:lineRule="exact"/>
        <w:rPr>
          <w:color w:val="auto"/>
          <w:sz w:val="28"/>
          <w:szCs w:val="28"/>
          <w:highlight w:val="none"/>
        </w:rPr>
      </w:pPr>
      <w:r>
        <w:rPr>
          <w:color w:val="auto"/>
          <w:highlight w:val="none"/>
        </w:rPr>
        <w:fldChar w:fldCharType="begin"/>
      </w:r>
      <w:r>
        <w:rPr>
          <w:color w:val="auto"/>
          <w:highlight w:val="none"/>
        </w:rPr>
        <w:instrText xml:space="preserve"> HYPERLINK \l "_Toc20275_WPSOffice_Level1" </w:instrText>
      </w:r>
      <w:r>
        <w:rPr>
          <w:color w:val="auto"/>
          <w:highlight w:val="none"/>
        </w:rPr>
        <w:fldChar w:fldCharType="separate"/>
      </w:r>
      <w:r>
        <w:rPr>
          <w:rFonts w:hint="eastAsia"/>
          <w:color w:val="auto"/>
          <w:sz w:val="28"/>
          <w:szCs w:val="28"/>
          <w:highlight w:val="none"/>
        </w:rPr>
        <w:t>第二章 投标人须知</w:t>
      </w:r>
      <w:r>
        <w:rPr>
          <w:color w:val="auto"/>
          <w:sz w:val="28"/>
          <w:szCs w:val="28"/>
          <w:highlight w:val="none"/>
        </w:rPr>
        <w:tab/>
      </w:r>
      <w:r>
        <w:rPr>
          <w:rFonts w:hint="eastAsia"/>
          <w:color w:val="auto"/>
          <w:sz w:val="28"/>
          <w:szCs w:val="28"/>
          <w:highlight w:val="none"/>
        </w:rPr>
        <w:t>2</w:t>
      </w:r>
      <w:r>
        <w:rPr>
          <w:rFonts w:hint="eastAsia"/>
          <w:color w:val="auto"/>
          <w:sz w:val="28"/>
          <w:szCs w:val="28"/>
          <w:highlight w:val="none"/>
        </w:rPr>
        <w:fldChar w:fldCharType="end"/>
      </w:r>
    </w:p>
    <w:p w14:paraId="34BBEF29">
      <w:pPr>
        <w:pStyle w:val="93"/>
        <w:tabs>
          <w:tab w:val="right" w:leader="dot" w:pos="9356"/>
        </w:tabs>
        <w:spacing w:line="600" w:lineRule="exact"/>
        <w:rPr>
          <w:color w:val="auto"/>
          <w:sz w:val="28"/>
          <w:szCs w:val="28"/>
          <w:highlight w:val="none"/>
        </w:rPr>
      </w:pPr>
      <w:r>
        <w:rPr>
          <w:color w:val="auto"/>
          <w:highlight w:val="none"/>
        </w:rPr>
        <w:fldChar w:fldCharType="begin"/>
      </w:r>
      <w:r>
        <w:rPr>
          <w:color w:val="auto"/>
          <w:highlight w:val="none"/>
        </w:rPr>
        <w:instrText xml:space="preserve"> HYPERLINK \l "_Toc31208_WPSOffice_Level1" </w:instrText>
      </w:r>
      <w:r>
        <w:rPr>
          <w:color w:val="auto"/>
          <w:highlight w:val="none"/>
        </w:rPr>
        <w:fldChar w:fldCharType="separate"/>
      </w:r>
      <w:r>
        <w:rPr>
          <w:rFonts w:hint="eastAsia" w:ascii="宋体" w:hAnsi="宋体" w:cs="宋体"/>
          <w:color w:val="auto"/>
          <w:sz w:val="28"/>
          <w:szCs w:val="28"/>
          <w:highlight w:val="none"/>
        </w:rPr>
        <w:t>第三章 评标办法 (综合评估法)</w:t>
      </w:r>
      <w:r>
        <w:rPr>
          <w:color w:val="auto"/>
          <w:sz w:val="28"/>
          <w:szCs w:val="28"/>
          <w:highlight w:val="none"/>
        </w:rPr>
        <w:tab/>
      </w:r>
      <w:r>
        <w:rPr>
          <w:rFonts w:hint="eastAsia"/>
          <w:color w:val="auto"/>
          <w:sz w:val="28"/>
          <w:szCs w:val="28"/>
          <w:highlight w:val="none"/>
        </w:rPr>
        <w:t>2</w:t>
      </w:r>
      <w:r>
        <w:rPr>
          <w:rFonts w:hint="eastAsia"/>
          <w:color w:val="auto"/>
          <w:sz w:val="28"/>
          <w:szCs w:val="28"/>
          <w:highlight w:val="none"/>
        </w:rPr>
        <w:fldChar w:fldCharType="end"/>
      </w:r>
      <w:r>
        <w:rPr>
          <w:rFonts w:hint="eastAsia"/>
          <w:color w:val="auto"/>
          <w:sz w:val="28"/>
          <w:szCs w:val="28"/>
          <w:highlight w:val="none"/>
        </w:rPr>
        <w:t>5</w:t>
      </w:r>
    </w:p>
    <w:p w14:paraId="4A543435">
      <w:pPr>
        <w:pStyle w:val="93"/>
        <w:tabs>
          <w:tab w:val="right" w:leader="dot" w:pos="9356"/>
        </w:tabs>
        <w:spacing w:line="600" w:lineRule="exact"/>
        <w:rPr>
          <w:color w:val="auto"/>
          <w:sz w:val="28"/>
          <w:szCs w:val="28"/>
          <w:highlight w:val="none"/>
        </w:rPr>
      </w:pPr>
      <w:r>
        <w:rPr>
          <w:color w:val="auto"/>
          <w:highlight w:val="none"/>
        </w:rPr>
        <w:fldChar w:fldCharType="begin"/>
      </w:r>
      <w:r>
        <w:rPr>
          <w:color w:val="auto"/>
          <w:highlight w:val="none"/>
        </w:rPr>
        <w:instrText xml:space="preserve"> HYPERLINK \l "_Toc1276_WPSOffice_Level1" </w:instrText>
      </w:r>
      <w:r>
        <w:rPr>
          <w:color w:val="auto"/>
          <w:highlight w:val="none"/>
        </w:rPr>
        <w:fldChar w:fldCharType="separate"/>
      </w:r>
      <w:r>
        <w:rPr>
          <w:rFonts w:hint="eastAsia" w:ascii="宋体" w:hAnsi="宋体" w:cs="宋体"/>
          <w:color w:val="auto"/>
          <w:sz w:val="28"/>
          <w:szCs w:val="28"/>
          <w:highlight w:val="none"/>
        </w:rPr>
        <w:t>第四章 合同条款及格式</w:t>
      </w:r>
      <w:r>
        <w:rPr>
          <w:color w:val="auto"/>
          <w:sz w:val="28"/>
          <w:szCs w:val="28"/>
          <w:highlight w:val="none"/>
        </w:rPr>
        <w:tab/>
      </w:r>
      <w:r>
        <w:rPr>
          <w:color w:val="auto"/>
          <w:sz w:val="28"/>
          <w:szCs w:val="28"/>
          <w:highlight w:val="none"/>
        </w:rPr>
        <w:fldChar w:fldCharType="end"/>
      </w:r>
      <w:r>
        <w:rPr>
          <w:rFonts w:hint="eastAsia"/>
          <w:color w:val="auto"/>
          <w:sz w:val="28"/>
          <w:szCs w:val="28"/>
          <w:highlight w:val="none"/>
        </w:rPr>
        <w:t>33</w:t>
      </w:r>
    </w:p>
    <w:p w14:paraId="15CD6D6C">
      <w:pPr>
        <w:pStyle w:val="93"/>
        <w:tabs>
          <w:tab w:val="right" w:leader="dot" w:pos="9356"/>
        </w:tabs>
        <w:spacing w:line="600" w:lineRule="exact"/>
        <w:rPr>
          <w:color w:val="auto"/>
          <w:sz w:val="28"/>
          <w:szCs w:val="28"/>
          <w:highlight w:val="none"/>
        </w:rPr>
      </w:pPr>
      <w:r>
        <w:rPr>
          <w:color w:val="auto"/>
          <w:highlight w:val="none"/>
        </w:rPr>
        <w:fldChar w:fldCharType="begin"/>
      </w:r>
      <w:r>
        <w:rPr>
          <w:color w:val="auto"/>
          <w:highlight w:val="none"/>
        </w:rPr>
        <w:instrText xml:space="preserve"> HYPERLINK \l "_Toc17307_WPSOffice_Level1" </w:instrText>
      </w:r>
      <w:r>
        <w:rPr>
          <w:color w:val="auto"/>
          <w:highlight w:val="none"/>
        </w:rPr>
        <w:fldChar w:fldCharType="separate"/>
      </w:r>
      <w:r>
        <w:rPr>
          <w:rFonts w:hint="eastAsia" w:ascii="宋体" w:hAnsi="宋体" w:cs="宋体"/>
          <w:color w:val="auto"/>
          <w:sz w:val="28"/>
          <w:szCs w:val="28"/>
          <w:highlight w:val="none"/>
        </w:rPr>
        <w:t>第五章 委托人要求</w:t>
      </w:r>
      <w:r>
        <w:rPr>
          <w:color w:val="auto"/>
          <w:sz w:val="28"/>
          <w:szCs w:val="28"/>
          <w:highlight w:val="none"/>
        </w:rPr>
        <w:tab/>
      </w:r>
      <w:r>
        <w:rPr>
          <w:rFonts w:hint="eastAsia"/>
          <w:color w:val="auto"/>
          <w:sz w:val="28"/>
          <w:szCs w:val="28"/>
          <w:highlight w:val="none"/>
        </w:rPr>
        <w:t>3</w:t>
      </w:r>
      <w:r>
        <w:rPr>
          <w:rFonts w:hint="eastAsia"/>
          <w:color w:val="auto"/>
          <w:sz w:val="28"/>
          <w:szCs w:val="28"/>
          <w:highlight w:val="none"/>
        </w:rPr>
        <w:fldChar w:fldCharType="end"/>
      </w:r>
      <w:r>
        <w:rPr>
          <w:rFonts w:hint="eastAsia"/>
          <w:color w:val="auto"/>
          <w:sz w:val="28"/>
          <w:szCs w:val="28"/>
          <w:highlight w:val="none"/>
        </w:rPr>
        <w:t>4</w:t>
      </w:r>
    </w:p>
    <w:p w14:paraId="528FB961">
      <w:pPr>
        <w:pStyle w:val="93"/>
        <w:tabs>
          <w:tab w:val="right" w:leader="dot" w:pos="9356"/>
        </w:tabs>
        <w:spacing w:line="600" w:lineRule="exact"/>
        <w:rPr>
          <w:rFonts w:hint="eastAsia" w:eastAsia="宋体"/>
          <w:color w:val="auto"/>
          <w:sz w:val="28"/>
          <w:szCs w:val="28"/>
          <w:highlight w:val="none"/>
          <w:lang w:eastAsia="zh-CN"/>
        </w:rPr>
        <w:sectPr>
          <w:footerReference r:id="rId3" w:type="default"/>
          <w:footerReference r:id="rId4" w:type="even"/>
          <w:pgSz w:w="11907" w:h="16840"/>
          <w:pgMar w:top="1134" w:right="1134" w:bottom="1134" w:left="1417" w:header="851" w:footer="850" w:gutter="0"/>
          <w:pgNumType w:start="1"/>
          <w:cols w:space="720" w:num="1"/>
          <w:docGrid w:linePitch="326" w:charSpace="0"/>
        </w:sectPr>
      </w:pPr>
      <w:r>
        <w:rPr>
          <w:color w:val="auto"/>
          <w:highlight w:val="none"/>
        </w:rPr>
        <w:fldChar w:fldCharType="begin"/>
      </w:r>
      <w:r>
        <w:rPr>
          <w:color w:val="auto"/>
          <w:highlight w:val="none"/>
        </w:rPr>
        <w:instrText xml:space="preserve"> HYPERLINK \l "_Toc9180_WPSOffice_Level1" </w:instrText>
      </w:r>
      <w:r>
        <w:rPr>
          <w:color w:val="auto"/>
          <w:highlight w:val="none"/>
        </w:rPr>
        <w:fldChar w:fldCharType="separate"/>
      </w:r>
      <w:r>
        <w:rPr>
          <w:rFonts w:hint="eastAsia" w:ascii="宋体" w:hAnsi="宋体" w:cs="宋体"/>
          <w:color w:val="auto"/>
          <w:sz w:val="28"/>
          <w:szCs w:val="28"/>
          <w:highlight w:val="none"/>
        </w:rPr>
        <w:t>第六章 投标文件格式</w:t>
      </w:r>
      <w:r>
        <w:rPr>
          <w:color w:val="auto"/>
          <w:sz w:val="28"/>
          <w:szCs w:val="28"/>
          <w:highlight w:val="none"/>
        </w:rPr>
        <w:tab/>
      </w:r>
      <w:r>
        <w:rPr>
          <w:rFonts w:hint="eastAsia"/>
          <w:color w:val="auto"/>
          <w:sz w:val="28"/>
          <w:szCs w:val="28"/>
          <w:highlight w:val="none"/>
        </w:rPr>
        <w:t>3</w:t>
      </w:r>
      <w:r>
        <w:rPr>
          <w:rFonts w:hint="eastAsia"/>
          <w:color w:val="auto"/>
          <w:sz w:val="28"/>
          <w:szCs w:val="28"/>
          <w:highlight w:val="none"/>
        </w:rPr>
        <w:fldChar w:fldCharType="end"/>
      </w:r>
      <w:bookmarkEnd w:id="0"/>
      <w:r>
        <w:rPr>
          <w:rFonts w:hint="eastAsia"/>
          <w:color w:val="auto"/>
          <w:sz w:val="28"/>
          <w:szCs w:val="28"/>
          <w:highlight w:val="none"/>
          <w:lang w:val="en-US" w:eastAsia="zh-CN"/>
        </w:rPr>
        <w:t>7</w:t>
      </w:r>
    </w:p>
    <w:p w14:paraId="2F769C99">
      <w:pPr>
        <w:pStyle w:val="93"/>
        <w:tabs>
          <w:tab w:val="right" w:leader="dot" w:pos="9356"/>
        </w:tabs>
        <w:rPr>
          <w:color w:val="auto"/>
          <w:highlight w:val="none"/>
        </w:rPr>
      </w:pPr>
    </w:p>
    <w:p w14:paraId="05AF418A">
      <w:pPr>
        <w:adjustRightInd w:val="0"/>
        <w:snapToGrid w:val="0"/>
        <w:spacing w:line="360" w:lineRule="auto"/>
        <w:jc w:val="center"/>
        <w:outlineLvl w:val="1"/>
        <w:rPr>
          <w:b/>
          <w:color w:val="auto"/>
          <w:sz w:val="36"/>
          <w:szCs w:val="36"/>
          <w:highlight w:val="none"/>
        </w:rPr>
      </w:pPr>
      <w:bookmarkStart w:id="2" w:name="_Toc28499_WPSOffice_Level1"/>
      <w:r>
        <w:rPr>
          <w:rStyle w:val="44"/>
          <w:rFonts w:hint="eastAsia"/>
          <w:color w:val="auto"/>
          <w:sz w:val="36"/>
          <w:szCs w:val="36"/>
          <w:highlight w:val="none"/>
        </w:rPr>
        <w:t>第一章 招标公告</w:t>
      </w:r>
      <w:bookmarkEnd w:id="2"/>
    </w:p>
    <w:p w14:paraId="57236C9C">
      <w:pPr>
        <w:snapToGrid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（略，另册）</w:t>
      </w:r>
      <w:r>
        <w:rPr>
          <w:rFonts w:hint="eastAsia" w:ascii="宋体" w:hAnsi="宋体" w:cs="宋体"/>
          <w:color w:val="auto"/>
          <w:kern w:val="0"/>
          <w:sz w:val="24"/>
          <w:highlight w:val="none"/>
        </w:rPr>
        <w:br w:type="page"/>
      </w:r>
    </w:p>
    <w:p w14:paraId="013494CE">
      <w:pPr>
        <w:jc w:val="center"/>
        <w:outlineLvl w:val="1"/>
        <w:rPr>
          <w:rStyle w:val="44"/>
          <w:color w:val="auto"/>
          <w:sz w:val="36"/>
          <w:szCs w:val="36"/>
          <w:highlight w:val="none"/>
        </w:rPr>
      </w:pPr>
      <w:bookmarkStart w:id="3" w:name="_Toc4659643"/>
      <w:bookmarkStart w:id="4" w:name="_Toc20275_WPSOffice_Level1"/>
      <w:bookmarkStart w:id="5" w:name="_Toc511140161"/>
      <w:r>
        <w:rPr>
          <w:rStyle w:val="44"/>
          <w:rFonts w:hint="eastAsia"/>
          <w:color w:val="auto"/>
          <w:sz w:val="36"/>
          <w:szCs w:val="36"/>
          <w:highlight w:val="none"/>
        </w:rPr>
        <w:t>第二章 投标人须知</w:t>
      </w:r>
      <w:bookmarkEnd w:id="3"/>
      <w:bookmarkEnd w:id="4"/>
      <w:bookmarkEnd w:id="5"/>
    </w:p>
    <w:p w14:paraId="4931AD02">
      <w:pPr>
        <w:pStyle w:val="4"/>
        <w:spacing w:before="120" w:afterLines="50" w:line="240" w:lineRule="auto"/>
        <w:jc w:val="center"/>
        <w:rPr>
          <w:rFonts w:ascii="Times New Roman" w:hAnsi="Times New Roman"/>
          <w:color w:val="auto"/>
          <w:highlight w:val="none"/>
        </w:rPr>
      </w:pPr>
      <w:bookmarkStart w:id="6" w:name="_Hlk123218644"/>
      <w:r>
        <w:rPr>
          <w:rFonts w:hint="eastAsia" w:ascii="Times New Roman" w:hAnsi="Times New Roman"/>
          <w:color w:val="auto"/>
          <w:highlight w:val="none"/>
        </w:rPr>
        <w:t>投标人须知前附表</w:t>
      </w:r>
    </w:p>
    <w:bookmarkEnd w:id="6"/>
    <w:tbl>
      <w:tblPr>
        <w:tblStyle w:val="30"/>
        <w:tblW w:w="0" w:type="auto"/>
        <w:tblInd w:w="-388" w:type="dxa"/>
        <w:tblLayout w:type="fixed"/>
        <w:tblCellMar>
          <w:top w:w="0" w:type="dxa"/>
          <w:left w:w="108" w:type="dxa"/>
          <w:bottom w:w="0" w:type="dxa"/>
          <w:right w:w="108" w:type="dxa"/>
        </w:tblCellMar>
      </w:tblPr>
      <w:tblGrid>
        <w:gridCol w:w="1012"/>
        <w:gridCol w:w="2050"/>
        <w:gridCol w:w="6917"/>
      </w:tblGrid>
      <w:tr w14:paraId="46C44F93">
        <w:tblPrEx>
          <w:tblCellMar>
            <w:top w:w="0" w:type="dxa"/>
            <w:left w:w="108" w:type="dxa"/>
            <w:bottom w:w="0" w:type="dxa"/>
            <w:right w:w="108" w:type="dxa"/>
          </w:tblCellMar>
        </w:tblPrEx>
        <w:trPr>
          <w:trHeight w:val="547" w:hRule="atLeast"/>
          <w:tblHeader/>
        </w:trPr>
        <w:tc>
          <w:tcPr>
            <w:tcW w:w="1012" w:type="dxa"/>
            <w:tcBorders>
              <w:top w:val="single" w:color="auto" w:sz="4" w:space="0"/>
              <w:left w:val="single" w:color="auto" w:sz="4" w:space="0"/>
              <w:bottom w:val="single" w:color="auto" w:sz="4" w:space="0"/>
              <w:right w:val="single" w:color="auto" w:sz="4" w:space="0"/>
            </w:tcBorders>
            <w:noWrap/>
            <w:vAlign w:val="center"/>
          </w:tcPr>
          <w:p w14:paraId="0B01CE13">
            <w:pPr>
              <w:jc w:val="center"/>
              <w:rPr>
                <w:rFonts w:ascii="宋体" w:hAnsi="宋体" w:cs="宋体"/>
                <w:b/>
                <w:color w:val="auto"/>
                <w:szCs w:val="21"/>
                <w:highlight w:val="none"/>
              </w:rPr>
            </w:pPr>
            <w:bookmarkStart w:id="7" w:name="_Hlk123219309"/>
            <w:r>
              <w:rPr>
                <w:rFonts w:hint="eastAsia" w:ascii="宋体" w:hAnsi="宋体" w:cs="宋体"/>
                <w:b/>
                <w:color w:val="auto"/>
                <w:szCs w:val="21"/>
                <w:highlight w:val="none"/>
              </w:rPr>
              <w:t>条款号</w:t>
            </w:r>
          </w:p>
        </w:tc>
        <w:tc>
          <w:tcPr>
            <w:tcW w:w="2050" w:type="dxa"/>
            <w:tcBorders>
              <w:top w:val="single" w:color="auto" w:sz="4" w:space="0"/>
              <w:left w:val="single" w:color="auto" w:sz="4" w:space="0"/>
              <w:bottom w:val="single" w:color="auto" w:sz="4" w:space="0"/>
              <w:right w:val="single" w:color="auto" w:sz="4" w:space="0"/>
            </w:tcBorders>
            <w:noWrap/>
            <w:vAlign w:val="center"/>
          </w:tcPr>
          <w:p w14:paraId="3F6A61A9">
            <w:pPr>
              <w:jc w:val="center"/>
              <w:rPr>
                <w:rFonts w:ascii="宋体" w:hAnsi="宋体" w:cs="宋体"/>
                <w:b/>
                <w:color w:val="auto"/>
                <w:szCs w:val="21"/>
                <w:highlight w:val="none"/>
              </w:rPr>
            </w:pPr>
            <w:r>
              <w:rPr>
                <w:rFonts w:hint="eastAsia" w:ascii="宋体" w:hAnsi="宋体" w:cs="宋体"/>
                <w:b/>
                <w:color w:val="auto"/>
                <w:szCs w:val="21"/>
                <w:highlight w:val="none"/>
              </w:rPr>
              <w:t>条款名称</w:t>
            </w:r>
          </w:p>
        </w:tc>
        <w:tc>
          <w:tcPr>
            <w:tcW w:w="6917" w:type="dxa"/>
            <w:tcBorders>
              <w:top w:val="single" w:color="auto" w:sz="4" w:space="0"/>
              <w:left w:val="single" w:color="auto" w:sz="4" w:space="0"/>
              <w:bottom w:val="single" w:color="auto" w:sz="4" w:space="0"/>
              <w:right w:val="single" w:color="auto" w:sz="4" w:space="0"/>
            </w:tcBorders>
            <w:noWrap/>
            <w:vAlign w:val="center"/>
          </w:tcPr>
          <w:p w14:paraId="69C000DA">
            <w:pPr>
              <w:jc w:val="center"/>
              <w:rPr>
                <w:rFonts w:ascii="宋体" w:hAnsi="宋体" w:cs="宋体"/>
                <w:b/>
                <w:color w:val="auto"/>
                <w:szCs w:val="21"/>
                <w:highlight w:val="none"/>
              </w:rPr>
            </w:pPr>
            <w:r>
              <w:rPr>
                <w:rFonts w:hint="eastAsia" w:ascii="宋体" w:hAnsi="宋体" w:cs="宋体"/>
                <w:b/>
                <w:color w:val="auto"/>
                <w:szCs w:val="21"/>
                <w:highlight w:val="none"/>
              </w:rPr>
              <w:t>编列内容</w:t>
            </w:r>
          </w:p>
        </w:tc>
      </w:tr>
      <w:tr w14:paraId="535FC3B8">
        <w:tblPrEx>
          <w:tblCellMar>
            <w:top w:w="0" w:type="dxa"/>
            <w:left w:w="108" w:type="dxa"/>
            <w:bottom w:w="0" w:type="dxa"/>
            <w:right w:w="108" w:type="dxa"/>
          </w:tblCellMar>
        </w:tblPrEx>
        <w:trPr>
          <w:trHeight w:val="1273"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1DBF4463">
            <w:pPr>
              <w:jc w:val="center"/>
              <w:rPr>
                <w:rFonts w:ascii="宋体" w:hAnsi="宋体" w:cs="宋体"/>
                <w:color w:val="auto"/>
                <w:szCs w:val="21"/>
                <w:highlight w:val="none"/>
              </w:rPr>
            </w:pPr>
            <w:r>
              <w:rPr>
                <w:rFonts w:ascii="宋体" w:hAnsi="宋体" w:cs="宋体"/>
                <w:color w:val="auto"/>
                <w:szCs w:val="21"/>
                <w:highlight w:val="none"/>
              </w:rPr>
              <w:t>1.1.2</w:t>
            </w:r>
          </w:p>
        </w:tc>
        <w:tc>
          <w:tcPr>
            <w:tcW w:w="2050" w:type="dxa"/>
            <w:tcBorders>
              <w:top w:val="single" w:color="auto" w:sz="4" w:space="0"/>
              <w:left w:val="single" w:color="auto" w:sz="4" w:space="0"/>
              <w:bottom w:val="single" w:color="auto" w:sz="4" w:space="0"/>
              <w:right w:val="single" w:color="auto" w:sz="4" w:space="0"/>
            </w:tcBorders>
            <w:noWrap/>
            <w:vAlign w:val="center"/>
          </w:tcPr>
          <w:p w14:paraId="4008006C">
            <w:pPr>
              <w:jc w:val="center"/>
              <w:rPr>
                <w:rFonts w:ascii="宋体" w:hAnsi="宋体" w:cs="宋体"/>
                <w:color w:val="auto"/>
                <w:szCs w:val="21"/>
                <w:highlight w:val="none"/>
              </w:rPr>
            </w:pPr>
            <w:r>
              <w:rPr>
                <w:rFonts w:hint="eastAsia" w:ascii="宋体" w:hAnsi="宋体" w:cs="宋体"/>
                <w:color w:val="auto"/>
                <w:szCs w:val="21"/>
                <w:highlight w:val="none"/>
              </w:rPr>
              <w:t>招标人</w:t>
            </w:r>
          </w:p>
        </w:tc>
        <w:tc>
          <w:tcPr>
            <w:tcW w:w="6917" w:type="dxa"/>
            <w:tcBorders>
              <w:top w:val="single" w:color="auto" w:sz="4" w:space="0"/>
              <w:left w:val="single" w:color="auto" w:sz="4" w:space="0"/>
              <w:bottom w:val="single" w:color="auto" w:sz="4" w:space="0"/>
              <w:right w:val="single" w:color="auto" w:sz="4" w:space="0"/>
            </w:tcBorders>
            <w:noWrap/>
            <w:vAlign w:val="center"/>
          </w:tcPr>
          <w:p w14:paraId="00DC94D7">
            <w:pPr>
              <w:ind w:left="0" w:leftChars="0" w:right="0" w:rightChars="0"/>
              <w:rPr>
                <w:rFonts w:ascii="宋体" w:hAnsi="宋体"/>
                <w:color w:val="auto"/>
                <w:szCs w:val="21"/>
                <w:highlight w:val="none"/>
              </w:rPr>
            </w:pPr>
            <w:r>
              <w:rPr>
                <w:rFonts w:hint="eastAsia" w:ascii="宋体" w:hAnsi="宋体"/>
                <w:color w:val="auto"/>
                <w:szCs w:val="21"/>
                <w:highlight w:val="none"/>
              </w:rPr>
              <w:t>名称：</w:t>
            </w:r>
            <w:r>
              <w:rPr>
                <w:rFonts w:hint="eastAsia" w:ascii="宋体" w:hAnsi="宋体"/>
                <w:color w:val="auto"/>
                <w:szCs w:val="21"/>
                <w:highlight w:val="none"/>
                <w:lang w:eastAsia="zh-CN"/>
              </w:rPr>
              <w:t>广州珠江啤酒股份有限公司</w:t>
            </w:r>
          </w:p>
          <w:p w14:paraId="67E54D04">
            <w:pPr>
              <w:ind w:left="0" w:leftChars="0" w:right="0" w:rightChars="0"/>
              <w:rPr>
                <w:rFonts w:ascii="宋体" w:hAnsi="宋体"/>
                <w:color w:val="auto"/>
                <w:szCs w:val="21"/>
                <w:highlight w:val="none"/>
              </w:rPr>
            </w:pPr>
            <w:r>
              <w:rPr>
                <w:rFonts w:hint="eastAsia" w:ascii="宋体" w:hAnsi="宋体"/>
                <w:color w:val="auto"/>
                <w:szCs w:val="21"/>
                <w:highlight w:val="none"/>
              </w:rPr>
              <w:t>地址：广州市海珠区磨碟沙大街118号</w:t>
            </w:r>
          </w:p>
          <w:p w14:paraId="2CC56DA8">
            <w:pPr>
              <w:ind w:left="0" w:leftChars="0" w:right="0" w:rightChars="0"/>
              <w:rPr>
                <w:rFonts w:ascii="宋体" w:hAnsi="宋体"/>
                <w:color w:val="auto"/>
                <w:szCs w:val="21"/>
                <w:highlight w:val="none"/>
              </w:rPr>
            </w:pPr>
            <w:r>
              <w:rPr>
                <w:rFonts w:hint="eastAsia" w:ascii="宋体" w:hAnsi="宋体"/>
                <w:color w:val="auto"/>
                <w:szCs w:val="21"/>
                <w:highlight w:val="none"/>
              </w:rPr>
              <w:t>联系</w:t>
            </w:r>
            <w:r>
              <w:rPr>
                <w:rFonts w:hint="eastAsia" w:ascii="宋体" w:hAnsi="宋体"/>
                <w:color w:val="auto"/>
                <w:spacing w:val="-2"/>
                <w:szCs w:val="21"/>
                <w:highlight w:val="none"/>
              </w:rPr>
              <w:t>人</w:t>
            </w:r>
            <w:r>
              <w:rPr>
                <w:rFonts w:hint="eastAsia" w:ascii="宋体" w:hAnsi="宋体"/>
                <w:color w:val="auto"/>
                <w:szCs w:val="21"/>
                <w:highlight w:val="none"/>
              </w:rPr>
              <w:t>：</w:t>
            </w:r>
            <w:r>
              <w:rPr>
                <w:rFonts w:hint="eastAsia" w:ascii="宋体" w:hAnsi="宋体"/>
                <w:color w:val="auto"/>
                <w:szCs w:val="21"/>
                <w:highlight w:val="none"/>
                <w:lang w:val="en-US" w:eastAsia="zh-CN"/>
              </w:rPr>
              <w:t>李工</w:t>
            </w:r>
          </w:p>
          <w:p w14:paraId="72D125EE">
            <w:pPr>
              <w:topLinePunct/>
              <w:spacing w:line="240" w:lineRule="auto"/>
              <w:jc w:val="left"/>
              <w:rPr>
                <w:rFonts w:ascii="宋体" w:hAnsi="宋体" w:cs="宋体"/>
                <w:color w:val="auto"/>
                <w:szCs w:val="21"/>
                <w:highlight w:val="none"/>
              </w:rPr>
            </w:pPr>
            <w:r>
              <w:rPr>
                <w:rFonts w:hint="eastAsia" w:ascii="宋体" w:hAnsi="宋体"/>
                <w:color w:val="auto"/>
                <w:szCs w:val="21"/>
                <w:highlight w:val="none"/>
              </w:rPr>
              <w:t>电话：</w:t>
            </w:r>
            <w:r>
              <w:rPr>
                <w:rFonts w:hint="eastAsia" w:ascii="宋体" w:hAnsi="宋体" w:cs="宋体"/>
                <w:color w:val="auto"/>
                <w:kern w:val="0"/>
                <w:szCs w:val="21"/>
                <w:highlight w:val="none"/>
                <w:lang w:val="zh-CN" w:bidi="zh-CN"/>
              </w:rPr>
              <w:t>020</w:t>
            </w:r>
            <w:r>
              <w:rPr>
                <w:rFonts w:hint="eastAsia" w:ascii="宋体" w:hAnsi="宋体" w:cs="宋体"/>
                <w:color w:val="auto"/>
                <w:kern w:val="0"/>
                <w:szCs w:val="21"/>
                <w:highlight w:val="none"/>
                <w:u w:val="none"/>
                <w:lang w:val="zh-CN" w:bidi="zh-CN"/>
              </w:rPr>
              <w:t>-</w:t>
            </w:r>
            <w:r>
              <w:rPr>
                <w:rFonts w:hint="eastAsia" w:ascii="宋体" w:hAnsi="宋体" w:eastAsia="宋体" w:cs="宋体"/>
                <w:color w:val="auto"/>
                <w:kern w:val="0"/>
                <w:sz w:val="21"/>
                <w:szCs w:val="21"/>
                <w:highlight w:val="none"/>
                <w:u w:val="none"/>
                <w:lang w:val="zh-CN" w:eastAsia="zh-CN" w:bidi="zh-CN"/>
              </w:rPr>
              <w:t>80927645</w:t>
            </w:r>
          </w:p>
        </w:tc>
      </w:tr>
      <w:tr w14:paraId="2A1FF40C">
        <w:tblPrEx>
          <w:tblCellMar>
            <w:top w:w="0" w:type="dxa"/>
            <w:left w:w="108" w:type="dxa"/>
            <w:bottom w:w="0" w:type="dxa"/>
            <w:right w:w="108" w:type="dxa"/>
          </w:tblCellMar>
        </w:tblPrEx>
        <w:trPr>
          <w:trHeight w:val="1484"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15345C5B">
            <w:pPr>
              <w:jc w:val="center"/>
              <w:rPr>
                <w:rFonts w:ascii="宋体" w:hAnsi="宋体" w:cs="宋体"/>
                <w:color w:val="auto"/>
                <w:szCs w:val="21"/>
                <w:highlight w:val="none"/>
              </w:rPr>
            </w:pPr>
            <w:r>
              <w:rPr>
                <w:rFonts w:ascii="宋体" w:hAnsi="宋体" w:cs="宋体"/>
                <w:color w:val="auto"/>
                <w:szCs w:val="21"/>
                <w:highlight w:val="none"/>
              </w:rPr>
              <w:t>1.1.3</w:t>
            </w:r>
          </w:p>
        </w:tc>
        <w:tc>
          <w:tcPr>
            <w:tcW w:w="2050" w:type="dxa"/>
            <w:tcBorders>
              <w:top w:val="single" w:color="auto" w:sz="4" w:space="0"/>
              <w:left w:val="single" w:color="auto" w:sz="4" w:space="0"/>
              <w:bottom w:val="single" w:color="auto" w:sz="4" w:space="0"/>
              <w:right w:val="single" w:color="auto" w:sz="4" w:space="0"/>
            </w:tcBorders>
            <w:noWrap/>
            <w:vAlign w:val="center"/>
          </w:tcPr>
          <w:p w14:paraId="1AB08356">
            <w:pPr>
              <w:jc w:val="center"/>
              <w:rPr>
                <w:rFonts w:ascii="宋体" w:hAnsi="宋体" w:cs="宋体"/>
                <w:color w:val="auto"/>
                <w:szCs w:val="21"/>
                <w:highlight w:val="none"/>
              </w:rPr>
            </w:pPr>
            <w:r>
              <w:rPr>
                <w:rFonts w:hint="eastAsia" w:ascii="宋体" w:hAnsi="宋体" w:cs="宋体"/>
                <w:color w:val="auto"/>
                <w:szCs w:val="21"/>
                <w:highlight w:val="none"/>
              </w:rPr>
              <w:t>招标代理机构</w:t>
            </w:r>
          </w:p>
        </w:tc>
        <w:tc>
          <w:tcPr>
            <w:tcW w:w="6917" w:type="dxa"/>
            <w:tcBorders>
              <w:top w:val="single" w:color="auto" w:sz="4" w:space="0"/>
              <w:left w:val="single" w:color="auto" w:sz="4" w:space="0"/>
              <w:bottom w:val="single" w:color="auto" w:sz="4" w:space="0"/>
              <w:right w:val="single" w:color="auto" w:sz="4" w:space="0"/>
            </w:tcBorders>
            <w:noWrap/>
            <w:vAlign w:val="center"/>
          </w:tcPr>
          <w:p w14:paraId="0B448CED">
            <w:pPr>
              <w:pStyle w:val="90"/>
              <w:autoSpaceDE/>
              <w:autoSpaceDN/>
              <w:ind w:left="0" w:leftChars="0" w:right="0" w:rightChars="0"/>
              <w:jc w:val="both"/>
              <w:rPr>
                <w:rFonts w:hint="eastAsia" w:hAnsi="宋体" w:eastAsia="宋体"/>
                <w:color w:val="auto"/>
                <w:sz w:val="21"/>
                <w:szCs w:val="21"/>
                <w:highlight w:val="none"/>
                <w:lang w:eastAsia="zh-CN"/>
              </w:rPr>
            </w:pPr>
            <w:r>
              <w:rPr>
                <w:rFonts w:hAnsi="宋体"/>
                <w:color w:val="auto"/>
                <w:sz w:val="21"/>
                <w:szCs w:val="21"/>
                <w:highlight w:val="none"/>
              </w:rPr>
              <w:t>名称：</w:t>
            </w:r>
            <w:r>
              <w:rPr>
                <w:rFonts w:hint="eastAsia" w:hAnsi="宋体"/>
                <w:color w:val="auto"/>
                <w:sz w:val="21"/>
                <w:szCs w:val="21"/>
                <w:highlight w:val="none"/>
                <w:lang w:eastAsia="zh-CN"/>
              </w:rPr>
              <w:t>广州市国际工程咨询有限公司</w:t>
            </w:r>
          </w:p>
          <w:p w14:paraId="209987F4">
            <w:pPr>
              <w:pStyle w:val="90"/>
              <w:autoSpaceDE/>
              <w:autoSpaceDN/>
              <w:ind w:left="0" w:leftChars="0" w:right="0" w:rightChars="0"/>
              <w:jc w:val="both"/>
              <w:rPr>
                <w:rFonts w:hAnsi="宋体"/>
                <w:color w:val="auto"/>
                <w:sz w:val="21"/>
                <w:szCs w:val="21"/>
                <w:highlight w:val="none"/>
              </w:rPr>
            </w:pPr>
            <w:r>
              <w:rPr>
                <w:rFonts w:hAnsi="宋体"/>
                <w:color w:val="auto"/>
                <w:sz w:val="21"/>
                <w:szCs w:val="21"/>
                <w:highlight w:val="none"/>
              </w:rPr>
              <w:t>地址：</w:t>
            </w:r>
            <w:r>
              <w:rPr>
                <w:rFonts w:hint="eastAsia" w:hAnsi="宋体"/>
                <w:color w:val="auto"/>
                <w:sz w:val="21"/>
                <w:szCs w:val="21"/>
                <w:highlight w:val="none"/>
              </w:rPr>
              <w:t>广州市寺右新马路111号五羊新城广场</w:t>
            </w:r>
            <w:r>
              <w:rPr>
                <w:rFonts w:hint="eastAsia" w:hAnsi="宋体"/>
                <w:color w:val="auto"/>
                <w:sz w:val="21"/>
                <w:szCs w:val="21"/>
                <w:highlight w:val="none"/>
                <w:lang w:val="en-US" w:eastAsia="zh-CN"/>
              </w:rPr>
              <w:t>8</w:t>
            </w:r>
            <w:r>
              <w:rPr>
                <w:rFonts w:hint="eastAsia" w:hAnsi="宋体"/>
                <w:color w:val="auto"/>
                <w:sz w:val="21"/>
                <w:szCs w:val="21"/>
                <w:highlight w:val="none"/>
              </w:rPr>
              <w:t>楼</w:t>
            </w:r>
            <w:r>
              <w:rPr>
                <w:rFonts w:hint="eastAsia" w:hAnsi="宋体"/>
                <w:color w:val="auto"/>
                <w:sz w:val="21"/>
                <w:szCs w:val="21"/>
                <w:highlight w:val="none"/>
                <w:lang w:val="en-US" w:eastAsia="zh-CN"/>
              </w:rPr>
              <w:t>821</w:t>
            </w:r>
          </w:p>
          <w:p w14:paraId="38AE7BA6">
            <w:pPr>
              <w:pStyle w:val="90"/>
              <w:autoSpaceDE/>
              <w:autoSpaceDN/>
              <w:ind w:left="0" w:leftChars="0" w:right="0" w:rightChars="0"/>
              <w:jc w:val="both"/>
              <w:rPr>
                <w:rFonts w:hAnsi="宋体"/>
                <w:color w:val="auto"/>
                <w:sz w:val="21"/>
                <w:szCs w:val="21"/>
                <w:highlight w:val="none"/>
              </w:rPr>
            </w:pPr>
            <w:r>
              <w:rPr>
                <w:rFonts w:hAnsi="宋体"/>
                <w:color w:val="auto"/>
                <w:sz w:val="21"/>
                <w:szCs w:val="21"/>
                <w:highlight w:val="none"/>
              </w:rPr>
              <w:t>联系人：</w:t>
            </w:r>
            <w:r>
              <w:rPr>
                <w:rFonts w:hint="eastAsia" w:hAnsi="宋体"/>
                <w:color w:val="auto"/>
                <w:sz w:val="21"/>
                <w:szCs w:val="21"/>
                <w:highlight w:val="none"/>
                <w:lang w:val="en-US" w:eastAsia="zh-CN"/>
              </w:rPr>
              <w:t>张</w:t>
            </w:r>
            <w:r>
              <w:rPr>
                <w:rFonts w:hint="eastAsia" w:hAnsi="宋体"/>
                <w:color w:val="auto"/>
                <w:sz w:val="21"/>
                <w:szCs w:val="21"/>
                <w:highlight w:val="none"/>
              </w:rPr>
              <w:t>工</w:t>
            </w:r>
          </w:p>
          <w:p w14:paraId="4DA7AB36">
            <w:pPr>
              <w:rPr>
                <w:rFonts w:ascii="宋体" w:hAnsi="宋体" w:cs="宋体"/>
                <w:color w:val="auto"/>
                <w:szCs w:val="21"/>
                <w:highlight w:val="none"/>
              </w:rPr>
            </w:pPr>
            <w:r>
              <w:rPr>
                <w:rFonts w:ascii="宋体" w:hAnsi="宋体" w:cs="宋体"/>
                <w:color w:val="auto"/>
                <w:kern w:val="0"/>
                <w:szCs w:val="21"/>
                <w:highlight w:val="none"/>
                <w:lang w:val="zh-CN" w:bidi="zh-CN"/>
              </w:rPr>
              <w:t>电话：</w:t>
            </w:r>
            <w:r>
              <w:rPr>
                <w:rFonts w:hint="eastAsia" w:ascii="宋体" w:hAnsi="宋体" w:cs="宋体"/>
                <w:color w:val="auto"/>
                <w:kern w:val="0"/>
                <w:szCs w:val="21"/>
                <w:highlight w:val="none"/>
                <w:lang w:val="zh-CN" w:eastAsia="zh-CN" w:bidi="zh-CN"/>
              </w:rPr>
              <w:t>020-87386919转508</w:t>
            </w:r>
          </w:p>
        </w:tc>
      </w:tr>
      <w:tr w14:paraId="21C813B5">
        <w:tblPrEx>
          <w:tblCellMar>
            <w:top w:w="0" w:type="dxa"/>
            <w:left w:w="108" w:type="dxa"/>
            <w:bottom w:w="0" w:type="dxa"/>
            <w:right w:w="108" w:type="dxa"/>
          </w:tblCellMar>
        </w:tblPrEx>
        <w:trPr>
          <w:trHeight w:val="533"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054F3D68">
            <w:pPr>
              <w:jc w:val="center"/>
              <w:rPr>
                <w:rFonts w:ascii="宋体" w:hAnsi="宋体" w:cs="宋体"/>
                <w:color w:val="auto"/>
                <w:szCs w:val="21"/>
                <w:highlight w:val="none"/>
              </w:rPr>
            </w:pPr>
            <w:r>
              <w:rPr>
                <w:rFonts w:ascii="宋体" w:hAnsi="宋体" w:cs="宋体"/>
                <w:color w:val="auto"/>
                <w:szCs w:val="21"/>
                <w:highlight w:val="none"/>
              </w:rPr>
              <w:t>1.1.4</w:t>
            </w:r>
          </w:p>
        </w:tc>
        <w:tc>
          <w:tcPr>
            <w:tcW w:w="2050" w:type="dxa"/>
            <w:tcBorders>
              <w:top w:val="single" w:color="auto" w:sz="4" w:space="0"/>
              <w:left w:val="single" w:color="auto" w:sz="4" w:space="0"/>
              <w:bottom w:val="single" w:color="auto" w:sz="4" w:space="0"/>
              <w:right w:val="single" w:color="auto" w:sz="4" w:space="0"/>
            </w:tcBorders>
            <w:noWrap/>
            <w:vAlign w:val="center"/>
          </w:tcPr>
          <w:p w14:paraId="2E413E01">
            <w:pPr>
              <w:jc w:val="center"/>
              <w:rPr>
                <w:rFonts w:ascii="宋体" w:hAnsi="宋体" w:cs="宋体"/>
                <w:color w:val="auto"/>
                <w:szCs w:val="21"/>
                <w:highlight w:val="none"/>
              </w:rPr>
            </w:pPr>
            <w:r>
              <w:rPr>
                <w:rFonts w:hint="eastAsia" w:ascii="宋体" w:hAnsi="宋体" w:cs="宋体"/>
                <w:color w:val="auto"/>
                <w:szCs w:val="21"/>
                <w:highlight w:val="none"/>
              </w:rPr>
              <w:t>招标项目名称</w:t>
            </w:r>
          </w:p>
        </w:tc>
        <w:tc>
          <w:tcPr>
            <w:tcW w:w="6917" w:type="dxa"/>
            <w:tcBorders>
              <w:top w:val="single" w:color="auto" w:sz="4" w:space="0"/>
              <w:left w:val="single" w:color="auto" w:sz="4" w:space="0"/>
              <w:bottom w:val="single" w:color="auto" w:sz="4" w:space="0"/>
              <w:right w:val="single" w:color="auto" w:sz="4" w:space="0"/>
            </w:tcBorders>
            <w:noWrap/>
            <w:vAlign w:val="center"/>
          </w:tcPr>
          <w:p w14:paraId="3DB24579">
            <w:pPr>
              <w:rPr>
                <w:rFonts w:ascii="宋体" w:hAnsi="宋体" w:cs="宋体"/>
                <w:color w:val="auto"/>
                <w:szCs w:val="21"/>
                <w:highlight w:val="none"/>
              </w:rPr>
            </w:pPr>
            <w:r>
              <w:rPr>
                <w:rFonts w:hint="eastAsia" w:ascii="宋体" w:hAnsi="宋体" w:cs="宋体"/>
                <w:color w:val="auto"/>
                <w:kern w:val="0"/>
                <w:szCs w:val="21"/>
                <w:highlight w:val="none"/>
                <w:lang w:val="zh-CN" w:bidi="zh-CN"/>
              </w:rPr>
              <w:t>珠江·琶醍啤酒文化创意园区改造升级项目—酒店商业综合体工程监理</w:t>
            </w:r>
          </w:p>
        </w:tc>
      </w:tr>
      <w:tr w14:paraId="015C016E">
        <w:tblPrEx>
          <w:tblCellMar>
            <w:top w:w="0" w:type="dxa"/>
            <w:left w:w="108" w:type="dxa"/>
            <w:bottom w:w="0" w:type="dxa"/>
            <w:right w:w="108" w:type="dxa"/>
          </w:tblCellMar>
        </w:tblPrEx>
        <w:trPr>
          <w:trHeight w:val="457"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50DBC418">
            <w:pPr>
              <w:jc w:val="center"/>
              <w:rPr>
                <w:rFonts w:ascii="宋体" w:hAnsi="宋体" w:cs="宋体"/>
                <w:color w:val="auto"/>
                <w:szCs w:val="21"/>
                <w:highlight w:val="none"/>
              </w:rPr>
            </w:pPr>
            <w:r>
              <w:rPr>
                <w:rFonts w:ascii="宋体" w:hAnsi="宋体" w:cs="宋体"/>
                <w:color w:val="auto"/>
                <w:szCs w:val="21"/>
                <w:highlight w:val="none"/>
              </w:rPr>
              <w:t>1.1.5</w:t>
            </w:r>
          </w:p>
        </w:tc>
        <w:tc>
          <w:tcPr>
            <w:tcW w:w="2050" w:type="dxa"/>
            <w:tcBorders>
              <w:top w:val="single" w:color="auto" w:sz="4" w:space="0"/>
              <w:left w:val="single" w:color="auto" w:sz="4" w:space="0"/>
              <w:bottom w:val="single" w:color="auto" w:sz="4" w:space="0"/>
              <w:right w:val="single" w:color="auto" w:sz="4" w:space="0"/>
            </w:tcBorders>
            <w:noWrap/>
            <w:vAlign w:val="center"/>
          </w:tcPr>
          <w:p w14:paraId="62BC8F63">
            <w:pPr>
              <w:jc w:val="center"/>
              <w:rPr>
                <w:rFonts w:ascii="宋体" w:hAnsi="宋体" w:cs="宋体"/>
                <w:color w:val="auto"/>
                <w:szCs w:val="21"/>
                <w:highlight w:val="none"/>
              </w:rPr>
            </w:pPr>
            <w:r>
              <w:rPr>
                <w:rFonts w:hint="eastAsia" w:ascii="宋体" w:hAnsi="宋体" w:cs="宋体"/>
                <w:color w:val="auto"/>
                <w:szCs w:val="21"/>
                <w:highlight w:val="none"/>
              </w:rPr>
              <w:t>项目建设地点</w:t>
            </w:r>
          </w:p>
        </w:tc>
        <w:tc>
          <w:tcPr>
            <w:tcW w:w="6917" w:type="dxa"/>
            <w:tcBorders>
              <w:top w:val="single" w:color="auto" w:sz="4" w:space="0"/>
              <w:left w:val="single" w:color="auto" w:sz="4" w:space="0"/>
              <w:bottom w:val="single" w:color="auto" w:sz="4" w:space="0"/>
              <w:right w:val="single" w:color="auto" w:sz="4" w:space="0"/>
            </w:tcBorders>
            <w:noWrap/>
            <w:vAlign w:val="center"/>
          </w:tcPr>
          <w:p w14:paraId="3B5EDAC7">
            <w:pPr>
              <w:rPr>
                <w:rFonts w:ascii="宋体" w:hAnsi="宋体" w:cs="宋体"/>
                <w:color w:val="auto"/>
                <w:szCs w:val="21"/>
                <w:highlight w:val="none"/>
              </w:rPr>
            </w:pPr>
            <w:r>
              <w:rPr>
                <w:rFonts w:hint="eastAsia" w:ascii="宋体" w:hAnsi="宋体" w:cs="宋体"/>
                <w:color w:val="auto"/>
                <w:szCs w:val="21"/>
                <w:highlight w:val="none"/>
              </w:rPr>
              <w:t>详见招标公告</w:t>
            </w:r>
          </w:p>
        </w:tc>
      </w:tr>
      <w:tr w14:paraId="681293FF">
        <w:tblPrEx>
          <w:tblCellMar>
            <w:top w:w="0" w:type="dxa"/>
            <w:left w:w="108" w:type="dxa"/>
            <w:bottom w:w="0" w:type="dxa"/>
            <w:right w:w="108" w:type="dxa"/>
          </w:tblCellMar>
        </w:tblPrEx>
        <w:trPr>
          <w:trHeight w:val="577"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1111E214">
            <w:pPr>
              <w:jc w:val="center"/>
              <w:rPr>
                <w:rFonts w:ascii="宋体" w:hAnsi="宋体" w:cs="宋体"/>
                <w:color w:val="auto"/>
                <w:szCs w:val="21"/>
                <w:highlight w:val="none"/>
              </w:rPr>
            </w:pPr>
            <w:r>
              <w:rPr>
                <w:rFonts w:ascii="宋体" w:hAnsi="宋体" w:cs="宋体"/>
                <w:color w:val="auto"/>
                <w:szCs w:val="21"/>
                <w:highlight w:val="none"/>
              </w:rPr>
              <w:t>1.1.6</w:t>
            </w:r>
          </w:p>
        </w:tc>
        <w:tc>
          <w:tcPr>
            <w:tcW w:w="2050" w:type="dxa"/>
            <w:tcBorders>
              <w:top w:val="single" w:color="auto" w:sz="4" w:space="0"/>
              <w:left w:val="single" w:color="auto" w:sz="4" w:space="0"/>
              <w:bottom w:val="single" w:color="auto" w:sz="4" w:space="0"/>
              <w:right w:val="single" w:color="auto" w:sz="4" w:space="0"/>
            </w:tcBorders>
            <w:noWrap/>
            <w:vAlign w:val="center"/>
          </w:tcPr>
          <w:p w14:paraId="37FBF474">
            <w:pPr>
              <w:jc w:val="center"/>
              <w:rPr>
                <w:rFonts w:ascii="宋体" w:hAnsi="宋体" w:cs="宋体"/>
                <w:color w:val="auto"/>
                <w:szCs w:val="21"/>
                <w:highlight w:val="none"/>
              </w:rPr>
            </w:pPr>
            <w:r>
              <w:rPr>
                <w:rFonts w:hint="eastAsia" w:ascii="宋体" w:hAnsi="宋体" w:cs="宋体"/>
                <w:color w:val="auto"/>
                <w:szCs w:val="21"/>
                <w:highlight w:val="none"/>
              </w:rPr>
              <w:t>项目建设规模</w:t>
            </w:r>
          </w:p>
        </w:tc>
        <w:tc>
          <w:tcPr>
            <w:tcW w:w="6917" w:type="dxa"/>
            <w:tcBorders>
              <w:top w:val="single" w:color="auto" w:sz="4" w:space="0"/>
              <w:left w:val="single" w:color="auto" w:sz="4" w:space="0"/>
              <w:bottom w:val="single" w:color="auto" w:sz="4" w:space="0"/>
              <w:right w:val="single" w:color="auto" w:sz="4" w:space="0"/>
            </w:tcBorders>
            <w:noWrap/>
            <w:vAlign w:val="center"/>
          </w:tcPr>
          <w:p w14:paraId="1E74B4E0">
            <w:pPr>
              <w:rPr>
                <w:rFonts w:ascii="宋体" w:hAnsi="宋体" w:cs="宋体"/>
                <w:color w:val="auto"/>
                <w:szCs w:val="21"/>
                <w:highlight w:val="none"/>
              </w:rPr>
            </w:pPr>
            <w:r>
              <w:rPr>
                <w:rFonts w:hint="eastAsia" w:ascii="宋体" w:hAnsi="宋体" w:cs="宋体"/>
                <w:color w:val="auto"/>
                <w:szCs w:val="21"/>
                <w:highlight w:val="none"/>
              </w:rPr>
              <w:t>详见招标公告</w:t>
            </w:r>
          </w:p>
        </w:tc>
      </w:tr>
      <w:tr w14:paraId="220DC224">
        <w:tblPrEx>
          <w:tblCellMar>
            <w:top w:w="0" w:type="dxa"/>
            <w:left w:w="108" w:type="dxa"/>
            <w:bottom w:w="0" w:type="dxa"/>
            <w:right w:w="108" w:type="dxa"/>
          </w:tblCellMar>
        </w:tblPrEx>
        <w:trPr>
          <w:trHeight w:val="90"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46364AD1">
            <w:pPr>
              <w:jc w:val="center"/>
              <w:rPr>
                <w:rFonts w:ascii="宋体" w:hAnsi="宋体" w:cs="宋体"/>
                <w:color w:val="auto"/>
                <w:szCs w:val="21"/>
                <w:highlight w:val="none"/>
              </w:rPr>
            </w:pPr>
            <w:r>
              <w:rPr>
                <w:rFonts w:ascii="宋体" w:hAnsi="宋体" w:cs="宋体"/>
                <w:color w:val="auto"/>
                <w:szCs w:val="21"/>
                <w:highlight w:val="none"/>
              </w:rPr>
              <w:t>1.1.7</w:t>
            </w:r>
          </w:p>
        </w:tc>
        <w:tc>
          <w:tcPr>
            <w:tcW w:w="2050" w:type="dxa"/>
            <w:tcBorders>
              <w:top w:val="single" w:color="auto" w:sz="4" w:space="0"/>
              <w:left w:val="single" w:color="auto" w:sz="4" w:space="0"/>
              <w:bottom w:val="single" w:color="auto" w:sz="4" w:space="0"/>
              <w:right w:val="single" w:color="auto" w:sz="4" w:space="0"/>
            </w:tcBorders>
            <w:noWrap/>
            <w:vAlign w:val="center"/>
          </w:tcPr>
          <w:p w14:paraId="5EDBC21A">
            <w:pPr>
              <w:jc w:val="center"/>
              <w:rPr>
                <w:rFonts w:ascii="宋体" w:hAnsi="宋体" w:cs="宋体"/>
                <w:color w:val="auto"/>
                <w:szCs w:val="21"/>
                <w:highlight w:val="none"/>
              </w:rPr>
            </w:pPr>
            <w:r>
              <w:rPr>
                <w:rFonts w:hint="eastAsia" w:ascii="宋体" w:hAnsi="宋体" w:cs="宋体"/>
                <w:color w:val="auto"/>
                <w:szCs w:val="21"/>
                <w:highlight w:val="none"/>
              </w:rPr>
              <w:t>工程项目施工预计开工日期和建设周期</w:t>
            </w:r>
          </w:p>
        </w:tc>
        <w:tc>
          <w:tcPr>
            <w:tcW w:w="6917" w:type="dxa"/>
            <w:tcBorders>
              <w:top w:val="single" w:color="auto" w:sz="4" w:space="0"/>
              <w:left w:val="single" w:color="auto" w:sz="4" w:space="0"/>
              <w:bottom w:val="single" w:color="auto" w:sz="4" w:space="0"/>
              <w:right w:val="single" w:color="auto" w:sz="4" w:space="0"/>
            </w:tcBorders>
            <w:noWrap/>
            <w:vAlign w:val="center"/>
          </w:tcPr>
          <w:p w14:paraId="5829E345">
            <w:pPr>
              <w:rPr>
                <w:rFonts w:ascii="宋体" w:hAnsi="宋体" w:cs="宋体"/>
                <w:color w:val="auto"/>
                <w:szCs w:val="21"/>
                <w:highlight w:val="none"/>
                <w:shd w:val="clear" w:color="FFFFFF" w:fill="D9D9D9"/>
              </w:rPr>
            </w:pPr>
            <w:r>
              <w:rPr>
                <w:rFonts w:hint="eastAsia" w:ascii="宋体" w:hAnsi="宋体" w:cs="宋体"/>
                <w:color w:val="auto"/>
                <w:szCs w:val="21"/>
                <w:highlight w:val="none"/>
              </w:rPr>
              <w:t>施工工期估算为</w:t>
            </w:r>
            <w:r>
              <w:rPr>
                <w:rFonts w:hint="eastAsia" w:ascii="宋体" w:hAnsi="宋体" w:cs="宋体"/>
                <w:color w:val="auto"/>
                <w:szCs w:val="21"/>
                <w:highlight w:val="none"/>
                <w:lang w:val="en-US" w:eastAsia="zh-CN"/>
              </w:rPr>
              <w:t>1800</w:t>
            </w:r>
            <w:r>
              <w:rPr>
                <w:rFonts w:hint="eastAsia" w:ascii="宋体" w:hAnsi="宋体" w:cs="宋体"/>
                <w:color w:val="auto"/>
                <w:szCs w:val="21"/>
                <w:highlight w:val="none"/>
              </w:rPr>
              <w:t>日历天，施工工期为招标人下达开工令或开工报告审批之日起按施工进度要求控制。</w:t>
            </w:r>
          </w:p>
        </w:tc>
      </w:tr>
      <w:tr w14:paraId="41BB6D88">
        <w:tblPrEx>
          <w:tblCellMar>
            <w:top w:w="0" w:type="dxa"/>
            <w:left w:w="108" w:type="dxa"/>
            <w:bottom w:w="0" w:type="dxa"/>
            <w:right w:w="108" w:type="dxa"/>
          </w:tblCellMar>
        </w:tblPrEx>
        <w:trPr>
          <w:trHeight w:val="592"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163BFC34">
            <w:pPr>
              <w:jc w:val="center"/>
              <w:rPr>
                <w:rFonts w:ascii="宋体" w:hAnsi="宋体" w:cs="宋体"/>
                <w:color w:val="auto"/>
                <w:szCs w:val="21"/>
                <w:highlight w:val="none"/>
              </w:rPr>
            </w:pPr>
            <w:r>
              <w:rPr>
                <w:rFonts w:ascii="宋体" w:hAnsi="宋体" w:cs="宋体"/>
                <w:color w:val="auto"/>
                <w:szCs w:val="21"/>
                <w:highlight w:val="none"/>
              </w:rPr>
              <w:t>1.1.8</w:t>
            </w:r>
          </w:p>
        </w:tc>
        <w:tc>
          <w:tcPr>
            <w:tcW w:w="2050" w:type="dxa"/>
            <w:tcBorders>
              <w:top w:val="single" w:color="auto" w:sz="4" w:space="0"/>
              <w:left w:val="single" w:color="auto" w:sz="4" w:space="0"/>
              <w:bottom w:val="single" w:color="auto" w:sz="4" w:space="0"/>
              <w:right w:val="single" w:color="auto" w:sz="4" w:space="0"/>
            </w:tcBorders>
            <w:noWrap/>
            <w:vAlign w:val="center"/>
          </w:tcPr>
          <w:p w14:paraId="01B2A416">
            <w:pPr>
              <w:jc w:val="center"/>
              <w:rPr>
                <w:rFonts w:ascii="宋体" w:hAnsi="宋体" w:cs="宋体"/>
                <w:color w:val="auto"/>
                <w:szCs w:val="21"/>
                <w:highlight w:val="none"/>
              </w:rPr>
            </w:pPr>
            <w:r>
              <w:rPr>
                <w:rFonts w:hint="eastAsia" w:ascii="宋体" w:hAnsi="宋体" w:cs="宋体"/>
                <w:color w:val="auto"/>
                <w:szCs w:val="21"/>
                <w:highlight w:val="none"/>
              </w:rPr>
              <w:t>建筑安装工程费</w:t>
            </w:r>
            <w:r>
              <w:rPr>
                <w:rFonts w:ascii="宋体" w:hAnsi="宋体" w:cs="宋体"/>
                <w:color w:val="auto"/>
                <w:szCs w:val="21"/>
                <w:highlight w:val="none"/>
              </w:rPr>
              <w:t>/工程概算</w:t>
            </w:r>
          </w:p>
        </w:tc>
        <w:tc>
          <w:tcPr>
            <w:tcW w:w="6917" w:type="dxa"/>
            <w:tcBorders>
              <w:top w:val="single" w:color="auto" w:sz="4" w:space="0"/>
              <w:left w:val="single" w:color="auto" w:sz="4" w:space="0"/>
              <w:bottom w:val="single" w:color="auto" w:sz="4" w:space="0"/>
              <w:right w:val="single" w:color="auto" w:sz="4" w:space="0"/>
            </w:tcBorders>
            <w:noWrap/>
            <w:vAlign w:val="center"/>
          </w:tcPr>
          <w:p w14:paraId="65CF0105">
            <w:pPr>
              <w:rPr>
                <w:rFonts w:ascii="宋体" w:hAnsi="宋体" w:cs="宋体"/>
                <w:color w:val="auto"/>
                <w:szCs w:val="21"/>
                <w:highlight w:val="none"/>
              </w:rPr>
            </w:pPr>
            <w:r>
              <w:rPr>
                <w:rFonts w:hint="eastAsia" w:ascii="宋体" w:hAnsi="宋体" w:cs="宋体"/>
                <w:color w:val="auto"/>
                <w:szCs w:val="21"/>
                <w:highlight w:val="none"/>
              </w:rPr>
              <w:t>详见招标公告</w:t>
            </w:r>
          </w:p>
        </w:tc>
      </w:tr>
      <w:tr w14:paraId="12FB2898">
        <w:tblPrEx>
          <w:tblCellMar>
            <w:top w:w="0" w:type="dxa"/>
            <w:left w:w="108" w:type="dxa"/>
            <w:bottom w:w="0" w:type="dxa"/>
            <w:right w:w="108" w:type="dxa"/>
          </w:tblCellMar>
        </w:tblPrEx>
        <w:trPr>
          <w:trHeight w:val="457"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47E314FA">
            <w:pPr>
              <w:jc w:val="center"/>
              <w:rPr>
                <w:rFonts w:ascii="宋体" w:hAnsi="宋体" w:cs="宋体"/>
                <w:color w:val="auto"/>
                <w:szCs w:val="21"/>
                <w:highlight w:val="none"/>
              </w:rPr>
            </w:pPr>
            <w:r>
              <w:rPr>
                <w:rFonts w:ascii="宋体" w:hAnsi="宋体" w:cs="宋体"/>
                <w:color w:val="auto"/>
                <w:szCs w:val="21"/>
                <w:highlight w:val="none"/>
              </w:rPr>
              <w:t>1.2.1</w:t>
            </w:r>
          </w:p>
        </w:tc>
        <w:tc>
          <w:tcPr>
            <w:tcW w:w="2050" w:type="dxa"/>
            <w:tcBorders>
              <w:top w:val="single" w:color="auto" w:sz="4" w:space="0"/>
              <w:left w:val="single" w:color="auto" w:sz="4" w:space="0"/>
              <w:bottom w:val="single" w:color="auto" w:sz="4" w:space="0"/>
              <w:right w:val="single" w:color="auto" w:sz="4" w:space="0"/>
            </w:tcBorders>
            <w:noWrap/>
            <w:vAlign w:val="center"/>
          </w:tcPr>
          <w:p w14:paraId="018375EB">
            <w:pPr>
              <w:jc w:val="center"/>
              <w:rPr>
                <w:rFonts w:ascii="宋体" w:hAnsi="宋体" w:cs="宋体"/>
                <w:color w:val="auto"/>
                <w:szCs w:val="21"/>
                <w:highlight w:val="none"/>
              </w:rPr>
            </w:pPr>
            <w:r>
              <w:rPr>
                <w:rFonts w:hint="eastAsia" w:ascii="宋体" w:hAnsi="宋体" w:cs="宋体"/>
                <w:color w:val="auto"/>
                <w:szCs w:val="21"/>
                <w:highlight w:val="none"/>
              </w:rPr>
              <w:t>资金来源及比例</w:t>
            </w:r>
          </w:p>
        </w:tc>
        <w:tc>
          <w:tcPr>
            <w:tcW w:w="6917" w:type="dxa"/>
            <w:tcBorders>
              <w:top w:val="single" w:color="auto" w:sz="4" w:space="0"/>
              <w:left w:val="single" w:color="auto" w:sz="4" w:space="0"/>
              <w:bottom w:val="single" w:color="auto" w:sz="4" w:space="0"/>
              <w:right w:val="single" w:color="auto" w:sz="4" w:space="0"/>
            </w:tcBorders>
            <w:noWrap/>
            <w:vAlign w:val="center"/>
          </w:tcPr>
          <w:p w14:paraId="676F333A">
            <w:pPr>
              <w:rPr>
                <w:rFonts w:ascii="宋体" w:hAnsi="宋体" w:cs="宋体"/>
                <w:color w:val="auto"/>
                <w:szCs w:val="21"/>
                <w:highlight w:val="none"/>
              </w:rPr>
            </w:pPr>
            <w:r>
              <w:rPr>
                <w:rFonts w:hint="eastAsia" w:ascii="宋体" w:hAnsi="宋体" w:cs="宋体"/>
                <w:color w:val="auto"/>
                <w:szCs w:val="21"/>
                <w:highlight w:val="none"/>
              </w:rPr>
              <w:t>国有企业自筹资金，100%</w:t>
            </w:r>
          </w:p>
        </w:tc>
      </w:tr>
      <w:tr w14:paraId="4B20DF04">
        <w:tblPrEx>
          <w:tblCellMar>
            <w:top w:w="0" w:type="dxa"/>
            <w:left w:w="108" w:type="dxa"/>
            <w:bottom w:w="0" w:type="dxa"/>
            <w:right w:w="108" w:type="dxa"/>
          </w:tblCellMar>
        </w:tblPrEx>
        <w:trPr>
          <w:trHeight w:val="532"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3226C257">
            <w:pPr>
              <w:jc w:val="center"/>
              <w:rPr>
                <w:rFonts w:ascii="宋体" w:hAnsi="宋体" w:cs="宋体"/>
                <w:color w:val="auto"/>
                <w:szCs w:val="21"/>
                <w:highlight w:val="none"/>
              </w:rPr>
            </w:pPr>
            <w:r>
              <w:rPr>
                <w:rFonts w:ascii="宋体" w:hAnsi="宋体" w:cs="宋体"/>
                <w:color w:val="auto"/>
                <w:szCs w:val="21"/>
                <w:highlight w:val="none"/>
              </w:rPr>
              <w:t>1.2.2</w:t>
            </w:r>
          </w:p>
        </w:tc>
        <w:tc>
          <w:tcPr>
            <w:tcW w:w="2050" w:type="dxa"/>
            <w:tcBorders>
              <w:top w:val="single" w:color="auto" w:sz="4" w:space="0"/>
              <w:left w:val="single" w:color="auto" w:sz="4" w:space="0"/>
              <w:bottom w:val="single" w:color="auto" w:sz="4" w:space="0"/>
              <w:right w:val="single" w:color="auto" w:sz="4" w:space="0"/>
            </w:tcBorders>
            <w:noWrap/>
            <w:vAlign w:val="center"/>
          </w:tcPr>
          <w:p w14:paraId="40993625">
            <w:pPr>
              <w:jc w:val="center"/>
              <w:rPr>
                <w:rFonts w:ascii="宋体" w:hAnsi="宋体" w:cs="宋体"/>
                <w:color w:val="auto"/>
                <w:szCs w:val="21"/>
                <w:highlight w:val="none"/>
              </w:rPr>
            </w:pPr>
            <w:r>
              <w:rPr>
                <w:rFonts w:hint="eastAsia" w:ascii="宋体" w:hAnsi="宋体" w:cs="宋体"/>
                <w:color w:val="auto"/>
                <w:szCs w:val="21"/>
                <w:highlight w:val="none"/>
              </w:rPr>
              <w:t>资金落实情况</w:t>
            </w:r>
          </w:p>
        </w:tc>
        <w:tc>
          <w:tcPr>
            <w:tcW w:w="6917" w:type="dxa"/>
            <w:tcBorders>
              <w:top w:val="single" w:color="auto" w:sz="4" w:space="0"/>
              <w:left w:val="single" w:color="auto" w:sz="4" w:space="0"/>
              <w:bottom w:val="single" w:color="auto" w:sz="4" w:space="0"/>
              <w:right w:val="single" w:color="auto" w:sz="4" w:space="0"/>
            </w:tcBorders>
            <w:noWrap/>
            <w:vAlign w:val="center"/>
          </w:tcPr>
          <w:p w14:paraId="0B187D9B">
            <w:pPr>
              <w:jc w:val="left"/>
              <w:rPr>
                <w:rFonts w:ascii="宋体" w:hAnsi="宋体" w:cs="宋体"/>
                <w:color w:val="auto"/>
                <w:szCs w:val="21"/>
                <w:highlight w:val="none"/>
              </w:rPr>
            </w:pPr>
            <w:r>
              <w:rPr>
                <w:rFonts w:hint="eastAsia" w:ascii="宋体" w:hAnsi="宋体" w:cs="宋体"/>
                <w:color w:val="auto"/>
                <w:szCs w:val="21"/>
                <w:highlight w:val="none"/>
              </w:rPr>
              <w:t>已落实</w:t>
            </w:r>
          </w:p>
        </w:tc>
      </w:tr>
      <w:tr w14:paraId="0F3F1BD4">
        <w:tblPrEx>
          <w:tblCellMar>
            <w:top w:w="0" w:type="dxa"/>
            <w:left w:w="108" w:type="dxa"/>
            <w:bottom w:w="0" w:type="dxa"/>
            <w:right w:w="108" w:type="dxa"/>
          </w:tblCellMar>
        </w:tblPrEx>
        <w:trPr>
          <w:trHeight w:val="607"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3C6D0C4E">
            <w:pPr>
              <w:jc w:val="center"/>
              <w:rPr>
                <w:rFonts w:ascii="宋体" w:hAnsi="宋体" w:cs="宋体"/>
                <w:color w:val="auto"/>
                <w:szCs w:val="21"/>
                <w:highlight w:val="none"/>
              </w:rPr>
            </w:pPr>
            <w:r>
              <w:rPr>
                <w:rFonts w:ascii="宋体" w:hAnsi="宋体" w:cs="宋体"/>
                <w:color w:val="auto"/>
                <w:szCs w:val="21"/>
                <w:highlight w:val="none"/>
              </w:rPr>
              <w:t>1.3.1</w:t>
            </w:r>
          </w:p>
        </w:tc>
        <w:tc>
          <w:tcPr>
            <w:tcW w:w="2050" w:type="dxa"/>
            <w:tcBorders>
              <w:top w:val="single" w:color="auto" w:sz="4" w:space="0"/>
              <w:left w:val="single" w:color="auto" w:sz="4" w:space="0"/>
              <w:bottom w:val="single" w:color="auto" w:sz="4" w:space="0"/>
              <w:right w:val="single" w:color="auto" w:sz="4" w:space="0"/>
            </w:tcBorders>
            <w:noWrap/>
            <w:vAlign w:val="center"/>
          </w:tcPr>
          <w:p w14:paraId="26ED36B4">
            <w:pPr>
              <w:jc w:val="center"/>
              <w:rPr>
                <w:rFonts w:ascii="宋体" w:hAnsi="宋体" w:cs="宋体"/>
                <w:color w:val="auto"/>
                <w:szCs w:val="21"/>
                <w:highlight w:val="none"/>
              </w:rPr>
            </w:pPr>
            <w:r>
              <w:rPr>
                <w:rFonts w:hint="eastAsia" w:ascii="宋体" w:hAnsi="宋体" w:cs="宋体"/>
                <w:color w:val="auto"/>
                <w:szCs w:val="21"/>
                <w:highlight w:val="none"/>
              </w:rPr>
              <w:t>招标范围</w:t>
            </w:r>
          </w:p>
        </w:tc>
        <w:tc>
          <w:tcPr>
            <w:tcW w:w="6917" w:type="dxa"/>
            <w:tcBorders>
              <w:top w:val="single" w:color="auto" w:sz="4" w:space="0"/>
              <w:left w:val="single" w:color="auto" w:sz="4" w:space="0"/>
              <w:bottom w:val="single" w:color="auto" w:sz="4" w:space="0"/>
              <w:right w:val="single" w:color="auto" w:sz="4" w:space="0"/>
            </w:tcBorders>
            <w:noWrap/>
            <w:vAlign w:val="center"/>
          </w:tcPr>
          <w:p w14:paraId="7BFA7B2E">
            <w:pPr>
              <w:jc w:val="left"/>
              <w:rPr>
                <w:rFonts w:ascii="宋体" w:hAnsi="宋体" w:cs="宋体"/>
                <w:color w:val="auto"/>
                <w:szCs w:val="21"/>
                <w:highlight w:val="none"/>
              </w:rPr>
            </w:pPr>
            <w:r>
              <w:rPr>
                <w:rFonts w:hint="eastAsia" w:ascii="宋体" w:hAnsi="宋体" w:cs="宋体"/>
                <w:color w:val="auto"/>
                <w:szCs w:val="21"/>
                <w:highlight w:val="none"/>
              </w:rPr>
              <w:t>详见招标公告</w:t>
            </w:r>
          </w:p>
        </w:tc>
      </w:tr>
      <w:tr w14:paraId="611FFB72">
        <w:tblPrEx>
          <w:tblCellMar>
            <w:top w:w="0" w:type="dxa"/>
            <w:left w:w="108" w:type="dxa"/>
            <w:bottom w:w="0" w:type="dxa"/>
            <w:right w:w="108" w:type="dxa"/>
          </w:tblCellMar>
        </w:tblPrEx>
        <w:trPr>
          <w:trHeight w:val="410"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36E71D75">
            <w:pPr>
              <w:jc w:val="center"/>
              <w:rPr>
                <w:rFonts w:ascii="宋体" w:hAnsi="宋体" w:cs="宋体"/>
                <w:color w:val="auto"/>
                <w:szCs w:val="21"/>
                <w:highlight w:val="none"/>
              </w:rPr>
            </w:pPr>
            <w:r>
              <w:rPr>
                <w:rFonts w:ascii="宋体" w:hAnsi="宋体" w:cs="宋体"/>
                <w:color w:val="auto"/>
                <w:szCs w:val="21"/>
                <w:highlight w:val="none"/>
              </w:rPr>
              <w:t>1.3.2</w:t>
            </w:r>
          </w:p>
        </w:tc>
        <w:tc>
          <w:tcPr>
            <w:tcW w:w="2050" w:type="dxa"/>
            <w:tcBorders>
              <w:top w:val="single" w:color="auto" w:sz="4" w:space="0"/>
              <w:left w:val="single" w:color="auto" w:sz="4" w:space="0"/>
              <w:bottom w:val="single" w:color="auto" w:sz="4" w:space="0"/>
              <w:right w:val="single" w:color="auto" w:sz="4" w:space="0"/>
            </w:tcBorders>
            <w:noWrap/>
            <w:vAlign w:val="center"/>
          </w:tcPr>
          <w:p w14:paraId="5627CBBA">
            <w:pPr>
              <w:jc w:val="center"/>
              <w:rPr>
                <w:rFonts w:ascii="宋体" w:hAnsi="宋体" w:cs="宋体"/>
                <w:color w:val="auto"/>
                <w:szCs w:val="21"/>
                <w:highlight w:val="none"/>
              </w:rPr>
            </w:pPr>
            <w:r>
              <w:rPr>
                <w:rFonts w:hint="eastAsia" w:ascii="宋体" w:hAnsi="宋体" w:cs="宋体"/>
                <w:color w:val="auto"/>
                <w:szCs w:val="21"/>
                <w:highlight w:val="none"/>
              </w:rPr>
              <w:t>监理服务期限</w:t>
            </w:r>
          </w:p>
        </w:tc>
        <w:tc>
          <w:tcPr>
            <w:tcW w:w="6917" w:type="dxa"/>
            <w:tcBorders>
              <w:top w:val="single" w:color="auto" w:sz="4" w:space="0"/>
              <w:left w:val="single" w:color="auto" w:sz="4" w:space="0"/>
              <w:bottom w:val="single" w:color="auto" w:sz="4" w:space="0"/>
              <w:right w:val="single" w:color="auto" w:sz="4" w:space="0"/>
            </w:tcBorders>
            <w:noWrap/>
            <w:vAlign w:val="center"/>
          </w:tcPr>
          <w:p w14:paraId="69BF9FC7">
            <w:pPr>
              <w:rPr>
                <w:rFonts w:ascii="宋体" w:hAnsi="宋体" w:cs="宋体"/>
                <w:color w:val="auto"/>
                <w:szCs w:val="21"/>
                <w:highlight w:val="none"/>
              </w:rPr>
            </w:pPr>
            <w:r>
              <w:rPr>
                <w:rFonts w:hint="eastAsia" w:ascii="宋体" w:hAnsi="宋体" w:cs="宋体"/>
                <w:color w:val="auto"/>
                <w:szCs w:val="21"/>
                <w:highlight w:val="none"/>
              </w:rPr>
              <w:t>详见招标公告</w:t>
            </w:r>
          </w:p>
        </w:tc>
      </w:tr>
      <w:tr w14:paraId="63902192">
        <w:tblPrEx>
          <w:tblCellMar>
            <w:top w:w="0" w:type="dxa"/>
            <w:left w:w="108" w:type="dxa"/>
            <w:bottom w:w="0" w:type="dxa"/>
            <w:right w:w="108" w:type="dxa"/>
          </w:tblCellMar>
        </w:tblPrEx>
        <w:trPr>
          <w:trHeight w:val="631"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01D66CA5">
            <w:pPr>
              <w:jc w:val="center"/>
              <w:rPr>
                <w:rFonts w:ascii="宋体" w:hAnsi="宋体" w:cs="宋体"/>
                <w:color w:val="auto"/>
                <w:szCs w:val="21"/>
                <w:highlight w:val="none"/>
              </w:rPr>
            </w:pPr>
            <w:r>
              <w:rPr>
                <w:rFonts w:ascii="宋体" w:hAnsi="宋体" w:cs="宋体"/>
                <w:color w:val="auto"/>
                <w:szCs w:val="21"/>
                <w:highlight w:val="none"/>
              </w:rPr>
              <w:t>1.3.3</w:t>
            </w:r>
          </w:p>
        </w:tc>
        <w:tc>
          <w:tcPr>
            <w:tcW w:w="2050" w:type="dxa"/>
            <w:tcBorders>
              <w:top w:val="single" w:color="auto" w:sz="4" w:space="0"/>
              <w:left w:val="single" w:color="auto" w:sz="4" w:space="0"/>
              <w:bottom w:val="single" w:color="auto" w:sz="4" w:space="0"/>
              <w:right w:val="single" w:color="auto" w:sz="4" w:space="0"/>
            </w:tcBorders>
            <w:noWrap/>
            <w:vAlign w:val="center"/>
          </w:tcPr>
          <w:p w14:paraId="512AF44E">
            <w:pPr>
              <w:jc w:val="center"/>
              <w:rPr>
                <w:rFonts w:ascii="宋体" w:hAnsi="宋体" w:cs="宋体"/>
                <w:color w:val="auto"/>
                <w:szCs w:val="21"/>
                <w:highlight w:val="none"/>
              </w:rPr>
            </w:pPr>
            <w:r>
              <w:rPr>
                <w:rFonts w:hint="eastAsia" w:ascii="宋体" w:hAnsi="宋体" w:cs="宋体"/>
                <w:color w:val="auto"/>
                <w:szCs w:val="21"/>
                <w:highlight w:val="none"/>
              </w:rPr>
              <w:t>质量标准</w:t>
            </w:r>
          </w:p>
        </w:tc>
        <w:tc>
          <w:tcPr>
            <w:tcW w:w="6917" w:type="dxa"/>
            <w:tcBorders>
              <w:top w:val="single" w:color="auto" w:sz="4" w:space="0"/>
              <w:left w:val="single" w:color="auto" w:sz="4" w:space="0"/>
              <w:bottom w:val="single" w:color="auto" w:sz="4" w:space="0"/>
              <w:right w:val="single" w:color="auto" w:sz="4" w:space="0"/>
            </w:tcBorders>
            <w:noWrap/>
            <w:vAlign w:val="center"/>
          </w:tcPr>
          <w:p w14:paraId="70621E78">
            <w:pPr>
              <w:rPr>
                <w:rFonts w:ascii="宋体" w:hAnsi="宋体" w:cs="宋体"/>
                <w:color w:val="auto"/>
                <w:szCs w:val="21"/>
                <w:highlight w:val="none"/>
              </w:rPr>
            </w:pPr>
            <w:r>
              <w:rPr>
                <w:rFonts w:hint="eastAsia" w:ascii="宋体" w:hAnsi="宋体" w:cs="宋体"/>
                <w:color w:val="auto"/>
                <w:szCs w:val="21"/>
                <w:highlight w:val="none"/>
              </w:rPr>
              <w:t>按现行工程质量验收标准达到质量竣工验收合格，并符合《工程施工质量验收规范》合格标准。</w:t>
            </w:r>
          </w:p>
        </w:tc>
      </w:tr>
      <w:tr w14:paraId="4EF2D54C">
        <w:tblPrEx>
          <w:tblCellMar>
            <w:top w:w="0" w:type="dxa"/>
            <w:left w:w="108" w:type="dxa"/>
            <w:bottom w:w="0" w:type="dxa"/>
            <w:right w:w="108" w:type="dxa"/>
          </w:tblCellMar>
        </w:tblPrEx>
        <w:trPr>
          <w:trHeight w:val="1012"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292E1105">
            <w:pPr>
              <w:jc w:val="center"/>
              <w:rPr>
                <w:rFonts w:ascii="宋体" w:hAnsi="宋体" w:cs="宋体"/>
                <w:color w:val="auto"/>
                <w:szCs w:val="21"/>
                <w:highlight w:val="none"/>
              </w:rPr>
            </w:pPr>
            <w:r>
              <w:rPr>
                <w:rFonts w:ascii="宋体" w:hAnsi="宋体" w:cs="宋体"/>
                <w:color w:val="auto"/>
                <w:szCs w:val="21"/>
                <w:highlight w:val="none"/>
              </w:rPr>
              <w:t>1.4.1</w:t>
            </w:r>
          </w:p>
        </w:tc>
        <w:tc>
          <w:tcPr>
            <w:tcW w:w="2050" w:type="dxa"/>
            <w:tcBorders>
              <w:top w:val="single" w:color="auto" w:sz="4" w:space="0"/>
              <w:left w:val="single" w:color="auto" w:sz="4" w:space="0"/>
              <w:bottom w:val="single" w:color="auto" w:sz="4" w:space="0"/>
              <w:right w:val="single" w:color="auto" w:sz="4" w:space="0"/>
            </w:tcBorders>
            <w:noWrap/>
            <w:vAlign w:val="center"/>
          </w:tcPr>
          <w:p w14:paraId="1453D190">
            <w:pPr>
              <w:jc w:val="center"/>
              <w:rPr>
                <w:rFonts w:ascii="宋体" w:hAnsi="宋体" w:cs="宋体"/>
                <w:color w:val="auto"/>
                <w:szCs w:val="21"/>
                <w:highlight w:val="none"/>
              </w:rPr>
            </w:pPr>
            <w:r>
              <w:rPr>
                <w:rFonts w:hint="eastAsia" w:ascii="宋体" w:hAnsi="宋体" w:cs="宋体"/>
                <w:color w:val="auto"/>
                <w:szCs w:val="21"/>
                <w:highlight w:val="none"/>
              </w:rPr>
              <w:t>投标人资质条件、能力、信誉</w:t>
            </w:r>
          </w:p>
        </w:tc>
        <w:tc>
          <w:tcPr>
            <w:tcW w:w="6917" w:type="dxa"/>
            <w:tcBorders>
              <w:top w:val="single" w:color="auto" w:sz="4" w:space="0"/>
              <w:left w:val="single" w:color="auto" w:sz="4" w:space="0"/>
              <w:bottom w:val="single" w:color="auto" w:sz="4" w:space="0"/>
              <w:right w:val="single" w:color="auto" w:sz="4" w:space="0"/>
            </w:tcBorders>
            <w:noWrap/>
            <w:vAlign w:val="center"/>
          </w:tcPr>
          <w:p w14:paraId="164204E8">
            <w:pPr>
              <w:rPr>
                <w:rFonts w:ascii="宋体" w:hAnsi="宋体" w:cs="宋体"/>
                <w:color w:val="auto"/>
                <w:szCs w:val="21"/>
                <w:highlight w:val="none"/>
              </w:rPr>
            </w:pPr>
            <w:r>
              <w:rPr>
                <w:rFonts w:hint="eastAsia" w:ascii="宋体" w:hAnsi="宋体"/>
                <w:color w:val="auto"/>
                <w:szCs w:val="21"/>
                <w:highlight w:val="none"/>
                <w:u w:val="single"/>
              </w:rPr>
              <w:t>详见本项目招标公告第</w:t>
            </w:r>
            <w:r>
              <w:rPr>
                <w:rFonts w:ascii="宋体" w:hAnsi="宋体"/>
                <w:color w:val="auto"/>
                <w:szCs w:val="21"/>
                <w:highlight w:val="none"/>
                <w:u w:val="single"/>
              </w:rPr>
              <w:t>3点“投标人资格要求”。</w:t>
            </w:r>
          </w:p>
        </w:tc>
      </w:tr>
      <w:tr w14:paraId="74148BA7">
        <w:tblPrEx>
          <w:tblCellMar>
            <w:top w:w="0" w:type="dxa"/>
            <w:left w:w="108" w:type="dxa"/>
            <w:bottom w:w="0" w:type="dxa"/>
            <w:right w:w="108" w:type="dxa"/>
          </w:tblCellMar>
        </w:tblPrEx>
        <w:trPr>
          <w:trHeight w:val="849"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330EB4BB">
            <w:pPr>
              <w:jc w:val="center"/>
              <w:rPr>
                <w:rFonts w:ascii="宋体" w:hAnsi="宋体" w:cs="宋体"/>
                <w:color w:val="auto"/>
                <w:szCs w:val="21"/>
                <w:highlight w:val="none"/>
              </w:rPr>
            </w:pPr>
            <w:r>
              <w:rPr>
                <w:rFonts w:ascii="宋体" w:hAnsi="宋体" w:cs="宋体"/>
                <w:color w:val="auto"/>
                <w:szCs w:val="21"/>
                <w:highlight w:val="none"/>
              </w:rPr>
              <w:t>1.4.2</w:t>
            </w:r>
          </w:p>
        </w:tc>
        <w:tc>
          <w:tcPr>
            <w:tcW w:w="2050" w:type="dxa"/>
            <w:tcBorders>
              <w:top w:val="single" w:color="auto" w:sz="4" w:space="0"/>
              <w:left w:val="single" w:color="auto" w:sz="4" w:space="0"/>
              <w:bottom w:val="single" w:color="auto" w:sz="4" w:space="0"/>
              <w:right w:val="single" w:color="auto" w:sz="4" w:space="0"/>
            </w:tcBorders>
            <w:noWrap/>
            <w:vAlign w:val="center"/>
          </w:tcPr>
          <w:p w14:paraId="1F302627">
            <w:pPr>
              <w:jc w:val="center"/>
              <w:rPr>
                <w:rFonts w:ascii="宋体" w:hAnsi="宋体" w:cs="宋体"/>
                <w:color w:val="auto"/>
                <w:szCs w:val="21"/>
                <w:highlight w:val="none"/>
              </w:rPr>
            </w:pPr>
            <w:r>
              <w:rPr>
                <w:rFonts w:hint="eastAsia" w:ascii="宋体" w:hAnsi="宋体" w:cs="宋体"/>
                <w:color w:val="auto"/>
                <w:szCs w:val="21"/>
                <w:highlight w:val="none"/>
              </w:rPr>
              <w:t>是否接受联合体投标</w:t>
            </w:r>
          </w:p>
        </w:tc>
        <w:tc>
          <w:tcPr>
            <w:tcW w:w="6917" w:type="dxa"/>
            <w:tcBorders>
              <w:top w:val="single" w:color="auto" w:sz="4" w:space="0"/>
              <w:left w:val="single" w:color="auto" w:sz="4" w:space="0"/>
              <w:bottom w:val="single" w:color="auto" w:sz="4" w:space="0"/>
              <w:right w:val="single" w:color="auto" w:sz="4" w:space="0"/>
            </w:tcBorders>
            <w:noWrap/>
            <w:vAlign w:val="center"/>
          </w:tcPr>
          <w:p w14:paraId="0F1693F0">
            <w:pPr>
              <w:topLinePunct/>
              <w:rPr>
                <w:rFonts w:ascii="宋体" w:hAnsi="宋体" w:cs="宋体"/>
                <w:color w:val="auto"/>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不接受</w:t>
            </w:r>
          </w:p>
          <w:p w14:paraId="147BC512">
            <w:pPr>
              <w:rPr>
                <w:rFonts w:ascii="宋体" w:hAnsi="宋体" w:cs="宋体"/>
                <w:color w:val="auto"/>
                <w:szCs w:val="21"/>
                <w:highlight w:val="none"/>
              </w:rPr>
            </w:pPr>
            <w:r>
              <w:rPr>
                <w:rFonts w:hint="eastAsia" w:ascii="宋体" w:hAnsi="宋体" w:cs="宋体"/>
                <w:color w:val="auto"/>
                <w:szCs w:val="21"/>
                <w:highlight w:val="none"/>
              </w:rPr>
              <w:t>□接受，应满足下列要求：</w:t>
            </w:r>
          </w:p>
        </w:tc>
      </w:tr>
      <w:tr w14:paraId="0F3986E6">
        <w:tblPrEx>
          <w:tblCellMar>
            <w:top w:w="0" w:type="dxa"/>
            <w:left w:w="108" w:type="dxa"/>
            <w:bottom w:w="0" w:type="dxa"/>
            <w:right w:w="108" w:type="dxa"/>
          </w:tblCellMar>
        </w:tblPrEx>
        <w:trPr>
          <w:trHeight w:val="879"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03865942">
            <w:pPr>
              <w:jc w:val="center"/>
              <w:rPr>
                <w:rFonts w:ascii="宋体" w:hAnsi="宋体" w:cs="宋体"/>
                <w:color w:val="auto"/>
                <w:szCs w:val="21"/>
                <w:highlight w:val="none"/>
              </w:rPr>
            </w:pPr>
            <w:r>
              <w:rPr>
                <w:rFonts w:ascii="宋体" w:hAnsi="宋体" w:cs="宋体"/>
                <w:color w:val="auto"/>
                <w:szCs w:val="21"/>
                <w:highlight w:val="none"/>
              </w:rPr>
              <w:t>1.4.3</w:t>
            </w:r>
          </w:p>
        </w:tc>
        <w:tc>
          <w:tcPr>
            <w:tcW w:w="2050" w:type="dxa"/>
            <w:tcBorders>
              <w:top w:val="single" w:color="auto" w:sz="4" w:space="0"/>
              <w:left w:val="single" w:color="auto" w:sz="4" w:space="0"/>
              <w:bottom w:val="single" w:color="auto" w:sz="4" w:space="0"/>
              <w:right w:val="single" w:color="auto" w:sz="4" w:space="0"/>
            </w:tcBorders>
            <w:noWrap/>
            <w:vAlign w:val="center"/>
          </w:tcPr>
          <w:p w14:paraId="5E5A5F77">
            <w:pPr>
              <w:jc w:val="center"/>
              <w:rPr>
                <w:rFonts w:ascii="宋体" w:hAnsi="宋体" w:cs="宋体"/>
                <w:color w:val="auto"/>
                <w:szCs w:val="21"/>
                <w:highlight w:val="none"/>
              </w:rPr>
            </w:pPr>
            <w:r>
              <w:rPr>
                <w:rFonts w:hint="eastAsia" w:ascii="宋体" w:hAnsi="宋体" w:cs="宋体"/>
                <w:color w:val="auto"/>
                <w:szCs w:val="21"/>
                <w:highlight w:val="none"/>
              </w:rPr>
              <w:t>投标人不得存在的其他情形</w:t>
            </w:r>
          </w:p>
        </w:tc>
        <w:tc>
          <w:tcPr>
            <w:tcW w:w="6917" w:type="dxa"/>
            <w:tcBorders>
              <w:top w:val="single" w:color="auto" w:sz="4" w:space="0"/>
              <w:left w:val="single" w:color="auto" w:sz="4" w:space="0"/>
              <w:bottom w:val="single" w:color="auto" w:sz="4" w:space="0"/>
              <w:right w:val="single" w:color="auto" w:sz="4" w:space="0"/>
            </w:tcBorders>
            <w:noWrap/>
            <w:vAlign w:val="center"/>
          </w:tcPr>
          <w:p w14:paraId="3D147C76">
            <w:pPr>
              <w:pStyle w:val="11"/>
              <w:rPr>
                <w:rFonts w:ascii="宋体" w:hAnsi="宋体" w:cs="宋体"/>
                <w:color w:val="auto"/>
                <w:szCs w:val="21"/>
                <w:highlight w:val="none"/>
              </w:rPr>
            </w:pPr>
            <w:r>
              <w:rPr>
                <w:rFonts w:hint="eastAsia"/>
                <w:color w:val="auto"/>
                <w:highlight w:val="none"/>
              </w:rPr>
              <w:t>/</w:t>
            </w:r>
          </w:p>
        </w:tc>
      </w:tr>
      <w:tr w14:paraId="537144C4">
        <w:tblPrEx>
          <w:tblCellMar>
            <w:top w:w="0" w:type="dxa"/>
            <w:left w:w="108" w:type="dxa"/>
            <w:bottom w:w="0" w:type="dxa"/>
            <w:right w:w="108" w:type="dxa"/>
          </w:tblCellMar>
        </w:tblPrEx>
        <w:trPr>
          <w:trHeight w:val="1591"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65FC623F">
            <w:pPr>
              <w:jc w:val="center"/>
              <w:rPr>
                <w:rFonts w:ascii="宋体" w:hAnsi="宋体" w:cs="宋体"/>
                <w:color w:val="auto"/>
                <w:szCs w:val="21"/>
                <w:highlight w:val="none"/>
              </w:rPr>
            </w:pPr>
            <w:r>
              <w:rPr>
                <w:rFonts w:ascii="宋体" w:hAnsi="宋体"/>
                <w:color w:val="auto"/>
                <w:szCs w:val="21"/>
                <w:highlight w:val="none"/>
              </w:rPr>
              <w:t>1.5</w:t>
            </w:r>
          </w:p>
        </w:tc>
        <w:tc>
          <w:tcPr>
            <w:tcW w:w="2050" w:type="dxa"/>
            <w:tcBorders>
              <w:top w:val="single" w:color="auto" w:sz="4" w:space="0"/>
              <w:left w:val="single" w:color="auto" w:sz="4" w:space="0"/>
              <w:bottom w:val="single" w:color="auto" w:sz="4" w:space="0"/>
              <w:right w:val="single" w:color="auto" w:sz="4" w:space="0"/>
            </w:tcBorders>
            <w:noWrap/>
            <w:vAlign w:val="center"/>
          </w:tcPr>
          <w:p w14:paraId="66408B59">
            <w:pPr>
              <w:jc w:val="center"/>
              <w:rPr>
                <w:rFonts w:ascii="宋体" w:hAnsi="宋体" w:cs="宋体"/>
                <w:color w:val="auto"/>
                <w:szCs w:val="21"/>
                <w:highlight w:val="none"/>
              </w:rPr>
            </w:pPr>
            <w:r>
              <w:rPr>
                <w:rFonts w:hint="eastAsia" w:ascii="宋体" w:hAnsi="宋体"/>
                <w:color w:val="auto"/>
                <w:szCs w:val="21"/>
                <w:highlight w:val="none"/>
              </w:rPr>
              <w:t>费用承担</w:t>
            </w:r>
          </w:p>
        </w:tc>
        <w:tc>
          <w:tcPr>
            <w:tcW w:w="6917" w:type="dxa"/>
            <w:tcBorders>
              <w:top w:val="single" w:color="auto" w:sz="4" w:space="0"/>
              <w:left w:val="single" w:color="auto" w:sz="4" w:space="0"/>
              <w:bottom w:val="single" w:color="auto" w:sz="4" w:space="0"/>
              <w:right w:val="single" w:color="auto" w:sz="4" w:space="0"/>
            </w:tcBorders>
            <w:noWrap/>
            <w:vAlign w:val="center"/>
          </w:tcPr>
          <w:p w14:paraId="3C247560">
            <w:pPr>
              <w:topLinePunct/>
              <w:snapToGrid w:val="0"/>
              <w:rPr>
                <w:rFonts w:ascii="宋体" w:hAnsi="宋体"/>
                <w:color w:val="auto"/>
                <w:szCs w:val="21"/>
                <w:highlight w:val="none"/>
                <w:u w:val="single"/>
              </w:rPr>
            </w:pPr>
            <w:r>
              <w:rPr>
                <w:rFonts w:ascii="宋体" w:hAnsi="宋体"/>
                <w:color w:val="auto"/>
                <w:szCs w:val="21"/>
                <w:highlight w:val="none"/>
                <w:u w:val="single"/>
              </w:rPr>
              <w:t>1、投标人准备和参加投标活动发生的费用自理；</w:t>
            </w:r>
          </w:p>
          <w:p w14:paraId="0C40305A">
            <w:pPr>
              <w:topLinePunct/>
              <w:rPr>
                <w:rFonts w:ascii="宋体" w:hAnsi="宋体"/>
                <w:color w:val="auto"/>
                <w:szCs w:val="21"/>
                <w:highlight w:val="none"/>
                <w:u w:val="single"/>
              </w:rPr>
            </w:pPr>
            <w:r>
              <w:rPr>
                <w:rFonts w:ascii="宋体" w:hAnsi="宋体"/>
                <w:color w:val="auto"/>
                <w:szCs w:val="21"/>
                <w:highlight w:val="none"/>
                <w:u w:val="single"/>
              </w:rPr>
              <w:t>2、中标人按《广州市发展改革委转发省发展改革委关于规范公共资源交易服务收费及有关问题的通知》（穗发改〔2017〕811号）文件的规定，向</w:t>
            </w:r>
            <w:r>
              <w:rPr>
                <w:rFonts w:hint="eastAsia" w:ascii="宋体" w:hAnsi="宋体"/>
                <w:color w:val="auto"/>
                <w:szCs w:val="21"/>
                <w:highlight w:val="none"/>
                <w:u w:val="single"/>
              </w:rPr>
              <w:t>广州交易集团有限公司（广州公共资源交易中心）缴纳</w:t>
            </w:r>
            <w:r>
              <w:rPr>
                <w:rFonts w:ascii="宋体" w:hAnsi="宋体"/>
                <w:color w:val="auto"/>
                <w:szCs w:val="21"/>
                <w:highlight w:val="none"/>
                <w:u w:val="single"/>
              </w:rPr>
              <w:t>交易服务费，其费用包含在中标人投标报价中，招标人不另行支付。</w:t>
            </w:r>
          </w:p>
          <w:p w14:paraId="0FB896AF">
            <w:pPr>
              <w:pStyle w:val="8"/>
              <w:topLinePunct/>
              <w:spacing w:line="240" w:lineRule="auto"/>
              <w:ind w:firstLine="0"/>
              <w:rPr>
                <w:rFonts w:ascii="宋体" w:hAnsi="宋体" w:cs="宋体"/>
                <w:color w:val="auto"/>
                <w:szCs w:val="21"/>
                <w:highlight w:val="none"/>
              </w:rPr>
            </w:pPr>
            <w:r>
              <w:rPr>
                <w:rFonts w:hint="eastAsia" w:ascii="宋体" w:hAnsi="宋体"/>
                <w:color w:val="auto"/>
                <w:szCs w:val="21"/>
                <w:highlight w:val="none"/>
                <w:u w:val="single"/>
                <w:lang w:val="en-US"/>
              </w:rPr>
              <w:t>3、招标代理费由中标人在领取中标通知书之前一次性支付给招标代理机构。招标代理费</w:t>
            </w:r>
            <w:r>
              <w:rPr>
                <w:rFonts w:hint="eastAsia" w:ascii="宋体" w:hAnsi="宋体"/>
                <w:color w:val="auto"/>
                <w:szCs w:val="21"/>
                <w:highlight w:val="none"/>
                <w:u w:val="single"/>
                <w:lang w:val="en-US" w:eastAsia="zh-CN"/>
              </w:rPr>
              <w:t>参考</w:t>
            </w:r>
            <w:r>
              <w:rPr>
                <w:rFonts w:hint="eastAsia" w:ascii="宋体" w:hAnsi="宋体"/>
                <w:color w:val="auto"/>
                <w:szCs w:val="21"/>
                <w:highlight w:val="none"/>
                <w:u w:val="single"/>
                <w:lang w:val="en-US"/>
              </w:rPr>
              <w:t>《国家计委关于印发&lt;招标代理服务收费管理暂行办法&gt;的通知》(计价格〔2002〕1980号)收费标准（服务类），按中标价作为结算基价下浮</w:t>
            </w:r>
            <w:r>
              <w:rPr>
                <w:rFonts w:hint="eastAsia" w:ascii="宋体" w:hAnsi="宋体"/>
                <w:color w:val="auto"/>
                <w:szCs w:val="21"/>
                <w:highlight w:val="none"/>
                <w:u w:val="single"/>
                <w:lang w:val="en-US" w:eastAsia="zh-CN"/>
              </w:rPr>
              <w:t>（75</w:t>
            </w:r>
            <w:r>
              <w:rPr>
                <w:rFonts w:hint="eastAsia" w:ascii="宋体" w:hAnsi="宋体"/>
                <w:color w:val="auto"/>
                <w:szCs w:val="21"/>
                <w:highlight w:val="none"/>
                <w:u w:val="single"/>
                <w:lang w:val="en-US"/>
              </w:rPr>
              <w:t>%</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lang w:val="en-US"/>
              </w:rPr>
              <w:t>计算本项目招标代理费。招标代理费已包含在中标人的投标报价中，招标人不另行支付。</w:t>
            </w:r>
          </w:p>
        </w:tc>
      </w:tr>
      <w:tr w14:paraId="76B752F5">
        <w:tblPrEx>
          <w:tblCellMar>
            <w:top w:w="0" w:type="dxa"/>
            <w:left w:w="108" w:type="dxa"/>
            <w:bottom w:w="0" w:type="dxa"/>
            <w:right w:w="108" w:type="dxa"/>
          </w:tblCellMar>
        </w:tblPrEx>
        <w:trPr>
          <w:trHeight w:val="984"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43604DDC">
            <w:pPr>
              <w:jc w:val="center"/>
              <w:rPr>
                <w:rFonts w:ascii="宋体" w:hAnsi="宋体" w:cs="宋体"/>
                <w:color w:val="auto"/>
                <w:szCs w:val="21"/>
                <w:highlight w:val="none"/>
              </w:rPr>
            </w:pPr>
            <w:r>
              <w:rPr>
                <w:rFonts w:ascii="宋体" w:hAnsi="宋体" w:cs="宋体"/>
                <w:color w:val="auto"/>
                <w:szCs w:val="21"/>
                <w:highlight w:val="none"/>
              </w:rPr>
              <w:t>1.9.1</w:t>
            </w:r>
          </w:p>
        </w:tc>
        <w:tc>
          <w:tcPr>
            <w:tcW w:w="2050" w:type="dxa"/>
            <w:tcBorders>
              <w:top w:val="single" w:color="auto" w:sz="4" w:space="0"/>
              <w:left w:val="single" w:color="auto" w:sz="4" w:space="0"/>
              <w:bottom w:val="single" w:color="auto" w:sz="4" w:space="0"/>
              <w:right w:val="single" w:color="auto" w:sz="4" w:space="0"/>
            </w:tcBorders>
            <w:noWrap/>
            <w:vAlign w:val="center"/>
          </w:tcPr>
          <w:p w14:paraId="50CF00EC">
            <w:pPr>
              <w:jc w:val="center"/>
              <w:rPr>
                <w:rFonts w:ascii="宋体" w:hAnsi="宋体" w:cs="宋体"/>
                <w:color w:val="auto"/>
                <w:szCs w:val="21"/>
                <w:highlight w:val="none"/>
              </w:rPr>
            </w:pPr>
            <w:r>
              <w:rPr>
                <w:rFonts w:hint="eastAsia" w:ascii="宋体" w:hAnsi="宋体" w:cs="宋体"/>
                <w:color w:val="auto"/>
                <w:szCs w:val="21"/>
                <w:highlight w:val="none"/>
              </w:rPr>
              <w:t>踏勘现场</w:t>
            </w:r>
          </w:p>
        </w:tc>
        <w:tc>
          <w:tcPr>
            <w:tcW w:w="6917" w:type="dxa"/>
            <w:tcBorders>
              <w:top w:val="single" w:color="auto" w:sz="4" w:space="0"/>
              <w:left w:val="single" w:color="auto" w:sz="4" w:space="0"/>
              <w:bottom w:val="single" w:color="auto" w:sz="4" w:space="0"/>
              <w:right w:val="single" w:color="auto" w:sz="4" w:space="0"/>
            </w:tcBorders>
            <w:noWrap/>
            <w:vAlign w:val="center"/>
          </w:tcPr>
          <w:p w14:paraId="048AB40A">
            <w:pPr>
              <w:pStyle w:val="12"/>
              <w:topLinePunct/>
              <w:rPr>
                <w:rFonts w:ascii="宋体" w:hAnsi="宋体" w:cs="宋体"/>
                <w:color w:val="auto"/>
                <w:sz w:val="21"/>
                <w:szCs w:val="21"/>
                <w:highlight w:val="none"/>
              </w:rPr>
            </w:pPr>
            <w:r>
              <w:rPr>
                <w:rFonts w:hint="eastAsia" w:ascii="宋体" w:hAnsi="宋体"/>
                <w:color w:val="auto"/>
                <w:sz w:val="21"/>
                <w:szCs w:val="21"/>
                <w:highlight w:val="none"/>
              </w:rPr>
              <w:t>■</w:t>
            </w:r>
            <w:r>
              <w:rPr>
                <w:rFonts w:hint="eastAsia" w:ascii="宋体" w:hAnsi="宋体" w:cs="宋体"/>
                <w:color w:val="auto"/>
                <w:sz w:val="21"/>
                <w:szCs w:val="21"/>
                <w:highlight w:val="none"/>
              </w:rPr>
              <w:t>不组织，由投标人自行现场考察。</w:t>
            </w:r>
          </w:p>
          <w:p w14:paraId="10D6F96A">
            <w:pPr>
              <w:pStyle w:val="12"/>
              <w:topLinePunct/>
              <w:rPr>
                <w:rFonts w:ascii="宋体" w:hAnsi="宋体" w:cs="宋体"/>
                <w:color w:val="auto"/>
                <w:sz w:val="21"/>
                <w:szCs w:val="21"/>
                <w:highlight w:val="none"/>
              </w:rPr>
            </w:pPr>
            <w:r>
              <w:rPr>
                <w:rFonts w:hint="eastAsia" w:ascii="宋体" w:hAnsi="宋体" w:cs="宋体"/>
                <w:color w:val="auto"/>
                <w:sz w:val="21"/>
                <w:szCs w:val="21"/>
                <w:highlight w:val="none"/>
              </w:rPr>
              <w:t>□组织，踏勘时间：</w:t>
            </w:r>
          </w:p>
          <w:p w14:paraId="70E14063">
            <w:pPr>
              <w:pStyle w:val="12"/>
              <w:topLinePunct/>
              <w:ind w:firstLine="840" w:firstLineChars="400"/>
              <w:rPr>
                <w:rFonts w:ascii="宋体" w:hAnsi="宋体" w:cs="宋体"/>
                <w:color w:val="auto"/>
                <w:sz w:val="21"/>
                <w:szCs w:val="21"/>
                <w:highlight w:val="none"/>
              </w:rPr>
            </w:pPr>
            <w:r>
              <w:rPr>
                <w:rFonts w:hint="eastAsia" w:ascii="宋体" w:hAnsi="宋体" w:cs="宋体"/>
                <w:color w:val="auto"/>
                <w:sz w:val="21"/>
                <w:szCs w:val="21"/>
                <w:highlight w:val="none"/>
              </w:rPr>
              <w:t>踏勘集中地点：</w:t>
            </w:r>
          </w:p>
        </w:tc>
      </w:tr>
      <w:tr w14:paraId="0AA13856">
        <w:tblPrEx>
          <w:tblCellMar>
            <w:top w:w="0" w:type="dxa"/>
            <w:left w:w="108" w:type="dxa"/>
            <w:bottom w:w="0" w:type="dxa"/>
            <w:right w:w="108" w:type="dxa"/>
          </w:tblCellMar>
        </w:tblPrEx>
        <w:trPr>
          <w:trHeight w:val="1116"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34EF184C">
            <w:pPr>
              <w:jc w:val="center"/>
              <w:rPr>
                <w:rFonts w:ascii="宋体" w:hAnsi="宋体" w:cs="宋体"/>
                <w:color w:val="auto"/>
                <w:szCs w:val="21"/>
                <w:highlight w:val="none"/>
              </w:rPr>
            </w:pPr>
            <w:r>
              <w:rPr>
                <w:rFonts w:ascii="宋体" w:hAnsi="宋体" w:cs="宋体"/>
                <w:color w:val="auto"/>
                <w:szCs w:val="21"/>
                <w:highlight w:val="none"/>
              </w:rPr>
              <w:t>1.10.1</w:t>
            </w:r>
          </w:p>
        </w:tc>
        <w:tc>
          <w:tcPr>
            <w:tcW w:w="2050" w:type="dxa"/>
            <w:tcBorders>
              <w:top w:val="single" w:color="auto" w:sz="4" w:space="0"/>
              <w:left w:val="single" w:color="auto" w:sz="4" w:space="0"/>
              <w:bottom w:val="single" w:color="auto" w:sz="4" w:space="0"/>
              <w:right w:val="single" w:color="auto" w:sz="4" w:space="0"/>
            </w:tcBorders>
            <w:noWrap/>
            <w:vAlign w:val="center"/>
          </w:tcPr>
          <w:p w14:paraId="14086488">
            <w:pPr>
              <w:jc w:val="center"/>
              <w:rPr>
                <w:rFonts w:ascii="宋体" w:hAnsi="宋体" w:cs="宋体"/>
                <w:color w:val="auto"/>
                <w:szCs w:val="21"/>
                <w:highlight w:val="none"/>
              </w:rPr>
            </w:pPr>
            <w:r>
              <w:rPr>
                <w:rFonts w:hint="eastAsia" w:ascii="宋体" w:hAnsi="宋体" w:cs="宋体"/>
                <w:color w:val="auto"/>
                <w:szCs w:val="21"/>
                <w:highlight w:val="none"/>
              </w:rPr>
              <w:t>投标预备会</w:t>
            </w:r>
          </w:p>
        </w:tc>
        <w:tc>
          <w:tcPr>
            <w:tcW w:w="6917" w:type="dxa"/>
            <w:tcBorders>
              <w:top w:val="single" w:color="auto" w:sz="4" w:space="0"/>
              <w:left w:val="single" w:color="auto" w:sz="4" w:space="0"/>
              <w:bottom w:val="single" w:color="auto" w:sz="4" w:space="0"/>
              <w:right w:val="single" w:color="auto" w:sz="4" w:space="0"/>
            </w:tcBorders>
            <w:noWrap/>
            <w:vAlign w:val="center"/>
          </w:tcPr>
          <w:p w14:paraId="36751454">
            <w:pPr>
              <w:pStyle w:val="12"/>
              <w:topLinePunct/>
              <w:rPr>
                <w:rFonts w:ascii="宋体" w:hAnsi="宋体" w:cs="宋体"/>
                <w:color w:val="auto"/>
                <w:sz w:val="21"/>
                <w:szCs w:val="21"/>
                <w:highlight w:val="none"/>
              </w:rPr>
            </w:pPr>
            <w:r>
              <w:rPr>
                <w:rFonts w:hint="eastAsia" w:ascii="宋体" w:hAnsi="宋体"/>
                <w:color w:val="auto"/>
                <w:sz w:val="21"/>
                <w:szCs w:val="21"/>
                <w:highlight w:val="none"/>
              </w:rPr>
              <w:t>■</w:t>
            </w:r>
            <w:r>
              <w:rPr>
                <w:rFonts w:hint="eastAsia" w:ascii="宋体" w:hAnsi="宋体" w:cs="宋体"/>
                <w:color w:val="auto"/>
                <w:sz w:val="21"/>
                <w:szCs w:val="21"/>
                <w:highlight w:val="none"/>
              </w:rPr>
              <w:t>不召开</w:t>
            </w:r>
          </w:p>
          <w:p w14:paraId="0EB90DE3">
            <w:pPr>
              <w:rPr>
                <w:rFonts w:ascii="宋体" w:hAnsi="宋体" w:cs="宋体"/>
                <w:color w:val="auto"/>
                <w:szCs w:val="21"/>
                <w:highlight w:val="none"/>
              </w:rPr>
            </w:pPr>
            <w:r>
              <w:rPr>
                <w:rFonts w:hint="eastAsia" w:ascii="宋体" w:hAnsi="宋体" w:cs="宋体"/>
                <w:color w:val="auto"/>
                <w:szCs w:val="21"/>
                <w:highlight w:val="none"/>
              </w:rPr>
              <w:t>□召开，召开时间：</w:t>
            </w:r>
          </w:p>
          <w:p w14:paraId="6CF941C1">
            <w:pPr>
              <w:ind w:firstLine="840" w:firstLineChars="400"/>
              <w:rPr>
                <w:rFonts w:ascii="宋体" w:hAnsi="宋体" w:cs="宋体"/>
                <w:color w:val="auto"/>
                <w:szCs w:val="21"/>
                <w:highlight w:val="none"/>
              </w:rPr>
            </w:pPr>
            <w:r>
              <w:rPr>
                <w:rFonts w:hint="eastAsia" w:ascii="宋体" w:hAnsi="宋体" w:cs="宋体"/>
                <w:color w:val="auto"/>
                <w:szCs w:val="21"/>
                <w:highlight w:val="none"/>
              </w:rPr>
              <w:t>召开地点：</w:t>
            </w:r>
          </w:p>
        </w:tc>
      </w:tr>
      <w:tr w14:paraId="4F819EE0">
        <w:tblPrEx>
          <w:tblCellMar>
            <w:top w:w="0" w:type="dxa"/>
            <w:left w:w="108" w:type="dxa"/>
            <w:bottom w:w="0" w:type="dxa"/>
            <w:right w:w="108" w:type="dxa"/>
          </w:tblCellMar>
        </w:tblPrEx>
        <w:trPr>
          <w:trHeight w:val="362" w:hRule="atLeast"/>
        </w:trPr>
        <w:tc>
          <w:tcPr>
            <w:tcW w:w="1012" w:type="dxa"/>
            <w:vMerge w:val="restart"/>
            <w:tcBorders>
              <w:top w:val="single" w:color="auto" w:sz="4" w:space="0"/>
              <w:left w:val="single" w:color="auto" w:sz="4" w:space="0"/>
              <w:right w:val="single" w:color="auto" w:sz="4" w:space="0"/>
            </w:tcBorders>
            <w:noWrap/>
            <w:vAlign w:val="center"/>
          </w:tcPr>
          <w:p w14:paraId="1C943FA1">
            <w:pPr>
              <w:jc w:val="center"/>
              <w:rPr>
                <w:rFonts w:ascii="宋体" w:hAnsi="宋体" w:cs="宋体"/>
                <w:color w:val="auto"/>
                <w:szCs w:val="21"/>
                <w:highlight w:val="none"/>
              </w:rPr>
            </w:pPr>
            <w:r>
              <w:rPr>
                <w:rFonts w:ascii="宋体" w:hAnsi="宋体" w:cs="宋体"/>
                <w:color w:val="auto"/>
                <w:szCs w:val="21"/>
                <w:highlight w:val="none"/>
              </w:rPr>
              <w:t>1.10.2</w:t>
            </w:r>
          </w:p>
        </w:tc>
        <w:tc>
          <w:tcPr>
            <w:tcW w:w="2050" w:type="dxa"/>
            <w:vMerge w:val="restart"/>
            <w:tcBorders>
              <w:top w:val="single" w:color="auto" w:sz="4" w:space="0"/>
              <w:left w:val="single" w:color="auto" w:sz="4" w:space="0"/>
              <w:right w:val="single" w:color="auto" w:sz="4" w:space="0"/>
            </w:tcBorders>
            <w:noWrap/>
            <w:vAlign w:val="center"/>
          </w:tcPr>
          <w:p w14:paraId="697FDC45">
            <w:pPr>
              <w:jc w:val="center"/>
              <w:rPr>
                <w:rFonts w:ascii="宋体" w:hAnsi="宋体" w:cs="宋体"/>
                <w:color w:val="auto"/>
                <w:szCs w:val="21"/>
                <w:highlight w:val="none"/>
              </w:rPr>
            </w:pPr>
            <w:r>
              <w:rPr>
                <w:rFonts w:hint="eastAsia" w:ascii="宋体" w:hAnsi="宋体" w:cs="宋体"/>
                <w:color w:val="auto"/>
                <w:szCs w:val="21"/>
                <w:highlight w:val="none"/>
              </w:rPr>
              <w:t>投标人在投标预备会前提出问题</w:t>
            </w:r>
          </w:p>
        </w:tc>
        <w:tc>
          <w:tcPr>
            <w:tcW w:w="6917" w:type="dxa"/>
            <w:tcBorders>
              <w:top w:val="single" w:color="auto" w:sz="4" w:space="0"/>
              <w:left w:val="single" w:color="auto" w:sz="4" w:space="0"/>
              <w:bottom w:val="single" w:color="auto" w:sz="4" w:space="0"/>
              <w:right w:val="single" w:color="auto" w:sz="4" w:space="0"/>
            </w:tcBorders>
            <w:noWrap/>
            <w:vAlign w:val="center"/>
          </w:tcPr>
          <w:p w14:paraId="288D5F46">
            <w:pPr>
              <w:rPr>
                <w:rFonts w:ascii="宋体" w:hAnsi="宋体" w:cs="宋体"/>
                <w:color w:val="auto"/>
                <w:szCs w:val="21"/>
                <w:highlight w:val="none"/>
              </w:rPr>
            </w:pPr>
            <w:r>
              <w:rPr>
                <w:rFonts w:hint="eastAsia" w:ascii="宋体" w:hAnsi="宋体" w:cs="宋体"/>
                <w:color w:val="auto"/>
                <w:szCs w:val="21"/>
                <w:highlight w:val="none"/>
              </w:rPr>
              <w:t>时间：</w:t>
            </w:r>
            <w:r>
              <w:rPr>
                <w:rFonts w:ascii="宋体" w:hAnsi="宋体" w:cs="宋体"/>
                <w:color w:val="auto"/>
                <w:szCs w:val="21"/>
                <w:highlight w:val="none"/>
              </w:rPr>
              <w:t>/</w:t>
            </w:r>
          </w:p>
        </w:tc>
      </w:tr>
      <w:tr w14:paraId="1E002DB9">
        <w:tblPrEx>
          <w:tblCellMar>
            <w:top w:w="0" w:type="dxa"/>
            <w:left w:w="108" w:type="dxa"/>
            <w:bottom w:w="0" w:type="dxa"/>
            <w:right w:w="108" w:type="dxa"/>
          </w:tblCellMar>
        </w:tblPrEx>
        <w:trPr>
          <w:trHeight w:val="332" w:hRule="atLeast"/>
        </w:trPr>
        <w:tc>
          <w:tcPr>
            <w:tcW w:w="1012" w:type="dxa"/>
            <w:vMerge w:val="continue"/>
            <w:tcBorders>
              <w:left w:val="single" w:color="auto" w:sz="4" w:space="0"/>
              <w:bottom w:val="single" w:color="auto" w:sz="4" w:space="0"/>
              <w:right w:val="single" w:color="auto" w:sz="4" w:space="0"/>
            </w:tcBorders>
            <w:noWrap/>
            <w:vAlign w:val="center"/>
          </w:tcPr>
          <w:p w14:paraId="710AA7E2">
            <w:pPr>
              <w:jc w:val="center"/>
              <w:rPr>
                <w:rFonts w:ascii="宋体" w:hAnsi="宋体" w:cs="宋体"/>
                <w:color w:val="auto"/>
                <w:szCs w:val="21"/>
                <w:highlight w:val="none"/>
              </w:rPr>
            </w:pPr>
          </w:p>
        </w:tc>
        <w:tc>
          <w:tcPr>
            <w:tcW w:w="2050" w:type="dxa"/>
            <w:vMerge w:val="continue"/>
            <w:tcBorders>
              <w:left w:val="single" w:color="auto" w:sz="4" w:space="0"/>
              <w:bottom w:val="single" w:color="auto" w:sz="4" w:space="0"/>
              <w:right w:val="single" w:color="auto" w:sz="4" w:space="0"/>
            </w:tcBorders>
            <w:noWrap/>
            <w:vAlign w:val="center"/>
          </w:tcPr>
          <w:p w14:paraId="4601D349">
            <w:pPr>
              <w:jc w:val="center"/>
              <w:rPr>
                <w:rFonts w:ascii="宋体" w:hAnsi="宋体" w:cs="宋体"/>
                <w:color w:val="auto"/>
                <w:szCs w:val="21"/>
                <w:highlight w:val="none"/>
              </w:rPr>
            </w:pPr>
          </w:p>
        </w:tc>
        <w:tc>
          <w:tcPr>
            <w:tcW w:w="6917" w:type="dxa"/>
            <w:tcBorders>
              <w:top w:val="single" w:color="auto" w:sz="4" w:space="0"/>
              <w:left w:val="single" w:color="auto" w:sz="4" w:space="0"/>
              <w:bottom w:val="single" w:color="auto" w:sz="4" w:space="0"/>
              <w:right w:val="single" w:color="auto" w:sz="4" w:space="0"/>
            </w:tcBorders>
            <w:noWrap/>
            <w:vAlign w:val="center"/>
          </w:tcPr>
          <w:p w14:paraId="64ECA1AD">
            <w:pPr>
              <w:rPr>
                <w:rFonts w:ascii="宋体" w:hAnsi="宋体" w:cs="宋体"/>
                <w:color w:val="auto"/>
                <w:szCs w:val="21"/>
                <w:highlight w:val="none"/>
              </w:rPr>
            </w:pPr>
            <w:r>
              <w:rPr>
                <w:rFonts w:hint="eastAsia" w:ascii="宋体" w:hAnsi="宋体" w:cs="宋体"/>
                <w:color w:val="auto"/>
                <w:szCs w:val="21"/>
                <w:highlight w:val="none"/>
              </w:rPr>
              <w:t>形式：</w:t>
            </w:r>
            <w:r>
              <w:rPr>
                <w:rFonts w:ascii="宋体" w:hAnsi="宋体" w:cs="宋体"/>
                <w:color w:val="auto"/>
                <w:szCs w:val="21"/>
                <w:highlight w:val="none"/>
              </w:rPr>
              <w:t>/</w:t>
            </w:r>
          </w:p>
        </w:tc>
      </w:tr>
      <w:tr w14:paraId="3C97D97E">
        <w:tblPrEx>
          <w:tblCellMar>
            <w:top w:w="0" w:type="dxa"/>
            <w:left w:w="108" w:type="dxa"/>
            <w:bottom w:w="0" w:type="dxa"/>
            <w:right w:w="108" w:type="dxa"/>
          </w:tblCellMar>
        </w:tblPrEx>
        <w:trPr>
          <w:trHeight w:val="497" w:hRule="atLeast"/>
        </w:trPr>
        <w:tc>
          <w:tcPr>
            <w:tcW w:w="1012" w:type="dxa"/>
            <w:tcBorders>
              <w:left w:val="single" w:color="auto" w:sz="4" w:space="0"/>
              <w:bottom w:val="single" w:color="auto" w:sz="4" w:space="0"/>
              <w:right w:val="single" w:color="auto" w:sz="4" w:space="0"/>
            </w:tcBorders>
            <w:noWrap/>
            <w:vAlign w:val="center"/>
          </w:tcPr>
          <w:p w14:paraId="70BCA377">
            <w:pPr>
              <w:jc w:val="center"/>
              <w:rPr>
                <w:rFonts w:ascii="宋体" w:hAnsi="宋体" w:cs="宋体"/>
                <w:color w:val="auto"/>
                <w:szCs w:val="21"/>
                <w:highlight w:val="none"/>
              </w:rPr>
            </w:pPr>
            <w:r>
              <w:rPr>
                <w:rFonts w:ascii="宋体" w:hAnsi="宋体" w:cs="宋体"/>
                <w:color w:val="auto"/>
                <w:szCs w:val="21"/>
                <w:highlight w:val="none"/>
              </w:rPr>
              <w:t>1.10.3</w:t>
            </w:r>
          </w:p>
        </w:tc>
        <w:tc>
          <w:tcPr>
            <w:tcW w:w="2050" w:type="dxa"/>
            <w:tcBorders>
              <w:left w:val="single" w:color="auto" w:sz="4" w:space="0"/>
              <w:bottom w:val="single" w:color="auto" w:sz="4" w:space="0"/>
              <w:right w:val="single" w:color="auto" w:sz="4" w:space="0"/>
            </w:tcBorders>
            <w:noWrap/>
            <w:vAlign w:val="center"/>
          </w:tcPr>
          <w:p w14:paraId="35910061">
            <w:pPr>
              <w:jc w:val="center"/>
              <w:rPr>
                <w:rFonts w:ascii="宋体" w:hAnsi="宋体" w:cs="宋体"/>
                <w:color w:val="auto"/>
                <w:szCs w:val="21"/>
                <w:highlight w:val="none"/>
              </w:rPr>
            </w:pPr>
            <w:r>
              <w:rPr>
                <w:rFonts w:hint="eastAsia" w:ascii="宋体" w:hAnsi="宋体" w:cs="宋体"/>
                <w:color w:val="auto"/>
                <w:szCs w:val="21"/>
                <w:highlight w:val="none"/>
              </w:rPr>
              <w:t>招标文件澄清发出的形式</w:t>
            </w:r>
          </w:p>
        </w:tc>
        <w:tc>
          <w:tcPr>
            <w:tcW w:w="6917" w:type="dxa"/>
            <w:tcBorders>
              <w:top w:val="single" w:color="auto" w:sz="4" w:space="0"/>
              <w:left w:val="single" w:color="auto" w:sz="4" w:space="0"/>
              <w:bottom w:val="single" w:color="auto" w:sz="4" w:space="0"/>
              <w:right w:val="single" w:color="auto" w:sz="4" w:space="0"/>
            </w:tcBorders>
            <w:noWrap/>
            <w:vAlign w:val="center"/>
          </w:tcPr>
          <w:p w14:paraId="10B0C5CE">
            <w:pPr>
              <w:rPr>
                <w:rFonts w:ascii="宋体" w:hAnsi="宋体" w:cs="宋体"/>
                <w:color w:val="auto"/>
                <w:szCs w:val="21"/>
                <w:highlight w:val="none"/>
              </w:rPr>
            </w:pPr>
            <w:r>
              <w:rPr>
                <w:rFonts w:ascii="宋体" w:hAnsi="宋体" w:cs="宋体"/>
                <w:color w:val="auto"/>
                <w:szCs w:val="21"/>
                <w:highlight w:val="none"/>
              </w:rPr>
              <w:t>/</w:t>
            </w:r>
          </w:p>
        </w:tc>
      </w:tr>
      <w:tr w14:paraId="5EF5E1DE">
        <w:tblPrEx>
          <w:tblCellMar>
            <w:top w:w="0" w:type="dxa"/>
            <w:left w:w="108" w:type="dxa"/>
            <w:bottom w:w="0" w:type="dxa"/>
            <w:right w:w="108" w:type="dxa"/>
          </w:tblCellMar>
        </w:tblPrEx>
        <w:trPr>
          <w:trHeight w:val="431"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6886DCCB">
            <w:pPr>
              <w:jc w:val="center"/>
              <w:rPr>
                <w:rFonts w:ascii="宋体" w:hAnsi="宋体" w:cs="宋体"/>
                <w:color w:val="auto"/>
                <w:szCs w:val="21"/>
                <w:highlight w:val="none"/>
              </w:rPr>
            </w:pPr>
            <w:r>
              <w:rPr>
                <w:rFonts w:ascii="宋体" w:hAnsi="宋体" w:cs="宋体"/>
                <w:color w:val="auto"/>
                <w:szCs w:val="21"/>
                <w:highlight w:val="none"/>
              </w:rPr>
              <w:t>1.12.1</w:t>
            </w:r>
          </w:p>
        </w:tc>
        <w:tc>
          <w:tcPr>
            <w:tcW w:w="2050" w:type="dxa"/>
            <w:tcBorders>
              <w:top w:val="single" w:color="auto" w:sz="4" w:space="0"/>
              <w:left w:val="single" w:color="auto" w:sz="4" w:space="0"/>
              <w:bottom w:val="single" w:color="auto" w:sz="4" w:space="0"/>
              <w:right w:val="single" w:color="auto" w:sz="4" w:space="0"/>
            </w:tcBorders>
            <w:noWrap/>
            <w:vAlign w:val="center"/>
          </w:tcPr>
          <w:p w14:paraId="42E23C1D">
            <w:pPr>
              <w:jc w:val="center"/>
              <w:rPr>
                <w:rFonts w:ascii="宋体" w:hAnsi="宋体" w:cs="宋体"/>
                <w:color w:val="auto"/>
                <w:szCs w:val="21"/>
                <w:highlight w:val="none"/>
              </w:rPr>
            </w:pPr>
            <w:r>
              <w:rPr>
                <w:rFonts w:hint="eastAsia" w:ascii="宋体" w:hAnsi="宋体" w:cs="宋体"/>
                <w:color w:val="auto"/>
                <w:szCs w:val="21"/>
                <w:highlight w:val="none"/>
              </w:rPr>
              <w:t>实质性要求和条件</w:t>
            </w:r>
          </w:p>
        </w:tc>
        <w:tc>
          <w:tcPr>
            <w:tcW w:w="6917" w:type="dxa"/>
            <w:tcBorders>
              <w:top w:val="single" w:color="auto" w:sz="4" w:space="0"/>
              <w:left w:val="single" w:color="auto" w:sz="4" w:space="0"/>
              <w:bottom w:val="single" w:color="auto" w:sz="4" w:space="0"/>
              <w:right w:val="single" w:color="auto" w:sz="4" w:space="0"/>
            </w:tcBorders>
            <w:noWrap/>
            <w:vAlign w:val="center"/>
          </w:tcPr>
          <w:p w14:paraId="59F84CE7">
            <w:pPr>
              <w:pStyle w:val="12"/>
              <w:topLinePunct/>
              <w:rPr>
                <w:rFonts w:ascii="宋体" w:hAnsi="宋体" w:cs="宋体"/>
                <w:color w:val="auto"/>
                <w:sz w:val="21"/>
                <w:szCs w:val="21"/>
                <w:highlight w:val="none"/>
              </w:rPr>
            </w:pPr>
            <w:r>
              <w:rPr>
                <w:rFonts w:ascii="宋体" w:hAnsi="宋体" w:cs="宋体"/>
                <w:color w:val="auto"/>
                <w:sz w:val="21"/>
                <w:szCs w:val="21"/>
                <w:highlight w:val="none"/>
              </w:rPr>
              <w:t>/</w:t>
            </w:r>
          </w:p>
        </w:tc>
      </w:tr>
      <w:tr w14:paraId="2C757E36">
        <w:tblPrEx>
          <w:tblCellMar>
            <w:top w:w="0" w:type="dxa"/>
            <w:left w:w="108" w:type="dxa"/>
            <w:bottom w:w="0" w:type="dxa"/>
            <w:right w:w="108" w:type="dxa"/>
          </w:tblCellMar>
        </w:tblPrEx>
        <w:trPr>
          <w:trHeight w:val="864"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4613FF83">
            <w:pPr>
              <w:jc w:val="center"/>
              <w:rPr>
                <w:rFonts w:ascii="宋体" w:hAnsi="宋体" w:cs="宋体"/>
                <w:color w:val="auto"/>
                <w:szCs w:val="21"/>
                <w:highlight w:val="none"/>
              </w:rPr>
            </w:pPr>
            <w:r>
              <w:rPr>
                <w:rFonts w:ascii="宋体" w:hAnsi="宋体" w:cs="宋体"/>
                <w:color w:val="auto"/>
                <w:szCs w:val="21"/>
                <w:highlight w:val="none"/>
              </w:rPr>
              <w:t>1.12.3</w:t>
            </w:r>
          </w:p>
        </w:tc>
        <w:tc>
          <w:tcPr>
            <w:tcW w:w="2050" w:type="dxa"/>
            <w:tcBorders>
              <w:top w:val="single" w:color="auto" w:sz="4" w:space="0"/>
              <w:left w:val="single" w:color="auto" w:sz="4" w:space="0"/>
              <w:bottom w:val="single" w:color="auto" w:sz="4" w:space="0"/>
              <w:right w:val="single" w:color="auto" w:sz="4" w:space="0"/>
            </w:tcBorders>
            <w:noWrap/>
            <w:vAlign w:val="center"/>
          </w:tcPr>
          <w:p w14:paraId="5F6B9574">
            <w:pPr>
              <w:jc w:val="center"/>
              <w:rPr>
                <w:rFonts w:ascii="宋体" w:hAnsi="宋体" w:cs="宋体"/>
                <w:color w:val="auto"/>
                <w:szCs w:val="21"/>
                <w:highlight w:val="none"/>
              </w:rPr>
            </w:pPr>
            <w:r>
              <w:rPr>
                <w:rFonts w:hint="eastAsia" w:ascii="宋体" w:hAnsi="宋体" w:cs="宋体"/>
                <w:color w:val="auto"/>
                <w:szCs w:val="21"/>
                <w:highlight w:val="none"/>
              </w:rPr>
              <w:t>偏差</w:t>
            </w:r>
          </w:p>
        </w:tc>
        <w:tc>
          <w:tcPr>
            <w:tcW w:w="6917" w:type="dxa"/>
            <w:tcBorders>
              <w:top w:val="single" w:color="auto" w:sz="4" w:space="0"/>
              <w:left w:val="single" w:color="auto" w:sz="4" w:space="0"/>
              <w:bottom w:val="single" w:color="auto" w:sz="4" w:space="0"/>
              <w:right w:val="single" w:color="auto" w:sz="4" w:space="0"/>
            </w:tcBorders>
            <w:noWrap/>
            <w:vAlign w:val="center"/>
          </w:tcPr>
          <w:p w14:paraId="49F19BD2">
            <w:pPr>
              <w:rPr>
                <w:rFonts w:ascii="宋体" w:hAnsi="宋体" w:cs="宋体"/>
                <w:color w:val="auto"/>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不允许</w:t>
            </w:r>
          </w:p>
          <w:p w14:paraId="056259CB">
            <w:pPr>
              <w:pStyle w:val="12"/>
              <w:topLinePunct/>
              <w:rPr>
                <w:rFonts w:ascii="宋体" w:hAnsi="宋体" w:cs="宋体"/>
                <w:color w:val="auto"/>
                <w:sz w:val="21"/>
                <w:szCs w:val="21"/>
                <w:highlight w:val="none"/>
              </w:rPr>
            </w:pPr>
            <w:r>
              <w:rPr>
                <w:rFonts w:hint="eastAsia" w:ascii="宋体" w:hAnsi="宋体" w:cs="宋体"/>
                <w:color w:val="auto"/>
                <w:sz w:val="21"/>
                <w:szCs w:val="21"/>
                <w:highlight w:val="none"/>
              </w:rPr>
              <w:t>□允许，偏差范围：</w:t>
            </w:r>
          </w:p>
          <w:p w14:paraId="3A2F0622">
            <w:pPr>
              <w:pStyle w:val="12"/>
              <w:topLinePunct/>
              <w:ind w:firstLine="945" w:firstLineChars="450"/>
              <w:rPr>
                <w:rFonts w:ascii="宋体" w:hAnsi="宋体" w:cs="宋体"/>
                <w:color w:val="auto"/>
                <w:sz w:val="21"/>
                <w:szCs w:val="21"/>
                <w:highlight w:val="none"/>
              </w:rPr>
            </w:pPr>
            <w:r>
              <w:rPr>
                <w:rFonts w:hint="eastAsia" w:ascii="宋体" w:hAnsi="宋体" w:cs="宋体"/>
                <w:color w:val="auto"/>
                <w:sz w:val="21"/>
                <w:szCs w:val="21"/>
                <w:highlight w:val="none"/>
              </w:rPr>
              <w:t>偏差幅度：</w:t>
            </w:r>
          </w:p>
        </w:tc>
      </w:tr>
      <w:tr w14:paraId="1979C893">
        <w:tblPrEx>
          <w:tblCellMar>
            <w:top w:w="0" w:type="dxa"/>
            <w:left w:w="108" w:type="dxa"/>
            <w:bottom w:w="0" w:type="dxa"/>
            <w:right w:w="108" w:type="dxa"/>
          </w:tblCellMar>
        </w:tblPrEx>
        <w:trPr>
          <w:trHeight w:val="562"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19215CAF">
            <w:pPr>
              <w:jc w:val="center"/>
              <w:rPr>
                <w:rFonts w:ascii="宋体" w:hAnsi="宋体" w:cs="宋体"/>
                <w:color w:val="auto"/>
                <w:szCs w:val="21"/>
                <w:highlight w:val="none"/>
              </w:rPr>
            </w:pPr>
            <w:r>
              <w:rPr>
                <w:rFonts w:ascii="宋体" w:hAnsi="宋体" w:cs="宋体"/>
                <w:color w:val="auto"/>
                <w:szCs w:val="21"/>
                <w:highlight w:val="none"/>
              </w:rPr>
              <w:t>2.1</w:t>
            </w:r>
          </w:p>
        </w:tc>
        <w:tc>
          <w:tcPr>
            <w:tcW w:w="2050" w:type="dxa"/>
            <w:tcBorders>
              <w:top w:val="single" w:color="auto" w:sz="4" w:space="0"/>
              <w:left w:val="single" w:color="auto" w:sz="4" w:space="0"/>
              <w:bottom w:val="single" w:color="auto" w:sz="4" w:space="0"/>
              <w:right w:val="single" w:color="auto" w:sz="4" w:space="0"/>
            </w:tcBorders>
            <w:noWrap/>
            <w:vAlign w:val="center"/>
          </w:tcPr>
          <w:p w14:paraId="500FFE60">
            <w:pPr>
              <w:jc w:val="center"/>
              <w:rPr>
                <w:rFonts w:ascii="宋体" w:hAnsi="宋体" w:cs="宋体"/>
                <w:color w:val="auto"/>
                <w:szCs w:val="21"/>
                <w:highlight w:val="none"/>
              </w:rPr>
            </w:pPr>
            <w:r>
              <w:rPr>
                <w:rFonts w:hint="eastAsia" w:ascii="宋体" w:hAnsi="宋体" w:cs="宋体"/>
                <w:color w:val="auto"/>
                <w:szCs w:val="21"/>
                <w:highlight w:val="none"/>
              </w:rPr>
              <w:t>构成招标文件的其他资料</w:t>
            </w:r>
          </w:p>
        </w:tc>
        <w:tc>
          <w:tcPr>
            <w:tcW w:w="6917" w:type="dxa"/>
            <w:tcBorders>
              <w:top w:val="single" w:color="auto" w:sz="4" w:space="0"/>
              <w:left w:val="single" w:color="auto" w:sz="4" w:space="0"/>
              <w:bottom w:val="single" w:color="auto" w:sz="4" w:space="0"/>
              <w:right w:val="single" w:color="auto" w:sz="4" w:space="0"/>
            </w:tcBorders>
            <w:noWrap/>
            <w:vAlign w:val="center"/>
          </w:tcPr>
          <w:p w14:paraId="5FDC1AAA">
            <w:pPr>
              <w:rPr>
                <w:rFonts w:ascii="宋体" w:hAnsi="宋体" w:cs="宋体"/>
                <w:color w:val="auto"/>
                <w:szCs w:val="21"/>
                <w:highlight w:val="none"/>
              </w:rPr>
            </w:pPr>
            <w:r>
              <w:rPr>
                <w:rFonts w:ascii="宋体" w:hAnsi="宋体" w:cs="宋体"/>
                <w:color w:val="auto"/>
                <w:szCs w:val="21"/>
                <w:highlight w:val="none"/>
                <w:u w:val="single"/>
              </w:rPr>
              <w:t>/</w:t>
            </w:r>
          </w:p>
        </w:tc>
      </w:tr>
      <w:tr w14:paraId="6E1AEABF">
        <w:tblPrEx>
          <w:tblCellMar>
            <w:top w:w="0" w:type="dxa"/>
            <w:left w:w="108" w:type="dxa"/>
            <w:bottom w:w="0" w:type="dxa"/>
            <w:right w:w="108" w:type="dxa"/>
          </w:tblCellMar>
        </w:tblPrEx>
        <w:trPr>
          <w:trHeight w:val="394" w:hRule="atLeast"/>
        </w:trPr>
        <w:tc>
          <w:tcPr>
            <w:tcW w:w="1012" w:type="dxa"/>
            <w:vMerge w:val="restart"/>
            <w:tcBorders>
              <w:top w:val="single" w:color="auto" w:sz="4" w:space="0"/>
              <w:left w:val="single" w:color="auto" w:sz="4" w:space="0"/>
              <w:right w:val="single" w:color="auto" w:sz="4" w:space="0"/>
            </w:tcBorders>
            <w:noWrap/>
            <w:vAlign w:val="center"/>
          </w:tcPr>
          <w:p w14:paraId="18045815">
            <w:pPr>
              <w:jc w:val="center"/>
              <w:rPr>
                <w:rFonts w:ascii="宋体" w:hAnsi="宋体" w:cs="宋体"/>
                <w:color w:val="auto"/>
                <w:szCs w:val="21"/>
                <w:highlight w:val="none"/>
              </w:rPr>
            </w:pPr>
            <w:r>
              <w:rPr>
                <w:rFonts w:ascii="宋体" w:hAnsi="宋体" w:cs="宋体"/>
                <w:color w:val="auto"/>
                <w:szCs w:val="21"/>
                <w:highlight w:val="none"/>
              </w:rPr>
              <w:t>2.2.1</w:t>
            </w:r>
          </w:p>
        </w:tc>
        <w:tc>
          <w:tcPr>
            <w:tcW w:w="2050" w:type="dxa"/>
            <w:vMerge w:val="restart"/>
            <w:tcBorders>
              <w:top w:val="single" w:color="auto" w:sz="4" w:space="0"/>
              <w:left w:val="single" w:color="auto" w:sz="4" w:space="0"/>
              <w:right w:val="single" w:color="auto" w:sz="4" w:space="0"/>
            </w:tcBorders>
            <w:noWrap/>
            <w:vAlign w:val="center"/>
          </w:tcPr>
          <w:p w14:paraId="4E74A0C8">
            <w:pPr>
              <w:jc w:val="center"/>
              <w:rPr>
                <w:rFonts w:ascii="宋体" w:hAnsi="宋体" w:cs="宋体"/>
                <w:color w:val="auto"/>
                <w:szCs w:val="21"/>
                <w:highlight w:val="none"/>
              </w:rPr>
            </w:pPr>
            <w:r>
              <w:rPr>
                <w:rFonts w:hint="eastAsia" w:ascii="宋体" w:hAnsi="宋体" w:cs="宋体"/>
                <w:color w:val="auto"/>
                <w:szCs w:val="21"/>
                <w:highlight w:val="none"/>
              </w:rPr>
              <w:t>投标人要求澄清招标文件</w:t>
            </w:r>
          </w:p>
        </w:tc>
        <w:tc>
          <w:tcPr>
            <w:tcW w:w="6917" w:type="dxa"/>
            <w:tcBorders>
              <w:top w:val="single" w:color="auto" w:sz="4" w:space="0"/>
              <w:left w:val="single" w:color="auto" w:sz="4" w:space="0"/>
              <w:bottom w:val="single" w:color="auto" w:sz="4" w:space="0"/>
              <w:right w:val="single" w:color="auto" w:sz="4" w:space="0"/>
            </w:tcBorders>
            <w:noWrap/>
            <w:vAlign w:val="center"/>
          </w:tcPr>
          <w:p w14:paraId="5073278D">
            <w:pPr>
              <w:jc w:val="left"/>
              <w:rPr>
                <w:rFonts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color w:val="auto"/>
                <w:szCs w:val="21"/>
                <w:highlight w:val="none"/>
                <w:lang w:eastAsia="zh-CN"/>
              </w:rPr>
              <w:t>2025</w:t>
            </w:r>
            <w:r>
              <w:rPr>
                <w:rFonts w:ascii="宋体" w:hAnsi="宋体" w:cs="宋体"/>
                <w:color w:val="auto"/>
                <w:szCs w:val="21"/>
                <w:highlight w:val="none"/>
              </w:rPr>
              <w:t xml:space="preserve">年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时前(</w:t>
            </w:r>
            <w:r>
              <w:rPr>
                <w:rFonts w:hint="eastAsia"/>
                <w:color w:val="auto"/>
                <w:highlight w:val="none"/>
              </w:rPr>
              <w:t>具体见交易中心的日程安排</w:t>
            </w:r>
            <w:r>
              <w:rPr>
                <w:rFonts w:hint="eastAsia" w:ascii="宋体" w:hAnsi="宋体" w:cs="宋体"/>
                <w:color w:val="auto"/>
                <w:szCs w:val="21"/>
                <w:highlight w:val="none"/>
              </w:rPr>
              <w:t>)</w:t>
            </w:r>
            <w:r>
              <w:rPr>
                <w:rFonts w:ascii="宋体" w:hAnsi="宋体" w:cs="宋体"/>
                <w:color w:val="auto"/>
                <w:szCs w:val="21"/>
                <w:highlight w:val="none"/>
              </w:rPr>
              <w:t>。</w:t>
            </w:r>
          </w:p>
        </w:tc>
      </w:tr>
      <w:tr w14:paraId="4A3AF9EC">
        <w:tblPrEx>
          <w:tblCellMar>
            <w:top w:w="0" w:type="dxa"/>
            <w:left w:w="108" w:type="dxa"/>
            <w:bottom w:w="0" w:type="dxa"/>
            <w:right w:w="108" w:type="dxa"/>
          </w:tblCellMar>
        </w:tblPrEx>
        <w:trPr>
          <w:trHeight w:val="1305" w:hRule="atLeast"/>
        </w:trPr>
        <w:tc>
          <w:tcPr>
            <w:tcW w:w="1012" w:type="dxa"/>
            <w:vMerge w:val="continue"/>
            <w:tcBorders>
              <w:left w:val="single" w:color="auto" w:sz="4" w:space="0"/>
              <w:bottom w:val="single" w:color="auto" w:sz="4" w:space="0"/>
              <w:right w:val="single" w:color="auto" w:sz="4" w:space="0"/>
            </w:tcBorders>
            <w:noWrap/>
            <w:vAlign w:val="center"/>
          </w:tcPr>
          <w:p w14:paraId="5666AB6B">
            <w:pPr>
              <w:jc w:val="center"/>
              <w:rPr>
                <w:rFonts w:ascii="宋体" w:hAnsi="宋体" w:cs="宋体"/>
                <w:color w:val="auto"/>
                <w:szCs w:val="21"/>
                <w:highlight w:val="none"/>
              </w:rPr>
            </w:pPr>
          </w:p>
        </w:tc>
        <w:tc>
          <w:tcPr>
            <w:tcW w:w="2050" w:type="dxa"/>
            <w:vMerge w:val="continue"/>
            <w:tcBorders>
              <w:left w:val="single" w:color="auto" w:sz="4" w:space="0"/>
              <w:bottom w:val="single" w:color="auto" w:sz="4" w:space="0"/>
              <w:right w:val="single" w:color="auto" w:sz="4" w:space="0"/>
            </w:tcBorders>
            <w:noWrap/>
            <w:vAlign w:val="center"/>
          </w:tcPr>
          <w:p w14:paraId="4475D85F">
            <w:pPr>
              <w:jc w:val="center"/>
              <w:rPr>
                <w:rFonts w:ascii="宋体" w:hAnsi="宋体" w:cs="宋体"/>
                <w:color w:val="auto"/>
                <w:szCs w:val="21"/>
                <w:highlight w:val="none"/>
              </w:rPr>
            </w:pPr>
          </w:p>
        </w:tc>
        <w:tc>
          <w:tcPr>
            <w:tcW w:w="6917" w:type="dxa"/>
            <w:tcBorders>
              <w:top w:val="single" w:color="auto" w:sz="4" w:space="0"/>
              <w:left w:val="single" w:color="auto" w:sz="4" w:space="0"/>
              <w:bottom w:val="single" w:color="auto" w:sz="4" w:space="0"/>
              <w:right w:val="single" w:color="auto" w:sz="4" w:space="0"/>
            </w:tcBorders>
            <w:noWrap/>
            <w:vAlign w:val="center"/>
          </w:tcPr>
          <w:p w14:paraId="52D8FADD">
            <w:pPr>
              <w:rPr>
                <w:rFonts w:ascii="宋体" w:hAnsi="宋体" w:cs="宋体"/>
                <w:color w:val="auto"/>
                <w:szCs w:val="21"/>
                <w:highlight w:val="none"/>
              </w:rPr>
            </w:pPr>
            <w:r>
              <w:rPr>
                <w:rFonts w:hint="eastAsia" w:ascii="宋体" w:hAnsi="宋体"/>
                <w:color w:val="auto"/>
                <w:szCs w:val="21"/>
                <w:highlight w:val="none"/>
                <w:u w:val="single"/>
              </w:rPr>
              <w:t>形式：投标人的疑问通过广州交易集团有限公司（广州公共资源交易中心）数字交易平台提交。按照广州交易集团有限公司（广州公共资源交易中心）数字交易平台关于全流程电子化项目的相关指南进行操作，详见：广州公共资源交易中心网站最新发布的最新相关指引。提问一律不得署名。</w:t>
            </w:r>
          </w:p>
        </w:tc>
      </w:tr>
      <w:tr w14:paraId="18A1700E">
        <w:tblPrEx>
          <w:tblCellMar>
            <w:top w:w="0" w:type="dxa"/>
            <w:left w:w="108" w:type="dxa"/>
            <w:bottom w:w="0" w:type="dxa"/>
            <w:right w:w="108" w:type="dxa"/>
          </w:tblCellMar>
        </w:tblPrEx>
        <w:trPr>
          <w:trHeight w:val="859" w:hRule="atLeast"/>
        </w:trPr>
        <w:tc>
          <w:tcPr>
            <w:tcW w:w="1012" w:type="dxa"/>
            <w:tcBorders>
              <w:left w:val="single" w:color="auto" w:sz="4" w:space="0"/>
              <w:bottom w:val="single" w:color="auto" w:sz="4" w:space="0"/>
              <w:right w:val="single" w:color="auto" w:sz="4" w:space="0"/>
            </w:tcBorders>
            <w:noWrap/>
            <w:vAlign w:val="center"/>
          </w:tcPr>
          <w:p w14:paraId="7C0C82ED">
            <w:pPr>
              <w:jc w:val="center"/>
              <w:rPr>
                <w:rFonts w:ascii="宋体" w:hAnsi="宋体" w:cs="宋体"/>
                <w:color w:val="auto"/>
                <w:szCs w:val="21"/>
                <w:highlight w:val="none"/>
              </w:rPr>
            </w:pPr>
            <w:r>
              <w:rPr>
                <w:rFonts w:ascii="宋体" w:hAnsi="宋体" w:cs="宋体"/>
                <w:color w:val="auto"/>
                <w:szCs w:val="21"/>
                <w:highlight w:val="none"/>
              </w:rPr>
              <w:t>2.2.2</w:t>
            </w:r>
          </w:p>
        </w:tc>
        <w:tc>
          <w:tcPr>
            <w:tcW w:w="2050" w:type="dxa"/>
            <w:tcBorders>
              <w:left w:val="single" w:color="auto" w:sz="4" w:space="0"/>
              <w:bottom w:val="single" w:color="auto" w:sz="4" w:space="0"/>
              <w:right w:val="single" w:color="auto" w:sz="4" w:space="0"/>
            </w:tcBorders>
            <w:noWrap/>
            <w:vAlign w:val="center"/>
          </w:tcPr>
          <w:p w14:paraId="4B292781">
            <w:pPr>
              <w:jc w:val="center"/>
              <w:rPr>
                <w:rFonts w:ascii="宋体" w:hAnsi="宋体" w:cs="宋体"/>
                <w:color w:val="auto"/>
                <w:szCs w:val="21"/>
                <w:highlight w:val="none"/>
              </w:rPr>
            </w:pPr>
            <w:r>
              <w:rPr>
                <w:rFonts w:hint="eastAsia" w:ascii="宋体" w:hAnsi="宋体" w:cs="宋体"/>
                <w:color w:val="auto"/>
                <w:szCs w:val="21"/>
                <w:highlight w:val="none"/>
              </w:rPr>
              <w:t>招标文件澄清发出的形式</w:t>
            </w:r>
          </w:p>
        </w:tc>
        <w:tc>
          <w:tcPr>
            <w:tcW w:w="6917" w:type="dxa"/>
            <w:tcBorders>
              <w:top w:val="single" w:color="auto" w:sz="4" w:space="0"/>
              <w:left w:val="single" w:color="auto" w:sz="4" w:space="0"/>
              <w:bottom w:val="single" w:color="auto" w:sz="4" w:space="0"/>
              <w:right w:val="single" w:color="auto" w:sz="4" w:space="0"/>
            </w:tcBorders>
            <w:noWrap/>
            <w:vAlign w:val="center"/>
          </w:tcPr>
          <w:p w14:paraId="6A47E75F">
            <w:pPr>
              <w:jc w:val="left"/>
              <w:rPr>
                <w:rFonts w:ascii="宋体" w:hAnsi="宋体" w:cs="宋体"/>
                <w:color w:val="auto"/>
                <w:szCs w:val="21"/>
                <w:highlight w:val="none"/>
              </w:rPr>
            </w:pPr>
            <w:r>
              <w:rPr>
                <w:rFonts w:hint="eastAsia" w:ascii="宋体" w:hAnsi="宋体"/>
                <w:color w:val="auto"/>
                <w:szCs w:val="21"/>
                <w:highlight w:val="none"/>
              </w:rPr>
              <w:t>招标人应在递交投标文件截止时间</w:t>
            </w:r>
            <w:r>
              <w:rPr>
                <w:rFonts w:ascii="宋体" w:hAnsi="宋体"/>
                <w:color w:val="auto"/>
                <w:szCs w:val="21"/>
                <w:highlight w:val="none"/>
              </w:rPr>
              <w:t>15</w:t>
            </w:r>
            <w:r>
              <w:rPr>
                <w:rFonts w:hint="eastAsia" w:ascii="宋体" w:hAnsi="宋体"/>
                <w:color w:val="auto"/>
                <w:szCs w:val="21"/>
                <w:highlight w:val="none"/>
              </w:rPr>
              <w:t>日前将招标文件澄清文件在广州交易集团有限公司（广州公共资源交易中心）网站答疑专区发布。不足</w:t>
            </w:r>
            <w:r>
              <w:rPr>
                <w:rFonts w:ascii="宋体" w:hAnsi="宋体"/>
                <w:color w:val="auto"/>
                <w:szCs w:val="21"/>
                <w:highlight w:val="none"/>
              </w:rPr>
              <w:t>15</w:t>
            </w:r>
            <w:r>
              <w:rPr>
                <w:rFonts w:hint="eastAsia" w:ascii="宋体" w:hAnsi="宋体"/>
                <w:color w:val="auto"/>
                <w:szCs w:val="21"/>
                <w:highlight w:val="none"/>
              </w:rPr>
              <w:t>日的，招标人应当顺延投标文件的截止时间。</w:t>
            </w:r>
          </w:p>
        </w:tc>
      </w:tr>
      <w:tr w14:paraId="2E576CF9">
        <w:tblPrEx>
          <w:tblCellMar>
            <w:top w:w="0" w:type="dxa"/>
            <w:left w:w="108" w:type="dxa"/>
            <w:bottom w:w="0" w:type="dxa"/>
            <w:right w:w="108" w:type="dxa"/>
          </w:tblCellMar>
        </w:tblPrEx>
        <w:trPr>
          <w:trHeight w:val="403" w:hRule="atLeast"/>
        </w:trPr>
        <w:tc>
          <w:tcPr>
            <w:tcW w:w="1012" w:type="dxa"/>
            <w:vMerge w:val="restart"/>
            <w:tcBorders>
              <w:top w:val="single" w:color="auto" w:sz="4" w:space="0"/>
              <w:left w:val="single" w:color="auto" w:sz="4" w:space="0"/>
              <w:right w:val="single" w:color="auto" w:sz="4" w:space="0"/>
            </w:tcBorders>
            <w:noWrap/>
            <w:vAlign w:val="center"/>
          </w:tcPr>
          <w:p w14:paraId="23F8DE14">
            <w:pPr>
              <w:jc w:val="center"/>
              <w:rPr>
                <w:rFonts w:ascii="宋体" w:hAnsi="宋体" w:cs="宋体"/>
                <w:color w:val="auto"/>
                <w:szCs w:val="21"/>
                <w:highlight w:val="none"/>
              </w:rPr>
            </w:pPr>
            <w:r>
              <w:rPr>
                <w:rFonts w:ascii="宋体" w:hAnsi="宋体" w:cs="宋体"/>
                <w:color w:val="auto"/>
                <w:szCs w:val="21"/>
                <w:highlight w:val="none"/>
              </w:rPr>
              <w:t>2.2.3</w:t>
            </w:r>
          </w:p>
        </w:tc>
        <w:tc>
          <w:tcPr>
            <w:tcW w:w="2050" w:type="dxa"/>
            <w:vMerge w:val="restart"/>
            <w:tcBorders>
              <w:top w:val="single" w:color="auto" w:sz="4" w:space="0"/>
              <w:left w:val="single" w:color="auto" w:sz="4" w:space="0"/>
              <w:right w:val="single" w:color="auto" w:sz="4" w:space="0"/>
            </w:tcBorders>
            <w:noWrap/>
            <w:vAlign w:val="center"/>
          </w:tcPr>
          <w:p w14:paraId="55FC6A1B">
            <w:pPr>
              <w:jc w:val="center"/>
              <w:rPr>
                <w:rFonts w:ascii="宋体" w:hAnsi="宋体" w:cs="宋体"/>
                <w:color w:val="auto"/>
                <w:szCs w:val="21"/>
                <w:highlight w:val="none"/>
              </w:rPr>
            </w:pPr>
            <w:r>
              <w:rPr>
                <w:rFonts w:hint="eastAsia" w:ascii="宋体" w:hAnsi="宋体" w:cs="宋体"/>
                <w:color w:val="auto"/>
                <w:szCs w:val="21"/>
                <w:highlight w:val="none"/>
              </w:rPr>
              <w:t>投标人确认收到招标文件澄清</w:t>
            </w:r>
          </w:p>
        </w:tc>
        <w:tc>
          <w:tcPr>
            <w:tcW w:w="6917" w:type="dxa"/>
            <w:tcBorders>
              <w:top w:val="single" w:color="auto" w:sz="4" w:space="0"/>
              <w:left w:val="single" w:color="auto" w:sz="4" w:space="0"/>
              <w:bottom w:val="single" w:color="auto" w:sz="4" w:space="0"/>
              <w:right w:val="single" w:color="auto" w:sz="4" w:space="0"/>
            </w:tcBorders>
            <w:noWrap/>
            <w:vAlign w:val="center"/>
          </w:tcPr>
          <w:p w14:paraId="00D6A3C2">
            <w:pPr>
              <w:jc w:val="left"/>
              <w:rPr>
                <w:rFonts w:ascii="宋体" w:hAnsi="宋体" w:cs="宋体"/>
                <w:color w:val="auto"/>
                <w:szCs w:val="21"/>
                <w:highlight w:val="none"/>
              </w:rPr>
            </w:pPr>
            <w:r>
              <w:rPr>
                <w:rFonts w:hint="eastAsia" w:ascii="宋体" w:hAnsi="宋体" w:cs="宋体"/>
                <w:color w:val="auto"/>
                <w:szCs w:val="21"/>
                <w:highlight w:val="none"/>
              </w:rPr>
              <w:t>时间：发出即视作收到。</w:t>
            </w:r>
          </w:p>
        </w:tc>
      </w:tr>
      <w:tr w14:paraId="54141C8D">
        <w:tblPrEx>
          <w:tblCellMar>
            <w:top w:w="0" w:type="dxa"/>
            <w:left w:w="108" w:type="dxa"/>
            <w:bottom w:w="0" w:type="dxa"/>
            <w:right w:w="108" w:type="dxa"/>
          </w:tblCellMar>
        </w:tblPrEx>
        <w:trPr>
          <w:trHeight w:val="1427" w:hRule="atLeast"/>
        </w:trPr>
        <w:tc>
          <w:tcPr>
            <w:tcW w:w="1012" w:type="dxa"/>
            <w:vMerge w:val="continue"/>
            <w:tcBorders>
              <w:left w:val="single" w:color="auto" w:sz="4" w:space="0"/>
              <w:bottom w:val="single" w:color="auto" w:sz="4" w:space="0"/>
              <w:right w:val="single" w:color="auto" w:sz="4" w:space="0"/>
            </w:tcBorders>
            <w:noWrap/>
            <w:vAlign w:val="center"/>
          </w:tcPr>
          <w:p w14:paraId="5B4DC567">
            <w:pPr>
              <w:jc w:val="center"/>
              <w:rPr>
                <w:rFonts w:ascii="宋体" w:hAnsi="宋体" w:cs="宋体"/>
                <w:color w:val="auto"/>
                <w:szCs w:val="21"/>
                <w:highlight w:val="none"/>
              </w:rPr>
            </w:pPr>
          </w:p>
        </w:tc>
        <w:tc>
          <w:tcPr>
            <w:tcW w:w="2050" w:type="dxa"/>
            <w:vMerge w:val="continue"/>
            <w:tcBorders>
              <w:left w:val="single" w:color="auto" w:sz="4" w:space="0"/>
              <w:bottom w:val="single" w:color="auto" w:sz="4" w:space="0"/>
              <w:right w:val="single" w:color="auto" w:sz="4" w:space="0"/>
            </w:tcBorders>
            <w:noWrap/>
            <w:vAlign w:val="center"/>
          </w:tcPr>
          <w:p w14:paraId="161A5CDC">
            <w:pPr>
              <w:jc w:val="center"/>
              <w:rPr>
                <w:rFonts w:ascii="宋体" w:hAnsi="宋体" w:cs="宋体"/>
                <w:color w:val="auto"/>
                <w:szCs w:val="21"/>
                <w:highlight w:val="none"/>
              </w:rPr>
            </w:pPr>
          </w:p>
        </w:tc>
        <w:tc>
          <w:tcPr>
            <w:tcW w:w="6917" w:type="dxa"/>
            <w:tcBorders>
              <w:top w:val="single" w:color="auto" w:sz="4" w:space="0"/>
              <w:left w:val="single" w:color="auto" w:sz="4" w:space="0"/>
              <w:bottom w:val="single" w:color="auto" w:sz="4" w:space="0"/>
              <w:right w:val="single" w:color="auto" w:sz="4" w:space="0"/>
            </w:tcBorders>
            <w:noWrap/>
            <w:vAlign w:val="center"/>
          </w:tcPr>
          <w:p w14:paraId="6EEA394E">
            <w:pPr>
              <w:jc w:val="left"/>
              <w:rPr>
                <w:rFonts w:ascii="宋体" w:hAnsi="宋体" w:cs="宋体"/>
                <w:color w:val="auto"/>
                <w:szCs w:val="21"/>
                <w:highlight w:val="none"/>
              </w:rPr>
            </w:pPr>
            <w:r>
              <w:rPr>
                <w:rFonts w:hint="eastAsia" w:ascii="宋体" w:hAnsi="宋体" w:cs="宋体"/>
                <w:color w:val="auto"/>
                <w:szCs w:val="21"/>
                <w:highlight w:val="none"/>
              </w:rPr>
              <w:t>形式：</w:t>
            </w:r>
            <w:r>
              <w:rPr>
                <w:rFonts w:hint="eastAsia" w:ascii="宋体" w:hAnsi="宋体"/>
                <w:color w:val="auto"/>
                <w:szCs w:val="21"/>
                <w:highlight w:val="none"/>
                <w:u w:val="single"/>
              </w:rPr>
              <w:t>招标文件的澄清或修改在广州交易集团有限公司（广州公共资源交易中心）网站答疑专区网上公开发布，发出即视作收到，以广州交易集团有限公司（广州公共资源交易中心）数字交易平台网站发布时间作为送达时间。无需投标人确认。投标人应自行关注，招标人不再一一通知。招标文件的澄清或修改内容作为招标文件的组成部分，具有约束作用。</w:t>
            </w:r>
          </w:p>
        </w:tc>
      </w:tr>
      <w:tr w14:paraId="19EB2A3C">
        <w:tblPrEx>
          <w:tblCellMar>
            <w:top w:w="0" w:type="dxa"/>
            <w:left w:w="108" w:type="dxa"/>
            <w:bottom w:w="0" w:type="dxa"/>
            <w:right w:w="108" w:type="dxa"/>
          </w:tblCellMar>
        </w:tblPrEx>
        <w:trPr>
          <w:trHeight w:val="677" w:hRule="atLeast"/>
        </w:trPr>
        <w:tc>
          <w:tcPr>
            <w:tcW w:w="1012" w:type="dxa"/>
            <w:tcBorders>
              <w:left w:val="single" w:color="auto" w:sz="4" w:space="0"/>
              <w:bottom w:val="single" w:color="auto" w:sz="4" w:space="0"/>
              <w:right w:val="single" w:color="auto" w:sz="4" w:space="0"/>
            </w:tcBorders>
            <w:noWrap/>
            <w:vAlign w:val="center"/>
          </w:tcPr>
          <w:p w14:paraId="158AFB64">
            <w:pPr>
              <w:jc w:val="center"/>
              <w:rPr>
                <w:rFonts w:ascii="宋体" w:hAnsi="宋体" w:cs="宋体"/>
                <w:color w:val="auto"/>
                <w:szCs w:val="21"/>
                <w:highlight w:val="none"/>
              </w:rPr>
            </w:pPr>
            <w:r>
              <w:rPr>
                <w:rFonts w:ascii="宋体" w:hAnsi="宋体" w:cs="宋体"/>
                <w:color w:val="auto"/>
                <w:szCs w:val="21"/>
                <w:highlight w:val="none"/>
              </w:rPr>
              <w:t>2.3.1</w:t>
            </w:r>
          </w:p>
        </w:tc>
        <w:tc>
          <w:tcPr>
            <w:tcW w:w="2050" w:type="dxa"/>
            <w:tcBorders>
              <w:left w:val="single" w:color="auto" w:sz="4" w:space="0"/>
              <w:bottom w:val="single" w:color="auto" w:sz="4" w:space="0"/>
              <w:right w:val="single" w:color="auto" w:sz="4" w:space="0"/>
            </w:tcBorders>
            <w:noWrap/>
            <w:vAlign w:val="center"/>
          </w:tcPr>
          <w:p w14:paraId="042047BD">
            <w:pPr>
              <w:jc w:val="center"/>
              <w:rPr>
                <w:rFonts w:ascii="宋体" w:hAnsi="宋体" w:cs="宋体"/>
                <w:color w:val="auto"/>
                <w:szCs w:val="21"/>
                <w:highlight w:val="none"/>
              </w:rPr>
            </w:pPr>
            <w:r>
              <w:rPr>
                <w:rFonts w:hint="eastAsia" w:ascii="宋体" w:hAnsi="宋体" w:cs="宋体"/>
                <w:color w:val="auto"/>
                <w:szCs w:val="21"/>
                <w:highlight w:val="none"/>
              </w:rPr>
              <w:t>招标文件修改发出的形式</w:t>
            </w:r>
          </w:p>
        </w:tc>
        <w:tc>
          <w:tcPr>
            <w:tcW w:w="6917" w:type="dxa"/>
            <w:tcBorders>
              <w:top w:val="single" w:color="auto" w:sz="4" w:space="0"/>
              <w:left w:val="single" w:color="auto" w:sz="4" w:space="0"/>
              <w:bottom w:val="single" w:color="auto" w:sz="4" w:space="0"/>
              <w:right w:val="single" w:color="auto" w:sz="4" w:space="0"/>
            </w:tcBorders>
            <w:noWrap/>
            <w:vAlign w:val="center"/>
          </w:tcPr>
          <w:p w14:paraId="124D3FEE">
            <w:pPr>
              <w:jc w:val="left"/>
              <w:rPr>
                <w:rFonts w:ascii="宋体" w:hAnsi="宋体" w:cs="宋体"/>
                <w:color w:val="auto"/>
                <w:szCs w:val="21"/>
                <w:highlight w:val="none"/>
              </w:rPr>
            </w:pPr>
            <w:r>
              <w:rPr>
                <w:rFonts w:hint="eastAsia" w:ascii="宋体" w:hAnsi="宋体" w:cs="宋体"/>
                <w:color w:val="auto"/>
                <w:szCs w:val="21"/>
                <w:highlight w:val="none"/>
              </w:rPr>
              <w:t>以补充公告或项目答疑澄清的方式在广州交易集团有限公司（广州公共资源交易中心）网站发布</w:t>
            </w:r>
          </w:p>
        </w:tc>
      </w:tr>
      <w:tr w14:paraId="18EA6DE6">
        <w:tblPrEx>
          <w:tblCellMar>
            <w:top w:w="0" w:type="dxa"/>
            <w:left w:w="108" w:type="dxa"/>
            <w:bottom w:w="0" w:type="dxa"/>
            <w:right w:w="108" w:type="dxa"/>
          </w:tblCellMar>
        </w:tblPrEx>
        <w:trPr>
          <w:trHeight w:val="618" w:hRule="atLeast"/>
        </w:trPr>
        <w:tc>
          <w:tcPr>
            <w:tcW w:w="1012" w:type="dxa"/>
            <w:vMerge w:val="restart"/>
            <w:tcBorders>
              <w:top w:val="single" w:color="auto" w:sz="4" w:space="0"/>
              <w:left w:val="single" w:color="auto" w:sz="4" w:space="0"/>
              <w:bottom w:val="single" w:color="auto" w:sz="4" w:space="0"/>
              <w:right w:val="single" w:color="auto" w:sz="4" w:space="0"/>
            </w:tcBorders>
            <w:noWrap/>
            <w:vAlign w:val="center"/>
          </w:tcPr>
          <w:p w14:paraId="718CA1AD">
            <w:pPr>
              <w:jc w:val="center"/>
              <w:rPr>
                <w:rFonts w:ascii="宋体" w:hAnsi="宋体" w:cs="宋体"/>
                <w:color w:val="auto"/>
                <w:szCs w:val="21"/>
                <w:highlight w:val="none"/>
              </w:rPr>
            </w:pPr>
            <w:r>
              <w:rPr>
                <w:rFonts w:ascii="宋体" w:hAnsi="宋体" w:cs="宋体"/>
                <w:color w:val="auto"/>
                <w:szCs w:val="21"/>
                <w:highlight w:val="none"/>
              </w:rPr>
              <w:t>2.3.2</w:t>
            </w:r>
          </w:p>
        </w:tc>
        <w:tc>
          <w:tcPr>
            <w:tcW w:w="2050" w:type="dxa"/>
            <w:vMerge w:val="restart"/>
            <w:tcBorders>
              <w:top w:val="single" w:color="auto" w:sz="4" w:space="0"/>
              <w:left w:val="single" w:color="auto" w:sz="4" w:space="0"/>
              <w:bottom w:val="single" w:color="auto" w:sz="4" w:space="0"/>
              <w:right w:val="single" w:color="auto" w:sz="4" w:space="0"/>
            </w:tcBorders>
            <w:noWrap/>
            <w:vAlign w:val="center"/>
          </w:tcPr>
          <w:p w14:paraId="4092B7EA">
            <w:pPr>
              <w:jc w:val="center"/>
              <w:rPr>
                <w:rFonts w:ascii="宋体" w:hAnsi="宋体" w:cs="宋体"/>
                <w:color w:val="auto"/>
                <w:szCs w:val="21"/>
                <w:highlight w:val="none"/>
              </w:rPr>
            </w:pPr>
            <w:r>
              <w:rPr>
                <w:rFonts w:hint="eastAsia" w:ascii="宋体" w:hAnsi="宋体" w:cs="宋体"/>
                <w:color w:val="auto"/>
                <w:szCs w:val="21"/>
                <w:highlight w:val="none"/>
              </w:rPr>
              <w:t>投标人确认收到招标文件修改</w:t>
            </w:r>
          </w:p>
        </w:tc>
        <w:tc>
          <w:tcPr>
            <w:tcW w:w="6917" w:type="dxa"/>
            <w:tcBorders>
              <w:top w:val="single" w:color="auto" w:sz="4" w:space="0"/>
              <w:left w:val="single" w:color="auto" w:sz="4" w:space="0"/>
              <w:bottom w:val="single" w:color="auto" w:sz="4" w:space="0"/>
              <w:right w:val="single" w:color="auto" w:sz="4" w:space="0"/>
            </w:tcBorders>
            <w:noWrap/>
            <w:vAlign w:val="center"/>
          </w:tcPr>
          <w:p w14:paraId="16F1B583">
            <w:pPr>
              <w:jc w:val="left"/>
              <w:rPr>
                <w:rFonts w:ascii="宋体" w:hAnsi="宋体" w:cs="宋体"/>
                <w:color w:val="auto"/>
                <w:szCs w:val="21"/>
                <w:highlight w:val="none"/>
              </w:rPr>
            </w:pPr>
            <w:r>
              <w:rPr>
                <w:rFonts w:hint="eastAsia" w:ascii="宋体" w:hAnsi="宋体" w:cs="宋体"/>
                <w:color w:val="auto"/>
                <w:szCs w:val="21"/>
                <w:highlight w:val="none"/>
              </w:rPr>
              <w:t>时间：发出即视作收到。</w:t>
            </w:r>
          </w:p>
        </w:tc>
      </w:tr>
      <w:tr w14:paraId="3930E39C">
        <w:tblPrEx>
          <w:tblCellMar>
            <w:top w:w="0" w:type="dxa"/>
            <w:left w:w="108" w:type="dxa"/>
            <w:bottom w:w="0" w:type="dxa"/>
            <w:right w:w="108" w:type="dxa"/>
          </w:tblCellMar>
        </w:tblPrEx>
        <w:trPr>
          <w:trHeight w:val="362" w:hRule="atLeast"/>
        </w:trPr>
        <w:tc>
          <w:tcPr>
            <w:tcW w:w="1012" w:type="dxa"/>
            <w:vMerge w:val="continue"/>
            <w:tcBorders>
              <w:top w:val="single" w:color="auto" w:sz="4" w:space="0"/>
              <w:left w:val="single" w:color="auto" w:sz="4" w:space="0"/>
              <w:bottom w:val="single" w:color="auto" w:sz="4" w:space="0"/>
              <w:right w:val="single" w:color="auto" w:sz="4" w:space="0"/>
            </w:tcBorders>
            <w:noWrap/>
            <w:vAlign w:val="center"/>
          </w:tcPr>
          <w:p w14:paraId="64143229">
            <w:pPr>
              <w:jc w:val="center"/>
              <w:rPr>
                <w:rFonts w:ascii="宋体" w:hAnsi="宋体" w:cs="宋体"/>
                <w:color w:val="auto"/>
                <w:szCs w:val="21"/>
                <w:highlight w:val="none"/>
              </w:rPr>
            </w:pPr>
          </w:p>
        </w:tc>
        <w:tc>
          <w:tcPr>
            <w:tcW w:w="2050" w:type="dxa"/>
            <w:vMerge w:val="continue"/>
            <w:tcBorders>
              <w:top w:val="single" w:color="auto" w:sz="4" w:space="0"/>
              <w:left w:val="single" w:color="auto" w:sz="4" w:space="0"/>
              <w:bottom w:val="single" w:color="auto" w:sz="4" w:space="0"/>
              <w:right w:val="single" w:color="auto" w:sz="4" w:space="0"/>
            </w:tcBorders>
            <w:noWrap/>
            <w:vAlign w:val="center"/>
          </w:tcPr>
          <w:p w14:paraId="21E99DF6">
            <w:pPr>
              <w:jc w:val="center"/>
              <w:rPr>
                <w:rFonts w:ascii="宋体" w:hAnsi="宋体" w:cs="宋体"/>
                <w:color w:val="auto"/>
                <w:szCs w:val="21"/>
                <w:highlight w:val="none"/>
              </w:rPr>
            </w:pPr>
          </w:p>
        </w:tc>
        <w:tc>
          <w:tcPr>
            <w:tcW w:w="6917" w:type="dxa"/>
            <w:tcBorders>
              <w:top w:val="single" w:color="auto" w:sz="4" w:space="0"/>
              <w:left w:val="single" w:color="auto" w:sz="4" w:space="0"/>
              <w:bottom w:val="single" w:color="auto" w:sz="4" w:space="0"/>
              <w:right w:val="single" w:color="auto" w:sz="4" w:space="0"/>
            </w:tcBorders>
            <w:noWrap/>
            <w:vAlign w:val="center"/>
          </w:tcPr>
          <w:p w14:paraId="3888B5C0">
            <w:pPr>
              <w:jc w:val="left"/>
              <w:rPr>
                <w:rFonts w:ascii="宋体" w:hAnsi="宋体" w:cs="宋体"/>
                <w:color w:val="auto"/>
                <w:szCs w:val="21"/>
                <w:highlight w:val="none"/>
              </w:rPr>
            </w:pPr>
            <w:r>
              <w:rPr>
                <w:rFonts w:hint="eastAsia" w:ascii="宋体" w:hAnsi="宋体" w:cs="宋体"/>
                <w:color w:val="auto"/>
                <w:szCs w:val="21"/>
                <w:highlight w:val="none"/>
              </w:rPr>
              <w:t>形式：招标文件的修改一经在广州交易集团有限公司（广州公共资源交易中心）网站公开发布，发出即视作收到，以广州交易集团有限公司（广州公共资源交易中心）数字交易平台网站发布时间作为送达时间。无需投标人确认。投标人应自行关注，招标人不再一一通知。招标文件的澄清或修改内容作为招标文件的组成部分，具有约束作用。</w:t>
            </w:r>
          </w:p>
        </w:tc>
      </w:tr>
      <w:tr w14:paraId="109F0178">
        <w:tblPrEx>
          <w:tblCellMar>
            <w:top w:w="0" w:type="dxa"/>
            <w:left w:w="108" w:type="dxa"/>
            <w:bottom w:w="0" w:type="dxa"/>
            <w:right w:w="108" w:type="dxa"/>
          </w:tblCellMar>
        </w:tblPrEx>
        <w:trPr>
          <w:trHeight w:val="687"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21F85640">
            <w:pPr>
              <w:jc w:val="center"/>
              <w:rPr>
                <w:rFonts w:ascii="宋体" w:hAnsi="宋体" w:cs="宋体"/>
                <w:color w:val="auto"/>
                <w:szCs w:val="21"/>
                <w:highlight w:val="none"/>
              </w:rPr>
            </w:pPr>
            <w:r>
              <w:rPr>
                <w:rFonts w:ascii="宋体" w:hAnsi="宋体" w:cs="宋体"/>
                <w:color w:val="auto"/>
                <w:szCs w:val="21"/>
                <w:highlight w:val="none"/>
              </w:rPr>
              <w:t>3.1.1</w:t>
            </w:r>
          </w:p>
        </w:tc>
        <w:tc>
          <w:tcPr>
            <w:tcW w:w="2050" w:type="dxa"/>
            <w:tcBorders>
              <w:top w:val="single" w:color="auto" w:sz="4" w:space="0"/>
              <w:left w:val="single" w:color="auto" w:sz="4" w:space="0"/>
              <w:bottom w:val="single" w:color="auto" w:sz="4" w:space="0"/>
              <w:right w:val="single" w:color="auto" w:sz="4" w:space="0"/>
            </w:tcBorders>
            <w:noWrap/>
            <w:vAlign w:val="center"/>
          </w:tcPr>
          <w:p w14:paraId="37E3E4CB">
            <w:pPr>
              <w:jc w:val="center"/>
              <w:rPr>
                <w:rFonts w:ascii="宋体" w:hAnsi="宋体" w:cs="宋体"/>
                <w:color w:val="auto"/>
                <w:szCs w:val="21"/>
                <w:highlight w:val="none"/>
              </w:rPr>
            </w:pPr>
            <w:r>
              <w:rPr>
                <w:rFonts w:hint="eastAsia" w:ascii="宋体" w:hAnsi="宋体" w:cs="宋体"/>
                <w:color w:val="auto"/>
                <w:szCs w:val="21"/>
                <w:highlight w:val="none"/>
              </w:rPr>
              <w:t>构成投标文件的其他资料</w:t>
            </w:r>
          </w:p>
        </w:tc>
        <w:tc>
          <w:tcPr>
            <w:tcW w:w="6917" w:type="dxa"/>
            <w:tcBorders>
              <w:top w:val="single" w:color="auto" w:sz="4" w:space="0"/>
              <w:left w:val="single" w:color="auto" w:sz="4" w:space="0"/>
              <w:bottom w:val="single" w:color="auto" w:sz="4" w:space="0"/>
              <w:right w:val="single" w:color="auto" w:sz="4" w:space="0"/>
            </w:tcBorders>
            <w:noWrap/>
            <w:vAlign w:val="center"/>
          </w:tcPr>
          <w:p w14:paraId="24BFB4F5">
            <w:pPr>
              <w:jc w:val="left"/>
              <w:rPr>
                <w:rFonts w:ascii="宋体" w:hAnsi="宋体" w:cs="宋体"/>
                <w:color w:val="auto"/>
                <w:szCs w:val="21"/>
                <w:highlight w:val="none"/>
              </w:rPr>
            </w:pPr>
            <w:r>
              <w:rPr>
                <w:rFonts w:hint="eastAsia" w:ascii="宋体" w:hAnsi="宋体" w:cs="宋体"/>
                <w:color w:val="auto"/>
                <w:szCs w:val="21"/>
                <w:highlight w:val="none"/>
              </w:rPr>
              <w:t>满足本项目评审要求的其他资料等投标人认为需要提供的资料。</w:t>
            </w:r>
          </w:p>
        </w:tc>
      </w:tr>
      <w:tr w14:paraId="00E966CA">
        <w:tblPrEx>
          <w:tblCellMar>
            <w:top w:w="0" w:type="dxa"/>
            <w:left w:w="108" w:type="dxa"/>
            <w:bottom w:w="0" w:type="dxa"/>
            <w:right w:w="108" w:type="dxa"/>
          </w:tblCellMar>
        </w:tblPrEx>
        <w:trPr>
          <w:trHeight w:val="637"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28CC2DBE">
            <w:pPr>
              <w:jc w:val="center"/>
              <w:rPr>
                <w:rFonts w:ascii="宋体" w:hAnsi="宋体" w:cs="宋体"/>
                <w:color w:val="auto"/>
                <w:szCs w:val="21"/>
                <w:highlight w:val="none"/>
              </w:rPr>
            </w:pPr>
            <w:r>
              <w:rPr>
                <w:rFonts w:ascii="宋体" w:hAnsi="宋体" w:cs="宋体"/>
                <w:color w:val="auto"/>
                <w:szCs w:val="21"/>
                <w:highlight w:val="none"/>
              </w:rPr>
              <w:t>3.2.1</w:t>
            </w:r>
          </w:p>
        </w:tc>
        <w:tc>
          <w:tcPr>
            <w:tcW w:w="2050" w:type="dxa"/>
            <w:tcBorders>
              <w:top w:val="single" w:color="auto" w:sz="4" w:space="0"/>
              <w:left w:val="single" w:color="auto" w:sz="4" w:space="0"/>
              <w:bottom w:val="single" w:color="auto" w:sz="4" w:space="0"/>
              <w:right w:val="single" w:color="auto" w:sz="4" w:space="0"/>
            </w:tcBorders>
            <w:noWrap/>
            <w:vAlign w:val="center"/>
          </w:tcPr>
          <w:p w14:paraId="09D5A65E">
            <w:pPr>
              <w:jc w:val="center"/>
              <w:rPr>
                <w:rFonts w:ascii="宋体" w:hAnsi="宋体" w:cs="宋体"/>
                <w:color w:val="auto"/>
                <w:szCs w:val="21"/>
                <w:highlight w:val="none"/>
              </w:rPr>
            </w:pPr>
            <w:r>
              <w:rPr>
                <w:rFonts w:hint="eastAsia" w:ascii="宋体" w:hAnsi="宋体" w:cs="宋体"/>
                <w:color w:val="auto"/>
                <w:szCs w:val="21"/>
                <w:highlight w:val="none"/>
              </w:rPr>
              <w:t>增值税税金的计算方法</w:t>
            </w:r>
          </w:p>
        </w:tc>
        <w:tc>
          <w:tcPr>
            <w:tcW w:w="6917" w:type="dxa"/>
            <w:tcBorders>
              <w:top w:val="single" w:color="auto" w:sz="4" w:space="0"/>
              <w:left w:val="single" w:color="auto" w:sz="4" w:space="0"/>
              <w:bottom w:val="single" w:color="auto" w:sz="4" w:space="0"/>
              <w:right w:val="single" w:color="auto" w:sz="4" w:space="0"/>
            </w:tcBorders>
            <w:noWrap/>
            <w:vAlign w:val="center"/>
          </w:tcPr>
          <w:p w14:paraId="72FA5C11">
            <w:pPr>
              <w:jc w:val="left"/>
              <w:rPr>
                <w:rFonts w:ascii="宋体" w:hAnsi="宋体" w:cs="宋体"/>
                <w:color w:val="auto"/>
                <w:szCs w:val="21"/>
                <w:highlight w:val="none"/>
              </w:rPr>
            </w:pPr>
            <w:r>
              <w:rPr>
                <w:rFonts w:ascii="宋体" w:hAnsi="宋体" w:cs="宋体"/>
                <w:color w:val="auto"/>
                <w:szCs w:val="21"/>
                <w:highlight w:val="none"/>
              </w:rPr>
              <w:t xml:space="preserve"> / </w:t>
            </w:r>
          </w:p>
        </w:tc>
      </w:tr>
      <w:tr w14:paraId="2FA80870">
        <w:tblPrEx>
          <w:tblCellMar>
            <w:top w:w="0" w:type="dxa"/>
            <w:left w:w="108" w:type="dxa"/>
            <w:bottom w:w="0" w:type="dxa"/>
            <w:right w:w="108" w:type="dxa"/>
          </w:tblCellMar>
        </w:tblPrEx>
        <w:trPr>
          <w:trHeight w:val="642"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67171131">
            <w:pPr>
              <w:jc w:val="center"/>
              <w:rPr>
                <w:rFonts w:ascii="宋体" w:hAnsi="宋体" w:cs="宋体"/>
                <w:color w:val="auto"/>
                <w:szCs w:val="21"/>
                <w:highlight w:val="none"/>
              </w:rPr>
            </w:pPr>
            <w:r>
              <w:rPr>
                <w:rFonts w:ascii="宋体" w:hAnsi="宋体" w:cs="宋体"/>
                <w:color w:val="auto"/>
                <w:szCs w:val="21"/>
                <w:highlight w:val="none"/>
              </w:rPr>
              <w:t>3.2.3</w:t>
            </w:r>
          </w:p>
        </w:tc>
        <w:tc>
          <w:tcPr>
            <w:tcW w:w="2050" w:type="dxa"/>
            <w:tcBorders>
              <w:top w:val="single" w:color="auto" w:sz="4" w:space="0"/>
              <w:left w:val="single" w:color="auto" w:sz="4" w:space="0"/>
              <w:bottom w:val="single" w:color="auto" w:sz="4" w:space="0"/>
              <w:right w:val="single" w:color="auto" w:sz="4" w:space="0"/>
            </w:tcBorders>
            <w:noWrap/>
            <w:vAlign w:val="center"/>
          </w:tcPr>
          <w:p w14:paraId="2F336BC1">
            <w:pPr>
              <w:jc w:val="center"/>
              <w:rPr>
                <w:rFonts w:ascii="宋体" w:hAnsi="宋体" w:cs="宋体"/>
                <w:color w:val="auto"/>
                <w:szCs w:val="21"/>
                <w:highlight w:val="none"/>
              </w:rPr>
            </w:pPr>
            <w:r>
              <w:rPr>
                <w:rFonts w:hint="eastAsia" w:ascii="宋体" w:hAnsi="宋体" w:cs="宋体"/>
                <w:color w:val="auto"/>
                <w:szCs w:val="21"/>
                <w:highlight w:val="none"/>
              </w:rPr>
              <w:t>报价方式</w:t>
            </w:r>
          </w:p>
        </w:tc>
        <w:tc>
          <w:tcPr>
            <w:tcW w:w="6917" w:type="dxa"/>
            <w:tcBorders>
              <w:top w:val="single" w:color="auto" w:sz="4" w:space="0"/>
              <w:left w:val="single" w:color="auto" w:sz="4" w:space="0"/>
              <w:bottom w:val="single" w:color="auto" w:sz="4" w:space="0"/>
              <w:right w:val="single" w:color="auto" w:sz="4" w:space="0"/>
            </w:tcBorders>
            <w:noWrap/>
            <w:vAlign w:val="center"/>
          </w:tcPr>
          <w:p w14:paraId="10A38B44">
            <w:pPr>
              <w:rPr>
                <w:rFonts w:ascii="宋体" w:hAnsi="宋体" w:cs="宋体"/>
                <w:color w:val="auto"/>
                <w:szCs w:val="21"/>
                <w:highlight w:val="none"/>
              </w:rPr>
            </w:pPr>
            <w:r>
              <w:rPr>
                <w:rFonts w:hint="eastAsia" w:ascii="宋体" w:hAnsi="宋体" w:cs="宋体"/>
                <w:color w:val="auto"/>
                <w:szCs w:val="21"/>
                <w:highlight w:val="none"/>
              </w:rPr>
              <w:t>本项目监理服务费采用总价报价方式报价（以元为单位，精确到小数点后</w:t>
            </w:r>
            <w:r>
              <w:rPr>
                <w:rFonts w:ascii="宋体" w:hAnsi="宋体" w:cs="宋体"/>
                <w:color w:val="auto"/>
                <w:szCs w:val="21"/>
                <w:highlight w:val="none"/>
              </w:rPr>
              <w:t>2位）。</w:t>
            </w:r>
          </w:p>
        </w:tc>
      </w:tr>
      <w:tr w14:paraId="6DD25C82">
        <w:tblPrEx>
          <w:tblCellMar>
            <w:top w:w="0" w:type="dxa"/>
            <w:left w:w="108" w:type="dxa"/>
            <w:bottom w:w="0" w:type="dxa"/>
            <w:right w:w="108" w:type="dxa"/>
          </w:tblCellMar>
        </w:tblPrEx>
        <w:trPr>
          <w:trHeight w:val="1097"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33C78FE9">
            <w:pPr>
              <w:jc w:val="center"/>
              <w:rPr>
                <w:rFonts w:ascii="宋体" w:hAnsi="宋体" w:cs="宋体"/>
                <w:color w:val="auto"/>
                <w:szCs w:val="21"/>
                <w:highlight w:val="none"/>
              </w:rPr>
            </w:pPr>
            <w:r>
              <w:rPr>
                <w:rFonts w:ascii="宋体" w:hAnsi="宋体" w:cs="宋体"/>
                <w:color w:val="auto"/>
                <w:szCs w:val="21"/>
                <w:highlight w:val="none"/>
              </w:rPr>
              <w:t>3.2.4</w:t>
            </w:r>
          </w:p>
        </w:tc>
        <w:tc>
          <w:tcPr>
            <w:tcW w:w="2050" w:type="dxa"/>
            <w:tcBorders>
              <w:top w:val="single" w:color="auto" w:sz="4" w:space="0"/>
              <w:left w:val="single" w:color="auto" w:sz="4" w:space="0"/>
              <w:bottom w:val="single" w:color="auto" w:sz="4" w:space="0"/>
              <w:right w:val="single" w:color="auto" w:sz="4" w:space="0"/>
            </w:tcBorders>
            <w:noWrap/>
            <w:vAlign w:val="center"/>
          </w:tcPr>
          <w:p w14:paraId="3C0E2105">
            <w:pPr>
              <w:jc w:val="center"/>
              <w:rPr>
                <w:rFonts w:ascii="宋体" w:hAnsi="宋体" w:cs="宋体"/>
                <w:color w:val="auto"/>
                <w:szCs w:val="21"/>
                <w:highlight w:val="none"/>
              </w:rPr>
            </w:pPr>
            <w:r>
              <w:rPr>
                <w:rFonts w:hint="eastAsia" w:ascii="宋体" w:hAnsi="宋体" w:cs="宋体"/>
                <w:color w:val="auto"/>
                <w:szCs w:val="21"/>
                <w:highlight w:val="none"/>
              </w:rPr>
              <w:t>最高投标限价</w:t>
            </w:r>
          </w:p>
        </w:tc>
        <w:tc>
          <w:tcPr>
            <w:tcW w:w="6917" w:type="dxa"/>
            <w:tcBorders>
              <w:top w:val="single" w:color="auto" w:sz="4" w:space="0"/>
              <w:left w:val="single" w:color="auto" w:sz="4" w:space="0"/>
              <w:bottom w:val="single" w:color="auto" w:sz="4" w:space="0"/>
              <w:right w:val="single" w:color="auto" w:sz="4" w:space="0"/>
            </w:tcBorders>
            <w:noWrap/>
            <w:vAlign w:val="center"/>
          </w:tcPr>
          <w:p w14:paraId="782C4EB3">
            <w:pPr>
              <w:jc w:val="left"/>
              <w:rPr>
                <w:rFonts w:ascii="宋体" w:hAnsi="宋体" w:cs="宋体"/>
                <w:color w:val="auto"/>
                <w:szCs w:val="21"/>
                <w:highlight w:val="none"/>
              </w:rPr>
            </w:pPr>
            <w:r>
              <w:rPr>
                <w:rFonts w:hint="eastAsia" w:ascii="宋体" w:hAnsi="宋体" w:cs="宋体"/>
                <w:color w:val="auto"/>
                <w:szCs w:val="21"/>
                <w:highlight w:val="none"/>
              </w:rPr>
              <w:t>□无</w:t>
            </w:r>
          </w:p>
          <w:p w14:paraId="3BB08190">
            <w:pPr>
              <w:pStyle w:val="90"/>
              <w:ind w:left="36" w:leftChars="17" w:right="36" w:rightChars="17"/>
              <w:jc w:val="both"/>
              <w:rPr>
                <w:rFonts w:hAnsi="宋体"/>
                <w:color w:val="auto"/>
                <w:sz w:val="21"/>
                <w:szCs w:val="21"/>
                <w:highlight w:val="none"/>
              </w:rPr>
            </w:pPr>
            <w:r>
              <w:rPr>
                <w:rFonts w:hint="eastAsia" w:hAnsi="宋体"/>
                <w:color w:val="auto"/>
                <w:sz w:val="21"/>
                <w:szCs w:val="21"/>
                <w:highlight w:val="none"/>
              </w:rPr>
              <w:t>■</w:t>
            </w:r>
            <w:r>
              <w:rPr>
                <w:rFonts w:hint="eastAsia" w:hAnsi="宋体"/>
                <w:color w:val="auto"/>
                <w:szCs w:val="21"/>
                <w:highlight w:val="none"/>
              </w:rPr>
              <w:t>有，最高投标限价（总价）：</w:t>
            </w:r>
            <w:r>
              <w:rPr>
                <w:rFonts w:hint="eastAsia" w:hAnsi="宋体"/>
                <w:color w:val="auto"/>
                <w:sz w:val="21"/>
                <w:szCs w:val="21"/>
                <w:highlight w:val="none"/>
              </w:rPr>
              <w:t>详见招标公告</w:t>
            </w:r>
          </w:p>
          <w:p w14:paraId="3511D4F3">
            <w:pPr>
              <w:jc w:val="left"/>
              <w:rPr>
                <w:rFonts w:ascii="宋体" w:hAnsi="宋体" w:cs="宋体"/>
                <w:color w:val="auto"/>
                <w:szCs w:val="21"/>
                <w:highlight w:val="none"/>
              </w:rPr>
            </w:pPr>
            <w:r>
              <w:rPr>
                <w:rFonts w:hint="eastAsia" w:ascii="宋体" w:hAnsi="宋体" w:cs="宋体"/>
                <w:b/>
                <w:color w:val="auto"/>
                <w:szCs w:val="21"/>
                <w:highlight w:val="none"/>
                <w:u w:val="single"/>
              </w:rPr>
              <w:t>投标报价不得高于最高投标限价总价，否则由评标委员作无效标处理。</w:t>
            </w:r>
          </w:p>
        </w:tc>
      </w:tr>
      <w:tr w14:paraId="34D31C80">
        <w:tblPrEx>
          <w:tblCellMar>
            <w:top w:w="0" w:type="dxa"/>
            <w:left w:w="108" w:type="dxa"/>
            <w:bottom w:w="0" w:type="dxa"/>
            <w:right w:w="108" w:type="dxa"/>
          </w:tblCellMar>
        </w:tblPrEx>
        <w:trPr>
          <w:trHeight w:val="4266"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0C1739A2">
            <w:pPr>
              <w:jc w:val="center"/>
              <w:rPr>
                <w:rFonts w:ascii="宋体" w:hAnsi="宋体" w:cs="宋体"/>
                <w:color w:val="auto"/>
                <w:szCs w:val="21"/>
                <w:highlight w:val="none"/>
              </w:rPr>
            </w:pPr>
            <w:r>
              <w:rPr>
                <w:rFonts w:ascii="宋体" w:hAnsi="宋体" w:cs="宋体"/>
                <w:color w:val="auto"/>
                <w:szCs w:val="21"/>
                <w:highlight w:val="none"/>
              </w:rPr>
              <w:t>3.2.5</w:t>
            </w:r>
          </w:p>
        </w:tc>
        <w:tc>
          <w:tcPr>
            <w:tcW w:w="2050" w:type="dxa"/>
            <w:tcBorders>
              <w:top w:val="single" w:color="auto" w:sz="4" w:space="0"/>
              <w:left w:val="single" w:color="auto" w:sz="4" w:space="0"/>
              <w:bottom w:val="single" w:color="auto" w:sz="4" w:space="0"/>
              <w:right w:val="single" w:color="auto" w:sz="4" w:space="0"/>
            </w:tcBorders>
            <w:noWrap/>
            <w:vAlign w:val="center"/>
          </w:tcPr>
          <w:p w14:paraId="317AE5EA">
            <w:pPr>
              <w:jc w:val="center"/>
              <w:rPr>
                <w:rFonts w:ascii="宋体" w:hAnsi="宋体" w:cs="宋体"/>
                <w:color w:val="auto"/>
                <w:szCs w:val="21"/>
                <w:highlight w:val="none"/>
              </w:rPr>
            </w:pPr>
            <w:r>
              <w:rPr>
                <w:rFonts w:hint="eastAsia" w:ascii="宋体" w:hAnsi="宋体" w:cs="宋体"/>
                <w:color w:val="auto"/>
                <w:szCs w:val="21"/>
                <w:highlight w:val="none"/>
              </w:rPr>
              <w:t>投标报价的其他要求</w:t>
            </w:r>
          </w:p>
        </w:tc>
        <w:tc>
          <w:tcPr>
            <w:tcW w:w="6917" w:type="dxa"/>
            <w:tcBorders>
              <w:top w:val="single" w:color="auto" w:sz="4" w:space="0"/>
              <w:left w:val="single" w:color="auto" w:sz="4" w:space="0"/>
              <w:bottom w:val="single" w:color="auto" w:sz="4" w:space="0"/>
              <w:right w:val="single" w:color="auto" w:sz="4" w:space="0"/>
            </w:tcBorders>
            <w:noWrap/>
            <w:vAlign w:val="center"/>
          </w:tcPr>
          <w:p w14:paraId="686BA0EF">
            <w:pPr>
              <w:jc w:val="left"/>
              <w:rPr>
                <w:color w:val="auto"/>
                <w:highlight w:val="none"/>
              </w:rPr>
            </w:pPr>
            <w:r>
              <w:rPr>
                <w:rFonts w:hint="eastAsia"/>
                <w:color w:val="auto"/>
                <w:highlight w:val="none"/>
              </w:rPr>
              <w:t>投标报价超过最高投标限价的投标文件将被否决其投标。</w:t>
            </w:r>
          </w:p>
          <w:p w14:paraId="64B74567">
            <w:pPr>
              <w:jc w:val="left"/>
              <w:rPr>
                <w:color w:val="auto"/>
                <w:highlight w:val="none"/>
              </w:rPr>
            </w:pPr>
            <w:r>
              <w:rPr>
                <w:rFonts w:hint="eastAsia"/>
                <w:color w:val="auto"/>
                <w:highlight w:val="none"/>
              </w:rPr>
              <w:t>投标人的报价，应是其按第五章“委托人要求”完成监理工作的所有费用，凡在本项目合同中提及即与监理服务有关的一切费用均含在监理酬金中，具体包括人员工资、福利、社保、办公费用（资料费、电脑、打印机、复印机等办公设备及耗材费）、受托人为监理本项目使用的设备和设施费用、交通差旅费用、餐费、管理费、利润、税金等一切费用。</w:t>
            </w:r>
          </w:p>
          <w:p w14:paraId="5EE91628">
            <w:pPr>
              <w:jc w:val="left"/>
              <w:rPr>
                <w:color w:val="auto"/>
                <w:highlight w:val="none"/>
              </w:rPr>
            </w:pPr>
            <w:r>
              <w:rPr>
                <w:rFonts w:hint="eastAsia"/>
                <w:color w:val="auto"/>
                <w:highlight w:val="none"/>
              </w:rPr>
              <w:t>投标人必须详细审阅全部招标文件，充分考虑职责和义务</w:t>
            </w:r>
            <w:r>
              <w:rPr>
                <w:color w:val="auto"/>
                <w:highlight w:val="none"/>
              </w:rPr>
              <w:t>,全面地理解招标文件对投标报价的要求,并按招标人提出的条件及内容进行报价。</w:t>
            </w:r>
          </w:p>
          <w:p w14:paraId="74099DEA">
            <w:pPr>
              <w:pStyle w:val="2"/>
              <w:rPr>
                <w:color w:val="auto"/>
                <w:highlight w:val="none"/>
              </w:rPr>
            </w:pPr>
            <w:r>
              <w:rPr>
                <w:rFonts w:hint="eastAsia" w:ascii="宋体" w:hAnsi="宋体" w:eastAsia="宋体" w:cs="Times New Roman"/>
                <w:color w:val="auto"/>
                <w:kern w:val="0"/>
                <w:sz w:val="22"/>
                <w:szCs w:val="22"/>
                <w:highlight w:val="none"/>
              </w:rPr>
              <w:t>本项目暂定建筑安装工程费为115603.11万元，监理服务费中标价为合同暂定价。监理费率的计算公式为：</w:t>
            </w:r>
            <w:r>
              <w:rPr>
                <w:rFonts w:hint="eastAsia" w:hAnsi="宋体" w:cs="Times New Roman"/>
                <w:color w:val="auto"/>
                <w:kern w:val="0"/>
                <w:sz w:val="22"/>
                <w:szCs w:val="22"/>
                <w:highlight w:val="none"/>
                <w:lang w:val="en-US" w:eastAsia="zh-CN"/>
              </w:rPr>
              <w:t>投标报</w:t>
            </w:r>
            <w:r>
              <w:rPr>
                <w:rFonts w:hint="eastAsia" w:ascii="宋体" w:hAnsi="宋体" w:eastAsia="宋体" w:cs="Times New Roman"/>
                <w:color w:val="auto"/>
                <w:kern w:val="0"/>
                <w:sz w:val="22"/>
                <w:szCs w:val="22"/>
                <w:highlight w:val="none"/>
              </w:rPr>
              <w:t>价/暂定建筑安装工程费×100%(四舍五入，分子保留小数点后两位)。监理服务费结算按有权审核部门审定的实际监理范围内所有单位工程结算中的建筑安装工程费之和乘以本项目监理费率计取。监理服务费结算价低于合同暂定价按实结算，高于合同暂定价按合同暂定价结算。</w:t>
            </w:r>
          </w:p>
        </w:tc>
      </w:tr>
      <w:tr w14:paraId="4BD34162">
        <w:tblPrEx>
          <w:tblCellMar>
            <w:top w:w="0" w:type="dxa"/>
            <w:left w:w="108" w:type="dxa"/>
            <w:bottom w:w="0" w:type="dxa"/>
            <w:right w:w="108" w:type="dxa"/>
          </w:tblCellMar>
        </w:tblPrEx>
        <w:trPr>
          <w:trHeight w:val="510"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578604B1">
            <w:pPr>
              <w:jc w:val="center"/>
              <w:rPr>
                <w:rFonts w:ascii="宋体" w:hAnsi="宋体" w:cs="宋体"/>
                <w:color w:val="auto"/>
                <w:szCs w:val="21"/>
                <w:highlight w:val="none"/>
              </w:rPr>
            </w:pPr>
            <w:r>
              <w:rPr>
                <w:rFonts w:ascii="宋体" w:hAnsi="宋体" w:cs="宋体"/>
                <w:color w:val="auto"/>
                <w:szCs w:val="21"/>
                <w:highlight w:val="none"/>
              </w:rPr>
              <w:t>3.3.1</w:t>
            </w:r>
          </w:p>
        </w:tc>
        <w:tc>
          <w:tcPr>
            <w:tcW w:w="2050" w:type="dxa"/>
            <w:tcBorders>
              <w:top w:val="single" w:color="auto" w:sz="4" w:space="0"/>
              <w:left w:val="single" w:color="auto" w:sz="4" w:space="0"/>
              <w:bottom w:val="single" w:color="auto" w:sz="4" w:space="0"/>
              <w:right w:val="single" w:color="auto" w:sz="4" w:space="0"/>
            </w:tcBorders>
            <w:noWrap/>
            <w:vAlign w:val="center"/>
          </w:tcPr>
          <w:p w14:paraId="33A60FE2">
            <w:pPr>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6917" w:type="dxa"/>
            <w:tcBorders>
              <w:top w:val="single" w:color="auto" w:sz="4" w:space="0"/>
              <w:left w:val="single" w:color="auto" w:sz="4" w:space="0"/>
              <w:bottom w:val="single" w:color="auto" w:sz="4" w:space="0"/>
              <w:right w:val="single" w:color="auto" w:sz="4" w:space="0"/>
            </w:tcBorders>
            <w:noWrap/>
            <w:vAlign w:val="center"/>
          </w:tcPr>
          <w:p w14:paraId="4F47277A">
            <w:pPr>
              <w:rPr>
                <w:rFonts w:ascii="宋体" w:hAnsi="宋体" w:cs="宋体"/>
                <w:color w:val="auto"/>
                <w:szCs w:val="21"/>
                <w:highlight w:val="none"/>
              </w:rPr>
            </w:pPr>
            <w:r>
              <w:rPr>
                <w:rFonts w:ascii="宋体" w:hAnsi="宋体" w:cs="宋体"/>
                <w:color w:val="auto"/>
                <w:szCs w:val="21"/>
                <w:highlight w:val="none"/>
                <w:u w:val="single"/>
              </w:rPr>
              <w:t>90</w:t>
            </w:r>
            <w:r>
              <w:rPr>
                <w:rFonts w:hint="eastAsia" w:ascii="宋体" w:hAnsi="宋体" w:cs="宋体"/>
                <w:color w:val="auto"/>
                <w:szCs w:val="21"/>
                <w:highlight w:val="none"/>
              </w:rPr>
              <w:t>日历天（从投标截止之日算起）。</w:t>
            </w:r>
          </w:p>
        </w:tc>
      </w:tr>
      <w:tr w14:paraId="7F0E6D2A">
        <w:tblPrEx>
          <w:tblCellMar>
            <w:top w:w="0" w:type="dxa"/>
            <w:left w:w="108" w:type="dxa"/>
            <w:bottom w:w="0" w:type="dxa"/>
            <w:right w:w="108" w:type="dxa"/>
          </w:tblCellMar>
        </w:tblPrEx>
        <w:trPr>
          <w:trHeight w:val="841"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7920D0F3">
            <w:pPr>
              <w:jc w:val="center"/>
              <w:rPr>
                <w:rFonts w:ascii="宋体" w:hAnsi="宋体" w:cs="宋体"/>
                <w:color w:val="auto"/>
                <w:szCs w:val="21"/>
                <w:highlight w:val="none"/>
              </w:rPr>
            </w:pPr>
            <w:r>
              <w:rPr>
                <w:rFonts w:ascii="宋体" w:hAnsi="宋体" w:cs="宋体"/>
                <w:color w:val="auto"/>
                <w:szCs w:val="21"/>
                <w:highlight w:val="none"/>
              </w:rPr>
              <w:t>3.4.1</w:t>
            </w:r>
          </w:p>
        </w:tc>
        <w:tc>
          <w:tcPr>
            <w:tcW w:w="2050" w:type="dxa"/>
            <w:tcBorders>
              <w:top w:val="single" w:color="auto" w:sz="4" w:space="0"/>
              <w:left w:val="single" w:color="auto" w:sz="4" w:space="0"/>
              <w:bottom w:val="single" w:color="auto" w:sz="4" w:space="0"/>
              <w:right w:val="single" w:color="auto" w:sz="4" w:space="0"/>
            </w:tcBorders>
            <w:noWrap/>
            <w:vAlign w:val="center"/>
          </w:tcPr>
          <w:p w14:paraId="79BC1824">
            <w:pPr>
              <w:jc w:val="center"/>
              <w:rPr>
                <w:rFonts w:ascii="宋体" w:hAnsi="宋体" w:cs="宋体"/>
                <w:color w:val="auto"/>
                <w:szCs w:val="21"/>
                <w:highlight w:val="none"/>
              </w:rPr>
            </w:pPr>
            <w:r>
              <w:rPr>
                <w:rFonts w:hint="eastAsia" w:ascii="宋体" w:hAnsi="宋体" w:cs="宋体"/>
                <w:color w:val="auto"/>
                <w:szCs w:val="21"/>
                <w:highlight w:val="none"/>
              </w:rPr>
              <w:t>投标保证金</w:t>
            </w:r>
          </w:p>
        </w:tc>
        <w:tc>
          <w:tcPr>
            <w:tcW w:w="6917" w:type="dxa"/>
            <w:tcBorders>
              <w:top w:val="single" w:color="auto" w:sz="4" w:space="0"/>
              <w:left w:val="single" w:color="auto" w:sz="4" w:space="0"/>
              <w:bottom w:val="single" w:color="auto" w:sz="4" w:space="0"/>
              <w:right w:val="single" w:color="auto" w:sz="4" w:space="0"/>
            </w:tcBorders>
            <w:noWrap/>
            <w:vAlign w:val="center"/>
          </w:tcPr>
          <w:p w14:paraId="69BDA731">
            <w:pPr>
              <w:ind w:left="36" w:leftChars="17" w:right="36" w:rightChars="17"/>
              <w:rPr>
                <w:rFonts w:ascii="宋体" w:hAnsi="宋体"/>
                <w:color w:val="auto"/>
                <w:szCs w:val="21"/>
                <w:highlight w:val="none"/>
              </w:rPr>
            </w:pPr>
            <w:r>
              <w:rPr>
                <w:rFonts w:hint="eastAsia" w:ascii="宋体" w:hAnsi="宋体"/>
                <w:color w:val="auto"/>
                <w:szCs w:val="21"/>
                <w:highlight w:val="none"/>
              </w:rPr>
              <w:t>是否</w:t>
            </w:r>
            <w:r>
              <w:rPr>
                <w:rFonts w:hint="eastAsia" w:ascii="宋体" w:hAnsi="宋体"/>
                <w:color w:val="auto"/>
                <w:spacing w:val="-2"/>
                <w:szCs w:val="21"/>
                <w:highlight w:val="none"/>
              </w:rPr>
              <w:t>要</w:t>
            </w:r>
            <w:r>
              <w:rPr>
                <w:rFonts w:hint="eastAsia" w:ascii="宋体" w:hAnsi="宋体"/>
                <w:color w:val="auto"/>
                <w:szCs w:val="21"/>
                <w:highlight w:val="none"/>
              </w:rPr>
              <w:t>求</w:t>
            </w:r>
            <w:r>
              <w:rPr>
                <w:rFonts w:hint="eastAsia" w:ascii="宋体" w:hAnsi="宋体"/>
                <w:color w:val="auto"/>
                <w:spacing w:val="-2"/>
                <w:szCs w:val="21"/>
                <w:highlight w:val="none"/>
              </w:rPr>
              <w:t>投</w:t>
            </w:r>
            <w:r>
              <w:rPr>
                <w:rFonts w:hint="eastAsia" w:ascii="宋体" w:hAnsi="宋体"/>
                <w:color w:val="auto"/>
                <w:szCs w:val="21"/>
                <w:highlight w:val="none"/>
              </w:rPr>
              <w:t>标</w:t>
            </w:r>
            <w:r>
              <w:rPr>
                <w:rFonts w:hint="eastAsia" w:ascii="宋体" w:hAnsi="宋体"/>
                <w:color w:val="auto"/>
                <w:spacing w:val="-2"/>
                <w:szCs w:val="21"/>
                <w:highlight w:val="none"/>
              </w:rPr>
              <w:t>人</w:t>
            </w:r>
            <w:r>
              <w:rPr>
                <w:rFonts w:hint="eastAsia" w:ascii="宋体" w:hAnsi="宋体"/>
                <w:color w:val="auto"/>
                <w:szCs w:val="21"/>
                <w:highlight w:val="none"/>
              </w:rPr>
              <w:t>递</w:t>
            </w:r>
            <w:r>
              <w:rPr>
                <w:rFonts w:hint="eastAsia" w:ascii="宋体" w:hAnsi="宋体"/>
                <w:color w:val="auto"/>
                <w:spacing w:val="-2"/>
                <w:szCs w:val="21"/>
                <w:highlight w:val="none"/>
              </w:rPr>
              <w:t>交</w:t>
            </w:r>
            <w:r>
              <w:rPr>
                <w:rFonts w:hint="eastAsia" w:ascii="宋体" w:hAnsi="宋体"/>
                <w:color w:val="auto"/>
                <w:szCs w:val="21"/>
                <w:highlight w:val="none"/>
              </w:rPr>
              <w:t>投</w:t>
            </w:r>
            <w:r>
              <w:rPr>
                <w:rFonts w:hint="eastAsia" w:ascii="宋体" w:hAnsi="宋体"/>
                <w:color w:val="auto"/>
                <w:spacing w:val="-2"/>
                <w:szCs w:val="21"/>
                <w:highlight w:val="none"/>
              </w:rPr>
              <w:t>标</w:t>
            </w:r>
            <w:r>
              <w:rPr>
                <w:rFonts w:hint="eastAsia" w:ascii="宋体" w:hAnsi="宋体"/>
                <w:color w:val="auto"/>
                <w:szCs w:val="21"/>
                <w:highlight w:val="none"/>
              </w:rPr>
              <w:t>保证</w:t>
            </w:r>
            <w:r>
              <w:rPr>
                <w:rFonts w:hint="eastAsia" w:ascii="宋体" w:hAnsi="宋体"/>
                <w:color w:val="auto"/>
                <w:spacing w:val="-2"/>
                <w:szCs w:val="21"/>
                <w:highlight w:val="none"/>
              </w:rPr>
              <w:t>金</w:t>
            </w:r>
            <w:r>
              <w:rPr>
                <w:rFonts w:hint="eastAsia" w:ascii="宋体" w:hAnsi="宋体"/>
                <w:color w:val="auto"/>
                <w:szCs w:val="21"/>
                <w:highlight w:val="none"/>
              </w:rPr>
              <w:t>：</w:t>
            </w:r>
          </w:p>
          <w:p w14:paraId="64791A74">
            <w:pPr>
              <w:ind w:left="36" w:leftChars="17" w:right="36" w:rightChars="17"/>
              <w:rPr>
                <w:rFonts w:ascii="宋体" w:hAnsi="宋体" w:cs="宋体"/>
                <w:bCs/>
                <w:color w:val="auto"/>
                <w:szCs w:val="21"/>
                <w:highlight w:val="none"/>
                <w:u w:val="single"/>
              </w:rPr>
            </w:pPr>
            <w:r>
              <w:rPr>
                <w:rFonts w:hint="eastAsia" w:ascii="宋体" w:hAnsi="宋体"/>
                <w:color w:val="auto"/>
                <w:spacing w:val="-1"/>
                <w:szCs w:val="21"/>
                <w:highlight w:val="none"/>
              </w:rPr>
              <w:t>□</w:t>
            </w:r>
            <w:r>
              <w:rPr>
                <w:rFonts w:hint="eastAsia" w:ascii="宋体" w:hAnsi="宋体"/>
                <w:color w:val="auto"/>
                <w:szCs w:val="21"/>
                <w:highlight w:val="none"/>
              </w:rPr>
              <w:t>要求，</w:t>
            </w:r>
            <w:r>
              <w:rPr>
                <w:rFonts w:hint="eastAsia" w:ascii="宋体" w:hAnsi="宋体"/>
                <w:color w:val="auto"/>
                <w:spacing w:val="-2"/>
                <w:szCs w:val="21"/>
                <w:highlight w:val="none"/>
              </w:rPr>
              <w:t>投</w:t>
            </w:r>
            <w:r>
              <w:rPr>
                <w:rFonts w:hint="eastAsia" w:ascii="宋体" w:hAnsi="宋体"/>
                <w:color w:val="auto"/>
                <w:szCs w:val="21"/>
                <w:highlight w:val="none"/>
              </w:rPr>
              <w:t>标</w:t>
            </w:r>
            <w:r>
              <w:rPr>
                <w:rFonts w:hint="eastAsia" w:ascii="宋体" w:hAnsi="宋体"/>
                <w:color w:val="auto"/>
                <w:spacing w:val="-2"/>
                <w:szCs w:val="21"/>
                <w:highlight w:val="none"/>
              </w:rPr>
              <w:t>保</w:t>
            </w:r>
            <w:r>
              <w:rPr>
                <w:rFonts w:hint="eastAsia" w:ascii="宋体" w:hAnsi="宋体"/>
                <w:color w:val="auto"/>
                <w:szCs w:val="21"/>
                <w:highlight w:val="none"/>
              </w:rPr>
              <w:t>证</w:t>
            </w:r>
            <w:r>
              <w:rPr>
                <w:rFonts w:hint="eastAsia" w:ascii="宋体" w:hAnsi="宋体"/>
                <w:color w:val="auto"/>
                <w:spacing w:val="-2"/>
                <w:szCs w:val="21"/>
                <w:highlight w:val="none"/>
              </w:rPr>
              <w:t>金</w:t>
            </w:r>
            <w:r>
              <w:rPr>
                <w:rFonts w:hint="eastAsia" w:ascii="宋体" w:hAnsi="宋体"/>
                <w:color w:val="auto"/>
                <w:szCs w:val="21"/>
                <w:highlight w:val="none"/>
              </w:rPr>
              <w:t>的</w:t>
            </w:r>
            <w:r>
              <w:rPr>
                <w:rFonts w:hint="eastAsia" w:ascii="宋体" w:hAnsi="宋体"/>
                <w:color w:val="auto"/>
                <w:spacing w:val="-2"/>
                <w:szCs w:val="21"/>
                <w:highlight w:val="none"/>
              </w:rPr>
              <w:t>形</w:t>
            </w:r>
            <w:r>
              <w:rPr>
                <w:rFonts w:hint="eastAsia" w:ascii="宋体" w:hAnsi="宋体"/>
                <w:color w:val="auto"/>
                <w:szCs w:val="21"/>
                <w:highlight w:val="none"/>
              </w:rPr>
              <w:t>式：</w:t>
            </w:r>
          </w:p>
          <w:p w14:paraId="3C5A089F">
            <w:pPr>
              <w:ind w:left="36" w:leftChars="17" w:right="36" w:rightChars="17"/>
              <w:rPr>
                <w:rFonts w:ascii="宋体" w:hAnsi="宋体"/>
                <w:b/>
                <w:color w:val="auto"/>
                <w:szCs w:val="21"/>
                <w:highlight w:val="none"/>
                <w:u w:val="single"/>
              </w:rPr>
            </w:pPr>
            <w:r>
              <w:rPr>
                <w:rFonts w:hint="eastAsia" w:ascii="宋体" w:hAnsi="宋体"/>
                <w:color w:val="auto"/>
                <w:szCs w:val="21"/>
                <w:highlight w:val="none"/>
              </w:rPr>
              <w:t>投标</w:t>
            </w:r>
            <w:r>
              <w:rPr>
                <w:rFonts w:hint="eastAsia" w:ascii="宋体" w:hAnsi="宋体"/>
                <w:color w:val="auto"/>
                <w:spacing w:val="-2"/>
                <w:szCs w:val="21"/>
                <w:highlight w:val="none"/>
              </w:rPr>
              <w:t>保</w:t>
            </w:r>
            <w:r>
              <w:rPr>
                <w:rFonts w:hint="eastAsia" w:ascii="宋体" w:hAnsi="宋体"/>
                <w:color w:val="auto"/>
                <w:szCs w:val="21"/>
                <w:highlight w:val="none"/>
              </w:rPr>
              <w:t>证</w:t>
            </w:r>
            <w:r>
              <w:rPr>
                <w:rFonts w:hint="eastAsia" w:ascii="宋体" w:hAnsi="宋体"/>
                <w:color w:val="auto"/>
                <w:spacing w:val="-2"/>
                <w:szCs w:val="21"/>
                <w:highlight w:val="none"/>
              </w:rPr>
              <w:t>金</w:t>
            </w:r>
            <w:r>
              <w:rPr>
                <w:rFonts w:hint="eastAsia" w:ascii="宋体" w:hAnsi="宋体"/>
                <w:color w:val="auto"/>
                <w:szCs w:val="21"/>
                <w:highlight w:val="none"/>
              </w:rPr>
              <w:t>的</w:t>
            </w:r>
            <w:r>
              <w:rPr>
                <w:rFonts w:hint="eastAsia" w:ascii="宋体" w:hAnsi="宋体"/>
                <w:color w:val="auto"/>
                <w:spacing w:val="-2"/>
                <w:szCs w:val="21"/>
                <w:highlight w:val="none"/>
              </w:rPr>
              <w:t>金</w:t>
            </w:r>
            <w:r>
              <w:rPr>
                <w:rFonts w:hint="eastAsia" w:ascii="宋体" w:hAnsi="宋体"/>
                <w:color w:val="auto"/>
                <w:szCs w:val="21"/>
                <w:highlight w:val="none"/>
              </w:rPr>
              <w:t>额：</w:t>
            </w:r>
          </w:p>
          <w:p w14:paraId="14B5A916">
            <w:pPr>
              <w:pStyle w:val="12"/>
              <w:topLinePunct/>
              <w:rPr>
                <w:rFonts w:ascii="宋体" w:hAnsi="宋体" w:cs="宋体"/>
                <w:color w:val="auto"/>
                <w:sz w:val="21"/>
                <w:szCs w:val="21"/>
                <w:highlight w:val="none"/>
              </w:rPr>
            </w:pPr>
            <w:r>
              <w:rPr>
                <w:rFonts w:hint="eastAsia" w:ascii="宋体" w:hAnsi="宋体"/>
                <w:color w:val="auto"/>
                <w:sz w:val="21"/>
                <w:szCs w:val="21"/>
                <w:highlight w:val="none"/>
              </w:rPr>
              <w:t>■不要求</w:t>
            </w:r>
          </w:p>
        </w:tc>
      </w:tr>
      <w:tr w14:paraId="6216F81B">
        <w:tblPrEx>
          <w:tblCellMar>
            <w:top w:w="0" w:type="dxa"/>
            <w:left w:w="108" w:type="dxa"/>
            <w:bottom w:w="0" w:type="dxa"/>
            <w:right w:w="108" w:type="dxa"/>
          </w:tblCellMar>
        </w:tblPrEx>
        <w:trPr>
          <w:trHeight w:val="1311"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1AD0136D">
            <w:pPr>
              <w:jc w:val="center"/>
              <w:rPr>
                <w:rFonts w:ascii="宋体" w:hAnsi="宋体" w:cs="宋体"/>
                <w:color w:val="auto"/>
                <w:szCs w:val="21"/>
                <w:highlight w:val="none"/>
              </w:rPr>
            </w:pPr>
            <w:r>
              <w:rPr>
                <w:rFonts w:ascii="宋体" w:hAnsi="宋体" w:cs="宋体"/>
                <w:color w:val="auto"/>
                <w:szCs w:val="21"/>
                <w:highlight w:val="none"/>
              </w:rPr>
              <w:t>3.4.4</w:t>
            </w:r>
          </w:p>
        </w:tc>
        <w:tc>
          <w:tcPr>
            <w:tcW w:w="2050" w:type="dxa"/>
            <w:tcBorders>
              <w:top w:val="single" w:color="auto" w:sz="4" w:space="0"/>
              <w:left w:val="single" w:color="auto" w:sz="4" w:space="0"/>
              <w:bottom w:val="single" w:color="auto" w:sz="4" w:space="0"/>
              <w:right w:val="single" w:color="auto" w:sz="4" w:space="0"/>
            </w:tcBorders>
            <w:noWrap/>
            <w:vAlign w:val="center"/>
          </w:tcPr>
          <w:p w14:paraId="51211F48">
            <w:pPr>
              <w:jc w:val="center"/>
              <w:rPr>
                <w:rFonts w:ascii="宋体" w:hAnsi="宋体" w:cs="宋体"/>
                <w:color w:val="auto"/>
                <w:szCs w:val="21"/>
                <w:highlight w:val="none"/>
              </w:rPr>
            </w:pPr>
            <w:r>
              <w:rPr>
                <w:rFonts w:hint="eastAsia" w:ascii="宋体" w:hAnsi="宋体" w:cs="宋体"/>
                <w:color w:val="auto"/>
                <w:szCs w:val="21"/>
                <w:highlight w:val="none"/>
              </w:rPr>
              <w:t>其他可以不予退还投标保证金的情形</w:t>
            </w:r>
          </w:p>
        </w:tc>
        <w:tc>
          <w:tcPr>
            <w:tcW w:w="6917" w:type="dxa"/>
            <w:tcBorders>
              <w:top w:val="single" w:color="auto" w:sz="4" w:space="0"/>
              <w:left w:val="single" w:color="auto" w:sz="4" w:space="0"/>
              <w:bottom w:val="single" w:color="auto" w:sz="4" w:space="0"/>
              <w:right w:val="single" w:color="auto" w:sz="4" w:space="0"/>
            </w:tcBorders>
            <w:noWrap/>
            <w:vAlign w:val="center"/>
          </w:tcPr>
          <w:p w14:paraId="3C36B951">
            <w:pPr>
              <w:rPr>
                <w:color w:val="auto"/>
                <w:highlight w:val="none"/>
              </w:rPr>
            </w:pPr>
            <w:r>
              <w:rPr>
                <w:rFonts w:hint="eastAsia" w:ascii="宋体" w:hAnsi="宋体" w:cs="宋体"/>
                <w:bCs/>
                <w:color w:val="auto"/>
                <w:sz w:val="24"/>
                <w:szCs w:val="21"/>
                <w:highlight w:val="none"/>
              </w:rPr>
              <w:t>/</w:t>
            </w:r>
          </w:p>
        </w:tc>
      </w:tr>
      <w:tr w14:paraId="7E032A59">
        <w:tblPrEx>
          <w:tblCellMar>
            <w:top w:w="0" w:type="dxa"/>
            <w:left w:w="108" w:type="dxa"/>
            <w:bottom w:w="0" w:type="dxa"/>
            <w:right w:w="108" w:type="dxa"/>
          </w:tblCellMar>
        </w:tblPrEx>
        <w:trPr>
          <w:trHeight w:val="906"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2DCFD44F">
            <w:pPr>
              <w:jc w:val="center"/>
              <w:rPr>
                <w:rFonts w:ascii="宋体" w:hAnsi="宋体" w:cs="宋体"/>
                <w:color w:val="auto"/>
                <w:szCs w:val="21"/>
                <w:highlight w:val="none"/>
              </w:rPr>
            </w:pPr>
            <w:r>
              <w:rPr>
                <w:rFonts w:ascii="宋体" w:hAnsi="宋体" w:cs="宋体"/>
                <w:color w:val="auto"/>
                <w:szCs w:val="21"/>
                <w:highlight w:val="none"/>
              </w:rPr>
              <w:t>3.5</w:t>
            </w:r>
          </w:p>
        </w:tc>
        <w:tc>
          <w:tcPr>
            <w:tcW w:w="2050" w:type="dxa"/>
            <w:tcBorders>
              <w:top w:val="single" w:color="auto" w:sz="4" w:space="0"/>
              <w:left w:val="single" w:color="auto" w:sz="4" w:space="0"/>
              <w:bottom w:val="single" w:color="auto" w:sz="4" w:space="0"/>
              <w:right w:val="single" w:color="auto" w:sz="4" w:space="0"/>
            </w:tcBorders>
            <w:noWrap/>
            <w:vAlign w:val="center"/>
          </w:tcPr>
          <w:p w14:paraId="02566B4E">
            <w:pPr>
              <w:jc w:val="center"/>
              <w:rPr>
                <w:rFonts w:ascii="宋体" w:hAnsi="宋体" w:cs="宋体"/>
                <w:color w:val="auto"/>
                <w:szCs w:val="21"/>
                <w:highlight w:val="none"/>
              </w:rPr>
            </w:pPr>
            <w:r>
              <w:rPr>
                <w:rFonts w:hint="eastAsia" w:ascii="宋体" w:hAnsi="宋体" w:cs="宋体"/>
                <w:color w:val="auto"/>
                <w:szCs w:val="21"/>
                <w:highlight w:val="none"/>
              </w:rPr>
              <w:t>资格审查资料的特殊要求</w:t>
            </w:r>
          </w:p>
        </w:tc>
        <w:tc>
          <w:tcPr>
            <w:tcW w:w="6917" w:type="dxa"/>
            <w:tcBorders>
              <w:top w:val="single" w:color="auto" w:sz="4" w:space="0"/>
              <w:left w:val="single" w:color="auto" w:sz="4" w:space="0"/>
              <w:bottom w:val="single" w:color="auto" w:sz="4" w:space="0"/>
              <w:right w:val="single" w:color="auto" w:sz="4" w:space="0"/>
            </w:tcBorders>
            <w:noWrap/>
            <w:vAlign w:val="center"/>
          </w:tcPr>
          <w:p w14:paraId="0BC9FD40">
            <w:pPr>
              <w:pStyle w:val="12"/>
              <w:topLinePunct/>
              <w:rPr>
                <w:rFonts w:ascii="宋体" w:hAnsi="宋体" w:cs="宋体"/>
                <w:color w:val="auto"/>
                <w:sz w:val="21"/>
                <w:szCs w:val="21"/>
                <w:highlight w:val="none"/>
                <w:u w:val="single"/>
              </w:rPr>
            </w:pPr>
            <w:r>
              <w:rPr>
                <w:rFonts w:hint="eastAsia" w:ascii="宋体" w:hAnsi="宋体" w:cs="宋体"/>
                <w:color w:val="auto"/>
                <w:sz w:val="21"/>
                <w:szCs w:val="21"/>
                <w:highlight w:val="none"/>
              </w:rPr>
              <w:t>□无</w:t>
            </w:r>
          </w:p>
          <w:p w14:paraId="4B3F99ED">
            <w:pPr>
              <w:pStyle w:val="12"/>
              <w:topLinePunct/>
              <w:spacing w:after="0"/>
              <w:rPr>
                <w:rFonts w:ascii="宋体" w:hAnsi="宋体" w:cs="宋体"/>
                <w:color w:val="auto"/>
                <w:sz w:val="21"/>
                <w:szCs w:val="21"/>
                <w:highlight w:val="none"/>
              </w:rPr>
            </w:pPr>
            <w:r>
              <w:rPr>
                <w:rFonts w:hint="eastAsia" w:ascii="宋体" w:hAnsi="宋体"/>
                <w:color w:val="auto"/>
                <w:sz w:val="21"/>
                <w:szCs w:val="21"/>
                <w:highlight w:val="none"/>
              </w:rPr>
              <w:t>■</w:t>
            </w:r>
            <w:r>
              <w:rPr>
                <w:rFonts w:hint="eastAsia" w:ascii="宋体" w:hAnsi="宋体" w:cs="宋体"/>
                <w:color w:val="auto"/>
                <w:sz w:val="21"/>
                <w:szCs w:val="21"/>
                <w:highlight w:val="none"/>
              </w:rPr>
              <w:t>有，具体要求：（1）本招标项目不要求提供“近年财务状况表”、“近年发生的诉讼及仲裁情况”、“正在监理和新承接的项目情况表”，以上不作为资格审查内容；</w:t>
            </w:r>
          </w:p>
          <w:p w14:paraId="7CE540EB">
            <w:pPr>
              <w:pStyle w:val="12"/>
              <w:topLinePunct/>
              <w:rPr>
                <w:rFonts w:ascii="宋体" w:hAnsi="宋体" w:cs="宋体"/>
                <w:color w:val="auto"/>
                <w:sz w:val="21"/>
                <w:szCs w:val="21"/>
                <w:highlight w:val="none"/>
                <w:u w:val="single"/>
              </w:rPr>
            </w:pPr>
            <w:r>
              <w:rPr>
                <w:rFonts w:hint="eastAsia" w:ascii="宋体" w:hAnsi="宋体" w:cs="宋体"/>
                <w:color w:val="auto"/>
                <w:sz w:val="21"/>
                <w:szCs w:val="21"/>
                <w:highlight w:val="none"/>
              </w:rPr>
              <w:t>（2）本招标项目要求提供的“投标人基本情况表”、“近年完成的类似监理项目情况表”、“拟委任的主要人员汇总表”、 “主要人员简历表”资料，但不作为资格审查内容，上述内容资料需提供且作为评标资料（如有）。</w:t>
            </w:r>
          </w:p>
        </w:tc>
      </w:tr>
      <w:tr w14:paraId="5BFAD035">
        <w:tblPrEx>
          <w:tblCellMar>
            <w:top w:w="0" w:type="dxa"/>
            <w:left w:w="108" w:type="dxa"/>
            <w:bottom w:w="0" w:type="dxa"/>
            <w:right w:w="108" w:type="dxa"/>
          </w:tblCellMar>
        </w:tblPrEx>
        <w:trPr>
          <w:trHeight w:val="572"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2F03C7FD">
            <w:pPr>
              <w:jc w:val="center"/>
              <w:rPr>
                <w:rFonts w:ascii="宋体" w:hAnsi="宋体" w:cs="宋体"/>
                <w:color w:val="auto"/>
                <w:szCs w:val="21"/>
                <w:highlight w:val="none"/>
              </w:rPr>
            </w:pPr>
            <w:bookmarkStart w:id="8" w:name="_Hlk123217778"/>
            <w:r>
              <w:rPr>
                <w:rFonts w:ascii="宋体" w:hAnsi="宋体" w:cs="宋体"/>
                <w:color w:val="auto"/>
                <w:szCs w:val="21"/>
                <w:highlight w:val="none"/>
              </w:rPr>
              <w:t>3.5.2</w:t>
            </w:r>
          </w:p>
        </w:tc>
        <w:tc>
          <w:tcPr>
            <w:tcW w:w="2050" w:type="dxa"/>
            <w:tcBorders>
              <w:top w:val="single" w:color="auto" w:sz="4" w:space="0"/>
              <w:left w:val="single" w:color="auto" w:sz="4" w:space="0"/>
              <w:bottom w:val="single" w:color="auto" w:sz="4" w:space="0"/>
              <w:right w:val="single" w:color="auto" w:sz="4" w:space="0"/>
            </w:tcBorders>
            <w:noWrap/>
            <w:vAlign w:val="center"/>
          </w:tcPr>
          <w:p w14:paraId="4E1F778F">
            <w:pPr>
              <w:jc w:val="center"/>
              <w:rPr>
                <w:rFonts w:ascii="宋体" w:hAnsi="宋体" w:cs="宋体"/>
                <w:color w:val="auto"/>
                <w:szCs w:val="21"/>
                <w:highlight w:val="none"/>
              </w:rPr>
            </w:pPr>
            <w:r>
              <w:rPr>
                <w:rFonts w:hint="eastAsia" w:ascii="宋体" w:hAnsi="宋体" w:cs="宋体"/>
                <w:color w:val="auto"/>
                <w:szCs w:val="21"/>
                <w:highlight w:val="none"/>
              </w:rPr>
              <w:t>近年财务状况的年份要求</w:t>
            </w:r>
          </w:p>
        </w:tc>
        <w:tc>
          <w:tcPr>
            <w:tcW w:w="6917" w:type="dxa"/>
            <w:tcBorders>
              <w:top w:val="single" w:color="auto" w:sz="4" w:space="0"/>
              <w:left w:val="single" w:color="auto" w:sz="4" w:space="0"/>
              <w:bottom w:val="single" w:color="auto" w:sz="4" w:space="0"/>
              <w:right w:val="single" w:color="auto" w:sz="4" w:space="0"/>
            </w:tcBorders>
            <w:noWrap/>
            <w:vAlign w:val="center"/>
          </w:tcPr>
          <w:p w14:paraId="627F3799">
            <w:pPr>
              <w:rPr>
                <w:rFonts w:ascii="宋体" w:hAnsi="宋体" w:cs="宋体"/>
                <w:b/>
                <w:bCs/>
                <w:color w:val="auto"/>
                <w:szCs w:val="21"/>
                <w:highlight w:val="none"/>
                <w:u w:val="single"/>
              </w:rPr>
            </w:pPr>
            <w:r>
              <w:rPr>
                <w:rFonts w:hint="eastAsia" w:ascii="宋体" w:hAnsi="宋体" w:cs="宋体"/>
                <w:b/>
                <w:bCs/>
                <w:color w:val="auto"/>
                <w:szCs w:val="21"/>
                <w:highlight w:val="none"/>
                <w:u w:val="single"/>
              </w:rPr>
              <w:t>/</w:t>
            </w:r>
          </w:p>
        </w:tc>
      </w:tr>
      <w:tr w14:paraId="645D945D">
        <w:tblPrEx>
          <w:tblCellMar>
            <w:top w:w="0" w:type="dxa"/>
            <w:left w:w="108" w:type="dxa"/>
            <w:bottom w:w="0" w:type="dxa"/>
            <w:right w:w="108" w:type="dxa"/>
          </w:tblCellMar>
        </w:tblPrEx>
        <w:trPr>
          <w:trHeight w:val="709"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45D9D239">
            <w:pPr>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.5.3</w:t>
            </w:r>
          </w:p>
        </w:tc>
        <w:tc>
          <w:tcPr>
            <w:tcW w:w="2050" w:type="dxa"/>
            <w:tcBorders>
              <w:top w:val="single" w:color="auto" w:sz="4" w:space="0"/>
              <w:left w:val="single" w:color="auto" w:sz="4" w:space="0"/>
              <w:bottom w:val="single" w:color="auto" w:sz="4" w:space="0"/>
              <w:right w:val="single" w:color="auto" w:sz="4" w:space="0"/>
            </w:tcBorders>
            <w:noWrap/>
            <w:vAlign w:val="center"/>
          </w:tcPr>
          <w:p w14:paraId="52E814BA">
            <w:pPr>
              <w:jc w:val="center"/>
              <w:rPr>
                <w:rFonts w:ascii="宋体" w:hAnsi="宋体" w:cs="宋体"/>
                <w:color w:val="auto"/>
                <w:szCs w:val="21"/>
                <w:highlight w:val="none"/>
              </w:rPr>
            </w:pPr>
            <w:r>
              <w:rPr>
                <w:rFonts w:hint="eastAsia" w:ascii="宋体" w:hAnsi="宋体"/>
                <w:color w:val="auto"/>
                <w:highlight w:val="none"/>
              </w:rPr>
              <w:t>近年完成的类似项目情况的时间要求</w:t>
            </w:r>
          </w:p>
        </w:tc>
        <w:tc>
          <w:tcPr>
            <w:tcW w:w="6917" w:type="dxa"/>
            <w:tcBorders>
              <w:top w:val="single" w:color="auto" w:sz="4" w:space="0"/>
              <w:left w:val="single" w:color="auto" w:sz="4" w:space="0"/>
              <w:bottom w:val="single" w:color="auto" w:sz="4" w:space="0"/>
              <w:right w:val="single" w:color="auto" w:sz="4" w:space="0"/>
            </w:tcBorders>
            <w:noWrap/>
            <w:vAlign w:val="center"/>
          </w:tcPr>
          <w:p w14:paraId="283F6B70">
            <w:pPr>
              <w:rPr>
                <w:rFonts w:ascii="宋体" w:hAnsi="宋体" w:cs="宋体"/>
                <w:b/>
                <w:bCs/>
                <w:color w:val="auto"/>
                <w:szCs w:val="21"/>
                <w:highlight w:val="none"/>
                <w:u w:val="single"/>
              </w:rPr>
            </w:pPr>
            <w:r>
              <w:rPr>
                <w:rFonts w:hint="eastAsia" w:ascii="宋体" w:hAnsi="宋体" w:cs="宋体"/>
                <w:b/>
                <w:bCs/>
                <w:color w:val="auto"/>
                <w:szCs w:val="21"/>
                <w:highlight w:val="none"/>
                <w:u w:val="single"/>
              </w:rPr>
              <w:t>/</w:t>
            </w:r>
          </w:p>
        </w:tc>
      </w:tr>
      <w:tr w14:paraId="352CED32">
        <w:tblPrEx>
          <w:tblCellMar>
            <w:top w:w="0" w:type="dxa"/>
            <w:left w:w="108" w:type="dxa"/>
            <w:bottom w:w="0" w:type="dxa"/>
            <w:right w:w="108" w:type="dxa"/>
          </w:tblCellMar>
        </w:tblPrEx>
        <w:trPr>
          <w:trHeight w:val="906"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438AE8A7">
            <w:pPr>
              <w:jc w:val="center"/>
              <w:rPr>
                <w:rFonts w:ascii="宋体" w:hAnsi="宋体" w:cs="宋体"/>
                <w:color w:val="auto"/>
                <w:szCs w:val="21"/>
                <w:highlight w:val="none"/>
              </w:rPr>
            </w:pPr>
            <w:r>
              <w:rPr>
                <w:rFonts w:ascii="宋体" w:hAnsi="宋体" w:cs="宋体"/>
                <w:color w:val="auto"/>
                <w:szCs w:val="21"/>
                <w:highlight w:val="none"/>
              </w:rPr>
              <w:t>3.5.5</w:t>
            </w:r>
          </w:p>
        </w:tc>
        <w:tc>
          <w:tcPr>
            <w:tcW w:w="2050" w:type="dxa"/>
            <w:tcBorders>
              <w:top w:val="single" w:color="auto" w:sz="4" w:space="0"/>
              <w:left w:val="single" w:color="auto" w:sz="4" w:space="0"/>
              <w:bottom w:val="single" w:color="auto" w:sz="4" w:space="0"/>
              <w:right w:val="single" w:color="auto" w:sz="4" w:space="0"/>
            </w:tcBorders>
            <w:noWrap/>
            <w:vAlign w:val="center"/>
          </w:tcPr>
          <w:p w14:paraId="17106E5D">
            <w:pPr>
              <w:jc w:val="center"/>
              <w:rPr>
                <w:rFonts w:ascii="宋体" w:hAnsi="宋体" w:cs="宋体"/>
                <w:color w:val="auto"/>
                <w:szCs w:val="21"/>
                <w:highlight w:val="none"/>
              </w:rPr>
            </w:pPr>
            <w:r>
              <w:rPr>
                <w:rFonts w:hint="eastAsia" w:ascii="宋体" w:hAnsi="宋体" w:cs="宋体"/>
                <w:color w:val="auto"/>
                <w:szCs w:val="21"/>
                <w:highlight w:val="none"/>
              </w:rPr>
              <w:t>近年发生的诉讼及仲裁情况的时间要求</w:t>
            </w:r>
          </w:p>
        </w:tc>
        <w:tc>
          <w:tcPr>
            <w:tcW w:w="6917" w:type="dxa"/>
            <w:tcBorders>
              <w:top w:val="single" w:color="auto" w:sz="4" w:space="0"/>
              <w:left w:val="single" w:color="auto" w:sz="4" w:space="0"/>
              <w:bottom w:val="single" w:color="auto" w:sz="4" w:space="0"/>
              <w:right w:val="single" w:color="auto" w:sz="4" w:space="0"/>
            </w:tcBorders>
            <w:noWrap/>
            <w:vAlign w:val="center"/>
          </w:tcPr>
          <w:p w14:paraId="48E6A88C">
            <w:pPr>
              <w:rPr>
                <w:rFonts w:ascii="宋体" w:hAnsi="宋体" w:cs="宋体"/>
                <w:b/>
                <w:bCs/>
                <w:color w:val="auto"/>
                <w:szCs w:val="21"/>
                <w:highlight w:val="none"/>
              </w:rPr>
            </w:pPr>
            <w:r>
              <w:rPr>
                <w:rFonts w:hint="eastAsia" w:ascii="宋体" w:hAnsi="宋体"/>
                <w:b/>
                <w:bCs/>
                <w:color w:val="auto"/>
                <w:szCs w:val="21"/>
                <w:highlight w:val="none"/>
                <w:u w:val="single"/>
              </w:rPr>
              <w:t>/</w:t>
            </w:r>
          </w:p>
        </w:tc>
      </w:tr>
      <w:bookmarkEnd w:id="8"/>
      <w:tr w14:paraId="75C98907">
        <w:tblPrEx>
          <w:tblCellMar>
            <w:top w:w="0" w:type="dxa"/>
            <w:left w:w="108" w:type="dxa"/>
            <w:bottom w:w="0" w:type="dxa"/>
            <w:right w:w="108" w:type="dxa"/>
          </w:tblCellMar>
        </w:tblPrEx>
        <w:trPr>
          <w:trHeight w:val="90"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4EA39A54">
            <w:pPr>
              <w:jc w:val="center"/>
              <w:rPr>
                <w:rFonts w:ascii="宋体" w:hAnsi="宋体" w:cs="宋体"/>
                <w:color w:val="auto"/>
                <w:szCs w:val="21"/>
                <w:highlight w:val="none"/>
              </w:rPr>
            </w:pPr>
            <w:r>
              <w:rPr>
                <w:rFonts w:ascii="宋体" w:hAnsi="宋体" w:cs="宋体"/>
                <w:color w:val="auto"/>
                <w:szCs w:val="21"/>
                <w:highlight w:val="none"/>
              </w:rPr>
              <w:t>3.6.1</w:t>
            </w:r>
          </w:p>
        </w:tc>
        <w:tc>
          <w:tcPr>
            <w:tcW w:w="2050" w:type="dxa"/>
            <w:tcBorders>
              <w:top w:val="single" w:color="auto" w:sz="4" w:space="0"/>
              <w:left w:val="single" w:color="auto" w:sz="4" w:space="0"/>
              <w:bottom w:val="single" w:color="auto" w:sz="4" w:space="0"/>
              <w:right w:val="single" w:color="auto" w:sz="4" w:space="0"/>
            </w:tcBorders>
            <w:noWrap/>
            <w:vAlign w:val="center"/>
          </w:tcPr>
          <w:p w14:paraId="07CA4F43">
            <w:pPr>
              <w:jc w:val="center"/>
              <w:rPr>
                <w:rFonts w:ascii="宋体" w:hAnsi="宋体" w:cs="宋体"/>
                <w:color w:val="auto"/>
                <w:szCs w:val="21"/>
                <w:highlight w:val="none"/>
              </w:rPr>
            </w:pPr>
            <w:r>
              <w:rPr>
                <w:rFonts w:hint="eastAsia" w:ascii="宋体" w:hAnsi="宋体" w:cs="宋体"/>
                <w:color w:val="auto"/>
                <w:szCs w:val="21"/>
                <w:highlight w:val="none"/>
              </w:rPr>
              <w:t>是否允许递交备选投标方案</w:t>
            </w:r>
          </w:p>
        </w:tc>
        <w:tc>
          <w:tcPr>
            <w:tcW w:w="6917" w:type="dxa"/>
            <w:tcBorders>
              <w:top w:val="single" w:color="auto" w:sz="4" w:space="0"/>
              <w:left w:val="single" w:color="auto" w:sz="4" w:space="0"/>
              <w:bottom w:val="single" w:color="auto" w:sz="4" w:space="0"/>
              <w:right w:val="single" w:color="auto" w:sz="4" w:space="0"/>
            </w:tcBorders>
            <w:noWrap/>
            <w:vAlign w:val="center"/>
          </w:tcPr>
          <w:p w14:paraId="2FC6803E">
            <w:pPr>
              <w:pStyle w:val="12"/>
              <w:topLinePunct/>
              <w:rPr>
                <w:rFonts w:ascii="宋体" w:hAnsi="宋体" w:cs="宋体"/>
                <w:color w:val="auto"/>
                <w:sz w:val="21"/>
                <w:szCs w:val="21"/>
                <w:highlight w:val="none"/>
              </w:rPr>
            </w:pPr>
            <w:r>
              <w:rPr>
                <w:rFonts w:hint="eastAsia" w:ascii="宋体" w:hAnsi="宋体"/>
                <w:color w:val="auto"/>
                <w:sz w:val="21"/>
                <w:szCs w:val="21"/>
                <w:highlight w:val="none"/>
              </w:rPr>
              <w:t>■</w:t>
            </w:r>
            <w:r>
              <w:rPr>
                <w:rFonts w:hint="eastAsia" w:ascii="宋体" w:hAnsi="宋体" w:cs="宋体"/>
                <w:color w:val="auto"/>
                <w:sz w:val="21"/>
                <w:szCs w:val="21"/>
                <w:highlight w:val="none"/>
              </w:rPr>
              <w:t>不允许</w:t>
            </w:r>
          </w:p>
          <w:p w14:paraId="07916549">
            <w:pPr>
              <w:rPr>
                <w:rFonts w:ascii="宋体" w:hAnsi="宋体" w:cs="宋体"/>
                <w:color w:val="auto"/>
                <w:szCs w:val="21"/>
                <w:highlight w:val="none"/>
              </w:rPr>
            </w:pPr>
            <w:r>
              <w:rPr>
                <w:rFonts w:hint="eastAsia" w:ascii="宋体" w:hAnsi="宋体" w:cs="宋体"/>
                <w:color w:val="auto"/>
                <w:szCs w:val="21"/>
                <w:highlight w:val="none"/>
              </w:rPr>
              <w:t>□允许</w:t>
            </w:r>
          </w:p>
        </w:tc>
      </w:tr>
      <w:tr w14:paraId="6A71956A">
        <w:tblPrEx>
          <w:tblCellMar>
            <w:top w:w="0" w:type="dxa"/>
            <w:left w:w="108" w:type="dxa"/>
            <w:bottom w:w="0" w:type="dxa"/>
            <w:right w:w="108" w:type="dxa"/>
          </w:tblCellMar>
        </w:tblPrEx>
        <w:trPr>
          <w:trHeight w:val="804"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03CC1470">
            <w:pPr>
              <w:jc w:val="center"/>
              <w:rPr>
                <w:rFonts w:ascii="宋体" w:hAnsi="宋体" w:cs="宋体"/>
                <w:color w:val="auto"/>
                <w:szCs w:val="21"/>
                <w:highlight w:val="none"/>
              </w:rPr>
            </w:pPr>
            <w:r>
              <w:rPr>
                <w:rFonts w:ascii="宋体" w:hAnsi="宋体" w:cs="宋体"/>
                <w:color w:val="auto"/>
                <w:szCs w:val="21"/>
                <w:highlight w:val="none"/>
              </w:rPr>
              <w:t>3.7.3</w:t>
            </w:r>
          </w:p>
          <w:p w14:paraId="452BD9F3">
            <w:pPr>
              <w:jc w:val="center"/>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A）</w:t>
            </w:r>
          </w:p>
        </w:tc>
        <w:tc>
          <w:tcPr>
            <w:tcW w:w="2050" w:type="dxa"/>
            <w:tcBorders>
              <w:top w:val="single" w:color="auto" w:sz="4" w:space="0"/>
              <w:left w:val="single" w:color="auto" w:sz="4" w:space="0"/>
              <w:bottom w:val="single" w:color="auto" w:sz="4" w:space="0"/>
              <w:right w:val="single" w:color="auto" w:sz="4" w:space="0"/>
            </w:tcBorders>
            <w:noWrap/>
            <w:vAlign w:val="center"/>
          </w:tcPr>
          <w:p w14:paraId="45A90A59">
            <w:pPr>
              <w:jc w:val="center"/>
              <w:rPr>
                <w:rFonts w:ascii="宋体" w:hAnsi="宋体" w:cs="宋体"/>
                <w:color w:val="auto"/>
                <w:szCs w:val="21"/>
                <w:highlight w:val="none"/>
              </w:rPr>
            </w:pPr>
            <w:r>
              <w:rPr>
                <w:rFonts w:hint="eastAsia" w:ascii="宋体" w:hAnsi="宋体" w:cs="宋体"/>
                <w:color w:val="auto"/>
                <w:szCs w:val="21"/>
                <w:highlight w:val="none"/>
              </w:rPr>
              <w:t>投标文件是否需分册装订</w:t>
            </w:r>
          </w:p>
        </w:tc>
        <w:tc>
          <w:tcPr>
            <w:tcW w:w="6917" w:type="dxa"/>
            <w:tcBorders>
              <w:top w:val="single" w:color="auto" w:sz="4" w:space="0"/>
              <w:left w:val="single" w:color="auto" w:sz="4" w:space="0"/>
              <w:bottom w:val="single" w:color="auto" w:sz="4" w:space="0"/>
              <w:right w:val="single" w:color="auto" w:sz="4" w:space="0"/>
            </w:tcBorders>
            <w:noWrap/>
            <w:vAlign w:val="center"/>
          </w:tcPr>
          <w:p w14:paraId="245A9838">
            <w:pPr>
              <w:rPr>
                <w:rFonts w:ascii="宋体" w:hAnsi="宋体" w:cs="宋体"/>
                <w:color w:val="auto"/>
                <w:szCs w:val="21"/>
                <w:highlight w:val="none"/>
              </w:rPr>
            </w:pPr>
            <w:r>
              <w:rPr>
                <w:rFonts w:hint="eastAsia" w:ascii="宋体" w:hAnsi="宋体" w:cs="宋体"/>
                <w:color w:val="auto"/>
                <w:sz w:val="24"/>
                <w:szCs w:val="24"/>
                <w:highlight w:val="none"/>
                <w:u w:val="single"/>
              </w:rPr>
              <w:t>/</w:t>
            </w:r>
          </w:p>
        </w:tc>
      </w:tr>
      <w:tr w14:paraId="37E1D95E">
        <w:tblPrEx>
          <w:tblCellMar>
            <w:top w:w="0" w:type="dxa"/>
            <w:left w:w="108" w:type="dxa"/>
            <w:bottom w:w="0" w:type="dxa"/>
            <w:right w:w="108" w:type="dxa"/>
          </w:tblCellMar>
        </w:tblPrEx>
        <w:trPr>
          <w:trHeight w:val="1049"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3C93C020">
            <w:pPr>
              <w:jc w:val="center"/>
              <w:rPr>
                <w:rFonts w:ascii="宋体" w:hAnsi="宋体" w:cs="宋体"/>
                <w:color w:val="auto"/>
                <w:szCs w:val="21"/>
                <w:highlight w:val="none"/>
              </w:rPr>
            </w:pPr>
            <w:r>
              <w:rPr>
                <w:rFonts w:ascii="宋体" w:hAnsi="宋体" w:cs="宋体"/>
                <w:color w:val="auto"/>
                <w:szCs w:val="21"/>
                <w:highlight w:val="none"/>
              </w:rPr>
              <w:t>3.7.3（B）</w:t>
            </w:r>
          </w:p>
        </w:tc>
        <w:tc>
          <w:tcPr>
            <w:tcW w:w="2050" w:type="dxa"/>
            <w:tcBorders>
              <w:top w:val="single" w:color="auto" w:sz="4" w:space="0"/>
              <w:left w:val="single" w:color="auto" w:sz="4" w:space="0"/>
              <w:bottom w:val="single" w:color="auto" w:sz="4" w:space="0"/>
              <w:right w:val="single" w:color="auto" w:sz="4" w:space="0"/>
            </w:tcBorders>
            <w:noWrap/>
            <w:vAlign w:val="center"/>
          </w:tcPr>
          <w:p w14:paraId="1EDE6DA8">
            <w:pPr>
              <w:jc w:val="center"/>
              <w:rPr>
                <w:rFonts w:ascii="宋体" w:hAnsi="宋体" w:cs="宋体"/>
                <w:color w:val="auto"/>
                <w:szCs w:val="21"/>
                <w:highlight w:val="none"/>
              </w:rPr>
            </w:pPr>
            <w:r>
              <w:rPr>
                <w:rFonts w:hint="eastAsia" w:ascii="宋体" w:hAnsi="宋体" w:cs="宋体"/>
                <w:color w:val="auto"/>
                <w:szCs w:val="21"/>
                <w:highlight w:val="none"/>
              </w:rPr>
              <w:t>投标文件所附证书证件要求</w:t>
            </w:r>
          </w:p>
        </w:tc>
        <w:tc>
          <w:tcPr>
            <w:tcW w:w="6917" w:type="dxa"/>
            <w:tcBorders>
              <w:top w:val="single" w:color="auto" w:sz="4" w:space="0"/>
              <w:left w:val="single" w:color="auto" w:sz="4" w:space="0"/>
              <w:bottom w:val="single" w:color="auto" w:sz="4" w:space="0"/>
              <w:right w:val="single" w:color="auto" w:sz="4" w:space="0"/>
            </w:tcBorders>
            <w:noWrap/>
          </w:tcPr>
          <w:p w14:paraId="21B34676">
            <w:pPr>
              <w:pStyle w:val="12"/>
              <w:topLinePunct/>
              <w:snapToGrid w:val="0"/>
              <w:rPr>
                <w:rFonts w:ascii="宋体" w:hAnsi="宋体" w:cs="宋体"/>
                <w:b/>
                <w:bCs/>
                <w:color w:val="auto"/>
                <w:sz w:val="24"/>
                <w:szCs w:val="21"/>
                <w:highlight w:val="none"/>
              </w:rPr>
            </w:pPr>
            <w:r>
              <w:rPr>
                <w:rFonts w:hint="eastAsia" w:hAnsi="宋体"/>
                <w:color w:val="auto"/>
                <w:sz w:val="21"/>
                <w:szCs w:val="21"/>
                <w:highlight w:val="none"/>
                <w:u w:val="single"/>
              </w:rPr>
              <w:t>投标文件全部采用电子文档，投标文件所附证书证件需为原件清晰扫描件，并采用单位数字证书，按照招标文件要求在相应位置加盖电子印章。相关操作详见广州交易集团有限公司（广州公共资源交易中心）网站最新发布的相关指引。</w:t>
            </w:r>
          </w:p>
        </w:tc>
      </w:tr>
      <w:tr w14:paraId="35480AB3">
        <w:tblPrEx>
          <w:tblCellMar>
            <w:top w:w="0" w:type="dxa"/>
            <w:left w:w="108" w:type="dxa"/>
            <w:bottom w:w="0" w:type="dxa"/>
            <w:right w:w="108" w:type="dxa"/>
          </w:tblCellMar>
        </w:tblPrEx>
        <w:trPr>
          <w:trHeight w:val="1032"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775E1F1D">
            <w:pPr>
              <w:jc w:val="center"/>
              <w:rPr>
                <w:rFonts w:ascii="宋体" w:hAnsi="宋体" w:cs="宋体"/>
                <w:color w:val="auto"/>
                <w:szCs w:val="21"/>
                <w:highlight w:val="none"/>
              </w:rPr>
            </w:pPr>
            <w:r>
              <w:rPr>
                <w:rFonts w:ascii="宋体" w:hAnsi="宋体" w:cs="宋体"/>
                <w:color w:val="auto"/>
                <w:szCs w:val="21"/>
                <w:highlight w:val="none"/>
              </w:rPr>
              <w:t>3.7.3（B）</w:t>
            </w:r>
          </w:p>
        </w:tc>
        <w:tc>
          <w:tcPr>
            <w:tcW w:w="2050" w:type="dxa"/>
            <w:tcBorders>
              <w:top w:val="single" w:color="auto" w:sz="4" w:space="0"/>
              <w:left w:val="single" w:color="auto" w:sz="4" w:space="0"/>
              <w:bottom w:val="single" w:color="auto" w:sz="4" w:space="0"/>
              <w:right w:val="single" w:color="auto" w:sz="4" w:space="0"/>
            </w:tcBorders>
            <w:noWrap/>
            <w:vAlign w:val="center"/>
          </w:tcPr>
          <w:p w14:paraId="3771A9AA">
            <w:pPr>
              <w:jc w:val="center"/>
              <w:rPr>
                <w:rFonts w:ascii="宋体" w:hAnsi="宋体" w:cs="宋体"/>
                <w:color w:val="auto"/>
                <w:szCs w:val="21"/>
                <w:highlight w:val="none"/>
              </w:rPr>
            </w:pPr>
            <w:r>
              <w:rPr>
                <w:rFonts w:hint="eastAsia" w:ascii="宋体" w:hAnsi="宋体" w:cs="宋体"/>
                <w:color w:val="auto"/>
                <w:szCs w:val="21"/>
                <w:highlight w:val="none"/>
              </w:rPr>
              <w:t>投标文件签字或盖章要求</w:t>
            </w:r>
          </w:p>
        </w:tc>
        <w:tc>
          <w:tcPr>
            <w:tcW w:w="6917" w:type="dxa"/>
            <w:tcBorders>
              <w:top w:val="single" w:color="auto" w:sz="4" w:space="0"/>
              <w:left w:val="single" w:color="auto" w:sz="4" w:space="0"/>
              <w:bottom w:val="single" w:color="auto" w:sz="4" w:space="0"/>
              <w:right w:val="single" w:color="auto" w:sz="4" w:space="0"/>
            </w:tcBorders>
            <w:noWrap/>
            <w:vAlign w:val="center"/>
          </w:tcPr>
          <w:p w14:paraId="7A25E677">
            <w:pPr>
              <w:topLinePunct/>
              <w:jc w:val="left"/>
              <w:rPr>
                <w:rFonts w:ascii="宋体" w:hAnsi="宋体" w:cs="宋体"/>
                <w:color w:val="auto"/>
                <w:szCs w:val="21"/>
                <w:highlight w:val="none"/>
              </w:rPr>
            </w:pPr>
            <w:r>
              <w:rPr>
                <w:rFonts w:hint="eastAsia" w:hAnsi="宋体"/>
                <w:color w:val="auto"/>
                <w:szCs w:val="21"/>
                <w:highlight w:val="none"/>
                <w:u w:val="single"/>
              </w:rPr>
              <w:t>投标文件中需个人签字或盖章的，应加盖个人电子印章或在线下完成后扫描上传。投标文件按招标文件要求加盖单位电子印章。相关操作详见广州公共资源交易中心网站最新发布的最新相关指引。</w:t>
            </w:r>
          </w:p>
        </w:tc>
      </w:tr>
      <w:tr w14:paraId="739F0245">
        <w:tblPrEx>
          <w:tblCellMar>
            <w:top w:w="0" w:type="dxa"/>
            <w:left w:w="108" w:type="dxa"/>
            <w:bottom w:w="0" w:type="dxa"/>
            <w:right w:w="108" w:type="dxa"/>
          </w:tblCellMar>
        </w:tblPrEx>
        <w:trPr>
          <w:trHeight w:val="489"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3DFB765D">
            <w:pPr>
              <w:jc w:val="center"/>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.1.1</w:t>
            </w:r>
          </w:p>
          <w:p w14:paraId="23DCFD36">
            <w:pPr>
              <w:pStyle w:val="8"/>
              <w:ind w:hanging="14"/>
              <w:jc w:val="center"/>
              <w:rPr>
                <w:rFonts w:ascii="宋体" w:hAnsi="宋体" w:cs="宋体"/>
                <w:color w:val="auto"/>
                <w:szCs w:val="21"/>
                <w:highlight w:val="none"/>
                <w:lang w:val="en-US"/>
              </w:rPr>
            </w:pPr>
            <w:r>
              <w:rPr>
                <w:rFonts w:ascii="宋体" w:hAnsi="宋体" w:cs="宋体"/>
                <w:color w:val="auto"/>
                <w:szCs w:val="21"/>
                <w:highlight w:val="none"/>
              </w:rPr>
              <w:t>（A）</w:t>
            </w:r>
          </w:p>
        </w:tc>
        <w:tc>
          <w:tcPr>
            <w:tcW w:w="2050" w:type="dxa"/>
            <w:tcBorders>
              <w:top w:val="single" w:color="auto" w:sz="4" w:space="0"/>
              <w:left w:val="single" w:color="auto" w:sz="4" w:space="0"/>
              <w:bottom w:val="single" w:color="auto" w:sz="4" w:space="0"/>
              <w:right w:val="single" w:color="auto" w:sz="4" w:space="0"/>
            </w:tcBorders>
            <w:noWrap/>
            <w:vAlign w:val="center"/>
          </w:tcPr>
          <w:p w14:paraId="590ABD4C">
            <w:pPr>
              <w:jc w:val="center"/>
              <w:rPr>
                <w:rFonts w:ascii="宋体" w:hAnsi="宋体" w:cs="宋体"/>
                <w:color w:val="auto"/>
                <w:szCs w:val="21"/>
                <w:highlight w:val="none"/>
              </w:rPr>
            </w:pPr>
            <w:r>
              <w:rPr>
                <w:rFonts w:hint="eastAsia" w:ascii="宋体" w:hAnsi="宋体"/>
                <w:color w:val="auto"/>
                <w:szCs w:val="21"/>
                <w:highlight w:val="none"/>
              </w:rPr>
              <w:t>投标文件的密封要求</w:t>
            </w:r>
          </w:p>
        </w:tc>
        <w:tc>
          <w:tcPr>
            <w:tcW w:w="6917" w:type="dxa"/>
            <w:tcBorders>
              <w:top w:val="single" w:color="auto" w:sz="4" w:space="0"/>
              <w:left w:val="single" w:color="auto" w:sz="4" w:space="0"/>
              <w:bottom w:val="single" w:color="auto" w:sz="4" w:space="0"/>
              <w:right w:val="single" w:color="auto" w:sz="4" w:space="0"/>
            </w:tcBorders>
            <w:noWrap/>
            <w:vAlign w:val="center"/>
          </w:tcPr>
          <w:p w14:paraId="6EADCEA6">
            <w:pPr>
              <w:topLinePunct/>
              <w:jc w:val="left"/>
              <w:rPr>
                <w:rFonts w:ascii="宋体" w:hAnsi="宋体"/>
                <w:color w:val="auto"/>
                <w:szCs w:val="21"/>
                <w:highlight w:val="none"/>
                <w:u w:val="single"/>
              </w:rPr>
            </w:pPr>
            <w:r>
              <w:rPr>
                <w:rFonts w:hint="eastAsia" w:ascii="宋体" w:hAnsi="宋体" w:cs="宋体"/>
                <w:color w:val="auto"/>
                <w:sz w:val="24"/>
                <w:szCs w:val="24"/>
                <w:highlight w:val="none"/>
                <w:u w:val="single"/>
              </w:rPr>
              <w:t>/</w:t>
            </w:r>
          </w:p>
        </w:tc>
      </w:tr>
      <w:tr w14:paraId="74C9891B">
        <w:tblPrEx>
          <w:tblCellMar>
            <w:top w:w="0" w:type="dxa"/>
            <w:left w:w="108" w:type="dxa"/>
            <w:bottom w:w="0" w:type="dxa"/>
            <w:right w:w="108" w:type="dxa"/>
          </w:tblCellMar>
        </w:tblPrEx>
        <w:trPr>
          <w:trHeight w:val="819"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43948604">
            <w:pPr>
              <w:jc w:val="center"/>
              <w:rPr>
                <w:rFonts w:ascii="宋体" w:hAnsi="宋体" w:cs="宋体"/>
                <w:color w:val="auto"/>
                <w:szCs w:val="21"/>
                <w:highlight w:val="none"/>
              </w:rPr>
            </w:pPr>
            <w:r>
              <w:rPr>
                <w:rFonts w:ascii="宋体" w:hAnsi="宋体" w:cs="宋体"/>
                <w:color w:val="auto"/>
                <w:szCs w:val="21"/>
                <w:highlight w:val="none"/>
              </w:rPr>
              <w:t>4.1.1（B）</w:t>
            </w:r>
          </w:p>
        </w:tc>
        <w:tc>
          <w:tcPr>
            <w:tcW w:w="2050" w:type="dxa"/>
            <w:tcBorders>
              <w:top w:val="single" w:color="auto" w:sz="4" w:space="0"/>
              <w:left w:val="single" w:color="auto" w:sz="4" w:space="0"/>
              <w:bottom w:val="single" w:color="auto" w:sz="4" w:space="0"/>
              <w:right w:val="single" w:color="auto" w:sz="4" w:space="0"/>
            </w:tcBorders>
            <w:noWrap/>
            <w:vAlign w:val="center"/>
          </w:tcPr>
          <w:p w14:paraId="55CB3849">
            <w:pPr>
              <w:jc w:val="center"/>
              <w:rPr>
                <w:rFonts w:ascii="宋体" w:hAnsi="宋体" w:cs="宋体"/>
                <w:color w:val="auto"/>
                <w:szCs w:val="21"/>
                <w:highlight w:val="none"/>
              </w:rPr>
            </w:pPr>
            <w:r>
              <w:rPr>
                <w:rFonts w:hint="eastAsia" w:ascii="宋体" w:hAnsi="宋体" w:cs="宋体"/>
                <w:color w:val="auto"/>
                <w:szCs w:val="21"/>
                <w:highlight w:val="none"/>
              </w:rPr>
              <w:t>投标文件加密要求</w:t>
            </w:r>
          </w:p>
        </w:tc>
        <w:tc>
          <w:tcPr>
            <w:tcW w:w="6917" w:type="dxa"/>
            <w:tcBorders>
              <w:top w:val="single" w:color="auto" w:sz="4" w:space="0"/>
              <w:left w:val="single" w:color="auto" w:sz="4" w:space="0"/>
              <w:bottom w:val="single" w:color="auto" w:sz="4" w:space="0"/>
              <w:right w:val="single" w:color="auto" w:sz="4" w:space="0"/>
            </w:tcBorders>
            <w:noWrap/>
            <w:vAlign w:val="center"/>
          </w:tcPr>
          <w:p w14:paraId="2CDEA490">
            <w:pPr>
              <w:topLinePunct/>
              <w:jc w:val="left"/>
              <w:rPr>
                <w:rFonts w:ascii="宋体" w:hAnsi="宋体" w:cs="宋体"/>
                <w:color w:val="auto"/>
                <w:szCs w:val="21"/>
                <w:highlight w:val="none"/>
              </w:rPr>
            </w:pPr>
            <w:r>
              <w:rPr>
                <w:rFonts w:hint="eastAsia" w:ascii="宋体" w:hAnsi="宋体" w:cs="宋体"/>
                <w:color w:val="auto"/>
                <w:szCs w:val="21"/>
                <w:highlight w:val="none"/>
              </w:rPr>
              <w:t>网上递交的电子投标文件须进行加密。</w:t>
            </w:r>
            <w:r>
              <w:rPr>
                <w:rFonts w:hint="eastAsia" w:ascii="宋体" w:hAnsi="宋体"/>
                <w:color w:val="auto"/>
                <w:szCs w:val="21"/>
                <w:highlight w:val="none"/>
              </w:rPr>
              <w:t>未按要求加密的投标文件，交易平台将予以拒收。</w:t>
            </w:r>
            <w:r>
              <w:rPr>
                <w:rFonts w:hint="eastAsia" w:ascii="宋体" w:hAnsi="宋体" w:cs="宋体"/>
                <w:color w:val="auto"/>
                <w:szCs w:val="21"/>
                <w:highlight w:val="none"/>
              </w:rPr>
              <w:t>具体操作详见附件</w:t>
            </w:r>
            <w:r>
              <w:rPr>
                <w:rFonts w:hint="eastAsia" w:ascii="宋体" w:hAnsi="宋体" w:cs="宋体"/>
                <w:color w:val="auto"/>
                <w:szCs w:val="21"/>
                <w:highlight w:val="none"/>
                <w:lang w:eastAsia="zh-CN"/>
              </w:rPr>
              <w:t>广州公共资源交易中心网站最新发布的最新相关指引</w:t>
            </w:r>
            <w:r>
              <w:rPr>
                <w:rFonts w:hint="eastAsia" w:ascii="宋体" w:hAnsi="宋体" w:cs="宋体"/>
                <w:color w:val="auto"/>
                <w:szCs w:val="21"/>
                <w:highlight w:val="none"/>
              </w:rPr>
              <w:t>。</w:t>
            </w:r>
          </w:p>
        </w:tc>
      </w:tr>
      <w:tr w14:paraId="220D39A2">
        <w:tblPrEx>
          <w:tblCellMar>
            <w:top w:w="0" w:type="dxa"/>
            <w:left w:w="108" w:type="dxa"/>
            <w:bottom w:w="0" w:type="dxa"/>
            <w:right w:w="108" w:type="dxa"/>
          </w:tblCellMar>
        </w:tblPrEx>
        <w:trPr>
          <w:trHeight w:val="1896"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28546A1F">
            <w:pPr>
              <w:jc w:val="center"/>
              <w:rPr>
                <w:rFonts w:ascii="宋体" w:hAnsi="宋体" w:cs="宋体"/>
                <w:color w:val="auto"/>
                <w:szCs w:val="21"/>
                <w:highlight w:val="none"/>
              </w:rPr>
            </w:pPr>
            <w:r>
              <w:rPr>
                <w:rFonts w:ascii="宋体" w:hAnsi="宋体" w:cs="宋体"/>
                <w:color w:val="auto"/>
                <w:szCs w:val="21"/>
                <w:highlight w:val="none"/>
              </w:rPr>
              <w:t>4.1.2</w:t>
            </w:r>
          </w:p>
        </w:tc>
        <w:tc>
          <w:tcPr>
            <w:tcW w:w="2050" w:type="dxa"/>
            <w:tcBorders>
              <w:top w:val="single" w:color="auto" w:sz="4" w:space="0"/>
              <w:left w:val="single" w:color="auto" w:sz="4" w:space="0"/>
              <w:bottom w:val="single" w:color="auto" w:sz="4" w:space="0"/>
              <w:right w:val="single" w:color="auto" w:sz="4" w:space="0"/>
            </w:tcBorders>
            <w:noWrap/>
            <w:vAlign w:val="center"/>
          </w:tcPr>
          <w:p w14:paraId="7C2489AD">
            <w:pPr>
              <w:jc w:val="center"/>
              <w:rPr>
                <w:rFonts w:ascii="宋体" w:hAnsi="宋体" w:cs="宋体"/>
                <w:color w:val="auto"/>
                <w:szCs w:val="21"/>
                <w:highlight w:val="none"/>
              </w:rPr>
            </w:pPr>
            <w:r>
              <w:rPr>
                <w:rFonts w:hint="eastAsia" w:ascii="宋体" w:hAnsi="宋体" w:cs="宋体"/>
                <w:color w:val="auto"/>
                <w:szCs w:val="21"/>
                <w:highlight w:val="none"/>
              </w:rPr>
              <w:t>封套上应载明的信息</w:t>
            </w:r>
          </w:p>
        </w:tc>
        <w:tc>
          <w:tcPr>
            <w:tcW w:w="6917" w:type="dxa"/>
            <w:tcBorders>
              <w:top w:val="single" w:color="auto" w:sz="4" w:space="0"/>
              <w:left w:val="single" w:color="auto" w:sz="4" w:space="0"/>
              <w:bottom w:val="single" w:color="auto" w:sz="4" w:space="0"/>
              <w:right w:val="single" w:color="auto" w:sz="4" w:space="0"/>
            </w:tcBorders>
            <w:noWrap/>
            <w:vAlign w:val="center"/>
          </w:tcPr>
          <w:p w14:paraId="57BD08D3">
            <w:pPr>
              <w:pStyle w:val="12"/>
              <w:topLinePunct/>
              <w:rPr>
                <w:rFonts w:ascii="宋体" w:hAnsi="宋体" w:cs="宋体"/>
                <w:color w:val="auto"/>
                <w:sz w:val="21"/>
                <w:szCs w:val="21"/>
                <w:highlight w:val="none"/>
              </w:rPr>
            </w:pPr>
            <w:r>
              <w:rPr>
                <w:rFonts w:hint="eastAsia" w:ascii="宋体" w:hAnsi="宋体" w:cs="宋体"/>
                <w:color w:val="auto"/>
                <w:sz w:val="21"/>
                <w:szCs w:val="21"/>
                <w:highlight w:val="none"/>
              </w:rPr>
              <w:t>如有提交投标文件光盘备用，封套上应注明如下信息：</w:t>
            </w:r>
          </w:p>
          <w:p w14:paraId="7565B88F">
            <w:pPr>
              <w:pStyle w:val="12"/>
              <w:topLinePunct/>
              <w:spacing w:after="0" w:line="360" w:lineRule="auto"/>
              <w:rPr>
                <w:rFonts w:ascii="宋体" w:hAnsi="宋体" w:cs="宋体"/>
                <w:b/>
                <w:bCs/>
                <w:color w:val="auto"/>
                <w:sz w:val="21"/>
                <w:szCs w:val="21"/>
                <w:highlight w:val="none"/>
              </w:rPr>
            </w:pPr>
            <w:r>
              <w:rPr>
                <w:rFonts w:hint="eastAsia" w:ascii="宋体" w:hAnsi="宋体" w:cs="宋体"/>
                <w:b/>
                <w:bCs/>
                <w:color w:val="auto"/>
                <w:sz w:val="21"/>
                <w:szCs w:val="21"/>
                <w:highlight w:val="none"/>
              </w:rPr>
              <w:t>招标人名称：</w:t>
            </w:r>
          </w:p>
          <w:p w14:paraId="3F6C1F21">
            <w:pPr>
              <w:pStyle w:val="12"/>
              <w:topLinePunct/>
              <w:spacing w:after="0" w:line="360" w:lineRule="auto"/>
              <w:rPr>
                <w:rFonts w:ascii="宋体" w:hAnsi="宋体" w:cs="宋体"/>
                <w:b/>
                <w:bCs/>
                <w:color w:val="auto"/>
                <w:sz w:val="21"/>
                <w:szCs w:val="21"/>
                <w:highlight w:val="none"/>
              </w:rPr>
            </w:pPr>
            <w:r>
              <w:rPr>
                <w:rFonts w:hint="eastAsia" w:ascii="宋体" w:hAnsi="宋体" w:cs="宋体"/>
                <w:b/>
                <w:bCs/>
                <w:color w:val="auto"/>
                <w:sz w:val="21"/>
                <w:szCs w:val="21"/>
                <w:highlight w:val="none"/>
                <w:u w:val="single"/>
              </w:rPr>
              <w:t xml:space="preserve">     （项目名称）        </w:t>
            </w:r>
            <w:r>
              <w:rPr>
                <w:rFonts w:ascii="宋体" w:hAnsi="宋体" w:cs="宋体"/>
                <w:b/>
                <w:bCs/>
                <w:color w:val="auto"/>
                <w:sz w:val="21"/>
                <w:szCs w:val="21"/>
                <w:highlight w:val="none"/>
              </w:rPr>
              <w:t>投标文件</w:t>
            </w:r>
          </w:p>
          <w:p w14:paraId="6BF0C1EC">
            <w:pPr>
              <w:pStyle w:val="90"/>
              <w:tabs>
                <w:tab w:val="left" w:pos="1157"/>
              </w:tabs>
              <w:spacing w:line="360" w:lineRule="auto"/>
              <w:jc w:val="both"/>
              <w:rPr>
                <w:rFonts w:hAnsi="宋体"/>
                <w:b/>
                <w:bCs/>
                <w:color w:val="auto"/>
                <w:sz w:val="21"/>
                <w:szCs w:val="21"/>
                <w:highlight w:val="none"/>
                <w:u w:val="single"/>
              </w:rPr>
            </w:pPr>
            <w:r>
              <w:rPr>
                <w:rFonts w:hint="eastAsia" w:hAnsi="宋体"/>
                <w:b/>
                <w:bCs/>
                <w:color w:val="auto"/>
                <w:sz w:val="21"/>
                <w:szCs w:val="21"/>
                <w:highlight w:val="none"/>
              </w:rPr>
              <w:t>投标人名称：</w:t>
            </w:r>
          </w:p>
          <w:p w14:paraId="186BAA3E">
            <w:pPr>
              <w:pStyle w:val="12"/>
              <w:topLinePunct/>
              <w:spacing w:after="0" w:line="360" w:lineRule="auto"/>
              <w:rPr>
                <w:rFonts w:ascii="宋体" w:hAnsi="宋体" w:cs="宋体"/>
                <w:color w:val="auto"/>
                <w:sz w:val="21"/>
                <w:szCs w:val="21"/>
                <w:highlight w:val="none"/>
              </w:rPr>
            </w:pPr>
            <w:r>
              <w:rPr>
                <w:rFonts w:hint="eastAsia" w:ascii="宋体" w:hAnsi="宋体" w:cs="宋体"/>
                <w:b/>
                <w:bCs/>
                <w:color w:val="auto"/>
                <w:sz w:val="21"/>
                <w:szCs w:val="21"/>
                <w:highlight w:val="none"/>
              </w:rPr>
              <w:t>在年月日时前不得开启</w:t>
            </w:r>
          </w:p>
        </w:tc>
      </w:tr>
      <w:tr w14:paraId="4A039EF1">
        <w:tblPrEx>
          <w:tblCellMar>
            <w:top w:w="0" w:type="dxa"/>
            <w:left w:w="108" w:type="dxa"/>
            <w:bottom w:w="0" w:type="dxa"/>
            <w:right w:w="108" w:type="dxa"/>
          </w:tblCellMar>
        </w:tblPrEx>
        <w:trPr>
          <w:trHeight w:val="1279"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41C15EF4">
            <w:pPr>
              <w:jc w:val="center"/>
              <w:rPr>
                <w:rFonts w:ascii="宋体" w:hAnsi="宋体" w:cs="宋体"/>
                <w:color w:val="auto"/>
                <w:szCs w:val="21"/>
                <w:highlight w:val="none"/>
              </w:rPr>
            </w:pPr>
            <w:r>
              <w:rPr>
                <w:rFonts w:ascii="宋体" w:hAnsi="宋体" w:cs="宋体"/>
                <w:color w:val="auto"/>
                <w:szCs w:val="21"/>
                <w:highlight w:val="none"/>
              </w:rPr>
              <w:t>4.2.1</w:t>
            </w:r>
          </w:p>
        </w:tc>
        <w:tc>
          <w:tcPr>
            <w:tcW w:w="2050" w:type="dxa"/>
            <w:tcBorders>
              <w:top w:val="single" w:color="auto" w:sz="4" w:space="0"/>
              <w:left w:val="single" w:color="auto" w:sz="4" w:space="0"/>
              <w:bottom w:val="single" w:color="auto" w:sz="4" w:space="0"/>
              <w:right w:val="single" w:color="auto" w:sz="4" w:space="0"/>
            </w:tcBorders>
            <w:noWrap/>
            <w:vAlign w:val="center"/>
          </w:tcPr>
          <w:p w14:paraId="63BF6BEF">
            <w:pPr>
              <w:jc w:val="center"/>
              <w:rPr>
                <w:rFonts w:ascii="宋体" w:hAnsi="宋体" w:cs="宋体"/>
                <w:color w:val="auto"/>
                <w:szCs w:val="21"/>
                <w:highlight w:val="none"/>
              </w:rPr>
            </w:pPr>
            <w:r>
              <w:rPr>
                <w:rFonts w:hint="eastAsia" w:ascii="宋体" w:hAnsi="宋体" w:cs="宋体"/>
                <w:color w:val="auto"/>
                <w:szCs w:val="21"/>
                <w:highlight w:val="none"/>
              </w:rPr>
              <w:t>投标截止时间</w:t>
            </w:r>
          </w:p>
        </w:tc>
        <w:tc>
          <w:tcPr>
            <w:tcW w:w="6917" w:type="dxa"/>
            <w:tcBorders>
              <w:top w:val="single" w:color="auto" w:sz="4" w:space="0"/>
              <w:left w:val="single" w:color="auto" w:sz="4" w:space="0"/>
              <w:bottom w:val="single" w:color="auto" w:sz="4" w:space="0"/>
              <w:right w:val="single" w:color="auto" w:sz="4" w:space="0"/>
            </w:tcBorders>
            <w:noWrap/>
            <w:vAlign w:val="center"/>
          </w:tcPr>
          <w:p w14:paraId="1C294FB4">
            <w:pPr>
              <w:rPr>
                <w:rFonts w:ascii="宋体" w:hAnsi="宋体" w:cs="宋体"/>
                <w:color w:val="auto"/>
                <w:szCs w:val="21"/>
                <w:highlight w:val="none"/>
              </w:rPr>
            </w:pPr>
            <w:r>
              <w:rPr>
                <w:rFonts w:hint="eastAsia" w:ascii="宋体" w:hAnsi="宋体"/>
                <w:color w:val="auto"/>
                <w:szCs w:val="21"/>
                <w:highlight w:val="none"/>
              </w:rPr>
              <w:t>详见广州交易集团有限公司（广州公共资源交易中心）网站信息。具体时间可以到广州交易集团有限公司（广州公共资源交易中心）交易平台“建设工程→项目查询（日程安排、答疑纪要）”输入本项目编号或项目名称进行查询。</w:t>
            </w:r>
          </w:p>
        </w:tc>
      </w:tr>
      <w:tr w14:paraId="2DE859AE">
        <w:tblPrEx>
          <w:tblCellMar>
            <w:top w:w="0" w:type="dxa"/>
            <w:left w:w="108" w:type="dxa"/>
            <w:bottom w:w="0" w:type="dxa"/>
            <w:right w:w="108" w:type="dxa"/>
          </w:tblCellMar>
        </w:tblPrEx>
        <w:trPr>
          <w:trHeight w:val="422"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5448C8FB">
            <w:pPr>
              <w:jc w:val="center"/>
              <w:rPr>
                <w:rFonts w:ascii="宋体" w:hAnsi="宋体"/>
                <w:color w:val="auto"/>
                <w:szCs w:val="21"/>
                <w:highlight w:val="none"/>
              </w:rPr>
            </w:pPr>
            <w:r>
              <w:rPr>
                <w:rFonts w:ascii="宋体" w:hAnsi="宋体"/>
                <w:color w:val="auto"/>
                <w:szCs w:val="21"/>
                <w:highlight w:val="none"/>
              </w:rPr>
              <w:t>4.2.2（</w:t>
            </w:r>
            <w:r>
              <w:rPr>
                <w:rFonts w:hint="eastAsia" w:ascii="宋体" w:hAnsi="宋体"/>
                <w:color w:val="auto"/>
                <w:szCs w:val="21"/>
                <w:highlight w:val="none"/>
              </w:rPr>
              <w:t>A</w:t>
            </w:r>
            <w:r>
              <w:rPr>
                <w:rFonts w:ascii="宋体" w:hAnsi="宋体"/>
                <w:color w:val="auto"/>
                <w:szCs w:val="21"/>
                <w:highlight w:val="none"/>
              </w:rPr>
              <w:t>）</w:t>
            </w:r>
          </w:p>
        </w:tc>
        <w:tc>
          <w:tcPr>
            <w:tcW w:w="2050" w:type="dxa"/>
            <w:tcBorders>
              <w:top w:val="single" w:color="auto" w:sz="4" w:space="0"/>
              <w:left w:val="single" w:color="auto" w:sz="4" w:space="0"/>
              <w:bottom w:val="single" w:color="auto" w:sz="4" w:space="0"/>
              <w:right w:val="single" w:color="auto" w:sz="4" w:space="0"/>
            </w:tcBorders>
            <w:noWrap/>
            <w:vAlign w:val="center"/>
          </w:tcPr>
          <w:p w14:paraId="29918903">
            <w:pPr>
              <w:jc w:val="center"/>
              <w:rPr>
                <w:rFonts w:ascii="宋体" w:hAnsi="宋体"/>
                <w:color w:val="auto"/>
                <w:szCs w:val="21"/>
                <w:highlight w:val="none"/>
              </w:rPr>
            </w:pPr>
            <w:r>
              <w:rPr>
                <w:rFonts w:ascii="宋体" w:hAnsi="宋体"/>
                <w:color w:val="auto"/>
                <w:szCs w:val="21"/>
                <w:highlight w:val="none"/>
              </w:rPr>
              <w:t>递交投标文件</w:t>
            </w:r>
            <w:r>
              <w:rPr>
                <w:rFonts w:hint="eastAsia" w:ascii="宋体" w:hAnsi="宋体"/>
                <w:color w:val="auto"/>
                <w:szCs w:val="21"/>
                <w:highlight w:val="none"/>
              </w:rPr>
              <w:t>地点</w:t>
            </w:r>
          </w:p>
        </w:tc>
        <w:tc>
          <w:tcPr>
            <w:tcW w:w="6917" w:type="dxa"/>
            <w:tcBorders>
              <w:top w:val="single" w:color="auto" w:sz="4" w:space="0"/>
              <w:left w:val="single" w:color="auto" w:sz="4" w:space="0"/>
              <w:bottom w:val="single" w:color="auto" w:sz="4" w:space="0"/>
              <w:right w:val="single" w:color="auto" w:sz="4" w:space="0"/>
            </w:tcBorders>
            <w:noWrap/>
            <w:vAlign w:val="center"/>
          </w:tcPr>
          <w:p w14:paraId="76E8958D">
            <w:pPr>
              <w:pStyle w:val="90"/>
              <w:ind w:left="36" w:leftChars="17" w:right="36" w:rightChars="17"/>
              <w:jc w:val="both"/>
              <w:rPr>
                <w:rFonts w:hAnsi="宋体"/>
                <w:color w:val="auto"/>
                <w:szCs w:val="21"/>
                <w:highlight w:val="none"/>
              </w:rPr>
            </w:pPr>
            <w:r>
              <w:rPr>
                <w:rFonts w:hint="eastAsia" w:hAnsi="宋体"/>
                <w:color w:val="auto"/>
                <w:sz w:val="21"/>
                <w:szCs w:val="21"/>
                <w:highlight w:val="none"/>
              </w:rPr>
              <w:t>/</w:t>
            </w:r>
          </w:p>
        </w:tc>
      </w:tr>
      <w:tr w14:paraId="64142D7D">
        <w:tblPrEx>
          <w:tblCellMar>
            <w:top w:w="0" w:type="dxa"/>
            <w:left w:w="108" w:type="dxa"/>
            <w:bottom w:w="0" w:type="dxa"/>
            <w:right w:w="108" w:type="dxa"/>
          </w:tblCellMar>
        </w:tblPrEx>
        <w:trPr>
          <w:trHeight w:val="639"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327FBC45">
            <w:pPr>
              <w:jc w:val="center"/>
              <w:rPr>
                <w:rFonts w:ascii="宋体" w:hAnsi="宋体" w:cs="宋体"/>
                <w:color w:val="auto"/>
                <w:szCs w:val="21"/>
                <w:highlight w:val="none"/>
              </w:rPr>
            </w:pPr>
            <w:r>
              <w:rPr>
                <w:rFonts w:ascii="宋体" w:hAnsi="宋体" w:cs="宋体"/>
                <w:color w:val="auto"/>
                <w:szCs w:val="21"/>
                <w:highlight w:val="none"/>
              </w:rPr>
              <w:t>4.2.3</w:t>
            </w:r>
          </w:p>
        </w:tc>
        <w:tc>
          <w:tcPr>
            <w:tcW w:w="2050" w:type="dxa"/>
            <w:tcBorders>
              <w:top w:val="single" w:color="auto" w:sz="4" w:space="0"/>
              <w:left w:val="single" w:color="auto" w:sz="4" w:space="0"/>
              <w:bottom w:val="single" w:color="auto" w:sz="4" w:space="0"/>
              <w:right w:val="single" w:color="auto" w:sz="4" w:space="0"/>
            </w:tcBorders>
            <w:noWrap/>
            <w:vAlign w:val="center"/>
          </w:tcPr>
          <w:p w14:paraId="4A3D8E9E">
            <w:pPr>
              <w:jc w:val="center"/>
              <w:rPr>
                <w:rFonts w:ascii="宋体" w:hAnsi="宋体" w:cs="宋体"/>
                <w:color w:val="auto"/>
                <w:szCs w:val="21"/>
                <w:highlight w:val="none"/>
              </w:rPr>
            </w:pPr>
            <w:r>
              <w:rPr>
                <w:rFonts w:hint="eastAsia" w:ascii="宋体" w:hAnsi="宋体" w:cs="宋体"/>
                <w:color w:val="auto"/>
                <w:szCs w:val="21"/>
                <w:highlight w:val="none"/>
              </w:rPr>
              <w:t>投标文件是否退还</w:t>
            </w:r>
          </w:p>
        </w:tc>
        <w:tc>
          <w:tcPr>
            <w:tcW w:w="6917" w:type="dxa"/>
            <w:tcBorders>
              <w:top w:val="single" w:color="auto" w:sz="4" w:space="0"/>
              <w:left w:val="single" w:color="auto" w:sz="4" w:space="0"/>
              <w:bottom w:val="single" w:color="auto" w:sz="4" w:space="0"/>
              <w:right w:val="single" w:color="auto" w:sz="4" w:space="0"/>
            </w:tcBorders>
            <w:noWrap/>
            <w:vAlign w:val="center"/>
          </w:tcPr>
          <w:p w14:paraId="34FA2B6B">
            <w:pPr>
              <w:pStyle w:val="12"/>
              <w:topLinePunct/>
              <w:spacing w:after="0"/>
              <w:rPr>
                <w:rFonts w:ascii="宋体" w:hAnsi="宋体" w:cs="宋体"/>
                <w:color w:val="auto"/>
                <w:sz w:val="21"/>
                <w:szCs w:val="21"/>
                <w:highlight w:val="none"/>
              </w:rPr>
            </w:pPr>
            <w:r>
              <w:rPr>
                <w:rFonts w:hint="eastAsia" w:ascii="宋体" w:hAnsi="宋体"/>
                <w:color w:val="auto"/>
                <w:sz w:val="21"/>
                <w:szCs w:val="21"/>
                <w:highlight w:val="none"/>
              </w:rPr>
              <w:t>■</w:t>
            </w:r>
            <w:r>
              <w:rPr>
                <w:rFonts w:hint="eastAsia" w:ascii="宋体" w:hAnsi="宋体" w:cs="宋体"/>
                <w:color w:val="auto"/>
                <w:sz w:val="21"/>
                <w:szCs w:val="21"/>
                <w:highlight w:val="none"/>
              </w:rPr>
              <w:t>否</w:t>
            </w:r>
          </w:p>
          <w:p w14:paraId="1E5394E9">
            <w:pPr>
              <w:pStyle w:val="12"/>
              <w:topLinePunct/>
              <w:spacing w:after="0"/>
              <w:rPr>
                <w:rFonts w:ascii="宋体" w:hAnsi="宋体" w:cs="宋体"/>
                <w:color w:val="auto"/>
                <w:sz w:val="21"/>
                <w:szCs w:val="21"/>
                <w:highlight w:val="none"/>
              </w:rPr>
            </w:pPr>
            <w:r>
              <w:rPr>
                <w:rFonts w:hint="eastAsia" w:ascii="宋体" w:hAnsi="宋体" w:cs="宋体"/>
                <w:color w:val="auto"/>
                <w:sz w:val="21"/>
                <w:szCs w:val="21"/>
                <w:highlight w:val="none"/>
              </w:rPr>
              <w:t>□是，退还时间：</w:t>
            </w:r>
          </w:p>
        </w:tc>
      </w:tr>
      <w:tr w14:paraId="78BF0D73">
        <w:tblPrEx>
          <w:tblCellMar>
            <w:top w:w="0" w:type="dxa"/>
            <w:left w:w="108" w:type="dxa"/>
            <w:bottom w:w="0" w:type="dxa"/>
            <w:right w:w="108" w:type="dxa"/>
          </w:tblCellMar>
        </w:tblPrEx>
        <w:trPr>
          <w:trHeight w:val="663"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4DC0239E">
            <w:pPr>
              <w:jc w:val="center"/>
              <w:rPr>
                <w:rFonts w:ascii="宋体" w:hAnsi="宋体" w:cs="宋体"/>
                <w:color w:val="auto"/>
                <w:szCs w:val="21"/>
                <w:highlight w:val="none"/>
              </w:rPr>
            </w:pPr>
            <w:r>
              <w:rPr>
                <w:rFonts w:ascii="宋体" w:hAnsi="宋体" w:cs="宋体"/>
                <w:color w:val="auto"/>
                <w:szCs w:val="21"/>
                <w:highlight w:val="none"/>
              </w:rPr>
              <w:t>5.2</w:t>
            </w:r>
          </w:p>
        </w:tc>
        <w:tc>
          <w:tcPr>
            <w:tcW w:w="2050" w:type="dxa"/>
            <w:tcBorders>
              <w:top w:val="single" w:color="auto" w:sz="4" w:space="0"/>
              <w:left w:val="single" w:color="auto" w:sz="4" w:space="0"/>
              <w:bottom w:val="single" w:color="auto" w:sz="4" w:space="0"/>
              <w:right w:val="single" w:color="auto" w:sz="4" w:space="0"/>
            </w:tcBorders>
            <w:noWrap/>
            <w:vAlign w:val="center"/>
          </w:tcPr>
          <w:p w14:paraId="77CD8634">
            <w:pPr>
              <w:jc w:val="center"/>
              <w:rPr>
                <w:rFonts w:ascii="宋体" w:hAnsi="宋体" w:cs="宋体"/>
                <w:color w:val="auto"/>
                <w:szCs w:val="21"/>
                <w:highlight w:val="none"/>
              </w:rPr>
            </w:pPr>
            <w:r>
              <w:rPr>
                <w:rFonts w:hint="eastAsia" w:ascii="宋体" w:hAnsi="宋体" w:cs="宋体"/>
                <w:color w:val="auto"/>
                <w:szCs w:val="21"/>
                <w:highlight w:val="none"/>
              </w:rPr>
              <w:t>开标程序</w:t>
            </w:r>
          </w:p>
        </w:tc>
        <w:tc>
          <w:tcPr>
            <w:tcW w:w="6917" w:type="dxa"/>
            <w:tcBorders>
              <w:top w:val="single" w:color="auto" w:sz="4" w:space="0"/>
              <w:left w:val="single" w:color="auto" w:sz="4" w:space="0"/>
              <w:bottom w:val="single" w:color="auto" w:sz="4" w:space="0"/>
              <w:right w:val="single" w:color="auto" w:sz="4" w:space="0"/>
            </w:tcBorders>
            <w:noWrap/>
            <w:vAlign w:val="center"/>
          </w:tcPr>
          <w:p w14:paraId="76485E7A">
            <w:pPr>
              <w:pStyle w:val="90"/>
              <w:spacing w:line="276" w:lineRule="auto"/>
              <w:rPr>
                <w:rFonts w:hAnsi="宋体"/>
                <w:color w:val="auto"/>
                <w:sz w:val="21"/>
                <w:szCs w:val="21"/>
                <w:highlight w:val="none"/>
              </w:rPr>
            </w:pPr>
            <w:r>
              <w:rPr>
                <w:rFonts w:hint="eastAsia" w:hAnsi="宋体"/>
                <w:color w:val="auto"/>
                <w:sz w:val="21"/>
                <w:szCs w:val="21"/>
                <w:highlight w:val="none"/>
              </w:rPr>
              <w:t>1、宣布开标纪律；</w:t>
            </w:r>
          </w:p>
          <w:p w14:paraId="10F9234E">
            <w:pPr>
              <w:pStyle w:val="90"/>
              <w:spacing w:line="276" w:lineRule="auto"/>
              <w:rPr>
                <w:rFonts w:hAnsi="宋体"/>
                <w:color w:val="auto"/>
                <w:sz w:val="21"/>
                <w:szCs w:val="21"/>
                <w:highlight w:val="none"/>
              </w:rPr>
            </w:pPr>
            <w:r>
              <w:rPr>
                <w:rFonts w:hint="eastAsia" w:hAnsi="宋体"/>
                <w:color w:val="auto"/>
                <w:sz w:val="21"/>
                <w:szCs w:val="21"/>
                <w:highlight w:val="none"/>
              </w:rPr>
              <w:t>2、公布在投标截止时间前递交投标文件的投标人名称；</w:t>
            </w:r>
          </w:p>
          <w:p w14:paraId="556F0816">
            <w:pPr>
              <w:pStyle w:val="90"/>
              <w:spacing w:line="276" w:lineRule="auto"/>
              <w:rPr>
                <w:rFonts w:hAnsi="宋体"/>
                <w:color w:val="auto"/>
                <w:sz w:val="21"/>
                <w:szCs w:val="21"/>
                <w:highlight w:val="none"/>
              </w:rPr>
            </w:pPr>
            <w:r>
              <w:rPr>
                <w:rFonts w:hint="eastAsia" w:hAnsi="宋体"/>
                <w:color w:val="auto"/>
                <w:sz w:val="21"/>
                <w:szCs w:val="21"/>
                <w:highlight w:val="none"/>
              </w:rPr>
              <w:t>3、宣布开标人、唱标人、记录人、监标人等有关人员姓名；</w:t>
            </w:r>
          </w:p>
          <w:p w14:paraId="0CCDABD1">
            <w:pPr>
              <w:pStyle w:val="90"/>
              <w:spacing w:line="276" w:lineRule="auto"/>
              <w:rPr>
                <w:rFonts w:hAnsi="宋体"/>
                <w:color w:val="auto"/>
                <w:sz w:val="21"/>
                <w:szCs w:val="21"/>
                <w:highlight w:val="none"/>
              </w:rPr>
            </w:pPr>
            <w:r>
              <w:rPr>
                <w:rFonts w:hint="eastAsia" w:hAnsi="宋体"/>
                <w:color w:val="auto"/>
                <w:sz w:val="21"/>
                <w:szCs w:val="21"/>
                <w:highlight w:val="none"/>
                <w:lang w:val="en-US"/>
              </w:rPr>
              <w:t>4</w:t>
            </w:r>
            <w:r>
              <w:rPr>
                <w:rFonts w:hint="eastAsia" w:hAnsi="宋体"/>
                <w:color w:val="auto"/>
                <w:sz w:val="21"/>
                <w:szCs w:val="21"/>
                <w:highlight w:val="none"/>
              </w:rPr>
              <w:t>、在投标截止时间后半小时内，投标人通过递交投标文件的新交易平台对已递交的电子投标文件进行解密。投标人完成解密后，再由招标人进行解密。解密完成后，公布招标项目名称、投标人名称等相关信息。未在规定时间内解密的投标文件不参与开标、评标。</w:t>
            </w:r>
          </w:p>
          <w:p w14:paraId="18A15973">
            <w:pPr>
              <w:pStyle w:val="90"/>
              <w:spacing w:line="276" w:lineRule="auto"/>
              <w:rPr>
                <w:rFonts w:hAnsi="宋体"/>
                <w:color w:val="auto"/>
                <w:sz w:val="21"/>
                <w:szCs w:val="21"/>
                <w:highlight w:val="none"/>
              </w:rPr>
            </w:pPr>
            <w:r>
              <w:rPr>
                <w:rFonts w:hint="eastAsia" w:hAnsi="宋体"/>
                <w:color w:val="auto"/>
                <w:sz w:val="21"/>
                <w:szCs w:val="21"/>
                <w:highlight w:val="none"/>
                <w:lang w:val="en-US"/>
              </w:rPr>
              <w:t>5</w:t>
            </w:r>
            <w:r>
              <w:rPr>
                <w:rFonts w:hint="eastAsia" w:hAnsi="宋体"/>
                <w:color w:val="auto"/>
                <w:sz w:val="21"/>
                <w:szCs w:val="21"/>
                <w:highlight w:val="none"/>
              </w:rPr>
              <w:t>、</w:t>
            </w:r>
            <w:r>
              <w:rPr>
                <w:rFonts w:hint="eastAsia" w:ascii="Times New Roman" w:hAnsi="宋体" w:cs="Times New Roman"/>
                <w:color w:val="auto"/>
                <w:kern w:val="2"/>
                <w:sz w:val="21"/>
                <w:szCs w:val="21"/>
                <w:highlight w:val="none"/>
                <w:lang w:val="en-US" w:bidi="ar-SA"/>
              </w:rPr>
              <w:t>截标后，开标开始时间因故推迟的，相关评标信息仍以原定的开标开始时间的信息为准。</w:t>
            </w:r>
          </w:p>
          <w:p w14:paraId="5E0FFD28">
            <w:pPr>
              <w:pStyle w:val="90"/>
              <w:spacing w:line="276" w:lineRule="auto"/>
              <w:rPr>
                <w:rFonts w:hAnsi="宋体"/>
                <w:color w:val="auto"/>
                <w:sz w:val="21"/>
                <w:szCs w:val="21"/>
                <w:highlight w:val="none"/>
              </w:rPr>
            </w:pPr>
            <w:r>
              <w:rPr>
                <w:rFonts w:hint="eastAsia" w:hAnsi="宋体"/>
                <w:color w:val="auto"/>
                <w:sz w:val="21"/>
                <w:szCs w:val="21"/>
                <w:highlight w:val="none"/>
                <w:lang w:val="en-US"/>
              </w:rPr>
              <w:t>6</w:t>
            </w:r>
            <w:r>
              <w:rPr>
                <w:rFonts w:hint="eastAsia" w:hAnsi="宋体"/>
                <w:color w:val="auto"/>
                <w:sz w:val="21"/>
                <w:szCs w:val="21"/>
                <w:highlight w:val="none"/>
              </w:rPr>
              <w:t>、备用光盘的读取按</w:t>
            </w:r>
            <w:bookmarkStart w:id="9" w:name="_Hlk123218626"/>
            <w:r>
              <w:rPr>
                <w:rFonts w:hint="eastAsia" w:hAnsi="宋体"/>
                <w:color w:val="auto"/>
                <w:sz w:val="21"/>
                <w:szCs w:val="21"/>
                <w:highlight w:val="none"/>
              </w:rPr>
              <w:t>投标人须知前附表第</w:t>
            </w:r>
            <w:r>
              <w:rPr>
                <w:rFonts w:hAnsi="宋体"/>
                <w:color w:val="auto"/>
                <w:sz w:val="21"/>
                <w:szCs w:val="21"/>
                <w:highlight w:val="none"/>
              </w:rPr>
              <w:t>9</w:t>
            </w:r>
            <w:r>
              <w:rPr>
                <w:rFonts w:hint="eastAsia" w:hAnsi="宋体"/>
                <w:color w:val="auto"/>
                <w:sz w:val="21"/>
                <w:szCs w:val="21"/>
                <w:highlight w:val="none"/>
              </w:rPr>
              <w:t>条</w:t>
            </w:r>
            <w:bookmarkEnd w:id="9"/>
            <w:r>
              <w:rPr>
                <w:rFonts w:hint="eastAsia" w:hAnsi="宋体"/>
                <w:color w:val="auto"/>
                <w:sz w:val="21"/>
                <w:szCs w:val="21"/>
                <w:highlight w:val="none"/>
              </w:rPr>
              <w:t>的规定执行。</w:t>
            </w:r>
          </w:p>
          <w:p w14:paraId="25D69E2B">
            <w:pPr>
              <w:pStyle w:val="90"/>
              <w:spacing w:line="276" w:lineRule="auto"/>
              <w:rPr>
                <w:rFonts w:hAnsi="宋体"/>
                <w:color w:val="auto"/>
                <w:sz w:val="21"/>
                <w:szCs w:val="21"/>
                <w:highlight w:val="none"/>
              </w:rPr>
            </w:pPr>
            <w:r>
              <w:rPr>
                <w:rFonts w:hint="eastAsia" w:hAnsi="宋体"/>
                <w:color w:val="auto"/>
                <w:sz w:val="21"/>
                <w:szCs w:val="21"/>
                <w:highlight w:val="none"/>
                <w:lang w:val="en-US"/>
              </w:rPr>
              <w:t>7</w:t>
            </w:r>
            <w:r>
              <w:rPr>
                <w:rFonts w:hint="eastAsia" w:hAnsi="宋体"/>
                <w:color w:val="auto"/>
                <w:sz w:val="21"/>
                <w:szCs w:val="21"/>
                <w:highlight w:val="none"/>
              </w:rPr>
              <w:t>、</w:t>
            </w:r>
            <w:r>
              <w:rPr>
                <w:rFonts w:hint="eastAsia" w:ascii="Times New Roman" w:hAnsi="宋体" w:cs="Times New Roman"/>
                <w:color w:val="auto"/>
                <w:kern w:val="2"/>
                <w:sz w:val="21"/>
                <w:szCs w:val="21"/>
                <w:highlight w:val="none"/>
                <w:lang w:val="en-US" w:bidi="ar-SA"/>
              </w:rPr>
              <w:t>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37B2EF09">
            <w:pPr>
              <w:pStyle w:val="90"/>
              <w:spacing w:line="276" w:lineRule="auto"/>
              <w:rPr>
                <w:rFonts w:hAnsi="宋体"/>
                <w:color w:val="auto"/>
                <w:sz w:val="21"/>
                <w:szCs w:val="21"/>
                <w:highlight w:val="none"/>
              </w:rPr>
            </w:pPr>
            <w:r>
              <w:rPr>
                <w:rFonts w:hint="eastAsia" w:hAnsi="宋体"/>
                <w:color w:val="auto"/>
                <w:sz w:val="21"/>
                <w:szCs w:val="21"/>
                <w:highlight w:val="none"/>
                <w:lang w:val="en-US"/>
              </w:rPr>
              <w:t>8</w:t>
            </w:r>
            <w:r>
              <w:rPr>
                <w:rFonts w:hint="eastAsia" w:hAnsi="宋体"/>
                <w:color w:val="auto"/>
                <w:sz w:val="21"/>
                <w:szCs w:val="21"/>
                <w:highlight w:val="none"/>
              </w:rPr>
              <w:t>、</w:t>
            </w:r>
            <w:r>
              <w:rPr>
                <w:rFonts w:hint="eastAsia" w:ascii="Times New Roman" w:hAnsi="宋体" w:cs="Times New Roman"/>
                <w:color w:val="auto"/>
                <w:kern w:val="2"/>
                <w:sz w:val="21"/>
                <w:szCs w:val="21"/>
                <w:highlight w:val="none"/>
                <w:lang w:val="en-US" w:bidi="ar-SA"/>
              </w:rPr>
              <w:t>开标方式采用电子开标和现场开标两种模式，投标人可选择在开标室参与开标或准时在线参加开标，也可不参加开标。参加在线开标的投标人登录新交易平台实时查看开标、唱标情况。新交易平台生成开标记录并向社会公众公布。</w:t>
            </w:r>
          </w:p>
          <w:p w14:paraId="2BC0160F">
            <w:pPr>
              <w:pStyle w:val="90"/>
              <w:spacing w:line="276" w:lineRule="auto"/>
              <w:rPr>
                <w:rFonts w:hAnsi="宋体"/>
                <w:color w:val="auto"/>
                <w:sz w:val="21"/>
                <w:szCs w:val="21"/>
                <w:highlight w:val="none"/>
              </w:rPr>
            </w:pPr>
            <w:r>
              <w:rPr>
                <w:rFonts w:hint="eastAsia" w:hAnsi="宋体"/>
                <w:color w:val="auto"/>
                <w:sz w:val="21"/>
                <w:szCs w:val="21"/>
                <w:highlight w:val="none"/>
                <w:lang w:val="en-US"/>
              </w:rPr>
              <w:t>9</w:t>
            </w:r>
            <w:r>
              <w:rPr>
                <w:rFonts w:hint="eastAsia" w:hAnsi="宋体"/>
                <w:color w:val="auto"/>
                <w:sz w:val="21"/>
                <w:szCs w:val="21"/>
                <w:highlight w:val="none"/>
              </w:rPr>
              <w:t>、参加现场开标的投标人对开标结果有异议的，应当在开标现场提出，</w:t>
            </w:r>
            <w:r>
              <w:rPr>
                <w:rFonts w:hint="eastAsia" w:hAnsi="宋体"/>
                <w:color w:val="auto"/>
                <w:sz w:val="21"/>
                <w:szCs w:val="21"/>
                <w:highlight w:val="none"/>
                <w:lang w:val="en-US"/>
              </w:rPr>
              <w:t>同时出示本人身份证原件，</w:t>
            </w:r>
            <w:r>
              <w:rPr>
                <w:rFonts w:hint="eastAsia" w:hAnsi="宋体"/>
                <w:color w:val="auto"/>
                <w:sz w:val="21"/>
                <w:szCs w:val="21"/>
                <w:highlight w:val="none"/>
              </w:rPr>
              <w:t>招标人应当当场作出答复，并制作记录。</w:t>
            </w:r>
            <w:r>
              <w:rPr>
                <w:rFonts w:hint="eastAsia" w:hAnsi="宋体"/>
                <w:color w:val="auto"/>
                <w:sz w:val="21"/>
                <w:szCs w:val="21"/>
                <w:highlight w:val="none"/>
                <w:lang w:val="en-US"/>
              </w:rPr>
              <w:t>参加在线开标的投标人对开标结果有异议的，投标人应通过交易平台在线提出，招标人应通过交易平台答复，答复后方可结束开标。</w:t>
            </w:r>
          </w:p>
          <w:p w14:paraId="4DFE75A6">
            <w:pPr>
              <w:pStyle w:val="90"/>
              <w:spacing w:line="276" w:lineRule="auto"/>
              <w:rPr>
                <w:rFonts w:hAnsi="宋体"/>
                <w:color w:val="auto"/>
                <w:sz w:val="21"/>
                <w:szCs w:val="21"/>
                <w:highlight w:val="none"/>
              </w:rPr>
            </w:pPr>
            <w:r>
              <w:rPr>
                <w:rFonts w:hint="eastAsia" w:hAnsi="宋体"/>
                <w:color w:val="auto"/>
                <w:sz w:val="21"/>
                <w:szCs w:val="21"/>
                <w:highlight w:val="none"/>
                <w:lang w:val="en-US"/>
              </w:rPr>
              <w:t>10</w:t>
            </w:r>
            <w:r>
              <w:rPr>
                <w:rFonts w:hint="eastAsia" w:hAnsi="宋体"/>
                <w:color w:val="auto"/>
                <w:sz w:val="21"/>
                <w:szCs w:val="21"/>
                <w:highlight w:val="none"/>
              </w:rPr>
              <w:t>、投标人未参加开标或在规定的时间内未提出异议的，视为对开标无异议。</w:t>
            </w:r>
          </w:p>
          <w:p w14:paraId="5392CFDF">
            <w:pPr>
              <w:pStyle w:val="90"/>
              <w:spacing w:line="276" w:lineRule="auto"/>
              <w:rPr>
                <w:rFonts w:hAnsi="宋体"/>
                <w:color w:val="auto"/>
                <w:sz w:val="21"/>
                <w:szCs w:val="21"/>
                <w:highlight w:val="none"/>
              </w:rPr>
            </w:pPr>
            <w:r>
              <w:rPr>
                <w:rFonts w:hint="eastAsia" w:hAnsi="宋体"/>
                <w:color w:val="auto"/>
                <w:sz w:val="21"/>
                <w:szCs w:val="21"/>
                <w:highlight w:val="none"/>
                <w:lang w:val="en-US"/>
              </w:rPr>
              <w:t>11</w:t>
            </w:r>
            <w:r>
              <w:rPr>
                <w:rFonts w:hint="eastAsia" w:hAnsi="宋体"/>
                <w:color w:val="auto"/>
                <w:sz w:val="21"/>
                <w:szCs w:val="21"/>
                <w:highlight w:val="none"/>
              </w:rPr>
              <w:t>、开标时，两个（含两个）以上的投标人加密打包投标文件电脑机器特征码一致的，不参与下一程序，并由评标委员会否决其投标。</w:t>
            </w:r>
          </w:p>
        </w:tc>
      </w:tr>
      <w:tr w14:paraId="4AB221F1">
        <w:tblPrEx>
          <w:tblCellMar>
            <w:top w:w="0" w:type="dxa"/>
            <w:left w:w="108" w:type="dxa"/>
            <w:bottom w:w="0" w:type="dxa"/>
            <w:right w:w="108" w:type="dxa"/>
          </w:tblCellMar>
        </w:tblPrEx>
        <w:trPr>
          <w:trHeight w:val="600"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00AF9C5B">
            <w:pPr>
              <w:jc w:val="center"/>
              <w:rPr>
                <w:rFonts w:ascii="宋体" w:hAnsi="宋体" w:cs="宋体"/>
                <w:color w:val="auto"/>
                <w:szCs w:val="21"/>
                <w:highlight w:val="none"/>
              </w:rPr>
            </w:pPr>
            <w:r>
              <w:rPr>
                <w:rFonts w:ascii="宋体" w:hAnsi="宋体" w:cs="宋体"/>
                <w:color w:val="auto"/>
                <w:szCs w:val="21"/>
                <w:highlight w:val="none"/>
              </w:rPr>
              <w:t>6.1.1</w:t>
            </w:r>
          </w:p>
        </w:tc>
        <w:tc>
          <w:tcPr>
            <w:tcW w:w="2050" w:type="dxa"/>
            <w:tcBorders>
              <w:top w:val="single" w:color="auto" w:sz="4" w:space="0"/>
              <w:left w:val="single" w:color="auto" w:sz="4" w:space="0"/>
              <w:bottom w:val="single" w:color="auto" w:sz="4" w:space="0"/>
              <w:right w:val="single" w:color="auto" w:sz="4" w:space="0"/>
            </w:tcBorders>
            <w:noWrap/>
            <w:vAlign w:val="center"/>
          </w:tcPr>
          <w:p w14:paraId="5B1DB9AB">
            <w:pPr>
              <w:jc w:val="center"/>
              <w:rPr>
                <w:rFonts w:ascii="宋体" w:hAnsi="宋体" w:cs="宋体"/>
                <w:color w:val="auto"/>
                <w:szCs w:val="21"/>
                <w:highlight w:val="none"/>
              </w:rPr>
            </w:pPr>
            <w:r>
              <w:rPr>
                <w:rFonts w:hint="eastAsia" w:ascii="宋体" w:hAnsi="宋体" w:cs="宋体"/>
                <w:color w:val="auto"/>
                <w:szCs w:val="21"/>
                <w:highlight w:val="none"/>
              </w:rPr>
              <w:t>评标委员会的组建</w:t>
            </w:r>
          </w:p>
        </w:tc>
        <w:tc>
          <w:tcPr>
            <w:tcW w:w="6917" w:type="dxa"/>
            <w:tcBorders>
              <w:top w:val="single" w:color="auto" w:sz="4" w:space="0"/>
              <w:left w:val="single" w:color="auto" w:sz="4" w:space="0"/>
              <w:bottom w:val="single" w:color="auto" w:sz="4" w:space="0"/>
              <w:right w:val="single" w:color="auto" w:sz="4" w:space="0"/>
            </w:tcBorders>
            <w:noWrap/>
            <w:vAlign w:val="center"/>
          </w:tcPr>
          <w:p w14:paraId="3029C15F">
            <w:pPr>
              <w:rPr>
                <w:rFonts w:ascii="宋体" w:hAnsi="宋体" w:cs="宋体"/>
                <w:color w:val="auto"/>
                <w:szCs w:val="21"/>
                <w:highlight w:val="none"/>
              </w:rPr>
            </w:pPr>
            <w:r>
              <w:rPr>
                <w:rFonts w:ascii="宋体" w:hAnsi="宋体" w:cs="宋体"/>
                <w:color w:val="auto"/>
                <w:spacing w:val="-2"/>
                <w:szCs w:val="21"/>
                <w:highlight w:val="none"/>
              </w:rPr>
              <w:t>评标委员会构成：</w:t>
            </w:r>
            <w:r>
              <w:rPr>
                <w:rFonts w:hint="eastAsia" w:ascii="宋体" w:hAnsi="宋体" w:cs="宋体"/>
                <w:color w:val="auto"/>
                <w:szCs w:val="21"/>
                <w:highlight w:val="none"/>
              </w:rPr>
              <w:t>由招标人依法组建</w:t>
            </w:r>
          </w:p>
        </w:tc>
      </w:tr>
      <w:tr w14:paraId="5D7EF563">
        <w:tblPrEx>
          <w:tblCellMar>
            <w:top w:w="0" w:type="dxa"/>
            <w:left w:w="108" w:type="dxa"/>
            <w:bottom w:w="0" w:type="dxa"/>
            <w:right w:w="108" w:type="dxa"/>
          </w:tblCellMar>
        </w:tblPrEx>
        <w:trPr>
          <w:trHeight w:val="707"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2A8821CA">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6.1.4（增加）</w:t>
            </w:r>
          </w:p>
        </w:tc>
        <w:tc>
          <w:tcPr>
            <w:tcW w:w="2050" w:type="dxa"/>
            <w:tcBorders>
              <w:top w:val="single" w:color="auto" w:sz="4" w:space="0"/>
              <w:left w:val="single" w:color="auto" w:sz="4" w:space="0"/>
              <w:bottom w:val="single" w:color="auto" w:sz="4" w:space="0"/>
              <w:right w:val="single" w:color="auto" w:sz="4" w:space="0"/>
            </w:tcBorders>
            <w:noWrap/>
            <w:vAlign w:val="center"/>
          </w:tcPr>
          <w:p w14:paraId="6A5564D6">
            <w:pPr>
              <w:jc w:val="center"/>
              <w:rPr>
                <w:rFonts w:hint="eastAsia" w:ascii="宋体" w:hAnsi="宋体" w:cs="宋体"/>
                <w:color w:val="auto"/>
                <w:szCs w:val="21"/>
                <w:highlight w:val="none"/>
              </w:rPr>
            </w:pPr>
            <w:r>
              <w:rPr>
                <w:rFonts w:hint="eastAsia" w:ascii="宋体" w:hAnsi="宋体" w:cs="宋体"/>
                <w:color w:val="auto"/>
                <w:szCs w:val="21"/>
                <w:highlight w:val="none"/>
              </w:rPr>
              <w:t>评标委员会成员声明</w:t>
            </w:r>
          </w:p>
        </w:tc>
        <w:tc>
          <w:tcPr>
            <w:tcW w:w="6917" w:type="dxa"/>
            <w:tcBorders>
              <w:top w:val="single" w:color="auto" w:sz="4" w:space="0"/>
              <w:left w:val="single" w:color="auto" w:sz="4" w:space="0"/>
              <w:bottom w:val="single" w:color="auto" w:sz="4" w:space="0"/>
              <w:right w:val="single" w:color="auto" w:sz="4" w:space="0"/>
            </w:tcBorders>
            <w:noWrap/>
            <w:vAlign w:val="center"/>
          </w:tcPr>
          <w:p w14:paraId="47B162A7">
            <w:pPr>
              <w:rPr>
                <w:rFonts w:ascii="宋体" w:hAnsi="宋体" w:cs="宋体"/>
                <w:color w:val="auto"/>
                <w:spacing w:val="-2"/>
                <w:szCs w:val="21"/>
                <w:highlight w:val="none"/>
              </w:rPr>
            </w:pPr>
            <w:r>
              <w:rPr>
                <w:rFonts w:hint="eastAsia" w:ascii="宋体" w:hAnsi="宋体" w:cs="宋体"/>
                <w:color w:val="auto"/>
                <w:spacing w:val="-2"/>
                <w:szCs w:val="21"/>
                <w:highlight w:val="none"/>
              </w:rPr>
              <w:t>评标委员会在开始评标前，应了解评标专家的职责及守则，认真阅读附件五《评标委员会成员声明》的内容并签名，签字后方可进行评标。</w:t>
            </w:r>
          </w:p>
        </w:tc>
      </w:tr>
      <w:tr w14:paraId="3FB42D46">
        <w:tblPrEx>
          <w:tblCellMar>
            <w:top w:w="0" w:type="dxa"/>
            <w:left w:w="108" w:type="dxa"/>
            <w:bottom w:w="0" w:type="dxa"/>
            <w:right w:w="108" w:type="dxa"/>
          </w:tblCellMar>
        </w:tblPrEx>
        <w:trPr>
          <w:trHeight w:val="690"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4BFA324D">
            <w:pPr>
              <w:jc w:val="center"/>
              <w:rPr>
                <w:rFonts w:ascii="宋体" w:hAnsi="宋体" w:cs="宋体"/>
                <w:color w:val="auto"/>
                <w:szCs w:val="21"/>
                <w:highlight w:val="none"/>
              </w:rPr>
            </w:pPr>
            <w:r>
              <w:rPr>
                <w:rFonts w:ascii="宋体" w:hAnsi="宋体" w:cs="宋体"/>
                <w:color w:val="auto"/>
                <w:szCs w:val="21"/>
                <w:highlight w:val="none"/>
              </w:rPr>
              <w:t>6.3.2</w:t>
            </w:r>
          </w:p>
        </w:tc>
        <w:tc>
          <w:tcPr>
            <w:tcW w:w="2050" w:type="dxa"/>
            <w:tcBorders>
              <w:top w:val="single" w:color="auto" w:sz="4" w:space="0"/>
              <w:left w:val="single" w:color="auto" w:sz="4" w:space="0"/>
              <w:bottom w:val="single" w:color="auto" w:sz="4" w:space="0"/>
              <w:right w:val="single" w:color="auto" w:sz="4" w:space="0"/>
            </w:tcBorders>
            <w:noWrap/>
            <w:vAlign w:val="center"/>
          </w:tcPr>
          <w:p w14:paraId="6042E0BC">
            <w:pPr>
              <w:jc w:val="center"/>
              <w:rPr>
                <w:rFonts w:ascii="宋体" w:hAnsi="宋体" w:cs="宋体"/>
                <w:color w:val="auto"/>
                <w:szCs w:val="21"/>
                <w:highlight w:val="none"/>
              </w:rPr>
            </w:pPr>
            <w:r>
              <w:rPr>
                <w:rFonts w:hint="eastAsia" w:ascii="宋体" w:hAnsi="宋体" w:cs="宋体"/>
                <w:color w:val="auto"/>
                <w:szCs w:val="21"/>
                <w:highlight w:val="none"/>
              </w:rPr>
              <w:t>评标委员会推荐中标候选人的人数</w:t>
            </w:r>
          </w:p>
        </w:tc>
        <w:tc>
          <w:tcPr>
            <w:tcW w:w="6917" w:type="dxa"/>
            <w:tcBorders>
              <w:top w:val="single" w:color="auto" w:sz="4" w:space="0"/>
              <w:left w:val="single" w:color="auto" w:sz="4" w:space="0"/>
              <w:bottom w:val="single" w:color="auto" w:sz="4" w:space="0"/>
              <w:right w:val="single" w:color="auto" w:sz="4" w:space="0"/>
            </w:tcBorders>
            <w:noWrap/>
            <w:vAlign w:val="center"/>
          </w:tcPr>
          <w:p w14:paraId="368D547B">
            <w:pPr>
              <w:rPr>
                <w:rFonts w:ascii="宋体" w:hAnsi="宋体" w:cs="宋体"/>
                <w:color w:val="auto"/>
                <w:szCs w:val="21"/>
                <w:highlight w:val="none"/>
              </w:rPr>
            </w:pPr>
            <w:r>
              <w:rPr>
                <w:rFonts w:hint="eastAsia" w:ascii="宋体" w:hAnsi="宋体"/>
                <w:color w:val="auto"/>
                <w:szCs w:val="21"/>
                <w:highlight w:val="none"/>
              </w:rPr>
              <w:t>推荐3名中标候选人。</w:t>
            </w:r>
          </w:p>
        </w:tc>
      </w:tr>
      <w:tr w14:paraId="0F87F987">
        <w:tblPrEx>
          <w:tblCellMar>
            <w:top w:w="0" w:type="dxa"/>
            <w:left w:w="108" w:type="dxa"/>
            <w:bottom w:w="0" w:type="dxa"/>
            <w:right w:w="108" w:type="dxa"/>
          </w:tblCellMar>
        </w:tblPrEx>
        <w:trPr>
          <w:trHeight w:val="1962"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7643751F">
            <w:pPr>
              <w:jc w:val="center"/>
              <w:rPr>
                <w:rFonts w:ascii="宋体" w:hAnsi="宋体" w:cs="宋体"/>
                <w:color w:val="auto"/>
                <w:szCs w:val="21"/>
                <w:highlight w:val="none"/>
              </w:rPr>
            </w:pPr>
            <w:r>
              <w:rPr>
                <w:rFonts w:ascii="宋体" w:hAnsi="宋体" w:cs="宋体"/>
                <w:color w:val="auto"/>
                <w:szCs w:val="21"/>
                <w:highlight w:val="none"/>
              </w:rPr>
              <w:t>7.1</w:t>
            </w:r>
          </w:p>
        </w:tc>
        <w:tc>
          <w:tcPr>
            <w:tcW w:w="2050" w:type="dxa"/>
            <w:tcBorders>
              <w:top w:val="single" w:color="auto" w:sz="4" w:space="0"/>
              <w:left w:val="single" w:color="auto" w:sz="4" w:space="0"/>
              <w:bottom w:val="single" w:color="auto" w:sz="4" w:space="0"/>
              <w:right w:val="single" w:color="auto" w:sz="4" w:space="0"/>
            </w:tcBorders>
            <w:noWrap/>
            <w:vAlign w:val="center"/>
          </w:tcPr>
          <w:p w14:paraId="6F83691D">
            <w:pPr>
              <w:jc w:val="center"/>
              <w:rPr>
                <w:rFonts w:ascii="宋体" w:hAnsi="宋体" w:cs="宋体"/>
                <w:color w:val="auto"/>
                <w:szCs w:val="21"/>
                <w:highlight w:val="none"/>
              </w:rPr>
            </w:pPr>
            <w:r>
              <w:rPr>
                <w:rFonts w:hint="eastAsia" w:ascii="宋体" w:hAnsi="宋体" w:cs="宋体"/>
                <w:color w:val="auto"/>
                <w:szCs w:val="21"/>
                <w:highlight w:val="none"/>
              </w:rPr>
              <w:t>中标候选人公示媒介及期限</w:t>
            </w:r>
          </w:p>
        </w:tc>
        <w:tc>
          <w:tcPr>
            <w:tcW w:w="6917" w:type="dxa"/>
            <w:tcBorders>
              <w:top w:val="single" w:color="auto" w:sz="4" w:space="0"/>
              <w:left w:val="single" w:color="auto" w:sz="4" w:space="0"/>
              <w:bottom w:val="single" w:color="auto" w:sz="4" w:space="0"/>
              <w:right w:val="single" w:color="auto" w:sz="4" w:space="0"/>
            </w:tcBorders>
            <w:noWrap/>
            <w:vAlign w:val="center"/>
          </w:tcPr>
          <w:p w14:paraId="0CED30F3">
            <w:pPr>
              <w:pStyle w:val="90"/>
              <w:tabs>
                <w:tab w:val="left" w:pos="2100"/>
              </w:tabs>
              <w:ind w:left="36" w:leftChars="17" w:right="36" w:rightChars="17"/>
              <w:jc w:val="both"/>
              <w:rPr>
                <w:rFonts w:hAnsi="宋体"/>
                <w:color w:val="auto"/>
                <w:sz w:val="21"/>
                <w:szCs w:val="21"/>
                <w:highlight w:val="none"/>
              </w:rPr>
            </w:pPr>
            <w:r>
              <w:rPr>
                <w:rFonts w:hint="eastAsia" w:hAnsi="宋体"/>
                <w:color w:val="auto"/>
                <w:sz w:val="21"/>
                <w:szCs w:val="21"/>
                <w:highlight w:val="none"/>
              </w:rPr>
              <w:t>1、</w:t>
            </w:r>
            <w:r>
              <w:rPr>
                <w:rFonts w:hAnsi="宋体"/>
                <w:color w:val="auto"/>
                <w:sz w:val="21"/>
                <w:szCs w:val="21"/>
                <w:highlight w:val="none"/>
              </w:rPr>
              <w:t>公示媒介：</w:t>
            </w:r>
            <w:r>
              <w:rPr>
                <w:rFonts w:hint="eastAsia" w:hAnsi="宋体"/>
                <w:color w:val="auto"/>
                <w:sz w:val="21"/>
                <w:szCs w:val="21"/>
                <w:highlight w:val="none"/>
              </w:rPr>
              <w:t>广东省招标投标监管网、广州公共资源交易网、中国招标投标公共服务平台和广州国企阳光采购信息发布平台</w:t>
            </w:r>
          </w:p>
          <w:p w14:paraId="4998A34A">
            <w:pPr>
              <w:pStyle w:val="90"/>
              <w:tabs>
                <w:tab w:val="left" w:pos="2100"/>
              </w:tabs>
              <w:ind w:left="36" w:leftChars="17" w:right="36" w:rightChars="17"/>
              <w:jc w:val="both"/>
              <w:rPr>
                <w:rFonts w:hAnsi="宋体"/>
                <w:color w:val="auto"/>
                <w:sz w:val="21"/>
                <w:szCs w:val="21"/>
                <w:highlight w:val="none"/>
              </w:rPr>
            </w:pPr>
            <w:r>
              <w:rPr>
                <w:rFonts w:hint="eastAsia" w:hAnsi="宋体"/>
                <w:color w:val="auto"/>
                <w:spacing w:val="-2"/>
                <w:sz w:val="21"/>
                <w:szCs w:val="21"/>
                <w:highlight w:val="none"/>
              </w:rPr>
              <w:t>2、</w:t>
            </w:r>
            <w:r>
              <w:rPr>
                <w:rFonts w:hAnsi="宋体"/>
                <w:color w:val="auto"/>
                <w:spacing w:val="-2"/>
                <w:sz w:val="21"/>
                <w:szCs w:val="21"/>
                <w:highlight w:val="none"/>
              </w:rPr>
              <w:t>公示期限：</w:t>
            </w:r>
            <w:r>
              <w:rPr>
                <w:rFonts w:hint="eastAsia" w:hAnsi="宋体"/>
                <w:color w:val="auto"/>
                <w:spacing w:val="-2"/>
                <w:sz w:val="21"/>
                <w:szCs w:val="21"/>
                <w:highlight w:val="none"/>
                <w:u w:val="single" w:color="000000"/>
              </w:rPr>
              <w:t>3</w:t>
            </w:r>
            <w:r>
              <w:rPr>
                <w:rFonts w:hAnsi="宋体"/>
                <w:color w:val="auto"/>
                <w:sz w:val="21"/>
                <w:szCs w:val="21"/>
                <w:highlight w:val="none"/>
              </w:rPr>
              <w:t>日</w:t>
            </w:r>
          </w:p>
          <w:p w14:paraId="5FA1E7EC">
            <w:pPr>
              <w:pStyle w:val="90"/>
              <w:tabs>
                <w:tab w:val="left" w:pos="2100"/>
              </w:tabs>
              <w:ind w:left="36" w:leftChars="17" w:right="36" w:rightChars="17"/>
              <w:jc w:val="both"/>
              <w:rPr>
                <w:rFonts w:hAnsi="宋体"/>
                <w:color w:val="auto"/>
                <w:sz w:val="21"/>
                <w:szCs w:val="21"/>
                <w:highlight w:val="none"/>
              </w:rPr>
            </w:pPr>
            <w:r>
              <w:rPr>
                <w:rFonts w:hint="eastAsia" w:hAnsi="宋体"/>
                <w:color w:val="auto"/>
                <w:sz w:val="21"/>
                <w:szCs w:val="21"/>
                <w:highlight w:val="none"/>
              </w:rPr>
              <w:t>3、</w:t>
            </w:r>
            <w:r>
              <w:rPr>
                <w:rFonts w:hint="eastAsia" w:hAnsi="宋体"/>
                <w:b/>
                <w:bCs/>
                <w:color w:val="auto"/>
                <w:sz w:val="21"/>
                <w:szCs w:val="21"/>
                <w:highlight w:val="none"/>
                <w:lang w:val="en-US"/>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14:paraId="2B24ECA9">
        <w:tblPrEx>
          <w:tblCellMar>
            <w:top w:w="0" w:type="dxa"/>
            <w:left w:w="108" w:type="dxa"/>
            <w:bottom w:w="0" w:type="dxa"/>
            <w:right w:w="108" w:type="dxa"/>
          </w:tblCellMar>
        </w:tblPrEx>
        <w:trPr>
          <w:trHeight w:val="645"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59B7919D">
            <w:pPr>
              <w:jc w:val="center"/>
              <w:rPr>
                <w:rFonts w:ascii="宋体" w:hAnsi="宋体" w:cs="宋体"/>
                <w:color w:val="auto"/>
                <w:szCs w:val="21"/>
                <w:highlight w:val="none"/>
              </w:rPr>
            </w:pPr>
            <w:r>
              <w:rPr>
                <w:rFonts w:ascii="宋体" w:hAnsi="宋体" w:cs="宋体"/>
                <w:color w:val="auto"/>
                <w:szCs w:val="21"/>
                <w:highlight w:val="none"/>
              </w:rPr>
              <w:t>7.4</w:t>
            </w:r>
          </w:p>
        </w:tc>
        <w:tc>
          <w:tcPr>
            <w:tcW w:w="2050" w:type="dxa"/>
            <w:tcBorders>
              <w:top w:val="single" w:color="auto" w:sz="4" w:space="0"/>
              <w:left w:val="single" w:color="auto" w:sz="4" w:space="0"/>
              <w:bottom w:val="single" w:color="auto" w:sz="4" w:space="0"/>
              <w:right w:val="single" w:color="auto" w:sz="4" w:space="0"/>
            </w:tcBorders>
            <w:noWrap/>
            <w:vAlign w:val="center"/>
          </w:tcPr>
          <w:p w14:paraId="06A185A4">
            <w:pPr>
              <w:pStyle w:val="90"/>
              <w:jc w:val="center"/>
              <w:rPr>
                <w:rFonts w:hAnsi="宋体"/>
                <w:color w:val="auto"/>
                <w:sz w:val="21"/>
                <w:szCs w:val="21"/>
                <w:highlight w:val="none"/>
              </w:rPr>
            </w:pPr>
            <w:r>
              <w:rPr>
                <w:rFonts w:hAnsi="宋体"/>
                <w:color w:val="auto"/>
                <w:sz w:val="21"/>
                <w:szCs w:val="21"/>
                <w:highlight w:val="none"/>
              </w:rPr>
              <w:t>是否授权评标委员会确定中标人</w:t>
            </w:r>
          </w:p>
        </w:tc>
        <w:tc>
          <w:tcPr>
            <w:tcW w:w="6917" w:type="dxa"/>
            <w:tcBorders>
              <w:top w:val="single" w:color="auto" w:sz="4" w:space="0"/>
              <w:left w:val="single" w:color="auto" w:sz="4" w:space="0"/>
              <w:bottom w:val="single" w:color="auto" w:sz="4" w:space="0"/>
              <w:right w:val="single" w:color="auto" w:sz="4" w:space="0"/>
            </w:tcBorders>
            <w:noWrap/>
            <w:vAlign w:val="center"/>
          </w:tcPr>
          <w:p w14:paraId="55A4CFAF">
            <w:pPr>
              <w:snapToGrid w:val="0"/>
              <w:spacing w:line="400" w:lineRule="exact"/>
              <w:rPr>
                <w:rFonts w:ascii="宋体" w:hAnsi="宋体"/>
                <w:color w:val="auto"/>
                <w:szCs w:val="21"/>
                <w:highlight w:val="none"/>
              </w:rPr>
            </w:pPr>
            <w:r>
              <w:rPr>
                <w:rFonts w:hint="eastAsia" w:ascii="宋体" w:hAnsi="宋体"/>
                <w:color w:val="auto"/>
                <w:szCs w:val="21"/>
                <w:highlight w:val="none"/>
              </w:rPr>
              <w:t>□是</w:t>
            </w:r>
          </w:p>
          <w:p w14:paraId="63779BCF">
            <w:pPr>
              <w:pStyle w:val="90"/>
              <w:jc w:val="both"/>
              <w:rPr>
                <w:rFonts w:hAnsi="宋体"/>
                <w:color w:val="auto"/>
                <w:sz w:val="21"/>
                <w:szCs w:val="21"/>
                <w:highlight w:val="none"/>
              </w:rPr>
            </w:pPr>
            <w:r>
              <w:rPr>
                <w:rFonts w:hint="eastAsia" w:hAnsi="宋体"/>
                <w:color w:val="auto"/>
                <w:sz w:val="21"/>
                <w:szCs w:val="21"/>
                <w:highlight w:val="none"/>
              </w:rPr>
              <w:t>■否：（1）由招标人根据评标报告，最终审定中标人。</w:t>
            </w:r>
          </w:p>
          <w:p w14:paraId="12ACEA3D">
            <w:pPr>
              <w:pStyle w:val="90"/>
              <w:jc w:val="both"/>
              <w:rPr>
                <w:rFonts w:hAnsi="宋体"/>
                <w:color w:val="auto"/>
                <w:sz w:val="21"/>
                <w:szCs w:val="21"/>
                <w:highlight w:val="none"/>
              </w:rPr>
            </w:pPr>
            <w:r>
              <w:rPr>
                <w:rFonts w:hint="eastAsia" w:hAnsi="宋体"/>
                <w:color w:val="auto"/>
                <w:sz w:val="21"/>
                <w:szCs w:val="21"/>
                <w:highlight w:val="none"/>
              </w:rPr>
              <w:t>（2）依法必须进行公开招标的项目，招标人应当确定排名第一的中标候选人为中标人。</w:t>
            </w:r>
          </w:p>
          <w:p w14:paraId="6D467D8B">
            <w:pPr>
              <w:pStyle w:val="90"/>
              <w:autoSpaceDE/>
              <w:autoSpaceDN/>
              <w:ind w:left="36" w:leftChars="17" w:right="36" w:rightChars="17"/>
              <w:jc w:val="both"/>
              <w:rPr>
                <w:rFonts w:hAnsi="宋体"/>
                <w:color w:val="auto"/>
                <w:sz w:val="21"/>
                <w:szCs w:val="21"/>
                <w:highlight w:val="none"/>
              </w:rPr>
            </w:pPr>
            <w:r>
              <w:rPr>
                <w:rFonts w:hint="eastAsia" w:hAnsi="宋体"/>
                <w:color w:val="auto"/>
                <w:sz w:val="21"/>
                <w:szCs w:val="21"/>
                <w:highlight w:val="none"/>
              </w:rPr>
              <w:t>（3）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tc>
      </w:tr>
      <w:tr w14:paraId="76BF47D1">
        <w:tblPrEx>
          <w:tblCellMar>
            <w:top w:w="0" w:type="dxa"/>
            <w:left w:w="108" w:type="dxa"/>
            <w:bottom w:w="0" w:type="dxa"/>
            <w:right w:w="108" w:type="dxa"/>
          </w:tblCellMar>
        </w:tblPrEx>
        <w:trPr>
          <w:trHeight w:val="1413"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3D80CEFE">
            <w:pPr>
              <w:jc w:val="center"/>
              <w:rPr>
                <w:rFonts w:ascii="宋体" w:hAnsi="宋体" w:cs="宋体"/>
                <w:color w:val="auto"/>
                <w:szCs w:val="21"/>
                <w:highlight w:val="none"/>
              </w:rPr>
            </w:pPr>
            <w:r>
              <w:rPr>
                <w:rFonts w:ascii="宋体" w:hAnsi="宋体" w:cs="宋体"/>
                <w:color w:val="auto"/>
                <w:szCs w:val="21"/>
                <w:highlight w:val="none"/>
              </w:rPr>
              <w:t>7.6.1</w:t>
            </w:r>
          </w:p>
        </w:tc>
        <w:tc>
          <w:tcPr>
            <w:tcW w:w="2050" w:type="dxa"/>
            <w:tcBorders>
              <w:top w:val="single" w:color="auto" w:sz="4" w:space="0"/>
              <w:left w:val="single" w:color="auto" w:sz="4" w:space="0"/>
              <w:bottom w:val="single" w:color="auto" w:sz="4" w:space="0"/>
              <w:right w:val="single" w:color="auto" w:sz="4" w:space="0"/>
            </w:tcBorders>
            <w:noWrap/>
            <w:vAlign w:val="center"/>
          </w:tcPr>
          <w:p w14:paraId="1B9343BC">
            <w:pPr>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6917" w:type="dxa"/>
            <w:tcBorders>
              <w:top w:val="single" w:color="auto" w:sz="4" w:space="0"/>
              <w:left w:val="single" w:color="auto" w:sz="4" w:space="0"/>
              <w:bottom w:val="single" w:color="auto" w:sz="4" w:space="0"/>
              <w:right w:val="single" w:color="auto" w:sz="4" w:space="0"/>
            </w:tcBorders>
            <w:noWrap/>
            <w:vAlign w:val="center"/>
          </w:tcPr>
          <w:p w14:paraId="2AEFA5EC">
            <w:pPr>
              <w:pStyle w:val="90"/>
              <w:kinsoku w:val="0"/>
              <w:overflowPunct w:val="0"/>
              <w:ind w:left="36" w:leftChars="17" w:right="36" w:rightChars="17"/>
              <w:jc w:val="both"/>
              <w:rPr>
                <w:rFonts w:hAnsi="宋体"/>
                <w:color w:val="auto"/>
                <w:sz w:val="21"/>
                <w:szCs w:val="21"/>
                <w:highlight w:val="none"/>
              </w:rPr>
            </w:pPr>
            <w:r>
              <w:rPr>
                <w:rFonts w:hAnsi="宋体"/>
                <w:color w:val="auto"/>
                <w:sz w:val="21"/>
                <w:szCs w:val="21"/>
                <w:highlight w:val="none"/>
              </w:rPr>
              <w:t>是否要求中标人提交履约保证金：</w:t>
            </w:r>
          </w:p>
          <w:p w14:paraId="1F2BDAF5">
            <w:pPr>
              <w:pStyle w:val="90"/>
              <w:kinsoku w:val="0"/>
              <w:overflowPunct w:val="0"/>
              <w:ind w:left="36" w:leftChars="17" w:right="36" w:rightChars="17"/>
              <w:jc w:val="both"/>
              <w:rPr>
                <w:rFonts w:hAnsi="宋体"/>
                <w:color w:val="auto"/>
                <w:sz w:val="21"/>
                <w:szCs w:val="21"/>
                <w:highlight w:val="none"/>
              </w:rPr>
            </w:pPr>
            <w:r>
              <w:rPr>
                <w:rFonts w:hint="eastAsia" w:hAnsi="宋体"/>
                <w:color w:val="auto"/>
                <w:sz w:val="21"/>
                <w:szCs w:val="21"/>
                <w:highlight w:val="none"/>
              </w:rPr>
              <w:t>■要求，</w:t>
            </w:r>
            <w:r>
              <w:rPr>
                <w:rFonts w:hint="eastAsia" w:hAnsi="宋体"/>
                <w:color w:val="auto"/>
                <w:spacing w:val="-2"/>
                <w:sz w:val="21"/>
                <w:szCs w:val="21"/>
                <w:highlight w:val="none"/>
              </w:rPr>
              <w:t>履</w:t>
            </w:r>
            <w:r>
              <w:rPr>
                <w:rFonts w:hint="eastAsia" w:hAnsi="宋体"/>
                <w:color w:val="auto"/>
                <w:sz w:val="21"/>
                <w:szCs w:val="21"/>
                <w:highlight w:val="none"/>
              </w:rPr>
              <w:t>约</w:t>
            </w:r>
            <w:r>
              <w:rPr>
                <w:rFonts w:hint="eastAsia" w:hAnsi="宋体"/>
                <w:color w:val="auto"/>
                <w:spacing w:val="-2"/>
                <w:sz w:val="21"/>
                <w:szCs w:val="21"/>
                <w:highlight w:val="none"/>
              </w:rPr>
              <w:t>保</w:t>
            </w:r>
            <w:r>
              <w:rPr>
                <w:rFonts w:hint="eastAsia" w:hAnsi="宋体"/>
                <w:color w:val="auto"/>
                <w:sz w:val="21"/>
                <w:szCs w:val="21"/>
                <w:highlight w:val="none"/>
              </w:rPr>
              <w:t>证</w:t>
            </w:r>
            <w:r>
              <w:rPr>
                <w:rFonts w:hint="eastAsia" w:hAnsi="宋体"/>
                <w:color w:val="auto"/>
                <w:spacing w:val="-2"/>
                <w:sz w:val="21"/>
                <w:szCs w:val="21"/>
                <w:highlight w:val="none"/>
              </w:rPr>
              <w:t>金</w:t>
            </w:r>
            <w:r>
              <w:rPr>
                <w:rFonts w:hint="eastAsia" w:hAnsi="宋体"/>
                <w:color w:val="auto"/>
                <w:sz w:val="21"/>
                <w:szCs w:val="21"/>
                <w:highlight w:val="none"/>
              </w:rPr>
              <w:t>的</w:t>
            </w:r>
            <w:r>
              <w:rPr>
                <w:rFonts w:hint="eastAsia" w:hAnsi="宋体"/>
                <w:color w:val="auto"/>
                <w:spacing w:val="-2"/>
                <w:sz w:val="21"/>
                <w:szCs w:val="21"/>
                <w:highlight w:val="none"/>
              </w:rPr>
              <w:t>形</w:t>
            </w:r>
            <w:r>
              <w:rPr>
                <w:rFonts w:hint="eastAsia" w:hAnsi="宋体"/>
                <w:color w:val="auto"/>
                <w:sz w:val="21"/>
                <w:szCs w:val="21"/>
                <w:highlight w:val="none"/>
              </w:rPr>
              <w:t>式：</w:t>
            </w:r>
            <w:r>
              <w:rPr>
                <w:rFonts w:hint="eastAsia" w:hAnsi="宋体"/>
                <w:color w:val="auto"/>
                <w:sz w:val="21"/>
                <w:szCs w:val="21"/>
                <w:highlight w:val="none"/>
                <w:lang w:val="en-US" w:eastAsia="zh-CN"/>
              </w:rPr>
              <w:t>转账或</w:t>
            </w:r>
            <w:r>
              <w:rPr>
                <w:rFonts w:hint="eastAsia" w:ascii="Times New Roman" w:hAnsi="宋体" w:cs="Times New Roman"/>
                <w:color w:val="auto"/>
                <w:kern w:val="2"/>
                <w:sz w:val="21"/>
                <w:szCs w:val="21"/>
                <w:highlight w:val="none"/>
                <w:lang w:val="en-US" w:bidi="ar-SA"/>
              </w:rPr>
              <w:t>银行保函或保证保险或担保保函</w:t>
            </w:r>
            <w:r>
              <w:rPr>
                <w:rFonts w:hint="eastAsia" w:hAnsi="宋体"/>
                <w:color w:val="auto"/>
                <w:sz w:val="21"/>
                <w:szCs w:val="21"/>
                <w:highlight w:val="none"/>
              </w:rPr>
              <w:t xml:space="preserve">   </w:t>
            </w:r>
          </w:p>
          <w:p w14:paraId="4993C639">
            <w:pPr>
              <w:pStyle w:val="90"/>
              <w:kinsoku w:val="0"/>
              <w:overflowPunct w:val="0"/>
              <w:ind w:left="36" w:leftChars="17" w:right="36" w:rightChars="17"/>
              <w:rPr>
                <w:rFonts w:hAnsi="宋体"/>
                <w:color w:val="auto"/>
                <w:spacing w:val="-2"/>
                <w:sz w:val="21"/>
                <w:szCs w:val="21"/>
                <w:highlight w:val="none"/>
              </w:rPr>
            </w:pPr>
            <w:r>
              <w:rPr>
                <w:rFonts w:hint="eastAsia" w:hAnsi="宋体"/>
                <w:color w:val="auto"/>
                <w:spacing w:val="-2"/>
                <w:sz w:val="21"/>
                <w:szCs w:val="21"/>
                <w:highlight w:val="none"/>
              </w:rPr>
              <w:t xml:space="preserve">       履约保证金的金额：</w:t>
            </w:r>
            <w:r>
              <w:rPr>
                <w:rFonts w:hint="eastAsia" w:hAnsi="宋体"/>
                <w:b/>
                <w:bCs/>
                <w:color w:val="auto"/>
                <w:spacing w:val="-2"/>
                <w:sz w:val="21"/>
                <w:szCs w:val="21"/>
                <w:highlight w:val="none"/>
              </w:rPr>
              <w:t>中标人提供的履约保证金为中标价款</w:t>
            </w:r>
            <w:r>
              <w:rPr>
                <w:rFonts w:hint="eastAsia" w:ascii="Times New Roman" w:hAnsi="宋体" w:cs="Times New Roman"/>
                <w:b/>
                <w:bCs/>
                <w:color w:val="auto"/>
                <w:spacing w:val="-2"/>
                <w:kern w:val="2"/>
                <w:sz w:val="21"/>
                <w:szCs w:val="21"/>
                <w:highlight w:val="none"/>
                <w:lang w:val="en-US" w:bidi="ar-SA"/>
              </w:rPr>
              <w:t>的</w:t>
            </w:r>
            <w:r>
              <w:rPr>
                <w:rFonts w:ascii="Times New Roman" w:hAnsi="宋体" w:cs="Times New Roman"/>
                <w:b/>
                <w:bCs/>
                <w:color w:val="auto"/>
                <w:spacing w:val="-2"/>
                <w:kern w:val="2"/>
                <w:sz w:val="21"/>
                <w:szCs w:val="21"/>
                <w:highlight w:val="none"/>
                <w:lang w:val="en-US" w:bidi="ar-SA"/>
              </w:rPr>
              <w:t>5%</w:t>
            </w:r>
            <w:r>
              <w:rPr>
                <w:rFonts w:hint="eastAsia" w:hAnsi="宋体"/>
                <w:color w:val="auto"/>
                <w:spacing w:val="-2"/>
                <w:sz w:val="21"/>
                <w:szCs w:val="21"/>
                <w:highlight w:val="none"/>
              </w:rPr>
              <w:t>。</w:t>
            </w:r>
          </w:p>
          <w:p w14:paraId="23B2CD62">
            <w:pPr>
              <w:pStyle w:val="12"/>
              <w:topLinePunct/>
              <w:spacing w:after="0"/>
              <w:rPr>
                <w:rFonts w:ascii="宋体" w:hAnsi="宋体" w:cs="宋体"/>
                <w:color w:val="auto"/>
                <w:sz w:val="21"/>
                <w:szCs w:val="21"/>
                <w:highlight w:val="none"/>
              </w:rPr>
            </w:pPr>
            <w:r>
              <w:rPr>
                <w:rFonts w:ascii="宋体" w:hAnsi="宋体"/>
                <w:color w:val="auto"/>
                <w:sz w:val="21"/>
                <w:szCs w:val="21"/>
                <w:highlight w:val="none"/>
              </w:rPr>
              <w:t>□</w:t>
            </w:r>
            <w:r>
              <w:rPr>
                <w:rFonts w:ascii="宋体" w:hAnsi="宋体" w:cs="宋体"/>
                <w:color w:val="auto"/>
                <w:sz w:val="21"/>
                <w:szCs w:val="21"/>
                <w:highlight w:val="none"/>
              </w:rPr>
              <w:t>不要求</w:t>
            </w:r>
          </w:p>
        </w:tc>
      </w:tr>
      <w:tr w14:paraId="724AB53C">
        <w:tblPrEx>
          <w:tblCellMar>
            <w:top w:w="0" w:type="dxa"/>
            <w:left w:w="108" w:type="dxa"/>
            <w:bottom w:w="0" w:type="dxa"/>
            <w:right w:w="108" w:type="dxa"/>
          </w:tblCellMar>
        </w:tblPrEx>
        <w:trPr>
          <w:trHeight w:val="1133"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7EA4F0C0">
            <w:pPr>
              <w:jc w:val="center"/>
              <w:rPr>
                <w:rFonts w:ascii="宋体" w:hAnsi="宋体" w:cs="宋体"/>
                <w:color w:val="auto"/>
                <w:szCs w:val="21"/>
                <w:highlight w:val="none"/>
              </w:rPr>
            </w:pPr>
            <w:r>
              <w:rPr>
                <w:rFonts w:ascii="宋体" w:hAnsi="宋体" w:cs="宋体"/>
                <w:color w:val="auto"/>
                <w:szCs w:val="21"/>
                <w:highlight w:val="none"/>
              </w:rPr>
              <w:t>9</w:t>
            </w:r>
          </w:p>
        </w:tc>
        <w:tc>
          <w:tcPr>
            <w:tcW w:w="2050" w:type="dxa"/>
            <w:tcBorders>
              <w:top w:val="single" w:color="auto" w:sz="4" w:space="0"/>
              <w:left w:val="single" w:color="auto" w:sz="4" w:space="0"/>
              <w:bottom w:val="single" w:color="auto" w:sz="4" w:space="0"/>
              <w:right w:val="single" w:color="auto" w:sz="4" w:space="0"/>
            </w:tcBorders>
            <w:noWrap/>
            <w:vAlign w:val="center"/>
          </w:tcPr>
          <w:p w14:paraId="1EFDB814">
            <w:pPr>
              <w:jc w:val="center"/>
              <w:rPr>
                <w:rFonts w:ascii="宋体" w:hAnsi="宋体" w:cs="宋体"/>
                <w:color w:val="auto"/>
                <w:szCs w:val="21"/>
                <w:highlight w:val="none"/>
              </w:rPr>
            </w:pPr>
            <w:r>
              <w:rPr>
                <w:rFonts w:hint="eastAsia" w:ascii="宋体" w:hAnsi="宋体" w:cs="宋体"/>
                <w:color w:val="auto"/>
                <w:szCs w:val="21"/>
                <w:highlight w:val="none"/>
              </w:rPr>
              <w:t>是否采用电子招标投标</w:t>
            </w:r>
          </w:p>
        </w:tc>
        <w:tc>
          <w:tcPr>
            <w:tcW w:w="6917" w:type="dxa"/>
            <w:tcBorders>
              <w:top w:val="single" w:color="auto" w:sz="4" w:space="0"/>
              <w:left w:val="single" w:color="auto" w:sz="4" w:space="0"/>
              <w:bottom w:val="single" w:color="auto" w:sz="4" w:space="0"/>
              <w:right w:val="single" w:color="auto" w:sz="4" w:space="0"/>
            </w:tcBorders>
            <w:noWrap/>
            <w:vAlign w:val="center"/>
          </w:tcPr>
          <w:p w14:paraId="10A70B28">
            <w:pPr>
              <w:rPr>
                <w:rFonts w:ascii="宋体" w:hAnsi="宋体" w:cs="宋体"/>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否</w:t>
            </w:r>
          </w:p>
          <w:p w14:paraId="4618F4F1">
            <w:pPr>
              <w:rPr>
                <w:rFonts w:ascii="宋体" w:hAnsi="宋体" w:cs="宋体"/>
                <w:color w:val="auto"/>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是，具体要求：</w:t>
            </w:r>
            <w:r>
              <w:rPr>
                <w:rFonts w:ascii="宋体" w:hAnsi="宋体" w:cs="宋体"/>
                <w:color w:val="auto"/>
                <w:szCs w:val="21"/>
                <w:highlight w:val="none"/>
              </w:rPr>
              <w:t>1、具体操作详见</w:t>
            </w:r>
            <w:r>
              <w:rPr>
                <w:rFonts w:hint="eastAsia" w:ascii="宋体" w:hAnsi="宋体" w:cs="宋体"/>
                <w:color w:val="auto"/>
                <w:szCs w:val="21"/>
                <w:highlight w:val="none"/>
                <w:lang w:eastAsia="zh-CN"/>
              </w:rPr>
              <w:t>广州公共资源交易中心网站最新发布的最新相关指引</w:t>
            </w:r>
            <w:r>
              <w:rPr>
                <w:rFonts w:ascii="宋体" w:hAnsi="宋体" w:cs="宋体"/>
                <w:color w:val="auto"/>
                <w:szCs w:val="21"/>
                <w:highlight w:val="none"/>
              </w:rPr>
              <w:t>。</w:t>
            </w:r>
          </w:p>
          <w:p w14:paraId="4836756B">
            <w:pPr>
              <w:rPr>
                <w:rFonts w:ascii="宋体" w:hAnsi="宋体" w:cs="宋体"/>
                <w:color w:val="auto"/>
                <w:szCs w:val="21"/>
                <w:highlight w:val="none"/>
              </w:rPr>
            </w:pPr>
            <w:r>
              <w:rPr>
                <w:rFonts w:ascii="宋体" w:hAnsi="宋体" w:cs="宋体"/>
                <w:color w:val="auto"/>
                <w:szCs w:val="21"/>
                <w:highlight w:val="none"/>
              </w:rPr>
              <w:t>2、提交投标文件光盘备用</w:t>
            </w:r>
          </w:p>
          <w:p w14:paraId="2650722C">
            <w:pPr>
              <w:rPr>
                <w:rFonts w:ascii="宋体" w:hAnsi="宋体" w:cs="宋体"/>
                <w:color w:val="auto"/>
                <w:szCs w:val="21"/>
                <w:highlight w:val="none"/>
              </w:rPr>
            </w:pPr>
            <w:r>
              <w:rPr>
                <w:rFonts w:hint="eastAsia" w:ascii="宋体" w:hAnsi="宋体" w:cs="宋体"/>
                <w:color w:val="auto"/>
                <w:szCs w:val="21"/>
                <w:highlight w:val="none"/>
              </w:rPr>
              <w:t>投标人将按</w:t>
            </w:r>
            <w:r>
              <w:rPr>
                <w:rFonts w:hint="eastAsia" w:ascii="宋体" w:hAnsi="宋体" w:cs="宋体"/>
                <w:color w:val="auto"/>
                <w:szCs w:val="21"/>
                <w:highlight w:val="none"/>
                <w:lang w:eastAsia="zh-CN"/>
              </w:rPr>
              <w:t>广州公共资源交易中心网站最新发布的最新相关指引</w:t>
            </w:r>
            <w:r>
              <w:rPr>
                <w:rFonts w:hint="eastAsia" w:ascii="宋体" w:hAnsi="宋体" w:cs="宋体"/>
                <w:color w:val="auto"/>
                <w:szCs w:val="21"/>
                <w:highlight w:val="none"/>
              </w:rPr>
              <w:t>的操作方法制作的非加密的电子投标文件刻入光盘（</w:t>
            </w:r>
            <w:r>
              <w:rPr>
                <w:rFonts w:ascii="宋体" w:hAnsi="宋体" w:cs="宋体"/>
                <w:color w:val="auto"/>
                <w:szCs w:val="21"/>
                <w:highlight w:val="none"/>
              </w:rPr>
              <w:t>1份），在规定的时间、地点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w:t>
            </w:r>
            <w:r>
              <w:rPr>
                <w:rFonts w:hint="eastAsia" w:ascii="宋体" w:hAnsi="宋体" w:cs="宋体"/>
                <w:color w:val="auto"/>
                <w:szCs w:val="21"/>
                <w:highlight w:val="none"/>
              </w:rPr>
              <w:t>读取</w:t>
            </w:r>
            <w:r>
              <w:rPr>
                <w:rFonts w:ascii="宋体" w:hAnsi="宋体" w:cs="宋体"/>
                <w:color w:val="auto"/>
                <w:szCs w:val="21"/>
                <w:highlight w:val="none"/>
              </w:rPr>
              <w:t>提交的光盘。投标人也可不提交投标文件光盘(备用)。</w:t>
            </w:r>
          </w:p>
          <w:p w14:paraId="2E5B34BD">
            <w:pPr>
              <w:rPr>
                <w:rFonts w:ascii="宋体" w:hAnsi="宋体" w:cs="宋体"/>
                <w:color w:val="auto"/>
                <w:szCs w:val="21"/>
                <w:highlight w:val="none"/>
              </w:rPr>
            </w:pPr>
            <w:r>
              <w:rPr>
                <w:rFonts w:ascii="宋体" w:hAnsi="宋体" w:cs="宋体"/>
                <w:color w:val="auto"/>
                <w:szCs w:val="21"/>
                <w:highlight w:val="none"/>
              </w:rPr>
              <w:t>3、补救方案</w:t>
            </w:r>
          </w:p>
          <w:p w14:paraId="2C237040">
            <w:pPr>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1）投标文件解密失败的补救方案：</w:t>
            </w:r>
          </w:p>
          <w:p w14:paraId="3614075D">
            <w:pPr>
              <w:rPr>
                <w:rFonts w:ascii="宋体" w:hAnsi="宋体" w:cs="宋体"/>
                <w:color w:val="auto"/>
                <w:szCs w:val="21"/>
                <w:highlight w:val="none"/>
              </w:rPr>
            </w:pPr>
            <w:r>
              <w:rPr>
                <w:rFonts w:hint="eastAsia" w:ascii="宋体" w:hAnsi="宋体" w:cs="宋体"/>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07CCA94A">
            <w:pPr>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2）评标时突发情况的补救方案</w:t>
            </w:r>
          </w:p>
          <w:p w14:paraId="2069BCA9">
            <w:pPr>
              <w:rPr>
                <w:rFonts w:ascii="宋体" w:hAnsi="宋体" w:cs="宋体"/>
                <w:color w:val="auto"/>
                <w:szCs w:val="21"/>
                <w:highlight w:val="none"/>
              </w:rPr>
            </w:pPr>
            <w:r>
              <w:rPr>
                <w:rFonts w:hint="eastAsia" w:ascii="宋体" w:hAnsi="宋体" w:cs="宋体"/>
                <w:color w:val="auto"/>
                <w:szCs w:val="21"/>
                <w:highlight w:val="none"/>
              </w:rPr>
              <w:t>若遇不可抗力发生（如：网络瘫痪、服务器损坏、交易系统故障短期无法恢复等因素），由评标委员会开启现场递交的全部投标文件光盘，并按光盘内容进行评审。</w:t>
            </w:r>
          </w:p>
          <w:p w14:paraId="00B29DC2">
            <w:pPr>
              <w:snapToGrid w:val="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3）除发生上述情况外，开标评标均以投标人通过交易平台网上递交的电子投标文件为准。</w:t>
            </w:r>
          </w:p>
        </w:tc>
      </w:tr>
      <w:tr w14:paraId="0484DF6E">
        <w:tblPrEx>
          <w:tblCellMar>
            <w:top w:w="0" w:type="dxa"/>
            <w:left w:w="108" w:type="dxa"/>
            <w:bottom w:w="0" w:type="dxa"/>
            <w:right w:w="108" w:type="dxa"/>
          </w:tblCellMar>
        </w:tblPrEx>
        <w:trPr>
          <w:trHeight w:val="880"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3C6F8F67">
            <w:pPr>
              <w:jc w:val="center"/>
              <w:rPr>
                <w:rFonts w:ascii="宋体" w:hAnsi="宋体" w:cs="宋体"/>
                <w:color w:val="auto"/>
                <w:szCs w:val="21"/>
                <w:highlight w:val="none"/>
              </w:rPr>
            </w:pPr>
            <w:r>
              <w:rPr>
                <w:rFonts w:ascii="宋体" w:hAnsi="宋体" w:cs="宋体"/>
                <w:color w:val="auto"/>
                <w:szCs w:val="21"/>
                <w:highlight w:val="none"/>
              </w:rPr>
              <w:t>10</w:t>
            </w:r>
          </w:p>
        </w:tc>
        <w:tc>
          <w:tcPr>
            <w:tcW w:w="8967" w:type="dxa"/>
            <w:gridSpan w:val="2"/>
            <w:tcBorders>
              <w:top w:val="single" w:color="auto" w:sz="4" w:space="0"/>
              <w:left w:val="single" w:color="auto" w:sz="4" w:space="0"/>
              <w:bottom w:val="single" w:color="auto" w:sz="4" w:space="0"/>
              <w:right w:val="single" w:color="auto" w:sz="4" w:space="0"/>
            </w:tcBorders>
            <w:noWrap/>
            <w:vAlign w:val="center"/>
          </w:tcPr>
          <w:p w14:paraId="05DE0A07">
            <w:pPr>
              <w:jc w:val="left"/>
              <w:rPr>
                <w:rFonts w:ascii="宋体" w:hAnsi="宋体" w:cs="宋体"/>
                <w:color w:val="auto"/>
                <w:szCs w:val="21"/>
                <w:highlight w:val="none"/>
              </w:rPr>
            </w:pPr>
            <w:r>
              <w:rPr>
                <w:rFonts w:hint="eastAsia" w:ascii="宋体" w:hAnsi="宋体" w:cs="宋体"/>
                <w:color w:val="auto"/>
                <w:szCs w:val="21"/>
                <w:highlight w:val="none"/>
              </w:rPr>
              <w:t>需要补充的其他内容</w:t>
            </w:r>
          </w:p>
        </w:tc>
      </w:tr>
      <w:tr w14:paraId="222E526C">
        <w:tblPrEx>
          <w:tblCellMar>
            <w:top w:w="0" w:type="dxa"/>
            <w:left w:w="108" w:type="dxa"/>
            <w:bottom w:w="0" w:type="dxa"/>
            <w:right w:w="108" w:type="dxa"/>
          </w:tblCellMar>
        </w:tblPrEx>
        <w:trPr>
          <w:trHeight w:val="1349"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7B3A104F">
            <w:pPr>
              <w:snapToGrid w:val="0"/>
              <w:jc w:val="center"/>
              <w:rPr>
                <w:rFonts w:ascii="宋体" w:hAnsi="宋体" w:cs="宋体"/>
                <w:color w:val="auto"/>
                <w:szCs w:val="21"/>
                <w:highlight w:val="none"/>
              </w:rPr>
            </w:pPr>
            <w:r>
              <w:rPr>
                <w:rFonts w:ascii="宋体" w:hAnsi="宋体" w:cs="宋体"/>
                <w:color w:val="auto"/>
                <w:szCs w:val="21"/>
                <w:highlight w:val="none"/>
              </w:rPr>
              <w:t>10</w:t>
            </w:r>
            <w:r>
              <w:rPr>
                <w:rFonts w:hint="eastAsia" w:ascii="宋体" w:hAnsi="宋体" w:cs="宋体"/>
                <w:color w:val="auto"/>
                <w:szCs w:val="21"/>
                <w:highlight w:val="none"/>
              </w:rPr>
              <w:t>.</w:t>
            </w:r>
            <w:r>
              <w:rPr>
                <w:rFonts w:ascii="宋体" w:hAnsi="宋体" w:cs="宋体"/>
                <w:color w:val="auto"/>
                <w:szCs w:val="21"/>
                <w:highlight w:val="none"/>
              </w:rPr>
              <w:t>1</w:t>
            </w:r>
          </w:p>
        </w:tc>
        <w:tc>
          <w:tcPr>
            <w:tcW w:w="2050" w:type="dxa"/>
            <w:tcBorders>
              <w:top w:val="single" w:color="auto" w:sz="4" w:space="0"/>
              <w:left w:val="single" w:color="auto" w:sz="4" w:space="0"/>
              <w:bottom w:val="single" w:color="auto" w:sz="4" w:space="0"/>
              <w:right w:val="single" w:color="auto" w:sz="4" w:space="0"/>
            </w:tcBorders>
            <w:noWrap/>
            <w:vAlign w:val="center"/>
          </w:tcPr>
          <w:p w14:paraId="1DFADD56">
            <w:pPr>
              <w:widowControl/>
              <w:shd w:val="clear" w:color="auto" w:fill="FFFFFF"/>
              <w:adjustRightInd w:val="0"/>
              <w:jc w:val="center"/>
              <w:rPr>
                <w:rFonts w:ascii="宋体" w:hAnsi="宋体" w:cs="宋体"/>
                <w:color w:val="auto"/>
                <w:szCs w:val="21"/>
                <w:highlight w:val="none"/>
              </w:rPr>
            </w:pPr>
            <w:r>
              <w:rPr>
                <w:rFonts w:hint="eastAsia" w:ascii="宋体" w:hAnsi="宋体" w:cs="宋体"/>
                <w:color w:val="auto"/>
                <w:szCs w:val="21"/>
                <w:highlight w:val="none"/>
              </w:rPr>
              <w:t>招标失败的情形</w:t>
            </w:r>
          </w:p>
        </w:tc>
        <w:tc>
          <w:tcPr>
            <w:tcW w:w="6917" w:type="dxa"/>
            <w:tcBorders>
              <w:top w:val="single" w:color="auto" w:sz="4" w:space="0"/>
              <w:left w:val="single" w:color="auto" w:sz="4" w:space="0"/>
              <w:bottom w:val="single" w:color="auto" w:sz="4" w:space="0"/>
              <w:right w:val="single" w:color="auto" w:sz="4" w:space="0"/>
            </w:tcBorders>
            <w:noWrap/>
            <w:vAlign w:val="center"/>
          </w:tcPr>
          <w:p w14:paraId="3DB5612A">
            <w:pPr>
              <w:ind w:left="1"/>
              <w:rPr>
                <w:rFonts w:ascii="宋体" w:hAnsi="宋体" w:cs="宋体"/>
                <w:color w:val="auto"/>
                <w:szCs w:val="21"/>
                <w:highlight w:val="none"/>
              </w:rPr>
            </w:pPr>
            <w:r>
              <w:rPr>
                <w:rFonts w:hint="eastAsia" w:ascii="宋体" w:hAnsi="宋体" w:cs="宋体"/>
                <w:color w:val="auto"/>
                <w:szCs w:val="21"/>
                <w:highlight w:val="none"/>
              </w:rPr>
              <w:t>本项目采用资格后审方式，满足资格审查合格条件或通过初步评审的投标申请人不足</w:t>
            </w:r>
            <w:r>
              <w:rPr>
                <w:rFonts w:ascii="宋体" w:hAnsi="宋体" w:cs="宋体"/>
                <w:color w:val="auto"/>
                <w:szCs w:val="21"/>
                <w:highlight w:val="none"/>
              </w:rPr>
              <w:t>3名时为招标失败。招标人分析招标失败原因，修正招标方案，重新组织招标。</w:t>
            </w:r>
          </w:p>
        </w:tc>
      </w:tr>
      <w:tr w14:paraId="0F366697">
        <w:tblPrEx>
          <w:tblCellMar>
            <w:top w:w="0" w:type="dxa"/>
            <w:left w:w="108" w:type="dxa"/>
            <w:bottom w:w="0" w:type="dxa"/>
            <w:right w:w="108" w:type="dxa"/>
          </w:tblCellMar>
        </w:tblPrEx>
        <w:trPr>
          <w:trHeight w:val="990"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68A994C1">
            <w:pPr>
              <w:snapToGrid w:val="0"/>
              <w:jc w:val="center"/>
              <w:rPr>
                <w:rFonts w:ascii="宋体" w:hAnsi="宋体" w:cs="宋体"/>
                <w:color w:val="auto"/>
                <w:szCs w:val="21"/>
                <w:highlight w:val="none"/>
              </w:rPr>
            </w:pPr>
            <w:r>
              <w:rPr>
                <w:rFonts w:ascii="宋体" w:hAnsi="宋体" w:cs="宋体"/>
                <w:color w:val="auto"/>
                <w:szCs w:val="21"/>
                <w:highlight w:val="none"/>
              </w:rPr>
              <w:t>10.2</w:t>
            </w:r>
          </w:p>
        </w:tc>
        <w:tc>
          <w:tcPr>
            <w:tcW w:w="2050" w:type="dxa"/>
            <w:tcBorders>
              <w:top w:val="single" w:color="auto" w:sz="4" w:space="0"/>
              <w:left w:val="single" w:color="auto" w:sz="4" w:space="0"/>
              <w:bottom w:val="single" w:color="auto" w:sz="4" w:space="0"/>
              <w:right w:val="single" w:color="auto" w:sz="4" w:space="0"/>
            </w:tcBorders>
            <w:noWrap/>
            <w:vAlign w:val="center"/>
          </w:tcPr>
          <w:p w14:paraId="714AAD8F">
            <w:pPr>
              <w:snapToGrid w:val="0"/>
              <w:jc w:val="center"/>
              <w:rPr>
                <w:rFonts w:ascii="宋体" w:hAnsi="宋体" w:cs="宋体"/>
                <w:color w:val="auto"/>
                <w:szCs w:val="21"/>
                <w:highlight w:val="none"/>
              </w:rPr>
            </w:pPr>
            <w:r>
              <w:rPr>
                <w:rFonts w:hint="eastAsia" w:ascii="宋体" w:hAnsi="宋体"/>
                <w:color w:val="auto"/>
                <w:szCs w:val="21"/>
                <w:highlight w:val="none"/>
              </w:rPr>
              <w:t>投标文件公开</w:t>
            </w:r>
          </w:p>
        </w:tc>
        <w:tc>
          <w:tcPr>
            <w:tcW w:w="6917" w:type="dxa"/>
            <w:tcBorders>
              <w:top w:val="single" w:color="auto" w:sz="4" w:space="0"/>
              <w:left w:val="single" w:color="auto" w:sz="4" w:space="0"/>
              <w:bottom w:val="single" w:color="auto" w:sz="4" w:space="0"/>
              <w:right w:val="single" w:color="auto" w:sz="4" w:space="0"/>
            </w:tcBorders>
            <w:noWrap/>
            <w:vAlign w:val="center"/>
          </w:tcPr>
          <w:p w14:paraId="4AE9BDAD">
            <w:pPr>
              <w:ind w:left="1"/>
              <w:rPr>
                <w:rFonts w:ascii="宋体" w:hAnsi="宋体" w:cs="宋体"/>
                <w:color w:val="auto"/>
                <w:szCs w:val="21"/>
                <w:highlight w:val="none"/>
              </w:rPr>
            </w:pPr>
            <w:r>
              <w:rPr>
                <w:rFonts w:hint="eastAsia" w:ascii="宋体" w:hAnsi="宋体" w:cs="宋体"/>
                <w:color w:val="auto"/>
                <w:szCs w:val="21"/>
                <w:highlight w:val="none"/>
              </w:rPr>
              <w:t>在产生中标候选人后，招标人将中标候选人的投标文件商务部分的人员、业绩、奖项等资料在广州交易集团有限公司（广州公共资源交易中心）网站</w:t>
            </w:r>
            <w:r>
              <w:rPr>
                <w:rFonts w:hint="eastAsia" w:ascii="宋体" w:hAnsi="宋体" w:cs="宋体"/>
                <w:color w:val="auto"/>
                <w:spacing w:val="-2"/>
                <w:szCs w:val="21"/>
                <w:highlight w:val="none"/>
              </w:rPr>
              <w:t>、</w:t>
            </w:r>
            <w:r>
              <w:rPr>
                <w:rFonts w:hint="eastAsia" w:ascii="宋体" w:hAnsi="宋体" w:cs="宋体"/>
                <w:color w:val="auto"/>
                <w:szCs w:val="21"/>
                <w:highlight w:val="none"/>
              </w:rPr>
              <w:t>广东省招标投标监管网公开。</w:t>
            </w:r>
          </w:p>
        </w:tc>
      </w:tr>
      <w:tr w14:paraId="5570E67B">
        <w:tblPrEx>
          <w:tblCellMar>
            <w:top w:w="0" w:type="dxa"/>
            <w:left w:w="108" w:type="dxa"/>
            <w:bottom w:w="0" w:type="dxa"/>
            <w:right w:w="108" w:type="dxa"/>
          </w:tblCellMar>
        </w:tblPrEx>
        <w:trPr>
          <w:trHeight w:val="2733"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6F5A4B36">
            <w:pPr>
              <w:spacing w:line="400" w:lineRule="exact"/>
              <w:jc w:val="center"/>
              <w:rPr>
                <w:rFonts w:ascii="宋体" w:hAnsi="宋体" w:cs="宋体"/>
                <w:color w:val="auto"/>
                <w:szCs w:val="21"/>
                <w:highlight w:val="none"/>
              </w:rPr>
            </w:pPr>
            <w:r>
              <w:rPr>
                <w:rFonts w:hint="eastAsia" w:ascii="宋体" w:hAnsi="宋体"/>
                <w:color w:val="auto"/>
                <w:szCs w:val="21"/>
                <w:highlight w:val="none"/>
              </w:rPr>
              <w:t>10.3</w:t>
            </w:r>
          </w:p>
        </w:tc>
        <w:tc>
          <w:tcPr>
            <w:tcW w:w="2050" w:type="dxa"/>
            <w:tcBorders>
              <w:top w:val="single" w:color="auto" w:sz="4" w:space="0"/>
              <w:left w:val="single" w:color="auto" w:sz="4" w:space="0"/>
              <w:bottom w:val="single" w:color="auto" w:sz="4" w:space="0"/>
              <w:right w:val="single" w:color="auto" w:sz="4" w:space="0"/>
            </w:tcBorders>
            <w:noWrap/>
            <w:vAlign w:val="center"/>
          </w:tcPr>
          <w:p w14:paraId="23F5B846">
            <w:pPr>
              <w:spacing w:line="400" w:lineRule="exact"/>
              <w:ind w:right="174" w:rightChars="83"/>
              <w:jc w:val="center"/>
              <w:rPr>
                <w:rFonts w:ascii="宋体" w:hAnsi="宋体" w:cs="宋体"/>
                <w:color w:val="auto"/>
                <w:szCs w:val="21"/>
                <w:highlight w:val="none"/>
              </w:rPr>
            </w:pPr>
            <w:r>
              <w:rPr>
                <w:rFonts w:hint="eastAsia" w:ascii="宋体" w:hAnsi="宋体"/>
                <w:color w:val="auto"/>
                <w:szCs w:val="21"/>
                <w:highlight w:val="none"/>
              </w:rPr>
              <w:t>其他</w:t>
            </w:r>
          </w:p>
        </w:tc>
        <w:tc>
          <w:tcPr>
            <w:tcW w:w="6917" w:type="dxa"/>
            <w:tcBorders>
              <w:top w:val="single" w:color="auto" w:sz="4" w:space="0"/>
              <w:left w:val="single" w:color="auto" w:sz="4" w:space="0"/>
              <w:bottom w:val="single" w:color="auto" w:sz="4" w:space="0"/>
              <w:right w:val="single" w:color="auto" w:sz="4" w:space="0"/>
            </w:tcBorders>
            <w:noWrap/>
            <w:vAlign w:val="center"/>
          </w:tcPr>
          <w:p w14:paraId="23190CA0">
            <w:pPr>
              <w:ind w:left="36" w:leftChars="17" w:right="36" w:rightChars="17"/>
              <w:rPr>
                <w:rFonts w:ascii="宋体" w:hAnsi="宋体"/>
                <w:color w:val="auto"/>
                <w:szCs w:val="21"/>
                <w:highlight w:val="none"/>
              </w:rPr>
            </w:pPr>
            <w:r>
              <w:rPr>
                <w:rFonts w:hint="eastAsia" w:ascii="宋体" w:hAnsi="宋体"/>
                <w:color w:val="auto"/>
                <w:szCs w:val="21"/>
                <w:highlight w:val="none"/>
              </w:rPr>
              <w:t>1、招标公告、招标文件、答疑纪要等招标资料全部发布在广州交易集团有限公司（广州公共资源交易中心）网站，由投标人自行下载查阅。</w:t>
            </w:r>
          </w:p>
          <w:p w14:paraId="60030AE4">
            <w:pPr>
              <w:ind w:left="36" w:leftChars="17" w:right="36" w:rightChars="17"/>
              <w:rPr>
                <w:rFonts w:ascii="宋体" w:hAnsi="宋体"/>
                <w:color w:val="auto"/>
                <w:szCs w:val="21"/>
                <w:highlight w:val="none"/>
              </w:rPr>
            </w:pPr>
            <w:r>
              <w:rPr>
                <w:rFonts w:hint="eastAsia" w:ascii="宋体" w:hAnsi="宋体"/>
                <w:color w:val="auto"/>
                <w:szCs w:val="21"/>
                <w:highlight w:val="none"/>
              </w:rPr>
              <w:t>2、投标截止时间、开标时间和地点：发布在广州交易集团有限公司（广州公共资源交易中心）网站（具体在网站主页“交易业务”中“项目查询”栏目上以“项目名称”或“项目编号”进行查询）。</w:t>
            </w:r>
          </w:p>
          <w:p w14:paraId="027497DD">
            <w:pPr>
              <w:ind w:left="36" w:leftChars="17" w:right="36" w:rightChars="17"/>
              <w:rPr>
                <w:rFonts w:hint="eastAsia" w:ascii="宋体" w:hAnsi="宋体"/>
                <w:color w:val="auto"/>
                <w:szCs w:val="21"/>
                <w:highlight w:val="none"/>
              </w:rPr>
            </w:pPr>
            <w:r>
              <w:rPr>
                <w:rFonts w:hint="eastAsia" w:ascii="宋体" w:hAnsi="宋体"/>
                <w:color w:val="auto"/>
                <w:szCs w:val="21"/>
                <w:highlight w:val="none"/>
              </w:rPr>
              <w:t>3、中标后，中标单位须提交与网上上传电子投标文件完全一致的纸质投标文件（1正3副，加盖公章）给招标单位。</w:t>
            </w:r>
          </w:p>
          <w:p w14:paraId="3B709A63">
            <w:pPr>
              <w:spacing w:line="240" w:lineRule="auto"/>
              <w:ind w:left="36" w:leftChars="17" w:right="36" w:rightChars="17"/>
              <w:rPr>
                <w:rFonts w:ascii="宋体" w:hAnsi="宋体" w:cs="宋体"/>
                <w:color w:val="auto"/>
                <w:szCs w:val="21"/>
                <w:highlight w:val="none"/>
                <w:u w:val="single"/>
              </w:rPr>
            </w:pPr>
            <w:r>
              <w:rPr>
                <w:rFonts w:hint="eastAsia" w:ascii="宋体" w:hAnsi="宋体"/>
                <w:color w:val="auto"/>
                <w:szCs w:val="21"/>
                <w:highlight w:val="none"/>
              </w:rPr>
              <w:t>4、本工程采用全电子化资格后审方式，具体要求详见广州公共资源交易中心网站最新发布的最新相关指引。</w:t>
            </w:r>
          </w:p>
        </w:tc>
      </w:tr>
      <w:bookmarkEnd w:id="7"/>
    </w:tbl>
    <w:p w14:paraId="3679E89D">
      <w:pPr>
        <w:pStyle w:val="8"/>
        <w:rPr>
          <w:color w:val="auto"/>
          <w:highlight w:val="none"/>
          <w:lang w:val="en-US"/>
        </w:rPr>
      </w:pPr>
      <w:bookmarkStart w:id="10" w:name="_Toc517441168"/>
    </w:p>
    <w:p w14:paraId="5F7FF250">
      <w:pPr>
        <w:pStyle w:val="8"/>
        <w:rPr>
          <w:color w:val="auto"/>
          <w:highlight w:val="none"/>
          <w:lang w:val="en-US"/>
        </w:rPr>
      </w:pPr>
    </w:p>
    <w:p w14:paraId="64D09996">
      <w:pPr>
        <w:rPr>
          <w:rFonts w:ascii="宋体" w:hAnsi="宋体"/>
          <w:color w:val="auto"/>
          <w:highlight w:val="none"/>
        </w:rPr>
      </w:pPr>
      <w:r>
        <w:rPr>
          <w:rFonts w:hint="eastAsia" w:ascii="宋体" w:hAnsi="宋体"/>
          <w:color w:val="auto"/>
          <w:highlight w:val="none"/>
        </w:rPr>
        <w:br w:type="page"/>
      </w:r>
    </w:p>
    <w:p w14:paraId="13DECB2F">
      <w:pPr>
        <w:pStyle w:val="4"/>
        <w:rPr>
          <w:rFonts w:ascii="宋体" w:hAnsi="宋体" w:eastAsia="宋体"/>
          <w:color w:val="auto"/>
          <w:highlight w:val="none"/>
        </w:rPr>
      </w:pPr>
      <w:r>
        <w:rPr>
          <w:rFonts w:hint="eastAsia" w:ascii="宋体" w:hAnsi="宋体" w:eastAsia="宋体"/>
          <w:color w:val="auto"/>
          <w:highlight w:val="none"/>
        </w:rPr>
        <w:t>1. 总则</w:t>
      </w:r>
      <w:bookmarkEnd w:id="10"/>
    </w:p>
    <w:p w14:paraId="7C535A7E">
      <w:pPr>
        <w:pStyle w:val="5"/>
        <w:spacing w:beforeLines="20" w:afterLines="20"/>
        <w:rPr>
          <w:rFonts w:ascii="宋体" w:hAnsi="宋体"/>
          <w:color w:val="auto"/>
          <w:szCs w:val="24"/>
          <w:highlight w:val="none"/>
        </w:rPr>
      </w:pPr>
      <w:bookmarkStart w:id="11" w:name="_Toc517441169"/>
      <w:r>
        <w:rPr>
          <w:rFonts w:hint="eastAsia" w:ascii="宋体" w:hAnsi="宋体"/>
          <w:color w:val="auto"/>
          <w:szCs w:val="24"/>
          <w:highlight w:val="none"/>
        </w:rPr>
        <w:t>1.1 招标项目概况</w:t>
      </w:r>
      <w:bookmarkEnd w:id="11"/>
    </w:p>
    <w:p w14:paraId="52D663D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1.1.1 根据《中华人民共和国招标投标法》、《中华人民共和国招标投标法实施条例》等有关法律、法规和规章的规定，本招标项目已具备招标条件，现对监理进行招标。</w:t>
      </w:r>
    </w:p>
    <w:p w14:paraId="3EB441D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1.1.2 招标人：见投标人须知前附表。</w:t>
      </w:r>
    </w:p>
    <w:p w14:paraId="036F98E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1.1.3 招标代理机构：见投标人须知前附表。</w:t>
      </w:r>
    </w:p>
    <w:p w14:paraId="0BD1D1D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1.1.4 招标项目名称：见投标人须知前附表。</w:t>
      </w:r>
    </w:p>
    <w:p w14:paraId="29C1BEF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1.1.5 项目建设地点：见投标人须知前附表。</w:t>
      </w:r>
    </w:p>
    <w:p w14:paraId="4D62231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1.1.6 项目建设规模：见投标人须知前附表。</w:t>
      </w:r>
    </w:p>
    <w:p w14:paraId="6714D48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1.1.7 工程项目施工预计开工日期和建设周期：见投标人须知前附表。</w:t>
      </w:r>
    </w:p>
    <w:p w14:paraId="1AB21EF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1.1.8 建筑安装工程费/工程概算：见投标人须知前附表。</w:t>
      </w:r>
    </w:p>
    <w:p w14:paraId="255E87D1">
      <w:pPr>
        <w:pStyle w:val="5"/>
        <w:spacing w:beforeLines="20" w:afterLines="20"/>
        <w:rPr>
          <w:rFonts w:ascii="宋体" w:hAnsi="宋体"/>
          <w:color w:val="auto"/>
          <w:szCs w:val="24"/>
          <w:highlight w:val="none"/>
        </w:rPr>
      </w:pPr>
      <w:bookmarkStart w:id="12" w:name="_Toc517441170"/>
      <w:r>
        <w:rPr>
          <w:rFonts w:hint="eastAsia" w:ascii="宋体" w:hAnsi="宋体"/>
          <w:color w:val="auto"/>
          <w:szCs w:val="24"/>
          <w:highlight w:val="none"/>
        </w:rPr>
        <w:t>1.2 招标项目的资金来源和落实情况</w:t>
      </w:r>
      <w:bookmarkEnd w:id="12"/>
    </w:p>
    <w:p w14:paraId="2905C05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1.2.1 资金来源及比例：见投标人须知前附表。</w:t>
      </w:r>
    </w:p>
    <w:p w14:paraId="6C95826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1.2.2 资金落实情况：见投标人须知前附表。</w:t>
      </w:r>
    </w:p>
    <w:p w14:paraId="1D62673A">
      <w:pPr>
        <w:pStyle w:val="5"/>
        <w:spacing w:beforeLines="20" w:afterLines="20"/>
        <w:rPr>
          <w:rFonts w:ascii="宋体" w:hAnsi="宋体"/>
          <w:color w:val="auto"/>
          <w:szCs w:val="24"/>
          <w:highlight w:val="none"/>
        </w:rPr>
      </w:pPr>
      <w:bookmarkStart w:id="13" w:name="_Toc517441171"/>
      <w:r>
        <w:rPr>
          <w:rFonts w:hint="eastAsia" w:ascii="宋体" w:hAnsi="宋体"/>
          <w:color w:val="auto"/>
          <w:szCs w:val="24"/>
          <w:highlight w:val="none"/>
        </w:rPr>
        <w:t>1.3 招标范围、监理服务期限和质量标准</w:t>
      </w:r>
      <w:bookmarkEnd w:id="13"/>
    </w:p>
    <w:p w14:paraId="40D6E0D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1.3.1 招标范围：见投标人须知前附表。</w:t>
      </w:r>
    </w:p>
    <w:p w14:paraId="38F4582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1.3.2 监理服务期限：见投标人须知前附表。</w:t>
      </w:r>
    </w:p>
    <w:p w14:paraId="21814C1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1.3.3 质量标准：见投标人须知前附表。</w:t>
      </w:r>
    </w:p>
    <w:p w14:paraId="67268CA3">
      <w:pPr>
        <w:pStyle w:val="5"/>
        <w:spacing w:beforeLines="20" w:afterLines="20"/>
        <w:rPr>
          <w:rFonts w:ascii="宋体" w:hAnsi="宋体"/>
          <w:color w:val="auto"/>
          <w:szCs w:val="24"/>
          <w:highlight w:val="none"/>
        </w:rPr>
      </w:pPr>
      <w:bookmarkStart w:id="14" w:name="_Toc517441172"/>
      <w:r>
        <w:rPr>
          <w:rFonts w:hint="eastAsia" w:ascii="宋体" w:hAnsi="宋体"/>
          <w:color w:val="auto"/>
          <w:szCs w:val="24"/>
          <w:highlight w:val="none"/>
        </w:rPr>
        <w:t>1.4 投标人资格要求</w:t>
      </w:r>
      <w:bookmarkEnd w:id="14"/>
    </w:p>
    <w:p w14:paraId="1D9A766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1.4.1 投标人应具备承担本招标项目资质条件、能力和信誉：</w:t>
      </w:r>
    </w:p>
    <w:p w14:paraId="1BD826C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（1）资质要求：见投标人须知前附表；</w:t>
      </w:r>
    </w:p>
    <w:p w14:paraId="1D0D7F6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（2）财务要求：见投标人须知前附表；</w:t>
      </w:r>
    </w:p>
    <w:p w14:paraId="1F0C902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（3）业绩要求：见投标人须知前附表；</w:t>
      </w:r>
    </w:p>
    <w:p w14:paraId="39EB6B7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（4）信誉要求：见投标人须知前附表；</w:t>
      </w:r>
    </w:p>
    <w:p w14:paraId="3E3BBC6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（5）总监理工程师的资格要求：应当具备工程注册监理工程师执业资格</w:t>
      </w:r>
      <w:r>
        <w:rPr>
          <w:rFonts w:hint="eastAsia" w:ascii="宋体" w:hAnsi="宋体"/>
          <w:strike/>
          <w:color w:val="auto"/>
          <w:sz w:val="24"/>
          <w:szCs w:val="24"/>
          <w:highlight w:val="none"/>
        </w:rPr>
        <w:t>（如有）</w:t>
      </w:r>
      <w:r>
        <w:rPr>
          <w:rFonts w:hint="eastAsia" w:ascii="宋体" w:hAnsi="宋体"/>
          <w:color w:val="auto"/>
          <w:sz w:val="24"/>
          <w:szCs w:val="24"/>
          <w:highlight w:val="none"/>
        </w:rPr>
        <w:t>，具体要求见投标人须知前附表；</w:t>
      </w:r>
    </w:p>
    <w:p w14:paraId="6451BA9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（6）其他主要人员要求：见投标人须知前附表。</w:t>
      </w:r>
    </w:p>
    <w:p w14:paraId="1CE809C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（7）试验检测仪器设备要求：见投标人须知前附表。</w:t>
      </w:r>
    </w:p>
    <w:p w14:paraId="4850014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（8）其他要求：见投标人须知前附表。</w:t>
      </w:r>
    </w:p>
    <w:p w14:paraId="7EE325A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需要提交的相关证明材料见本章第 3.5 款的规定。</w:t>
      </w:r>
    </w:p>
    <w:p w14:paraId="7B71DBA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1.4.2 投标人须知前附表规定接受联合体投标的，联合体除应符合本章第 1.4.1 项和投标人须知前附表的要求外，还应遵守以下规定：</w:t>
      </w:r>
    </w:p>
    <w:p w14:paraId="180D64F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（1）联合体各方应按招标文件提供的格式签订联合体协议书，明确联合体牵头人和各方权利义务，并承诺就中标项目向招标人承担连带责任；</w:t>
      </w:r>
    </w:p>
    <w:p w14:paraId="6E33310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（2）由同一专业的单位组成的联合体，按照资质等级较低的单位确定资质等级；</w:t>
      </w:r>
    </w:p>
    <w:p w14:paraId="6F68CBF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（3）联合体各方不得再以自己名义单独或参加其他联合体在本招标项目中投标，否则各相关投标均无效。</w:t>
      </w:r>
    </w:p>
    <w:p w14:paraId="3055386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1.4.3 投标人不得存在下列情形之一：</w:t>
      </w:r>
    </w:p>
    <w:p w14:paraId="6AAF949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（1）为招标人不具有独立法人资格的附属机构（单位）；</w:t>
      </w:r>
    </w:p>
    <w:p w14:paraId="17B4BBE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（2）与招标人存在利害关系且可能影响招标公正性；</w:t>
      </w:r>
    </w:p>
    <w:p w14:paraId="77407E0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（3）与本招标项目的其他投标人为同一个单位负责人；</w:t>
      </w:r>
    </w:p>
    <w:p w14:paraId="77DF8C8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（4）与本招标项目的其他投标人存在控股、管理关系；</w:t>
      </w:r>
    </w:p>
    <w:p w14:paraId="63966FD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（5）为本招标项目的代建人；</w:t>
      </w:r>
    </w:p>
    <w:p w14:paraId="79756F9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（6）为本招标项目的招标代理机构；</w:t>
      </w:r>
    </w:p>
    <w:p w14:paraId="623E148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（7）与本招标项目的代建人或招标代理机构同为一个法定代表人；</w:t>
      </w:r>
    </w:p>
    <w:p w14:paraId="7D056FF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（8）与本招标项目的代建人或招标代理机构存在控股或参股关系；</w:t>
      </w:r>
    </w:p>
    <w:p w14:paraId="41AC3D9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（9）与本招标项目的施工承包人以及建筑材料、建筑构配件和设备供应商有隶属关系或者其他利害关系；</w:t>
      </w:r>
    </w:p>
    <w:p w14:paraId="09563AD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（10）被依法暂停或者取消投标资格；</w:t>
      </w:r>
      <w:r>
        <w:rPr>
          <w:rFonts w:hint="eastAsia" w:ascii="宋体" w:hAnsi="宋体"/>
          <w:color w:val="auto"/>
          <w:sz w:val="24"/>
          <w:szCs w:val="24"/>
          <w:highlight w:val="none"/>
          <w:u w:val="single"/>
        </w:rPr>
        <w:t>（本项事实应当以根据《中华人民共和国行政处罚法》依法作出并已经生效的行政处罚决定为认定依据。行政处罚决定中已经明确的暂停或取消投标资格的区域范围不包含本标段建设地点的，不受该项规定限制）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1C84F7F5">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（11）被责令停产停业、暂扣或者吊销许可证、暂扣或者吊销执照；</w:t>
      </w:r>
      <w:r>
        <w:rPr>
          <w:rFonts w:hint="eastAsia" w:ascii="宋体" w:hAnsi="宋体"/>
          <w:color w:val="auto"/>
          <w:sz w:val="24"/>
          <w:szCs w:val="24"/>
          <w:highlight w:val="none"/>
          <w:u w:val="single"/>
        </w:rPr>
        <w:t>（本项事实应当以根据《中华人民共和国行政处罚法》依法作出并已经生效的行政处罚决定为认定依据。）</w:t>
      </w:r>
    </w:p>
    <w:p w14:paraId="5F5C5FD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（12）进入清算程序，或被宣告破产，或其他丧失履约能力的情形；</w:t>
      </w:r>
    </w:p>
    <w:p w14:paraId="1149232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（13）在最近三年内发生重大监理质量问题（以相关行业主管部门的行政处罚决定或司法机关出具的有关法律文书为准；</w:t>
      </w:r>
      <w:r>
        <w:rPr>
          <w:rFonts w:hint="eastAsia" w:ascii="宋体" w:hAnsi="宋体"/>
          <w:color w:val="auto"/>
          <w:sz w:val="24"/>
          <w:szCs w:val="24"/>
          <w:highlight w:val="none"/>
          <w:u w:val="single"/>
        </w:rPr>
        <w:t>“最近三年”是指从投标截止时间之日起逆推三年，以相关行业主管部门、司法机关出具的生效文件的落款时间起计算）；</w:t>
      </w:r>
    </w:p>
    <w:p w14:paraId="72ED327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（14）法律法规或投标人须知前附表规定的其他情形。</w:t>
      </w:r>
    </w:p>
    <w:p w14:paraId="330524F6">
      <w:pPr>
        <w:pStyle w:val="5"/>
        <w:spacing w:beforeLines="20" w:afterLines="20"/>
        <w:rPr>
          <w:rFonts w:ascii="宋体" w:hAnsi="宋体"/>
          <w:color w:val="auto"/>
          <w:highlight w:val="none"/>
        </w:rPr>
      </w:pPr>
      <w:bookmarkStart w:id="15" w:name="_Toc517441173"/>
      <w:r>
        <w:rPr>
          <w:rFonts w:hint="eastAsia" w:ascii="宋体" w:hAnsi="宋体"/>
          <w:color w:val="auto"/>
          <w:highlight w:val="none"/>
        </w:rPr>
        <w:t>1.5 费用承担</w:t>
      </w:r>
      <w:bookmarkEnd w:id="15"/>
    </w:p>
    <w:p w14:paraId="7A9D9A46">
      <w:pPr>
        <w:spacing w:line="360" w:lineRule="auto"/>
        <w:ind w:firstLine="480" w:firstLineChars="200"/>
        <w:rPr>
          <w:rFonts w:ascii="宋体" w:hAnsi="宋体"/>
          <w:b/>
          <w:bCs/>
          <w:color w:val="auto"/>
          <w:sz w:val="24"/>
          <w:szCs w:val="24"/>
          <w:highlight w:val="none"/>
        </w:rPr>
      </w:pPr>
      <w:r>
        <w:rPr>
          <w:rFonts w:hint="eastAsia"/>
          <w:color w:val="auto"/>
          <w:sz w:val="24"/>
          <w:szCs w:val="24"/>
          <w:highlight w:val="none"/>
        </w:rPr>
        <w:t>投标人准备和参加投标活动发生的费用自理。</w:t>
      </w:r>
    </w:p>
    <w:p w14:paraId="3963465D">
      <w:pPr>
        <w:pStyle w:val="5"/>
        <w:spacing w:beforeLines="20" w:afterLines="20"/>
        <w:rPr>
          <w:rFonts w:ascii="宋体" w:hAnsi="宋体"/>
          <w:color w:val="auto"/>
          <w:highlight w:val="none"/>
        </w:rPr>
      </w:pPr>
      <w:bookmarkStart w:id="16" w:name="_Toc517441174"/>
      <w:r>
        <w:rPr>
          <w:rFonts w:hint="eastAsia" w:ascii="宋体" w:hAnsi="宋体"/>
          <w:color w:val="auto"/>
          <w:highlight w:val="none"/>
        </w:rPr>
        <w:t>1.6 保密</w:t>
      </w:r>
      <w:bookmarkEnd w:id="16"/>
    </w:p>
    <w:p w14:paraId="132DC1D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参与招标投标活动的各方应对招标文件和投标文件中的商业和技术等秘密保密，否则应承担相应的法律责任。</w:t>
      </w:r>
    </w:p>
    <w:p w14:paraId="523D0D8F">
      <w:pPr>
        <w:pStyle w:val="5"/>
        <w:spacing w:beforeLines="20" w:afterLines="20"/>
        <w:rPr>
          <w:rFonts w:ascii="宋体" w:hAnsi="宋体"/>
          <w:color w:val="auto"/>
          <w:highlight w:val="none"/>
        </w:rPr>
      </w:pPr>
      <w:bookmarkStart w:id="17" w:name="_Toc517441175"/>
      <w:r>
        <w:rPr>
          <w:rFonts w:hint="eastAsia" w:ascii="宋体" w:hAnsi="宋体"/>
          <w:color w:val="auto"/>
          <w:highlight w:val="none"/>
        </w:rPr>
        <w:t>1.7 语言文字</w:t>
      </w:r>
      <w:bookmarkEnd w:id="17"/>
    </w:p>
    <w:p w14:paraId="782EBB5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招标投标文件使用的语言文字为中文。专用术语使用外文的，应附有中文注释。</w:t>
      </w:r>
    </w:p>
    <w:p w14:paraId="6F08049B">
      <w:pPr>
        <w:pStyle w:val="5"/>
        <w:spacing w:beforeLines="20" w:afterLines="20"/>
        <w:rPr>
          <w:rFonts w:ascii="宋体" w:hAnsi="宋体"/>
          <w:color w:val="auto"/>
          <w:highlight w:val="none"/>
        </w:rPr>
      </w:pPr>
      <w:bookmarkStart w:id="18" w:name="_Toc517441176"/>
      <w:r>
        <w:rPr>
          <w:rFonts w:hint="eastAsia" w:ascii="宋体" w:hAnsi="宋体"/>
          <w:color w:val="auto"/>
          <w:highlight w:val="none"/>
        </w:rPr>
        <w:t>1.8 计量单位</w:t>
      </w:r>
      <w:bookmarkEnd w:id="18"/>
    </w:p>
    <w:p w14:paraId="14E35E2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所有计量均采用中华人民共和国法定计量单位。</w:t>
      </w:r>
    </w:p>
    <w:p w14:paraId="50CDD012">
      <w:pPr>
        <w:pStyle w:val="5"/>
        <w:spacing w:beforeLines="20" w:afterLines="20"/>
        <w:rPr>
          <w:rFonts w:ascii="宋体" w:hAnsi="宋体"/>
          <w:color w:val="auto"/>
          <w:highlight w:val="none"/>
        </w:rPr>
      </w:pPr>
      <w:bookmarkStart w:id="19" w:name="_Toc517441177"/>
      <w:r>
        <w:rPr>
          <w:rFonts w:hint="eastAsia" w:ascii="宋体" w:hAnsi="宋体"/>
          <w:color w:val="auto"/>
          <w:highlight w:val="none"/>
        </w:rPr>
        <w:t>1.9 踏勘现场</w:t>
      </w:r>
      <w:bookmarkEnd w:id="19"/>
    </w:p>
    <w:p w14:paraId="65673E1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1.9.1 投标人须知前附表规定组织踏勘现场的，招标人按投标人须知前附表规定的时间、地点组织投标人踏勘项目现场。部分投标人未按时参加踏勘现场的，不影响踏勘现场的正常进行。</w:t>
      </w:r>
    </w:p>
    <w:p w14:paraId="4EBB4F1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1.9.2 投标人踏勘现场发生的费用自理。</w:t>
      </w:r>
    </w:p>
    <w:p w14:paraId="04F80A6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1.9.3 除招标人的原因外，投标人自行负责在踏勘现场中所发生的人员伤亡和财产损失。</w:t>
      </w:r>
    </w:p>
    <w:p w14:paraId="2DE55484">
      <w:pPr>
        <w:spacing w:line="360" w:lineRule="auto"/>
        <w:ind w:firstLine="480" w:firstLineChars="200"/>
        <w:rPr>
          <w:rFonts w:ascii="宋体" w:hAnsi="宋体"/>
          <w:color w:val="auto"/>
          <w:highlight w:val="none"/>
        </w:rPr>
      </w:pPr>
      <w:r>
        <w:rPr>
          <w:rFonts w:hint="eastAsia" w:ascii="宋体" w:hAnsi="宋体"/>
          <w:color w:val="auto"/>
          <w:sz w:val="24"/>
          <w:szCs w:val="24"/>
          <w:highlight w:val="none"/>
        </w:rPr>
        <w:t>1.9.4 招标人在踏勘现场中介绍的工程场地和相关的周边环境情况，供投标人在编制投标文件时参考，招标人不对投标人据此作出的判断和决策负责。</w:t>
      </w:r>
    </w:p>
    <w:p w14:paraId="08038CC9">
      <w:pPr>
        <w:pStyle w:val="5"/>
        <w:spacing w:beforeLines="20" w:afterLines="20"/>
        <w:rPr>
          <w:rFonts w:ascii="宋体" w:hAnsi="宋体"/>
          <w:color w:val="auto"/>
          <w:highlight w:val="none"/>
        </w:rPr>
      </w:pPr>
      <w:bookmarkStart w:id="20" w:name="_Toc517441178"/>
      <w:r>
        <w:rPr>
          <w:rFonts w:hint="eastAsia" w:ascii="宋体" w:hAnsi="宋体"/>
          <w:color w:val="auto"/>
          <w:highlight w:val="none"/>
        </w:rPr>
        <w:t>1.10 投标预备会</w:t>
      </w:r>
      <w:bookmarkEnd w:id="20"/>
    </w:p>
    <w:p w14:paraId="0649107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1.10.1  投标人须知前附表规定召开投标预备会的，招标人按投标人须知前附表规定的时间和地点召开投标预备会，澄清投标人提出的问题。</w:t>
      </w:r>
    </w:p>
    <w:p w14:paraId="72326AA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1.10.2  投标人应按投标人须知前附表规定的时间和形式将提出的问题送达招标人，以便招标人在会议期间澄清。</w:t>
      </w:r>
    </w:p>
    <w:p w14:paraId="31ADA5A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1.10.3  投标预备会后，招标人将对投标人所提问题的澄清，以投标人须知前附表规定的形式通知所有购买招标文件的投标人。该澄清内容为招标文件的组成部分。</w:t>
      </w:r>
    </w:p>
    <w:p w14:paraId="08C26D1C">
      <w:pPr>
        <w:pStyle w:val="5"/>
        <w:spacing w:beforeLines="20" w:afterLines="20"/>
        <w:rPr>
          <w:rFonts w:ascii="宋体" w:hAnsi="宋体"/>
          <w:color w:val="auto"/>
          <w:highlight w:val="none"/>
        </w:rPr>
      </w:pPr>
      <w:bookmarkStart w:id="21" w:name="_Toc517441179"/>
      <w:r>
        <w:rPr>
          <w:rFonts w:hint="eastAsia" w:ascii="宋体" w:hAnsi="宋体"/>
          <w:color w:val="auto"/>
          <w:highlight w:val="none"/>
        </w:rPr>
        <w:t>1.11 分包</w:t>
      </w:r>
      <w:bookmarkEnd w:id="21"/>
    </w:p>
    <w:p w14:paraId="735C702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本项目严禁分包。</w:t>
      </w:r>
    </w:p>
    <w:p w14:paraId="38AD93F9">
      <w:pPr>
        <w:pStyle w:val="5"/>
        <w:spacing w:beforeLines="20" w:afterLines="20"/>
        <w:rPr>
          <w:rFonts w:ascii="宋体" w:hAnsi="宋体"/>
          <w:color w:val="auto"/>
          <w:highlight w:val="none"/>
        </w:rPr>
      </w:pPr>
      <w:bookmarkStart w:id="22" w:name="_Toc517441180"/>
      <w:r>
        <w:rPr>
          <w:rFonts w:hint="eastAsia" w:ascii="宋体" w:hAnsi="宋体"/>
          <w:color w:val="auto"/>
          <w:highlight w:val="none"/>
        </w:rPr>
        <w:t>1.12 响应和偏差</w:t>
      </w:r>
      <w:bookmarkEnd w:id="22"/>
    </w:p>
    <w:p w14:paraId="4919459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1.12.1 投标文件应当对招标文件的实质性要求和条件作出满足性或更有利于招标人的响应，否则，投标人的投标将被否决。实质性要求和条件见投标人须知前附表。</w:t>
      </w:r>
    </w:p>
    <w:p w14:paraId="3A7AE39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1.12.2 投标人应根据招标文件的要求提供投标监理大纲等内容以对招标文件作出响应。</w:t>
      </w:r>
    </w:p>
    <w:p w14:paraId="6F5440B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1.12.3 投标人须知前附表允许投标文件偏离招标文件某些要求的，偏差应当符合招标文件规定的偏差范围和幅度。</w:t>
      </w:r>
    </w:p>
    <w:p w14:paraId="0D80F781">
      <w:pPr>
        <w:pStyle w:val="4"/>
        <w:rPr>
          <w:rFonts w:ascii="宋体" w:hAnsi="宋体" w:eastAsia="宋体"/>
          <w:color w:val="auto"/>
          <w:highlight w:val="none"/>
        </w:rPr>
      </w:pPr>
      <w:bookmarkStart w:id="23" w:name="_Toc517441181"/>
      <w:r>
        <w:rPr>
          <w:rFonts w:hint="eastAsia" w:ascii="宋体" w:hAnsi="宋体" w:eastAsia="宋体"/>
          <w:color w:val="auto"/>
          <w:highlight w:val="none"/>
        </w:rPr>
        <w:t>2. 招标文件</w:t>
      </w:r>
      <w:bookmarkEnd w:id="23"/>
    </w:p>
    <w:p w14:paraId="39F6A086">
      <w:pPr>
        <w:pStyle w:val="5"/>
        <w:spacing w:beforeLines="20" w:afterLines="20"/>
        <w:rPr>
          <w:rFonts w:ascii="宋体" w:hAnsi="宋体"/>
          <w:color w:val="auto"/>
          <w:szCs w:val="24"/>
          <w:highlight w:val="none"/>
        </w:rPr>
      </w:pPr>
      <w:bookmarkStart w:id="24" w:name="_Toc517441182"/>
      <w:r>
        <w:rPr>
          <w:rFonts w:hint="eastAsia" w:ascii="宋体" w:hAnsi="宋体"/>
          <w:color w:val="auto"/>
          <w:szCs w:val="24"/>
          <w:highlight w:val="none"/>
        </w:rPr>
        <w:t>2.1 招标文件的组成</w:t>
      </w:r>
      <w:bookmarkEnd w:id="24"/>
    </w:p>
    <w:p w14:paraId="615D361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本招标文件包括：</w:t>
      </w:r>
    </w:p>
    <w:p w14:paraId="65FDC7A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（1）招标公告（或投标邀请书）；</w:t>
      </w:r>
    </w:p>
    <w:p w14:paraId="3CD3650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（2）投标人须知；</w:t>
      </w:r>
    </w:p>
    <w:p w14:paraId="4D4A749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（3）评标办法；</w:t>
      </w:r>
    </w:p>
    <w:p w14:paraId="1D7C9A8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（4）合同条款及格式；</w:t>
      </w:r>
    </w:p>
    <w:p w14:paraId="78BA88A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（5）委托人要求；</w:t>
      </w:r>
    </w:p>
    <w:p w14:paraId="59C03B9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（6）投标文件格式；</w:t>
      </w:r>
    </w:p>
    <w:p w14:paraId="0DB0B62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（7）投标人须知前附表规定的其他资料。</w:t>
      </w:r>
    </w:p>
    <w:p w14:paraId="24339C2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根据本章第 1.10 款、第 2.2 款和第 2.3 款对招标文件所作的澄清、修改，构成招标文件的组成部分。</w:t>
      </w:r>
    </w:p>
    <w:p w14:paraId="46133A20">
      <w:pPr>
        <w:pStyle w:val="5"/>
        <w:spacing w:beforeLines="20" w:afterLines="20"/>
        <w:rPr>
          <w:rFonts w:ascii="宋体" w:hAnsi="宋体"/>
          <w:color w:val="auto"/>
          <w:szCs w:val="24"/>
          <w:highlight w:val="none"/>
        </w:rPr>
      </w:pPr>
      <w:bookmarkStart w:id="25" w:name="_Toc517441183"/>
      <w:r>
        <w:rPr>
          <w:rFonts w:hint="eastAsia" w:ascii="宋体" w:hAnsi="宋体"/>
          <w:color w:val="auto"/>
          <w:szCs w:val="24"/>
          <w:highlight w:val="none"/>
        </w:rPr>
        <w:t>2.2 招标文件的澄清</w:t>
      </w:r>
      <w:bookmarkEnd w:id="25"/>
    </w:p>
    <w:p w14:paraId="3CEA1C3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33B71C7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2.2.2 招标文件的澄清以投标人须知前附表规定的形式发给所有购买招标文件的投标人，但不指明澄清问题的来源。澄清发出的时间距本章第 4.2.1 项规定的投标截止时间不足15日的，并且澄清内容可能影响投标文件编制的，将相应延长投标截止时间。</w:t>
      </w:r>
    </w:p>
    <w:p w14:paraId="37D393F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2.2.3 投标人在收到澄清后，应按投标人须知前附表规定的时间和形式通知招标人，确认已收到该澄清。</w:t>
      </w:r>
    </w:p>
    <w:p w14:paraId="38E3D2A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2.2.4 除非招标人认为确有必要答复，否则，招标人有权拒绝回复投标人在本章第 2.2.1 项规定的时间后的任何澄清要求。</w:t>
      </w:r>
    </w:p>
    <w:p w14:paraId="5DCB2BC4">
      <w:pPr>
        <w:pStyle w:val="5"/>
        <w:spacing w:beforeLines="20" w:afterLines="20"/>
        <w:rPr>
          <w:rFonts w:ascii="宋体" w:hAnsi="宋体"/>
          <w:color w:val="auto"/>
          <w:szCs w:val="24"/>
          <w:highlight w:val="none"/>
        </w:rPr>
      </w:pPr>
      <w:bookmarkStart w:id="26" w:name="_Toc517441184"/>
      <w:r>
        <w:rPr>
          <w:rFonts w:hint="eastAsia" w:ascii="宋体" w:hAnsi="宋体"/>
          <w:color w:val="auto"/>
          <w:szCs w:val="24"/>
          <w:highlight w:val="none"/>
        </w:rPr>
        <w:t>2.3 招标文件的修改</w:t>
      </w:r>
      <w:bookmarkEnd w:id="26"/>
    </w:p>
    <w:p w14:paraId="5DAA55B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2.3.1 招标人以投标人须知前附表规定的形式修改招标文件，并通知所有已购买招标文件的投标人。修改招标文件的时间距本章第 4.2.1 项规定的投标截止时间不足 15 日的，并且修改内容可能影响投标文件编制的，将相应延长投标截止时间。</w:t>
      </w:r>
    </w:p>
    <w:p w14:paraId="6AE7FB2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2.3.2 投标人收到修改内容后，应按投标人须知前附表规定的时间和形式通知招标人，确认已收到该修改。</w:t>
      </w:r>
    </w:p>
    <w:p w14:paraId="2F9EDC85">
      <w:pPr>
        <w:pStyle w:val="5"/>
        <w:spacing w:beforeLines="20" w:afterLines="20"/>
        <w:rPr>
          <w:rFonts w:ascii="宋体" w:hAnsi="宋体"/>
          <w:color w:val="auto"/>
          <w:szCs w:val="24"/>
          <w:highlight w:val="none"/>
        </w:rPr>
      </w:pPr>
      <w:bookmarkStart w:id="27" w:name="_Toc517441185"/>
      <w:r>
        <w:rPr>
          <w:rFonts w:hint="eastAsia" w:ascii="宋体" w:hAnsi="宋体"/>
          <w:color w:val="auto"/>
          <w:szCs w:val="24"/>
          <w:highlight w:val="none"/>
        </w:rPr>
        <w:t>2.4 招标文件的异议</w:t>
      </w:r>
      <w:bookmarkEnd w:id="27"/>
    </w:p>
    <w:p w14:paraId="2AA9AD7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投标人或者其他利害关系人对招标文件有异议的，应当在投标截止时间 10 日前以书面形式提出。招标人将在收到异议之日起 3 日内作出答复；作出答复前，将暂停招标投标活动。</w:t>
      </w:r>
    </w:p>
    <w:p w14:paraId="686FFD0C">
      <w:pPr>
        <w:pStyle w:val="4"/>
        <w:rPr>
          <w:rFonts w:ascii="宋体" w:hAnsi="宋体" w:eastAsia="宋体"/>
          <w:color w:val="auto"/>
          <w:highlight w:val="none"/>
        </w:rPr>
      </w:pPr>
      <w:bookmarkStart w:id="28" w:name="_Toc517441186"/>
      <w:r>
        <w:rPr>
          <w:rFonts w:hint="eastAsia" w:ascii="宋体" w:hAnsi="宋体" w:eastAsia="宋体"/>
          <w:color w:val="auto"/>
          <w:highlight w:val="none"/>
        </w:rPr>
        <w:t>3. 投标文件</w:t>
      </w:r>
      <w:bookmarkEnd w:id="28"/>
    </w:p>
    <w:p w14:paraId="016A5607">
      <w:pPr>
        <w:pStyle w:val="5"/>
        <w:spacing w:beforeLines="20" w:afterLines="20"/>
        <w:rPr>
          <w:rFonts w:ascii="宋体" w:hAnsi="宋体"/>
          <w:color w:val="auto"/>
          <w:szCs w:val="24"/>
          <w:highlight w:val="none"/>
        </w:rPr>
      </w:pPr>
      <w:bookmarkStart w:id="29" w:name="_Toc517441187"/>
      <w:r>
        <w:rPr>
          <w:rFonts w:hint="eastAsia" w:ascii="宋体" w:hAnsi="宋体"/>
          <w:color w:val="auto"/>
          <w:szCs w:val="24"/>
          <w:highlight w:val="none"/>
        </w:rPr>
        <w:t>3.1 投标文件的组成</w:t>
      </w:r>
      <w:bookmarkEnd w:id="29"/>
    </w:p>
    <w:p w14:paraId="2B137E4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3.1.1 投标文件应包括下列内容：</w:t>
      </w:r>
    </w:p>
    <w:p w14:paraId="21C4503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（1）投标函及投标函附录；</w:t>
      </w:r>
    </w:p>
    <w:p w14:paraId="05B935D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（2）法定代表人身份证明或授权委托书；</w:t>
      </w:r>
    </w:p>
    <w:p w14:paraId="7130CB4A">
      <w:pPr>
        <w:spacing w:line="360" w:lineRule="auto"/>
        <w:ind w:firstLine="480" w:firstLineChars="200"/>
        <w:rPr>
          <w:rFonts w:ascii="宋体" w:hAnsi="宋体"/>
          <w:strike/>
          <w:color w:val="auto"/>
          <w:sz w:val="24"/>
          <w:szCs w:val="24"/>
          <w:highlight w:val="none"/>
        </w:rPr>
      </w:pPr>
      <w:r>
        <w:rPr>
          <w:rFonts w:hint="eastAsia" w:ascii="宋体" w:hAnsi="宋体"/>
          <w:strike/>
          <w:color w:val="auto"/>
          <w:sz w:val="24"/>
          <w:szCs w:val="24"/>
          <w:highlight w:val="none"/>
        </w:rPr>
        <w:t>（3）联合体协议书；</w:t>
      </w:r>
    </w:p>
    <w:p w14:paraId="5FAA77A5">
      <w:pPr>
        <w:spacing w:line="360" w:lineRule="auto"/>
        <w:ind w:firstLine="480" w:firstLineChars="200"/>
        <w:rPr>
          <w:rFonts w:ascii="宋体" w:hAnsi="宋体"/>
          <w:strike/>
          <w:color w:val="auto"/>
          <w:sz w:val="24"/>
          <w:szCs w:val="24"/>
          <w:highlight w:val="none"/>
        </w:rPr>
      </w:pPr>
      <w:r>
        <w:rPr>
          <w:rFonts w:hint="eastAsia" w:ascii="宋体" w:hAnsi="宋体"/>
          <w:strike/>
          <w:color w:val="auto"/>
          <w:sz w:val="24"/>
          <w:szCs w:val="24"/>
          <w:highlight w:val="none"/>
        </w:rPr>
        <w:t>（</w:t>
      </w:r>
      <w:r>
        <w:rPr>
          <w:rFonts w:ascii="宋体" w:hAnsi="宋体"/>
          <w:strike/>
          <w:color w:val="auto"/>
          <w:sz w:val="24"/>
          <w:szCs w:val="24"/>
          <w:highlight w:val="none"/>
        </w:rPr>
        <w:t>4</w:t>
      </w:r>
      <w:r>
        <w:rPr>
          <w:rFonts w:hint="eastAsia" w:ascii="宋体" w:hAnsi="宋体"/>
          <w:strike/>
          <w:color w:val="auto"/>
          <w:sz w:val="24"/>
          <w:szCs w:val="24"/>
          <w:highlight w:val="none"/>
        </w:rPr>
        <w:t>）投标保证金；</w:t>
      </w:r>
    </w:p>
    <w:p w14:paraId="3B5DB98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（5）监理报酬清单；</w:t>
      </w:r>
    </w:p>
    <w:p w14:paraId="4666114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（6）资格审查资料；</w:t>
      </w:r>
    </w:p>
    <w:p w14:paraId="0CCB3A5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（7）监理大纲；</w:t>
      </w:r>
    </w:p>
    <w:p w14:paraId="542AB035">
      <w:pPr>
        <w:spacing w:line="360" w:lineRule="auto"/>
        <w:ind w:firstLine="480" w:firstLineChars="200"/>
        <w:rPr>
          <w:rFonts w:ascii="宋体" w:hAnsi="宋体"/>
          <w:b/>
          <w:bCs/>
          <w:color w:val="auto"/>
          <w:sz w:val="24"/>
          <w:szCs w:val="24"/>
          <w:highlight w:val="none"/>
          <w:u w:val="single"/>
        </w:rPr>
      </w:pPr>
      <w:r>
        <w:rPr>
          <w:rFonts w:hint="eastAsia" w:ascii="宋体" w:hAnsi="宋体"/>
          <w:color w:val="auto"/>
          <w:sz w:val="24"/>
          <w:szCs w:val="24"/>
          <w:highlight w:val="none"/>
        </w:rPr>
        <w:t>（8）投标人须知前附表规定的其他资料。</w:t>
      </w:r>
    </w:p>
    <w:p w14:paraId="68DF8DD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投标人在评标过程中作出的符合法律法规和招标文件规定的澄清确认，构成投标文件的组成部分。</w:t>
      </w:r>
    </w:p>
    <w:p w14:paraId="2A871C9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3.1.2 投标人须知前附表规定不接受联合体投标的，或投标人没有组成联合体的，投标文件不包括本章第 3.1.1（3）目所指的联合体协议书。</w:t>
      </w:r>
    </w:p>
    <w:p w14:paraId="6639BA7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3.1.3 投标人须知前附表未要求提交投标保证金的，投标文件不包括本章第 3.1.1（4）目所指的投标保证金。</w:t>
      </w:r>
    </w:p>
    <w:p w14:paraId="73986BA0">
      <w:pPr>
        <w:pStyle w:val="5"/>
        <w:spacing w:beforeLines="20" w:afterLines="20"/>
        <w:rPr>
          <w:rFonts w:ascii="宋体" w:hAnsi="宋体"/>
          <w:color w:val="auto"/>
          <w:szCs w:val="24"/>
          <w:highlight w:val="none"/>
        </w:rPr>
      </w:pPr>
      <w:bookmarkStart w:id="30" w:name="_Toc517441188"/>
      <w:r>
        <w:rPr>
          <w:rFonts w:hint="eastAsia" w:ascii="宋体" w:hAnsi="宋体"/>
          <w:color w:val="auto"/>
          <w:szCs w:val="24"/>
          <w:highlight w:val="none"/>
        </w:rPr>
        <w:t>3.2 投标报价</w:t>
      </w:r>
      <w:bookmarkEnd w:id="30"/>
    </w:p>
    <w:p w14:paraId="2A978C9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3.2.1 投标报价应包括国家规定的增值税税金，除投标人须知前附表另有规定外，增值税税金按一般计税方法计算。投标人应按第六章“投标文件格式”的要求在投标函中进行报价并填写监理报酬清单。</w:t>
      </w:r>
    </w:p>
    <w:p w14:paraId="5CA3F1F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3.2.2 投标人应充分了解该项目的总体情况以及影响投标报价的其他要素。</w:t>
      </w:r>
    </w:p>
    <w:p w14:paraId="1787E22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3.2.3 本项目的报价方式见投标人须知前附表。投标人在投标截止时间前修改投标函中的投标报价总额，应同时修改投标文件“监理报酬清单”中的相应报价。此修改须符合本章第 4.3 款的有关要求。</w:t>
      </w:r>
    </w:p>
    <w:p w14:paraId="2056BDE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3.2.4 招标人设有最高投标限价的，投标人的投标报价不得超过最高投标限价，最高投标限价在投标人须知前附表中载明。</w:t>
      </w:r>
    </w:p>
    <w:p w14:paraId="59B9A41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3.2.5 投标报价的其他要求见投标人须知前附表。</w:t>
      </w:r>
    </w:p>
    <w:p w14:paraId="4EB099F7">
      <w:pPr>
        <w:pStyle w:val="5"/>
        <w:spacing w:beforeLines="20" w:afterLines="20"/>
        <w:rPr>
          <w:rFonts w:ascii="宋体" w:hAnsi="宋体"/>
          <w:color w:val="auto"/>
          <w:szCs w:val="24"/>
          <w:highlight w:val="none"/>
        </w:rPr>
      </w:pPr>
      <w:bookmarkStart w:id="31" w:name="_Toc517441189"/>
      <w:r>
        <w:rPr>
          <w:rFonts w:hint="eastAsia" w:ascii="宋体" w:hAnsi="宋体"/>
          <w:color w:val="auto"/>
          <w:szCs w:val="24"/>
          <w:highlight w:val="none"/>
        </w:rPr>
        <w:t>3.3 投标有效期</w:t>
      </w:r>
      <w:bookmarkEnd w:id="31"/>
    </w:p>
    <w:p w14:paraId="369F18A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3.3.1 除投标人须知前附表另有规定外，投标有效期为</w:t>
      </w:r>
      <w:r>
        <w:rPr>
          <w:rFonts w:ascii="宋体" w:hAnsi="宋体"/>
          <w:color w:val="auto"/>
          <w:sz w:val="24"/>
          <w:szCs w:val="24"/>
          <w:highlight w:val="none"/>
        </w:rPr>
        <w:t>90</w:t>
      </w:r>
      <w:r>
        <w:rPr>
          <w:rFonts w:hint="eastAsia" w:ascii="宋体" w:hAnsi="宋体"/>
          <w:color w:val="auto"/>
          <w:sz w:val="24"/>
          <w:szCs w:val="24"/>
          <w:highlight w:val="none"/>
        </w:rPr>
        <w:t>天。</w:t>
      </w:r>
    </w:p>
    <w:p w14:paraId="46CFFAB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3.3.2 在投标有效期内，投标人撤销投标文件的，应承担招标文件和法律规定的责任。</w:t>
      </w:r>
    </w:p>
    <w:p w14:paraId="2056D7E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3.3.3 出现特殊情况需要延长投标有效期的，招标人以书面形式通知所有投标人延长投标有效期。投标人应予以书面答复，同意延长的</w:t>
      </w:r>
      <w:r>
        <w:rPr>
          <w:rFonts w:hint="eastAsia" w:ascii="宋体" w:hAnsi="宋体"/>
          <w:strike/>
          <w:color w:val="auto"/>
          <w:sz w:val="24"/>
          <w:szCs w:val="24"/>
          <w:highlight w:val="none"/>
        </w:rPr>
        <w:t>，应相应延长其投标保证金的有效期，但</w:t>
      </w:r>
      <w:r>
        <w:rPr>
          <w:rFonts w:hint="eastAsia" w:ascii="宋体" w:hAnsi="宋体"/>
          <w:color w:val="auto"/>
          <w:sz w:val="24"/>
          <w:szCs w:val="24"/>
          <w:highlight w:val="none"/>
        </w:rPr>
        <w:t>不得要求或被允许修改其投标文件；投标人拒绝延长的，其投标失效</w:t>
      </w:r>
      <w:r>
        <w:rPr>
          <w:rFonts w:hint="eastAsia" w:ascii="宋体" w:hAnsi="宋体"/>
          <w:strike/>
          <w:color w:val="auto"/>
          <w:sz w:val="24"/>
          <w:szCs w:val="24"/>
          <w:highlight w:val="none"/>
        </w:rPr>
        <w:t>，但投标人有权收回其投标保证金及以现金或者支票形式递交的投标保证金的银行同期存款利息</w:t>
      </w:r>
      <w:r>
        <w:rPr>
          <w:rFonts w:hint="eastAsia" w:ascii="宋体" w:hAnsi="宋体"/>
          <w:color w:val="auto"/>
          <w:sz w:val="24"/>
          <w:szCs w:val="24"/>
          <w:highlight w:val="none"/>
        </w:rPr>
        <w:t>。</w:t>
      </w:r>
    </w:p>
    <w:p w14:paraId="2B7F2EAC">
      <w:pPr>
        <w:spacing w:beforeLines="100" w:afterLines="100"/>
        <w:rPr>
          <w:rFonts w:ascii="宋体" w:hAnsi="宋体"/>
          <w:b/>
          <w:strike/>
          <w:color w:val="auto"/>
          <w:sz w:val="28"/>
          <w:szCs w:val="28"/>
          <w:highlight w:val="none"/>
        </w:rPr>
      </w:pPr>
      <w:bookmarkStart w:id="32" w:name="_Toc529196542"/>
      <w:bookmarkStart w:id="33" w:name="_Toc515205215"/>
      <w:bookmarkStart w:id="34" w:name="_Toc517441192"/>
      <w:r>
        <w:rPr>
          <w:rFonts w:ascii="宋体" w:hAnsi="宋体"/>
          <w:b/>
          <w:strike/>
          <w:color w:val="auto"/>
          <w:sz w:val="28"/>
          <w:szCs w:val="28"/>
          <w:highlight w:val="none"/>
        </w:rPr>
        <w:t xml:space="preserve">3.4 </w:t>
      </w:r>
      <w:r>
        <w:rPr>
          <w:rFonts w:hint="eastAsia" w:ascii="宋体" w:hAnsi="宋体"/>
          <w:b/>
          <w:strike/>
          <w:color w:val="auto"/>
          <w:sz w:val="28"/>
          <w:szCs w:val="28"/>
          <w:highlight w:val="none"/>
        </w:rPr>
        <w:t>投标保证金</w:t>
      </w:r>
      <w:bookmarkEnd w:id="32"/>
      <w:bookmarkEnd w:id="33"/>
    </w:p>
    <w:p w14:paraId="75E7ECE7">
      <w:pPr>
        <w:spacing w:line="360" w:lineRule="auto"/>
        <w:ind w:firstLine="480" w:firstLineChars="200"/>
        <w:rPr>
          <w:rFonts w:ascii="宋体" w:hAnsi="宋体"/>
          <w:strike/>
          <w:color w:val="auto"/>
          <w:sz w:val="24"/>
          <w:szCs w:val="24"/>
          <w:highlight w:val="none"/>
        </w:rPr>
      </w:pPr>
      <w:r>
        <w:rPr>
          <w:rFonts w:ascii="宋体" w:hAnsi="宋体"/>
          <w:strike/>
          <w:color w:val="auto"/>
          <w:sz w:val="24"/>
          <w:szCs w:val="24"/>
          <w:highlight w:val="none"/>
        </w:rPr>
        <w:t xml:space="preserve">3.4.1 </w:t>
      </w:r>
      <w:r>
        <w:rPr>
          <w:rFonts w:hint="eastAsia" w:ascii="宋体" w:hAnsi="宋体"/>
          <w:strike/>
          <w:color w:val="auto"/>
          <w:sz w:val="24"/>
          <w:szCs w:val="24"/>
          <w:highlight w:val="none"/>
        </w:rPr>
        <w:t>投标人在递交投标文件的同时，应按投标人须知前附表规定的金额</w:t>
      </w:r>
      <w:bookmarkStart w:id="35" w:name="_Toc247527570"/>
      <w:bookmarkStart w:id="36" w:name="_Toc300834966"/>
      <w:bookmarkStart w:id="37" w:name="_Toc152045545"/>
      <w:bookmarkStart w:id="38" w:name="_Toc352691489"/>
      <w:bookmarkStart w:id="39" w:name="_Toc152042321"/>
      <w:bookmarkStart w:id="40" w:name="_Toc369531532"/>
      <w:bookmarkStart w:id="41" w:name="_Toc4592"/>
      <w:bookmarkStart w:id="42" w:name="_Toc361508601"/>
      <w:bookmarkStart w:id="43" w:name="_Toc247513969"/>
      <w:bookmarkStart w:id="44" w:name="_Toc384308226"/>
      <w:bookmarkStart w:id="45" w:name="_Toc144974513"/>
      <w:r>
        <w:rPr>
          <w:rFonts w:hint="eastAsia" w:ascii="宋体" w:hAnsi="宋体"/>
          <w:strike/>
          <w:color w:val="auto"/>
          <w:sz w:val="24"/>
          <w:szCs w:val="24"/>
          <w:highlight w:val="none"/>
        </w:rPr>
        <w:t>、形式和第六章“投标文</w:t>
      </w:r>
      <w:bookmarkEnd w:id="35"/>
      <w:bookmarkEnd w:id="36"/>
      <w:bookmarkEnd w:id="37"/>
      <w:bookmarkEnd w:id="38"/>
      <w:bookmarkEnd w:id="39"/>
      <w:bookmarkEnd w:id="40"/>
      <w:bookmarkEnd w:id="41"/>
      <w:bookmarkEnd w:id="42"/>
      <w:bookmarkEnd w:id="43"/>
      <w:bookmarkEnd w:id="44"/>
      <w:bookmarkEnd w:id="45"/>
      <w:r>
        <w:rPr>
          <w:rFonts w:hint="eastAsia" w:ascii="宋体" w:hAnsi="宋体"/>
          <w:strike/>
          <w:color w:val="auto"/>
          <w:sz w:val="24"/>
          <w:szCs w:val="24"/>
          <w:highlight w:val="none"/>
        </w:rPr>
        <w:t>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14:paraId="7150E1D7">
      <w:pPr>
        <w:spacing w:line="360" w:lineRule="auto"/>
        <w:ind w:firstLine="480" w:firstLineChars="200"/>
        <w:jc w:val="left"/>
        <w:rPr>
          <w:rFonts w:ascii="宋体" w:hAnsi="宋体"/>
          <w:strike/>
          <w:color w:val="auto"/>
          <w:sz w:val="24"/>
          <w:szCs w:val="24"/>
          <w:highlight w:val="none"/>
        </w:rPr>
      </w:pPr>
      <w:r>
        <w:rPr>
          <w:rFonts w:ascii="宋体" w:hAnsi="宋体"/>
          <w:strike/>
          <w:color w:val="auto"/>
          <w:sz w:val="24"/>
          <w:szCs w:val="24"/>
          <w:highlight w:val="none"/>
        </w:rPr>
        <w:t xml:space="preserve">3.4.2 </w:t>
      </w:r>
      <w:r>
        <w:rPr>
          <w:rFonts w:hint="eastAsia" w:ascii="宋体" w:hAnsi="宋体"/>
          <w:strike/>
          <w:color w:val="auto"/>
          <w:sz w:val="24"/>
          <w:szCs w:val="24"/>
          <w:highlight w:val="none"/>
        </w:rPr>
        <w:t>投标人不按本章第</w:t>
      </w:r>
      <w:r>
        <w:rPr>
          <w:rFonts w:ascii="宋体" w:hAnsi="宋体"/>
          <w:strike/>
          <w:color w:val="auto"/>
          <w:sz w:val="24"/>
          <w:szCs w:val="24"/>
          <w:highlight w:val="none"/>
        </w:rPr>
        <w:t>3.4.1</w:t>
      </w:r>
      <w:r>
        <w:rPr>
          <w:rFonts w:hint="eastAsia" w:ascii="宋体" w:hAnsi="宋体"/>
          <w:strike/>
          <w:color w:val="auto"/>
          <w:sz w:val="24"/>
          <w:szCs w:val="24"/>
          <w:highlight w:val="none"/>
        </w:rPr>
        <w:t>项</w:t>
      </w:r>
      <w:bookmarkStart w:id="46" w:name="_Toc369531533"/>
      <w:bookmarkStart w:id="47" w:name="_Toc361508602"/>
      <w:bookmarkStart w:id="48" w:name="_Toc29025"/>
      <w:bookmarkStart w:id="49" w:name="_Toc384308227"/>
      <w:bookmarkStart w:id="50" w:name="_Toc352691490"/>
      <w:r>
        <w:rPr>
          <w:rFonts w:hint="eastAsia" w:ascii="宋体" w:hAnsi="宋体"/>
          <w:strike/>
          <w:color w:val="auto"/>
          <w:sz w:val="24"/>
          <w:szCs w:val="24"/>
          <w:highlight w:val="none"/>
        </w:rPr>
        <w:t>要求提交投标保证金的，</w:t>
      </w:r>
      <w:bookmarkEnd w:id="46"/>
      <w:bookmarkEnd w:id="47"/>
      <w:bookmarkEnd w:id="48"/>
      <w:bookmarkEnd w:id="49"/>
      <w:bookmarkEnd w:id="50"/>
      <w:r>
        <w:rPr>
          <w:rFonts w:hint="eastAsia" w:ascii="宋体" w:hAnsi="宋体"/>
          <w:strike/>
          <w:color w:val="auto"/>
          <w:sz w:val="24"/>
          <w:szCs w:val="24"/>
          <w:highlight w:val="none"/>
        </w:rPr>
        <w:t>评标委员会将否决其投标。</w:t>
      </w:r>
    </w:p>
    <w:p w14:paraId="50AC6EC1">
      <w:pPr>
        <w:spacing w:line="360" w:lineRule="auto"/>
        <w:ind w:firstLine="480" w:firstLineChars="200"/>
        <w:rPr>
          <w:rFonts w:ascii="宋体" w:hAnsi="宋体"/>
          <w:strike/>
          <w:color w:val="auto"/>
          <w:sz w:val="24"/>
          <w:szCs w:val="24"/>
          <w:highlight w:val="none"/>
        </w:rPr>
      </w:pPr>
      <w:r>
        <w:rPr>
          <w:rFonts w:ascii="宋体" w:hAnsi="宋体"/>
          <w:strike/>
          <w:color w:val="auto"/>
          <w:sz w:val="24"/>
          <w:szCs w:val="24"/>
          <w:highlight w:val="none"/>
        </w:rPr>
        <w:t xml:space="preserve">3.4.3 </w:t>
      </w:r>
      <w:r>
        <w:rPr>
          <w:rFonts w:hint="eastAsia" w:ascii="宋体" w:hAnsi="宋体"/>
          <w:strike/>
          <w:color w:val="auto"/>
          <w:sz w:val="24"/>
          <w:szCs w:val="24"/>
          <w:highlight w:val="none"/>
        </w:rPr>
        <w:t>招标人最迟将在与中标人</w:t>
      </w:r>
      <w:bookmarkStart w:id="51" w:name="_Toc144974514"/>
      <w:bookmarkStart w:id="52" w:name="_Toc352691491"/>
      <w:bookmarkStart w:id="53" w:name="_Toc247527571"/>
      <w:bookmarkStart w:id="54" w:name="_Toc152042322"/>
      <w:bookmarkStart w:id="55" w:name="_Toc300834967"/>
      <w:bookmarkStart w:id="56" w:name="_Toc14751"/>
      <w:bookmarkStart w:id="57" w:name="_Toc369531534"/>
      <w:bookmarkStart w:id="58" w:name="_Toc247513970"/>
      <w:bookmarkStart w:id="59" w:name="_Toc384308228"/>
      <w:bookmarkStart w:id="60" w:name="_Toc361508603"/>
      <w:bookmarkStart w:id="61" w:name="_Toc152045546"/>
      <w:r>
        <w:rPr>
          <w:rFonts w:hint="eastAsia" w:ascii="宋体" w:hAnsi="宋体"/>
          <w:strike/>
          <w:color w:val="auto"/>
          <w:sz w:val="24"/>
          <w:szCs w:val="24"/>
          <w:highlight w:val="none"/>
        </w:rPr>
        <w:t>签订合同后</w:t>
      </w:r>
      <w:r>
        <w:rPr>
          <w:rFonts w:ascii="宋体" w:hAnsi="宋体"/>
          <w:strike/>
          <w:color w:val="auto"/>
          <w:sz w:val="24"/>
          <w:szCs w:val="24"/>
          <w:highlight w:val="none"/>
        </w:rPr>
        <w:t>5</w:t>
      </w:r>
      <w:r>
        <w:rPr>
          <w:rFonts w:hint="eastAsia" w:ascii="宋体" w:hAnsi="宋体"/>
          <w:strike/>
          <w:color w:val="auto"/>
          <w:sz w:val="24"/>
          <w:szCs w:val="24"/>
          <w:highlight w:val="none"/>
        </w:rPr>
        <w:t>日</w:t>
      </w:r>
      <w:bookmarkEnd w:id="51"/>
      <w:bookmarkEnd w:id="52"/>
      <w:bookmarkEnd w:id="53"/>
      <w:bookmarkEnd w:id="54"/>
      <w:bookmarkEnd w:id="55"/>
      <w:bookmarkEnd w:id="56"/>
      <w:bookmarkEnd w:id="57"/>
      <w:bookmarkEnd w:id="58"/>
      <w:bookmarkEnd w:id="59"/>
      <w:bookmarkEnd w:id="60"/>
      <w:bookmarkEnd w:id="61"/>
      <w:r>
        <w:rPr>
          <w:rFonts w:hint="eastAsia" w:ascii="宋体" w:hAnsi="宋体"/>
          <w:strike/>
          <w:color w:val="auto"/>
          <w:sz w:val="24"/>
          <w:szCs w:val="24"/>
          <w:highlight w:val="none"/>
        </w:rPr>
        <w:t>内</w:t>
      </w:r>
      <w:bookmarkStart w:id="62" w:name="_Toc144974515"/>
      <w:bookmarkStart w:id="63" w:name="_Toc352691492"/>
      <w:bookmarkStart w:id="64" w:name="_Toc152042323"/>
      <w:bookmarkStart w:id="65" w:name="_Toc17952"/>
      <w:bookmarkStart w:id="66" w:name="_Toc152045547"/>
      <w:bookmarkStart w:id="67" w:name="_Toc247527572"/>
      <w:bookmarkStart w:id="68" w:name="_Toc300834968"/>
      <w:bookmarkStart w:id="69" w:name="_Toc369531535"/>
      <w:bookmarkStart w:id="70" w:name="_Toc384308229"/>
      <w:bookmarkStart w:id="71" w:name="_Toc247513971"/>
      <w:bookmarkStart w:id="72" w:name="_Toc361508604"/>
      <w:r>
        <w:rPr>
          <w:rFonts w:hint="eastAsia" w:ascii="宋体" w:hAnsi="宋体"/>
          <w:strike/>
          <w:color w:val="auto"/>
          <w:sz w:val="24"/>
          <w:szCs w:val="24"/>
          <w:highlight w:val="none"/>
        </w:rPr>
        <w:t>，向未中标的投标人和中</w:t>
      </w:r>
      <w:bookmarkEnd w:id="62"/>
      <w:bookmarkEnd w:id="63"/>
      <w:bookmarkEnd w:id="64"/>
      <w:bookmarkEnd w:id="65"/>
      <w:bookmarkEnd w:id="66"/>
      <w:bookmarkEnd w:id="67"/>
      <w:bookmarkEnd w:id="68"/>
      <w:bookmarkEnd w:id="69"/>
      <w:bookmarkEnd w:id="70"/>
      <w:bookmarkEnd w:id="71"/>
      <w:bookmarkEnd w:id="72"/>
      <w:r>
        <w:rPr>
          <w:rFonts w:hint="eastAsia" w:ascii="宋体" w:hAnsi="宋体"/>
          <w:strike/>
          <w:color w:val="auto"/>
          <w:sz w:val="24"/>
          <w:szCs w:val="24"/>
          <w:highlight w:val="none"/>
        </w:rPr>
        <w:t>标人退还投标保证金。投标保证金以现金或者支票形式递交的，还应退还银行同期存款利息。</w:t>
      </w:r>
    </w:p>
    <w:p w14:paraId="5B67E30A">
      <w:pPr>
        <w:spacing w:line="360" w:lineRule="auto"/>
        <w:ind w:firstLine="480" w:firstLineChars="200"/>
        <w:rPr>
          <w:rFonts w:ascii="宋体" w:hAnsi="宋体"/>
          <w:strike/>
          <w:color w:val="auto"/>
          <w:sz w:val="24"/>
          <w:szCs w:val="24"/>
          <w:highlight w:val="none"/>
        </w:rPr>
      </w:pPr>
      <w:r>
        <w:rPr>
          <w:rFonts w:ascii="宋体" w:hAnsi="宋体"/>
          <w:strike/>
          <w:color w:val="auto"/>
          <w:sz w:val="24"/>
          <w:szCs w:val="24"/>
          <w:highlight w:val="none"/>
        </w:rPr>
        <w:t xml:space="preserve">3.4.4 </w:t>
      </w:r>
      <w:r>
        <w:rPr>
          <w:rFonts w:hint="eastAsia" w:ascii="宋体" w:hAnsi="宋体"/>
          <w:strike/>
          <w:color w:val="auto"/>
          <w:sz w:val="24"/>
          <w:szCs w:val="24"/>
          <w:highlight w:val="none"/>
        </w:rPr>
        <w:t>有下列情形之一的，投标保证金将不予退还：</w:t>
      </w:r>
    </w:p>
    <w:p w14:paraId="0F9385B7">
      <w:pPr>
        <w:spacing w:line="360" w:lineRule="auto"/>
        <w:ind w:firstLine="360" w:firstLineChars="150"/>
        <w:rPr>
          <w:rFonts w:ascii="宋体" w:hAnsi="宋体"/>
          <w:strike/>
          <w:color w:val="auto"/>
          <w:sz w:val="24"/>
          <w:szCs w:val="24"/>
          <w:highlight w:val="none"/>
        </w:rPr>
      </w:pPr>
      <w:r>
        <w:rPr>
          <w:rFonts w:hint="eastAsia" w:ascii="宋体" w:hAnsi="宋体"/>
          <w:strike/>
          <w:color w:val="auto"/>
          <w:sz w:val="24"/>
          <w:szCs w:val="24"/>
          <w:highlight w:val="none"/>
        </w:rPr>
        <w:t>（</w:t>
      </w:r>
      <w:r>
        <w:rPr>
          <w:rFonts w:ascii="宋体" w:hAnsi="宋体"/>
          <w:strike/>
          <w:color w:val="auto"/>
          <w:sz w:val="24"/>
          <w:szCs w:val="24"/>
          <w:highlight w:val="none"/>
        </w:rPr>
        <w:t>1</w:t>
      </w:r>
      <w:r>
        <w:rPr>
          <w:rFonts w:hint="eastAsia" w:ascii="宋体" w:hAnsi="宋体"/>
          <w:strike/>
          <w:color w:val="auto"/>
          <w:sz w:val="24"/>
          <w:szCs w:val="24"/>
          <w:highlight w:val="none"/>
        </w:rPr>
        <w:t>）投标人在投标有效期内撤销投标文件；</w:t>
      </w:r>
    </w:p>
    <w:p w14:paraId="0B1A833F">
      <w:pPr>
        <w:spacing w:line="360" w:lineRule="auto"/>
        <w:ind w:firstLine="360" w:firstLineChars="150"/>
        <w:rPr>
          <w:rFonts w:ascii="宋体" w:hAnsi="宋体"/>
          <w:strike/>
          <w:color w:val="auto"/>
          <w:sz w:val="24"/>
          <w:szCs w:val="24"/>
          <w:highlight w:val="none"/>
        </w:rPr>
      </w:pPr>
      <w:r>
        <w:rPr>
          <w:rFonts w:hint="eastAsia" w:ascii="宋体" w:hAnsi="宋体"/>
          <w:strike/>
          <w:color w:val="auto"/>
          <w:sz w:val="24"/>
          <w:szCs w:val="24"/>
          <w:highlight w:val="none"/>
        </w:rPr>
        <w:t>（</w:t>
      </w:r>
      <w:r>
        <w:rPr>
          <w:rFonts w:ascii="宋体" w:hAnsi="宋体"/>
          <w:strike/>
          <w:color w:val="auto"/>
          <w:sz w:val="24"/>
          <w:szCs w:val="24"/>
          <w:highlight w:val="none"/>
        </w:rPr>
        <w:t>2</w:t>
      </w:r>
      <w:r>
        <w:rPr>
          <w:rFonts w:hint="eastAsia" w:ascii="宋体" w:hAnsi="宋体"/>
          <w:strike/>
          <w:color w:val="auto"/>
          <w:sz w:val="24"/>
          <w:szCs w:val="24"/>
          <w:highlight w:val="none"/>
        </w:rPr>
        <w:t>）中标人在收到中标通知书后，无正当理由不与招标人订立合同，在签订合同时向招标人提出附加条件，或者不按照招标文件要求提交履约保证金；</w:t>
      </w:r>
    </w:p>
    <w:p w14:paraId="012265E6">
      <w:pPr>
        <w:spacing w:line="360" w:lineRule="auto"/>
        <w:ind w:firstLine="360" w:firstLineChars="150"/>
        <w:rPr>
          <w:rFonts w:ascii="宋体" w:hAnsi="宋体"/>
          <w:strike/>
          <w:color w:val="auto"/>
          <w:sz w:val="24"/>
          <w:szCs w:val="24"/>
          <w:highlight w:val="none"/>
        </w:rPr>
      </w:pPr>
      <w:r>
        <w:rPr>
          <w:rFonts w:hint="eastAsia" w:ascii="宋体" w:hAnsi="宋体"/>
          <w:strike/>
          <w:color w:val="auto"/>
          <w:sz w:val="24"/>
          <w:szCs w:val="24"/>
          <w:highlight w:val="none"/>
        </w:rPr>
        <w:t>（</w:t>
      </w:r>
      <w:r>
        <w:rPr>
          <w:rFonts w:ascii="宋体" w:hAnsi="宋体"/>
          <w:strike/>
          <w:color w:val="auto"/>
          <w:sz w:val="24"/>
          <w:szCs w:val="24"/>
          <w:highlight w:val="none"/>
        </w:rPr>
        <w:t>3</w:t>
      </w:r>
      <w:r>
        <w:rPr>
          <w:rFonts w:hint="eastAsia" w:ascii="宋体" w:hAnsi="宋体"/>
          <w:strike/>
          <w:color w:val="auto"/>
          <w:sz w:val="24"/>
          <w:szCs w:val="24"/>
          <w:highlight w:val="none"/>
        </w:rPr>
        <w:t>）发生投标人须知前附表规定的其他可以不予退还投标保证金的情形。</w:t>
      </w:r>
    </w:p>
    <w:p w14:paraId="1209DC3F">
      <w:pPr>
        <w:pStyle w:val="92"/>
        <w:kinsoku w:val="0"/>
        <w:overflowPunct w:val="0"/>
        <w:ind w:left="0"/>
        <w:rPr>
          <w:rFonts w:hint="default"/>
          <w:b/>
          <w:color w:val="auto"/>
          <w:kern w:val="2"/>
          <w:szCs w:val="28"/>
          <w:highlight w:val="none"/>
        </w:rPr>
      </w:pPr>
      <w:bookmarkStart w:id="73" w:name="_Hlk123217509"/>
    </w:p>
    <w:p w14:paraId="15E95E8A">
      <w:pPr>
        <w:pStyle w:val="92"/>
        <w:kinsoku w:val="0"/>
        <w:overflowPunct w:val="0"/>
        <w:ind w:left="0"/>
        <w:rPr>
          <w:rFonts w:hint="default"/>
          <w:b/>
          <w:strike/>
          <w:color w:val="auto"/>
          <w:kern w:val="2"/>
          <w:szCs w:val="28"/>
          <w:highlight w:val="none"/>
        </w:rPr>
      </w:pPr>
      <w:r>
        <w:rPr>
          <w:rFonts w:hint="default"/>
          <w:b/>
          <w:strike/>
          <w:color w:val="auto"/>
          <w:kern w:val="2"/>
          <w:szCs w:val="28"/>
          <w:highlight w:val="none"/>
        </w:rPr>
        <w:t xml:space="preserve">3.5 </w:t>
      </w:r>
      <w:r>
        <w:rPr>
          <w:b/>
          <w:strike/>
          <w:color w:val="auto"/>
          <w:kern w:val="2"/>
          <w:szCs w:val="28"/>
          <w:highlight w:val="none"/>
        </w:rPr>
        <w:t>资格审查资料（适用于已进行资格预审的）</w:t>
      </w:r>
    </w:p>
    <w:p w14:paraId="68EF4EE3">
      <w:pPr>
        <w:kinsoku w:val="0"/>
        <w:overflowPunct w:val="0"/>
        <w:spacing w:before="2" w:line="120" w:lineRule="exact"/>
        <w:rPr>
          <w:strike/>
          <w:color w:val="auto"/>
          <w:sz w:val="12"/>
          <w:highlight w:val="none"/>
        </w:rPr>
      </w:pPr>
    </w:p>
    <w:p w14:paraId="269B7AF4">
      <w:pPr>
        <w:pStyle w:val="13"/>
        <w:kinsoku w:val="0"/>
        <w:overflowPunct w:val="0"/>
        <w:spacing w:line="310" w:lineRule="auto"/>
        <w:ind w:left="100" w:right="222" w:firstLine="419"/>
        <w:rPr>
          <w:strike/>
          <w:color w:val="auto"/>
          <w:sz w:val="24"/>
          <w:highlight w:val="none"/>
        </w:rPr>
      </w:pPr>
      <w:r>
        <w:rPr>
          <w:rFonts w:hint="eastAsia"/>
          <w:strike/>
          <w:color w:val="auto"/>
          <w:sz w:val="24"/>
          <w:highlight w:val="none"/>
        </w:rPr>
        <w:t>投标</w:t>
      </w:r>
      <w:r>
        <w:rPr>
          <w:rFonts w:hint="eastAsia"/>
          <w:strike/>
          <w:color w:val="auto"/>
          <w:spacing w:val="-3"/>
          <w:sz w:val="24"/>
          <w:highlight w:val="none"/>
        </w:rPr>
        <w:t>人</w:t>
      </w:r>
      <w:r>
        <w:rPr>
          <w:rFonts w:hint="eastAsia"/>
          <w:strike/>
          <w:color w:val="auto"/>
          <w:sz w:val="24"/>
          <w:highlight w:val="none"/>
        </w:rPr>
        <w:t>在</w:t>
      </w:r>
      <w:r>
        <w:rPr>
          <w:rFonts w:hint="eastAsia"/>
          <w:strike/>
          <w:color w:val="auto"/>
          <w:spacing w:val="-3"/>
          <w:sz w:val="24"/>
          <w:highlight w:val="none"/>
        </w:rPr>
        <w:t>递</w:t>
      </w:r>
      <w:r>
        <w:rPr>
          <w:rFonts w:hint="eastAsia"/>
          <w:strike/>
          <w:color w:val="auto"/>
          <w:sz w:val="24"/>
          <w:highlight w:val="none"/>
        </w:rPr>
        <w:t>交</w:t>
      </w:r>
      <w:r>
        <w:rPr>
          <w:rFonts w:hint="eastAsia"/>
          <w:strike/>
          <w:color w:val="auto"/>
          <w:spacing w:val="-3"/>
          <w:sz w:val="24"/>
          <w:highlight w:val="none"/>
        </w:rPr>
        <w:t>投</w:t>
      </w:r>
      <w:r>
        <w:rPr>
          <w:rFonts w:hint="eastAsia"/>
          <w:strike/>
          <w:color w:val="auto"/>
          <w:sz w:val="24"/>
          <w:highlight w:val="none"/>
        </w:rPr>
        <w:t>标</w:t>
      </w:r>
      <w:r>
        <w:rPr>
          <w:rFonts w:hint="eastAsia"/>
          <w:strike/>
          <w:color w:val="auto"/>
          <w:spacing w:val="-3"/>
          <w:sz w:val="24"/>
          <w:highlight w:val="none"/>
        </w:rPr>
        <w:t>文</w:t>
      </w:r>
      <w:r>
        <w:rPr>
          <w:rFonts w:hint="eastAsia"/>
          <w:strike/>
          <w:color w:val="auto"/>
          <w:sz w:val="24"/>
          <w:highlight w:val="none"/>
        </w:rPr>
        <w:t>件</w:t>
      </w:r>
      <w:r>
        <w:rPr>
          <w:rFonts w:hint="eastAsia"/>
          <w:strike/>
          <w:color w:val="auto"/>
          <w:spacing w:val="-3"/>
          <w:sz w:val="24"/>
          <w:highlight w:val="none"/>
        </w:rPr>
        <w:t>前</w:t>
      </w:r>
      <w:r>
        <w:rPr>
          <w:rFonts w:hint="eastAsia"/>
          <w:strike/>
          <w:color w:val="auto"/>
          <w:sz w:val="24"/>
          <w:highlight w:val="none"/>
        </w:rPr>
        <w:t>，发</w:t>
      </w:r>
      <w:r>
        <w:rPr>
          <w:rFonts w:hint="eastAsia"/>
          <w:strike/>
          <w:color w:val="auto"/>
          <w:spacing w:val="-3"/>
          <w:sz w:val="24"/>
          <w:highlight w:val="none"/>
        </w:rPr>
        <w:t>生</w:t>
      </w:r>
      <w:r>
        <w:rPr>
          <w:rFonts w:hint="eastAsia"/>
          <w:strike/>
          <w:color w:val="auto"/>
          <w:sz w:val="24"/>
          <w:highlight w:val="none"/>
        </w:rPr>
        <w:t>可</w:t>
      </w:r>
      <w:r>
        <w:rPr>
          <w:rFonts w:hint="eastAsia"/>
          <w:strike/>
          <w:color w:val="auto"/>
          <w:spacing w:val="-3"/>
          <w:sz w:val="24"/>
          <w:highlight w:val="none"/>
        </w:rPr>
        <w:t>能</w:t>
      </w:r>
      <w:r>
        <w:rPr>
          <w:rFonts w:hint="eastAsia"/>
          <w:strike/>
          <w:color w:val="auto"/>
          <w:sz w:val="24"/>
          <w:highlight w:val="none"/>
        </w:rPr>
        <w:t>影</w:t>
      </w:r>
      <w:r>
        <w:rPr>
          <w:rFonts w:hint="eastAsia"/>
          <w:strike/>
          <w:color w:val="auto"/>
          <w:spacing w:val="-3"/>
          <w:sz w:val="24"/>
          <w:highlight w:val="none"/>
        </w:rPr>
        <w:t>响</w:t>
      </w:r>
      <w:r>
        <w:rPr>
          <w:rFonts w:hint="eastAsia"/>
          <w:strike/>
          <w:color w:val="auto"/>
          <w:sz w:val="24"/>
          <w:highlight w:val="none"/>
        </w:rPr>
        <w:t>其</w:t>
      </w:r>
      <w:r>
        <w:rPr>
          <w:rFonts w:hint="eastAsia"/>
          <w:strike/>
          <w:color w:val="auto"/>
          <w:spacing w:val="-3"/>
          <w:sz w:val="24"/>
          <w:highlight w:val="none"/>
        </w:rPr>
        <w:t>投</w:t>
      </w:r>
      <w:r>
        <w:rPr>
          <w:rFonts w:hint="eastAsia"/>
          <w:strike/>
          <w:color w:val="auto"/>
          <w:sz w:val="24"/>
          <w:highlight w:val="none"/>
        </w:rPr>
        <w:t>标</w:t>
      </w:r>
      <w:r>
        <w:rPr>
          <w:rFonts w:hint="eastAsia"/>
          <w:strike/>
          <w:color w:val="auto"/>
          <w:spacing w:val="-3"/>
          <w:sz w:val="24"/>
          <w:highlight w:val="none"/>
        </w:rPr>
        <w:t>资</w:t>
      </w:r>
      <w:r>
        <w:rPr>
          <w:rFonts w:hint="eastAsia"/>
          <w:strike/>
          <w:color w:val="auto"/>
          <w:sz w:val="24"/>
          <w:highlight w:val="none"/>
        </w:rPr>
        <w:t>格的</w:t>
      </w:r>
      <w:r>
        <w:rPr>
          <w:rFonts w:hint="eastAsia"/>
          <w:strike/>
          <w:color w:val="auto"/>
          <w:spacing w:val="-3"/>
          <w:sz w:val="24"/>
          <w:highlight w:val="none"/>
        </w:rPr>
        <w:t>新</w:t>
      </w:r>
      <w:r>
        <w:rPr>
          <w:rFonts w:hint="eastAsia"/>
          <w:strike/>
          <w:color w:val="auto"/>
          <w:sz w:val="24"/>
          <w:highlight w:val="none"/>
        </w:rPr>
        <w:t>情</w:t>
      </w:r>
      <w:r>
        <w:rPr>
          <w:rFonts w:hint="eastAsia"/>
          <w:strike/>
          <w:color w:val="auto"/>
          <w:spacing w:val="-3"/>
          <w:sz w:val="24"/>
          <w:highlight w:val="none"/>
        </w:rPr>
        <w:t>况</w:t>
      </w:r>
      <w:r>
        <w:rPr>
          <w:rFonts w:hint="eastAsia"/>
          <w:strike/>
          <w:color w:val="auto"/>
          <w:sz w:val="24"/>
          <w:highlight w:val="none"/>
        </w:rPr>
        <w:t>的</w:t>
      </w:r>
      <w:r>
        <w:rPr>
          <w:rFonts w:hint="eastAsia"/>
          <w:strike/>
          <w:color w:val="auto"/>
          <w:spacing w:val="-3"/>
          <w:sz w:val="24"/>
          <w:highlight w:val="none"/>
        </w:rPr>
        <w:t>，</w:t>
      </w:r>
      <w:r>
        <w:rPr>
          <w:rFonts w:hint="eastAsia"/>
          <w:strike/>
          <w:color w:val="auto"/>
          <w:sz w:val="24"/>
          <w:highlight w:val="none"/>
        </w:rPr>
        <w:t>应</w:t>
      </w:r>
      <w:r>
        <w:rPr>
          <w:rFonts w:hint="eastAsia"/>
          <w:strike/>
          <w:color w:val="auto"/>
          <w:spacing w:val="-3"/>
          <w:sz w:val="24"/>
          <w:highlight w:val="none"/>
        </w:rPr>
        <w:t>更</w:t>
      </w:r>
      <w:r>
        <w:rPr>
          <w:rFonts w:hint="eastAsia"/>
          <w:strike/>
          <w:color w:val="auto"/>
          <w:sz w:val="24"/>
          <w:highlight w:val="none"/>
        </w:rPr>
        <w:t>新</w:t>
      </w:r>
      <w:r>
        <w:rPr>
          <w:rFonts w:hint="eastAsia"/>
          <w:strike/>
          <w:color w:val="auto"/>
          <w:spacing w:val="-3"/>
          <w:sz w:val="24"/>
          <w:highlight w:val="none"/>
        </w:rPr>
        <w:t>或</w:t>
      </w:r>
      <w:r>
        <w:rPr>
          <w:rFonts w:hint="eastAsia"/>
          <w:strike/>
          <w:color w:val="auto"/>
          <w:sz w:val="24"/>
          <w:highlight w:val="none"/>
        </w:rPr>
        <w:t>补充</w:t>
      </w:r>
      <w:r>
        <w:rPr>
          <w:rFonts w:hint="eastAsia"/>
          <w:strike/>
          <w:color w:val="auto"/>
          <w:spacing w:val="-3"/>
          <w:sz w:val="24"/>
          <w:highlight w:val="none"/>
        </w:rPr>
        <w:t>其</w:t>
      </w:r>
      <w:r>
        <w:rPr>
          <w:rFonts w:hint="eastAsia"/>
          <w:strike/>
          <w:color w:val="auto"/>
          <w:sz w:val="24"/>
          <w:highlight w:val="none"/>
        </w:rPr>
        <w:t>在</w:t>
      </w:r>
      <w:r>
        <w:rPr>
          <w:rFonts w:hint="eastAsia"/>
          <w:strike/>
          <w:color w:val="auto"/>
          <w:spacing w:val="-3"/>
          <w:sz w:val="24"/>
          <w:highlight w:val="none"/>
        </w:rPr>
        <w:t>申</w:t>
      </w:r>
      <w:r>
        <w:rPr>
          <w:rFonts w:hint="eastAsia"/>
          <w:strike/>
          <w:color w:val="auto"/>
          <w:sz w:val="24"/>
          <w:highlight w:val="none"/>
        </w:rPr>
        <w:t>请 资格</w:t>
      </w:r>
      <w:r>
        <w:rPr>
          <w:rFonts w:hint="eastAsia"/>
          <w:strike/>
          <w:color w:val="auto"/>
          <w:spacing w:val="-3"/>
          <w:sz w:val="24"/>
          <w:highlight w:val="none"/>
        </w:rPr>
        <w:t>预</w:t>
      </w:r>
      <w:r>
        <w:rPr>
          <w:rFonts w:hint="eastAsia"/>
          <w:strike/>
          <w:color w:val="auto"/>
          <w:sz w:val="24"/>
          <w:highlight w:val="none"/>
        </w:rPr>
        <w:t>审</w:t>
      </w:r>
      <w:r>
        <w:rPr>
          <w:rFonts w:hint="eastAsia"/>
          <w:strike/>
          <w:color w:val="auto"/>
          <w:spacing w:val="-3"/>
          <w:sz w:val="24"/>
          <w:highlight w:val="none"/>
        </w:rPr>
        <w:t>时</w:t>
      </w:r>
      <w:r>
        <w:rPr>
          <w:rFonts w:hint="eastAsia"/>
          <w:strike/>
          <w:color w:val="auto"/>
          <w:sz w:val="24"/>
          <w:highlight w:val="none"/>
        </w:rPr>
        <w:t>提</w:t>
      </w:r>
      <w:r>
        <w:rPr>
          <w:rFonts w:hint="eastAsia"/>
          <w:strike/>
          <w:color w:val="auto"/>
          <w:spacing w:val="-3"/>
          <w:sz w:val="24"/>
          <w:highlight w:val="none"/>
        </w:rPr>
        <w:t>供</w:t>
      </w:r>
      <w:r>
        <w:rPr>
          <w:rFonts w:hint="eastAsia"/>
          <w:strike/>
          <w:color w:val="auto"/>
          <w:sz w:val="24"/>
          <w:highlight w:val="none"/>
        </w:rPr>
        <w:t>的</w:t>
      </w:r>
      <w:r>
        <w:rPr>
          <w:rFonts w:hint="eastAsia"/>
          <w:strike/>
          <w:color w:val="auto"/>
          <w:spacing w:val="-3"/>
          <w:sz w:val="24"/>
          <w:highlight w:val="none"/>
        </w:rPr>
        <w:t>资</w:t>
      </w:r>
      <w:r>
        <w:rPr>
          <w:rFonts w:hint="eastAsia"/>
          <w:strike/>
          <w:color w:val="auto"/>
          <w:sz w:val="24"/>
          <w:highlight w:val="none"/>
        </w:rPr>
        <w:t>料</w:t>
      </w:r>
      <w:r>
        <w:rPr>
          <w:rFonts w:hint="eastAsia"/>
          <w:strike/>
          <w:color w:val="auto"/>
          <w:spacing w:val="-3"/>
          <w:sz w:val="24"/>
          <w:highlight w:val="none"/>
        </w:rPr>
        <w:t>，</w:t>
      </w:r>
      <w:r>
        <w:rPr>
          <w:rFonts w:hint="eastAsia"/>
          <w:strike/>
          <w:color w:val="auto"/>
          <w:sz w:val="24"/>
          <w:highlight w:val="none"/>
        </w:rPr>
        <w:t>以证</w:t>
      </w:r>
      <w:r>
        <w:rPr>
          <w:rFonts w:hint="eastAsia"/>
          <w:strike/>
          <w:color w:val="auto"/>
          <w:spacing w:val="-3"/>
          <w:sz w:val="24"/>
          <w:highlight w:val="none"/>
        </w:rPr>
        <w:t>实</w:t>
      </w:r>
      <w:r>
        <w:rPr>
          <w:rFonts w:hint="eastAsia"/>
          <w:strike/>
          <w:color w:val="auto"/>
          <w:sz w:val="24"/>
          <w:highlight w:val="none"/>
        </w:rPr>
        <w:t>其</w:t>
      </w:r>
      <w:r>
        <w:rPr>
          <w:rFonts w:hint="eastAsia"/>
          <w:strike/>
          <w:color w:val="auto"/>
          <w:spacing w:val="-3"/>
          <w:sz w:val="24"/>
          <w:highlight w:val="none"/>
        </w:rPr>
        <w:t>各</w:t>
      </w:r>
      <w:r>
        <w:rPr>
          <w:rFonts w:hint="eastAsia"/>
          <w:strike/>
          <w:color w:val="auto"/>
          <w:sz w:val="24"/>
          <w:highlight w:val="none"/>
        </w:rPr>
        <w:t>项</w:t>
      </w:r>
      <w:r>
        <w:rPr>
          <w:rFonts w:hint="eastAsia"/>
          <w:strike/>
          <w:color w:val="auto"/>
          <w:spacing w:val="-3"/>
          <w:sz w:val="24"/>
          <w:highlight w:val="none"/>
        </w:rPr>
        <w:t>资</w:t>
      </w:r>
      <w:r>
        <w:rPr>
          <w:rFonts w:hint="eastAsia"/>
          <w:strike/>
          <w:color w:val="auto"/>
          <w:sz w:val="24"/>
          <w:highlight w:val="none"/>
        </w:rPr>
        <w:t>格</w:t>
      </w:r>
      <w:r>
        <w:rPr>
          <w:rFonts w:hint="eastAsia"/>
          <w:strike/>
          <w:color w:val="auto"/>
          <w:spacing w:val="-3"/>
          <w:sz w:val="24"/>
          <w:highlight w:val="none"/>
        </w:rPr>
        <w:t>条</w:t>
      </w:r>
      <w:r>
        <w:rPr>
          <w:rFonts w:hint="eastAsia"/>
          <w:strike/>
          <w:color w:val="auto"/>
          <w:sz w:val="24"/>
          <w:highlight w:val="none"/>
        </w:rPr>
        <w:t>件</w:t>
      </w:r>
      <w:r>
        <w:rPr>
          <w:rFonts w:hint="eastAsia"/>
          <w:strike/>
          <w:color w:val="auto"/>
          <w:spacing w:val="-3"/>
          <w:sz w:val="24"/>
          <w:highlight w:val="none"/>
        </w:rPr>
        <w:t>仍</w:t>
      </w:r>
      <w:r>
        <w:rPr>
          <w:rFonts w:hint="eastAsia"/>
          <w:strike/>
          <w:color w:val="auto"/>
          <w:sz w:val="24"/>
          <w:highlight w:val="none"/>
        </w:rPr>
        <w:t>能继</w:t>
      </w:r>
      <w:r>
        <w:rPr>
          <w:rFonts w:hint="eastAsia"/>
          <w:strike/>
          <w:color w:val="auto"/>
          <w:spacing w:val="-3"/>
          <w:sz w:val="24"/>
          <w:highlight w:val="none"/>
        </w:rPr>
        <w:t>续</w:t>
      </w:r>
      <w:r>
        <w:rPr>
          <w:rFonts w:hint="eastAsia"/>
          <w:strike/>
          <w:color w:val="auto"/>
          <w:sz w:val="24"/>
          <w:highlight w:val="none"/>
        </w:rPr>
        <w:t>满</w:t>
      </w:r>
      <w:r>
        <w:rPr>
          <w:rFonts w:hint="eastAsia"/>
          <w:strike/>
          <w:color w:val="auto"/>
          <w:spacing w:val="-3"/>
          <w:sz w:val="24"/>
          <w:highlight w:val="none"/>
        </w:rPr>
        <w:t>足</w:t>
      </w:r>
      <w:r>
        <w:rPr>
          <w:rFonts w:hint="eastAsia"/>
          <w:strike/>
          <w:color w:val="auto"/>
          <w:sz w:val="24"/>
          <w:highlight w:val="none"/>
        </w:rPr>
        <w:t>资</w:t>
      </w:r>
      <w:r>
        <w:rPr>
          <w:rFonts w:hint="eastAsia"/>
          <w:strike/>
          <w:color w:val="auto"/>
          <w:spacing w:val="-3"/>
          <w:sz w:val="24"/>
          <w:highlight w:val="none"/>
        </w:rPr>
        <w:t>格</w:t>
      </w:r>
      <w:r>
        <w:rPr>
          <w:rFonts w:hint="eastAsia"/>
          <w:strike/>
          <w:color w:val="auto"/>
          <w:sz w:val="24"/>
          <w:highlight w:val="none"/>
        </w:rPr>
        <w:t>预</w:t>
      </w:r>
      <w:r>
        <w:rPr>
          <w:rFonts w:hint="eastAsia"/>
          <w:strike/>
          <w:color w:val="auto"/>
          <w:spacing w:val="-3"/>
          <w:sz w:val="24"/>
          <w:highlight w:val="none"/>
        </w:rPr>
        <w:t>审</w:t>
      </w:r>
      <w:r>
        <w:rPr>
          <w:rFonts w:hint="eastAsia"/>
          <w:strike/>
          <w:color w:val="auto"/>
          <w:sz w:val="24"/>
          <w:highlight w:val="none"/>
        </w:rPr>
        <w:t>文</w:t>
      </w:r>
      <w:r>
        <w:rPr>
          <w:rFonts w:hint="eastAsia"/>
          <w:strike/>
          <w:color w:val="auto"/>
          <w:spacing w:val="-3"/>
          <w:sz w:val="24"/>
          <w:highlight w:val="none"/>
        </w:rPr>
        <w:t>件</w:t>
      </w:r>
      <w:r>
        <w:rPr>
          <w:rFonts w:hint="eastAsia"/>
          <w:strike/>
          <w:color w:val="auto"/>
          <w:sz w:val="24"/>
          <w:highlight w:val="none"/>
        </w:rPr>
        <w:t>的要</w:t>
      </w:r>
      <w:r>
        <w:rPr>
          <w:rFonts w:hint="eastAsia"/>
          <w:strike/>
          <w:color w:val="auto"/>
          <w:spacing w:val="-3"/>
          <w:sz w:val="24"/>
          <w:highlight w:val="none"/>
        </w:rPr>
        <w:t>求</w:t>
      </w:r>
      <w:r>
        <w:rPr>
          <w:rFonts w:hint="eastAsia"/>
          <w:strike/>
          <w:color w:val="auto"/>
          <w:sz w:val="24"/>
          <w:highlight w:val="none"/>
        </w:rPr>
        <w:t>，</w:t>
      </w:r>
      <w:r>
        <w:rPr>
          <w:rFonts w:hint="eastAsia"/>
          <w:strike/>
          <w:color w:val="auto"/>
          <w:spacing w:val="-3"/>
          <w:sz w:val="24"/>
          <w:highlight w:val="none"/>
        </w:rPr>
        <w:t>且</w:t>
      </w:r>
      <w:r>
        <w:rPr>
          <w:rFonts w:hint="eastAsia"/>
          <w:strike/>
          <w:color w:val="auto"/>
          <w:sz w:val="24"/>
          <w:highlight w:val="none"/>
        </w:rPr>
        <w:t>没</w:t>
      </w:r>
      <w:r>
        <w:rPr>
          <w:rFonts w:hint="eastAsia"/>
          <w:strike/>
          <w:color w:val="auto"/>
          <w:spacing w:val="-3"/>
          <w:sz w:val="24"/>
          <w:highlight w:val="none"/>
        </w:rPr>
        <w:t>有</w:t>
      </w:r>
      <w:r>
        <w:rPr>
          <w:rFonts w:hint="eastAsia"/>
          <w:strike/>
          <w:color w:val="auto"/>
          <w:sz w:val="24"/>
          <w:highlight w:val="none"/>
        </w:rPr>
        <w:t>实 质性</w:t>
      </w:r>
      <w:r>
        <w:rPr>
          <w:rFonts w:hint="eastAsia"/>
          <w:strike/>
          <w:color w:val="auto"/>
          <w:spacing w:val="-3"/>
          <w:sz w:val="24"/>
          <w:highlight w:val="none"/>
        </w:rPr>
        <w:t>降</w:t>
      </w:r>
      <w:r>
        <w:rPr>
          <w:rFonts w:hint="eastAsia"/>
          <w:strike/>
          <w:color w:val="auto"/>
          <w:sz w:val="24"/>
          <w:highlight w:val="none"/>
        </w:rPr>
        <w:t>低。</w:t>
      </w:r>
    </w:p>
    <w:bookmarkEnd w:id="73"/>
    <w:p w14:paraId="34BE7618">
      <w:pPr>
        <w:spacing w:beforeLines="100" w:afterLines="100"/>
        <w:rPr>
          <w:rFonts w:ascii="宋体" w:hAnsi="宋体"/>
          <w:b/>
          <w:color w:val="auto"/>
          <w:sz w:val="28"/>
          <w:szCs w:val="28"/>
          <w:highlight w:val="none"/>
        </w:rPr>
      </w:pPr>
      <w:r>
        <w:rPr>
          <w:rFonts w:hint="eastAsia" w:ascii="宋体" w:hAnsi="宋体"/>
          <w:b/>
          <w:color w:val="auto"/>
          <w:sz w:val="28"/>
          <w:szCs w:val="28"/>
          <w:highlight w:val="none"/>
        </w:rPr>
        <w:t>3.5 资格审查资料（适用于未进行资格预审的）</w:t>
      </w:r>
      <w:bookmarkEnd w:id="34"/>
    </w:p>
    <w:p w14:paraId="372A3E87">
      <w:pPr>
        <w:spacing w:line="360" w:lineRule="auto"/>
        <w:ind w:firstLine="480" w:firstLineChars="200"/>
        <w:rPr>
          <w:rFonts w:ascii="宋体" w:hAnsi="宋体"/>
          <w:b/>
          <w:bCs/>
          <w:color w:val="auto"/>
          <w:sz w:val="24"/>
          <w:szCs w:val="24"/>
          <w:highlight w:val="none"/>
          <w:u w:val="single"/>
        </w:rPr>
      </w:pPr>
      <w:r>
        <w:rPr>
          <w:rFonts w:hint="eastAsia" w:ascii="宋体" w:hAnsi="宋体"/>
          <w:color w:val="auto"/>
          <w:sz w:val="24"/>
          <w:szCs w:val="24"/>
          <w:highlight w:val="none"/>
        </w:rPr>
        <w:t>除投标人须知前附表另有规定外，投标人应</w:t>
      </w:r>
      <w:r>
        <w:rPr>
          <w:rFonts w:hint="eastAsia" w:ascii="宋体" w:hAnsi="宋体"/>
          <w:strike/>
          <w:color w:val="auto"/>
          <w:sz w:val="24"/>
          <w:szCs w:val="24"/>
          <w:highlight w:val="none"/>
        </w:rPr>
        <w:t>按下列规定</w:t>
      </w:r>
      <w:r>
        <w:rPr>
          <w:rFonts w:hint="eastAsia" w:ascii="宋体" w:hAnsi="宋体"/>
          <w:color w:val="auto"/>
          <w:sz w:val="24"/>
          <w:szCs w:val="24"/>
          <w:highlight w:val="none"/>
        </w:rPr>
        <w:t>提供资格审查资料，以证明其满足本章第 1.4 款规定的资质、财务、业绩、信誉等要求。</w:t>
      </w:r>
    </w:p>
    <w:p w14:paraId="4EBD2756">
      <w:pPr>
        <w:spacing w:line="360" w:lineRule="auto"/>
        <w:ind w:firstLine="480" w:firstLineChars="200"/>
        <w:rPr>
          <w:rFonts w:ascii="宋体" w:hAnsi="宋体"/>
          <w:strike/>
          <w:color w:val="auto"/>
          <w:sz w:val="24"/>
          <w:szCs w:val="24"/>
          <w:highlight w:val="none"/>
        </w:rPr>
      </w:pPr>
      <w:r>
        <w:rPr>
          <w:rFonts w:hint="eastAsia" w:ascii="宋体" w:hAnsi="宋体"/>
          <w:strike/>
          <w:color w:val="auto"/>
          <w:sz w:val="24"/>
          <w:szCs w:val="24"/>
          <w:highlight w:val="none"/>
        </w:rPr>
        <w:t>3.5.1 “投标人基本情况表”应附投标人营业执照和组织机构代码证的复印件（按照“三证合一”或“五证合一”登记制度进行登记的，可仅提供营业执照复印件）、投标人监理资质证书副本等材料的复印件。</w:t>
      </w:r>
    </w:p>
    <w:p w14:paraId="68B6491F">
      <w:pPr>
        <w:spacing w:line="360" w:lineRule="auto"/>
        <w:ind w:firstLine="480" w:firstLineChars="200"/>
        <w:rPr>
          <w:rFonts w:ascii="宋体" w:hAnsi="宋体"/>
          <w:strike/>
          <w:color w:val="auto"/>
          <w:sz w:val="24"/>
          <w:szCs w:val="24"/>
          <w:highlight w:val="none"/>
        </w:rPr>
      </w:pPr>
      <w:r>
        <w:rPr>
          <w:rFonts w:hint="eastAsia" w:ascii="宋体" w:hAnsi="宋体"/>
          <w:strike/>
          <w:color w:val="auto"/>
          <w:sz w:val="24"/>
          <w:szCs w:val="24"/>
          <w:highlight w:val="none"/>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14:paraId="5D169D5A">
      <w:pPr>
        <w:spacing w:line="360" w:lineRule="auto"/>
        <w:ind w:firstLine="480" w:firstLineChars="200"/>
        <w:rPr>
          <w:rFonts w:ascii="宋体" w:hAnsi="宋体"/>
          <w:strike/>
          <w:color w:val="auto"/>
          <w:sz w:val="24"/>
          <w:szCs w:val="24"/>
          <w:highlight w:val="none"/>
        </w:rPr>
      </w:pPr>
      <w:r>
        <w:rPr>
          <w:rFonts w:hint="eastAsia" w:ascii="宋体" w:hAnsi="宋体"/>
          <w:strike/>
          <w:color w:val="auto"/>
          <w:sz w:val="24"/>
          <w:szCs w:val="24"/>
          <w:highlight w:val="none"/>
        </w:rPr>
        <w:t>3.5.3 “近年完成的类似监理项目情况表”应附中标通知书和（或）合同协议书、委托人出具的证明文件；具体时间要求见投标人须知前附表，每张表格只填写一个项目，并标明序号。</w:t>
      </w:r>
    </w:p>
    <w:p w14:paraId="51AEE4F4">
      <w:pPr>
        <w:spacing w:line="360" w:lineRule="auto"/>
        <w:ind w:firstLine="480" w:firstLineChars="200"/>
        <w:rPr>
          <w:rFonts w:ascii="宋体" w:hAnsi="宋体"/>
          <w:strike/>
          <w:color w:val="auto"/>
          <w:sz w:val="24"/>
          <w:szCs w:val="24"/>
          <w:highlight w:val="none"/>
        </w:rPr>
      </w:pPr>
      <w:r>
        <w:rPr>
          <w:rFonts w:hint="eastAsia" w:ascii="宋体" w:hAnsi="宋体"/>
          <w:strike/>
          <w:color w:val="auto"/>
          <w:sz w:val="24"/>
          <w:szCs w:val="24"/>
          <w:highlight w:val="none"/>
        </w:rPr>
        <w:t>3.5.4 “正在监理和新承接的项目情况表”应附中标通知书和（或）合同协议书复印件。每张表格只填写一个项目，并标明序号。</w:t>
      </w:r>
    </w:p>
    <w:p w14:paraId="688BF5FC">
      <w:pPr>
        <w:spacing w:line="360" w:lineRule="auto"/>
        <w:ind w:firstLine="480" w:firstLineChars="200"/>
        <w:rPr>
          <w:rFonts w:ascii="宋体" w:hAnsi="宋体"/>
          <w:strike/>
          <w:color w:val="auto"/>
          <w:sz w:val="24"/>
          <w:szCs w:val="24"/>
          <w:highlight w:val="none"/>
        </w:rPr>
      </w:pPr>
      <w:r>
        <w:rPr>
          <w:rFonts w:hint="eastAsia" w:ascii="宋体" w:hAnsi="宋体"/>
          <w:strike/>
          <w:color w:val="auto"/>
          <w:sz w:val="24"/>
          <w:szCs w:val="24"/>
          <w:highlight w:val="none"/>
        </w:rPr>
        <w:t>3.5.5 “近年发生的诉讼及仲裁情况”应说明投标人败诉的监理合同的相关情况，并附法院或仲裁机构作出的判决、裁决等有关法律文书复印件，具体时间要求见投标人须知前附表。</w:t>
      </w:r>
    </w:p>
    <w:p w14:paraId="1FF2CADB">
      <w:pPr>
        <w:spacing w:line="360" w:lineRule="auto"/>
        <w:ind w:firstLine="480" w:firstLineChars="200"/>
        <w:rPr>
          <w:rFonts w:ascii="宋体" w:hAnsi="宋体"/>
          <w:strike/>
          <w:color w:val="auto"/>
          <w:sz w:val="24"/>
          <w:szCs w:val="24"/>
          <w:highlight w:val="none"/>
        </w:rPr>
      </w:pPr>
      <w:r>
        <w:rPr>
          <w:rFonts w:hint="eastAsia" w:ascii="宋体" w:hAnsi="宋体"/>
          <w:strike/>
          <w:color w:val="auto"/>
          <w:sz w:val="24"/>
          <w:szCs w:val="24"/>
          <w:highlight w:val="none"/>
        </w:rPr>
        <w:t>3.5.6 “拟委任的主要人员汇总表”应填报满足本章第 1.4.1 项规定的总监理工程师和其他主要人员的相关信息。“主要人员简历表”中总监理工程师应附身份证、学历证、职称证、注册监理工程师执业证书和社保缴费证明复印件，管理过的项目业绩须附合同协议书复印件；其他主要人员应附身份证、学历证、职称证、有关证书和社保缴费证明复印件。</w:t>
      </w:r>
    </w:p>
    <w:p w14:paraId="21A584B8">
      <w:pPr>
        <w:spacing w:line="360" w:lineRule="auto"/>
        <w:ind w:firstLine="480" w:firstLineChars="200"/>
        <w:rPr>
          <w:rFonts w:ascii="宋体" w:hAnsi="宋体"/>
          <w:strike/>
          <w:color w:val="auto"/>
          <w:sz w:val="24"/>
          <w:szCs w:val="24"/>
          <w:highlight w:val="none"/>
        </w:rPr>
      </w:pPr>
      <w:r>
        <w:rPr>
          <w:rFonts w:hint="eastAsia" w:ascii="宋体" w:hAnsi="宋体"/>
          <w:strike/>
          <w:color w:val="auto"/>
          <w:sz w:val="24"/>
          <w:szCs w:val="24"/>
          <w:highlight w:val="none"/>
        </w:rPr>
        <w:t>3.5.7 “拟投入本项目的主要试验检测仪器设备表”应填报满足本章第 1.4.1 项规定的试验检测仪器设备。</w:t>
      </w:r>
    </w:p>
    <w:p w14:paraId="29F3DAF8">
      <w:pPr>
        <w:spacing w:line="360" w:lineRule="auto"/>
        <w:ind w:firstLine="480" w:firstLineChars="200"/>
        <w:rPr>
          <w:rFonts w:ascii="宋体" w:hAnsi="宋体"/>
          <w:strike/>
          <w:color w:val="auto"/>
          <w:sz w:val="24"/>
          <w:szCs w:val="24"/>
          <w:highlight w:val="none"/>
        </w:rPr>
      </w:pPr>
      <w:r>
        <w:rPr>
          <w:rFonts w:ascii="宋体" w:hAnsi="宋体"/>
          <w:strike/>
          <w:color w:val="auto"/>
          <w:sz w:val="24"/>
          <w:szCs w:val="24"/>
          <w:highlight w:val="none"/>
        </w:rPr>
        <w:t xml:space="preserve">3.5.8 </w:t>
      </w:r>
      <w:r>
        <w:rPr>
          <w:rFonts w:hint="eastAsia" w:ascii="宋体" w:hAnsi="宋体"/>
          <w:strike/>
          <w:color w:val="auto"/>
          <w:sz w:val="24"/>
          <w:szCs w:val="24"/>
          <w:highlight w:val="none"/>
        </w:rPr>
        <w:t>投标人须知前附表规定接受联合体投标的，本章第</w:t>
      </w:r>
      <w:r>
        <w:rPr>
          <w:rFonts w:ascii="宋体" w:hAnsi="宋体"/>
          <w:strike/>
          <w:color w:val="auto"/>
          <w:sz w:val="24"/>
          <w:szCs w:val="24"/>
          <w:highlight w:val="none"/>
        </w:rPr>
        <w:t xml:space="preserve"> 3.5.1 </w:t>
      </w:r>
      <w:r>
        <w:rPr>
          <w:rFonts w:hint="eastAsia" w:ascii="宋体" w:hAnsi="宋体"/>
          <w:strike/>
          <w:color w:val="auto"/>
          <w:sz w:val="24"/>
          <w:szCs w:val="24"/>
          <w:highlight w:val="none"/>
        </w:rPr>
        <w:t>项至第</w:t>
      </w:r>
      <w:r>
        <w:rPr>
          <w:rFonts w:ascii="宋体" w:hAnsi="宋体"/>
          <w:strike/>
          <w:color w:val="auto"/>
          <w:sz w:val="24"/>
          <w:szCs w:val="24"/>
          <w:highlight w:val="none"/>
        </w:rPr>
        <w:t xml:space="preserve"> 3.5.7 </w:t>
      </w:r>
      <w:r>
        <w:rPr>
          <w:rFonts w:hint="eastAsia" w:ascii="宋体" w:hAnsi="宋体"/>
          <w:strike/>
          <w:color w:val="auto"/>
          <w:sz w:val="24"/>
          <w:szCs w:val="24"/>
          <w:highlight w:val="none"/>
        </w:rPr>
        <w:t>项规定的表格和资料应包括联合体各方相关情况。</w:t>
      </w:r>
    </w:p>
    <w:p w14:paraId="17292587">
      <w:pPr>
        <w:spacing w:beforeLines="100" w:afterLines="100"/>
        <w:rPr>
          <w:rFonts w:ascii="宋体" w:hAnsi="宋体"/>
          <w:b/>
          <w:color w:val="auto"/>
          <w:sz w:val="28"/>
          <w:szCs w:val="28"/>
          <w:highlight w:val="none"/>
        </w:rPr>
      </w:pPr>
      <w:bookmarkStart w:id="74" w:name="_Toc517441193"/>
      <w:r>
        <w:rPr>
          <w:rFonts w:hint="eastAsia" w:ascii="宋体" w:hAnsi="宋体"/>
          <w:b/>
          <w:color w:val="auto"/>
          <w:sz w:val="28"/>
          <w:szCs w:val="28"/>
          <w:highlight w:val="none"/>
        </w:rPr>
        <w:t>3.6 备选投标方案</w:t>
      </w:r>
      <w:bookmarkEnd w:id="74"/>
    </w:p>
    <w:p w14:paraId="30FABCF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3.6.1 除投标人须知前附表规定允许外，投标人不得递交备选投标方案，否则其投标将被否决。</w:t>
      </w:r>
    </w:p>
    <w:p w14:paraId="1E8AD6E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47AF458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3.6.3 投标人提供两个或两个以上投标报价，或者在投标文件中提供一个报价，但同时提供两个或两个以上监理方案的，视为提供备选方案。</w:t>
      </w:r>
    </w:p>
    <w:p w14:paraId="090C5425">
      <w:pPr>
        <w:spacing w:beforeLines="100" w:afterLines="100"/>
        <w:rPr>
          <w:rFonts w:ascii="宋体" w:hAnsi="宋体"/>
          <w:b/>
          <w:color w:val="auto"/>
          <w:sz w:val="28"/>
          <w:szCs w:val="28"/>
          <w:highlight w:val="none"/>
        </w:rPr>
      </w:pPr>
      <w:bookmarkStart w:id="75" w:name="_Toc517441194"/>
      <w:r>
        <w:rPr>
          <w:rFonts w:hint="eastAsia" w:ascii="宋体" w:hAnsi="宋体"/>
          <w:b/>
          <w:color w:val="auto"/>
          <w:sz w:val="28"/>
          <w:szCs w:val="28"/>
          <w:highlight w:val="none"/>
        </w:rPr>
        <w:t>3.7 投标文件的编制</w:t>
      </w:r>
      <w:bookmarkEnd w:id="75"/>
    </w:p>
    <w:p w14:paraId="289ADBE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3.7.1 投标文件应按第六章“投标文件格式”进行编写，如有必要，可以增加附页，作为投标文件的组成部分。其中，投标函附录在满足招标文件实质性要求的基础上，可以提出比招标文件要求更有利于招标人的承诺。</w:t>
      </w:r>
    </w:p>
    <w:p w14:paraId="3BECFE6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3.7.2 投标文件应当对招标文件有关监理服务期限、投标有效期、委托人要求、招标范围等实质性内容作出响应。</w:t>
      </w:r>
    </w:p>
    <w:p w14:paraId="376F8BAB">
      <w:pPr>
        <w:pStyle w:val="13"/>
        <w:kinsoku w:val="0"/>
        <w:overflowPunct w:val="0"/>
        <w:spacing w:before="44" w:line="360" w:lineRule="auto"/>
        <w:ind w:left="100" w:right="214" w:firstLine="419"/>
        <w:rPr>
          <w:rFonts w:ascii="宋体" w:hAnsi="宋体"/>
          <w:color w:val="auto"/>
          <w:sz w:val="24"/>
          <w:highlight w:val="none"/>
        </w:rPr>
      </w:pPr>
      <w:r>
        <w:rPr>
          <w:rFonts w:hint="eastAsia" w:ascii="宋体" w:hAnsi="宋体"/>
          <w:color w:val="auto"/>
          <w:sz w:val="24"/>
          <w:highlight w:val="none"/>
        </w:rPr>
        <w:t>3.7.3</w:t>
      </w:r>
      <w:r>
        <w:rPr>
          <w:rFonts w:hint="eastAsia" w:ascii="宋体" w:hAnsi="宋体"/>
          <w:strike/>
          <w:color w:val="auto"/>
          <w:sz w:val="24"/>
          <w:highlight w:val="none"/>
        </w:rPr>
        <w:t>（</w:t>
      </w:r>
      <w:r>
        <w:rPr>
          <w:rFonts w:ascii="宋体" w:hAnsi="宋体"/>
          <w:strike/>
          <w:color w:val="auto"/>
          <w:sz w:val="24"/>
          <w:highlight w:val="none"/>
        </w:rPr>
        <w:t>A</w:t>
      </w:r>
      <w:r>
        <w:rPr>
          <w:rFonts w:hint="eastAsia" w:ascii="宋体" w:hAnsi="宋体"/>
          <w:strike/>
          <w:color w:val="auto"/>
          <w:sz w:val="24"/>
          <w:highlight w:val="none"/>
        </w:rPr>
        <w:t>）（</w:t>
      </w:r>
      <w:r>
        <w:rPr>
          <w:rFonts w:ascii="宋体" w:hAnsi="宋体"/>
          <w:strike/>
          <w:color w:val="auto"/>
          <w:sz w:val="24"/>
          <w:highlight w:val="none"/>
        </w:rPr>
        <w:t>1</w:t>
      </w:r>
      <w:r>
        <w:rPr>
          <w:rFonts w:hint="eastAsia" w:ascii="宋体" w:hAnsi="宋体"/>
          <w:strike/>
          <w:color w:val="auto"/>
          <w:sz w:val="24"/>
          <w:highlight w:val="none"/>
        </w:rPr>
        <w:t>）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w:t>
      </w:r>
      <w:r>
        <w:rPr>
          <w:rFonts w:ascii="宋体" w:hAnsi="宋体"/>
          <w:strike/>
          <w:color w:val="auto"/>
          <w:sz w:val="24"/>
          <w:highlight w:val="none"/>
        </w:rPr>
        <w:t>“</w:t>
      </w:r>
      <w:r>
        <w:rPr>
          <w:rFonts w:hint="eastAsia" w:ascii="宋体" w:hAnsi="宋体"/>
          <w:strike/>
          <w:color w:val="auto"/>
          <w:sz w:val="24"/>
          <w:highlight w:val="none"/>
        </w:rPr>
        <w:t>投标文件格式</w:t>
      </w:r>
      <w:r>
        <w:rPr>
          <w:rFonts w:ascii="宋体" w:hAnsi="宋体"/>
          <w:strike/>
          <w:color w:val="auto"/>
          <w:sz w:val="24"/>
          <w:highlight w:val="none"/>
        </w:rPr>
        <w:t>”</w:t>
      </w:r>
      <w:r>
        <w:rPr>
          <w:rFonts w:hint="eastAsia" w:ascii="宋体" w:hAnsi="宋体"/>
          <w:strike/>
          <w:color w:val="auto"/>
          <w:sz w:val="24"/>
          <w:highlight w:val="none"/>
        </w:rPr>
        <w:t>的要求。投标文件应尽量避免涂改、行间插字或删除。如果出现上述情况，改动之处应由投标人的法定代表人或其授权的代理人签字或盖单位章。</w:t>
      </w:r>
    </w:p>
    <w:p w14:paraId="6CEF84A6">
      <w:pPr>
        <w:pStyle w:val="13"/>
        <w:kinsoku w:val="0"/>
        <w:overflowPunct w:val="0"/>
        <w:spacing w:before="35" w:line="360" w:lineRule="auto"/>
        <w:ind w:left="100" w:right="215" w:firstLine="419"/>
        <w:rPr>
          <w:rFonts w:ascii="宋体" w:hAnsi="宋体"/>
          <w:strike/>
          <w:color w:val="auto"/>
          <w:sz w:val="24"/>
          <w:highlight w:val="none"/>
        </w:rPr>
      </w:pPr>
      <w:r>
        <w:rPr>
          <w:rFonts w:hint="eastAsia" w:ascii="宋体" w:hAnsi="宋体"/>
          <w:strike/>
          <w:color w:val="auto"/>
          <w:sz w:val="24"/>
          <w:highlight w:val="none"/>
        </w:rPr>
        <w:t>（</w:t>
      </w:r>
      <w:r>
        <w:rPr>
          <w:rFonts w:ascii="宋体" w:hAnsi="宋体"/>
          <w:strike/>
          <w:color w:val="auto"/>
          <w:sz w:val="24"/>
          <w:highlight w:val="none"/>
        </w:rPr>
        <w:t>2</w:t>
      </w:r>
      <w:r>
        <w:rPr>
          <w:rFonts w:hint="eastAsia" w:ascii="宋体" w:hAnsi="宋体"/>
          <w:strike/>
          <w:color w:val="auto"/>
          <w:sz w:val="24"/>
          <w:highlight w:val="none"/>
        </w:rPr>
        <w:t>）投标文件正本一份，副本份数见投标人须知前附表。正本和副本的封面右上角上应清楚地标记</w:t>
      </w:r>
      <w:r>
        <w:rPr>
          <w:rFonts w:ascii="宋体" w:hAnsi="宋体"/>
          <w:strike/>
          <w:color w:val="auto"/>
          <w:sz w:val="24"/>
          <w:highlight w:val="none"/>
        </w:rPr>
        <w:t>“</w:t>
      </w:r>
      <w:r>
        <w:rPr>
          <w:rFonts w:hint="eastAsia" w:ascii="宋体" w:hAnsi="宋体"/>
          <w:strike/>
          <w:color w:val="auto"/>
          <w:sz w:val="24"/>
          <w:highlight w:val="none"/>
        </w:rPr>
        <w:t>正本</w:t>
      </w:r>
      <w:r>
        <w:rPr>
          <w:rFonts w:ascii="宋体" w:hAnsi="宋体"/>
          <w:strike/>
          <w:color w:val="auto"/>
          <w:sz w:val="24"/>
          <w:highlight w:val="none"/>
        </w:rPr>
        <w:t>”</w:t>
      </w:r>
      <w:r>
        <w:rPr>
          <w:rFonts w:hint="eastAsia" w:ascii="宋体" w:hAnsi="宋体"/>
          <w:strike/>
          <w:color w:val="auto"/>
          <w:sz w:val="24"/>
          <w:highlight w:val="none"/>
        </w:rPr>
        <w:t>或</w:t>
      </w:r>
      <w:r>
        <w:rPr>
          <w:rFonts w:ascii="宋体" w:hAnsi="宋体"/>
          <w:strike/>
          <w:color w:val="auto"/>
          <w:sz w:val="24"/>
          <w:highlight w:val="none"/>
        </w:rPr>
        <w:t>“</w:t>
      </w:r>
      <w:r>
        <w:rPr>
          <w:rFonts w:hint="eastAsia" w:ascii="宋体" w:hAnsi="宋体"/>
          <w:strike/>
          <w:color w:val="auto"/>
          <w:sz w:val="24"/>
          <w:highlight w:val="none"/>
        </w:rPr>
        <w:t>副本</w:t>
      </w:r>
      <w:r>
        <w:rPr>
          <w:rFonts w:ascii="宋体" w:hAnsi="宋体"/>
          <w:strike/>
          <w:color w:val="auto"/>
          <w:sz w:val="24"/>
          <w:highlight w:val="none"/>
        </w:rPr>
        <w:t>”</w:t>
      </w:r>
      <w:r>
        <w:rPr>
          <w:rFonts w:hint="eastAsia" w:ascii="宋体" w:hAnsi="宋体"/>
          <w:strike/>
          <w:color w:val="auto"/>
          <w:sz w:val="24"/>
          <w:highlight w:val="none"/>
        </w:rPr>
        <w:t>的字样。投标人应根据投标人须知前附表要求提供电子版文件。当副本和正本不一致或电子版文件和纸质正本文件不一致时，以纸质正本文件为准。</w:t>
      </w:r>
    </w:p>
    <w:p w14:paraId="5BDF2228">
      <w:pPr>
        <w:pStyle w:val="13"/>
        <w:kinsoku w:val="0"/>
        <w:overflowPunct w:val="0"/>
        <w:spacing w:line="360" w:lineRule="auto"/>
        <w:ind w:firstLine="480" w:firstLineChars="200"/>
        <w:rPr>
          <w:rFonts w:ascii="宋体" w:hAnsi="宋体"/>
          <w:strike/>
          <w:color w:val="auto"/>
          <w:sz w:val="24"/>
          <w:highlight w:val="none"/>
        </w:rPr>
      </w:pPr>
      <w:r>
        <w:rPr>
          <w:rFonts w:hint="eastAsia" w:ascii="宋体" w:hAnsi="宋体"/>
          <w:strike/>
          <w:color w:val="auto"/>
          <w:sz w:val="24"/>
          <w:highlight w:val="none"/>
        </w:rPr>
        <w:t>（</w:t>
      </w:r>
      <w:r>
        <w:rPr>
          <w:rFonts w:ascii="宋体" w:hAnsi="宋体"/>
          <w:strike/>
          <w:color w:val="auto"/>
          <w:sz w:val="24"/>
          <w:highlight w:val="none"/>
        </w:rPr>
        <w:t>3</w:t>
      </w:r>
      <w:r>
        <w:rPr>
          <w:rFonts w:hint="eastAsia" w:ascii="宋体" w:hAnsi="宋体"/>
          <w:strike/>
          <w:color w:val="auto"/>
          <w:sz w:val="24"/>
          <w:highlight w:val="none"/>
        </w:rPr>
        <w:t>）投标文件的正本与副本应分别装订，并编制目录，投标文件需分册装订的，具体分册装订要求见投标人须知前附表规定。</w:t>
      </w:r>
    </w:p>
    <w:p w14:paraId="1D6A902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B）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14:paraId="68EBA0E1">
      <w:pPr>
        <w:spacing w:line="360" w:lineRule="auto"/>
        <w:rPr>
          <w:rFonts w:ascii="宋体" w:hAnsi="宋体"/>
          <w:color w:val="auto"/>
          <w:highlight w:val="none"/>
        </w:rPr>
      </w:pPr>
    </w:p>
    <w:p w14:paraId="72E7AE70">
      <w:pPr>
        <w:pStyle w:val="4"/>
        <w:rPr>
          <w:rFonts w:ascii="宋体" w:hAnsi="宋体" w:eastAsia="宋体"/>
          <w:color w:val="auto"/>
          <w:highlight w:val="none"/>
        </w:rPr>
      </w:pPr>
      <w:bookmarkStart w:id="76" w:name="_Toc517441195"/>
      <w:r>
        <w:rPr>
          <w:rFonts w:hint="eastAsia" w:ascii="宋体" w:hAnsi="宋体" w:eastAsia="宋体"/>
          <w:color w:val="auto"/>
          <w:highlight w:val="none"/>
        </w:rPr>
        <w:t>4. 投标</w:t>
      </w:r>
      <w:bookmarkEnd w:id="76"/>
    </w:p>
    <w:p w14:paraId="44B4CE61">
      <w:pPr>
        <w:pStyle w:val="5"/>
        <w:spacing w:beforeLines="20" w:afterLines="20"/>
        <w:rPr>
          <w:rFonts w:ascii="宋体" w:hAnsi="宋体"/>
          <w:color w:val="auto"/>
          <w:szCs w:val="24"/>
          <w:highlight w:val="none"/>
        </w:rPr>
      </w:pPr>
      <w:bookmarkStart w:id="77" w:name="_Toc517441196"/>
      <w:r>
        <w:rPr>
          <w:rFonts w:hint="eastAsia" w:ascii="宋体" w:hAnsi="宋体"/>
          <w:color w:val="auto"/>
          <w:szCs w:val="24"/>
          <w:highlight w:val="none"/>
        </w:rPr>
        <w:t>4.1 投标文件的密封和标记</w:t>
      </w:r>
      <w:bookmarkEnd w:id="77"/>
      <w:r>
        <w:rPr>
          <w:rFonts w:hint="eastAsia" w:ascii="宋体" w:hAnsi="宋体"/>
          <w:color w:val="auto"/>
          <w:szCs w:val="24"/>
          <w:highlight w:val="none"/>
        </w:rPr>
        <w:t>、</w:t>
      </w:r>
    </w:p>
    <w:p w14:paraId="6E954540">
      <w:pPr>
        <w:spacing w:line="360" w:lineRule="auto"/>
        <w:ind w:firstLine="480" w:firstLineChars="200"/>
        <w:rPr>
          <w:rFonts w:ascii="宋体" w:hAnsi="宋体"/>
          <w:color w:val="auto"/>
          <w:sz w:val="24"/>
          <w:szCs w:val="24"/>
          <w:highlight w:val="none"/>
        </w:rPr>
      </w:pPr>
      <w:r>
        <w:rPr>
          <w:rFonts w:hint="eastAsia" w:ascii="宋体" w:hAnsi="宋体"/>
          <w:strike/>
          <w:color w:val="auto"/>
          <w:sz w:val="24"/>
          <w:szCs w:val="24"/>
          <w:highlight w:val="none"/>
        </w:rPr>
        <w:t>4.1.1 （A）投标文件应密封包装，并在封套的封口处加盖投标人单位章或由投标人的法定代表人或其授权的代理人签字。</w:t>
      </w:r>
    </w:p>
    <w:p w14:paraId="4F9193E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w:t>
      </w:r>
      <w:r>
        <w:rPr>
          <w:rFonts w:ascii="宋体" w:hAnsi="宋体"/>
          <w:color w:val="auto"/>
          <w:sz w:val="24"/>
          <w:szCs w:val="24"/>
          <w:highlight w:val="none"/>
        </w:rPr>
        <w:t xml:space="preserve">.1.1 </w:t>
      </w:r>
      <w:r>
        <w:rPr>
          <w:rFonts w:hint="eastAsia" w:ascii="宋体" w:hAnsi="宋体"/>
          <w:color w:val="auto"/>
          <w:sz w:val="24"/>
          <w:szCs w:val="24"/>
          <w:highlight w:val="none"/>
        </w:rPr>
        <w:t>（B）投标人应当按照招标文件和电子招标投标交易平台的要求加密投标文件，具体要求见投标人须知前附表。</w:t>
      </w:r>
    </w:p>
    <w:p w14:paraId="7B63AD8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4.1.2 投标文件</w:t>
      </w:r>
      <w:r>
        <w:rPr>
          <w:rFonts w:hint="eastAsia"/>
          <w:b/>
          <w:color w:val="auto"/>
          <w:sz w:val="24"/>
          <w:szCs w:val="24"/>
          <w:highlight w:val="none"/>
          <w:u w:val="single"/>
        </w:rPr>
        <w:t>备用光盘</w:t>
      </w:r>
      <w:r>
        <w:rPr>
          <w:rFonts w:hint="eastAsia" w:ascii="宋体" w:hAnsi="宋体"/>
          <w:color w:val="auto"/>
          <w:sz w:val="24"/>
          <w:szCs w:val="24"/>
          <w:highlight w:val="none"/>
        </w:rPr>
        <w:t>封套上应写明的内容见投标人须知前附表。</w:t>
      </w:r>
    </w:p>
    <w:p w14:paraId="499FDC2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4.1.3 未按本章第 4.1.1 项要求密封的投标文件，招标人将予以拒收。</w:t>
      </w:r>
    </w:p>
    <w:p w14:paraId="5EE40158">
      <w:pPr>
        <w:pStyle w:val="5"/>
        <w:spacing w:beforeLines="20" w:afterLines="20"/>
        <w:rPr>
          <w:rFonts w:ascii="宋体" w:hAnsi="宋体"/>
          <w:color w:val="auto"/>
          <w:szCs w:val="24"/>
          <w:highlight w:val="none"/>
        </w:rPr>
      </w:pPr>
      <w:bookmarkStart w:id="78" w:name="_Toc517441197"/>
      <w:r>
        <w:rPr>
          <w:rFonts w:hint="eastAsia" w:ascii="宋体" w:hAnsi="宋体"/>
          <w:color w:val="auto"/>
          <w:szCs w:val="24"/>
          <w:highlight w:val="none"/>
        </w:rPr>
        <w:t>4.2 投标文件的递交</w:t>
      </w:r>
      <w:bookmarkEnd w:id="78"/>
    </w:p>
    <w:p w14:paraId="0F911D2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4.2.1 投标人应在投标人须知前附表规定的投标截止时间前递交投标文件。</w:t>
      </w:r>
    </w:p>
    <w:p w14:paraId="466CCE27">
      <w:pPr>
        <w:spacing w:line="360" w:lineRule="auto"/>
        <w:ind w:firstLine="480" w:firstLineChars="200"/>
        <w:rPr>
          <w:rFonts w:ascii="宋体" w:hAnsi="宋体"/>
          <w:color w:val="auto"/>
          <w:sz w:val="24"/>
          <w:szCs w:val="24"/>
          <w:highlight w:val="none"/>
        </w:rPr>
      </w:pPr>
      <w:r>
        <w:rPr>
          <w:rFonts w:hint="eastAsia" w:ascii="宋体" w:hAnsi="宋体"/>
          <w:strike/>
          <w:color w:val="auto"/>
          <w:sz w:val="24"/>
          <w:szCs w:val="24"/>
          <w:highlight w:val="none"/>
        </w:rPr>
        <w:t>4.2.2 （A）投标人递交投标文件的地点：见投标人须知前附表。</w:t>
      </w:r>
    </w:p>
    <w:p w14:paraId="660CD5E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4.2.2（B）投标人通过下载招标文件的电子招标投标交易平台递交电子投标文件。</w:t>
      </w:r>
    </w:p>
    <w:p w14:paraId="72BD9FF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4.2.3 除投标人须知前附表另有规定外，投标人所递交的投标文件不予退还。</w:t>
      </w:r>
    </w:p>
    <w:p w14:paraId="538AC750">
      <w:pPr>
        <w:spacing w:line="360" w:lineRule="auto"/>
        <w:ind w:firstLine="480" w:firstLineChars="200"/>
        <w:rPr>
          <w:color w:val="auto"/>
          <w:highlight w:val="none"/>
        </w:rPr>
      </w:pPr>
      <w:r>
        <w:rPr>
          <w:rFonts w:hint="eastAsia" w:ascii="宋体" w:hAnsi="宋体"/>
          <w:strike/>
          <w:color w:val="auto"/>
          <w:sz w:val="24"/>
          <w:szCs w:val="24"/>
          <w:highlight w:val="none"/>
        </w:rPr>
        <w:t>4.2.4 （</w:t>
      </w:r>
      <w:r>
        <w:rPr>
          <w:rFonts w:ascii="宋体" w:hAnsi="宋体"/>
          <w:strike/>
          <w:color w:val="auto"/>
          <w:sz w:val="24"/>
          <w:szCs w:val="24"/>
          <w:highlight w:val="none"/>
        </w:rPr>
        <w:t>A</w:t>
      </w:r>
      <w:r>
        <w:rPr>
          <w:rFonts w:hint="eastAsia" w:ascii="宋体" w:hAnsi="宋体"/>
          <w:strike/>
          <w:color w:val="auto"/>
          <w:sz w:val="24"/>
          <w:szCs w:val="24"/>
          <w:highlight w:val="none"/>
        </w:rPr>
        <w:t>）招标人收到投标文件后，向投标人出具签收凭证。</w:t>
      </w:r>
    </w:p>
    <w:p w14:paraId="18B2AC1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w:t>
      </w:r>
      <w:r>
        <w:rPr>
          <w:rFonts w:ascii="宋体" w:hAnsi="宋体"/>
          <w:color w:val="auto"/>
          <w:sz w:val="24"/>
          <w:szCs w:val="24"/>
          <w:highlight w:val="none"/>
        </w:rPr>
        <w:t xml:space="preserve">4 </w:t>
      </w:r>
      <w:r>
        <w:rPr>
          <w:rFonts w:hint="eastAsia" w:ascii="宋体" w:hAnsi="宋体"/>
          <w:color w:val="auto"/>
          <w:sz w:val="24"/>
          <w:szCs w:val="24"/>
          <w:highlight w:val="none"/>
        </w:rPr>
        <w:t>（B）投标人完成电子投标文件上传后，电子招标投标交易平台即时向投标人发出递交回执通知。递交时间以递交回执通知载明的传输完成时间为准。</w:t>
      </w:r>
    </w:p>
    <w:p w14:paraId="5A1C323D">
      <w:pPr>
        <w:spacing w:line="360" w:lineRule="auto"/>
        <w:ind w:firstLine="480" w:firstLineChars="200"/>
        <w:rPr>
          <w:rFonts w:ascii="宋体" w:hAnsi="宋体"/>
          <w:color w:val="auto"/>
          <w:sz w:val="24"/>
          <w:szCs w:val="24"/>
          <w:highlight w:val="none"/>
        </w:rPr>
      </w:pPr>
      <w:r>
        <w:rPr>
          <w:rFonts w:hint="eastAsia" w:ascii="宋体" w:hAnsi="宋体"/>
          <w:strike/>
          <w:color w:val="auto"/>
          <w:sz w:val="24"/>
          <w:szCs w:val="24"/>
          <w:highlight w:val="none"/>
        </w:rPr>
        <w:t>4.2.5 （A）逾期送达的投标文件，招标人将予以拒收。</w:t>
      </w:r>
    </w:p>
    <w:p w14:paraId="4F09257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w:t>
      </w:r>
      <w:r>
        <w:rPr>
          <w:rFonts w:ascii="宋体" w:hAnsi="宋体"/>
          <w:color w:val="auto"/>
          <w:sz w:val="24"/>
          <w:szCs w:val="24"/>
          <w:highlight w:val="none"/>
        </w:rPr>
        <w:t xml:space="preserve">5 </w:t>
      </w:r>
      <w:r>
        <w:rPr>
          <w:rFonts w:hint="eastAsia" w:ascii="宋体" w:hAnsi="宋体"/>
          <w:color w:val="auto"/>
          <w:sz w:val="24"/>
          <w:szCs w:val="24"/>
          <w:highlight w:val="none"/>
        </w:rPr>
        <w:t>（B）逾期送达的投标文件，电子招标投标交易平台将予以拒收。</w:t>
      </w:r>
    </w:p>
    <w:p w14:paraId="3982B7A5">
      <w:pPr>
        <w:pStyle w:val="5"/>
        <w:spacing w:beforeLines="20" w:afterLines="20"/>
        <w:rPr>
          <w:rFonts w:ascii="宋体" w:hAnsi="宋体"/>
          <w:color w:val="auto"/>
          <w:szCs w:val="24"/>
          <w:highlight w:val="none"/>
        </w:rPr>
      </w:pPr>
      <w:bookmarkStart w:id="79" w:name="_Toc517441198"/>
      <w:r>
        <w:rPr>
          <w:rFonts w:hint="eastAsia" w:ascii="宋体" w:hAnsi="宋体"/>
          <w:color w:val="auto"/>
          <w:szCs w:val="24"/>
          <w:highlight w:val="none"/>
        </w:rPr>
        <w:t>4.3 投标文件的修改与撤回</w:t>
      </w:r>
      <w:bookmarkEnd w:id="79"/>
    </w:p>
    <w:p w14:paraId="0F54B19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4.3.1 在本章第 4.2.1 项规定的投标截止时间前，投标人可以修改或撤回已递交的投标文件，但应以书面形式通知招标人。</w:t>
      </w:r>
    </w:p>
    <w:p w14:paraId="39769A6E">
      <w:pPr>
        <w:pStyle w:val="8"/>
        <w:spacing w:line="360" w:lineRule="auto"/>
        <w:rPr>
          <w:rFonts w:ascii="宋体" w:hAnsi="宋体"/>
          <w:strike/>
          <w:color w:val="auto"/>
          <w:sz w:val="24"/>
          <w:szCs w:val="24"/>
          <w:highlight w:val="none"/>
          <w:lang w:val="en-US"/>
        </w:rPr>
      </w:pPr>
      <w:r>
        <w:rPr>
          <w:rFonts w:hint="eastAsia" w:ascii="宋体" w:hAnsi="宋体"/>
          <w:strike/>
          <w:color w:val="auto"/>
          <w:sz w:val="24"/>
          <w:szCs w:val="24"/>
          <w:highlight w:val="none"/>
          <w:lang w:val="en-US"/>
        </w:rPr>
        <w:t>4.3.2 （A）投标人修改或撤回已递交投标文件的书面通知应按照本章第 3.7.3（A）项的要求签字或盖章。招标人收到书面通知后，向投标人出具签收凭证。</w:t>
      </w:r>
    </w:p>
    <w:p w14:paraId="78612EF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4.3.2 （B）投标人修改或撤回已递交投标文件的通知，应按照本章第 3.7.3（B）项的要求加盖电子印章。电子招标投标交易平台收到通知后，即时向投标人发出确认回执通知。</w:t>
      </w:r>
    </w:p>
    <w:p w14:paraId="15ED44F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4.3.3 投标人撤回投标文件的，招标人自收到投标人书面撤回通知之日起 5 日内退还已收取的投标保证金。</w:t>
      </w:r>
    </w:p>
    <w:p w14:paraId="6D823AB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4.3.4 修改的内容为投标文件的组成部分。修改的投标文件应按照本章第 3 条、第 4 条的规定进行编制、密封、标记和递交，并标明“修改”字样。</w:t>
      </w:r>
    </w:p>
    <w:p w14:paraId="028444D1">
      <w:pPr>
        <w:pStyle w:val="4"/>
        <w:rPr>
          <w:rFonts w:ascii="宋体" w:hAnsi="宋体" w:eastAsia="宋体"/>
          <w:color w:val="auto"/>
          <w:highlight w:val="none"/>
        </w:rPr>
      </w:pPr>
      <w:bookmarkStart w:id="80" w:name="_Toc517441199"/>
      <w:r>
        <w:rPr>
          <w:rFonts w:hint="eastAsia" w:ascii="宋体" w:hAnsi="宋体" w:eastAsia="宋体"/>
          <w:color w:val="auto"/>
          <w:highlight w:val="none"/>
        </w:rPr>
        <w:t>5. 开标</w:t>
      </w:r>
      <w:bookmarkEnd w:id="80"/>
    </w:p>
    <w:p w14:paraId="66206E82">
      <w:pPr>
        <w:pStyle w:val="6"/>
        <w:spacing w:line="360" w:lineRule="auto"/>
        <w:ind w:left="-2" w:leftChars="-67" w:right="44" w:hanging="139" w:hangingChars="58"/>
        <w:rPr>
          <w:rFonts w:ascii="宋体" w:hAnsi="宋体"/>
          <w:strike/>
          <w:color w:val="auto"/>
          <w:szCs w:val="24"/>
          <w:highlight w:val="none"/>
        </w:rPr>
      </w:pPr>
      <w:bookmarkStart w:id="81" w:name="_Toc517441201"/>
      <w:r>
        <w:rPr>
          <w:rFonts w:ascii="宋体" w:hAnsi="宋体"/>
          <w:strike/>
          <w:color w:val="auto"/>
          <w:szCs w:val="24"/>
          <w:highlight w:val="none"/>
        </w:rPr>
        <w:t>5.1开标时间和地点（A）</w:t>
      </w:r>
    </w:p>
    <w:p w14:paraId="48E48FEF">
      <w:pPr>
        <w:pStyle w:val="13"/>
        <w:spacing w:line="360" w:lineRule="auto"/>
        <w:ind w:firstLine="480" w:firstLineChars="200"/>
        <w:rPr>
          <w:strike/>
          <w:color w:val="auto"/>
          <w:sz w:val="24"/>
          <w:highlight w:val="none"/>
        </w:rPr>
      </w:pPr>
      <w:r>
        <w:rPr>
          <w:strike/>
          <w:color w:val="auto"/>
          <w:sz w:val="24"/>
          <w:highlight w:val="none"/>
        </w:rPr>
        <w:t>招标人在本章第 4.2.1项规定的投标截止时间（开标时间）和投标人须知前附表规定的地点公开开标，并邀请所有投标人的法定代表人或其委托代理人准时参加。</w:t>
      </w:r>
    </w:p>
    <w:p w14:paraId="0FEF315B">
      <w:pPr>
        <w:pStyle w:val="5"/>
        <w:spacing w:beforeLines="20" w:afterLines="20"/>
        <w:rPr>
          <w:rFonts w:ascii="宋体" w:hAnsi="宋体"/>
          <w:color w:val="auto"/>
          <w:szCs w:val="24"/>
          <w:highlight w:val="none"/>
        </w:rPr>
      </w:pPr>
      <w:r>
        <w:rPr>
          <w:rFonts w:hint="eastAsia" w:ascii="宋体" w:hAnsi="宋体"/>
          <w:color w:val="auto"/>
          <w:szCs w:val="24"/>
          <w:highlight w:val="none"/>
        </w:rPr>
        <w:t>5.1 开标时间和地点（B）</w:t>
      </w:r>
      <w:bookmarkEnd w:id="81"/>
    </w:p>
    <w:p w14:paraId="64E4614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招标人在本章第 4.2.1 项规定的投标截止时间（开标时间）,通过电子招标投标交易平台公开开标，</w:t>
      </w:r>
      <w:r>
        <w:rPr>
          <w:rFonts w:hint="eastAsia" w:ascii="宋体" w:hAnsi="宋体"/>
          <w:color w:val="auto"/>
          <w:sz w:val="24"/>
          <w:szCs w:val="24"/>
          <w:highlight w:val="none"/>
          <w:u w:val="single"/>
        </w:rPr>
        <w:t>开标时，投标人代表有权出席开标会，也可以自主决定不参加开标会，</w:t>
      </w:r>
      <w:r>
        <w:rPr>
          <w:rFonts w:hint="eastAsia" w:ascii="宋体" w:hAnsi="宋体"/>
          <w:color w:val="auto"/>
          <w:sz w:val="24"/>
          <w:szCs w:val="24"/>
          <w:highlight w:val="none"/>
        </w:rPr>
        <w:t>不参加开标会视为对开标过程无异议。</w:t>
      </w:r>
    </w:p>
    <w:p w14:paraId="1FD5FE13">
      <w:pPr>
        <w:pStyle w:val="5"/>
        <w:spacing w:beforeLines="20" w:afterLines="20"/>
        <w:rPr>
          <w:rFonts w:ascii="宋体" w:hAnsi="宋体"/>
          <w:color w:val="auto"/>
          <w:szCs w:val="24"/>
          <w:highlight w:val="none"/>
        </w:rPr>
      </w:pPr>
      <w:bookmarkStart w:id="82" w:name="_Toc517441202"/>
      <w:r>
        <w:rPr>
          <w:rFonts w:hint="eastAsia" w:ascii="宋体" w:hAnsi="宋体"/>
          <w:color w:val="auto"/>
          <w:szCs w:val="24"/>
          <w:highlight w:val="none"/>
        </w:rPr>
        <w:t>5.2 开标程序</w:t>
      </w:r>
      <w:bookmarkEnd w:id="82"/>
    </w:p>
    <w:p w14:paraId="070DBC45">
      <w:pPr>
        <w:pStyle w:val="90"/>
        <w:numPr>
          <w:ilvl w:val="0"/>
          <w:numId w:val="1"/>
        </w:numPr>
        <w:spacing w:line="360" w:lineRule="auto"/>
        <w:ind w:firstLine="480" w:firstLineChars="200"/>
        <w:rPr>
          <w:rFonts w:hAnsi="宋体"/>
          <w:color w:val="auto"/>
          <w:sz w:val="24"/>
          <w:szCs w:val="24"/>
          <w:highlight w:val="none"/>
          <w:u w:val="single"/>
        </w:rPr>
      </w:pPr>
      <w:r>
        <w:rPr>
          <w:rFonts w:hint="eastAsia" w:hAnsi="宋体"/>
          <w:color w:val="auto"/>
          <w:sz w:val="24"/>
          <w:szCs w:val="24"/>
          <w:highlight w:val="none"/>
          <w:u w:val="single"/>
        </w:rPr>
        <w:t>宣布开标纪律；</w:t>
      </w:r>
    </w:p>
    <w:p w14:paraId="09DDF42B">
      <w:pPr>
        <w:pStyle w:val="90"/>
        <w:numPr>
          <w:ilvl w:val="0"/>
          <w:numId w:val="1"/>
        </w:numPr>
        <w:spacing w:line="360" w:lineRule="auto"/>
        <w:ind w:firstLine="480" w:firstLineChars="200"/>
        <w:rPr>
          <w:rFonts w:hAnsi="宋体"/>
          <w:color w:val="auto"/>
          <w:sz w:val="24"/>
          <w:szCs w:val="24"/>
          <w:highlight w:val="none"/>
          <w:u w:val="single"/>
        </w:rPr>
      </w:pPr>
      <w:r>
        <w:rPr>
          <w:rFonts w:hint="eastAsia" w:hAnsi="宋体"/>
          <w:color w:val="auto"/>
          <w:sz w:val="24"/>
          <w:szCs w:val="24"/>
          <w:highlight w:val="none"/>
          <w:u w:val="single"/>
        </w:rPr>
        <w:t>公布在投标截止时间前递交投标文件的投标人名称；</w:t>
      </w:r>
    </w:p>
    <w:p w14:paraId="39285117">
      <w:pPr>
        <w:pStyle w:val="90"/>
        <w:numPr>
          <w:ilvl w:val="0"/>
          <w:numId w:val="1"/>
        </w:numPr>
        <w:spacing w:line="360" w:lineRule="auto"/>
        <w:ind w:firstLine="480" w:firstLineChars="200"/>
        <w:rPr>
          <w:rFonts w:hAnsi="宋体"/>
          <w:color w:val="auto"/>
          <w:sz w:val="24"/>
          <w:szCs w:val="24"/>
          <w:highlight w:val="none"/>
          <w:u w:val="single"/>
        </w:rPr>
      </w:pPr>
      <w:r>
        <w:rPr>
          <w:rFonts w:hint="eastAsia" w:hAnsi="宋体"/>
          <w:color w:val="auto"/>
          <w:sz w:val="24"/>
          <w:szCs w:val="24"/>
          <w:highlight w:val="none"/>
          <w:u w:val="single"/>
        </w:rPr>
        <w:t>宣</w:t>
      </w:r>
      <w:r>
        <w:rPr>
          <w:rFonts w:hint="eastAsia" w:ascii="Times New Roman" w:hAnsi="宋体" w:cs="Times New Roman"/>
          <w:bCs/>
          <w:color w:val="auto"/>
          <w:kern w:val="2"/>
          <w:sz w:val="24"/>
          <w:szCs w:val="24"/>
          <w:highlight w:val="none"/>
          <w:u w:val="single"/>
          <w:lang w:val="en-US" w:bidi="ar-SA"/>
        </w:rPr>
        <w:t>布开标人、唱标人、记录人、监标人等有关人员姓名；</w:t>
      </w:r>
    </w:p>
    <w:p w14:paraId="6F8314EC">
      <w:pPr>
        <w:pStyle w:val="90"/>
        <w:spacing w:line="360" w:lineRule="auto"/>
        <w:ind w:firstLine="480" w:firstLineChars="200"/>
        <w:rPr>
          <w:rFonts w:hAnsi="宋体"/>
          <w:color w:val="auto"/>
          <w:sz w:val="24"/>
          <w:szCs w:val="24"/>
          <w:highlight w:val="none"/>
          <w:u w:val="single"/>
        </w:rPr>
      </w:pPr>
      <w:r>
        <w:rPr>
          <w:rFonts w:hint="eastAsia" w:hAnsi="宋体"/>
          <w:color w:val="auto"/>
          <w:sz w:val="24"/>
          <w:szCs w:val="24"/>
          <w:highlight w:val="none"/>
          <w:u w:val="single"/>
          <w:lang w:val="en-US"/>
        </w:rPr>
        <w:t>4</w:t>
      </w:r>
      <w:r>
        <w:rPr>
          <w:rFonts w:hint="eastAsia" w:hAnsi="宋体"/>
          <w:color w:val="auto"/>
          <w:sz w:val="24"/>
          <w:szCs w:val="24"/>
          <w:highlight w:val="none"/>
          <w:u w:val="single"/>
        </w:rPr>
        <w:t>、在</w:t>
      </w:r>
      <w:r>
        <w:rPr>
          <w:rFonts w:hint="eastAsia" w:ascii="Times New Roman" w:hAnsi="宋体" w:cs="Times New Roman"/>
          <w:bCs/>
          <w:color w:val="auto"/>
          <w:kern w:val="2"/>
          <w:sz w:val="24"/>
          <w:szCs w:val="24"/>
          <w:highlight w:val="none"/>
          <w:u w:val="single"/>
          <w:lang w:val="en-US" w:bidi="ar-SA"/>
        </w:rPr>
        <w:t>投标截止时间后半小时内，投标人通过递交投标文件的新交易平台对已递交的电子投标文件进行解密。投标人完成解密后，再由招标人进行解密。解密完成后，公布招标项目名称、投标人名称等相关信息。未在规定时间内解密的投标文件不参与开标、评标。</w:t>
      </w:r>
    </w:p>
    <w:p w14:paraId="53A8802C">
      <w:pPr>
        <w:pStyle w:val="90"/>
        <w:spacing w:line="360" w:lineRule="auto"/>
        <w:ind w:firstLine="480" w:firstLineChars="200"/>
        <w:rPr>
          <w:rFonts w:hAnsi="宋体"/>
          <w:color w:val="auto"/>
          <w:sz w:val="24"/>
          <w:szCs w:val="24"/>
          <w:highlight w:val="none"/>
          <w:u w:val="single"/>
        </w:rPr>
      </w:pPr>
      <w:r>
        <w:rPr>
          <w:rFonts w:hint="eastAsia" w:hAnsi="宋体"/>
          <w:color w:val="auto"/>
          <w:sz w:val="24"/>
          <w:szCs w:val="24"/>
          <w:highlight w:val="none"/>
          <w:u w:val="single"/>
          <w:lang w:val="en-US"/>
        </w:rPr>
        <w:t>5</w:t>
      </w:r>
      <w:r>
        <w:rPr>
          <w:rFonts w:hint="eastAsia" w:hAnsi="宋体"/>
          <w:color w:val="auto"/>
          <w:sz w:val="24"/>
          <w:szCs w:val="24"/>
          <w:highlight w:val="none"/>
          <w:u w:val="single"/>
        </w:rPr>
        <w:t>、</w:t>
      </w:r>
      <w:r>
        <w:rPr>
          <w:rFonts w:hint="eastAsia" w:ascii="Times New Roman" w:hAnsi="宋体" w:cs="Times New Roman"/>
          <w:bCs/>
          <w:color w:val="auto"/>
          <w:kern w:val="2"/>
          <w:sz w:val="24"/>
          <w:szCs w:val="24"/>
          <w:highlight w:val="none"/>
          <w:u w:val="single"/>
          <w:lang w:val="en-US" w:bidi="ar-SA"/>
        </w:rPr>
        <w:t>截标后，开标开始时间因故推迟的，相关评标信息仍以原定的开标开始时间的信息为准。</w:t>
      </w:r>
    </w:p>
    <w:p w14:paraId="1C2E8648">
      <w:pPr>
        <w:pStyle w:val="90"/>
        <w:spacing w:line="360" w:lineRule="auto"/>
        <w:ind w:firstLine="480" w:firstLineChars="200"/>
        <w:rPr>
          <w:rFonts w:hAnsi="宋体"/>
          <w:color w:val="auto"/>
          <w:sz w:val="24"/>
          <w:szCs w:val="24"/>
          <w:highlight w:val="none"/>
          <w:u w:val="single"/>
        </w:rPr>
      </w:pPr>
      <w:r>
        <w:rPr>
          <w:rFonts w:hint="eastAsia" w:hAnsi="宋体"/>
          <w:color w:val="auto"/>
          <w:sz w:val="24"/>
          <w:szCs w:val="24"/>
          <w:highlight w:val="none"/>
          <w:u w:val="single"/>
          <w:lang w:val="en-US"/>
        </w:rPr>
        <w:t>6</w:t>
      </w:r>
      <w:r>
        <w:rPr>
          <w:rFonts w:hint="eastAsia" w:hAnsi="宋体"/>
          <w:color w:val="auto"/>
          <w:sz w:val="24"/>
          <w:szCs w:val="24"/>
          <w:highlight w:val="none"/>
          <w:u w:val="single"/>
        </w:rPr>
        <w:t>、备用光盘的读取按投标人须知前附表第</w:t>
      </w:r>
      <w:r>
        <w:rPr>
          <w:rFonts w:hAnsi="宋体"/>
          <w:color w:val="auto"/>
          <w:sz w:val="24"/>
          <w:szCs w:val="24"/>
          <w:highlight w:val="none"/>
          <w:u w:val="single"/>
        </w:rPr>
        <w:t>9</w:t>
      </w:r>
      <w:r>
        <w:rPr>
          <w:rFonts w:hint="eastAsia" w:hAnsi="宋体"/>
          <w:color w:val="auto"/>
          <w:sz w:val="24"/>
          <w:szCs w:val="24"/>
          <w:highlight w:val="none"/>
          <w:u w:val="single"/>
        </w:rPr>
        <w:t>条的规定执行。</w:t>
      </w:r>
    </w:p>
    <w:p w14:paraId="7C1DAFA6">
      <w:pPr>
        <w:pStyle w:val="90"/>
        <w:spacing w:line="360" w:lineRule="auto"/>
        <w:ind w:firstLine="480" w:firstLineChars="200"/>
        <w:rPr>
          <w:rFonts w:hAnsi="宋体"/>
          <w:color w:val="auto"/>
          <w:sz w:val="24"/>
          <w:szCs w:val="24"/>
          <w:highlight w:val="none"/>
          <w:u w:val="single"/>
        </w:rPr>
      </w:pPr>
      <w:r>
        <w:rPr>
          <w:rFonts w:hint="eastAsia" w:hAnsi="宋体"/>
          <w:color w:val="auto"/>
          <w:sz w:val="24"/>
          <w:szCs w:val="24"/>
          <w:highlight w:val="none"/>
          <w:u w:val="single"/>
          <w:lang w:val="en-US"/>
        </w:rPr>
        <w:t>7</w:t>
      </w:r>
      <w:r>
        <w:rPr>
          <w:rFonts w:hint="eastAsia" w:hAnsi="宋体"/>
          <w:color w:val="auto"/>
          <w:sz w:val="24"/>
          <w:szCs w:val="24"/>
          <w:highlight w:val="none"/>
          <w:u w:val="single"/>
        </w:rPr>
        <w:t>、</w:t>
      </w:r>
      <w:r>
        <w:rPr>
          <w:rFonts w:hint="eastAsia" w:ascii="Times New Roman" w:hAnsi="宋体" w:cs="Times New Roman"/>
          <w:bCs/>
          <w:color w:val="auto"/>
          <w:kern w:val="2"/>
          <w:sz w:val="24"/>
          <w:szCs w:val="24"/>
          <w:highlight w:val="none"/>
          <w:u w:val="single"/>
          <w:lang w:val="en-US" w:bidi="ar-SA"/>
        </w:rPr>
        <w:t>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4F8BA8F1">
      <w:pPr>
        <w:pStyle w:val="90"/>
        <w:spacing w:line="360" w:lineRule="auto"/>
        <w:ind w:firstLine="480" w:firstLineChars="200"/>
        <w:rPr>
          <w:rFonts w:hAnsi="宋体"/>
          <w:color w:val="auto"/>
          <w:sz w:val="24"/>
          <w:szCs w:val="24"/>
          <w:highlight w:val="none"/>
          <w:u w:val="single"/>
        </w:rPr>
      </w:pPr>
      <w:r>
        <w:rPr>
          <w:rFonts w:hint="eastAsia" w:hAnsi="宋体"/>
          <w:color w:val="auto"/>
          <w:sz w:val="24"/>
          <w:szCs w:val="24"/>
          <w:highlight w:val="none"/>
          <w:u w:val="single"/>
          <w:lang w:val="en-US"/>
        </w:rPr>
        <w:t>8</w:t>
      </w:r>
      <w:r>
        <w:rPr>
          <w:rFonts w:hint="eastAsia" w:hAnsi="宋体"/>
          <w:color w:val="auto"/>
          <w:sz w:val="24"/>
          <w:szCs w:val="24"/>
          <w:highlight w:val="none"/>
          <w:u w:val="single"/>
        </w:rPr>
        <w:t>、</w:t>
      </w:r>
      <w:r>
        <w:rPr>
          <w:rFonts w:hint="eastAsia" w:ascii="Times New Roman" w:hAnsi="宋体" w:cs="Times New Roman"/>
          <w:bCs/>
          <w:color w:val="auto"/>
          <w:kern w:val="2"/>
          <w:sz w:val="24"/>
          <w:szCs w:val="24"/>
          <w:highlight w:val="none"/>
          <w:u w:val="single"/>
          <w:lang w:val="en-US" w:bidi="ar-SA"/>
        </w:rPr>
        <w:t>开标方式采用电子开标和现场开标两种模式，投标人可选择在开标室参与开标或准时在线参加开标，也可不参加开标。参加在线开标的投标人登录新交易平台实时查看开标、唱标情况。新交易平台生成开标记录并向社会公众公布。</w:t>
      </w:r>
    </w:p>
    <w:p w14:paraId="4E29B95E">
      <w:pPr>
        <w:pStyle w:val="90"/>
        <w:spacing w:line="360" w:lineRule="auto"/>
        <w:ind w:firstLine="480" w:firstLineChars="200"/>
        <w:rPr>
          <w:rFonts w:hAnsi="宋体"/>
          <w:color w:val="auto"/>
          <w:sz w:val="24"/>
          <w:szCs w:val="24"/>
          <w:highlight w:val="none"/>
          <w:u w:val="single"/>
        </w:rPr>
      </w:pPr>
      <w:r>
        <w:rPr>
          <w:rFonts w:hint="eastAsia" w:hAnsi="宋体"/>
          <w:color w:val="auto"/>
          <w:sz w:val="24"/>
          <w:szCs w:val="24"/>
          <w:highlight w:val="none"/>
          <w:u w:val="single"/>
          <w:lang w:val="en-US"/>
        </w:rPr>
        <w:t>9</w:t>
      </w:r>
      <w:r>
        <w:rPr>
          <w:rFonts w:hint="eastAsia" w:hAnsi="宋体"/>
          <w:color w:val="auto"/>
          <w:sz w:val="24"/>
          <w:szCs w:val="24"/>
          <w:highlight w:val="none"/>
          <w:u w:val="single"/>
        </w:rPr>
        <w:t>、</w:t>
      </w:r>
      <w:r>
        <w:rPr>
          <w:rFonts w:hint="eastAsia" w:hAnsi="宋体"/>
          <w:color w:val="auto"/>
          <w:sz w:val="24"/>
          <w:szCs w:val="24"/>
          <w:highlight w:val="none"/>
          <w:u w:val="single"/>
          <w:lang w:val="en-US"/>
        </w:rPr>
        <w:t>参</w:t>
      </w:r>
      <w:r>
        <w:rPr>
          <w:rFonts w:hint="eastAsia" w:ascii="Times New Roman" w:hAnsi="宋体" w:cs="Times New Roman"/>
          <w:bCs/>
          <w:color w:val="auto"/>
          <w:kern w:val="2"/>
          <w:sz w:val="24"/>
          <w:szCs w:val="24"/>
          <w:highlight w:val="none"/>
          <w:u w:val="single"/>
          <w:lang w:val="en-US" w:bidi="ar-SA"/>
        </w:rPr>
        <w:t>加现场开标的投标人对开标结果有异议的，应当在开标现场提出，同时出示本人身份证原件，招标人应当当场作出答复，并制作记录。参加在线开标的投标人对开标结果有异议的，投标人应通过交易平台在线提出，招标人应通过交易平台答复，答复后方可结束开标</w:t>
      </w:r>
      <w:r>
        <w:rPr>
          <w:rFonts w:hint="eastAsia" w:hAnsi="宋体"/>
          <w:color w:val="auto"/>
          <w:sz w:val="24"/>
          <w:szCs w:val="24"/>
          <w:highlight w:val="none"/>
          <w:u w:val="single"/>
          <w:lang w:val="en-US"/>
        </w:rPr>
        <w:t>。</w:t>
      </w:r>
    </w:p>
    <w:p w14:paraId="45B1C1E5">
      <w:pPr>
        <w:pStyle w:val="90"/>
        <w:spacing w:line="360" w:lineRule="auto"/>
        <w:ind w:firstLine="480" w:firstLineChars="200"/>
        <w:rPr>
          <w:rFonts w:hAnsi="宋体"/>
          <w:color w:val="auto"/>
          <w:sz w:val="24"/>
          <w:szCs w:val="24"/>
          <w:highlight w:val="none"/>
          <w:u w:val="single"/>
        </w:rPr>
      </w:pPr>
      <w:r>
        <w:rPr>
          <w:rFonts w:hint="eastAsia" w:hAnsi="宋体"/>
          <w:color w:val="auto"/>
          <w:sz w:val="24"/>
          <w:szCs w:val="24"/>
          <w:highlight w:val="none"/>
          <w:u w:val="single"/>
          <w:lang w:val="en-US"/>
        </w:rPr>
        <w:t>10</w:t>
      </w:r>
      <w:r>
        <w:rPr>
          <w:rFonts w:hint="eastAsia" w:hAnsi="宋体"/>
          <w:color w:val="auto"/>
          <w:sz w:val="24"/>
          <w:szCs w:val="24"/>
          <w:highlight w:val="none"/>
          <w:u w:val="single"/>
        </w:rPr>
        <w:t>、</w:t>
      </w:r>
      <w:r>
        <w:rPr>
          <w:rFonts w:hint="eastAsia" w:ascii="Times New Roman" w:hAnsi="宋体" w:cs="Times New Roman"/>
          <w:bCs/>
          <w:color w:val="auto"/>
          <w:kern w:val="2"/>
          <w:sz w:val="24"/>
          <w:szCs w:val="24"/>
          <w:highlight w:val="none"/>
          <w:u w:val="single"/>
          <w:lang w:val="en-US" w:bidi="ar-SA"/>
        </w:rPr>
        <w:t>投标人未参加开标或在规定的时间内未提出异议的，视为对开标无异议。</w:t>
      </w:r>
    </w:p>
    <w:p w14:paraId="1574B6DA">
      <w:pPr>
        <w:pStyle w:val="8"/>
        <w:spacing w:line="360" w:lineRule="auto"/>
        <w:ind w:firstLine="480" w:firstLineChars="200"/>
        <w:rPr>
          <w:rFonts w:ascii="宋体" w:hAnsi="宋体"/>
          <w:color w:val="auto"/>
          <w:sz w:val="24"/>
          <w:szCs w:val="24"/>
          <w:highlight w:val="none"/>
          <w:u w:val="single"/>
          <w:lang w:val="en-US"/>
        </w:rPr>
      </w:pPr>
      <w:r>
        <w:rPr>
          <w:rFonts w:hint="eastAsia" w:ascii="宋体" w:hAnsi="宋体" w:cs="宋体"/>
          <w:color w:val="auto"/>
          <w:sz w:val="24"/>
          <w:szCs w:val="24"/>
          <w:highlight w:val="none"/>
          <w:u w:val="single"/>
          <w:lang w:val="en-US"/>
        </w:rPr>
        <w:t>11</w:t>
      </w:r>
      <w:r>
        <w:rPr>
          <w:rFonts w:hint="eastAsia" w:ascii="宋体" w:hAnsi="宋体" w:cs="宋体"/>
          <w:color w:val="auto"/>
          <w:sz w:val="24"/>
          <w:szCs w:val="24"/>
          <w:highlight w:val="none"/>
          <w:u w:val="single"/>
        </w:rPr>
        <w:t>、</w:t>
      </w:r>
      <w:r>
        <w:rPr>
          <w:rFonts w:hint="eastAsia" w:ascii="宋体" w:hAnsi="宋体" w:cs="宋体"/>
          <w:bCs/>
          <w:color w:val="auto"/>
          <w:sz w:val="24"/>
          <w:szCs w:val="24"/>
          <w:highlight w:val="none"/>
          <w:u w:val="single"/>
          <w:lang w:val="en-US"/>
        </w:rPr>
        <w:t>开标时，两个（含两个）以上的投标人加密打包投标文件电脑机器特征码一致的，不参与下一程序，并由评标委员会否决其投标。</w:t>
      </w:r>
    </w:p>
    <w:p w14:paraId="27CA077A">
      <w:pPr>
        <w:pStyle w:val="5"/>
        <w:spacing w:beforeLines="20" w:afterLines="20"/>
        <w:rPr>
          <w:rFonts w:ascii="宋体" w:hAnsi="宋体"/>
          <w:color w:val="auto"/>
          <w:szCs w:val="24"/>
          <w:highlight w:val="none"/>
        </w:rPr>
      </w:pPr>
      <w:bookmarkStart w:id="83" w:name="_Toc517441203"/>
      <w:r>
        <w:rPr>
          <w:rFonts w:hint="eastAsia" w:ascii="宋体" w:hAnsi="宋体"/>
          <w:color w:val="auto"/>
          <w:szCs w:val="24"/>
          <w:highlight w:val="none"/>
        </w:rPr>
        <w:t>5.3 开标异议</w:t>
      </w:r>
      <w:bookmarkEnd w:id="83"/>
    </w:p>
    <w:p w14:paraId="252EE0E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投标人对开标有异议的，应当在开标现场提出，招标人当场作出答复，并制作记录。</w:t>
      </w:r>
    </w:p>
    <w:p w14:paraId="6833E666">
      <w:pPr>
        <w:pStyle w:val="4"/>
        <w:rPr>
          <w:rFonts w:ascii="宋体" w:hAnsi="宋体" w:eastAsia="宋体"/>
          <w:color w:val="auto"/>
          <w:highlight w:val="none"/>
        </w:rPr>
      </w:pPr>
      <w:bookmarkStart w:id="84" w:name="_Toc517441204"/>
      <w:r>
        <w:rPr>
          <w:rFonts w:hint="eastAsia" w:ascii="宋体" w:hAnsi="宋体" w:eastAsia="宋体"/>
          <w:color w:val="auto"/>
          <w:highlight w:val="none"/>
        </w:rPr>
        <w:t>6. 评标</w:t>
      </w:r>
      <w:bookmarkEnd w:id="84"/>
    </w:p>
    <w:p w14:paraId="5D63D4BF">
      <w:pPr>
        <w:pStyle w:val="5"/>
        <w:spacing w:beforeLines="20" w:afterLines="20"/>
        <w:rPr>
          <w:rFonts w:ascii="宋体" w:hAnsi="宋体"/>
          <w:color w:val="auto"/>
          <w:szCs w:val="24"/>
          <w:highlight w:val="none"/>
        </w:rPr>
      </w:pPr>
      <w:bookmarkStart w:id="85" w:name="_Toc517441205"/>
      <w:r>
        <w:rPr>
          <w:rFonts w:hint="eastAsia" w:ascii="宋体" w:hAnsi="宋体"/>
          <w:color w:val="auto"/>
          <w:szCs w:val="24"/>
          <w:highlight w:val="none"/>
        </w:rPr>
        <w:t>6.1 评标委员会</w:t>
      </w:r>
      <w:bookmarkEnd w:id="85"/>
    </w:p>
    <w:p w14:paraId="51620C0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286EE76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6.1.2 评标委员会成员有下列情形之一的，应当回避：</w:t>
      </w:r>
    </w:p>
    <w:p w14:paraId="385BFAA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（1）投标人或投标人主要负责人的近亲属；</w:t>
      </w:r>
    </w:p>
    <w:p w14:paraId="59FD7E2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（2）项目主管部门或者行政监督部门的人员；</w:t>
      </w:r>
    </w:p>
    <w:p w14:paraId="17A039A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（3）与投标人有经济利益关系，可能影响对投标公正评审的；</w:t>
      </w:r>
    </w:p>
    <w:p w14:paraId="4CA6F48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（4）曾因在招标、评标以及其他与招标投标有关活动中从事违法行为而受过行政处罚或刑事处罚的；</w:t>
      </w:r>
    </w:p>
    <w:p w14:paraId="3B0C007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（5）与投标人有其他利害关系。</w:t>
      </w:r>
    </w:p>
    <w:p w14:paraId="5D286912">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14:paraId="2E66160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6.1.4</w:t>
      </w:r>
      <w:r>
        <w:rPr>
          <w:rFonts w:hint="eastAsia" w:ascii="宋体" w:hAnsi="宋体"/>
          <w:color w:val="auto"/>
          <w:sz w:val="24"/>
          <w:szCs w:val="24"/>
          <w:highlight w:val="none"/>
        </w:rPr>
        <w:t>评标委员会在开始评标前，应了解评标专家的职责及守则，认真阅读附件</w:t>
      </w:r>
      <w:r>
        <w:rPr>
          <w:rFonts w:hint="eastAsia" w:ascii="宋体" w:hAnsi="宋体"/>
          <w:color w:val="auto"/>
          <w:sz w:val="24"/>
          <w:szCs w:val="24"/>
          <w:highlight w:val="none"/>
          <w:lang w:val="en-US" w:eastAsia="zh-CN"/>
        </w:rPr>
        <w:t>五</w:t>
      </w:r>
      <w:r>
        <w:rPr>
          <w:rFonts w:hint="eastAsia" w:ascii="宋体" w:hAnsi="宋体"/>
          <w:color w:val="auto"/>
          <w:sz w:val="24"/>
          <w:szCs w:val="24"/>
          <w:highlight w:val="none"/>
        </w:rPr>
        <w:t>《评标委员会成员声明》的内容并签名，签字后方可进行评标。</w:t>
      </w:r>
    </w:p>
    <w:p w14:paraId="37770AB5">
      <w:pPr>
        <w:pStyle w:val="5"/>
        <w:spacing w:beforeLines="20" w:afterLines="20"/>
        <w:rPr>
          <w:rFonts w:ascii="宋体" w:hAnsi="宋体"/>
          <w:color w:val="auto"/>
          <w:szCs w:val="24"/>
          <w:highlight w:val="none"/>
        </w:rPr>
      </w:pPr>
      <w:bookmarkStart w:id="86" w:name="_Toc517441206"/>
      <w:r>
        <w:rPr>
          <w:rFonts w:hint="eastAsia" w:ascii="宋体" w:hAnsi="宋体"/>
          <w:color w:val="auto"/>
          <w:szCs w:val="24"/>
          <w:highlight w:val="none"/>
        </w:rPr>
        <w:t>6.2 评标原则</w:t>
      </w:r>
      <w:bookmarkEnd w:id="86"/>
    </w:p>
    <w:p w14:paraId="33F2CF0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评标活动遵循公平、公正、科学和择优的原则。</w:t>
      </w:r>
    </w:p>
    <w:p w14:paraId="0DE97E41">
      <w:pPr>
        <w:pStyle w:val="5"/>
        <w:spacing w:beforeLines="20" w:afterLines="20"/>
        <w:rPr>
          <w:rFonts w:ascii="宋体" w:hAnsi="宋体"/>
          <w:color w:val="auto"/>
          <w:szCs w:val="24"/>
          <w:highlight w:val="none"/>
        </w:rPr>
      </w:pPr>
      <w:bookmarkStart w:id="87" w:name="_Toc517441207"/>
      <w:r>
        <w:rPr>
          <w:rFonts w:hint="eastAsia" w:ascii="宋体" w:hAnsi="宋体"/>
          <w:color w:val="auto"/>
          <w:szCs w:val="24"/>
          <w:highlight w:val="none"/>
        </w:rPr>
        <w:t>6.3 评标</w:t>
      </w:r>
      <w:bookmarkEnd w:id="87"/>
    </w:p>
    <w:p w14:paraId="43BB314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6.3.1 评标委员会按照第三章“评标办法”规定的方法、评审因素、标准和程序对投标文件进行评审。第三章“评标办法”没有规定的方法、评审因素和标准，不作为评标依据。</w:t>
      </w:r>
    </w:p>
    <w:p w14:paraId="43D45EAE">
      <w:pPr>
        <w:spacing w:line="360" w:lineRule="auto"/>
        <w:ind w:firstLine="480" w:firstLineChars="200"/>
        <w:rPr>
          <w:rFonts w:ascii="宋体" w:hAnsi="宋体"/>
          <w:color w:val="auto"/>
          <w:sz w:val="24"/>
          <w:szCs w:val="24"/>
          <w:highlight w:val="none"/>
        </w:rPr>
      </w:pPr>
      <w:r>
        <w:rPr>
          <w:rFonts w:hint="eastAsia" w:ascii="宋体" w:hAnsi="宋体" w:cs="Courier New"/>
          <w:color w:val="auto"/>
          <w:sz w:val="24"/>
          <w:szCs w:val="24"/>
          <w:highlight w:val="none"/>
        </w:rPr>
        <w:t>6.3.2</w:t>
      </w:r>
      <w:r>
        <w:rPr>
          <w:rFonts w:hint="eastAsia" w:ascii="宋体" w:hAnsi="宋体" w:cs="宋体"/>
          <w:color w:val="auto"/>
          <w:kern w:val="0"/>
          <w:sz w:val="24"/>
          <w:szCs w:val="24"/>
          <w:highlight w:val="none"/>
          <w:lang w:val="zh-CN" w:bidi="zh-CN"/>
        </w:rPr>
        <w:t>评标</w:t>
      </w:r>
      <w:r>
        <w:rPr>
          <w:rFonts w:hint="eastAsia" w:ascii="宋体" w:hAnsi="宋体"/>
          <w:color w:val="auto"/>
          <w:sz w:val="24"/>
          <w:szCs w:val="24"/>
          <w:highlight w:val="none"/>
        </w:rPr>
        <w:t>完成</w:t>
      </w:r>
      <w:r>
        <w:rPr>
          <w:rFonts w:hint="eastAsia" w:ascii="宋体" w:hAnsi="宋体" w:cs="宋体"/>
          <w:color w:val="auto"/>
          <w:kern w:val="0"/>
          <w:sz w:val="24"/>
          <w:szCs w:val="24"/>
          <w:highlight w:val="none"/>
          <w:lang w:val="zh-CN" w:bidi="zh-CN"/>
        </w:rPr>
        <w:t>后，评标委员会应当向招标人提交书面评标报告和中标候选人名单。</w:t>
      </w:r>
      <w:r>
        <w:rPr>
          <w:rFonts w:hint="eastAsia" w:ascii="宋体" w:hAnsi="宋体"/>
          <w:color w:val="auto"/>
          <w:sz w:val="24"/>
          <w:szCs w:val="24"/>
          <w:highlight w:val="none"/>
        </w:rPr>
        <w:t>评标委员会推荐中标候选人的人数见投标人须知前附表。</w:t>
      </w:r>
    </w:p>
    <w:p w14:paraId="1C1E55FC">
      <w:pPr>
        <w:pStyle w:val="4"/>
        <w:rPr>
          <w:rFonts w:ascii="宋体" w:hAnsi="宋体" w:eastAsia="宋体"/>
          <w:color w:val="auto"/>
          <w:highlight w:val="none"/>
        </w:rPr>
      </w:pPr>
      <w:bookmarkStart w:id="88" w:name="_Toc517441208"/>
      <w:r>
        <w:rPr>
          <w:rFonts w:hint="eastAsia" w:ascii="宋体" w:hAnsi="宋体" w:eastAsia="宋体"/>
          <w:color w:val="auto"/>
          <w:highlight w:val="none"/>
        </w:rPr>
        <w:t>7. 合同授予</w:t>
      </w:r>
      <w:bookmarkEnd w:id="88"/>
    </w:p>
    <w:p w14:paraId="0C2D72D6">
      <w:pPr>
        <w:pStyle w:val="5"/>
        <w:spacing w:beforeLines="20" w:afterLines="20"/>
        <w:rPr>
          <w:rFonts w:ascii="宋体" w:hAnsi="宋体"/>
          <w:color w:val="auto"/>
          <w:szCs w:val="24"/>
          <w:highlight w:val="none"/>
        </w:rPr>
      </w:pPr>
      <w:bookmarkStart w:id="89" w:name="_Toc517441209"/>
      <w:r>
        <w:rPr>
          <w:rFonts w:hint="eastAsia" w:ascii="宋体" w:hAnsi="宋体"/>
          <w:color w:val="auto"/>
          <w:szCs w:val="24"/>
          <w:highlight w:val="none"/>
        </w:rPr>
        <w:t>7.1 中标候选人公示</w:t>
      </w:r>
      <w:bookmarkEnd w:id="89"/>
    </w:p>
    <w:p w14:paraId="50D2615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招标人在收到评标报告之日起 3 日内，按照投标人须知前附表规定的公示媒介和期限公示中标候选人，公示期不得少于 3 天。</w:t>
      </w:r>
    </w:p>
    <w:p w14:paraId="6ABF875D">
      <w:pPr>
        <w:pStyle w:val="5"/>
        <w:spacing w:beforeLines="20" w:afterLines="20"/>
        <w:rPr>
          <w:rFonts w:ascii="宋体" w:hAnsi="宋体"/>
          <w:color w:val="auto"/>
          <w:szCs w:val="24"/>
          <w:highlight w:val="none"/>
        </w:rPr>
      </w:pPr>
      <w:bookmarkStart w:id="90" w:name="_Toc517441210"/>
      <w:r>
        <w:rPr>
          <w:rFonts w:hint="eastAsia" w:ascii="宋体" w:hAnsi="宋体"/>
          <w:color w:val="auto"/>
          <w:szCs w:val="24"/>
          <w:highlight w:val="none"/>
        </w:rPr>
        <w:t>7.2 评标结果异议</w:t>
      </w:r>
      <w:bookmarkEnd w:id="90"/>
    </w:p>
    <w:p w14:paraId="434CE50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投标人或者其他利害关系人对评标结果有异议的，应当在中标候选人公示期间提出。招标人将在收到异议之日起 3 日内作出答复；作出答复前，将暂停招标投标活动。</w:t>
      </w:r>
    </w:p>
    <w:p w14:paraId="10EE0B09">
      <w:pPr>
        <w:pStyle w:val="5"/>
        <w:spacing w:beforeLines="20" w:afterLines="20"/>
        <w:rPr>
          <w:rFonts w:ascii="宋体" w:hAnsi="宋体"/>
          <w:color w:val="auto"/>
          <w:szCs w:val="24"/>
          <w:highlight w:val="none"/>
        </w:rPr>
      </w:pPr>
      <w:bookmarkStart w:id="91" w:name="_Toc517441211"/>
      <w:r>
        <w:rPr>
          <w:rFonts w:hint="eastAsia" w:ascii="宋体" w:hAnsi="宋体"/>
          <w:color w:val="auto"/>
          <w:szCs w:val="24"/>
          <w:highlight w:val="none"/>
        </w:rPr>
        <w:t>7.3 中标候选人履约能力审查</w:t>
      </w:r>
      <w:bookmarkEnd w:id="91"/>
    </w:p>
    <w:p w14:paraId="7950426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中标候选人的经营、财务状况发生较大变化或存在违法行为，招标人认为可能影响其履约 能力的，将在发出中标通知书前提请原评标委员会按照招标文件规定的标准和方法进行审查确认。</w:t>
      </w:r>
    </w:p>
    <w:p w14:paraId="6EB615E1">
      <w:pPr>
        <w:pStyle w:val="5"/>
        <w:spacing w:beforeLines="20" w:afterLines="20"/>
        <w:rPr>
          <w:rFonts w:ascii="宋体" w:hAnsi="宋体"/>
          <w:color w:val="auto"/>
          <w:szCs w:val="24"/>
          <w:highlight w:val="none"/>
        </w:rPr>
      </w:pPr>
      <w:bookmarkStart w:id="92" w:name="_Toc517441212"/>
      <w:r>
        <w:rPr>
          <w:rFonts w:hint="eastAsia" w:ascii="宋体" w:hAnsi="宋体"/>
          <w:color w:val="auto"/>
          <w:szCs w:val="24"/>
          <w:highlight w:val="none"/>
        </w:rPr>
        <w:t>7.4 定标</w:t>
      </w:r>
      <w:bookmarkEnd w:id="92"/>
    </w:p>
    <w:p w14:paraId="7D327D8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按照投标人须知前附表的规定，招标人或招标人授权的评标委员会依法确定中标人。</w:t>
      </w:r>
    </w:p>
    <w:p w14:paraId="24974CEE">
      <w:pPr>
        <w:pStyle w:val="5"/>
        <w:spacing w:beforeLines="20" w:afterLines="20"/>
        <w:rPr>
          <w:rFonts w:ascii="宋体" w:hAnsi="宋体"/>
          <w:color w:val="auto"/>
          <w:szCs w:val="24"/>
          <w:highlight w:val="none"/>
        </w:rPr>
      </w:pPr>
      <w:bookmarkStart w:id="93" w:name="_Toc517441213"/>
      <w:r>
        <w:rPr>
          <w:rFonts w:hint="eastAsia" w:ascii="宋体" w:hAnsi="宋体"/>
          <w:color w:val="auto"/>
          <w:szCs w:val="24"/>
          <w:highlight w:val="none"/>
        </w:rPr>
        <w:t>7.5 中标通知</w:t>
      </w:r>
      <w:bookmarkEnd w:id="93"/>
    </w:p>
    <w:p w14:paraId="16EA01E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在本章第 3.3 款规定的投标有效期内，招标人以书面形式向中标人发出中标通知书，同时将中标结果通知未中标的投标人。</w:t>
      </w:r>
    </w:p>
    <w:p w14:paraId="6390C5D8">
      <w:pPr>
        <w:pStyle w:val="5"/>
        <w:spacing w:beforeLines="20" w:afterLines="20"/>
        <w:rPr>
          <w:rFonts w:ascii="宋体" w:hAnsi="宋体"/>
          <w:color w:val="auto"/>
          <w:szCs w:val="24"/>
          <w:highlight w:val="none"/>
        </w:rPr>
      </w:pPr>
      <w:bookmarkStart w:id="94" w:name="_Toc517441214"/>
      <w:r>
        <w:rPr>
          <w:rFonts w:hint="eastAsia" w:ascii="宋体" w:hAnsi="宋体"/>
          <w:color w:val="auto"/>
          <w:szCs w:val="24"/>
          <w:highlight w:val="none"/>
        </w:rPr>
        <w:t>7.6 履约保证金</w:t>
      </w:r>
      <w:bookmarkEnd w:id="94"/>
    </w:p>
    <w:p w14:paraId="23B28BB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%。联合体中标的，其履约保证金以联合体各方或者联合体中牵头人的名义提交。</w:t>
      </w:r>
    </w:p>
    <w:p w14:paraId="5735AC5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7.6.2 中标人不能按本章第 7.6.1 项要求提交履约保证金的，视为放弃中标，</w:t>
      </w:r>
      <w:r>
        <w:rPr>
          <w:rFonts w:hint="eastAsia" w:ascii="宋体" w:hAnsi="宋体"/>
          <w:strike/>
          <w:color w:val="auto"/>
          <w:sz w:val="24"/>
          <w:szCs w:val="24"/>
          <w:highlight w:val="none"/>
        </w:rPr>
        <w:t>其投标保证金不予退还，</w:t>
      </w:r>
      <w:r>
        <w:rPr>
          <w:rFonts w:hint="eastAsia" w:ascii="宋体" w:hAnsi="宋体"/>
          <w:color w:val="auto"/>
          <w:sz w:val="24"/>
          <w:szCs w:val="24"/>
          <w:highlight w:val="none"/>
        </w:rPr>
        <w:t>给招标人造成的损失</w:t>
      </w:r>
      <w:r>
        <w:rPr>
          <w:rFonts w:hint="eastAsia" w:ascii="宋体" w:hAnsi="宋体"/>
          <w:strike/>
          <w:color w:val="auto"/>
          <w:sz w:val="24"/>
          <w:szCs w:val="24"/>
          <w:highlight w:val="none"/>
        </w:rPr>
        <w:t>超过投标保证金数额</w:t>
      </w:r>
      <w:r>
        <w:rPr>
          <w:rFonts w:hint="eastAsia" w:ascii="宋体" w:hAnsi="宋体"/>
          <w:color w:val="auto"/>
          <w:sz w:val="24"/>
          <w:szCs w:val="24"/>
          <w:highlight w:val="none"/>
        </w:rPr>
        <w:t>，中标人还应当</w:t>
      </w:r>
      <w:r>
        <w:rPr>
          <w:rFonts w:hint="eastAsia" w:ascii="宋体" w:hAnsi="宋体"/>
          <w:strike/>
          <w:color w:val="auto"/>
          <w:sz w:val="24"/>
          <w:szCs w:val="24"/>
          <w:highlight w:val="none"/>
        </w:rPr>
        <w:t>对超过部分</w:t>
      </w:r>
      <w:r>
        <w:rPr>
          <w:rFonts w:hint="eastAsia" w:ascii="宋体" w:hAnsi="宋体"/>
          <w:color w:val="auto"/>
          <w:sz w:val="24"/>
          <w:szCs w:val="24"/>
          <w:highlight w:val="none"/>
        </w:rPr>
        <w:t>予以赔偿。</w:t>
      </w:r>
    </w:p>
    <w:p w14:paraId="701EAF37">
      <w:pPr>
        <w:pStyle w:val="5"/>
        <w:spacing w:beforeLines="20" w:afterLines="20"/>
        <w:rPr>
          <w:rFonts w:ascii="宋体" w:hAnsi="宋体"/>
          <w:color w:val="auto"/>
          <w:szCs w:val="24"/>
          <w:highlight w:val="none"/>
        </w:rPr>
      </w:pPr>
      <w:bookmarkStart w:id="95" w:name="_Toc517441215"/>
      <w:r>
        <w:rPr>
          <w:rFonts w:hint="eastAsia" w:ascii="宋体" w:hAnsi="宋体"/>
          <w:color w:val="auto"/>
          <w:szCs w:val="24"/>
          <w:highlight w:val="none"/>
        </w:rPr>
        <w:t>7.7 签订合同</w:t>
      </w:r>
      <w:bookmarkEnd w:id="95"/>
    </w:p>
    <w:p w14:paraId="6F9E602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7.7.1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w:t>
      </w:r>
      <w:r>
        <w:rPr>
          <w:rFonts w:hint="eastAsia" w:ascii="宋体" w:hAnsi="宋体"/>
          <w:strike/>
          <w:color w:val="auto"/>
          <w:sz w:val="24"/>
          <w:szCs w:val="24"/>
          <w:highlight w:val="none"/>
        </w:rPr>
        <w:t>其投标保证金不予退还；</w:t>
      </w:r>
      <w:r>
        <w:rPr>
          <w:rFonts w:hint="eastAsia" w:ascii="宋体" w:hAnsi="宋体"/>
          <w:color w:val="auto"/>
          <w:sz w:val="24"/>
          <w:szCs w:val="24"/>
          <w:highlight w:val="none"/>
        </w:rPr>
        <w:t>给招标人造成的损失</w:t>
      </w:r>
      <w:r>
        <w:rPr>
          <w:rFonts w:hint="eastAsia" w:ascii="宋体" w:hAnsi="宋体"/>
          <w:strike/>
          <w:color w:val="auto"/>
          <w:sz w:val="24"/>
          <w:szCs w:val="24"/>
          <w:highlight w:val="none"/>
        </w:rPr>
        <w:t>超过投标保证金数额</w:t>
      </w:r>
      <w:r>
        <w:rPr>
          <w:rFonts w:hint="eastAsia" w:ascii="宋体" w:hAnsi="宋体"/>
          <w:color w:val="auto"/>
          <w:sz w:val="24"/>
          <w:szCs w:val="24"/>
          <w:highlight w:val="none"/>
        </w:rPr>
        <w:t>的，中标人还应当</w:t>
      </w:r>
      <w:r>
        <w:rPr>
          <w:rFonts w:hint="eastAsia" w:ascii="宋体" w:hAnsi="宋体"/>
          <w:strike/>
          <w:color w:val="auto"/>
          <w:sz w:val="24"/>
          <w:szCs w:val="24"/>
          <w:highlight w:val="none"/>
        </w:rPr>
        <w:t>对超过部分</w:t>
      </w:r>
      <w:r>
        <w:rPr>
          <w:rFonts w:hint="eastAsia" w:ascii="宋体" w:hAnsi="宋体"/>
          <w:color w:val="auto"/>
          <w:sz w:val="24"/>
          <w:szCs w:val="24"/>
          <w:highlight w:val="none"/>
        </w:rPr>
        <w:t>予以赔偿。</w:t>
      </w:r>
    </w:p>
    <w:p w14:paraId="3C988E7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7.7.2 发出中标通知书后，招标人无正当理由拒签合同，或者在签订合同时向中标人提出附加条件的，</w:t>
      </w:r>
      <w:r>
        <w:rPr>
          <w:rFonts w:hint="eastAsia" w:ascii="宋体" w:hAnsi="宋体"/>
          <w:strike/>
          <w:color w:val="auto"/>
          <w:sz w:val="24"/>
          <w:szCs w:val="24"/>
          <w:highlight w:val="none"/>
        </w:rPr>
        <w:t>招标人向中标人退还投标保证金；</w:t>
      </w:r>
      <w:r>
        <w:rPr>
          <w:rFonts w:hint="eastAsia" w:ascii="宋体" w:hAnsi="宋体"/>
          <w:color w:val="auto"/>
          <w:sz w:val="24"/>
          <w:szCs w:val="24"/>
          <w:highlight w:val="none"/>
        </w:rPr>
        <w:t>给中标人造成损失的，还应当赔偿损失。</w:t>
      </w:r>
    </w:p>
    <w:p w14:paraId="0472AFCF">
      <w:pPr>
        <w:spacing w:line="360" w:lineRule="auto"/>
        <w:ind w:firstLine="480" w:firstLineChars="200"/>
        <w:rPr>
          <w:rFonts w:ascii="宋体" w:hAnsi="宋体"/>
          <w:strike/>
          <w:color w:val="auto"/>
          <w:sz w:val="24"/>
          <w:szCs w:val="24"/>
          <w:highlight w:val="none"/>
        </w:rPr>
      </w:pPr>
      <w:r>
        <w:rPr>
          <w:rFonts w:hint="eastAsia" w:ascii="宋体" w:hAnsi="宋体"/>
          <w:strike/>
          <w:color w:val="auto"/>
          <w:sz w:val="24"/>
          <w:szCs w:val="24"/>
          <w:highlight w:val="none"/>
        </w:rPr>
        <w:t>7.7.3 联合体中标的，联合体各方应当共同与招标人签订合同，就中标项目向招标人承担连带责任。</w:t>
      </w:r>
    </w:p>
    <w:p w14:paraId="4BDB43B3">
      <w:pPr>
        <w:pStyle w:val="4"/>
        <w:rPr>
          <w:rFonts w:ascii="宋体" w:hAnsi="宋体" w:eastAsia="宋体"/>
          <w:color w:val="auto"/>
          <w:highlight w:val="none"/>
        </w:rPr>
      </w:pPr>
      <w:bookmarkStart w:id="96" w:name="_Toc517441216"/>
      <w:r>
        <w:rPr>
          <w:rFonts w:hint="eastAsia" w:ascii="宋体" w:hAnsi="宋体" w:eastAsia="宋体"/>
          <w:color w:val="auto"/>
          <w:highlight w:val="none"/>
        </w:rPr>
        <w:t>8. 纪律和监督</w:t>
      </w:r>
      <w:bookmarkEnd w:id="96"/>
    </w:p>
    <w:p w14:paraId="398EC6B9">
      <w:pPr>
        <w:pStyle w:val="5"/>
        <w:spacing w:beforeLines="20" w:afterLines="20"/>
        <w:rPr>
          <w:rFonts w:ascii="宋体" w:hAnsi="宋体"/>
          <w:color w:val="auto"/>
          <w:szCs w:val="24"/>
          <w:highlight w:val="none"/>
        </w:rPr>
      </w:pPr>
      <w:bookmarkStart w:id="97" w:name="_Toc517441217"/>
      <w:r>
        <w:rPr>
          <w:rFonts w:hint="eastAsia" w:ascii="宋体" w:hAnsi="宋体"/>
          <w:color w:val="auto"/>
          <w:szCs w:val="24"/>
          <w:highlight w:val="none"/>
        </w:rPr>
        <w:t>8.1 对招标人的纪律要求</w:t>
      </w:r>
      <w:bookmarkEnd w:id="97"/>
    </w:p>
    <w:p w14:paraId="2B8DC31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招标人不得泄露招标投标活动中应当保密的情况和资料，不得与投标人串通损害国家利益、社会公共利益或者他人合法权益。</w:t>
      </w:r>
    </w:p>
    <w:p w14:paraId="14B62735">
      <w:pPr>
        <w:pStyle w:val="5"/>
        <w:spacing w:beforeLines="20" w:afterLines="20"/>
        <w:rPr>
          <w:rFonts w:ascii="宋体" w:hAnsi="宋体"/>
          <w:color w:val="auto"/>
          <w:szCs w:val="24"/>
          <w:highlight w:val="none"/>
        </w:rPr>
      </w:pPr>
      <w:bookmarkStart w:id="98" w:name="_Toc517441218"/>
      <w:r>
        <w:rPr>
          <w:rFonts w:hint="eastAsia" w:ascii="宋体" w:hAnsi="宋体"/>
          <w:color w:val="auto"/>
          <w:szCs w:val="24"/>
          <w:highlight w:val="none"/>
        </w:rPr>
        <w:t>8.2 对投标人的纪律要求</w:t>
      </w:r>
      <w:bookmarkEnd w:id="98"/>
    </w:p>
    <w:p w14:paraId="028D41E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9BA175D">
      <w:pPr>
        <w:pStyle w:val="5"/>
        <w:spacing w:beforeLines="20" w:afterLines="20"/>
        <w:rPr>
          <w:rFonts w:ascii="宋体" w:hAnsi="宋体"/>
          <w:color w:val="auto"/>
          <w:szCs w:val="24"/>
          <w:highlight w:val="none"/>
        </w:rPr>
      </w:pPr>
      <w:bookmarkStart w:id="99" w:name="_Toc517441219"/>
      <w:r>
        <w:rPr>
          <w:rFonts w:hint="eastAsia" w:ascii="宋体" w:hAnsi="宋体"/>
          <w:color w:val="auto"/>
          <w:szCs w:val="24"/>
          <w:highlight w:val="none"/>
        </w:rPr>
        <w:t>8.3 对评标委员会成员的纪律要求</w:t>
      </w:r>
      <w:bookmarkEnd w:id="99"/>
    </w:p>
    <w:p w14:paraId="1C32771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11498B19">
      <w:pPr>
        <w:pStyle w:val="5"/>
        <w:spacing w:beforeLines="20" w:afterLines="20"/>
        <w:rPr>
          <w:rFonts w:ascii="宋体" w:hAnsi="宋体"/>
          <w:color w:val="auto"/>
          <w:szCs w:val="24"/>
          <w:highlight w:val="none"/>
        </w:rPr>
      </w:pPr>
      <w:bookmarkStart w:id="100" w:name="_Toc517441220"/>
      <w:r>
        <w:rPr>
          <w:rFonts w:hint="eastAsia" w:ascii="宋体" w:hAnsi="宋体"/>
          <w:color w:val="auto"/>
          <w:szCs w:val="24"/>
          <w:highlight w:val="none"/>
        </w:rPr>
        <w:t>8.4 对与评标活动有关的工作人员的纪律要求</w:t>
      </w:r>
      <w:bookmarkEnd w:id="100"/>
    </w:p>
    <w:p w14:paraId="3E22586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71F42874">
      <w:pPr>
        <w:pStyle w:val="5"/>
        <w:spacing w:beforeLines="20" w:afterLines="20"/>
        <w:rPr>
          <w:rFonts w:ascii="宋体" w:hAnsi="宋体"/>
          <w:color w:val="auto"/>
          <w:szCs w:val="24"/>
          <w:highlight w:val="none"/>
        </w:rPr>
      </w:pPr>
      <w:bookmarkStart w:id="101" w:name="_Toc517441221"/>
      <w:r>
        <w:rPr>
          <w:rFonts w:hint="eastAsia" w:ascii="宋体" w:hAnsi="宋体"/>
          <w:color w:val="auto"/>
          <w:szCs w:val="24"/>
          <w:highlight w:val="none"/>
        </w:rPr>
        <w:t>8.5 投诉</w:t>
      </w:r>
      <w:bookmarkEnd w:id="101"/>
    </w:p>
    <w:p w14:paraId="2ADB1B5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8.5.1 投标人或者其他利害关系人认为招标投标活动不符合法律、行政法规规定的，可以自知道或者应当知道之日起 10 日内向有关行政监督部门投诉。投诉应当有明确的请求和必要的证明材料。</w:t>
      </w:r>
    </w:p>
    <w:p w14:paraId="7A89CE7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8.5.2 投标人或者其他利害关系人对招标文件、开标和评标结果提出投诉的，应当按照投标人须知第 2.4 款、第 5.3 款和第 7.2 款的规定先向招标人提出异议。异议答复期间不计算在第 8.5.1项规定的期限内。</w:t>
      </w:r>
    </w:p>
    <w:p w14:paraId="0B8B6D9F">
      <w:pPr>
        <w:pStyle w:val="4"/>
        <w:rPr>
          <w:rFonts w:ascii="宋体" w:hAnsi="宋体" w:eastAsia="宋体"/>
          <w:color w:val="auto"/>
          <w:highlight w:val="none"/>
        </w:rPr>
      </w:pPr>
      <w:bookmarkStart w:id="102" w:name="_Toc517441222"/>
      <w:r>
        <w:rPr>
          <w:rFonts w:hint="eastAsia" w:ascii="宋体" w:hAnsi="宋体" w:eastAsia="宋体"/>
          <w:color w:val="auto"/>
          <w:highlight w:val="none"/>
        </w:rPr>
        <w:t>9. 是否采用电子招标投标</w:t>
      </w:r>
      <w:bookmarkEnd w:id="102"/>
    </w:p>
    <w:p w14:paraId="09AE332F">
      <w:pPr>
        <w:spacing w:line="360" w:lineRule="auto"/>
        <w:ind w:firstLine="480" w:firstLineChars="200"/>
        <w:rPr>
          <w:rFonts w:ascii="宋体" w:hAnsi="宋体"/>
          <w:color w:val="auto"/>
          <w:highlight w:val="none"/>
        </w:rPr>
      </w:pPr>
      <w:r>
        <w:rPr>
          <w:rFonts w:hint="eastAsia" w:ascii="宋体" w:hAnsi="宋体"/>
          <w:color w:val="auto"/>
          <w:sz w:val="24"/>
          <w:szCs w:val="24"/>
          <w:highlight w:val="none"/>
        </w:rPr>
        <w:t>本招标项目是否采用电子招标投标方式，见投标人须知前附表。</w:t>
      </w:r>
    </w:p>
    <w:p w14:paraId="00191D85">
      <w:pPr>
        <w:pStyle w:val="4"/>
        <w:rPr>
          <w:rFonts w:ascii="宋体" w:hAnsi="宋体" w:eastAsia="宋体"/>
          <w:color w:val="auto"/>
          <w:highlight w:val="none"/>
        </w:rPr>
      </w:pPr>
      <w:bookmarkStart w:id="103" w:name="_Toc517441223"/>
      <w:r>
        <w:rPr>
          <w:rFonts w:hint="eastAsia" w:ascii="宋体" w:hAnsi="宋体" w:eastAsia="宋体"/>
          <w:color w:val="auto"/>
          <w:highlight w:val="none"/>
        </w:rPr>
        <w:t>10. 需要补充的其他内容</w:t>
      </w:r>
      <w:bookmarkEnd w:id="103"/>
    </w:p>
    <w:p w14:paraId="5519CB4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需要补充的其他内容：见投标人须知前附表。</w:t>
      </w:r>
    </w:p>
    <w:p w14:paraId="6C59629D">
      <w:pPr>
        <w:pStyle w:val="4"/>
        <w:ind w:firstLine="118"/>
        <w:rPr>
          <w:bCs/>
          <w:color w:val="auto"/>
          <w:sz w:val="28"/>
          <w:highlight w:val="none"/>
        </w:rPr>
      </w:pPr>
      <w:r>
        <w:rPr>
          <w:rFonts w:ascii="宋体" w:hAnsi="宋体" w:eastAsia="宋体"/>
          <w:color w:val="auto"/>
          <w:highlight w:val="none"/>
        </w:rPr>
        <w:br w:type="page"/>
      </w:r>
      <w:bookmarkStart w:id="104" w:name="_Toc524038545"/>
      <w:r>
        <w:rPr>
          <w:bCs/>
          <w:color w:val="auto"/>
          <w:sz w:val="28"/>
          <w:highlight w:val="none"/>
        </w:rPr>
        <w:t>附件一：开标记录表</w:t>
      </w:r>
      <w:bookmarkEnd w:id="104"/>
      <w:r>
        <w:rPr>
          <w:rFonts w:hint="eastAsia" w:ascii="黑体" w:hAnsi="黑体"/>
          <w:color w:val="auto"/>
          <w:sz w:val="28"/>
          <w:highlight w:val="none"/>
        </w:rPr>
        <w:t>(具体格式以电子交易平台格式为准）</w:t>
      </w:r>
    </w:p>
    <w:p w14:paraId="1859E582">
      <w:pPr>
        <w:spacing w:line="440" w:lineRule="exact"/>
        <w:jc w:val="center"/>
        <w:rPr>
          <w:rFonts w:eastAsia="黑体"/>
          <w:color w:val="auto"/>
          <w:sz w:val="28"/>
          <w:highlight w:val="none"/>
        </w:rPr>
      </w:pPr>
      <w:r>
        <w:rPr>
          <w:rFonts w:eastAsia="黑体"/>
          <w:color w:val="auto"/>
          <w:sz w:val="28"/>
          <w:highlight w:val="none"/>
        </w:rPr>
        <w:t>开标记录表</w:t>
      </w:r>
    </w:p>
    <w:p w14:paraId="4D59175E">
      <w:pPr>
        <w:spacing w:beforeLines="50" w:afterLines="50" w:line="400" w:lineRule="exact"/>
        <w:ind w:right="420"/>
        <w:jc w:val="right"/>
        <w:rPr>
          <w:color w:val="auto"/>
          <w:sz w:val="24"/>
          <w:szCs w:val="24"/>
          <w:highlight w:val="none"/>
        </w:rPr>
      </w:pPr>
      <w:r>
        <w:rPr>
          <w:color w:val="auto"/>
          <w:sz w:val="24"/>
          <w:szCs w:val="24"/>
          <w:highlight w:val="none"/>
        </w:rPr>
        <w:t>开标时间：年月日时分</w:t>
      </w:r>
    </w:p>
    <w:p w14:paraId="4AAF479E">
      <w:pPr>
        <w:spacing w:beforeLines="50" w:afterLines="50" w:line="400" w:lineRule="exact"/>
        <w:ind w:right="420"/>
        <w:jc w:val="right"/>
        <w:rPr>
          <w:color w:val="auto"/>
          <w:sz w:val="24"/>
          <w:szCs w:val="24"/>
          <w:highlight w:val="none"/>
        </w:rPr>
      </w:pPr>
    </w:p>
    <w:tbl>
      <w:tblPr>
        <w:tblStyle w:val="30"/>
        <w:tblW w:w="0" w:type="auto"/>
        <w:jc w:val="center"/>
        <w:tblLayout w:type="fixed"/>
        <w:tblCellMar>
          <w:top w:w="0" w:type="dxa"/>
          <w:left w:w="108" w:type="dxa"/>
          <w:bottom w:w="0" w:type="dxa"/>
          <w:right w:w="108" w:type="dxa"/>
        </w:tblCellMar>
      </w:tblPr>
      <w:tblGrid>
        <w:gridCol w:w="553"/>
        <w:gridCol w:w="1026"/>
        <w:gridCol w:w="1255"/>
        <w:gridCol w:w="1003"/>
        <w:gridCol w:w="1034"/>
        <w:gridCol w:w="1150"/>
        <w:gridCol w:w="1283"/>
        <w:gridCol w:w="817"/>
        <w:gridCol w:w="1350"/>
      </w:tblGrid>
      <w:tr w14:paraId="3D5F4FFC">
        <w:tblPrEx>
          <w:tblCellMar>
            <w:top w:w="0" w:type="dxa"/>
            <w:left w:w="108" w:type="dxa"/>
            <w:bottom w:w="0" w:type="dxa"/>
            <w:right w:w="108" w:type="dxa"/>
          </w:tblCellMar>
        </w:tblPrEx>
        <w:trPr>
          <w:trHeight w:val="1530" w:hRule="atLeast"/>
          <w:jc w:val="center"/>
        </w:trPr>
        <w:tc>
          <w:tcPr>
            <w:tcW w:w="553" w:type="dxa"/>
            <w:tcBorders>
              <w:top w:val="single" w:color="auto" w:sz="4" w:space="0"/>
              <w:left w:val="single" w:color="auto" w:sz="4" w:space="0"/>
              <w:bottom w:val="single" w:color="auto" w:sz="4" w:space="0"/>
              <w:right w:val="single" w:color="auto" w:sz="4" w:space="0"/>
            </w:tcBorders>
            <w:noWrap/>
            <w:vAlign w:val="center"/>
          </w:tcPr>
          <w:p w14:paraId="13805507">
            <w:pPr>
              <w:spacing w:line="500" w:lineRule="exact"/>
              <w:jc w:val="center"/>
              <w:rPr>
                <w:color w:val="auto"/>
                <w:sz w:val="24"/>
                <w:szCs w:val="24"/>
                <w:highlight w:val="none"/>
              </w:rPr>
            </w:pPr>
            <w:r>
              <w:rPr>
                <w:color w:val="auto"/>
                <w:sz w:val="24"/>
                <w:szCs w:val="24"/>
                <w:highlight w:val="none"/>
              </w:rPr>
              <w:t>序号</w:t>
            </w:r>
          </w:p>
        </w:tc>
        <w:tc>
          <w:tcPr>
            <w:tcW w:w="1026" w:type="dxa"/>
            <w:tcBorders>
              <w:top w:val="single" w:color="auto" w:sz="4" w:space="0"/>
              <w:left w:val="single" w:color="auto" w:sz="4" w:space="0"/>
              <w:bottom w:val="single" w:color="auto" w:sz="4" w:space="0"/>
              <w:right w:val="single" w:color="auto" w:sz="4" w:space="0"/>
            </w:tcBorders>
            <w:noWrap/>
            <w:vAlign w:val="center"/>
          </w:tcPr>
          <w:p w14:paraId="2D522ED2">
            <w:pPr>
              <w:spacing w:line="500" w:lineRule="exact"/>
              <w:jc w:val="center"/>
              <w:rPr>
                <w:color w:val="auto"/>
                <w:sz w:val="24"/>
                <w:szCs w:val="24"/>
                <w:highlight w:val="none"/>
              </w:rPr>
            </w:pPr>
            <w:r>
              <w:rPr>
                <w:color w:val="auto"/>
                <w:sz w:val="24"/>
                <w:szCs w:val="24"/>
                <w:highlight w:val="none"/>
              </w:rPr>
              <w:t>投标人</w:t>
            </w:r>
          </w:p>
        </w:tc>
        <w:tc>
          <w:tcPr>
            <w:tcW w:w="1255" w:type="dxa"/>
            <w:tcBorders>
              <w:top w:val="single" w:color="auto" w:sz="4" w:space="0"/>
              <w:left w:val="single" w:color="auto" w:sz="4" w:space="0"/>
              <w:bottom w:val="single" w:color="auto" w:sz="4" w:space="0"/>
              <w:right w:val="single" w:color="auto" w:sz="4" w:space="0"/>
            </w:tcBorders>
            <w:noWrap/>
            <w:vAlign w:val="center"/>
          </w:tcPr>
          <w:p w14:paraId="3F8BF0EA">
            <w:pPr>
              <w:spacing w:line="500" w:lineRule="exact"/>
              <w:jc w:val="center"/>
              <w:rPr>
                <w:color w:val="auto"/>
                <w:sz w:val="24"/>
                <w:szCs w:val="24"/>
                <w:highlight w:val="none"/>
              </w:rPr>
            </w:pPr>
            <w:r>
              <w:rPr>
                <w:color w:val="auto"/>
                <w:sz w:val="24"/>
                <w:szCs w:val="24"/>
                <w:highlight w:val="none"/>
              </w:rPr>
              <w:t>投标</w:t>
            </w:r>
            <w:r>
              <w:rPr>
                <w:rFonts w:hint="eastAsia"/>
                <w:color w:val="auto"/>
                <w:sz w:val="24"/>
                <w:szCs w:val="24"/>
                <w:highlight w:val="none"/>
              </w:rPr>
              <w:t>总</w:t>
            </w:r>
          </w:p>
          <w:p w14:paraId="2C5D8365">
            <w:pPr>
              <w:spacing w:line="500" w:lineRule="exact"/>
              <w:jc w:val="center"/>
              <w:rPr>
                <w:color w:val="auto"/>
                <w:sz w:val="24"/>
                <w:szCs w:val="24"/>
                <w:highlight w:val="none"/>
              </w:rPr>
            </w:pPr>
            <w:r>
              <w:rPr>
                <w:color w:val="auto"/>
                <w:sz w:val="24"/>
                <w:szCs w:val="24"/>
                <w:highlight w:val="none"/>
              </w:rPr>
              <w:t>报价</w:t>
            </w:r>
          </w:p>
          <w:p w14:paraId="5CD5620C">
            <w:pPr>
              <w:spacing w:line="500" w:lineRule="exact"/>
              <w:jc w:val="center"/>
              <w:rPr>
                <w:color w:val="auto"/>
                <w:sz w:val="24"/>
                <w:szCs w:val="24"/>
                <w:highlight w:val="none"/>
              </w:rPr>
            </w:pPr>
            <w:r>
              <w:rPr>
                <w:color w:val="auto"/>
                <w:sz w:val="24"/>
                <w:szCs w:val="24"/>
                <w:highlight w:val="none"/>
              </w:rPr>
              <w:t>（元）</w:t>
            </w:r>
          </w:p>
        </w:tc>
        <w:tc>
          <w:tcPr>
            <w:tcW w:w="1003" w:type="dxa"/>
            <w:tcBorders>
              <w:top w:val="single" w:color="auto" w:sz="4" w:space="0"/>
              <w:left w:val="single" w:color="auto" w:sz="4" w:space="0"/>
              <w:bottom w:val="single" w:color="auto" w:sz="4" w:space="0"/>
              <w:right w:val="single" w:color="auto" w:sz="4" w:space="0"/>
            </w:tcBorders>
            <w:noWrap/>
            <w:vAlign w:val="center"/>
          </w:tcPr>
          <w:p w14:paraId="4419A666">
            <w:pPr>
              <w:spacing w:line="500" w:lineRule="exact"/>
              <w:jc w:val="center"/>
              <w:rPr>
                <w:color w:val="auto"/>
                <w:sz w:val="24"/>
                <w:szCs w:val="24"/>
                <w:highlight w:val="none"/>
              </w:rPr>
            </w:pPr>
            <w:r>
              <w:rPr>
                <w:color w:val="auto"/>
                <w:sz w:val="24"/>
                <w:szCs w:val="24"/>
                <w:highlight w:val="none"/>
              </w:rPr>
              <w:t>总监理工程师</w:t>
            </w:r>
          </w:p>
        </w:tc>
        <w:tc>
          <w:tcPr>
            <w:tcW w:w="1034" w:type="dxa"/>
            <w:tcBorders>
              <w:top w:val="single" w:color="auto" w:sz="4" w:space="0"/>
              <w:left w:val="single" w:color="auto" w:sz="4" w:space="0"/>
              <w:bottom w:val="single" w:color="auto" w:sz="4" w:space="0"/>
              <w:right w:val="single" w:color="auto" w:sz="4" w:space="0"/>
            </w:tcBorders>
            <w:noWrap/>
            <w:vAlign w:val="center"/>
          </w:tcPr>
          <w:p w14:paraId="1D05C18F">
            <w:pPr>
              <w:spacing w:line="500" w:lineRule="exact"/>
              <w:jc w:val="center"/>
              <w:rPr>
                <w:color w:val="auto"/>
                <w:sz w:val="24"/>
                <w:szCs w:val="24"/>
                <w:highlight w:val="none"/>
              </w:rPr>
            </w:pPr>
            <w:r>
              <w:rPr>
                <w:color w:val="auto"/>
                <w:sz w:val="24"/>
                <w:szCs w:val="24"/>
                <w:highlight w:val="none"/>
              </w:rPr>
              <w:t>监理服务期限</w:t>
            </w:r>
          </w:p>
        </w:tc>
        <w:tc>
          <w:tcPr>
            <w:tcW w:w="1150" w:type="dxa"/>
            <w:tcBorders>
              <w:top w:val="single" w:color="auto" w:sz="4" w:space="0"/>
              <w:left w:val="single" w:color="auto" w:sz="4" w:space="0"/>
              <w:bottom w:val="single" w:color="auto" w:sz="4" w:space="0"/>
              <w:right w:val="single" w:color="auto" w:sz="4" w:space="0"/>
            </w:tcBorders>
            <w:noWrap/>
            <w:vAlign w:val="center"/>
          </w:tcPr>
          <w:p w14:paraId="5284CAFC">
            <w:pPr>
              <w:spacing w:line="500" w:lineRule="exact"/>
              <w:jc w:val="center"/>
              <w:rPr>
                <w:color w:val="auto"/>
                <w:sz w:val="24"/>
                <w:szCs w:val="24"/>
                <w:highlight w:val="none"/>
              </w:rPr>
            </w:pPr>
            <w:r>
              <w:rPr>
                <w:rFonts w:hint="eastAsia"/>
                <w:color w:val="auto"/>
                <w:sz w:val="24"/>
                <w:szCs w:val="24"/>
                <w:highlight w:val="none"/>
              </w:rPr>
              <w:t>投标文件递交情况</w:t>
            </w:r>
          </w:p>
        </w:tc>
        <w:tc>
          <w:tcPr>
            <w:tcW w:w="1283" w:type="dxa"/>
            <w:tcBorders>
              <w:top w:val="single" w:color="auto" w:sz="4" w:space="0"/>
              <w:left w:val="single" w:color="auto" w:sz="4" w:space="0"/>
              <w:bottom w:val="single" w:color="auto" w:sz="4" w:space="0"/>
              <w:right w:val="single" w:color="auto" w:sz="4" w:space="0"/>
            </w:tcBorders>
            <w:noWrap/>
            <w:vAlign w:val="center"/>
          </w:tcPr>
          <w:p w14:paraId="1C5B50A4">
            <w:pPr>
              <w:spacing w:line="500" w:lineRule="exact"/>
              <w:jc w:val="center"/>
              <w:rPr>
                <w:color w:val="auto"/>
                <w:sz w:val="24"/>
                <w:szCs w:val="24"/>
                <w:highlight w:val="none"/>
              </w:rPr>
            </w:pPr>
            <w:r>
              <w:rPr>
                <w:rFonts w:hint="eastAsia"/>
                <w:color w:val="auto"/>
                <w:sz w:val="24"/>
                <w:szCs w:val="24"/>
                <w:highlight w:val="none"/>
              </w:rPr>
              <w:t>投标文件解密情况</w:t>
            </w:r>
          </w:p>
        </w:tc>
        <w:tc>
          <w:tcPr>
            <w:tcW w:w="817" w:type="dxa"/>
            <w:tcBorders>
              <w:top w:val="single" w:color="auto" w:sz="4" w:space="0"/>
              <w:left w:val="single" w:color="auto" w:sz="4" w:space="0"/>
              <w:bottom w:val="single" w:color="auto" w:sz="4" w:space="0"/>
              <w:right w:val="single" w:color="auto" w:sz="4" w:space="0"/>
            </w:tcBorders>
            <w:noWrap/>
            <w:vAlign w:val="center"/>
          </w:tcPr>
          <w:p w14:paraId="79FE0B0D">
            <w:pPr>
              <w:spacing w:line="500" w:lineRule="exact"/>
              <w:jc w:val="center"/>
              <w:rPr>
                <w:color w:val="auto"/>
                <w:sz w:val="24"/>
                <w:szCs w:val="24"/>
                <w:highlight w:val="none"/>
              </w:rPr>
            </w:pPr>
            <w:r>
              <w:rPr>
                <w:color w:val="auto"/>
                <w:sz w:val="24"/>
                <w:szCs w:val="24"/>
                <w:highlight w:val="none"/>
              </w:rPr>
              <w:t>备注</w:t>
            </w:r>
          </w:p>
        </w:tc>
        <w:tc>
          <w:tcPr>
            <w:tcW w:w="1350" w:type="dxa"/>
            <w:tcBorders>
              <w:top w:val="single" w:color="auto" w:sz="4" w:space="0"/>
              <w:left w:val="single" w:color="auto" w:sz="4" w:space="0"/>
              <w:bottom w:val="single" w:color="auto" w:sz="4" w:space="0"/>
              <w:right w:val="single" w:color="auto" w:sz="4" w:space="0"/>
            </w:tcBorders>
            <w:noWrap/>
            <w:vAlign w:val="center"/>
          </w:tcPr>
          <w:p w14:paraId="3B8C7C58">
            <w:pPr>
              <w:spacing w:line="500" w:lineRule="exact"/>
              <w:jc w:val="center"/>
              <w:rPr>
                <w:color w:val="auto"/>
                <w:sz w:val="24"/>
                <w:szCs w:val="24"/>
                <w:highlight w:val="none"/>
              </w:rPr>
            </w:pPr>
            <w:r>
              <w:rPr>
                <w:color w:val="auto"/>
                <w:sz w:val="24"/>
                <w:szCs w:val="24"/>
                <w:highlight w:val="none"/>
              </w:rPr>
              <w:t>投标人代表签名</w:t>
            </w:r>
          </w:p>
        </w:tc>
      </w:tr>
      <w:tr w14:paraId="76CC7EAC">
        <w:tblPrEx>
          <w:tblCellMar>
            <w:top w:w="0" w:type="dxa"/>
            <w:left w:w="108" w:type="dxa"/>
            <w:bottom w:w="0" w:type="dxa"/>
            <w:right w:w="108" w:type="dxa"/>
          </w:tblCellMar>
        </w:tblPrEx>
        <w:trPr>
          <w:trHeight w:val="517" w:hRule="atLeast"/>
          <w:jc w:val="center"/>
        </w:trPr>
        <w:tc>
          <w:tcPr>
            <w:tcW w:w="553" w:type="dxa"/>
            <w:tcBorders>
              <w:top w:val="single" w:color="auto" w:sz="4" w:space="0"/>
              <w:left w:val="single" w:color="auto" w:sz="4" w:space="0"/>
              <w:bottom w:val="single" w:color="auto" w:sz="4" w:space="0"/>
              <w:right w:val="single" w:color="auto" w:sz="4" w:space="0"/>
            </w:tcBorders>
            <w:noWrap/>
            <w:vAlign w:val="center"/>
          </w:tcPr>
          <w:p w14:paraId="19DD31ED">
            <w:pPr>
              <w:spacing w:line="500" w:lineRule="exact"/>
              <w:jc w:val="center"/>
              <w:rPr>
                <w:color w:val="auto"/>
                <w:sz w:val="24"/>
                <w:szCs w:val="24"/>
                <w:highlight w:val="none"/>
              </w:rPr>
            </w:pPr>
          </w:p>
        </w:tc>
        <w:tc>
          <w:tcPr>
            <w:tcW w:w="1026" w:type="dxa"/>
            <w:tcBorders>
              <w:top w:val="single" w:color="auto" w:sz="4" w:space="0"/>
              <w:left w:val="single" w:color="auto" w:sz="4" w:space="0"/>
              <w:bottom w:val="single" w:color="auto" w:sz="4" w:space="0"/>
              <w:right w:val="single" w:color="auto" w:sz="4" w:space="0"/>
            </w:tcBorders>
            <w:noWrap/>
            <w:vAlign w:val="center"/>
          </w:tcPr>
          <w:p w14:paraId="3A5AB90F">
            <w:pPr>
              <w:spacing w:line="500" w:lineRule="exact"/>
              <w:jc w:val="center"/>
              <w:rPr>
                <w:color w:val="auto"/>
                <w:sz w:val="24"/>
                <w:szCs w:val="24"/>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7401CE33">
            <w:pPr>
              <w:spacing w:line="500" w:lineRule="exact"/>
              <w:jc w:val="center"/>
              <w:rPr>
                <w:color w:val="auto"/>
                <w:sz w:val="24"/>
                <w:szCs w:val="24"/>
                <w:highlight w:val="none"/>
              </w:rPr>
            </w:pPr>
          </w:p>
        </w:tc>
        <w:tc>
          <w:tcPr>
            <w:tcW w:w="1003" w:type="dxa"/>
            <w:tcBorders>
              <w:top w:val="single" w:color="auto" w:sz="4" w:space="0"/>
              <w:left w:val="single" w:color="auto" w:sz="4" w:space="0"/>
              <w:bottom w:val="single" w:color="auto" w:sz="4" w:space="0"/>
              <w:right w:val="single" w:color="auto" w:sz="4" w:space="0"/>
            </w:tcBorders>
            <w:noWrap/>
            <w:vAlign w:val="center"/>
          </w:tcPr>
          <w:p w14:paraId="7BB490FC">
            <w:pPr>
              <w:spacing w:line="500" w:lineRule="exact"/>
              <w:jc w:val="center"/>
              <w:rPr>
                <w:color w:val="auto"/>
                <w:sz w:val="24"/>
                <w:szCs w:val="24"/>
                <w:highlight w:val="none"/>
              </w:rPr>
            </w:pPr>
          </w:p>
        </w:tc>
        <w:tc>
          <w:tcPr>
            <w:tcW w:w="1034" w:type="dxa"/>
            <w:tcBorders>
              <w:top w:val="single" w:color="auto" w:sz="4" w:space="0"/>
              <w:left w:val="single" w:color="auto" w:sz="4" w:space="0"/>
              <w:bottom w:val="single" w:color="auto" w:sz="4" w:space="0"/>
              <w:right w:val="single" w:color="auto" w:sz="4" w:space="0"/>
            </w:tcBorders>
            <w:noWrap/>
            <w:vAlign w:val="center"/>
          </w:tcPr>
          <w:p w14:paraId="4B624F50">
            <w:pPr>
              <w:spacing w:line="500" w:lineRule="exact"/>
              <w:jc w:val="center"/>
              <w:rPr>
                <w:color w:val="auto"/>
                <w:sz w:val="24"/>
                <w:szCs w:val="24"/>
                <w:highlight w:val="none"/>
              </w:rPr>
            </w:pPr>
          </w:p>
        </w:tc>
        <w:tc>
          <w:tcPr>
            <w:tcW w:w="1150" w:type="dxa"/>
            <w:tcBorders>
              <w:top w:val="single" w:color="auto" w:sz="4" w:space="0"/>
              <w:left w:val="single" w:color="auto" w:sz="4" w:space="0"/>
              <w:bottom w:val="single" w:color="auto" w:sz="4" w:space="0"/>
              <w:right w:val="single" w:color="auto" w:sz="4" w:space="0"/>
            </w:tcBorders>
            <w:noWrap/>
            <w:vAlign w:val="center"/>
          </w:tcPr>
          <w:p w14:paraId="6D94F884">
            <w:pPr>
              <w:spacing w:line="500" w:lineRule="exact"/>
              <w:jc w:val="center"/>
              <w:rPr>
                <w:color w:val="auto"/>
                <w:sz w:val="24"/>
                <w:szCs w:val="24"/>
                <w:highlight w:val="none"/>
              </w:rPr>
            </w:pPr>
          </w:p>
        </w:tc>
        <w:tc>
          <w:tcPr>
            <w:tcW w:w="1283" w:type="dxa"/>
            <w:tcBorders>
              <w:top w:val="single" w:color="auto" w:sz="4" w:space="0"/>
              <w:left w:val="single" w:color="auto" w:sz="4" w:space="0"/>
              <w:bottom w:val="single" w:color="auto" w:sz="4" w:space="0"/>
              <w:right w:val="single" w:color="auto" w:sz="4" w:space="0"/>
            </w:tcBorders>
            <w:noWrap/>
            <w:vAlign w:val="center"/>
          </w:tcPr>
          <w:p w14:paraId="7F1D92F6">
            <w:pPr>
              <w:spacing w:line="500" w:lineRule="exact"/>
              <w:jc w:val="center"/>
              <w:rPr>
                <w:color w:val="auto"/>
                <w:sz w:val="24"/>
                <w:szCs w:val="24"/>
                <w:highlight w:val="none"/>
              </w:rPr>
            </w:pPr>
          </w:p>
        </w:tc>
        <w:tc>
          <w:tcPr>
            <w:tcW w:w="817" w:type="dxa"/>
            <w:tcBorders>
              <w:top w:val="single" w:color="auto" w:sz="4" w:space="0"/>
              <w:left w:val="single" w:color="auto" w:sz="4" w:space="0"/>
              <w:bottom w:val="single" w:color="auto" w:sz="4" w:space="0"/>
              <w:right w:val="single" w:color="auto" w:sz="4" w:space="0"/>
            </w:tcBorders>
            <w:noWrap/>
            <w:vAlign w:val="center"/>
          </w:tcPr>
          <w:p w14:paraId="1FBF95B1">
            <w:pPr>
              <w:spacing w:line="500" w:lineRule="exact"/>
              <w:jc w:val="center"/>
              <w:rPr>
                <w:color w:val="auto"/>
                <w:sz w:val="24"/>
                <w:szCs w:val="24"/>
                <w:highlight w:val="none"/>
              </w:rPr>
            </w:pPr>
          </w:p>
        </w:tc>
        <w:tc>
          <w:tcPr>
            <w:tcW w:w="1350" w:type="dxa"/>
            <w:tcBorders>
              <w:top w:val="single" w:color="auto" w:sz="4" w:space="0"/>
              <w:left w:val="single" w:color="auto" w:sz="4" w:space="0"/>
              <w:bottom w:val="single" w:color="auto" w:sz="4" w:space="0"/>
              <w:right w:val="single" w:color="auto" w:sz="4" w:space="0"/>
            </w:tcBorders>
            <w:noWrap/>
            <w:vAlign w:val="center"/>
          </w:tcPr>
          <w:p w14:paraId="2031182F">
            <w:pPr>
              <w:spacing w:line="500" w:lineRule="exact"/>
              <w:jc w:val="center"/>
              <w:rPr>
                <w:color w:val="auto"/>
                <w:sz w:val="24"/>
                <w:szCs w:val="24"/>
                <w:highlight w:val="none"/>
              </w:rPr>
            </w:pPr>
          </w:p>
        </w:tc>
      </w:tr>
      <w:tr w14:paraId="2AB92988">
        <w:tblPrEx>
          <w:tblCellMar>
            <w:top w:w="0" w:type="dxa"/>
            <w:left w:w="108" w:type="dxa"/>
            <w:bottom w:w="0" w:type="dxa"/>
            <w:right w:w="108" w:type="dxa"/>
          </w:tblCellMar>
        </w:tblPrEx>
        <w:trPr>
          <w:trHeight w:val="517" w:hRule="atLeast"/>
          <w:jc w:val="center"/>
        </w:trPr>
        <w:tc>
          <w:tcPr>
            <w:tcW w:w="553" w:type="dxa"/>
            <w:tcBorders>
              <w:top w:val="single" w:color="auto" w:sz="4" w:space="0"/>
              <w:left w:val="single" w:color="auto" w:sz="4" w:space="0"/>
              <w:bottom w:val="single" w:color="auto" w:sz="4" w:space="0"/>
              <w:right w:val="single" w:color="auto" w:sz="4" w:space="0"/>
            </w:tcBorders>
            <w:noWrap/>
            <w:vAlign w:val="center"/>
          </w:tcPr>
          <w:p w14:paraId="7C79520B">
            <w:pPr>
              <w:spacing w:line="500" w:lineRule="exact"/>
              <w:jc w:val="center"/>
              <w:rPr>
                <w:color w:val="auto"/>
                <w:sz w:val="24"/>
                <w:szCs w:val="24"/>
                <w:highlight w:val="none"/>
              </w:rPr>
            </w:pPr>
          </w:p>
        </w:tc>
        <w:tc>
          <w:tcPr>
            <w:tcW w:w="1026" w:type="dxa"/>
            <w:tcBorders>
              <w:top w:val="single" w:color="auto" w:sz="4" w:space="0"/>
              <w:left w:val="single" w:color="auto" w:sz="4" w:space="0"/>
              <w:bottom w:val="single" w:color="auto" w:sz="4" w:space="0"/>
              <w:right w:val="single" w:color="auto" w:sz="4" w:space="0"/>
            </w:tcBorders>
            <w:noWrap/>
            <w:vAlign w:val="center"/>
          </w:tcPr>
          <w:p w14:paraId="30CB98D6">
            <w:pPr>
              <w:spacing w:line="500" w:lineRule="exact"/>
              <w:jc w:val="center"/>
              <w:rPr>
                <w:color w:val="auto"/>
                <w:sz w:val="24"/>
                <w:szCs w:val="24"/>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16F2850F">
            <w:pPr>
              <w:spacing w:line="500" w:lineRule="exact"/>
              <w:jc w:val="center"/>
              <w:rPr>
                <w:color w:val="auto"/>
                <w:sz w:val="24"/>
                <w:szCs w:val="24"/>
                <w:highlight w:val="none"/>
              </w:rPr>
            </w:pPr>
          </w:p>
        </w:tc>
        <w:tc>
          <w:tcPr>
            <w:tcW w:w="1003" w:type="dxa"/>
            <w:tcBorders>
              <w:top w:val="single" w:color="auto" w:sz="4" w:space="0"/>
              <w:left w:val="single" w:color="auto" w:sz="4" w:space="0"/>
              <w:bottom w:val="single" w:color="auto" w:sz="4" w:space="0"/>
              <w:right w:val="single" w:color="auto" w:sz="4" w:space="0"/>
            </w:tcBorders>
            <w:noWrap/>
            <w:vAlign w:val="center"/>
          </w:tcPr>
          <w:p w14:paraId="401364FA">
            <w:pPr>
              <w:spacing w:line="500" w:lineRule="exact"/>
              <w:jc w:val="center"/>
              <w:rPr>
                <w:color w:val="auto"/>
                <w:sz w:val="24"/>
                <w:szCs w:val="24"/>
                <w:highlight w:val="none"/>
              </w:rPr>
            </w:pPr>
          </w:p>
        </w:tc>
        <w:tc>
          <w:tcPr>
            <w:tcW w:w="1034" w:type="dxa"/>
            <w:tcBorders>
              <w:top w:val="single" w:color="auto" w:sz="4" w:space="0"/>
              <w:left w:val="single" w:color="auto" w:sz="4" w:space="0"/>
              <w:bottom w:val="single" w:color="auto" w:sz="4" w:space="0"/>
              <w:right w:val="single" w:color="auto" w:sz="4" w:space="0"/>
            </w:tcBorders>
            <w:noWrap/>
            <w:vAlign w:val="center"/>
          </w:tcPr>
          <w:p w14:paraId="58CA3305">
            <w:pPr>
              <w:spacing w:line="500" w:lineRule="exact"/>
              <w:jc w:val="center"/>
              <w:rPr>
                <w:color w:val="auto"/>
                <w:sz w:val="24"/>
                <w:szCs w:val="24"/>
                <w:highlight w:val="none"/>
              </w:rPr>
            </w:pPr>
          </w:p>
        </w:tc>
        <w:tc>
          <w:tcPr>
            <w:tcW w:w="1150" w:type="dxa"/>
            <w:tcBorders>
              <w:top w:val="single" w:color="auto" w:sz="4" w:space="0"/>
              <w:left w:val="single" w:color="auto" w:sz="4" w:space="0"/>
              <w:bottom w:val="single" w:color="auto" w:sz="4" w:space="0"/>
              <w:right w:val="single" w:color="auto" w:sz="4" w:space="0"/>
            </w:tcBorders>
            <w:noWrap/>
            <w:vAlign w:val="center"/>
          </w:tcPr>
          <w:p w14:paraId="25897166">
            <w:pPr>
              <w:spacing w:line="500" w:lineRule="exact"/>
              <w:jc w:val="center"/>
              <w:rPr>
                <w:color w:val="auto"/>
                <w:sz w:val="24"/>
                <w:szCs w:val="24"/>
                <w:highlight w:val="none"/>
              </w:rPr>
            </w:pPr>
          </w:p>
        </w:tc>
        <w:tc>
          <w:tcPr>
            <w:tcW w:w="1283" w:type="dxa"/>
            <w:tcBorders>
              <w:top w:val="single" w:color="auto" w:sz="4" w:space="0"/>
              <w:left w:val="single" w:color="auto" w:sz="4" w:space="0"/>
              <w:bottom w:val="single" w:color="auto" w:sz="4" w:space="0"/>
              <w:right w:val="single" w:color="auto" w:sz="4" w:space="0"/>
            </w:tcBorders>
            <w:noWrap/>
            <w:vAlign w:val="center"/>
          </w:tcPr>
          <w:p w14:paraId="630EB006">
            <w:pPr>
              <w:spacing w:line="500" w:lineRule="exact"/>
              <w:jc w:val="center"/>
              <w:rPr>
                <w:color w:val="auto"/>
                <w:sz w:val="24"/>
                <w:szCs w:val="24"/>
                <w:highlight w:val="none"/>
              </w:rPr>
            </w:pPr>
          </w:p>
        </w:tc>
        <w:tc>
          <w:tcPr>
            <w:tcW w:w="817" w:type="dxa"/>
            <w:tcBorders>
              <w:top w:val="single" w:color="auto" w:sz="4" w:space="0"/>
              <w:left w:val="single" w:color="auto" w:sz="4" w:space="0"/>
              <w:bottom w:val="single" w:color="auto" w:sz="4" w:space="0"/>
              <w:right w:val="single" w:color="auto" w:sz="4" w:space="0"/>
            </w:tcBorders>
            <w:noWrap/>
            <w:vAlign w:val="center"/>
          </w:tcPr>
          <w:p w14:paraId="38C0A650">
            <w:pPr>
              <w:spacing w:line="500" w:lineRule="exact"/>
              <w:jc w:val="center"/>
              <w:rPr>
                <w:color w:val="auto"/>
                <w:sz w:val="24"/>
                <w:szCs w:val="24"/>
                <w:highlight w:val="none"/>
              </w:rPr>
            </w:pPr>
          </w:p>
        </w:tc>
        <w:tc>
          <w:tcPr>
            <w:tcW w:w="1350" w:type="dxa"/>
            <w:tcBorders>
              <w:top w:val="single" w:color="auto" w:sz="4" w:space="0"/>
              <w:left w:val="single" w:color="auto" w:sz="4" w:space="0"/>
              <w:bottom w:val="single" w:color="auto" w:sz="4" w:space="0"/>
              <w:right w:val="single" w:color="auto" w:sz="4" w:space="0"/>
            </w:tcBorders>
            <w:noWrap/>
            <w:vAlign w:val="center"/>
          </w:tcPr>
          <w:p w14:paraId="5E39EC3F">
            <w:pPr>
              <w:spacing w:line="500" w:lineRule="exact"/>
              <w:jc w:val="center"/>
              <w:rPr>
                <w:color w:val="auto"/>
                <w:sz w:val="24"/>
                <w:szCs w:val="24"/>
                <w:highlight w:val="none"/>
              </w:rPr>
            </w:pPr>
          </w:p>
        </w:tc>
      </w:tr>
      <w:tr w14:paraId="28368026">
        <w:tblPrEx>
          <w:tblCellMar>
            <w:top w:w="0" w:type="dxa"/>
            <w:left w:w="108" w:type="dxa"/>
            <w:bottom w:w="0" w:type="dxa"/>
            <w:right w:w="108" w:type="dxa"/>
          </w:tblCellMar>
        </w:tblPrEx>
        <w:trPr>
          <w:trHeight w:val="517" w:hRule="atLeast"/>
          <w:jc w:val="center"/>
        </w:trPr>
        <w:tc>
          <w:tcPr>
            <w:tcW w:w="553" w:type="dxa"/>
            <w:tcBorders>
              <w:top w:val="single" w:color="auto" w:sz="4" w:space="0"/>
              <w:left w:val="single" w:color="auto" w:sz="4" w:space="0"/>
              <w:bottom w:val="single" w:color="auto" w:sz="4" w:space="0"/>
              <w:right w:val="single" w:color="auto" w:sz="4" w:space="0"/>
            </w:tcBorders>
            <w:noWrap/>
            <w:vAlign w:val="center"/>
          </w:tcPr>
          <w:p w14:paraId="78726C5C">
            <w:pPr>
              <w:spacing w:line="500" w:lineRule="exact"/>
              <w:jc w:val="center"/>
              <w:rPr>
                <w:color w:val="auto"/>
                <w:sz w:val="24"/>
                <w:szCs w:val="24"/>
                <w:highlight w:val="none"/>
              </w:rPr>
            </w:pPr>
          </w:p>
        </w:tc>
        <w:tc>
          <w:tcPr>
            <w:tcW w:w="1026" w:type="dxa"/>
            <w:tcBorders>
              <w:top w:val="single" w:color="auto" w:sz="4" w:space="0"/>
              <w:left w:val="single" w:color="auto" w:sz="4" w:space="0"/>
              <w:bottom w:val="single" w:color="auto" w:sz="4" w:space="0"/>
              <w:right w:val="single" w:color="auto" w:sz="4" w:space="0"/>
            </w:tcBorders>
            <w:noWrap/>
            <w:vAlign w:val="center"/>
          </w:tcPr>
          <w:p w14:paraId="0418BF7B">
            <w:pPr>
              <w:spacing w:line="500" w:lineRule="exact"/>
              <w:jc w:val="center"/>
              <w:rPr>
                <w:color w:val="auto"/>
                <w:sz w:val="24"/>
                <w:szCs w:val="24"/>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52370B9B">
            <w:pPr>
              <w:spacing w:line="500" w:lineRule="exact"/>
              <w:jc w:val="center"/>
              <w:rPr>
                <w:color w:val="auto"/>
                <w:sz w:val="24"/>
                <w:szCs w:val="24"/>
                <w:highlight w:val="none"/>
              </w:rPr>
            </w:pPr>
          </w:p>
        </w:tc>
        <w:tc>
          <w:tcPr>
            <w:tcW w:w="1003" w:type="dxa"/>
            <w:tcBorders>
              <w:top w:val="single" w:color="auto" w:sz="4" w:space="0"/>
              <w:left w:val="single" w:color="auto" w:sz="4" w:space="0"/>
              <w:bottom w:val="single" w:color="auto" w:sz="4" w:space="0"/>
              <w:right w:val="single" w:color="auto" w:sz="4" w:space="0"/>
            </w:tcBorders>
            <w:noWrap/>
            <w:vAlign w:val="center"/>
          </w:tcPr>
          <w:p w14:paraId="28703840">
            <w:pPr>
              <w:spacing w:line="500" w:lineRule="exact"/>
              <w:jc w:val="center"/>
              <w:rPr>
                <w:color w:val="auto"/>
                <w:sz w:val="24"/>
                <w:szCs w:val="24"/>
                <w:highlight w:val="none"/>
              </w:rPr>
            </w:pPr>
          </w:p>
        </w:tc>
        <w:tc>
          <w:tcPr>
            <w:tcW w:w="1034" w:type="dxa"/>
            <w:tcBorders>
              <w:top w:val="single" w:color="auto" w:sz="4" w:space="0"/>
              <w:left w:val="single" w:color="auto" w:sz="4" w:space="0"/>
              <w:bottom w:val="single" w:color="auto" w:sz="4" w:space="0"/>
              <w:right w:val="single" w:color="auto" w:sz="4" w:space="0"/>
            </w:tcBorders>
            <w:noWrap/>
            <w:vAlign w:val="center"/>
          </w:tcPr>
          <w:p w14:paraId="5525E319">
            <w:pPr>
              <w:spacing w:line="500" w:lineRule="exact"/>
              <w:jc w:val="center"/>
              <w:rPr>
                <w:color w:val="auto"/>
                <w:sz w:val="24"/>
                <w:szCs w:val="24"/>
                <w:highlight w:val="none"/>
              </w:rPr>
            </w:pPr>
          </w:p>
        </w:tc>
        <w:tc>
          <w:tcPr>
            <w:tcW w:w="1150" w:type="dxa"/>
            <w:tcBorders>
              <w:top w:val="single" w:color="auto" w:sz="4" w:space="0"/>
              <w:left w:val="single" w:color="auto" w:sz="4" w:space="0"/>
              <w:bottom w:val="single" w:color="auto" w:sz="4" w:space="0"/>
              <w:right w:val="single" w:color="auto" w:sz="4" w:space="0"/>
            </w:tcBorders>
            <w:noWrap/>
            <w:vAlign w:val="center"/>
          </w:tcPr>
          <w:p w14:paraId="5D214FB4">
            <w:pPr>
              <w:spacing w:line="500" w:lineRule="exact"/>
              <w:jc w:val="center"/>
              <w:rPr>
                <w:color w:val="auto"/>
                <w:sz w:val="24"/>
                <w:szCs w:val="24"/>
                <w:highlight w:val="none"/>
              </w:rPr>
            </w:pPr>
          </w:p>
        </w:tc>
        <w:tc>
          <w:tcPr>
            <w:tcW w:w="1283" w:type="dxa"/>
            <w:tcBorders>
              <w:top w:val="single" w:color="auto" w:sz="4" w:space="0"/>
              <w:left w:val="single" w:color="auto" w:sz="4" w:space="0"/>
              <w:bottom w:val="single" w:color="auto" w:sz="4" w:space="0"/>
              <w:right w:val="single" w:color="auto" w:sz="4" w:space="0"/>
            </w:tcBorders>
            <w:noWrap/>
            <w:vAlign w:val="center"/>
          </w:tcPr>
          <w:p w14:paraId="59E2C859">
            <w:pPr>
              <w:spacing w:line="500" w:lineRule="exact"/>
              <w:jc w:val="center"/>
              <w:rPr>
                <w:color w:val="auto"/>
                <w:sz w:val="24"/>
                <w:szCs w:val="24"/>
                <w:highlight w:val="none"/>
              </w:rPr>
            </w:pPr>
          </w:p>
        </w:tc>
        <w:tc>
          <w:tcPr>
            <w:tcW w:w="817" w:type="dxa"/>
            <w:tcBorders>
              <w:top w:val="single" w:color="auto" w:sz="4" w:space="0"/>
              <w:left w:val="single" w:color="auto" w:sz="4" w:space="0"/>
              <w:bottom w:val="single" w:color="auto" w:sz="4" w:space="0"/>
              <w:right w:val="single" w:color="auto" w:sz="4" w:space="0"/>
            </w:tcBorders>
            <w:noWrap/>
            <w:vAlign w:val="center"/>
          </w:tcPr>
          <w:p w14:paraId="3E00B02A">
            <w:pPr>
              <w:spacing w:line="500" w:lineRule="exact"/>
              <w:jc w:val="center"/>
              <w:rPr>
                <w:color w:val="auto"/>
                <w:sz w:val="24"/>
                <w:szCs w:val="24"/>
                <w:highlight w:val="none"/>
              </w:rPr>
            </w:pPr>
          </w:p>
        </w:tc>
        <w:tc>
          <w:tcPr>
            <w:tcW w:w="1350" w:type="dxa"/>
            <w:tcBorders>
              <w:top w:val="single" w:color="auto" w:sz="4" w:space="0"/>
              <w:left w:val="single" w:color="auto" w:sz="4" w:space="0"/>
              <w:bottom w:val="single" w:color="auto" w:sz="4" w:space="0"/>
              <w:right w:val="single" w:color="auto" w:sz="4" w:space="0"/>
            </w:tcBorders>
            <w:noWrap/>
            <w:vAlign w:val="center"/>
          </w:tcPr>
          <w:p w14:paraId="4FB5470E">
            <w:pPr>
              <w:spacing w:line="500" w:lineRule="exact"/>
              <w:jc w:val="center"/>
              <w:rPr>
                <w:color w:val="auto"/>
                <w:sz w:val="24"/>
                <w:szCs w:val="24"/>
                <w:highlight w:val="none"/>
              </w:rPr>
            </w:pPr>
          </w:p>
        </w:tc>
      </w:tr>
      <w:tr w14:paraId="75B0F388">
        <w:tblPrEx>
          <w:tblCellMar>
            <w:top w:w="0" w:type="dxa"/>
            <w:left w:w="108" w:type="dxa"/>
            <w:bottom w:w="0" w:type="dxa"/>
            <w:right w:w="108" w:type="dxa"/>
          </w:tblCellMar>
        </w:tblPrEx>
        <w:trPr>
          <w:trHeight w:val="517" w:hRule="atLeast"/>
          <w:jc w:val="center"/>
        </w:trPr>
        <w:tc>
          <w:tcPr>
            <w:tcW w:w="553" w:type="dxa"/>
            <w:tcBorders>
              <w:top w:val="single" w:color="auto" w:sz="4" w:space="0"/>
              <w:left w:val="single" w:color="auto" w:sz="4" w:space="0"/>
              <w:bottom w:val="single" w:color="auto" w:sz="4" w:space="0"/>
              <w:right w:val="single" w:color="auto" w:sz="4" w:space="0"/>
            </w:tcBorders>
            <w:noWrap/>
            <w:vAlign w:val="center"/>
          </w:tcPr>
          <w:p w14:paraId="383AEE21">
            <w:pPr>
              <w:spacing w:line="500" w:lineRule="exact"/>
              <w:jc w:val="center"/>
              <w:rPr>
                <w:color w:val="auto"/>
                <w:sz w:val="24"/>
                <w:szCs w:val="24"/>
                <w:highlight w:val="none"/>
              </w:rPr>
            </w:pPr>
          </w:p>
        </w:tc>
        <w:tc>
          <w:tcPr>
            <w:tcW w:w="1026" w:type="dxa"/>
            <w:tcBorders>
              <w:top w:val="single" w:color="auto" w:sz="4" w:space="0"/>
              <w:left w:val="single" w:color="auto" w:sz="4" w:space="0"/>
              <w:bottom w:val="single" w:color="auto" w:sz="4" w:space="0"/>
              <w:right w:val="single" w:color="auto" w:sz="4" w:space="0"/>
            </w:tcBorders>
            <w:noWrap/>
            <w:vAlign w:val="center"/>
          </w:tcPr>
          <w:p w14:paraId="5B1CCCAF">
            <w:pPr>
              <w:spacing w:line="500" w:lineRule="exact"/>
              <w:jc w:val="center"/>
              <w:rPr>
                <w:color w:val="auto"/>
                <w:sz w:val="24"/>
                <w:szCs w:val="24"/>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55C0416E">
            <w:pPr>
              <w:spacing w:line="500" w:lineRule="exact"/>
              <w:jc w:val="center"/>
              <w:rPr>
                <w:color w:val="auto"/>
                <w:sz w:val="24"/>
                <w:szCs w:val="24"/>
                <w:highlight w:val="none"/>
              </w:rPr>
            </w:pPr>
          </w:p>
        </w:tc>
        <w:tc>
          <w:tcPr>
            <w:tcW w:w="1003" w:type="dxa"/>
            <w:tcBorders>
              <w:top w:val="single" w:color="auto" w:sz="4" w:space="0"/>
              <w:left w:val="single" w:color="auto" w:sz="4" w:space="0"/>
              <w:bottom w:val="single" w:color="auto" w:sz="4" w:space="0"/>
              <w:right w:val="single" w:color="auto" w:sz="4" w:space="0"/>
            </w:tcBorders>
            <w:noWrap/>
            <w:vAlign w:val="center"/>
          </w:tcPr>
          <w:p w14:paraId="573369D7">
            <w:pPr>
              <w:spacing w:line="500" w:lineRule="exact"/>
              <w:jc w:val="center"/>
              <w:rPr>
                <w:color w:val="auto"/>
                <w:sz w:val="24"/>
                <w:szCs w:val="24"/>
                <w:highlight w:val="none"/>
              </w:rPr>
            </w:pPr>
          </w:p>
        </w:tc>
        <w:tc>
          <w:tcPr>
            <w:tcW w:w="1034" w:type="dxa"/>
            <w:tcBorders>
              <w:top w:val="single" w:color="auto" w:sz="4" w:space="0"/>
              <w:left w:val="single" w:color="auto" w:sz="4" w:space="0"/>
              <w:bottom w:val="single" w:color="auto" w:sz="4" w:space="0"/>
              <w:right w:val="single" w:color="auto" w:sz="4" w:space="0"/>
            </w:tcBorders>
            <w:noWrap/>
            <w:vAlign w:val="center"/>
          </w:tcPr>
          <w:p w14:paraId="53A35A89">
            <w:pPr>
              <w:spacing w:line="500" w:lineRule="exact"/>
              <w:jc w:val="center"/>
              <w:rPr>
                <w:color w:val="auto"/>
                <w:sz w:val="24"/>
                <w:szCs w:val="24"/>
                <w:highlight w:val="none"/>
              </w:rPr>
            </w:pPr>
          </w:p>
        </w:tc>
        <w:tc>
          <w:tcPr>
            <w:tcW w:w="1150" w:type="dxa"/>
            <w:tcBorders>
              <w:top w:val="single" w:color="auto" w:sz="4" w:space="0"/>
              <w:left w:val="single" w:color="auto" w:sz="4" w:space="0"/>
              <w:bottom w:val="single" w:color="auto" w:sz="4" w:space="0"/>
              <w:right w:val="single" w:color="auto" w:sz="4" w:space="0"/>
            </w:tcBorders>
            <w:noWrap/>
            <w:vAlign w:val="center"/>
          </w:tcPr>
          <w:p w14:paraId="53D2BBA9">
            <w:pPr>
              <w:spacing w:line="500" w:lineRule="exact"/>
              <w:jc w:val="center"/>
              <w:rPr>
                <w:color w:val="auto"/>
                <w:sz w:val="24"/>
                <w:szCs w:val="24"/>
                <w:highlight w:val="none"/>
              </w:rPr>
            </w:pPr>
          </w:p>
        </w:tc>
        <w:tc>
          <w:tcPr>
            <w:tcW w:w="1283" w:type="dxa"/>
            <w:tcBorders>
              <w:top w:val="single" w:color="auto" w:sz="4" w:space="0"/>
              <w:left w:val="single" w:color="auto" w:sz="4" w:space="0"/>
              <w:bottom w:val="single" w:color="auto" w:sz="4" w:space="0"/>
              <w:right w:val="single" w:color="auto" w:sz="4" w:space="0"/>
            </w:tcBorders>
            <w:noWrap/>
            <w:vAlign w:val="center"/>
          </w:tcPr>
          <w:p w14:paraId="11624774">
            <w:pPr>
              <w:spacing w:line="500" w:lineRule="exact"/>
              <w:jc w:val="center"/>
              <w:rPr>
                <w:color w:val="auto"/>
                <w:sz w:val="24"/>
                <w:szCs w:val="24"/>
                <w:highlight w:val="none"/>
              </w:rPr>
            </w:pPr>
          </w:p>
        </w:tc>
        <w:tc>
          <w:tcPr>
            <w:tcW w:w="817" w:type="dxa"/>
            <w:tcBorders>
              <w:top w:val="single" w:color="auto" w:sz="4" w:space="0"/>
              <w:left w:val="single" w:color="auto" w:sz="4" w:space="0"/>
              <w:bottom w:val="single" w:color="auto" w:sz="4" w:space="0"/>
              <w:right w:val="single" w:color="auto" w:sz="4" w:space="0"/>
            </w:tcBorders>
            <w:noWrap/>
            <w:vAlign w:val="center"/>
          </w:tcPr>
          <w:p w14:paraId="74FEACF6">
            <w:pPr>
              <w:spacing w:line="500" w:lineRule="exact"/>
              <w:jc w:val="center"/>
              <w:rPr>
                <w:color w:val="auto"/>
                <w:sz w:val="24"/>
                <w:szCs w:val="24"/>
                <w:highlight w:val="none"/>
              </w:rPr>
            </w:pPr>
          </w:p>
        </w:tc>
        <w:tc>
          <w:tcPr>
            <w:tcW w:w="1350" w:type="dxa"/>
            <w:tcBorders>
              <w:top w:val="single" w:color="auto" w:sz="4" w:space="0"/>
              <w:left w:val="single" w:color="auto" w:sz="4" w:space="0"/>
              <w:bottom w:val="single" w:color="auto" w:sz="4" w:space="0"/>
              <w:right w:val="single" w:color="auto" w:sz="4" w:space="0"/>
            </w:tcBorders>
            <w:noWrap/>
            <w:vAlign w:val="center"/>
          </w:tcPr>
          <w:p w14:paraId="3936D028">
            <w:pPr>
              <w:spacing w:line="500" w:lineRule="exact"/>
              <w:jc w:val="center"/>
              <w:rPr>
                <w:color w:val="auto"/>
                <w:sz w:val="24"/>
                <w:szCs w:val="24"/>
                <w:highlight w:val="none"/>
              </w:rPr>
            </w:pPr>
          </w:p>
        </w:tc>
      </w:tr>
      <w:tr w14:paraId="2EE7B9F2">
        <w:tblPrEx>
          <w:tblCellMar>
            <w:top w:w="0" w:type="dxa"/>
            <w:left w:w="108" w:type="dxa"/>
            <w:bottom w:w="0" w:type="dxa"/>
            <w:right w:w="108" w:type="dxa"/>
          </w:tblCellMar>
        </w:tblPrEx>
        <w:trPr>
          <w:trHeight w:val="517" w:hRule="atLeast"/>
          <w:jc w:val="center"/>
        </w:trPr>
        <w:tc>
          <w:tcPr>
            <w:tcW w:w="553" w:type="dxa"/>
            <w:tcBorders>
              <w:top w:val="single" w:color="auto" w:sz="4" w:space="0"/>
              <w:left w:val="single" w:color="auto" w:sz="4" w:space="0"/>
              <w:bottom w:val="single" w:color="auto" w:sz="4" w:space="0"/>
              <w:right w:val="single" w:color="auto" w:sz="4" w:space="0"/>
            </w:tcBorders>
            <w:noWrap/>
            <w:vAlign w:val="center"/>
          </w:tcPr>
          <w:p w14:paraId="503740D6">
            <w:pPr>
              <w:spacing w:line="500" w:lineRule="exact"/>
              <w:jc w:val="center"/>
              <w:rPr>
                <w:color w:val="auto"/>
                <w:sz w:val="24"/>
                <w:szCs w:val="24"/>
                <w:highlight w:val="none"/>
              </w:rPr>
            </w:pPr>
          </w:p>
        </w:tc>
        <w:tc>
          <w:tcPr>
            <w:tcW w:w="1026" w:type="dxa"/>
            <w:tcBorders>
              <w:top w:val="single" w:color="auto" w:sz="4" w:space="0"/>
              <w:left w:val="single" w:color="auto" w:sz="4" w:space="0"/>
              <w:bottom w:val="single" w:color="auto" w:sz="4" w:space="0"/>
              <w:right w:val="single" w:color="auto" w:sz="4" w:space="0"/>
            </w:tcBorders>
            <w:noWrap/>
            <w:vAlign w:val="center"/>
          </w:tcPr>
          <w:p w14:paraId="26A210EE">
            <w:pPr>
              <w:spacing w:line="500" w:lineRule="exact"/>
              <w:jc w:val="center"/>
              <w:rPr>
                <w:color w:val="auto"/>
                <w:sz w:val="24"/>
                <w:szCs w:val="24"/>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0C1C553A">
            <w:pPr>
              <w:spacing w:line="500" w:lineRule="exact"/>
              <w:jc w:val="center"/>
              <w:rPr>
                <w:color w:val="auto"/>
                <w:sz w:val="24"/>
                <w:szCs w:val="24"/>
                <w:highlight w:val="none"/>
              </w:rPr>
            </w:pPr>
          </w:p>
        </w:tc>
        <w:tc>
          <w:tcPr>
            <w:tcW w:w="1003" w:type="dxa"/>
            <w:tcBorders>
              <w:top w:val="single" w:color="auto" w:sz="4" w:space="0"/>
              <w:left w:val="single" w:color="auto" w:sz="4" w:space="0"/>
              <w:bottom w:val="single" w:color="auto" w:sz="4" w:space="0"/>
              <w:right w:val="single" w:color="auto" w:sz="4" w:space="0"/>
            </w:tcBorders>
            <w:noWrap/>
            <w:vAlign w:val="center"/>
          </w:tcPr>
          <w:p w14:paraId="413AB9C4">
            <w:pPr>
              <w:spacing w:line="500" w:lineRule="exact"/>
              <w:jc w:val="center"/>
              <w:rPr>
                <w:color w:val="auto"/>
                <w:sz w:val="24"/>
                <w:szCs w:val="24"/>
                <w:highlight w:val="none"/>
              </w:rPr>
            </w:pPr>
          </w:p>
        </w:tc>
        <w:tc>
          <w:tcPr>
            <w:tcW w:w="1034" w:type="dxa"/>
            <w:tcBorders>
              <w:top w:val="single" w:color="auto" w:sz="4" w:space="0"/>
              <w:left w:val="single" w:color="auto" w:sz="4" w:space="0"/>
              <w:bottom w:val="single" w:color="auto" w:sz="4" w:space="0"/>
              <w:right w:val="single" w:color="auto" w:sz="4" w:space="0"/>
            </w:tcBorders>
            <w:noWrap/>
            <w:vAlign w:val="center"/>
          </w:tcPr>
          <w:p w14:paraId="3E641BEC">
            <w:pPr>
              <w:spacing w:line="500" w:lineRule="exact"/>
              <w:jc w:val="center"/>
              <w:rPr>
                <w:color w:val="auto"/>
                <w:sz w:val="24"/>
                <w:szCs w:val="24"/>
                <w:highlight w:val="none"/>
              </w:rPr>
            </w:pPr>
          </w:p>
        </w:tc>
        <w:tc>
          <w:tcPr>
            <w:tcW w:w="1150" w:type="dxa"/>
            <w:tcBorders>
              <w:top w:val="single" w:color="auto" w:sz="4" w:space="0"/>
              <w:left w:val="single" w:color="auto" w:sz="4" w:space="0"/>
              <w:bottom w:val="single" w:color="auto" w:sz="4" w:space="0"/>
              <w:right w:val="single" w:color="auto" w:sz="4" w:space="0"/>
            </w:tcBorders>
            <w:noWrap/>
            <w:vAlign w:val="center"/>
          </w:tcPr>
          <w:p w14:paraId="65EDB8B3">
            <w:pPr>
              <w:spacing w:line="500" w:lineRule="exact"/>
              <w:jc w:val="center"/>
              <w:rPr>
                <w:color w:val="auto"/>
                <w:sz w:val="24"/>
                <w:szCs w:val="24"/>
                <w:highlight w:val="none"/>
              </w:rPr>
            </w:pPr>
          </w:p>
        </w:tc>
        <w:tc>
          <w:tcPr>
            <w:tcW w:w="1283" w:type="dxa"/>
            <w:tcBorders>
              <w:top w:val="single" w:color="auto" w:sz="4" w:space="0"/>
              <w:left w:val="single" w:color="auto" w:sz="4" w:space="0"/>
              <w:bottom w:val="single" w:color="auto" w:sz="4" w:space="0"/>
              <w:right w:val="single" w:color="auto" w:sz="4" w:space="0"/>
            </w:tcBorders>
            <w:noWrap/>
            <w:vAlign w:val="center"/>
          </w:tcPr>
          <w:p w14:paraId="3480A73B">
            <w:pPr>
              <w:spacing w:line="500" w:lineRule="exact"/>
              <w:jc w:val="center"/>
              <w:rPr>
                <w:color w:val="auto"/>
                <w:sz w:val="24"/>
                <w:szCs w:val="24"/>
                <w:highlight w:val="none"/>
              </w:rPr>
            </w:pPr>
          </w:p>
        </w:tc>
        <w:tc>
          <w:tcPr>
            <w:tcW w:w="817" w:type="dxa"/>
            <w:tcBorders>
              <w:top w:val="single" w:color="auto" w:sz="4" w:space="0"/>
              <w:left w:val="single" w:color="auto" w:sz="4" w:space="0"/>
              <w:bottom w:val="single" w:color="auto" w:sz="4" w:space="0"/>
              <w:right w:val="single" w:color="auto" w:sz="4" w:space="0"/>
            </w:tcBorders>
            <w:noWrap/>
            <w:vAlign w:val="center"/>
          </w:tcPr>
          <w:p w14:paraId="72B78B85">
            <w:pPr>
              <w:spacing w:line="500" w:lineRule="exact"/>
              <w:jc w:val="center"/>
              <w:rPr>
                <w:color w:val="auto"/>
                <w:sz w:val="24"/>
                <w:szCs w:val="24"/>
                <w:highlight w:val="none"/>
              </w:rPr>
            </w:pPr>
          </w:p>
        </w:tc>
        <w:tc>
          <w:tcPr>
            <w:tcW w:w="1350" w:type="dxa"/>
            <w:tcBorders>
              <w:top w:val="single" w:color="auto" w:sz="4" w:space="0"/>
              <w:left w:val="single" w:color="auto" w:sz="4" w:space="0"/>
              <w:bottom w:val="single" w:color="auto" w:sz="4" w:space="0"/>
              <w:right w:val="single" w:color="auto" w:sz="4" w:space="0"/>
            </w:tcBorders>
            <w:noWrap/>
            <w:vAlign w:val="center"/>
          </w:tcPr>
          <w:p w14:paraId="42C930AF">
            <w:pPr>
              <w:spacing w:line="500" w:lineRule="exact"/>
              <w:jc w:val="center"/>
              <w:rPr>
                <w:color w:val="auto"/>
                <w:sz w:val="24"/>
                <w:szCs w:val="24"/>
                <w:highlight w:val="none"/>
              </w:rPr>
            </w:pPr>
          </w:p>
        </w:tc>
      </w:tr>
      <w:tr w14:paraId="449DD35A">
        <w:tblPrEx>
          <w:tblCellMar>
            <w:top w:w="0" w:type="dxa"/>
            <w:left w:w="108" w:type="dxa"/>
            <w:bottom w:w="0" w:type="dxa"/>
            <w:right w:w="108" w:type="dxa"/>
          </w:tblCellMar>
        </w:tblPrEx>
        <w:trPr>
          <w:trHeight w:val="517" w:hRule="atLeast"/>
          <w:jc w:val="center"/>
        </w:trPr>
        <w:tc>
          <w:tcPr>
            <w:tcW w:w="553" w:type="dxa"/>
            <w:tcBorders>
              <w:top w:val="single" w:color="auto" w:sz="4" w:space="0"/>
              <w:left w:val="single" w:color="auto" w:sz="4" w:space="0"/>
              <w:bottom w:val="single" w:color="auto" w:sz="4" w:space="0"/>
              <w:right w:val="single" w:color="auto" w:sz="4" w:space="0"/>
            </w:tcBorders>
            <w:noWrap/>
            <w:vAlign w:val="center"/>
          </w:tcPr>
          <w:p w14:paraId="30E52CD2">
            <w:pPr>
              <w:spacing w:line="500" w:lineRule="exact"/>
              <w:jc w:val="center"/>
              <w:rPr>
                <w:color w:val="auto"/>
                <w:sz w:val="24"/>
                <w:szCs w:val="24"/>
                <w:highlight w:val="none"/>
              </w:rPr>
            </w:pPr>
          </w:p>
        </w:tc>
        <w:tc>
          <w:tcPr>
            <w:tcW w:w="1026" w:type="dxa"/>
            <w:tcBorders>
              <w:top w:val="single" w:color="auto" w:sz="4" w:space="0"/>
              <w:left w:val="single" w:color="auto" w:sz="4" w:space="0"/>
              <w:bottom w:val="single" w:color="auto" w:sz="4" w:space="0"/>
              <w:right w:val="single" w:color="auto" w:sz="4" w:space="0"/>
            </w:tcBorders>
            <w:noWrap/>
            <w:vAlign w:val="center"/>
          </w:tcPr>
          <w:p w14:paraId="455C12E1">
            <w:pPr>
              <w:spacing w:line="500" w:lineRule="exact"/>
              <w:jc w:val="center"/>
              <w:rPr>
                <w:color w:val="auto"/>
                <w:sz w:val="24"/>
                <w:szCs w:val="24"/>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24E61AA6">
            <w:pPr>
              <w:spacing w:line="500" w:lineRule="exact"/>
              <w:jc w:val="center"/>
              <w:rPr>
                <w:color w:val="auto"/>
                <w:sz w:val="24"/>
                <w:szCs w:val="24"/>
                <w:highlight w:val="none"/>
              </w:rPr>
            </w:pPr>
          </w:p>
        </w:tc>
        <w:tc>
          <w:tcPr>
            <w:tcW w:w="1003" w:type="dxa"/>
            <w:tcBorders>
              <w:top w:val="single" w:color="auto" w:sz="4" w:space="0"/>
              <w:left w:val="single" w:color="auto" w:sz="4" w:space="0"/>
              <w:bottom w:val="single" w:color="auto" w:sz="4" w:space="0"/>
              <w:right w:val="single" w:color="auto" w:sz="4" w:space="0"/>
            </w:tcBorders>
            <w:noWrap/>
            <w:vAlign w:val="center"/>
          </w:tcPr>
          <w:p w14:paraId="23D52636">
            <w:pPr>
              <w:spacing w:line="500" w:lineRule="exact"/>
              <w:jc w:val="center"/>
              <w:rPr>
                <w:color w:val="auto"/>
                <w:sz w:val="24"/>
                <w:szCs w:val="24"/>
                <w:highlight w:val="none"/>
              </w:rPr>
            </w:pPr>
          </w:p>
        </w:tc>
        <w:tc>
          <w:tcPr>
            <w:tcW w:w="1034" w:type="dxa"/>
            <w:tcBorders>
              <w:top w:val="single" w:color="auto" w:sz="4" w:space="0"/>
              <w:left w:val="single" w:color="auto" w:sz="4" w:space="0"/>
              <w:bottom w:val="single" w:color="auto" w:sz="4" w:space="0"/>
              <w:right w:val="single" w:color="auto" w:sz="4" w:space="0"/>
            </w:tcBorders>
            <w:noWrap/>
            <w:vAlign w:val="center"/>
          </w:tcPr>
          <w:p w14:paraId="326C4DC5">
            <w:pPr>
              <w:spacing w:line="500" w:lineRule="exact"/>
              <w:jc w:val="center"/>
              <w:rPr>
                <w:color w:val="auto"/>
                <w:sz w:val="24"/>
                <w:szCs w:val="24"/>
                <w:highlight w:val="none"/>
              </w:rPr>
            </w:pPr>
          </w:p>
        </w:tc>
        <w:tc>
          <w:tcPr>
            <w:tcW w:w="1150" w:type="dxa"/>
            <w:tcBorders>
              <w:top w:val="single" w:color="auto" w:sz="4" w:space="0"/>
              <w:left w:val="single" w:color="auto" w:sz="4" w:space="0"/>
              <w:bottom w:val="single" w:color="auto" w:sz="4" w:space="0"/>
              <w:right w:val="single" w:color="auto" w:sz="4" w:space="0"/>
            </w:tcBorders>
            <w:noWrap/>
            <w:vAlign w:val="center"/>
          </w:tcPr>
          <w:p w14:paraId="43127EA3">
            <w:pPr>
              <w:spacing w:line="500" w:lineRule="exact"/>
              <w:jc w:val="center"/>
              <w:rPr>
                <w:color w:val="auto"/>
                <w:sz w:val="24"/>
                <w:szCs w:val="24"/>
                <w:highlight w:val="none"/>
              </w:rPr>
            </w:pPr>
          </w:p>
        </w:tc>
        <w:tc>
          <w:tcPr>
            <w:tcW w:w="1283" w:type="dxa"/>
            <w:tcBorders>
              <w:top w:val="single" w:color="auto" w:sz="4" w:space="0"/>
              <w:left w:val="single" w:color="auto" w:sz="4" w:space="0"/>
              <w:bottom w:val="single" w:color="auto" w:sz="4" w:space="0"/>
              <w:right w:val="single" w:color="auto" w:sz="4" w:space="0"/>
            </w:tcBorders>
            <w:noWrap/>
            <w:vAlign w:val="center"/>
          </w:tcPr>
          <w:p w14:paraId="541AAB1F">
            <w:pPr>
              <w:spacing w:line="500" w:lineRule="exact"/>
              <w:jc w:val="center"/>
              <w:rPr>
                <w:color w:val="auto"/>
                <w:sz w:val="24"/>
                <w:szCs w:val="24"/>
                <w:highlight w:val="none"/>
              </w:rPr>
            </w:pPr>
          </w:p>
        </w:tc>
        <w:tc>
          <w:tcPr>
            <w:tcW w:w="817" w:type="dxa"/>
            <w:tcBorders>
              <w:top w:val="single" w:color="auto" w:sz="4" w:space="0"/>
              <w:left w:val="single" w:color="auto" w:sz="4" w:space="0"/>
              <w:bottom w:val="single" w:color="auto" w:sz="4" w:space="0"/>
              <w:right w:val="single" w:color="auto" w:sz="4" w:space="0"/>
            </w:tcBorders>
            <w:noWrap/>
            <w:vAlign w:val="center"/>
          </w:tcPr>
          <w:p w14:paraId="107513BA">
            <w:pPr>
              <w:spacing w:line="500" w:lineRule="exact"/>
              <w:jc w:val="center"/>
              <w:rPr>
                <w:color w:val="auto"/>
                <w:sz w:val="24"/>
                <w:szCs w:val="24"/>
                <w:highlight w:val="none"/>
              </w:rPr>
            </w:pPr>
          </w:p>
        </w:tc>
        <w:tc>
          <w:tcPr>
            <w:tcW w:w="1350" w:type="dxa"/>
            <w:tcBorders>
              <w:top w:val="single" w:color="auto" w:sz="4" w:space="0"/>
              <w:left w:val="single" w:color="auto" w:sz="4" w:space="0"/>
              <w:bottom w:val="single" w:color="auto" w:sz="4" w:space="0"/>
              <w:right w:val="single" w:color="auto" w:sz="4" w:space="0"/>
            </w:tcBorders>
            <w:noWrap/>
            <w:vAlign w:val="center"/>
          </w:tcPr>
          <w:p w14:paraId="278EDC71">
            <w:pPr>
              <w:spacing w:line="500" w:lineRule="exact"/>
              <w:jc w:val="center"/>
              <w:rPr>
                <w:color w:val="auto"/>
                <w:sz w:val="24"/>
                <w:szCs w:val="24"/>
                <w:highlight w:val="none"/>
              </w:rPr>
            </w:pPr>
          </w:p>
        </w:tc>
      </w:tr>
      <w:tr w14:paraId="76F919D0">
        <w:tblPrEx>
          <w:tblCellMar>
            <w:top w:w="0" w:type="dxa"/>
            <w:left w:w="108" w:type="dxa"/>
            <w:bottom w:w="0" w:type="dxa"/>
            <w:right w:w="108" w:type="dxa"/>
          </w:tblCellMar>
        </w:tblPrEx>
        <w:trPr>
          <w:trHeight w:val="517" w:hRule="atLeast"/>
          <w:jc w:val="center"/>
        </w:trPr>
        <w:tc>
          <w:tcPr>
            <w:tcW w:w="553" w:type="dxa"/>
            <w:tcBorders>
              <w:top w:val="single" w:color="auto" w:sz="4" w:space="0"/>
              <w:left w:val="single" w:color="auto" w:sz="4" w:space="0"/>
              <w:bottom w:val="single" w:color="auto" w:sz="4" w:space="0"/>
              <w:right w:val="single" w:color="auto" w:sz="4" w:space="0"/>
            </w:tcBorders>
            <w:noWrap/>
            <w:vAlign w:val="center"/>
          </w:tcPr>
          <w:p w14:paraId="2CC0ED71">
            <w:pPr>
              <w:spacing w:line="500" w:lineRule="exact"/>
              <w:jc w:val="center"/>
              <w:rPr>
                <w:color w:val="auto"/>
                <w:sz w:val="24"/>
                <w:szCs w:val="24"/>
                <w:highlight w:val="none"/>
              </w:rPr>
            </w:pPr>
          </w:p>
        </w:tc>
        <w:tc>
          <w:tcPr>
            <w:tcW w:w="1026" w:type="dxa"/>
            <w:tcBorders>
              <w:top w:val="single" w:color="auto" w:sz="4" w:space="0"/>
              <w:left w:val="single" w:color="auto" w:sz="4" w:space="0"/>
              <w:bottom w:val="single" w:color="auto" w:sz="4" w:space="0"/>
              <w:right w:val="single" w:color="auto" w:sz="4" w:space="0"/>
            </w:tcBorders>
            <w:noWrap/>
            <w:vAlign w:val="center"/>
          </w:tcPr>
          <w:p w14:paraId="4D5BD15F">
            <w:pPr>
              <w:spacing w:line="500" w:lineRule="exact"/>
              <w:jc w:val="center"/>
              <w:rPr>
                <w:color w:val="auto"/>
                <w:sz w:val="24"/>
                <w:szCs w:val="24"/>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022D5DE0">
            <w:pPr>
              <w:spacing w:line="500" w:lineRule="exact"/>
              <w:jc w:val="center"/>
              <w:rPr>
                <w:color w:val="auto"/>
                <w:sz w:val="24"/>
                <w:szCs w:val="24"/>
                <w:highlight w:val="none"/>
              </w:rPr>
            </w:pPr>
          </w:p>
        </w:tc>
        <w:tc>
          <w:tcPr>
            <w:tcW w:w="1003" w:type="dxa"/>
            <w:tcBorders>
              <w:top w:val="single" w:color="auto" w:sz="4" w:space="0"/>
              <w:left w:val="single" w:color="auto" w:sz="4" w:space="0"/>
              <w:bottom w:val="single" w:color="auto" w:sz="4" w:space="0"/>
              <w:right w:val="single" w:color="auto" w:sz="4" w:space="0"/>
            </w:tcBorders>
            <w:noWrap/>
            <w:vAlign w:val="center"/>
          </w:tcPr>
          <w:p w14:paraId="05740A9F">
            <w:pPr>
              <w:spacing w:line="500" w:lineRule="exact"/>
              <w:jc w:val="center"/>
              <w:rPr>
                <w:color w:val="auto"/>
                <w:sz w:val="24"/>
                <w:szCs w:val="24"/>
                <w:highlight w:val="none"/>
              </w:rPr>
            </w:pPr>
          </w:p>
        </w:tc>
        <w:tc>
          <w:tcPr>
            <w:tcW w:w="1034" w:type="dxa"/>
            <w:tcBorders>
              <w:top w:val="single" w:color="auto" w:sz="4" w:space="0"/>
              <w:left w:val="single" w:color="auto" w:sz="4" w:space="0"/>
              <w:bottom w:val="single" w:color="auto" w:sz="4" w:space="0"/>
              <w:right w:val="single" w:color="auto" w:sz="4" w:space="0"/>
            </w:tcBorders>
            <w:noWrap/>
            <w:vAlign w:val="center"/>
          </w:tcPr>
          <w:p w14:paraId="2093CFC8">
            <w:pPr>
              <w:spacing w:line="500" w:lineRule="exact"/>
              <w:jc w:val="center"/>
              <w:rPr>
                <w:color w:val="auto"/>
                <w:sz w:val="24"/>
                <w:szCs w:val="24"/>
                <w:highlight w:val="none"/>
              </w:rPr>
            </w:pPr>
          </w:p>
        </w:tc>
        <w:tc>
          <w:tcPr>
            <w:tcW w:w="1150" w:type="dxa"/>
            <w:tcBorders>
              <w:top w:val="single" w:color="auto" w:sz="4" w:space="0"/>
              <w:left w:val="single" w:color="auto" w:sz="4" w:space="0"/>
              <w:bottom w:val="single" w:color="auto" w:sz="4" w:space="0"/>
              <w:right w:val="single" w:color="auto" w:sz="4" w:space="0"/>
            </w:tcBorders>
            <w:noWrap/>
            <w:vAlign w:val="center"/>
          </w:tcPr>
          <w:p w14:paraId="72396950">
            <w:pPr>
              <w:spacing w:line="500" w:lineRule="exact"/>
              <w:jc w:val="center"/>
              <w:rPr>
                <w:color w:val="auto"/>
                <w:sz w:val="24"/>
                <w:szCs w:val="24"/>
                <w:highlight w:val="none"/>
              </w:rPr>
            </w:pPr>
          </w:p>
        </w:tc>
        <w:tc>
          <w:tcPr>
            <w:tcW w:w="1283" w:type="dxa"/>
            <w:tcBorders>
              <w:top w:val="single" w:color="auto" w:sz="4" w:space="0"/>
              <w:left w:val="single" w:color="auto" w:sz="4" w:space="0"/>
              <w:bottom w:val="single" w:color="auto" w:sz="4" w:space="0"/>
              <w:right w:val="single" w:color="auto" w:sz="4" w:space="0"/>
            </w:tcBorders>
            <w:noWrap/>
            <w:vAlign w:val="center"/>
          </w:tcPr>
          <w:p w14:paraId="3F5912F5">
            <w:pPr>
              <w:spacing w:line="500" w:lineRule="exact"/>
              <w:jc w:val="center"/>
              <w:rPr>
                <w:color w:val="auto"/>
                <w:sz w:val="24"/>
                <w:szCs w:val="24"/>
                <w:highlight w:val="none"/>
              </w:rPr>
            </w:pPr>
          </w:p>
        </w:tc>
        <w:tc>
          <w:tcPr>
            <w:tcW w:w="817" w:type="dxa"/>
            <w:tcBorders>
              <w:top w:val="single" w:color="auto" w:sz="4" w:space="0"/>
              <w:left w:val="single" w:color="auto" w:sz="4" w:space="0"/>
              <w:bottom w:val="single" w:color="auto" w:sz="4" w:space="0"/>
              <w:right w:val="single" w:color="auto" w:sz="4" w:space="0"/>
            </w:tcBorders>
            <w:noWrap/>
            <w:vAlign w:val="center"/>
          </w:tcPr>
          <w:p w14:paraId="7D7B7C6A">
            <w:pPr>
              <w:spacing w:line="500" w:lineRule="exact"/>
              <w:jc w:val="center"/>
              <w:rPr>
                <w:color w:val="auto"/>
                <w:sz w:val="24"/>
                <w:szCs w:val="24"/>
                <w:highlight w:val="none"/>
              </w:rPr>
            </w:pPr>
          </w:p>
        </w:tc>
        <w:tc>
          <w:tcPr>
            <w:tcW w:w="1350" w:type="dxa"/>
            <w:tcBorders>
              <w:top w:val="single" w:color="auto" w:sz="4" w:space="0"/>
              <w:left w:val="single" w:color="auto" w:sz="4" w:space="0"/>
              <w:bottom w:val="single" w:color="auto" w:sz="4" w:space="0"/>
              <w:right w:val="single" w:color="auto" w:sz="4" w:space="0"/>
            </w:tcBorders>
            <w:noWrap/>
            <w:vAlign w:val="center"/>
          </w:tcPr>
          <w:p w14:paraId="50D41367">
            <w:pPr>
              <w:spacing w:line="500" w:lineRule="exact"/>
              <w:jc w:val="center"/>
              <w:rPr>
                <w:color w:val="auto"/>
                <w:sz w:val="24"/>
                <w:szCs w:val="24"/>
                <w:highlight w:val="none"/>
              </w:rPr>
            </w:pPr>
          </w:p>
        </w:tc>
      </w:tr>
      <w:tr w14:paraId="53912C12">
        <w:tblPrEx>
          <w:tblCellMar>
            <w:top w:w="0" w:type="dxa"/>
            <w:left w:w="108" w:type="dxa"/>
            <w:bottom w:w="0" w:type="dxa"/>
            <w:right w:w="108" w:type="dxa"/>
          </w:tblCellMar>
        </w:tblPrEx>
        <w:trPr>
          <w:trHeight w:val="517" w:hRule="atLeast"/>
          <w:jc w:val="center"/>
        </w:trPr>
        <w:tc>
          <w:tcPr>
            <w:tcW w:w="553" w:type="dxa"/>
            <w:tcBorders>
              <w:top w:val="single" w:color="auto" w:sz="4" w:space="0"/>
              <w:left w:val="single" w:color="auto" w:sz="4" w:space="0"/>
              <w:bottom w:val="single" w:color="auto" w:sz="4" w:space="0"/>
              <w:right w:val="single" w:color="auto" w:sz="4" w:space="0"/>
            </w:tcBorders>
            <w:noWrap/>
            <w:vAlign w:val="center"/>
          </w:tcPr>
          <w:p w14:paraId="58D02859">
            <w:pPr>
              <w:spacing w:line="500" w:lineRule="exact"/>
              <w:jc w:val="center"/>
              <w:rPr>
                <w:color w:val="auto"/>
                <w:sz w:val="24"/>
                <w:szCs w:val="24"/>
                <w:highlight w:val="none"/>
              </w:rPr>
            </w:pPr>
          </w:p>
        </w:tc>
        <w:tc>
          <w:tcPr>
            <w:tcW w:w="1026" w:type="dxa"/>
            <w:tcBorders>
              <w:top w:val="single" w:color="auto" w:sz="4" w:space="0"/>
              <w:left w:val="single" w:color="auto" w:sz="4" w:space="0"/>
              <w:bottom w:val="single" w:color="auto" w:sz="4" w:space="0"/>
              <w:right w:val="single" w:color="auto" w:sz="4" w:space="0"/>
            </w:tcBorders>
            <w:noWrap/>
            <w:vAlign w:val="center"/>
          </w:tcPr>
          <w:p w14:paraId="5E4EA34E">
            <w:pPr>
              <w:spacing w:line="500" w:lineRule="exact"/>
              <w:jc w:val="center"/>
              <w:rPr>
                <w:color w:val="auto"/>
                <w:sz w:val="24"/>
                <w:szCs w:val="24"/>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4F43F488">
            <w:pPr>
              <w:spacing w:line="500" w:lineRule="exact"/>
              <w:jc w:val="center"/>
              <w:rPr>
                <w:color w:val="auto"/>
                <w:sz w:val="24"/>
                <w:szCs w:val="24"/>
                <w:highlight w:val="none"/>
              </w:rPr>
            </w:pPr>
          </w:p>
        </w:tc>
        <w:tc>
          <w:tcPr>
            <w:tcW w:w="1003" w:type="dxa"/>
            <w:tcBorders>
              <w:top w:val="single" w:color="auto" w:sz="4" w:space="0"/>
              <w:left w:val="single" w:color="auto" w:sz="4" w:space="0"/>
              <w:bottom w:val="single" w:color="auto" w:sz="4" w:space="0"/>
              <w:right w:val="single" w:color="auto" w:sz="4" w:space="0"/>
            </w:tcBorders>
            <w:noWrap/>
            <w:vAlign w:val="center"/>
          </w:tcPr>
          <w:p w14:paraId="6C055987">
            <w:pPr>
              <w:spacing w:line="500" w:lineRule="exact"/>
              <w:jc w:val="center"/>
              <w:rPr>
                <w:color w:val="auto"/>
                <w:sz w:val="24"/>
                <w:szCs w:val="24"/>
                <w:highlight w:val="none"/>
              </w:rPr>
            </w:pPr>
          </w:p>
        </w:tc>
        <w:tc>
          <w:tcPr>
            <w:tcW w:w="1034" w:type="dxa"/>
            <w:tcBorders>
              <w:top w:val="single" w:color="auto" w:sz="4" w:space="0"/>
              <w:left w:val="single" w:color="auto" w:sz="4" w:space="0"/>
              <w:bottom w:val="single" w:color="auto" w:sz="4" w:space="0"/>
              <w:right w:val="single" w:color="auto" w:sz="4" w:space="0"/>
            </w:tcBorders>
            <w:noWrap/>
            <w:vAlign w:val="center"/>
          </w:tcPr>
          <w:p w14:paraId="7FAB6923">
            <w:pPr>
              <w:spacing w:line="500" w:lineRule="exact"/>
              <w:jc w:val="center"/>
              <w:rPr>
                <w:color w:val="auto"/>
                <w:sz w:val="24"/>
                <w:szCs w:val="24"/>
                <w:highlight w:val="none"/>
              </w:rPr>
            </w:pPr>
          </w:p>
        </w:tc>
        <w:tc>
          <w:tcPr>
            <w:tcW w:w="1150" w:type="dxa"/>
            <w:tcBorders>
              <w:top w:val="single" w:color="auto" w:sz="4" w:space="0"/>
              <w:left w:val="single" w:color="auto" w:sz="4" w:space="0"/>
              <w:bottom w:val="single" w:color="auto" w:sz="4" w:space="0"/>
              <w:right w:val="single" w:color="auto" w:sz="4" w:space="0"/>
            </w:tcBorders>
            <w:noWrap/>
            <w:vAlign w:val="center"/>
          </w:tcPr>
          <w:p w14:paraId="574804D8">
            <w:pPr>
              <w:spacing w:line="500" w:lineRule="exact"/>
              <w:jc w:val="center"/>
              <w:rPr>
                <w:color w:val="auto"/>
                <w:sz w:val="24"/>
                <w:szCs w:val="24"/>
                <w:highlight w:val="none"/>
              </w:rPr>
            </w:pPr>
          </w:p>
        </w:tc>
        <w:tc>
          <w:tcPr>
            <w:tcW w:w="1283" w:type="dxa"/>
            <w:tcBorders>
              <w:top w:val="single" w:color="auto" w:sz="4" w:space="0"/>
              <w:left w:val="single" w:color="auto" w:sz="4" w:space="0"/>
              <w:bottom w:val="single" w:color="auto" w:sz="4" w:space="0"/>
              <w:right w:val="single" w:color="auto" w:sz="4" w:space="0"/>
            </w:tcBorders>
            <w:noWrap/>
            <w:vAlign w:val="center"/>
          </w:tcPr>
          <w:p w14:paraId="42BBBC5B">
            <w:pPr>
              <w:spacing w:line="500" w:lineRule="exact"/>
              <w:jc w:val="center"/>
              <w:rPr>
                <w:color w:val="auto"/>
                <w:sz w:val="24"/>
                <w:szCs w:val="24"/>
                <w:highlight w:val="none"/>
              </w:rPr>
            </w:pPr>
          </w:p>
        </w:tc>
        <w:tc>
          <w:tcPr>
            <w:tcW w:w="817" w:type="dxa"/>
            <w:tcBorders>
              <w:top w:val="single" w:color="auto" w:sz="4" w:space="0"/>
              <w:left w:val="single" w:color="auto" w:sz="4" w:space="0"/>
              <w:bottom w:val="single" w:color="auto" w:sz="4" w:space="0"/>
              <w:right w:val="single" w:color="auto" w:sz="4" w:space="0"/>
            </w:tcBorders>
            <w:noWrap/>
            <w:vAlign w:val="center"/>
          </w:tcPr>
          <w:p w14:paraId="2245F7C8">
            <w:pPr>
              <w:spacing w:line="500" w:lineRule="exact"/>
              <w:jc w:val="center"/>
              <w:rPr>
                <w:color w:val="auto"/>
                <w:sz w:val="24"/>
                <w:szCs w:val="24"/>
                <w:highlight w:val="none"/>
              </w:rPr>
            </w:pPr>
          </w:p>
        </w:tc>
        <w:tc>
          <w:tcPr>
            <w:tcW w:w="1350" w:type="dxa"/>
            <w:tcBorders>
              <w:top w:val="single" w:color="auto" w:sz="4" w:space="0"/>
              <w:left w:val="single" w:color="auto" w:sz="4" w:space="0"/>
              <w:bottom w:val="single" w:color="auto" w:sz="4" w:space="0"/>
              <w:right w:val="single" w:color="auto" w:sz="4" w:space="0"/>
            </w:tcBorders>
            <w:noWrap/>
            <w:vAlign w:val="center"/>
          </w:tcPr>
          <w:p w14:paraId="44A117E8">
            <w:pPr>
              <w:spacing w:line="500" w:lineRule="exact"/>
              <w:jc w:val="center"/>
              <w:rPr>
                <w:color w:val="auto"/>
                <w:sz w:val="24"/>
                <w:szCs w:val="24"/>
                <w:highlight w:val="none"/>
              </w:rPr>
            </w:pPr>
          </w:p>
        </w:tc>
      </w:tr>
      <w:tr w14:paraId="412D6392">
        <w:tblPrEx>
          <w:tblCellMar>
            <w:top w:w="0" w:type="dxa"/>
            <w:left w:w="108" w:type="dxa"/>
            <w:bottom w:w="0" w:type="dxa"/>
            <w:right w:w="108" w:type="dxa"/>
          </w:tblCellMar>
        </w:tblPrEx>
        <w:trPr>
          <w:trHeight w:val="517" w:hRule="atLeast"/>
          <w:jc w:val="center"/>
        </w:trPr>
        <w:tc>
          <w:tcPr>
            <w:tcW w:w="553" w:type="dxa"/>
            <w:tcBorders>
              <w:top w:val="single" w:color="auto" w:sz="4" w:space="0"/>
              <w:left w:val="single" w:color="auto" w:sz="4" w:space="0"/>
              <w:bottom w:val="single" w:color="auto" w:sz="4" w:space="0"/>
              <w:right w:val="single" w:color="auto" w:sz="4" w:space="0"/>
            </w:tcBorders>
            <w:noWrap/>
            <w:vAlign w:val="center"/>
          </w:tcPr>
          <w:p w14:paraId="548672CA">
            <w:pPr>
              <w:spacing w:line="500" w:lineRule="exact"/>
              <w:jc w:val="center"/>
              <w:rPr>
                <w:color w:val="auto"/>
                <w:sz w:val="24"/>
                <w:szCs w:val="24"/>
                <w:highlight w:val="none"/>
              </w:rPr>
            </w:pPr>
          </w:p>
        </w:tc>
        <w:tc>
          <w:tcPr>
            <w:tcW w:w="1026" w:type="dxa"/>
            <w:tcBorders>
              <w:top w:val="single" w:color="auto" w:sz="4" w:space="0"/>
              <w:left w:val="single" w:color="auto" w:sz="4" w:space="0"/>
              <w:bottom w:val="single" w:color="auto" w:sz="4" w:space="0"/>
              <w:right w:val="single" w:color="auto" w:sz="4" w:space="0"/>
            </w:tcBorders>
            <w:noWrap/>
            <w:vAlign w:val="center"/>
          </w:tcPr>
          <w:p w14:paraId="3AB098C0">
            <w:pPr>
              <w:spacing w:line="500" w:lineRule="exact"/>
              <w:jc w:val="center"/>
              <w:rPr>
                <w:color w:val="auto"/>
                <w:sz w:val="24"/>
                <w:szCs w:val="24"/>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19E741C6">
            <w:pPr>
              <w:spacing w:line="500" w:lineRule="exact"/>
              <w:jc w:val="center"/>
              <w:rPr>
                <w:color w:val="auto"/>
                <w:sz w:val="24"/>
                <w:szCs w:val="24"/>
                <w:highlight w:val="none"/>
              </w:rPr>
            </w:pPr>
          </w:p>
        </w:tc>
        <w:tc>
          <w:tcPr>
            <w:tcW w:w="1003" w:type="dxa"/>
            <w:tcBorders>
              <w:top w:val="single" w:color="auto" w:sz="4" w:space="0"/>
              <w:left w:val="single" w:color="auto" w:sz="4" w:space="0"/>
              <w:bottom w:val="single" w:color="auto" w:sz="4" w:space="0"/>
              <w:right w:val="single" w:color="auto" w:sz="4" w:space="0"/>
            </w:tcBorders>
            <w:noWrap/>
            <w:vAlign w:val="center"/>
          </w:tcPr>
          <w:p w14:paraId="347A0949">
            <w:pPr>
              <w:spacing w:line="500" w:lineRule="exact"/>
              <w:jc w:val="center"/>
              <w:rPr>
                <w:color w:val="auto"/>
                <w:sz w:val="24"/>
                <w:szCs w:val="24"/>
                <w:highlight w:val="none"/>
              </w:rPr>
            </w:pPr>
          </w:p>
        </w:tc>
        <w:tc>
          <w:tcPr>
            <w:tcW w:w="1034" w:type="dxa"/>
            <w:tcBorders>
              <w:top w:val="single" w:color="auto" w:sz="4" w:space="0"/>
              <w:left w:val="single" w:color="auto" w:sz="4" w:space="0"/>
              <w:bottom w:val="single" w:color="auto" w:sz="4" w:space="0"/>
              <w:right w:val="single" w:color="auto" w:sz="4" w:space="0"/>
            </w:tcBorders>
            <w:noWrap/>
            <w:vAlign w:val="center"/>
          </w:tcPr>
          <w:p w14:paraId="0A9AD976">
            <w:pPr>
              <w:spacing w:line="500" w:lineRule="exact"/>
              <w:jc w:val="center"/>
              <w:rPr>
                <w:color w:val="auto"/>
                <w:sz w:val="24"/>
                <w:szCs w:val="24"/>
                <w:highlight w:val="none"/>
              </w:rPr>
            </w:pPr>
          </w:p>
        </w:tc>
        <w:tc>
          <w:tcPr>
            <w:tcW w:w="1150" w:type="dxa"/>
            <w:tcBorders>
              <w:top w:val="single" w:color="auto" w:sz="4" w:space="0"/>
              <w:left w:val="single" w:color="auto" w:sz="4" w:space="0"/>
              <w:bottom w:val="single" w:color="auto" w:sz="4" w:space="0"/>
              <w:right w:val="single" w:color="auto" w:sz="4" w:space="0"/>
            </w:tcBorders>
            <w:noWrap/>
            <w:vAlign w:val="center"/>
          </w:tcPr>
          <w:p w14:paraId="491EC08C">
            <w:pPr>
              <w:spacing w:line="500" w:lineRule="exact"/>
              <w:jc w:val="center"/>
              <w:rPr>
                <w:color w:val="auto"/>
                <w:sz w:val="24"/>
                <w:szCs w:val="24"/>
                <w:highlight w:val="none"/>
              </w:rPr>
            </w:pPr>
          </w:p>
        </w:tc>
        <w:tc>
          <w:tcPr>
            <w:tcW w:w="1283" w:type="dxa"/>
            <w:tcBorders>
              <w:top w:val="single" w:color="auto" w:sz="4" w:space="0"/>
              <w:left w:val="single" w:color="auto" w:sz="4" w:space="0"/>
              <w:bottom w:val="single" w:color="auto" w:sz="4" w:space="0"/>
              <w:right w:val="single" w:color="auto" w:sz="4" w:space="0"/>
            </w:tcBorders>
            <w:noWrap/>
            <w:vAlign w:val="center"/>
          </w:tcPr>
          <w:p w14:paraId="1FA170EA">
            <w:pPr>
              <w:spacing w:line="500" w:lineRule="exact"/>
              <w:jc w:val="center"/>
              <w:rPr>
                <w:color w:val="auto"/>
                <w:sz w:val="24"/>
                <w:szCs w:val="24"/>
                <w:highlight w:val="none"/>
              </w:rPr>
            </w:pPr>
          </w:p>
        </w:tc>
        <w:tc>
          <w:tcPr>
            <w:tcW w:w="817" w:type="dxa"/>
            <w:tcBorders>
              <w:top w:val="single" w:color="auto" w:sz="4" w:space="0"/>
              <w:left w:val="single" w:color="auto" w:sz="4" w:space="0"/>
              <w:bottom w:val="single" w:color="auto" w:sz="4" w:space="0"/>
              <w:right w:val="single" w:color="auto" w:sz="4" w:space="0"/>
            </w:tcBorders>
            <w:noWrap/>
            <w:vAlign w:val="center"/>
          </w:tcPr>
          <w:p w14:paraId="7E67FA32">
            <w:pPr>
              <w:spacing w:line="500" w:lineRule="exact"/>
              <w:jc w:val="center"/>
              <w:rPr>
                <w:color w:val="auto"/>
                <w:sz w:val="24"/>
                <w:szCs w:val="24"/>
                <w:highlight w:val="none"/>
              </w:rPr>
            </w:pPr>
          </w:p>
        </w:tc>
        <w:tc>
          <w:tcPr>
            <w:tcW w:w="1350" w:type="dxa"/>
            <w:tcBorders>
              <w:top w:val="single" w:color="auto" w:sz="4" w:space="0"/>
              <w:left w:val="single" w:color="auto" w:sz="4" w:space="0"/>
              <w:bottom w:val="single" w:color="auto" w:sz="4" w:space="0"/>
              <w:right w:val="single" w:color="auto" w:sz="4" w:space="0"/>
            </w:tcBorders>
            <w:noWrap/>
            <w:vAlign w:val="center"/>
          </w:tcPr>
          <w:p w14:paraId="2EB3077B">
            <w:pPr>
              <w:spacing w:line="500" w:lineRule="exact"/>
              <w:jc w:val="center"/>
              <w:rPr>
                <w:color w:val="auto"/>
                <w:sz w:val="24"/>
                <w:szCs w:val="24"/>
                <w:highlight w:val="none"/>
              </w:rPr>
            </w:pPr>
          </w:p>
        </w:tc>
      </w:tr>
      <w:tr w14:paraId="7C0DF30C">
        <w:tblPrEx>
          <w:tblCellMar>
            <w:top w:w="0" w:type="dxa"/>
            <w:left w:w="108" w:type="dxa"/>
            <w:bottom w:w="0" w:type="dxa"/>
            <w:right w:w="108" w:type="dxa"/>
          </w:tblCellMar>
        </w:tblPrEx>
        <w:trPr>
          <w:trHeight w:val="519" w:hRule="atLeast"/>
          <w:jc w:val="center"/>
        </w:trPr>
        <w:tc>
          <w:tcPr>
            <w:tcW w:w="553" w:type="dxa"/>
            <w:tcBorders>
              <w:top w:val="single" w:color="auto" w:sz="4" w:space="0"/>
              <w:left w:val="single" w:color="auto" w:sz="4" w:space="0"/>
              <w:bottom w:val="single" w:color="auto" w:sz="4" w:space="0"/>
              <w:right w:val="single" w:color="auto" w:sz="4" w:space="0"/>
            </w:tcBorders>
            <w:noWrap/>
            <w:vAlign w:val="center"/>
          </w:tcPr>
          <w:p w14:paraId="370A7252">
            <w:pPr>
              <w:spacing w:line="500" w:lineRule="exact"/>
              <w:jc w:val="center"/>
              <w:rPr>
                <w:color w:val="auto"/>
                <w:sz w:val="24"/>
                <w:szCs w:val="24"/>
                <w:highlight w:val="none"/>
              </w:rPr>
            </w:pPr>
          </w:p>
        </w:tc>
        <w:tc>
          <w:tcPr>
            <w:tcW w:w="1026" w:type="dxa"/>
            <w:tcBorders>
              <w:top w:val="single" w:color="auto" w:sz="4" w:space="0"/>
              <w:left w:val="single" w:color="auto" w:sz="4" w:space="0"/>
              <w:bottom w:val="single" w:color="auto" w:sz="4" w:space="0"/>
              <w:right w:val="single" w:color="auto" w:sz="4" w:space="0"/>
            </w:tcBorders>
            <w:noWrap/>
            <w:vAlign w:val="center"/>
          </w:tcPr>
          <w:p w14:paraId="79BFDC81">
            <w:pPr>
              <w:spacing w:line="500" w:lineRule="exact"/>
              <w:jc w:val="center"/>
              <w:rPr>
                <w:color w:val="auto"/>
                <w:sz w:val="24"/>
                <w:szCs w:val="24"/>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5891D399">
            <w:pPr>
              <w:spacing w:line="500" w:lineRule="exact"/>
              <w:jc w:val="center"/>
              <w:rPr>
                <w:color w:val="auto"/>
                <w:sz w:val="24"/>
                <w:szCs w:val="24"/>
                <w:highlight w:val="none"/>
              </w:rPr>
            </w:pPr>
          </w:p>
        </w:tc>
        <w:tc>
          <w:tcPr>
            <w:tcW w:w="1003" w:type="dxa"/>
            <w:tcBorders>
              <w:top w:val="single" w:color="auto" w:sz="4" w:space="0"/>
              <w:left w:val="single" w:color="auto" w:sz="4" w:space="0"/>
              <w:bottom w:val="single" w:color="auto" w:sz="4" w:space="0"/>
              <w:right w:val="single" w:color="auto" w:sz="4" w:space="0"/>
            </w:tcBorders>
            <w:noWrap/>
            <w:vAlign w:val="center"/>
          </w:tcPr>
          <w:p w14:paraId="212D63BD">
            <w:pPr>
              <w:spacing w:line="500" w:lineRule="exact"/>
              <w:jc w:val="center"/>
              <w:rPr>
                <w:color w:val="auto"/>
                <w:sz w:val="24"/>
                <w:szCs w:val="24"/>
                <w:highlight w:val="none"/>
              </w:rPr>
            </w:pPr>
          </w:p>
        </w:tc>
        <w:tc>
          <w:tcPr>
            <w:tcW w:w="1034" w:type="dxa"/>
            <w:tcBorders>
              <w:top w:val="single" w:color="auto" w:sz="4" w:space="0"/>
              <w:left w:val="single" w:color="auto" w:sz="4" w:space="0"/>
              <w:bottom w:val="single" w:color="auto" w:sz="4" w:space="0"/>
              <w:right w:val="single" w:color="auto" w:sz="4" w:space="0"/>
            </w:tcBorders>
            <w:noWrap/>
            <w:vAlign w:val="center"/>
          </w:tcPr>
          <w:p w14:paraId="3FD4BF1D">
            <w:pPr>
              <w:spacing w:line="500" w:lineRule="exact"/>
              <w:jc w:val="center"/>
              <w:rPr>
                <w:color w:val="auto"/>
                <w:sz w:val="24"/>
                <w:szCs w:val="24"/>
                <w:highlight w:val="none"/>
              </w:rPr>
            </w:pPr>
          </w:p>
        </w:tc>
        <w:tc>
          <w:tcPr>
            <w:tcW w:w="1150" w:type="dxa"/>
            <w:tcBorders>
              <w:top w:val="single" w:color="auto" w:sz="4" w:space="0"/>
              <w:left w:val="single" w:color="auto" w:sz="4" w:space="0"/>
              <w:bottom w:val="single" w:color="auto" w:sz="4" w:space="0"/>
              <w:right w:val="single" w:color="auto" w:sz="4" w:space="0"/>
            </w:tcBorders>
            <w:noWrap/>
            <w:vAlign w:val="center"/>
          </w:tcPr>
          <w:p w14:paraId="1EE471CF">
            <w:pPr>
              <w:spacing w:line="500" w:lineRule="exact"/>
              <w:jc w:val="center"/>
              <w:rPr>
                <w:color w:val="auto"/>
                <w:sz w:val="24"/>
                <w:szCs w:val="24"/>
                <w:highlight w:val="none"/>
              </w:rPr>
            </w:pPr>
          </w:p>
        </w:tc>
        <w:tc>
          <w:tcPr>
            <w:tcW w:w="1283" w:type="dxa"/>
            <w:tcBorders>
              <w:top w:val="single" w:color="auto" w:sz="4" w:space="0"/>
              <w:left w:val="single" w:color="auto" w:sz="4" w:space="0"/>
              <w:bottom w:val="single" w:color="auto" w:sz="4" w:space="0"/>
              <w:right w:val="single" w:color="auto" w:sz="4" w:space="0"/>
            </w:tcBorders>
            <w:noWrap/>
            <w:vAlign w:val="center"/>
          </w:tcPr>
          <w:p w14:paraId="5105C81C">
            <w:pPr>
              <w:spacing w:line="500" w:lineRule="exact"/>
              <w:jc w:val="center"/>
              <w:rPr>
                <w:color w:val="auto"/>
                <w:sz w:val="24"/>
                <w:szCs w:val="24"/>
                <w:highlight w:val="none"/>
              </w:rPr>
            </w:pPr>
          </w:p>
        </w:tc>
        <w:tc>
          <w:tcPr>
            <w:tcW w:w="817" w:type="dxa"/>
            <w:tcBorders>
              <w:top w:val="single" w:color="auto" w:sz="4" w:space="0"/>
              <w:left w:val="single" w:color="auto" w:sz="4" w:space="0"/>
              <w:bottom w:val="single" w:color="auto" w:sz="4" w:space="0"/>
              <w:right w:val="single" w:color="auto" w:sz="4" w:space="0"/>
            </w:tcBorders>
            <w:noWrap/>
            <w:vAlign w:val="center"/>
          </w:tcPr>
          <w:p w14:paraId="29ECAD29">
            <w:pPr>
              <w:spacing w:line="500" w:lineRule="exact"/>
              <w:jc w:val="center"/>
              <w:rPr>
                <w:color w:val="auto"/>
                <w:sz w:val="24"/>
                <w:szCs w:val="24"/>
                <w:highlight w:val="none"/>
              </w:rPr>
            </w:pPr>
          </w:p>
        </w:tc>
        <w:tc>
          <w:tcPr>
            <w:tcW w:w="1350" w:type="dxa"/>
            <w:tcBorders>
              <w:top w:val="single" w:color="auto" w:sz="4" w:space="0"/>
              <w:left w:val="single" w:color="auto" w:sz="4" w:space="0"/>
              <w:bottom w:val="single" w:color="auto" w:sz="4" w:space="0"/>
              <w:right w:val="single" w:color="auto" w:sz="4" w:space="0"/>
            </w:tcBorders>
            <w:noWrap/>
            <w:vAlign w:val="center"/>
          </w:tcPr>
          <w:p w14:paraId="7DD8EB4A">
            <w:pPr>
              <w:spacing w:line="500" w:lineRule="exact"/>
              <w:jc w:val="center"/>
              <w:rPr>
                <w:color w:val="auto"/>
                <w:sz w:val="24"/>
                <w:szCs w:val="24"/>
                <w:highlight w:val="none"/>
              </w:rPr>
            </w:pPr>
          </w:p>
        </w:tc>
      </w:tr>
    </w:tbl>
    <w:p w14:paraId="5874EA1A">
      <w:pPr>
        <w:spacing w:line="620" w:lineRule="exact"/>
        <w:rPr>
          <w:color w:val="auto"/>
          <w:sz w:val="24"/>
          <w:szCs w:val="24"/>
          <w:highlight w:val="none"/>
        </w:rPr>
      </w:pPr>
      <w:r>
        <w:rPr>
          <w:color w:val="auto"/>
          <w:sz w:val="24"/>
          <w:szCs w:val="24"/>
          <w:highlight w:val="none"/>
        </w:rPr>
        <w:t>招标人代表：记录人：监标人：</w:t>
      </w:r>
    </w:p>
    <w:p w14:paraId="20D9017F">
      <w:pPr>
        <w:spacing w:line="620" w:lineRule="exact"/>
        <w:jc w:val="right"/>
        <w:rPr>
          <w:color w:val="auto"/>
          <w:sz w:val="20"/>
          <w:highlight w:val="none"/>
        </w:rPr>
      </w:pPr>
      <w:r>
        <w:rPr>
          <w:color w:val="auto"/>
          <w:sz w:val="24"/>
          <w:szCs w:val="24"/>
          <w:highlight w:val="none"/>
        </w:rPr>
        <w:t>年月日</w:t>
      </w:r>
    </w:p>
    <w:p w14:paraId="653E032D">
      <w:pPr>
        <w:rPr>
          <w:b/>
          <w:color w:val="auto"/>
          <w:sz w:val="28"/>
          <w:szCs w:val="20"/>
          <w:highlight w:val="none"/>
        </w:rPr>
      </w:pPr>
      <w:bookmarkStart w:id="105" w:name="_Toc530470625"/>
      <w:bookmarkStart w:id="106" w:name="_Toc535938715"/>
      <w:r>
        <w:rPr>
          <w:rFonts w:hint="eastAsia"/>
          <w:b/>
          <w:color w:val="auto"/>
          <w:sz w:val="28"/>
          <w:szCs w:val="20"/>
          <w:highlight w:val="none"/>
        </w:rPr>
        <w:br w:type="page"/>
      </w:r>
    </w:p>
    <w:p w14:paraId="41A51C79">
      <w:pPr>
        <w:spacing w:line="360" w:lineRule="auto"/>
        <w:jc w:val="center"/>
        <w:rPr>
          <w:b/>
          <w:color w:val="auto"/>
          <w:sz w:val="28"/>
          <w:szCs w:val="20"/>
          <w:highlight w:val="none"/>
        </w:rPr>
      </w:pPr>
      <w:r>
        <w:rPr>
          <w:rFonts w:hint="eastAsia"/>
          <w:b/>
          <w:color w:val="auto"/>
          <w:sz w:val="28"/>
          <w:szCs w:val="20"/>
          <w:highlight w:val="none"/>
        </w:rPr>
        <w:t>附件二：问题澄清通知（按广州交易集团有限公司（广州公共资源交易中心）问题澄清通知格式）</w:t>
      </w:r>
      <w:bookmarkEnd w:id="105"/>
      <w:bookmarkEnd w:id="106"/>
      <w:bookmarkStart w:id="107" w:name="_Toc152042355"/>
      <w:bookmarkStart w:id="108" w:name="_Toc144974546"/>
    </w:p>
    <w:p w14:paraId="3C60C8FB">
      <w:pPr>
        <w:pStyle w:val="20"/>
        <w:rPr>
          <w:b/>
          <w:color w:val="auto"/>
          <w:sz w:val="28"/>
          <w:szCs w:val="20"/>
          <w:highlight w:val="none"/>
        </w:rPr>
      </w:pPr>
    </w:p>
    <w:p w14:paraId="4C641D5F">
      <w:pPr>
        <w:spacing w:line="400" w:lineRule="exact"/>
        <w:jc w:val="center"/>
        <w:rPr>
          <w:rFonts w:eastAsia="黑体"/>
          <w:color w:val="auto"/>
          <w:sz w:val="28"/>
          <w:highlight w:val="none"/>
        </w:rPr>
      </w:pPr>
      <w:bookmarkStart w:id="109" w:name="_Toc529196578"/>
      <w:bookmarkStart w:id="110" w:name="_Toc530470626"/>
      <w:bookmarkStart w:id="111" w:name="_Toc535938716"/>
      <w:r>
        <w:rPr>
          <w:rFonts w:hint="eastAsia"/>
          <w:b/>
          <w:color w:val="auto"/>
          <w:sz w:val="28"/>
          <w:szCs w:val="20"/>
          <w:highlight w:val="none"/>
        </w:rPr>
        <w:t>附件三：问题的澄清</w:t>
      </w:r>
      <w:bookmarkEnd w:id="107"/>
      <w:bookmarkStart w:id="112" w:name="_Toc352691524"/>
      <w:bookmarkStart w:id="113" w:name="_Toc247514003"/>
      <w:bookmarkStart w:id="114" w:name="_Toc369531568"/>
      <w:bookmarkStart w:id="115" w:name="_Toc152042356"/>
      <w:bookmarkStart w:id="116" w:name="_Toc247527604"/>
      <w:bookmarkStart w:id="117" w:name="_Toc3622"/>
      <w:bookmarkStart w:id="118" w:name="_Toc300834999"/>
      <w:bookmarkStart w:id="119" w:name="_Toc384308263"/>
      <w:bookmarkStart w:id="120" w:name="_Toc152045579"/>
      <w:bookmarkStart w:id="121" w:name="_Toc361508637"/>
      <w:r>
        <w:rPr>
          <w:rFonts w:hint="eastAsia"/>
          <w:b/>
          <w:color w:val="auto"/>
          <w:sz w:val="28"/>
          <w:szCs w:val="20"/>
          <w:highlight w:val="none"/>
        </w:rPr>
        <w:t>（按广州交易集团有限公司（广州公共资源交易中心）问题澄清格式）</w:t>
      </w:r>
      <w:bookmarkEnd w:id="109"/>
      <w:bookmarkEnd w:id="110"/>
      <w:bookmarkEnd w:id="111"/>
    </w:p>
    <w:p w14:paraId="7B875AB9">
      <w:pPr>
        <w:pStyle w:val="20"/>
        <w:rPr>
          <w:b/>
          <w:color w:val="auto"/>
          <w:sz w:val="28"/>
          <w:szCs w:val="20"/>
          <w:highlight w:val="none"/>
        </w:rPr>
      </w:pPr>
    </w:p>
    <w:p w14:paraId="38F65E62">
      <w:pPr>
        <w:pStyle w:val="20"/>
        <w:rPr>
          <w:color w:val="auto"/>
          <w:highlight w:val="none"/>
        </w:rPr>
      </w:pPr>
    </w:p>
    <w:bookmarkEnd w:id="108"/>
    <w:bookmarkEnd w:id="112"/>
    <w:bookmarkEnd w:id="113"/>
    <w:bookmarkEnd w:id="114"/>
    <w:bookmarkEnd w:id="115"/>
    <w:bookmarkEnd w:id="116"/>
    <w:bookmarkEnd w:id="117"/>
    <w:bookmarkEnd w:id="118"/>
    <w:bookmarkEnd w:id="119"/>
    <w:bookmarkEnd w:id="120"/>
    <w:bookmarkEnd w:id="121"/>
    <w:p w14:paraId="4A44E790">
      <w:pPr>
        <w:spacing w:after="240"/>
        <w:rPr>
          <w:b/>
          <w:color w:val="auto"/>
          <w:sz w:val="28"/>
          <w:szCs w:val="20"/>
          <w:highlight w:val="none"/>
        </w:rPr>
      </w:pPr>
      <w:bookmarkStart w:id="122" w:name="_Toc492300623"/>
      <w:bookmarkStart w:id="123" w:name="_Toc529196579"/>
      <w:bookmarkStart w:id="124" w:name="_Toc535938718"/>
      <w:bookmarkStart w:id="125" w:name="_Toc530470627"/>
      <w:r>
        <w:rPr>
          <w:rFonts w:hint="eastAsia"/>
          <w:b/>
          <w:color w:val="auto"/>
          <w:sz w:val="28"/>
          <w:szCs w:val="20"/>
          <w:highlight w:val="none"/>
        </w:rPr>
        <w:t>附件四：中标通知书</w:t>
      </w:r>
      <w:bookmarkEnd w:id="122"/>
      <w:r>
        <w:rPr>
          <w:rFonts w:hint="eastAsia"/>
          <w:b/>
          <w:color w:val="auto"/>
          <w:sz w:val="28"/>
          <w:szCs w:val="20"/>
          <w:highlight w:val="none"/>
        </w:rPr>
        <w:t>（按广州交易集团有限公司（广州公共资源交易中心）中标通知书格式）</w:t>
      </w:r>
      <w:bookmarkEnd w:id="123"/>
      <w:bookmarkEnd w:id="124"/>
      <w:bookmarkEnd w:id="125"/>
    </w:p>
    <w:p w14:paraId="4EF5B711">
      <w:pPr>
        <w:spacing w:line="440" w:lineRule="exact"/>
        <w:rPr>
          <w:color w:val="auto"/>
          <w:highlight w:val="none"/>
        </w:rPr>
      </w:pPr>
    </w:p>
    <w:p w14:paraId="7E01D726">
      <w:pPr>
        <w:keepNext w:val="0"/>
        <w:keepLines w:val="0"/>
        <w:ind w:firstLine="137"/>
        <w:rPr>
          <w:rFonts w:hint="eastAsia" w:ascii="Times New Roman" w:hAnsi="Times New Roman"/>
          <w:color w:val="auto"/>
          <w:highlight w:val="none"/>
        </w:rPr>
      </w:pPr>
      <w:bookmarkStart w:id="126" w:name="_Toc12301"/>
      <w:bookmarkStart w:id="127" w:name="_Toc28610"/>
      <w:bookmarkStart w:id="128" w:name="_Toc10010"/>
      <w:bookmarkStart w:id="129" w:name="_Toc18752"/>
      <w:bookmarkStart w:id="130" w:name="_Toc24753"/>
      <w:bookmarkStart w:id="131" w:name="_Toc28470"/>
      <w:bookmarkStart w:id="132" w:name="_Toc27565"/>
      <w:bookmarkStart w:id="133" w:name="_Toc31830"/>
      <w:bookmarkStart w:id="134" w:name="_Toc1641"/>
      <w:bookmarkStart w:id="135" w:name="_Toc22901"/>
      <w:bookmarkStart w:id="136" w:name="_Toc25838"/>
      <w:bookmarkStart w:id="137" w:name="_Toc22978"/>
      <w:bookmarkStart w:id="138" w:name="_Toc18526"/>
      <w:bookmarkStart w:id="139" w:name="_Toc190249588"/>
      <w:r>
        <w:rPr>
          <w:rFonts w:hint="eastAsia" w:ascii="Times New Roman" w:hAnsi="Times New Roman"/>
          <w:color w:val="auto"/>
          <w:highlight w:val="none"/>
        </w:rPr>
        <w:br w:type="page"/>
      </w:r>
    </w:p>
    <w:p w14:paraId="21A69996">
      <w:pPr>
        <w:pStyle w:val="5"/>
        <w:keepNext w:val="0"/>
        <w:keepLines w:val="0"/>
        <w:ind w:firstLine="137"/>
        <w:rPr>
          <w:rFonts w:ascii="Times New Roman" w:hAnsi="Times New Roman"/>
          <w:color w:val="auto"/>
          <w:highlight w:val="none"/>
        </w:rPr>
      </w:pPr>
      <w:r>
        <w:rPr>
          <w:rFonts w:hint="eastAsia" w:ascii="Times New Roman" w:hAnsi="Times New Roman"/>
          <w:color w:val="auto"/>
          <w:highlight w:val="none"/>
        </w:rPr>
        <w:t>附件</w:t>
      </w:r>
      <w:r>
        <w:rPr>
          <w:rFonts w:hint="eastAsia" w:ascii="Times New Roman" w:hAnsi="Times New Roman"/>
          <w:color w:val="auto"/>
          <w:highlight w:val="none"/>
          <w:lang w:val="en-US" w:eastAsia="zh-CN"/>
        </w:rPr>
        <w:t>五</w:t>
      </w:r>
      <w:r>
        <w:rPr>
          <w:rFonts w:hint="eastAsia" w:ascii="Times New Roman" w:hAnsi="Times New Roman"/>
          <w:color w:val="auto"/>
          <w:highlight w:val="none"/>
        </w:rPr>
        <w:t>：</w:t>
      </w:r>
      <w:bookmarkEnd w:id="126"/>
      <w:bookmarkEnd w:id="127"/>
      <w:bookmarkEnd w:id="128"/>
      <w:bookmarkEnd w:id="129"/>
      <w:bookmarkEnd w:id="130"/>
      <w:bookmarkEnd w:id="131"/>
      <w:bookmarkEnd w:id="132"/>
      <w:bookmarkEnd w:id="133"/>
      <w:bookmarkEnd w:id="134"/>
      <w:bookmarkEnd w:id="135"/>
      <w:bookmarkEnd w:id="136"/>
      <w:bookmarkEnd w:id="137"/>
      <w:bookmarkEnd w:id="138"/>
      <w:r>
        <w:rPr>
          <w:rFonts w:hint="eastAsia" w:ascii="Times New Roman" w:hAnsi="Times New Roman"/>
          <w:color w:val="auto"/>
          <w:highlight w:val="none"/>
        </w:rPr>
        <w:t>评标委员会成员声明</w:t>
      </w:r>
      <w:bookmarkEnd w:id="139"/>
    </w:p>
    <w:p w14:paraId="6C7A7A5B">
      <w:pPr>
        <w:spacing w:line="360" w:lineRule="auto"/>
        <w:jc w:val="center"/>
        <w:rPr>
          <w:rFonts w:hint="eastAsia" w:ascii="宋体" w:hAnsi="宋体"/>
          <w:color w:val="auto"/>
          <w:sz w:val="24"/>
          <w:szCs w:val="24"/>
          <w:highlight w:val="none"/>
          <w:u w:val="single"/>
        </w:rPr>
      </w:pPr>
      <w:r>
        <w:rPr>
          <w:rFonts w:hint="eastAsia" w:ascii="宋体" w:hAnsi="宋体"/>
          <w:color w:val="auto"/>
          <w:sz w:val="24"/>
          <w:szCs w:val="24"/>
          <w:highlight w:val="none"/>
        </w:rPr>
        <w:t>评标委员会成员声明</w:t>
      </w:r>
    </w:p>
    <w:p w14:paraId="3E79BBAC">
      <w:pPr>
        <w:spacing w:line="360" w:lineRule="auto"/>
        <w:rPr>
          <w:rFonts w:ascii="宋体" w:hAnsi="宋体"/>
          <w:color w:val="auto"/>
          <w:szCs w:val="21"/>
          <w:highlight w:val="none"/>
        </w:rPr>
      </w:pPr>
      <w:r>
        <w:rPr>
          <w:rFonts w:hint="eastAsia" w:ascii="宋体" w:hAnsi="宋体"/>
          <w:color w:val="auto"/>
          <w:szCs w:val="21"/>
          <w:highlight w:val="none"/>
          <w:u w:val="single"/>
        </w:rPr>
        <w:t>本项目招标人</w:t>
      </w:r>
      <w:r>
        <w:rPr>
          <w:rFonts w:hint="eastAsia" w:ascii="宋体" w:hAnsi="宋体"/>
          <w:color w:val="auto"/>
          <w:szCs w:val="21"/>
          <w:highlight w:val="none"/>
        </w:rPr>
        <w:t>：</w:t>
      </w:r>
    </w:p>
    <w:p w14:paraId="4F4571F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本人就参与</w:t>
      </w:r>
      <w:r>
        <w:rPr>
          <w:rFonts w:hint="eastAsia" w:ascii="宋体" w:hAnsi="宋体"/>
          <w:color w:val="auto"/>
          <w:szCs w:val="21"/>
          <w:highlight w:val="none"/>
          <w:u w:val="single"/>
        </w:rPr>
        <w:t xml:space="preserve">               </w:t>
      </w:r>
      <w:r>
        <w:rPr>
          <w:rFonts w:hint="eastAsia" w:ascii="宋体" w:hAnsi="宋体"/>
          <w:color w:val="auto"/>
          <w:szCs w:val="21"/>
          <w:highlight w:val="none"/>
        </w:rPr>
        <w:t>项目的评标工作，作出郑重声明：</w:t>
      </w:r>
    </w:p>
    <w:p w14:paraId="01D4E27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1779411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3E58C13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0951F6C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6C365C0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2B754F4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如果本人违反上述声明内容，造成的后果由本人自行承担。</w:t>
      </w:r>
    </w:p>
    <w:p w14:paraId="1F839FAD">
      <w:pPr>
        <w:spacing w:line="360" w:lineRule="auto"/>
        <w:ind w:firstLine="420" w:firstLineChars="200"/>
        <w:rPr>
          <w:rFonts w:ascii="宋体" w:hAnsi="宋体"/>
          <w:color w:val="auto"/>
          <w:szCs w:val="21"/>
          <w:highlight w:val="none"/>
        </w:rPr>
      </w:pPr>
    </w:p>
    <w:p w14:paraId="5222978E">
      <w:pPr>
        <w:rPr>
          <w:color w:val="auto"/>
          <w:sz w:val="24"/>
          <w:szCs w:val="24"/>
          <w:highlight w:val="none"/>
        </w:rPr>
        <w:sectPr>
          <w:footerReference r:id="rId5" w:type="default"/>
          <w:pgSz w:w="11907" w:h="16840"/>
          <w:pgMar w:top="1134" w:right="1134" w:bottom="1134" w:left="1417" w:header="851" w:footer="850" w:gutter="0"/>
          <w:pgNumType w:start="1"/>
          <w:cols w:space="720" w:num="1"/>
          <w:docGrid w:linePitch="326" w:charSpace="0"/>
        </w:sectPr>
      </w:pPr>
      <w:r>
        <w:rPr>
          <w:rFonts w:hint="eastAsia" w:ascii="宋体" w:hAnsi="宋体"/>
          <w:color w:val="auto"/>
          <w:szCs w:val="21"/>
          <w:highlight w:val="none"/>
        </w:rPr>
        <w:t xml:space="preserve">                             声明人：</w:t>
      </w:r>
      <w:r>
        <w:rPr>
          <w:rFonts w:hint="eastAsia" w:ascii="宋体" w:hAnsi="宋体"/>
          <w:color w:val="auto"/>
          <w:szCs w:val="21"/>
          <w:highlight w:val="none"/>
          <w:u w:val="single"/>
        </w:rPr>
        <w:t xml:space="preserve">（签名）  </w:t>
      </w:r>
    </w:p>
    <w:p w14:paraId="6C019AC0">
      <w:pPr>
        <w:rPr>
          <w:color w:val="auto"/>
          <w:sz w:val="24"/>
          <w:szCs w:val="24"/>
          <w:highlight w:val="none"/>
        </w:rPr>
      </w:pPr>
    </w:p>
    <w:p w14:paraId="5D88AC40">
      <w:pPr>
        <w:pStyle w:val="4"/>
        <w:spacing w:line="360" w:lineRule="auto"/>
        <w:jc w:val="center"/>
        <w:rPr>
          <w:rFonts w:ascii="宋体" w:hAnsi="宋体" w:eastAsia="宋体" w:cs="宋体"/>
          <w:color w:val="auto"/>
          <w:sz w:val="36"/>
          <w:szCs w:val="36"/>
          <w:highlight w:val="none"/>
        </w:rPr>
      </w:pPr>
      <w:bookmarkStart w:id="140" w:name="_Toc31208_WPSOffice_Level1"/>
      <w:r>
        <w:rPr>
          <w:rFonts w:hint="eastAsia" w:ascii="宋体" w:hAnsi="宋体" w:eastAsia="宋体" w:cs="宋体"/>
          <w:color w:val="auto"/>
          <w:sz w:val="36"/>
          <w:szCs w:val="36"/>
          <w:highlight w:val="none"/>
        </w:rPr>
        <w:t>第三章 评标办法 (综合评估法)</w:t>
      </w:r>
      <w:bookmarkEnd w:id="140"/>
    </w:p>
    <w:p w14:paraId="5A011852">
      <w:pPr>
        <w:pStyle w:val="4"/>
        <w:jc w:val="center"/>
        <w:rPr>
          <w:rFonts w:ascii="Times New Roman" w:hAnsi="Times New Roman"/>
          <w:color w:val="auto"/>
          <w:highlight w:val="none"/>
        </w:rPr>
      </w:pPr>
      <w:bookmarkStart w:id="141" w:name="_Toc511140226"/>
      <w:r>
        <w:rPr>
          <w:rFonts w:hint="eastAsia" w:ascii="Times New Roman" w:hAnsi="Times New Roman"/>
          <w:color w:val="auto"/>
          <w:highlight w:val="none"/>
        </w:rPr>
        <w:t>评标办法前附表</w:t>
      </w:r>
      <w:bookmarkEnd w:id="141"/>
    </w:p>
    <w:tbl>
      <w:tblPr>
        <w:tblStyle w:val="3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55"/>
        <w:gridCol w:w="141"/>
        <w:gridCol w:w="993"/>
        <w:gridCol w:w="1417"/>
        <w:gridCol w:w="5039"/>
        <w:gridCol w:w="40"/>
      </w:tblGrid>
      <w:tr w14:paraId="38B461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89" w:type="dxa"/>
            <w:gridSpan w:val="3"/>
            <w:tcBorders>
              <w:top w:val="single" w:color="auto" w:sz="4" w:space="0"/>
              <w:bottom w:val="single" w:color="auto" w:sz="4" w:space="0"/>
              <w:right w:val="single" w:color="auto" w:sz="4" w:space="0"/>
            </w:tcBorders>
            <w:noWrap/>
            <w:vAlign w:val="center"/>
          </w:tcPr>
          <w:p w14:paraId="44B9E8E6">
            <w:pPr>
              <w:spacing w:line="300" w:lineRule="exact"/>
              <w:jc w:val="center"/>
              <w:rPr>
                <w:rFonts w:ascii="宋体" w:hAnsi="宋体"/>
                <w:b/>
                <w:color w:val="auto"/>
                <w:szCs w:val="21"/>
                <w:highlight w:val="none"/>
              </w:rPr>
            </w:pPr>
            <w:bookmarkStart w:id="142" w:name="_Hlk122978448"/>
            <w:r>
              <w:rPr>
                <w:rFonts w:hint="eastAsia" w:ascii="宋体" w:hAnsi="宋体"/>
                <w:b/>
                <w:color w:val="auto"/>
                <w:szCs w:val="21"/>
                <w:highlight w:val="none"/>
              </w:rPr>
              <w:t>条款号</w:t>
            </w:r>
          </w:p>
        </w:tc>
        <w:tc>
          <w:tcPr>
            <w:tcW w:w="1417" w:type="dxa"/>
            <w:tcBorders>
              <w:top w:val="single" w:color="auto" w:sz="4" w:space="0"/>
              <w:left w:val="single" w:color="auto" w:sz="4" w:space="0"/>
              <w:bottom w:val="single" w:color="auto" w:sz="4" w:space="0"/>
              <w:right w:val="single" w:color="auto" w:sz="4" w:space="0"/>
            </w:tcBorders>
            <w:noWrap/>
            <w:vAlign w:val="center"/>
          </w:tcPr>
          <w:p w14:paraId="1D6125D9">
            <w:pPr>
              <w:spacing w:line="300" w:lineRule="exact"/>
              <w:jc w:val="center"/>
              <w:rPr>
                <w:rFonts w:ascii="宋体" w:hAnsi="宋体"/>
                <w:b/>
                <w:color w:val="auto"/>
                <w:szCs w:val="21"/>
                <w:highlight w:val="none"/>
              </w:rPr>
            </w:pPr>
            <w:r>
              <w:rPr>
                <w:rFonts w:hint="eastAsia" w:ascii="宋体" w:hAnsi="宋体"/>
                <w:b/>
                <w:color w:val="auto"/>
                <w:szCs w:val="21"/>
                <w:highlight w:val="none"/>
              </w:rPr>
              <w:t>评审因素</w:t>
            </w:r>
          </w:p>
        </w:tc>
        <w:tc>
          <w:tcPr>
            <w:tcW w:w="5079" w:type="dxa"/>
            <w:gridSpan w:val="2"/>
            <w:tcBorders>
              <w:top w:val="single" w:color="auto" w:sz="4" w:space="0"/>
              <w:left w:val="single" w:color="auto" w:sz="4" w:space="0"/>
              <w:bottom w:val="single" w:color="auto" w:sz="4" w:space="0"/>
            </w:tcBorders>
            <w:noWrap/>
            <w:vAlign w:val="center"/>
          </w:tcPr>
          <w:p w14:paraId="664A22F5">
            <w:pPr>
              <w:spacing w:line="300" w:lineRule="exact"/>
              <w:jc w:val="center"/>
              <w:rPr>
                <w:rFonts w:ascii="宋体" w:hAnsi="宋体"/>
                <w:b/>
                <w:color w:val="auto"/>
                <w:szCs w:val="21"/>
                <w:highlight w:val="none"/>
              </w:rPr>
            </w:pPr>
            <w:r>
              <w:rPr>
                <w:rFonts w:hint="eastAsia" w:ascii="宋体" w:hAnsi="宋体"/>
                <w:b/>
                <w:color w:val="auto"/>
                <w:szCs w:val="21"/>
                <w:highlight w:val="none"/>
              </w:rPr>
              <w:t>评审标准</w:t>
            </w:r>
          </w:p>
        </w:tc>
      </w:tr>
      <w:tr w14:paraId="37985C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1696" w:type="dxa"/>
            <w:gridSpan w:val="2"/>
            <w:tcBorders>
              <w:top w:val="single" w:color="auto" w:sz="4" w:space="0"/>
              <w:bottom w:val="single" w:color="auto" w:sz="4" w:space="0"/>
              <w:right w:val="single" w:color="auto" w:sz="4" w:space="0"/>
            </w:tcBorders>
            <w:noWrap/>
            <w:vAlign w:val="center"/>
          </w:tcPr>
          <w:p w14:paraId="2D907302">
            <w:pPr>
              <w:spacing w:line="300" w:lineRule="exact"/>
              <w:jc w:val="center"/>
              <w:rPr>
                <w:rFonts w:ascii="宋体" w:hAnsi="宋体"/>
                <w:color w:val="auto"/>
                <w:szCs w:val="21"/>
                <w:highlight w:val="none"/>
              </w:rPr>
            </w:pPr>
            <w:r>
              <w:rPr>
                <w:rFonts w:ascii="宋体" w:hAnsi="宋体"/>
                <w:color w:val="auto"/>
                <w:szCs w:val="21"/>
                <w:highlight w:val="none"/>
              </w:rPr>
              <w:t>1</w:t>
            </w:r>
          </w:p>
        </w:tc>
        <w:tc>
          <w:tcPr>
            <w:tcW w:w="993" w:type="dxa"/>
            <w:tcBorders>
              <w:top w:val="single" w:color="auto" w:sz="4" w:space="0"/>
              <w:left w:val="single" w:color="auto" w:sz="4" w:space="0"/>
              <w:bottom w:val="single" w:color="auto" w:sz="4" w:space="0"/>
              <w:right w:val="single" w:color="auto" w:sz="4" w:space="0"/>
            </w:tcBorders>
            <w:noWrap/>
            <w:vAlign w:val="center"/>
          </w:tcPr>
          <w:p w14:paraId="3C53214A">
            <w:pPr>
              <w:spacing w:line="300" w:lineRule="exact"/>
              <w:jc w:val="center"/>
              <w:rPr>
                <w:rFonts w:ascii="宋体" w:hAnsi="宋体"/>
                <w:color w:val="auto"/>
                <w:szCs w:val="21"/>
                <w:highlight w:val="none"/>
              </w:rPr>
            </w:pPr>
            <w:r>
              <w:rPr>
                <w:rFonts w:hint="eastAsia" w:ascii="宋体" w:hAnsi="宋体"/>
                <w:color w:val="auto"/>
                <w:szCs w:val="21"/>
                <w:highlight w:val="none"/>
              </w:rPr>
              <w:t>评标方法</w:t>
            </w:r>
          </w:p>
        </w:tc>
        <w:tc>
          <w:tcPr>
            <w:tcW w:w="1417" w:type="dxa"/>
            <w:tcBorders>
              <w:top w:val="single" w:color="auto" w:sz="4" w:space="0"/>
              <w:left w:val="single" w:color="auto" w:sz="4" w:space="0"/>
              <w:bottom w:val="single" w:color="auto" w:sz="4" w:space="0"/>
              <w:right w:val="single" w:color="auto" w:sz="4" w:space="0"/>
            </w:tcBorders>
            <w:noWrap/>
            <w:vAlign w:val="center"/>
          </w:tcPr>
          <w:p w14:paraId="114768C9">
            <w:pPr>
              <w:spacing w:line="300" w:lineRule="exact"/>
              <w:jc w:val="center"/>
              <w:rPr>
                <w:rFonts w:ascii="宋体" w:hAnsi="宋体"/>
                <w:color w:val="auto"/>
                <w:szCs w:val="21"/>
                <w:highlight w:val="none"/>
              </w:rPr>
            </w:pPr>
            <w:r>
              <w:rPr>
                <w:rFonts w:hint="eastAsia" w:ascii="宋体" w:hAnsi="宋体"/>
                <w:color w:val="auto"/>
                <w:szCs w:val="21"/>
                <w:highlight w:val="none"/>
              </w:rPr>
              <w:t>中标候选人排序方法</w:t>
            </w:r>
          </w:p>
        </w:tc>
        <w:tc>
          <w:tcPr>
            <w:tcW w:w="5079" w:type="dxa"/>
            <w:gridSpan w:val="2"/>
            <w:tcBorders>
              <w:top w:val="single" w:color="auto" w:sz="4" w:space="0"/>
              <w:left w:val="single" w:color="auto" w:sz="4" w:space="0"/>
              <w:bottom w:val="single" w:color="auto" w:sz="4" w:space="0"/>
            </w:tcBorders>
            <w:noWrap/>
          </w:tcPr>
          <w:p w14:paraId="6F377B5C">
            <w:pPr>
              <w:spacing w:line="300" w:lineRule="exact"/>
              <w:rPr>
                <w:rFonts w:ascii="宋体" w:hAnsi="宋体" w:cs="宋体"/>
                <w:color w:val="auto"/>
                <w:szCs w:val="21"/>
                <w:highlight w:val="none"/>
              </w:rPr>
            </w:pPr>
            <w:r>
              <w:rPr>
                <w:rFonts w:hint="eastAsia" w:ascii="宋体" w:hAnsi="宋体" w:cs="宋体"/>
                <w:color w:val="auto"/>
                <w:szCs w:val="21"/>
                <w:highlight w:val="none"/>
              </w:rPr>
              <w:t>本次评标采用综合评估法。评标委员会对满足招标文件实质性要求的投标文件，按照本章第2.2款规定的评分标准进行打分，并按总得分由高到低顺序推荐中标候选人，排序的前一～三名为第一中标候选人、第二中标候选人和第三中标候选人。总分相等时，以投标报价低的优先；投标报价也相等的，以监理大纲得分高的优先；如果监理大纲得分也相等，则以综合诚信评价排名靠前的排前；如仍存在相同情况，则对具有相同情况的投标人，由评标委员会采用记名投票方式，以得票多的优先。</w:t>
            </w:r>
          </w:p>
        </w:tc>
      </w:tr>
      <w:tr w14:paraId="449A04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696" w:type="dxa"/>
            <w:gridSpan w:val="2"/>
            <w:vMerge w:val="restart"/>
            <w:tcBorders>
              <w:top w:val="single" w:color="auto" w:sz="4" w:space="0"/>
              <w:bottom w:val="single" w:color="auto" w:sz="4" w:space="0"/>
              <w:right w:val="single" w:color="auto" w:sz="4" w:space="0"/>
            </w:tcBorders>
            <w:noWrap/>
            <w:vAlign w:val="center"/>
          </w:tcPr>
          <w:p w14:paraId="05FE11A0">
            <w:pPr>
              <w:spacing w:line="300" w:lineRule="exact"/>
              <w:jc w:val="center"/>
              <w:rPr>
                <w:rFonts w:ascii="宋体" w:hAnsi="宋体"/>
                <w:color w:val="auto"/>
                <w:szCs w:val="21"/>
                <w:highlight w:val="none"/>
              </w:rPr>
            </w:pPr>
            <w:r>
              <w:rPr>
                <w:rFonts w:ascii="宋体" w:hAnsi="宋体"/>
                <w:color w:val="auto"/>
                <w:szCs w:val="21"/>
                <w:highlight w:val="none"/>
              </w:rPr>
              <w:t>2.1.1</w:t>
            </w:r>
          </w:p>
        </w:tc>
        <w:tc>
          <w:tcPr>
            <w:tcW w:w="993" w:type="dxa"/>
            <w:vMerge w:val="restart"/>
            <w:tcBorders>
              <w:top w:val="single" w:color="auto" w:sz="4" w:space="0"/>
              <w:right w:val="single" w:color="auto" w:sz="4" w:space="0"/>
            </w:tcBorders>
            <w:noWrap/>
            <w:vAlign w:val="center"/>
          </w:tcPr>
          <w:p w14:paraId="31DC9B16">
            <w:pPr>
              <w:spacing w:line="300" w:lineRule="exact"/>
              <w:jc w:val="center"/>
              <w:rPr>
                <w:rFonts w:ascii="宋体" w:hAnsi="宋体"/>
                <w:color w:val="auto"/>
                <w:szCs w:val="21"/>
                <w:highlight w:val="none"/>
              </w:rPr>
            </w:pPr>
            <w:r>
              <w:rPr>
                <w:rFonts w:hint="eastAsia" w:ascii="宋体" w:hAnsi="宋体"/>
                <w:color w:val="auto"/>
                <w:szCs w:val="21"/>
                <w:highlight w:val="none"/>
              </w:rPr>
              <w:t>形式评审标准</w:t>
            </w:r>
          </w:p>
        </w:tc>
        <w:tc>
          <w:tcPr>
            <w:tcW w:w="1417" w:type="dxa"/>
            <w:tcBorders>
              <w:top w:val="single" w:color="auto" w:sz="4" w:space="0"/>
              <w:left w:val="single" w:color="auto" w:sz="4" w:space="0"/>
              <w:bottom w:val="single" w:color="auto" w:sz="4" w:space="0"/>
              <w:right w:val="single" w:color="auto" w:sz="4" w:space="0"/>
            </w:tcBorders>
            <w:noWrap/>
            <w:vAlign w:val="center"/>
          </w:tcPr>
          <w:p w14:paraId="27F6E972">
            <w:pPr>
              <w:spacing w:line="300" w:lineRule="exact"/>
              <w:jc w:val="center"/>
              <w:rPr>
                <w:rFonts w:ascii="宋体" w:hAnsi="宋体"/>
                <w:color w:val="auto"/>
                <w:szCs w:val="21"/>
                <w:highlight w:val="none"/>
              </w:rPr>
            </w:pPr>
            <w:r>
              <w:rPr>
                <w:rFonts w:hint="eastAsia" w:ascii="宋体" w:hAnsi="宋体"/>
                <w:color w:val="auto"/>
                <w:szCs w:val="21"/>
                <w:highlight w:val="none"/>
              </w:rPr>
              <w:t>投标人名称</w:t>
            </w:r>
          </w:p>
        </w:tc>
        <w:tc>
          <w:tcPr>
            <w:tcW w:w="5079" w:type="dxa"/>
            <w:gridSpan w:val="2"/>
            <w:tcBorders>
              <w:top w:val="single" w:color="auto" w:sz="4" w:space="0"/>
              <w:left w:val="single" w:color="auto" w:sz="4" w:space="0"/>
              <w:bottom w:val="single" w:color="auto" w:sz="4" w:space="0"/>
            </w:tcBorders>
            <w:noWrap/>
            <w:vAlign w:val="center"/>
          </w:tcPr>
          <w:p w14:paraId="1141461E">
            <w:pPr>
              <w:spacing w:line="300" w:lineRule="exact"/>
              <w:rPr>
                <w:rFonts w:ascii="宋体" w:hAnsi="宋体" w:cs="宋体"/>
                <w:color w:val="auto"/>
                <w:szCs w:val="21"/>
                <w:highlight w:val="none"/>
              </w:rPr>
            </w:pPr>
            <w:r>
              <w:rPr>
                <w:rFonts w:hint="eastAsia" w:ascii="宋体" w:hAnsi="宋体" w:cs="宋体"/>
                <w:color w:val="auto"/>
                <w:szCs w:val="21"/>
                <w:highlight w:val="none"/>
              </w:rPr>
              <w:t>与营业执照、资质证书一致；香港企业独立参加投标的，须与在广东省住房和城乡建设主管部门备案的证明扫描件一致</w:t>
            </w:r>
          </w:p>
        </w:tc>
      </w:tr>
      <w:tr w14:paraId="3DF53B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696" w:type="dxa"/>
            <w:gridSpan w:val="2"/>
            <w:vMerge w:val="continue"/>
            <w:tcBorders>
              <w:top w:val="nil"/>
              <w:bottom w:val="single" w:color="auto" w:sz="4" w:space="0"/>
              <w:right w:val="single" w:color="auto" w:sz="4" w:space="0"/>
            </w:tcBorders>
            <w:noWrap/>
            <w:vAlign w:val="center"/>
          </w:tcPr>
          <w:p w14:paraId="366131A6">
            <w:pPr>
              <w:spacing w:line="300" w:lineRule="exact"/>
              <w:rPr>
                <w:rFonts w:ascii="宋体" w:hAnsi="宋体"/>
                <w:color w:val="auto"/>
                <w:szCs w:val="21"/>
                <w:highlight w:val="none"/>
              </w:rPr>
            </w:pPr>
          </w:p>
        </w:tc>
        <w:tc>
          <w:tcPr>
            <w:tcW w:w="993" w:type="dxa"/>
            <w:vMerge w:val="continue"/>
            <w:tcBorders>
              <w:right w:val="single" w:color="auto" w:sz="4" w:space="0"/>
            </w:tcBorders>
            <w:noWrap/>
            <w:vAlign w:val="center"/>
          </w:tcPr>
          <w:p w14:paraId="34A5AB42">
            <w:pPr>
              <w:spacing w:line="300" w:lineRule="exact"/>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ign w:val="center"/>
          </w:tcPr>
          <w:p w14:paraId="6CF7F98A">
            <w:pPr>
              <w:spacing w:line="300" w:lineRule="exact"/>
              <w:jc w:val="center"/>
              <w:rPr>
                <w:rFonts w:ascii="宋体" w:hAnsi="宋体"/>
                <w:color w:val="auto"/>
                <w:szCs w:val="21"/>
                <w:highlight w:val="none"/>
              </w:rPr>
            </w:pPr>
            <w:r>
              <w:rPr>
                <w:rFonts w:hint="eastAsia" w:ascii="宋体" w:hAnsi="宋体"/>
                <w:color w:val="auto"/>
                <w:szCs w:val="21"/>
                <w:highlight w:val="none"/>
              </w:rPr>
              <w:t>投标函及投标函附录签字盖章</w:t>
            </w:r>
          </w:p>
        </w:tc>
        <w:tc>
          <w:tcPr>
            <w:tcW w:w="5079" w:type="dxa"/>
            <w:gridSpan w:val="2"/>
            <w:tcBorders>
              <w:top w:val="single" w:color="auto" w:sz="4" w:space="0"/>
              <w:left w:val="single" w:color="auto" w:sz="4" w:space="0"/>
              <w:bottom w:val="single" w:color="auto" w:sz="4" w:space="0"/>
            </w:tcBorders>
            <w:noWrap/>
            <w:vAlign w:val="center"/>
          </w:tcPr>
          <w:p w14:paraId="7861B740">
            <w:pPr>
              <w:spacing w:line="300" w:lineRule="exact"/>
              <w:rPr>
                <w:rFonts w:ascii="宋体" w:hAnsi="宋体" w:cs="宋体"/>
                <w:color w:val="auto"/>
                <w:szCs w:val="21"/>
                <w:highlight w:val="none"/>
              </w:rPr>
            </w:pPr>
            <w:r>
              <w:rPr>
                <w:rFonts w:hint="eastAsia" w:ascii="宋体" w:hAnsi="宋体" w:cs="宋体"/>
                <w:color w:val="auto"/>
                <w:szCs w:val="21"/>
                <w:highlight w:val="none"/>
              </w:rPr>
              <w:t>有法定代表人</w:t>
            </w:r>
            <w:bookmarkStart w:id="143" w:name="_Toc6546"/>
            <w:bookmarkStart w:id="144" w:name="_Toc352691530"/>
            <w:bookmarkStart w:id="145" w:name="_Toc152045584"/>
            <w:bookmarkStart w:id="146" w:name="_Toc361508643"/>
            <w:bookmarkStart w:id="147" w:name="_Toc369531574"/>
            <w:bookmarkStart w:id="148" w:name="_Toc144974551"/>
            <w:bookmarkStart w:id="149" w:name="_Toc247514008"/>
            <w:bookmarkStart w:id="150" w:name="_Toc247527609"/>
            <w:bookmarkStart w:id="151" w:name="_Toc300835005"/>
            <w:bookmarkStart w:id="152" w:name="_Toc152042361"/>
            <w:bookmarkStart w:id="153" w:name="_Toc384308269"/>
            <w:r>
              <w:rPr>
                <w:rFonts w:hint="eastAsia" w:ascii="宋体" w:hAnsi="宋体" w:cs="宋体"/>
                <w:color w:val="auto"/>
                <w:szCs w:val="21"/>
                <w:highlight w:val="none"/>
              </w:rPr>
              <w:t>或其委托</w:t>
            </w:r>
            <w:bookmarkEnd w:id="143"/>
            <w:bookmarkEnd w:id="144"/>
            <w:bookmarkEnd w:id="145"/>
            <w:bookmarkEnd w:id="146"/>
            <w:bookmarkEnd w:id="147"/>
            <w:bookmarkEnd w:id="148"/>
            <w:bookmarkEnd w:id="149"/>
            <w:bookmarkEnd w:id="150"/>
            <w:bookmarkEnd w:id="151"/>
            <w:bookmarkEnd w:id="152"/>
            <w:bookmarkEnd w:id="153"/>
            <w:r>
              <w:rPr>
                <w:rFonts w:hint="eastAsia" w:ascii="宋体" w:hAnsi="宋体" w:cs="宋体"/>
                <w:color w:val="auto"/>
                <w:szCs w:val="21"/>
                <w:highlight w:val="none"/>
              </w:rPr>
              <w:t>代理人签字（或盖章）或加盖单位章。由法定代表人签字（或盖章）的，应附法定代表人身份证明，由代理人签字（或盖章）的，应附授权委托书，法定代表人身份证明或授权委托书应符合第六章“投标文件格式”的规定</w:t>
            </w:r>
          </w:p>
        </w:tc>
      </w:tr>
      <w:tr w14:paraId="14D539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696" w:type="dxa"/>
            <w:gridSpan w:val="2"/>
            <w:vMerge w:val="continue"/>
            <w:tcBorders>
              <w:top w:val="nil"/>
              <w:bottom w:val="single" w:color="auto" w:sz="4" w:space="0"/>
              <w:right w:val="single" w:color="auto" w:sz="4" w:space="0"/>
            </w:tcBorders>
            <w:noWrap/>
            <w:vAlign w:val="center"/>
          </w:tcPr>
          <w:p w14:paraId="4E3AB70C">
            <w:pPr>
              <w:spacing w:line="300" w:lineRule="exact"/>
              <w:rPr>
                <w:rFonts w:ascii="宋体" w:hAnsi="宋体"/>
                <w:color w:val="auto"/>
                <w:szCs w:val="21"/>
                <w:highlight w:val="none"/>
              </w:rPr>
            </w:pPr>
          </w:p>
        </w:tc>
        <w:tc>
          <w:tcPr>
            <w:tcW w:w="993" w:type="dxa"/>
            <w:vMerge w:val="continue"/>
            <w:tcBorders>
              <w:right w:val="single" w:color="auto" w:sz="4" w:space="0"/>
            </w:tcBorders>
            <w:noWrap/>
            <w:vAlign w:val="center"/>
          </w:tcPr>
          <w:p w14:paraId="1D0E0F00">
            <w:pPr>
              <w:spacing w:line="300" w:lineRule="exact"/>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ign w:val="center"/>
          </w:tcPr>
          <w:p w14:paraId="2D4F2A9D">
            <w:pPr>
              <w:spacing w:line="300" w:lineRule="exact"/>
              <w:jc w:val="center"/>
              <w:rPr>
                <w:rFonts w:ascii="宋体" w:hAnsi="宋体"/>
                <w:color w:val="auto"/>
                <w:szCs w:val="21"/>
                <w:highlight w:val="none"/>
              </w:rPr>
            </w:pPr>
            <w:r>
              <w:rPr>
                <w:rFonts w:hint="eastAsia" w:ascii="宋体" w:hAnsi="宋体"/>
                <w:color w:val="auto"/>
                <w:szCs w:val="21"/>
                <w:highlight w:val="none"/>
              </w:rPr>
              <w:t>投标文件格式</w:t>
            </w:r>
          </w:p>
        </w:tc>
        <w:tc>
          <w:tcPr>
            <w:tcW w:w="5079" w:type="dxa"/>
            <w:gridSpan w:val="2"/>
            <w:tcBorders>
              <w:top w:val="single" w:color="auto" w:sz="4" w:space="0"/>
              <w:left w:val="single" w:color="auto" w:sz="4" w:space="0"/>
              <w:bottom w:val="single" w:color="auto" w:sz="4" w:space="0"/>
            </w:tcBorders>
            <w:noWrap/>
            <w:vAlign w:val="center"/>
          </w:tcPr>
          <w:p w14:paraId="00EF1DAE">
            <w:pPr>
              <w:spacing w:line="300" w:lineRule="exact"/>
              <w:rPr>
                <w:rFonts w:ascii="宋体" w:hAnsi="宋体" w:cs="宋体"/>
                <w:color w:val="auto"/>
                <w:szCs w:val="21"/>
                <w:highlight w:val="none"/>
              </w:rPr>
            </w:pPr>
            <w:r>
              <w:rPr>
                <w:rFonts w:hint="eastAsia" w:ascii="宋体" w:hAnsi="宋体" w:cs="宋体"/>
                <w:color w:val="auto"/>
                <w:szCs w:val="21"/>
                <w:highlight w:val="none"/>
              </w:rPr>
              <w:t>符合第六章“投标文件格式”的规定（评审格式为</w:t>
            </w:r>
            <w:r>
              <w:rPr>
                <w:rStyle w:val="40"/>
                <w:rFonts w:hint="eastAsia"/>
                <w:color w:val="auto"/>
                <w:szCs w:val="20"/>
                <w:highlight w:val="none"/>
              </w:rPr>
              <w:t>格式一、格式三</w:t>
            </w:r>
            <w:r>
              <w:rPr>
                <w:rFonts w:ascii="宋体" w:hAnsi="宋体" w:cs="宋体"/>
                <w:color w:val="auto"/>
                <w:szCs w:val="21"/>
                <w:highlight w:val="none"/>
              </w:rPr>
              <w:t>）</w:t>
            </w:r>
          </w:p>
        </w:tc>
      </w:tr>
      <w:tr w14:paraId="6B19BB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696" w:type="dxa"/>
            <w:gridSpan w:val="2"/>
            <w:vMerge w:val="continue"/>
            <w:tcBorders>
              <w:top w:val="nil"/>
              <w:bottom w:val="single" w:color="auto" w:sz="4" w:space="0"/>
              <w:right w:val="single" w:color="auto" w:sz="4" w:space="0"/>
            </w:tcBorders>
            <w:noWrap/>
            <w:vAlign w:val="center"/>
          </w:tcPr>
          <w:p w14:paraId="0148DC8B">
            <w:pPr>
              <w:spacing w:line="300" w:lineRule="exact"/>
              <w:rPr>
                <w:rFonts w:ascii="宋体" w:hAnsi="宋体"/>
                <w:color w:val="auto"/>
                <w:szCs w:val="21"/>
                <w:highlight w:val="none"/>
              </w:rPr>
            </w:pPr>
          </w:p>
        </w:tc>
        <w:tc>
          <w:tcPr>
            <w:tcW w:w="993" w:type="dxa"/>
            <w:vMerge w:val="continue"/>
            <w:tcBorders>
              <w:right w:val="single" w:color="auto" w:sz="4" w:space="0"/>
            </w:tcBorders>
            <w:noWrap/>
            <w:vAlign w:val="center"/>
          </w:tcPr>
          <w:p w14:paraId="35BE9292">
            <w:pPr>
              <w:spacing w:line="300" w:lineRule="exact"/>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ign w:val="center"/>
          </w:tcPr>
          <w:p w14:paraId="0FCB2BE2">
            <w:pPr>
              <w:spacing w:line="300" w:lineRule="exact"/>
              <w:jc w:val="center"/>
              <w:rPr>
                <w:rFonts w:ascii="宋体" w:hAnsi="宋体"/>
                <w:color w:val="auto"/>
                <w:szCs w:val="21"/>
                <w:highlight w:val="none"/>
              </w:rPr>
            </w:pPr>
            <w:r>
              <w:rPr>
                <w:rFonts w:hint="eastAsia" w:ascii="宋体" w:hAnsi="宋体"/>
                <w:color w:val="auto"/>
                <w:szCs w:val="21"/>
                <w:highlight w:val="none"/>
              </w:rPr>
              <w:t>联合体投标人</w:t>
            </w:r>
          </w:p>
        </w:tc>
        <w:tc>
          <w:tcPr>
            <w:tcW w:w="5079" w:type="dxa"/>
            <w:gridSpan w:val="2"/>
            <w:tcBorders>
              <w:top w:val="single" w:color="auto" w:sz="4" w:space="0"/>
              <w:left w:val="single" w:color="auto" w:sz="4" w:space="0"/>
              <w:bottom w:val="single" w:color="auto" w:sz="4" w:space="0"/>
            </w:tcBorders>
            <w:noWrap/>
            <w:vAlign w:val="center"/>
          </w:tcPr>
          <w:p w14:paraId="5B54E32F">
            <w:pPr>
              <w:spacing w:line="300" w:lineRule="exact"/>
              <w:rPr>
                <w:rFonts w:ascii="宋体" w:hAnsi="宋体" w:cs="宋体"/>
                <w:color w:val="auto"/>
                <w:szCs w:val="21"/>
                <w:highlight w:val="none"/>
              </w:rPr>
            </w:pPr>
            <w:r>
              <w:rPr>
                <w:rFonts w:hint="eastAsia" w:ascii="宋体" w:hAnsi="宋体" w:cs="宋体"/>
                <w:color w:val="auto"/>
                <w:szCs w:val="21"/>
                <w:highlight w:val="none"/>
              </w:rPr>
              <w:t>本项目不允许联合体投标。</w:t>
            </w:r>
          </w:p>
        </w:tc>
      </w:tr>
      <w:tr w14:paraId="21F355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696" w:type="dxa"/>
            <w:gridSpan w:val="2"/>
            <w:vMerge w:val="continue"/>
            <w:tcBorders>
              <w:top w:val="nil"/>
              <w:bottom w:val="single" w:color="auto" w:sz="4" w:space="0"/>
              <w:right w:val="single" w:color="auto" w:sz="4" w:space="0"/>
            </w:tcBorders>
            <w:noWrap/>
            <w:vAlign w:val="center"/>
          </w:tcPr>
          <w:p w14:paraId="209EB29A">
            <w:pPr>
              <w:spacing w:line="300" w:lineRule="exact"/>
              <w:rPr>
                <w:rFonts w:ascii="宋体" w:hAnsi="宋体"/>
                <w:color w:val="auto"/>
                <w:szCs w:val="21"/>
                <w:highlight w:val="none"/>
              </w:rPr>
            </w:pPr>
          </w:p>
        </w:tc>
        <w:tc>
          <w:tcPr>
            <w:tcW w:w="993" w:type="dxa"/>
            <w:vMerge w:val="continue"/>
            <w:tcBorders>
              <w:right w:val="single" w:color="auto" w:sz="4" w:space="0"/>
            </w:tcBorders>
            <w:noWrap/>
            <w:vAlign w:val="center"/>
          </w:tcPr>
          <w:p w14:paraId="4B8ACF06">
            <w:pPr>
              <w:spacing w:line="300" w:lineRule="exact"/>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ign w:val="center"/>
          </w:tcPr>
          <w:p w14:paraId="7A95A2FB">
            <w:pPr>
              <w:spacing w:line="300" w:lineRule="exact"/>
              <w:jc w:val="center"/>
              <w:rPr>
                <w:rFonts w:ascii="宋体" w:hAnsi="宋体"/>
                <w:color w:val="auto"/>
                <w:szCs w:val="21"/>
                <w:highlight w:val="none"/>
              </w:rPr>
            </w:pPr>
            <w:r>
              <w:rPr>
                <w:rFonts w:hint="eastAsia" w:ascii="宋体" w:hAnsi="宋体"/>
                <w:color w:val="auto"/>
                <w:szCs w:val="21"/>
                <w:highlight w:val="none"/>
              </w:rPr>
              <w:t>投标人机器码</w:t>
            </w:r>
          </w:p>
        </w:tc>
        <w:tc>
          <w:tcPr>
            <w:tcW w:w="5079" w:type="dxa"/>
            <w:gridSpan w:val="2"/>
            <w:tcBorders>
              <w:top w:val="single" w:color="auto" w:sz="4" w:space="0"/>
              <w:left w:val="single" w:color="auto" w:sz="4" w:space="0"/>
              <w:bottom w:val="single" w:color="auto" w:sz="4" w:space="0"/>
            </w:tcBorders>
            <w:noWrap/>
            <w:vAlign w:val="center"/>
          </w:tcPr>
          <w:p w14:paraId="7D17A99D">
            <w:pPr>
              <w:spacing w:line="300" w:lineRule="exact"/>
              <w:rPr>
                <w:rFonts w:ascii="宋体" w:hAnsi="宋体" w:cs="宋体"/>
                <w:color w:val="auto"/>
                <w:szCs w:val="21"/>
                <w:highlight w:val="none"/>
              </w:rPr>
            </w:pPr>
            <w:r>
              <w:rPr>
                <w:rFonts w:hint="eastAsia" w:ascii="宋体" w:hAnsi="宋体" w:cs="宋体"/>
                <w:color w:val="auto"/>
                <w:szCs w:val="21"/>
                <w:highlight w:val="none"/>
                <w:lang w:val="en-US" w:eastAsia="zh-CN"/>
              </w:rPr>
              <w:t>投标人与本项目其他投标人</w:t>
            </w:r>
            <w:r>
              <w:rPr>
                <w:rFonts w:hint="eastAsia" w:ascii="宋体" w:hAnsi="宋体" w:cs="宋体"/>
                <w:color w:val="auto"/>
                <w:szCs w:val="21"/>
                <w:highlight w:val="none"/>
                <w:u w:val="single"/>
              </w:rPr>
              <w:t>加密打包投标文件电脑机器特征码</w:t>
            </w:r>
            <w:r>
              <w:rPr>
                <w:rFonts w:hint="eastAsia" w:ascii="宋体" w:hAnsi="宋体" w:cs="宋体"/>
                <w:color w:val="auto"/>
                <w:szCs w:val="21"/>
                <w:highlight w:val="none"/>
              </w:rPr>
              <w:t>相同，视为不合格。</w:t>
            </w:r>
            <w:r>
              <w:rPr>
                <w:rFonts w:ascii="宋体" w:hAnsi="宋体" w:cs="宋体"/>
                <w:color w:val="auto"/>
                <w:szCs w:val="21"/>
                <w:highlight w:val="none"/>
              </w:rPr>
              <w:t>(以</w:t>
            </w:r>
            <w:r>
              <w:rPr>
                <w:rFonts w:hint="eastAsia" w:ascii="宋体" w:hAnsi="宋体" w:cs="宋体"/>
                <w:color w:val="auto"/>
                <w:szCs w:val="21"/>
                <w:highlight w:val="none"/>
              </w:rPr>
              <w:t>广州交易集团有限公司（广州公共资源交易中心）</w:t>
            </w:r>
            <w:r>
              <w:rPr>
                <w:rFonts w:ascii="宋体" w:hAnsi="宋体" w:cs="宋体"/>
                <w:color w:val="auto"/>
                <w:szCs w:val="21"/>
                <w:highlight w:val="none"/>
              </w:rPr>
              <w:t>评标系统的检索信息为准)</w:t>
            </w:r>
          </w:p>
        </w:tc>
      </w:tr>
      <w:tr w14:paraId="4A3B7B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3" w:hRule="atLeast"/>
          <w:jc w:val="center"/>
        </w:trPr>
        <w:tc>
          <w:tcPr>
            <w:tcW w:w="1696" w:type="dxa"/>
            <w:gridSpan w:val="2"/>
            <w:vMerge w:val="continue"/>
            <w:tcBorders>
              <w:top w:val="nil"/>
              <w:bottom w:val="single" w:color="auto" w:sz="4" w:space="0"/>
              <w:right w:val="single" w:color="auto" w:sz="4" w:space="0"/>
            </w:tcBorders>
            <w:noWrap/>
          </w:tcPr>
          <w:p w14:paraId="5EE93A06">
            <w:pPr>
              <w:spacing w:line="300" w:lineRule="exact"/>
              <w:rPr>
                <w:rFonts w:ascii="宋体" w:hAnsi="宋体"/>
                <w:color w:val="auto"/>
                <w:szCs w:val="21"/>
                <w:highlight w:val="none"/>
              </w:rPr>
            </w:pPr>
          </w:p>
        </w:tc>
        <w:tc>
          <w:tcPr>
            <w:tcW w:w="993" w:type="dxa"/>
            <w:vMerge w:val="continue"/>
            <w:tcBorders>
              <w:left w:val="single" w:color="auto" w:sz="4" w:space="0"/>
              <w:right w:val="single" w:color="auto" w:sz="4" w:space="0"/>
            </w:tcBorders>
            <w:noWrap/>
          </w:tcPr>
          <w:p w14:paraId="3D6E53EA">
            <w:pPr>
              <w:spacing w:line="300" w:lineRule="exact"/>
              <w:rPr>
                <w:rFonts w:ascii="宋体" w:hAnsi="宋体"/>
                <w:color w:val="auto"/>
                <w:szCs w:val="21"/>
                <w:highlight w:val="none"/>
              </w:rPr>
            </w:pPr>
          </w:p>
        </w:tc>
        <w:tc>
          <w:tcPr>
            <w:tcW w:w="1417" w:type="dxa"/>
            <w:tcBorders>
              <w:top w:val="single" w:color="auto" w:sz="4" w:space="0"/>
              <w:left w:val="single" w:color="auto" w:sz="4" w:space="0"/>
              <w:right w:val="single" w:color="auto" w:sz="4" w:space="0"/>
            </w:tcBorders>
            <w:noWrap/>
          </w:tcPr>
          <w:p w14:paraId="349CF64D">
            <w:pPr>
              <w:spacing w:line="300" w:lineRule="exact"/>
              <w:jc w:val="center"/>
              <w:rPr>
                <w:rFonts w:ascii="宋体" w:hAnsi="宋体"/>
                <w:color w:val="auto"/>
                <w:szCs w:val="21"/>
                <w:highlight w:val="none"/>
              </w:rPr>
            </w:pPr>
            <w:r>
              <w:rPr>
                <w:rFonts w:hint="eastAsia" w:ascii="宋体" w:hAnsi="宋体" w:cs="宋体"/>
                <w:color w:val="auto"/>
                <w:szCs w:val="21"/>
                <w:highlight w:val="none"/>
              </w:rPr>
              <w:t>备选投标方案</w:t>
            </w:r>
          </w:p>
        </w:tc>
        <w:tc>
          <w:tcPr>
            <w:tcW w:w="5079" w:type="dxa"/>
            <w:gridSpan w:val="2"/>
            <w:tcBorders>
              <w:left w:val="single" w:color="auto" w:sz="4" w:space="0"/>
            </w:tcBorders>
            <w:noWrap/>
            <w:vAlign w:val="center"/>
          </w:tcPr>
          <w:p w14:paraId="187BA62A">
            <w:pPr>
              <w:spacing w:line="300" w:lineRule="exact"/>
              <w:rPr>
                <w:rFonts w:ascii="宋体" w:hAnsi="宋体" w:cs="宋体"/>
                <w:color w:val="auto"/>
                <w:szCs w:val="21"/>
                <w:highlight w:val="none"/>
              </w:rPr>
            </w:pPr>
            <w:r>
              <w:rPr>
                <w:rFonts w:hint="eastAsia" w:ascii="宋体" w:hAnsi="宋体" w:cs="宋体"/>
                <w:color w:val="auto"/>
                <w:szCs w:val="21"/>
                <w:highlight w:val="none"/>
              </w:rPr>
              <w:t>不允许。</w:t>
            </w:r>
          </w:p>
        </w:tc>
      </w:tr>
      <w:tr w14:paraId="693AC1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696" w:type="dxa"/>
            <w:gridSpan w:val="2"/>
            <w:vMerge w:val="restart"/>
            <w:tcBorders>
              <w:top w:val="single" w:color="auto" w:sz="4" w:space="0"/>
              <w:right w:val="single" w:color="auto" w:sz="4" w:space="0"/>
            </w:tcBorders>
            <w:noWrap/>
            <w:vAlign w:val="center"/>
          </w:tcPr>
          <w:p w14:paraId="6F0B693D">
            <w:pPr>
              <w:spacing w:line="300" w:lineRule="exact"/>
              <w:jc w:val="center"/>
              <w:rPr>
                <w:rFonts w:ascii="宋体" w:hAnsi="宋体"/>
                <w:color w:val="auto"/>
                <w:szCs w:val="21"/>
                <w:highlight w:val="none"/>
              </w:rPr>
            </w:pPr>
            <w:r>
              <w:rPr>
                <w:rFonts w:ascii="宋体" w:hAnsi="宋体"/>
                <w:color w:val="auto"/>
                <w:szCs w:val="21"/>
                <w:highlight w:val="none"/>
              </w:rPr>
              <w:t>2.1.2</w:t>
            </w:r>
          </w:p>
        </w:tc>
        <w:tc>
          <w:tcPr>
            <w:tcW w:w="993" w:type="dxa"/>
            <w:vMerge w:val="restart"/>
            <w:tcBorders>
              <w:top w:val="single" w:color="auto" w:sz="4" w:space="0"/>
              <w:left w:val="single" w:color="auto" w:sz="4" w:space="0"/>
              <w:right w:val="single" w:color="auto" w:sz="4" w:space="0"/>
            </w:tcBorders>
            <w:noWrap/>
            <w:vAlign w:val="center"/>
          </w:tcPr>
          <w:p w14:paraId="1E5068D3">
            <w:pPr>
              <w:spacing w:line="300" w:lineRule="exact"/>
              <w:jc w:val="center"/>
              <w:rPr>
                <w:rFonts w:ascii="宋体" w:hAnsi="宋体"/>
                <w:color w:val="auto"/>
                <w:szCs w:val="21"/>
                <w:highlight w:val="none"/>
              </w:rPr>
            </w:pPr>
            <w:r>
              <w:rPr>
                <w:rFonts w:hint="eastAsia" w:ascii="宋体" w:hAnsi="宋体"/>
                <w:color w:val="auto"/>
                <w:szCs w:val="21"/>
                <w:highlight w:val="none"/>
              </w:rPr>
              <w:t>资格评审标准</w:t>
            </w:r>
          </w:p>
        </w:tc>
        <w:tc>
          <w:tcPr>
            <w:tcW w:w="1417" w:type="dxa"/>
            <w:tcBorders>
              <w:top w:val="single" w:color="auto" w:sz="4" w:space="0"/>
              <w:left w:val="single" w:color="auto" w:sz="4" w:space="0"/>
              <w:bottom w:val="single" w:color="auto" w:sz="4" w:space="0"/>
              <w:right w:val="single" w:color="auto" w:sz="4" w:space="0"/>
            </w:tcBorders>
            <w:noWrap/>
            <w:vAlign w:val="center"/>
          </w:tcPr>
          <w:p w14:paraId="6A095328">
            <w:pPr>
              <w:spacing w:line="300" w:lineRule="exact"/>
              <w:jc w:val="center"/>
              <w:rPr>
                <w:rFonts w:ascii="宋体" w:hAnsi="宋体"/>
                <w:color w:val="auto"/>
                <w:szCs w:val="21"/>
                <w:highlight w:val="none"/>
              </w:rPr>
            </w:pPr>
            <w:r>
              <w:rPr>
                <w:rFonts w:hint="eastAsia" w:ascii="宋体" w:hAnsi="宋体"/>
                <w:color w:val="auto"/>
                <w:szCs w:val="21"/>
                <w:highlight w:val="none"/>
              </w:rPr>
              <w:t>营业执照和组织机构代码证</w:t>
            </w:r>
          </w:p>
        </w:tc>
        <w:tc>
          <w:tcPr>
            <w:tcW w:w="5079" w:type="dxa"/>
            <w:gridSpan w:val="2"/>
            <w:tcBorders>
              <w:top w:val="single" w:color="auto" w:sz="4" w:space="0"/>
              <w:left w:val="single" w:color="auto" w:sz="4" w:space="0"/>
              <w:bottom w:val="single" w:color="auto" w:sz="4" w:space="0"/>
            </w:tcBorders>
            <w:noWrap/>
            <w:vAlign w:val="center"/>
          </w:tcPr>
          <w:p w14:paraId="51A977CD">
            <w:pPr>
              <w:spacing w:line="3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符合第二章“投标人须知”第3.5.1</w:t>
            </w:r>
            <w:r>
              <w:rPr>
                <w:rFonts w:ascii="宋体" w:hAnsi="宋体" w:cs="宋体"/>
                <w:color w:val="auto"/>
                <w:szCs w:val="21"/>
                <w:highlight w:val="none"/>
              </w:rPr>
              <w:t>项规定</w:t>
            </w:r>
            <w:r>
              <w:rPr>
                <w:rFonts w:hint="eastAsia" w:ascii="宋体" w:hAnsi="宋体" w:cs="宋体"/>
                <w:color w:val="auto"/>
                <w:szCs w:val="21"/>
                <w:highlight w:val="none"/>
              </w:rPr>
              <w:t>，具备有效的营业执照和组织机构代码证。香港企业提供在香港进行商业登记的证明文书</w:t>
            </w:r>
          </w:p>
        </w:tc>
      </w:tr>
      <w:tr w14:paraId="53F25F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696" w:type="dxa"/>
            <w:gridSpan w:val="2"/>
            <w:vMerge w:val="continue"/>
            <w:tcBorders>
              <w:right w:val="single" w:color="auto" w:sz="4" w:space="0"/>
            </w:tcBorders>
            <w:noWrap/>
            <w:vAlign w:val="center"/>
          </w:tcPr>
          <w:p w14:paraId="73E3A3AA">
            <w:pPr>
              <w:spacing w:line="300" w:lineRule="exact"/>
              <w:rPr>
                <w:rFonts w:ascii="宋体" w:hAnsi="宋体"/>
                <w:color w:val="auto"/>
                <w:szCs w:val="21"/>
                <w:highlight w:val="none"/>
              </w:rPr>
            </w:pPr>
          </w:p>
        </w:tc>
        <w:tc>
          <w:tcPr>
            <w:tcW w:w="993" w:type="dxa"/>
            <w:vMerge w:val="continue"/>
            <w:tcBorders>
              <w:left w:val="single" w:color="auto" w:sz="4" w:space="0"/>
              <w:right w:val="single" w:color="auto" w:sz="4" w:space="0"/>
            </w:tcBorders>
            <w:noWrap/>
            <w:vAlign w:val="center"/>
          </w:tcPr>
          <w:p w14:paraId="1C5255B9">
            <w:pPr>
              <w:spacing w:line="300" w:lineRule="exact"/>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ign w:val="center"/>
          </w:tcPr>
          <w:p w14:paraId="0528338A">
            <w:pPr>
              <w:spacing w:line="300" w:lineRule="exact"/>
              <w:jc w:val="center"/>
              <w:rPr>
                <w:rFonts w:ascii="宋体" w:hAnsi="宋体"/>
                <w:color w:val="auto"/>
                <w:szCs w:val="21"/>
                <w:highlight w:val="none"/>
              </w:rPr>
            </w:pPr>
            <w:r>
              <w:rPr>
                <w:rFonts w:hint="eastAsia" w:ascii="宋体" w:hAnsi="宋体"/>
                <w:color w:val="auto"/>
                <w:szCs w:val="21"/>
                <w:highlight w:val="none"/>
              </w:rPr>
              <w:t>资质要求</w:t>
            </w:r>
          </w:p>
        </w:tc>
        <w:tc>
          <w:tcPr>
            <w:tcW w:w="5079" w:type="dxa"/>
            <w:gridSpan w:val="2"/>
            <w:tcBorders>
              <w:top w:val="single" w:color="auto" w:sz="4" w:space="0"/>
              <w:left w:val="single" w:color="auto" w:sz="4" w:space="0"/>
              <w:bottom w:val="single" w:color="auto" w:sz="4" w:space="0"/>
            </w:tcBorders>
            <w:noWrap/>
            <w:vAlign w:val="center"/>
          </w:tcPr>
          <w:p w14:paraId="7E502173">
            <w:pPr>
              <w:spacing w:line="3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w:t>
            </w:r>
            <w:r>
              <w:rPr>
                <w:rFonts w:ascii="宋体" w:hAnsi="宋体" w:cs="宋体"/>
                <w:color w:val="auto"/>
                <w:szCs w:val="21"/>
                <w:highlight w:val="none"/>
              </w:rPr>
              <w:t>1.4.1项规定</w:t>
            </w:r>
          </w:p>
        </w:tc>
      </w:tr>
      <w:tr w14:paraId="57B3A5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696" w:type="dxa"/>
            <w:gridSpan w:val="2"/>
            <w:vMerge w:val="continue"/>
            <w:tcBorders>
              <w:right w:val="single" w:color="auto" w:sz="4" w:space="0"/>
            </w:tcBorders>
            <w:noWrap/>
            <w:vAlign w:val="center"/>
          </w:tcPr>
          <w:p w14:paraId="5F1A7040">
            <w:pPr>
              <w:spacing w:line="300" w:lineRule="exact"/>
              <w:rPr>
                <w:rFonts w:ascii="宋体" w:hAnsi="宋体"/>
                <w:color w:val="auto"/>
                <w:szCs w:val="21"/>
                <w:highlight w:val="none"/>
              </w:rPr>
            </w:pPr>
          </w:p>
        </w:tc>
        <w:tc>
          <w:tcPr>
            <w:tcW w:w="993" w:type="dxa"/>
            <w:vMerge w:val="continue"/>
            <w:tcBorders>
              <w:left w:val="single" w:color="auto" w:sz="4" w:space="0"/>
              <w:right w:val="single" w:color="auto" w:sz="4" w:space="0"/>
            </w:tcBorders>
            <w:noWrap/>
            <w:vAlign w:val="center"/>
          </w:tcPr>
          <w:p w14:paraId="7016FCF7">
            <w:pPr>
              <w:spacing w:line="300" w:lineRule="exact"/>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ign w:val="center"/>
          </w:tcPr>
          <w:p w14:paraId="56E3F7C6">
            <w:pPr>
              <w:spacing w:line="300" w:lineRule="exact"/>
              <w:jc w:val="center"/>
              <w:rPr>
                <w:rFonts w:ascii="宋体" w:hAnsi="宋体"/>
                <w:color w:val="auto"/>
                <w:szCs w:val="21"/>
                <w:highlight w:val="none"/>
              </w:rPr>
            </w:pPr>
            <w:r>
              <w:rPr>
                <w:rFonts w:hint="eastAsia" w:ascii="宋体" w:hAnsi="宋体"/>
                <w:color w:val="auto"/>
                <w:szCs w:val="21"/>
                <w:highlight w:val="none"/>
              </w:rPr>
              <w:t>财务要求</w:t>
            </w:r>
          </w:p>
        </w:tc>
        <w:tc>
          <w:tcPr>
            <w:tcW w:w="5079" w:type="dxa"/>
            <w:gridSpan w:val="2"/>
            <w:tcBorders>
              <w:top w:val="single" w:color="auto" w:sz="4" w:space="0"/>
              <w:left w:val="single" w:color="auto" w:sz="4" w:space="0"/>
              <w:bottom w:val="single" w:color="auto" w:sz="4" w:space="0"/>
            </w:tcBorders>
            <w:noWrap/>
            <w:vAlign w:val="center"/>
          </w:tcPr>
          <w:p w14:paraId="07DE71EB">
            <w:pPr>
              <w:spacing w:line="300" w:lineRule="exact"/>
              <w:rPr>
                <w:rFonts w:ascii="宋体" w:hAnsi="宋体" w:cs="宋体"/>
                <w:color w:val="auto"/>
                <w:szCs w:val="21"/>
                <w:highlight w:val="none"/>
              </w:rPr>
            </w:pPr>
            <w:r>
              <w:rPr>
                <w:rFonts w:ascii="宋体" w:hAnsi="宋体" w:cs="宋体"/>
                <w:color w:val="auto"/>
                <w:szCs w:val="21"/>
                <w:highlight w:val="none"/>
              </w:rPr>
              <w:t>/</w:t>
            </w:r>
          </w:p>
        </w:tc>
      </w:tr>
      <w:tr w14:paraId="2B3FED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14" w:hRule="atLeast"/>
          <w:jc w:val="center"/>
        </w:trPr>
        <w:tc>
          <w:tcPr>
            <w:tcW w:w="1696" w:type="dxa"/>
            <w:gridSpan w:val="2"/>
            <w:vMerge w:val="continue"/>
            <w:tcBorders>
              <w:right w:val="single" w:color="auto" w:sz="4" w:space="0"/>
            </w:tcBorders>
            <w:noWrap/>
            <w:vAlign w:val="center"/>
          </w:tcPr>
          <w:p w14:paraId="0A89C16C">
            <w:pPr>
              <w:spacing w:line="300" w:lineRule="exact"/>
              <w:rPr>
                <w:rFonts w:ascii="宋体" w:hAnsi="宋体"/>
                <w:color w:val="auto"/>
                <w:szCs w:val="21"/>
                <w:highlight w:val="none"/>
              </w:rPr>
            </w:pPr>
          </w:p>
        </w:tc>
        <w:tc>
          <w:tcPr>
            <w:tcW w:w="993" w:type="dxa"/>
            <w:vMerge w:val="continue"/>
            <w:tcBorders>
              <w:left w:val="single" w:color="auto" w:sz="4" w:space="0"/>
              <w:right w:val="single" w:color="auto" w:sz="4" w:space="0"/>
            </w:tcBorders>
            <w:noWrap/>
            <w:vAlign w:val="center"/>
          </w:tcPr>
          <w:p w14:paraId="529B9A58">
            <w:pPr>
              <w:spacing w:line="300" w:lineRule="exact"/>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ign w:val="center"/>
          </w:tcPr>
          <w:p w14:paraId="6CBC81BB">
            <w:pPr>
              <w:spacing w:line="300" w:lineRule="exact"/>
              <w:jc w:val="center"/>
              <w:rPr>
                <w:rFonts w:ascii="宋体" w:hAnsi="宋体"/>
                <w:color w:val="auto"/>
                <w:szCs w:val="21"/>
                <w:highlight w:val="none"/>
              </w:rPr>
            </w:pPr>
            <w:r>
              <w:rPr>
                <w:rFonts w:hint="eastAsia" w:ascii="宋体" w:hAnsi="宋体"/>
                <w:color w:val="auto"/>
                <w:szCs w:val="21"/>
                <w:highlight w:val="none"/>
              </w:rPr>
              <w:t>业绩要求</w:t>
            </w:r>
          </w:p>
        </w:tc>
        <w:tc>
          <w:tcPr>
            <w:tcW w:w="5079" w:type="dxa"/>
            <w:gridSpan w:val="2"/>
            <w:tcBorders>
              <w:top w:val="single" w:color="auto" w:sz="4" w:space="0"/>
              <w:left w:val="single" w:color="auto" w:sz="4" w:space="0"/>
              <w:bottom w:val="single" w:color="auto" w:sz="4" w:space="0"/>
            </w:tcBorders>
            <w:noWrap/>
            <w:vAlign w:val="center"/>
          </w:tcPr>
          <w:p w14:paraId="0FE7DE9A">
            <w:pPr>
              <w:spacing w:line="300" w:lineRule="exact"/>
              <w:rPr>
                <w:rFonts w:ascii="宋体" w:hAnsi="宋体" w:cs="宋体"/>
                <w:color w:val="auto"/>
                <w:szCs w:val="21"/>
                <w:highlight w:val="none"/>
              </w:rPr>
            </w:pPr>
            <w:r>
              <w:rPr>
                <w:rFonts w:ascii="宋体" w:hAnsi="宋体" w:cs="宋体"/>
                <w:color w:val="auto"/>
                <w:szCs w:val="21"/>
                <w:highlight w:val="none"/>
              </w:rPr>
              <w:t>/</w:t>
            </w:r>
          </w:p>
        </w:tc>
      </w:tr>
      <w:tr w14:paraId="5D70ED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1696" w:type="dxa"/>
            <w:gridSpan w:val="2"/>
            <w:vMerge w:val="continue"/>
            <w:tcBorders>
              <w:right w:val="single" w:color="auto" w:sz="4" w:space="0"/>
            </w:tcBorders>
            <w:noWrap/>
            <w:vAlign w:val="center"/>
          </w:tcPr>
          <w:p w14:paraId="7BC51873">
            <w:pPr>
              <w:spacing w:line="300" w:lineRule="exact"/>
              <w:rPr>
                <w:rFonts w:ascii="宋体" w:hAnsi="宋体"/>
                <w:color w:val="auto"/>
                <w:szCs w:val="21"/>
                <w:highlight w:val="none"/>
              </w:rPr>
            </w:pPr>
          </w:p>
        </w:tc>
        <w:tc>
          <w:tcPr>
            <w:tcW w:w="993" w:type="dxa"/>
            <w:vMerge w:val="continue"/>
            <w:tcBorders>
              <w:left w:val="single" w:color="auto" w:sz="4" w:space="0"/>
              <w:right w:val="single" w:color="auto" w:sz="4" w:space="0"/>
            </w:tcBorders>
            <w:noWrap/>
            <w:vAlign w:val="center"/>
          </w:tcPr>
          <w:p w14:paraId="607E46DB">
            <w:pPr>
              <w:spacing w:line="300" w:lineRule="exact"/>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ign w:val="center"/>
          </w:tcPr>
          <w:p w14:paraId="756DB095">
            <w:pPr>
              <w:spacing w:line="300" w:lineRule="exact"/>
              <w:jc w:val="center"/>
              <w:rPr>
                <w:rFonts w:ascii="宋体" w:hAnsi="宋体"/>
                <w:color w:val="auto"/>
                <w:szCs w:val="21"/>
                <w:highlight w:val="none"/>
              </w:rPr>
            </w:pPr>
            <w:r>
              <w:rPr>
                <w:rFonts w:hint="eastAsia" w:ascii="宋体" w:hAnsi="宋体"/>
                <w:color w:val="auto"/>
                <w:szCs w:val="21"/>
                <w:highlight w:val="none"/>
              </w:rPr>
              <w:t>信誉要求</w:t>
            </w:r>
          </w:p>
        </w:tc>
        <w:tc>
          <w:tcPr>
            <w:tcW w:w="5079" w:type="dxa"/>
            <w:gridSpan w:val="2"/>
            <w:tcBorders>
              <w:top w:val="single" w:color="auto" w:sz="4" w:space="0"/>
              <w:left w:val="single" w:color="auto" w:sz="4" w:space="0"/>
              <w:bottom w:val="single" w:color="auto" w:sz="4" w:space="0"/>
            </w:tcBorders>
            <w:noWrap/>
            <w:vAlign w:val="center"/>
          </w:tcPr>
          <w:p w14:paraId="1C92C3DE">
            <w:pPr>
              <w:spacing w:line="300" w:lineRule="exact"/>
              <w:rPr>
                <w:rFonts w:ascii="宋体" w:hAnsi="宋体" w:cs="宋体"/>
                <w:color w:val="auto"/>
                <w:szCs w:val="21"/>
                <w:highlight w:val="none"/>
              </w:rPr>
            </w:pPr>
            <w:r>
              <w:rPr>
                <w:rFonts w:ascii="宋体" w:hAnsi="宋体" w:cs="宋体"/>
                <w:color w:val="auto"/>
                <w:szCs w:val="21"/>
                <w:highlight w:val="none"/>
              </w:rPr>
              <w:t>/</w:t>
            </w:r>
          </w:p>
        </w:tc>
      </w:tr>
      <w:tr w14:paraId="78B114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1696" w:type="dxa"/>
            <w:gridSpan w:val="2"/>
            <w:vMerge w:val="continue"/>
            <w:tcBorders>
              <w:right w:val="single" w:color="auto" w:sz="4" w:space="0"/>
            </w:tcBorders>
            <w:noWrap/>
            <w:vAlign w:val="center"/>
          </w:tcPr>
          <w:p w14:paraId="200E7637">
            <w:pPr>
              <w:spacing w:line="300" w:lineRule="exact"/>
              <w:rPr>
                <w:rFonts w:ascii="宋体" w:hAnsi="宋体"/>
                <w:color w:val="auto"/>
                <w:szCs w:val="21"/>
                <w:highlight w:val="none"/>
              </w:rPr>
            </w:pPr>
          </w:p>
        </w:tc>
        <w:tc>
          <w:tcPr>
            <w:tcW w:w="993" w:type="dxa"/>
            <w:vMerge w:val="continue"/>
            <w:tcBorders>
              <w:left w:val="single" w:color="auto" w:sz="4" w:space="0"/>
              <w:right w:val="single" w:color="auto" w:sz="4" w:space="0"/>
            </w:tcBorders>
            <w:noWrap/>
            <w:vAlign w:val="center"/>
          </w:tcPr>
          <w:p w14:paraId="29CBC7AD">
            <w:pPr>
              <w:spacing w:line="300" w:lineRule="exact"/>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ign w:val="center"/>
          </w:tcPr>
          <w:p w14:paraId="4D4B4632">
            <w:pPr>
              <w:spacing w:line="300" w:lineRule="exact"/>
              <w:jc w:val="center"/>
              <w:rPr>
                <w:rFonts w:ascii="宋体" w:hAnsi="宋体"/>
                <w:color w:val="auto"/>
                <w:szCs w:val="21"/>
                <w:highlight w:val="none"/>
              </w:rPr>
            </w:pPr>
            <w:r>
              <w:rPr>
                <w:rFonts w:hint="eastAsia" w:ascii="宋体" w:hAnsi="宋体"/>
                <w:color w:val="auto"/>
                <w:szCs w:val="21"/>
                <w:highlight w:val="none"/>
              </w:rPr>
              <w:t>总监理工程师</w:t>
            </w:r>
          </w:p>
        </w:tc>
        <w:tc>
          <w:tcPr>
            <w:tcW w:w="5079" w:type="dxa"/>
            <w:gridSpan w:val="2"/>
            <w:tcBorders>
              <w:top w:val="single" w:color="auto" w:sz="4" w:space="0"/>
              <w:left w:val="single" w:color="auto" w:sz="4" w:space="0"/>
              <w:bottom w:val="single" w:color="auto" w:sz="4" w:space="0"/>
            </w:tcBorders>
            <w:noWrap/>
            <w:vAlign w:val="center"/>
          </w:tcPr>
          <w:p w14:paraId="23521AAC">
            <w:pPr>
              <w:spacing w:line="3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w:t>
            </w:r>
            <w:r>
              <w:rPr>
                <w:rFonts w:ascii="宋体" w:hAnsi="宋体" w:cs="宋体"/>
                <w:color w:val="auto"/>
                <w:szCs w:val="21"/>
                <w:highlight w:val="none"/>
              </w:rPr>
              <w:t>1.4.1项规定</w:t>
            </w:r>
          </w:p>
        </w:tc>
      </w:tr>
      <w:tr w14:paraId="002E83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1696" w:type="dxa"/>
            <w:gridSpan w:val="2"/>
            <w:vMerge w:val="continue"/>
            <w:tcBorders>
              <w:right w:val="single" w:color="auto" w:sz="4" w:space="0"/>
            </w:tcBorders>
            <w:noWrap/>
            <w:vAlign w:val="center"/>
          </w:tcPr>
          <w:p w14:paraId="34B99C8B">
            <w:pPr>
              <w:spacing w:line="300" w:lineRule="exact"/>
              <w:rPr>
                <w:rFonts w:ascii="宋体" w:hAnsi="宋体"/>
                <w:color w:val="auto"/>
                <w:szCs w:val="21"/>
                <w:highlight w:val="none"/>
              </w:rPr>
            </w:pPr>
          </w:p>
        </w:tc>
        <w:tc>
          <w:tcPr>
            <w:tcW w:w="993" w:type="dxa"/>
            <w:vMerge w:val="continue"/>
            <w:tcBorders>
              <w:left w:val="single" w:color="auto" w:sz="4" w:space="0"/>
              <w:right w:val="single" w:color="auto" w:sz="4" w:space="0"/>
            </w:tcBorders>
            <w:noWrap/>
            <w:vAlign w:val="center"/>
          </w:tcPr>
          <w:p w14:paraId="08AACCBB">
            <w:pPr>
              <w:spacing w:line="300" w:lineRule="exact"/>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ign w:val="center"/>
          </w:tcPr>
          <w:p w14:paraId="23CA9734">
            <w:pPr>
              <w:spacing w:line="300" w:lineRule="exact"/>
              <w:jc w:val="center"/>
              <w:rPr>
                <w:rFonts w:ascii="宋体" w:hAnsi="宋体"/>
                <w:color w:val="auto"/>
                <w:szCs w:val="21"/>
                <w:highlight w:val="none"/>
              </w:rPr>
            </w:pPr>
            <w:r>
              <w:rPr>
                <w:rFonts w:hint="eastAsia" w:ascii="宋体" w:hAnsi="宋体"/>
                <w:color w:val="auto"/>
                <w:szCs w:val="21"/>
                <w:highlight w:val="none"/>
              </w:rPr>
              <w:t>其他主要人员</w:t>
            </w:r>
          </w:p>
        </w:tc>
        <w:tc>
          <w:tcPr>
            <w:tcW w:w="5079" w:type="dxa"/>
            <w:gridSpan w:val="2"/>
            <w:tcBorders>
              <w:top w:val="single" w:color="auto" w:sz="4" w:space="0"/>
              <w:left w:val="single" w:color="auto" w:sz="4" w:space="0"/>
              <w:bottom w:val="single" w:color="auto" w:sz="4" w:space="0"/>
            </w:tcBorders>
            <w:noWrap/>
            <w:vAlign w:val="center"/>
          </w:tcPr>
          <w:p w14:paraId="608EEBC4">
            <w:pPr>
              <w:spacing w:line="300" w:lineRule="exact"/>
              <w:rPr>
                <w:rFonts w:ascii="宋体" w:hAnsi="宋体" w:cs="宋体"/>
                <w:color w:val="auto"/>
                <w:szCs w:val="21"/>
                <w:highlight w:val="none"/>
              </w:rPr>
            </w:pPr>
            <w:r>
              <w:rPr>
                <w:rFonts w:ascii="宋体" w:hAnsi="宋体" w:cs="宋体"/>
                <w:color w:val="auto"/>
                <w:szCs w:val="21"/>
                <w:highlight w:val="none"/>
              </w:rPr>
              <w:t>/</w:t>
            </w:r>
          </w:p>
        </w:tc>
      </w:tr>
      <w:tr w14:paraId="3E23E6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1696" w:type="dxa"/>
            <w:gridSpan w:val="2"/>
            <w:vMerge w:val="continue"/>
            <w:tcBorders>
              <w:right w:val="single" w:color="auto" w:sz="4" w:space="0"/>
            </w:tcBorders>
            <w:noWrap/>
            <w:vAlign w:val="center"/>
          </w:tcPr>
          <w:p w14:paraId="697837C1">
            <w:pPr>
              <w:spacing w:line="300" w:lineRule="exact"/>
              <w:rPr>
                <w:rFonts w:ascii="宋体" w:hAnsi="宋体"/>
                <w:color w:val="auto"/>
                <w:szCs w:val="21"/>
                <w:highlight w:val="none"/>
              </w:rPr>
            </w:pPr>
          </w:p>
        </w:tc>
        <w:tc>
          <w:tcPr>
            <w:tcW w:w="993" w:type="dxa"/>
            <w:vMerge w:val="continue"/>
            <w:tcBorders>
              <w:left w:val="single" w:color="auto" w:sz="4" w:space="0"/>
              <w:right w:val="single" w:color="auto" w:sz="4" w:space="0"/>
            </w:tcBorders>
            <w:noWrap/>
            <w:vAlign w:val="center"/>
          </w:tcPr>
          <w:p w14:paraId="55CE7284">
            <w:pPr>
              <w:spacing w:line="300" w:lineRule="exact"/>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ign w:val="center"/>
          </w:tcPr>
          <w:p w14:paraId="6168F713">
            <w:pPr>
              <w:spacing w:line="300" w:lineRule="exact"/>
              <w:jc w:val="center"/>
              <w:rPr>
                <w:rFonts w:ascii="宋体" w:hAnsi="宋体"/>
                <w:color w:val="auto"/>
                <w:szCs w:val="21"/>
                <w:highlight w:val="none"/>
              </w:rPr>
            </w:pPr>
            <w:r>
              <w:rPr>
                <w:rFonts w:hint="eastAsia" w:ascii="宋体" w:hAnsi="宋体"/>
                <w:color w:val="auto"/>
                <w:szCs w:val="21"/>
                <w:highlight w:val="none"/>
              </w:rPr>
              <w:t>试验检测仪器设备</w:t>
            </w:r>
          </w:p>
        </w:tc>
        <w:tc>
          <w:tcPr>
            <w:tcW w:w="5079" w:type="dxa"/>
            <w:gridSpan w:val="2"/>
            <w:tcBorders>
              <w:top w:val="single" w:color="auto" w:sz="4" w:space="0"/>
              <w:left w:val="single" w:color="auto" w:sz="4" w:space="0"/>
              <w:bottom w:val="single" w:color="auto" w:sz="4" w:space="0"/>
            </w:tcBorders>
            <w:noWrap/>
            <w:vAlign w:val="center"/>
          </w:tcPr>
          <w:p w14:paraId="2E5CEC22">
            <w:pPr>
              <w:spacing w:line="300" w:lineRule="exact"/>
              <w:rPr>
                <w:rFonts w:ascii="宋体" w:hAnsi="宋体" w:cs="宋体"/>
                <w:color w:val="auto"/>
                <w:szCs w:val="21"/>
                <w:highlight w:val="none"/>
              </w:rPr>
            </w:pPr>
            <w:r>
              <w:rPr>
                <w:rFonts w:ascii="宋体" w:hAnsi="宋体" w:cs="宋体"/>
                <w:color w:val="auto"/>
                <w:szCs w:val="21"/>
                <w:highlight w:val="none"/>
              </w:rPr>
              <w:t>/</w:t>
            </w:r>
          </w:p>
        </w:tc>
      </w:tr>
      <w:tr w14:paraId="58BFC2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9" w:hRule="atLeast"/>
          <w:jc w:val="center"/>
        </w:trPr>
        <w:tc>
          <w:tcPr>
            <w:tcW w:w="1696" w:type="dxa"/>
            <w:gridSpan w:val="2"/>
            <w:vMerge w:val="continue"/>
            <w:tcBorders>
              <w:right w:val="single" w:color="auto" w:sz="4" w:space="0"/>
            </w:tcBorders>
            <w:noWrap/>
            <w:vAlign w:val="center"/>
          </w:tcPr>
          <w:p w14:paraId="1A239747">
            <w:pPr>
              <w:spacing w:line="300" w:lineRule="exact"/>
              <w:rPr>
                <w:rFonts w:ascii="宋体" w:hAnsi="宋体"/>
                <w:color w:val="auto"/>
                <w:szCs w:val="21"/>
                <w:highlight w:val="none"/>
              </w:rPr>
            </w:pPr>
          </w:p>
        </w:tc>
        <w:tc>
          <w:tcPr>
            <w:tcW w:w="993" w:type="dxa"/>
            <w:vMerge w:val="continue"/>
            <w:tcBorders>
              <w:left w:val="single" w:color="auto" w:sz="4" w:space="0"/>
              <w:right w:val="single" w:color="auto" w:sz="4" w:space="0"/>
            </w:tcBorders>
            <w:noWrap/>
            <w:vAlign w:val="center"/>
          </w:tcPr>
          <w:p w14:paraId="7A9DBB14">
            <w:pPr>
              <w:spacing w:line="300" w:lineRule="exact"/>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ign w:val="center"/>
          </w:tcPr>
          <w:p w14:paraId="69595FCA">
            <w:pPr>
              <w:spacing w:line="300" w:lineRule="exact"/>
              <w:jc w:val="center"/>
              <w:rPr>
                <w:rFonts w:ascii="宋体" w:hAnsi="宋体"/>
                <w:color w:val="auto"/>
                <w:szCs w:val="21"/>
                <w:highlight w:val="none"/>
              </w:rPr>
            </w:pPr>
            <w:r>
              <w:rPr>
                <w:rFonts w:hint="eastAsia" w:ascii="宋体" w:hAnsi="宋体"/>
                <w:color w:val="auto"/>
                <w:szCs w:val="21"/>
                <w:highlight w:val="none"/>
              </w:rPr>
              <w:t>其他要求</w:t>
            </w:r>
          </w:p>
        </w:tc>
        <w:tc>
          <w:tcPr>
            <w:tcW w:w="5079" w:type="dxa"/>
            <w:gridSpan w:val="2"/>
            <w:tcBorders>
              <w:top w:val="single" w:color="auto" w:sz="4" w:space="0"/>
              <w:left w:val="single" w:color="auto" w:sz="4" w:space="0"/>
              <w:bottom w:val="single" w:color="auto" w:sz="4" w:space="0"/>
            </w:tcBorders>
            <w:noWrap/>
            <w:vAlign w:val="center"/>
          </w:tcPr>
          <w:p w14:paraId="2FBDFCAA">
            <w:pPr>
              <w:spacing w:line="3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w:t>
            </w:r>
            <w:r>
              <w:rPr>
                <w:rFonts w:ascii="宋体" w:hAnsi="宋体" w:cs="宋体"/>
                <w:color w:val="auto"/>
                <w:szCs w:val="21"/>
                <w:highlight w:val="none"/>
              </w:rPr>
              <w:t>1.4.1项规定</w:t>
            </w:r>
          </w:p>
        </w:tc>
      </w:tr>
      <w:tr w14:paraId="3518D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696" w:type="dxa"/>
            <w:gridSpan w:val="2"/>
            <w:vMerge w:val="continue"/>
            <w:tcBorders>
              <w:right w:val="single" w:color="auto" w:sz="4" w:space="0"/>
            </w:tcBorders>
            <w:noWrap/>
            <w:vAlign w:val="center"/>
          </w:tcPr>
          <w:p w14:paraId="587E45D8">
            <w:pPr>
              <w:spacing w:line="300" w:lineRule="exact"/>
              <w:rPr>
                <w:rFonts w:ascii="宋体" w:hAnsi="宋体"/>
                <w:color w:val="auto"/>
                <w:szCs w:val="21"/>
                <w:highlight w:val="none"/>
              </w:rPr>
            </w:pPr>
          </w:p>
        </w:tc>
        <w:tc>
          <w:tcPr>
            <w:tcW w:w="993" w:type="dxa"/>
            <w:vMerge w:val="continue"/>
            <w:tcBorders>
              <w:left w:val="single" w:color="auto" w:sz="4" w:space="0"/>
              <w:right w:val="single" w:color="auto" w:sz="4" w:space="0"/>
            </w:tcBorders>
            <w:noWrap/>
            <w:vAlign w:val="center"/>
          </w:tcPr>
          <w:p w14:paraId="5E548914">
            <w:pPr>
              <w:spacing w:line="300" w:lineRule="exact"/>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ign w:val="center"/>
          </w:tcPr>
          <w:p w14:paraId="7253B950">
            <w:pPr>
              <w:spacing w:line="300" w:lineRule="exact"/>
              <w:jc w:val="center"/>
              <w:rPr>
                <w:rFonts w:ascii="宋体" w:hAnsi="宋体"/>
                <w:color w:val="auto"/>
                <w:szCs w:val="21"/>
                <w:highlight w:val="none"/>
              </w:rPr>
            </w:pPr>
            <w:r>
              <w:rPr>
                <w:rFonts w:hint="eastAsia" w:ascii="宋体" w:hAnsi="宋体"/>
                <w:color w:val="auto"/>
                <w:szCs w:val="21"/>
                <w:highlight w:val="none"/>
              </w:rPr>
              <w:t>联合体投标人</w:t>
            </w:r>
          </w:p>
        </w:tc>
        <w:tc>
          <w:tcPr>
            <w:tcW w:w="5079" w:type="dxa"/>
            <w:gridSpan w:val="2"/>
            <w:tcBorders>
              <w:top w:val="single" w:color="auto" w:sz="4" w:space="0"/>
              <w:left w:val="single" w:color="auto" w:sz="4" w:space="0"/>
              <w:bottom w:val="single" w:color="auto" w:sz="4" w:space="0"/>
            </w:tcBorders>
            <w:noWrap/>
            <w:vAlign w:val="center"/>
          </w:tcPr>
          <w:p w14:paraId="1542C097">
            <w:pPr>
              <w:spacing w:line="300" w:lineRule="exact"/>
              <w:rPr>
                <w:rFonts w:ascii="宋体" w:hAnsi="宋体" w:cs="宋体"/>
                <w:color w:val="auto"/>
                <w:szCs w:val="21"/>
                <w:highlight w:val="none"/>
              </w:rPr>
            </w:pPr>
            <w:r>
              <w:rPr>
                <w:rFonts w:hint="eastAsia" w:ascii="宋体" w:hAnsi="宋体"/>
                <w:color w:val="auto"/>
                <w:szCs w:val="21"/>
                <w:highlight w:val="none"/>
              </w:rPr>
              <w:t>本项目不允许联合体投标</w:t>
            </w:r>
          </w:p>
        </w:tc>
      </w:tr>
      <w:tr w14:paraId="014D68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696" w:type="dxa"/>
            <w:gridSpan w:val="2"/>
            <w:vMerge w:val="continue"/>
            <w:tcBorders>
              <w:right w:val="single" w:color="auto" w:sz="4" w:space="0"/>
            </w:tcBorders>
            <w:noWrap/>
            <w:vAlign w:val="center"/>
          </w:tcPr>
          <w:p w14:paraId="77A15F80">
            <w:pPr>
              <w:spacing w:line="300" w:lineRule="exact"/>
              <w:rPr>
                <w:rFonts w:ascii="宋体" w:hAnsi="宋体"/>
                <w:color w:val="auto"/>
                <w:szCs w:val="21"/>
                <w:highlight w:val="none"/>
              </w:rPr>
            </w:pPr>
          </w:p>
        </w:tc>
        <w:tc>
          <w:tcPr>
            <w:tcW w:w="993" w:type="dxa"/>
            <w:vMerge w:val="continue"/>
            <w:tcBorders>
              <w:left w:val="single" w:color="auto" w:sz="4" w:space="0"/>
              <w:right w:val="single" w:color="auto" w:sz="4" w:space="0"/>
            </w:tcBorders>
            <w:noWrap/>
            <w:vAlign w:val="center"/>
          </w:tcPr>
          <w:p w14:paraId="5E7603E1">
            <w:pPr>
              <w:spacing w:line="300" w:lineRule="exact"/>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ign w:val="center"/>
          </w:tcPr>
          <w:p w14:paraId="35B6C7FA">
            <w:pPr>
              <w:spacing w:line="300" w:lineRule="exact"/>
              <w:jc w:val="center"/>
              <w:rPr>
                <w:rFonts w:ascii="宋体" w:hAnsi="宋体"/>
                <w:color w:val="auto"/>
                <w:szCs w:val="21"/>
                <w:highlight w:val="none"/>
              </w:rPr>
            </w:pPr>
            <w:r>
              <w:rPr>
                <w:rFonts w:hint="eastAsia" w:ascii="宋体" w:hAnsi="宋体"/>
                <w:color w:val="auto"/>
                <w:szCs w:val="21"/>
                <w:highlight w:val="none"/>
              </w:rPr>
              <w:t>不存在禁止投标的情形</w:t>
            </w:r>
          </w:p>
        </w:tc>
        <w:tc>
          <w:tcPr>
            <w:tcW w:w="5079" w:type="dxa"/>
            <w:gridSpan w:val="2"/>
            <w:tcBorders>
              <w:top w:val="single" w:color="auto" w:sz="4" w:space="0"/>
              <w:left w:val="single" w:color="auto" w:sz="4" w:space="0"/>
              <w:bottom w:val="single" w:color="auto" w:sz="4" w:space="0"/>
            </w:tcBorders>
            <w:noWrap/>
            <w:vAlign w:val="center"/>
          </w:tcPr>
          <w:p w14:paraId="1547331C">
            <w:pPr>
              <w:spacing w:line="300" w:lineRule="exact"/>
              <w:rPr>
                <w:rFonts w:ascii="宋体" w:hAnsi="宋体"/>
                <w:color w:val="auto"/>
                <w:szCs w:val="21"/>
                <w:highlight w:val="none"/>
                <w:u w:val="single"/>
              </w:rPr>
            </w:pPr>
            <w:r>
              <w:rPr>
                <w:rFonts w:hint="eastAsia" w:ascii="宋体" w:hAnsi="宋体" w:cs="宋体"/>
                <w:color w:val="auto"/>
                <w:szCs w:val="21"/>
                <w:highlight w:val="none"/>
              </w:rPr>
              <w:t>不存在第二章“投标人须知”第</w:t>
            </w:r>
            <w:r>
              <w:rPr>
                <w:rFonts w:ascii="宋体" w:hAnsi="宋体" w:cs="宋体"/>
                <w:color w:val="auto"/>
                <w:szCs w:val="21"/>
                <w:highlight w:val="none"/>
              </w:rPr>
              <w:t>1.4.3项规定的任何一种情形（以《投标人声明》</w:t>
            </w:r>
            <w:r>
              <w:rPr>
                <w:rFonts w:hint="eastAsia" w:ascii="宋体" w:hAnsi="宋体" w:cs="宋体"/>
                <w:color w:val="auto"/>
                <w:szCs w:val="21"/>
                <w:highlight w:val="none"/>
              </w:rPr>
              <w:t>进行评审</w:t>
            </w:r>
            <w:r>
              <w:rPr>
                <w:rFonts w:ascii="宋体" w:hAnsi="宋体" w:cs="宋体"/>
                <w:color w:val="auto"/>
                <w:szCs w:val="21"/>
                <w:highlight w:val="none"/>
              </w:rPr>
              <w:t>）</w:t>
            </w:r>
          </w:p>
        </w:tc>
      </w:tr>
      <w:tr w14:paraId="618A6E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696" w:type="dxa"/>
            <w:gridSpan w:val="2"/>
            <w:vMerge w:val="continue"/>
            <w:tcBorders>
              <w:bottom w:val="single" w:color="auto" w:sz="4" w:space="0"/>
              <w:right w:val="single" w:color="auto" w:sz="4" w:space="0"/>
            </w:tcBorders>
            <w:noWrap/>
            <w:vAlign w:val="center"/>
          </w:tcPr>
          <w:p w14:paraId="7528A92D">
            <w:pPr>
              <w:spacing w:line="300" w:lineRule="exact"/>
              <w:rPr>
                <w:rFonts w:ascii="宋体" w:hAnsi="宋体"/>
                <w:color w:val="auto"/>
                <w:szCs w:val="21"/>
                <w:highlight w:val="none"/>
              </w:rPr>
            </w:pPr>
          </w:p>
        </w:tc>
        <w:tc>
          <w:tcPr>
            <w:tcW w:w="993" w:type="dxa"/>
            <w:vMerge w:val="continue"/>
            <w:tcBorders>
              <w:left w:val="single" w:color="auto" w:sz="4" w:space="0"/>
              <w:bottom w:val="single" w:color="auto" w:sz="4" w:space="0"/>
              <w:right w:val="single" w:color="auto" w:sz="4" w:space="0"/>
            </w:tcBorders>
            <w:noWrap/>
            <w:vAlign w:val="center"/>
          </w:tcPr>
          <w:p w14:paraId="59AA7AA4">
            <w:pPr>
              <w:spacing w:line="300" w:lineRule="exact"/>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ign w:val="center"/>
          </w:tcPr>
          <w:p w14:paraId="52E78DBF">
            <w:pPr>
              <w:spacing w:line="300" w:lineRule="exact"/>
              <w:jc w:val="center"/>
              <w:rPr>
                <w:rFonts w:ascii="宋体" w:hAnsi="宋体"/>
                <w:color w:val="auto"/>
                <w:szCs w:val="21"/>
                <w:highlight w:val="none"/>
              </w:rPr>
            </w:pPr>
            <w:r>
              <w:rPr>
                <w:rFonts w:hint="eastAsia"/>
                <w:color w:val="auto"/>
                <w:szCs w:val="21"/>
                <w:highlight w:val="none"/>
              </w:rPr>
              <w:t>未被列入拖欠农民工工资失信联合惩戒对象名单</w:t>
            </w:r>
          </w:p>
        </w:tc>
        <w:tc>
          <w:tcPr>
            <w:tcW w:w="5079" w:type="dxa"/>
            <w:gridSpan w:val="2"/>
            <w:tcBorders>
              <w:top w:val="single" w:color="auto" w:sz="4" w:space="0"/>
              <w:left w:val="single" w:color="auto" w:sz="4" w:space="0"/>
              <w:bottom w:val="single" w:color="auto" w:sz="4" w:space="0"/>
            </w:tcBorders>
            <w:noWrap/>
            <w:vAlign w:val="center"/>
          </w:tcPr>
          <w:p w14:paraId="18185319">
            <w:pPr>
              <w:spacing w:line="300" w:lineRule="exact"/>
              <w:rPr>
                <w:rFonts w:ascii="宋体" w:hAnsi="宋体" w:cs="宋体"/>
                <w:color w:val="auto"/>
                <w:szCs w:val="21"/>
                <w:highlight w:val="none"/>
              </w:rPr>
            </w:pPr>
            <w:r>
              <w:rPr>
                <w:rFonts w:hint="eastAsia" w:ascii="宋体" w:hAnsi="宋体" w:cs="宋体"/>
                <w:color w:val="auto"/>
                <w:szCs w:val="21"/>
                <w:highlight w:val="none"/>
              </w:rPr>
              <w:t>本项评审投标人无需提供资料，按投标截止时间当天广州交易集团有限公司（广州公共资源交易中心）交易系统比对的结果进行评审。</w:t>
            </w:r>
          </w:p>
        </w:tc>
      </w:tr>
      <w:tr w14:paraId="26C128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15" w:hRule="atLeast"/>
          <w:jc w:val="center"/>
        </w:trPr>
        <w:tc>
          <w:tcPr>
            <w:tcW w:w="1696" w:type="dxa"/>
            <w:gridSpan w:val="2"/>
            <w:vMerge w:val="restart"/>
            <w:tcBorders>
              <w:top w:val="single" w:color="auto" w:sz="4" w:space="0"/>
              <w:right w:val="single" w:color="auto" w:sz="4" w:space="0"/>
            </w:tcBorders>
            <w:noWrap/>
            <w:vAlign w:val="center"/>
          </w:tcPr>
          <w:p w14:paraId="277B5101">
            <w:pPr>
              <w:spacing w:line="300" w:lineRule="exact"/>
              <w:jc w:val="center"/>
              <w:rPr>
                <w:rFonts w:ascii="宋体" w:hAnsi="宋体"/>
                <w:color w:val="auto"/>
                <w:szCs w:val="21"/>
                <w:highlight w:val="none"/>
              </w:rPr>
            </w:pPr>
            <w:r>
              <w:rPr>
                <w:rFonts w:ascii="宋体" w:hAnsi="宋体"/>
                <w:color w:val="auto"/>
                <w:szCs w:val="21"/>
                <w:highlight w:val="none"/>
              </w:rPr>
              <w:t>2.1.3</w:t>
            </w:r>
          </w:p>
        </w:tc>
        <w:tc>
          <w:tcPr>
            <w:tcW w:w="993" w:type="dxa"/>
            <w:vMerge w:val="restart"/>
            <w:tcBorders>
              <w:top w:val="single" w:color="auto" w:sz="4" w:space="0"/>
              <w:left w:val="single" w:color="auto" w:sz="4" w:space="0"/>
              <w:right w:val="single" w:color="auto" w:sz="4" w:space="0"/>
            </w:tcBorders>
            <w:noWrap/>
            <w:vAlign w:val="center"/>
          </w:tcPr>
          <w:p w14:paraId="3CC6B03F">
            <w:pPr>
              <w:spacing w:line="300" w:lineRule="exact"/>
              <w:jc w:val="center"/>
              <w:rPr>
                <w:rFonts w:ascii="宋体" w:hAnsi="宋体"/>
                <w:color w:val="auto"/>
                <w:szCs w:val="21"/>
                <w:highlight w:val="none"/>
              </w:rPr>
            </w:pPr>
            <w:r>
              <w:rPr>
                <w:rFonts w:hint="eastAsia" w:ascii="宋体" w:hAnsi="宋体"/>
                <w:color w:val="auto"/>
                <w:szCs w:val="21"/>
                <w:highlight w:val="none"/>
              </w:rPr>
              <w:t>响应性评审标准</w:t>
            </w:r>
          </w:p>
        </w:tc>
        <w:tc>
          <w:tcPr>
            <w:tcW w:w="1417" w:type="dxa"/>
            <w:tcBorders>
              <w:top w:val="single" w:color="auto" w:sz="4" w:space="0"/>
              <w:left w:val="single" w:color="auto" w:sz="4" w:space="0"/>
              <w:right w:val="single" w:color="auto" w:sz="4" w:space="0"/>
            </w:tcBorders>
            <w:noWrap/>
            <w:vAlign w:val="center"/>
          </w:tcPr>
          <w:p w14:paraId="04DBE29E">
            <w:pPr>
              <w:spacing w:line="300" w:lineRule="exact"/>
              <w:jc w:val="center"/>
              <w:rPr>
                <w:rFonts w:ascii="宋体" w:hAnsi="宋体"/>
                <w:color w:val="auto"/>
                <w:szCs w:val="21"/>
                <w:highlight w:val="none"/>
              </w:rPr>
            </w:pPr>
            <w:r>
              <w:rPr>
                <w:rFonts w:hint="eastAsia" w:ascii="宋体" w:hAnsi="宋体"/>
                <w:color w:val="auto"/>
                <w:szCs w:val="21"/>
                <w:highlight w:val="none"/>
              </w:rPr>
              <w:t>投标报价</w:t>
            </w:r>
          </w:p>
        </w:tc>
        <w:tc>
          <w:tcPr>
            <w:tcW w:w="5079" w:type="dxa"/>
            <w:gridSpan w:val="2"/>
            <w:tcBorders>
              <w:top w:val="single" w:color="auto" w:sz="4" w:space="0"/>
              <w:left w:val="single" w:color="auto" w:sz="4" w:space="0"/>
              <w:bottom w:val="single" w:color="auto" w:sz="4" w:space="0"/>
            </w:tcBorders>
            <w:noWrap/>
            <w:vAlign w:val="center"/>
          </w:tcPr>
          <w:p w14:paraId="025F4C41">
            <w:pPr>
              <w:spacing w:line="3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w:t>
            </w:r>
            <w:r>
              <w:rPr>
                <w:rFonts w:ascii="宋体" w:hAnsi="宋体" w:cs="宋体"/>
                <w:color w:val="auto"/>
                <w:szCs w:val="21"/>
                <w:highlight w:val="none"/>
              </w:rPr>
              <w:t>3.2款规定进行投标报价的；对同一招标项目没有出现两个或以上的投标报价，且修正无依据；</w:t>
            </w:r>
          </w:p>
        </w:tc>
      </w:tr>
      <w:tr w14:paraId="35C0A0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696" w:type="dxa"/>
            <w:gridSpan w:val="2"/>
            <w:vMerge w:val="continue"/>
            <w:tcBorders>
              <w:right w:val="single" w:color="auto" w:sz="4" w:space="0"/>
            </w:tcBorders>
            <w:noWrap/>
            <w:vAlign w:val="center"/>
          </w:tcPr>
          <w:p w14:paraId="0CB153EF">
            <w:pPr>
              <w:spacing w:line="300" w:lineRule="exact"/>
              <w:jc w:val="center"/>
              <w:rPr>
                <w:rFonts w:ascii="宋体" w:hAnsi="宋体"/>
                <w:color w:val="auto"/>
                <w:szCs w:val="21"/>
                <w:highlight w:val="none"/>
              </w:rPr>
            </w:pPr>
          </w:p>
        </w:tc>
        <w:tc>
          <w:tcPr>
            <w:tcW w:w="993" w:type="dxa"/>
            <w:vMerge w:val="continue"/>
            <w:tcBorders>
              <w:left w:val="single" w:color="auto" w:sz="4" w:space="0"/>
              <w:right w:val="single" w:color="auto" w:sz="4" w:space="0"/>
            </w:tcBorders>
            <w:noWrap/>
            <w:vAlign w:val="center"/>
          </w:tcPr>
          <w:p w14:paraId="1E73CBBE">
            <w:pPr>
              <w:spacing w:line="300" w:lineRule="exact"/>
              <w:jc w:val="center"/>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ign w:val="center"/>
          </w:tcPr>
          <w:p w14:paraId="00D2DA0B">
            <w:pPr>
              <w:spacing w:line="300" w:lineRule="exact"/>
              <w:jc w:val="center"/>
              <w:rPr>
                <w:rFonts w:ascii="宋体" w:hAnsi="宋体"/>
                <w:color w:val="auto"/>
                <w:szCs w:val="21"/>
                <w:highlight w:val="none"/>
              </w:rPr>
            </w:pPr>
            <w:r>
              <w:rPr>
                <w:rFonts w:hint="eastAsia" w:ascii="宋体" w:hAnsi="宋体"/>
                <w:color w:val="auto"/>
                <w:szCs w:val="21"/>
                <w:highlight w:val="none"/>
              </w:rPr>
              <w:t>投标内容</w:t>
            </w:r>
          </w:p>
        </w:tc>
        <w:tc>
          <w:tcPr>
            <w:tcW w:w="5079" w:type="dxa"/>
            <w:gridSpan w:val="2"/>
            <w:tcBorders>
              <w:top w:val="single" w:color="auto" w:sz="4" w:space="0"/>
              <w:left w:val="single" w:color="auto" w:sz="4" w:space="0"/>
              <w:bottom w:val="single" w:color="auto" w:sz="4" w:space="0"/>
            </w:tcBorders>
            <w:noWrap/>
            <w:vAlign w:val="center"/>
          </w:tcPr>
          <w:p w14:paraId="448F7D8A">
            <w:pPr>
              <w:spacing w:line="3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w:t>
            </w:r>
            <w:r>
              <w:rPr>
                <w:rFonts w:ascii="宋体" w:hAnsi="宋体" w:cs="宋体"/>
                <w:color w:val="auto"/>
                <w:szCs w:val="21"/>
                <w:highlight w:val="none"/>
              </w:rPr>
              <w:t>1.3.1项规定；</w:t>
            </w:r>
          </w:p>
        </w:tc>
      </w:tr>
      <w:tr w14:paraId="60E521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696" w:type="dxa"/>
            <w:gridSpan w:val="2"/>
            <w:vMerge w:val="continue"/>
            <w:tcBorders>
              <w:right w:val="single" w:color="auto" w:sz="4" w:space="0"/>
            </w:tcBorders>
            <w:noWrap/>
            <w:vAlign w:val="center"/>
          </w:tcPr>
          <w:p w14:paraId="1D418276">
            <w:pPr>
              <w:spacing w:line="300" w:lineRule="exact"/>
              <w:jc w:val="center"/>
              <w:rPr>
                <w:rFonts w:ascii="宋体" w:hAnsi="宋体"/>
                <w:color w:val="auto"/>
                <w:szCs w:val="21"/>
                <w:highlight w:val="none"/>
              </w:rPr>
            </w:pPr>
          </w:p>
        </w:tc>
        <w:tc>
          <w:tcPr>
            <w:tcW w:w="993" w:type="dxa"/>
            <w:vMerge w:val="continue"/>
            <w:tcBorders>
              <w:left w:val="single" w:color="auto" w:sz="4" w:space="0"/>
              <w:right w:val="single" w:color="auto" w:sz="4" w:space="0"/>
            </w:tcBorders>
            <w:noWrap/>
            <w:vAlign w:val="center"/>
          </w:tcPr>
          <w:p w14:paraId="7BE50FC1">
            <w:pPr>
              <w:spacing w:line="300" w:lineRule="exact"/>
              <w:jc w:val="center"/>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ign w:val="center"/>
          </w:tcPr>
          <w:p w14:paraId="001C0D3A">
            <w:pPr>
              <w:spacing w:line="300" w:lineRule="exact"/>
              <w:jc w:val="center"/>
              <w:rPr>
                <w:rFonts w:ascii="宋体" w:hAnsi="宋体"/>
                <w:color w:val="auto"/>
                <w:szCs w:val="21"/>
                <w:highlight w:val="none"/>
              </w:rPr>
            </w:pPr>
            <w:r>
              <w:rPr>
                <w:rFonts w:hint="eastAsia" w:ascii="宋体" w:hAnsi="宋体"/>
                <w:color w:val="auto"/>
                <w:szCs w:val="21"/>
                <w:highlight w:val="none"/>
              </w:rPr>
              <w:t>监理服务期限</w:t>
            </w:r>
          </w:p>
        </w:tc>
        <w:tc>
          <w:tcPr>
            <w:tcW w:w="5079" w:type="dxa"/>
            <w:gridSpan w:val="2"/>
            <w:tcBorders>
              <w:top w:val="single" w:color="auto" w:sz="4" w:space="0"/>
              <w:left w:val="single" w:color="auto" w:sz="4" w:space="0"/>
              <w:bottom w:val="single" w:color="auto" w:sz="4" w:space="0"/>
            </w:tcBorders>
            <w:noWrap/>
            <w:vAlign w:val="center"/>
          </w:tcPr>
          <w:p w14:paraId="6CA21A00">
            <w:pPr>
              <w:spacing w:line="3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w:t>
            </w:r>
            <w:r>
              <w:rPr>
                <w:rFonts w:ascii="宋体" w:hAnsi="宋体" w:cs="宋体"/>
                <w:color w:val="auto"/>
                <w:szCs w:val="21"/>
                <w:highlight w:val="none"/>
              </w:rPr>
              <w:t>1.3.2项规定</w:t>
            </w:r>
          </w:p>
        </w:tc>
      </w:tr>
      <w:tr w14:paraId="0100A3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696" w:type="dxa"/>
            <w:gridSpan w:val="2"/>
            <w:vMerge w:val="continue"/>
            <w:tcBorders>
              <w:right w:val="single" w:color="auto" w:sz="4" w:space="0"/>
            </w:tcBorders>
            <w:noWrap/>
            <w:vAlign w:val="center"/>
          </w:tcPr>
          <w:p w14:paraId="25F92523">
            <w:pPr>
              <w:spacing w:line="300" w:lineRule="exact"/>
              <w:jc w:val="center"/>
              <w:rPr>
                <w:rFonts w:ascii="宋体" w:hAnsi="宋体"/>
                <w:color w:val="auto"/>
                <w:szCs w:val="21"/>
                <w:highlight w:val="none"/>
              </w:rPr>
            </w:pPr>
          </w:p>
        </w:tc>
        <w:tc>
          <w:tcPr>
            <w:tcW w:w="993" w:type="dxa"/>
            <w:vMerge w:val="continue"/>
            <w:tcBorders>
              <w:left w:val="single" w:color="auto" w:sz="4" w:space="0"/>
              <w:right w:val="single" w:color="auto" w:sz="4" w:space="0"/>
            </w:tcBorders>
            <w:noWrap/>
            <w:vAlign w:val="center"/>
          </w:tcPr>
          <w:p w14:paraId="61F8773F">
            <w:pPr>
              <w:spacing w:line="300" w:lineRule="exact"/>
              <w:jc w:val="center"/>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ign w:val="center"/>
          </w:tcPr>
          <w:p w14:paraId="4474B341">
            <w:pPr>
              <w:spacing w:line="300" w:lineRule="exact"/>
              <w:jc w:val="center"/>
              <w:rPr>
                <w:rFonts w:ascii="宋体" w:hAnsi="宋体"/>
                <w:color w:val="auto"/>
                <w:szCs w:val="21"/>
                <w:highlight w:val="none"/>
              </w:rPr>
            </w:pPr>
            <w:r>
              <w:rPr>
                <w:rFonts w:hint="eastAsia" w:ascii="宋体" w:hAnsi="宋体"/>
                <w:color w:val="auto"/>
                <w:szCs w:val="21"/>
                <w:highlight w:val="none"/>
              </w:rPr>
              <w:t>质量标准</w:t>
            </w:r>
          </w:p>
        </w:tc>
        <w:tc>
          <w:tcPr>
            <w:tcW w:w="5079" w:type="dxa"/>
            <w:gridSpan w:val="2"/>
            <w:tcBorders>
              <w:top w:val="single" w:color="auto" w:sz="4" w:space="0"/>
              <w:left w:val="single" w:color="auto" w:sz="4" w:space="0"/>
              <w:bottom w:val="single" w:color="auto" w:sz="4" w:space="0"/>
            </w:tcBorders>
            <w:noWrap/>
            <w:vAlign w:val="center"/>
          </w:tcPr>
          <w:p w14:paraId="75A4535D">
            <w:pPr>
              <w:spacing w:line="3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w:t>
            </w:r>
            <w:r>
              <w:rPr>
                <w:rFonts w:ascii="宋体" w:hAnsi="宋体" w:cs="宋体"/>
                <w:color w:val="auto"/>
                <w:szCs w:val="21"/>
                <w:highlight w:val="none"/>
              </w:rPr>
              <w:t>1.3.3项规定</w:t>
            </w:r>
          </w:p>
        </w:tc>
      </w:tr>
      <w:tr w14:paraId="15643E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696" w:type="dxa"/>
            <w:gridSpan w:val="2"/>
            <w:vMerge w:val="continue"/>
            <w:tcBorders>
              <w:right w:val="single" w:color="auto" w:sz="4" w:space="0"/>
            </w:tcBorders>
            <w:noWrap/>
            <w:vAlign w:val="center"/>
          </w:tcPr>
          <w:p w14:paraId="27BFC48E">
            <w:pPr>
              <w:spacing w:line="300" w:lineRule="exact"/>
              <w:rPr>
                <w:rFonts w:ascii="宋体" w:hAnsi="宋体"/>
                <w:color w:val="auto"/>
                <w:szCs w:val="21"/>
                <w:highlight w:val="none"/>
              </w:rPr>
            </w:pPr>
          </w:p>
        </w:tc>
        <w:tc>
          <w:tcPr>
            <w:tcW w:w="993" w:type="dxa"/>
            <w:vMerge w:val="continue"/>
            <w:tcBorders>
              <w:left w:val="single" w:color="auto" w:sz="4" w:space="0"/>
              <w:right w:val="single" w:color="auto" w:sz="4" w:space="0"/>
            </w:tcBorders>
            <w:noWrap/>
            <w:vAlign w:val="center"/>
          </w:tcPr>
          <w:p w14:paraId="74C0A32E">
            <w:pPr>
              <w:spacing w:line="300" w:lineRule="exact"/>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noWrap/>
          </w:tcPr>
          <w:p w14:paraId="0E9304BF">
            <w:pPr>
              <w:spacing w:line="300" w:lineRule="exact"/>
              <w:jc w:val="center"/>
              <w:rPr>
                <w:rFonts w:ascii="宋体" w:hAnsi="宋体"/>
                <w:color w:val="auto"/>
                <w:szCs w:val="21"/>
                <w:highlight w:val="none"/>
              </w:rPr>
            </w:pPr>
            <w:r>
              <w:rPr>
                <w:rFonts w:hint="eastAsia" w:ascii="宋体" w:hAnsi="宋体"/>
                <w:color w:val="auto"/>
                <w:szCs w:val="21"/>
                <w:highlight w:val="none"/>
              </w:rPr>
              <w:t>投标有效期</w:t>
            </w:r>
          </w:p>
        </w:tc>
        <w:tc>
          <w:tcPr>
            <w:tcW w:w="5079" w:type="dxa"/>
            <w:gridSpan w:val="2"/>
            <w:tcBorders>
              <w:top w:val="single" w:color="auto" w:sz="4" w:space="0"/>
              <w:left w:val="single" w:color="auto" w:sz="4" w:space="0"/>
              <w:bottom w:val="single" w:color="auto" w:sz="4" w:space="0"/>
            </w:tcBorders>
            <w:noWrap/>
          </w:tcPr>
          <w:p w14:paraId="5168E6B3">
            <w:pPr>
              <w:spacing w:line="3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w:t>
            </w:r>
            <w:r>
              <w:rPr>
                <w:rFonts w:ascii="宋体" w:hAnsi="宋体" w:cs="宋体"/>
                <w:color w:val="auto"/>
                <w:szCs w:val="21"/>
                <w:highlight w:val="none"/>
              </w:rPr>
              <w:t>3.3.1项规定</w:t>
            </w:r>
          </w:p>
        </w:tc>
      </w:tr>
      <w:tr w14:paraId="27D231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1696" w:type="dxa"/>
            <w:gridSpan w:val="2"/>
            <w:vMerge w:val="continue"/>
            <w:tcBorders>
              <w:bottom w:val="single" w:color="auto" w:sz="4" w:space="0"/>
              <w:right w:val="single" w:color="auto" w:sz="4" w:space="0"/>
            </w:tcBorders>
            <w:noWrap/>
            <w:vAlign w:val="center"/>
          </w:tcPr>
          <w:p w14:paraId="5E408A43">
            <w:pPr>
              <w:spacing w:line="300" w:lineRule="exact"/>
              <w:rPr>
                <w:rFonts w:ascii="宋体" w:hAnsi="宋体"/>
                <w:color w:val="auto"/>
                <w:szCs w:val="21"/>
                <w:highlight w:val="none"/>
              </w:rPr>
            </w:pPr>
          </w:p>
        </w:tc>
        <w:tc>
          <w:tcPr>
            <w:tcW w:w="993" w:type="dxa"/>
            <w:vMerge w:val="continue"/>
            <w:tcBorders>
              <w:left w:val="single" w:color="auto" w:sz="4" w:space="0"/>
              <w:bottom w:val="single" w:color="auto" w:sz="4" w:space="0"/>
              <w:right w:val="single" w:color="auto" w:sz="4" w:space="0"/>
            </w:tcBorders>
            <w:noWrap/>
            <w:vAlign w:val="center"/>
          </w:tcPr>
          <w:p w14:paraId="1E3A5546">
            <w:pPr>
              <w:spacing w:line="300" w:lineRule="exact"/>
              <w:rPr>
                <w:rFonts w:ascii="宋体" w:hAnsi="宋体"/>
                <w:color w:val="auto"/>
                <w:szCs w:val="21"/>
                <w:highlight w:val="none"/>
              </w:rPr>
            </w:pPr>
          </w:p>
        </w:tc>
        <w:tc>
          <w:tcPr>
            <w:tcW w:w="1417" w:type="dxa"/>
            <w:tcBorders>
              <w:top w:val="single" w:color="auto" w:sz="4" w:space="0"/>
              <w:left w:val="single" w:color="auto" w:sz="4" w:space="0"/>
              <w:right w:val="single" w:color="auto" w:sz="4" w:space="0"/>
            </w:tcBorders>
            <w:noWrap/>
          </w:tcPr>
          <w:p w14:paraId="672A5EF4">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串通投标情形</w:t>
            </w:r>
          </w:p>
        </w:tc>
        <w:tc>
          <w:tcPr>
            <w:tcW w:w="5079" w:type="dxa"/>
            <w:gridSpan w:val="2"/>
            <w:tcBorders>
              <w:top w:val="single" w:color="auto" w:sz="4" w:space="0"/>
              <w:left w:val="single" w:color="auto" w:sz="4" w:space="0"/>
            </w:tcBorders>
            <w:noWrap/>
          </w:tcPr>
          <w:p w14:paraId="497AD5C4">
            <w:pPr>
              <w:spacing w:line="300" w:lineRule="exact"/>
              <w:rPr>
                <w:rFonts w:ascii="宋体" w:hAnsi="宋体" w:cs="宋体"/>
                <w:color w:val="auto"/>
                <w:szCs w:val="21"/>
                <w:highlight w:val="none"/>
              </w:rPr>
            </w:pPr>
            <w:r>
              <w:rPr>
                <w:rFonts w:hint="eastAsia" w:ascii="宋体" w:hAnsi="宋体" w:cs="宋体"/>
                <w:color w:val="auto"/>
                <w:szCs w:val="21"/>
                <w:highlight w:val="none"/>
              </w:rPr>
              <w:t>投标人之间不存在《广东省实施&lt;中华人民共和国招标投标法&gt;办法》第十六条所禁止的情形的</w:t>
            </w:r>
          </w:p>
        </w:tc>
      </w:tr>
      <w:bookmarkEnd w:id="142"/>
      <w:tr w14:paraId="3D2801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2689" w:type="dxa"/>
            <w:gridSpan w:val="3"/>
            <w:tcBorders>
              <w:top w:val="single" w:color="auto" w:sz="4" w:space="0"/>
              <w:bottom w:val="single" w:color="auto" w:sz="4" w:space="0"/>
              <w:right w:val="single" w:color="auto" w:sz="4" w:space="0"/>
            </w:tcBorders>
            <w:noWrap/>
            <w:vAlign w:val="center"/>
          </w:tcPr>
          <w:p w14:paraId="1C5414FA">
            <w:pPr>
              <w:spacing w:line="300" w:lineRule="exact"/>
              <w:jc w:val="center"/>
              <w:rPr>
                <w:rFonts w:ascii="宋体" w:hAnsi="宋体"/>
                <w:b/>
                <w:color w:val="auto"/>
                <w:szCs w:val="21"/>
                <w:highlight w:val="none"/>
              </w:rPr>
            </w:pPr>
            <w:bookmarkStart w:id="154" w:name="_Hlk123837703"/>
            <w:r>
              <w:rPr>
                <w:rFonts w:hint="eastAsia" w:ascii="宋体" w:hAnsi="宋体"/>
                <w:b/>
                <w:color w:val="auto"/>
                <w:szCs w:val="21"/>
                <w:highlight w:val="none"/>
              </w:rPr>
              <w:t>条款号</w:t>
            </w:r>
          </w:p>
        </w:tc>
        <w:tc>
          <w:tcPr>
            <w:tcW w:w="1417" w:type="dxa"/>
            <w:tcBorders>
              <w:top w:val="single" w:color="auto" w:sz="4" w:space="0"/>
              <w:left w:val="single" w:color="auto" w:sz="4" w:space="0"/>
              <w:bottom w:val="single" w:color="auto" w:sz="4" w:space="0"/>
              <w:right w:val="single" w:color="auto" w:sz="4" w:space="0"/>
            </w:tcBorders>
            <w:noWrap/>
            <w:vAlign w:val="center"/>
          </w:tcPr>
          <w:p w14:paraId="41083262">
            <w:pPr>
              <w:spacing w:line="300" w:lineRule="exact"/>
              <w:jc w:val="center"/>
              <w:rPr>
                <w:rFonts w:ascii="宋体" w:hAnsi="宋体"/>
                <w:b/>
                <w:color w:val="auto"/>
                <w:szCs w:val="21"/>
                <w:highlight w:val="none"/>
              </w:rPr>
            </w:pPr>
            <w:r>
              <w:rPr>
                <w:rFonts w:hint="eastAsia" w:ascii="宋体" w:hAnsi="宋体"/>
                <w:b/>
                <w:color w:val="auto"/>
                <w:szCs w:val="21"/>
                <w:highlight w:val="none"/>
              </w:rPr>
              <w:t>评审因素</w:t>
            </w:r>
          </w:p>
        </w:tc>
        <w:tc>
          <w:tcPr>
            <w:tcW w:w="5079" w:type="dxa"/>
            <w:gridSpan w:val="2"/>
            <w:tcBorders>
              <w:top w:val="single" w:color="auto" w:sz="4" w:space="0"/>
              <w:left w:val="single" w:color="auto" w:sz="4" w:space="0"/>
              <w:bottom w:val="single" w:color="auto" w:sz="4" w:space="0"/>
            </w:tcBorders>
            <w:noWrap/>
            <w:vAlign w:val="center"/>
          </w:tcPr>
          <w:p w14:paraId="52301958">
            <w:pPr>
              <w:spacing w:line="300" w:lineRule="exact"/>
              <w:jc w:val="center"/>
              <w:rPr>
                <w:rFonts w:ascii="宋体" w:hAnsi="宋体" w:cs="宋体"/>
                <w:b/>
                <w:color w:val="auto"/>
                <w:szCs w:val="21"/>
                <w:highlight w:val="none"/>
              </w:rPr>
            </w:pPr>
            <w:r>
              <w:rPr>
                <w:rFonts w:hint="eastAsia" w:ascii="宋体" w:hAnsi="宋体" w:cs="宋体"/>
                <w:b/>
                <w:color w:val="auto"/>
                <w:szCs w:val="21"/>
                <w:highlight w:val="none"/>
              </w:rPr>
              <w:t>评审标准</w:t>
            </w:r>
          </w:p>
        </w:tc>
      </w:tr>
      <w:tr w14:paraId="6A2A17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69" w:hRule="atLeast"/>
          <w:jc w:val="center"/>
        </w:trPr>
        <w:tc>
          <w:tcPr>
            <w:tcW w:w="2689" w:type="dxa"/>
            <w:gridSpan w:val="3"/>
            <w:tcBorders>
              <w:top w:val="single" w:color="auto" w:sz="4" w:space="0"/>
              <w:bottom w:val="single" w:color="auto" w:sz="4" w:space="0"/>
              <w:right w:val="single" w:color="auto" w:sz="4" w:space="0"/>
            </w:tcBorders>
            <w:noWrap/>
            <w:vAlign w:val="center"/>
          </w:tcPr>
          <w:p w14:paraId="668730D2">
            <w:pPr>
              <w:spacing w:line="300" w:lineRule="exact"/>
              <w:jc w:val="center"/>
              <w:rPr>
                <w:rFonts w:ascii="宋体" w:hAnsi="宋体" w:cs="宋体"/>
                <w:color w:val="auto"/>
                <w:szCs w:val="21"/>
                <w:highlight w:val="none"/>
              </w:rPr>
            </w:pPr>
            <w:r>
              <w:rPr>
                <w:rFonts w:ascii="宋体" w:hAnsi="宋体" w:cs="宋体"/>
                <w:color w:val="auto"/>
                <w:szCs w:val="21"/>
                <w:highlight w:val="none"/>
              </w:rPr>
              <w:t>2.2.1</w:t>
            </w:r>
          </w:p>
        </w:tc>
        <w:tc>
          <w:tcPr>
            <w:tcW w:w="1417" w:type="dxa"/>
            <w:tcBorders>
              <w:top w:val="single" w:color="auto" w:sz="4" w:space="0"/>
              <w:left w:val="single" w:color="auto" w:sz="4" w:space="0"/>
              <w:bottom w:val="single" w:color="auto" w:sz="4" w:space="0"/>
              <w:right w:val="single" w:color="auto" w:sz="4" w:space="0"/>
            </w:tcBorders>
            <w:noWrap/>
            <w:vAlign w:val="center"/>
          </w:tcPr>
          <w:p w14:paraId="12AFCD2F">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分值构成</w:t>
            </w:r>
          </w:p>
          <w:p w14:paraId="2A499CA8">
            <w:pPr>
              <w:spacing w:line="300" w:lineRule="exact"/>
              <w:jc w:val="center"/>
              <w:rPr>
                <w:rFonts w:ascii="宋体" w:hAnsi="宋体" w:cs="宋体"/>
                <w:color w:val="auto"/>
                <w:szCs w:val="21"/>
                <w:highlight w:val="none"/>
              </w:rPr>
            </w:pPr>
            <w:r>
              <w:rPr>
                <w:rFonts w:ascii="宋体" w:hAnsi="宋体" w:cs="宋体"/>
                <w:color w:val="auto"/>
                <w:szCs w:val="21"/>
                <w:highlight w:val="none"/>
              </w:rPr>
              <w:t>(总分100分)</w:t>
            </w:r>
          </w:p>
        </w:tc>
        <w:tc>
          <w:tcPr>
            <w:tcW w:w="5079" w:type="dxa"/>
            <w:gridSpan w:val="2"/>
            <w:tcBorders>
              <w:top w:val="single" w:color="auto" w:sz="4" w:space="0"/>
              <w:left w:val="single" w:color="auto" w:sz="4" w:space="0"/>
              <w:bottom w:val="single" w:color="auto" w:sz="4" w:space="0"/>
            </w:tcBorders>
            <w:noWrap/>
            <w:vAlign w:val="center"/>
          </w:tcPr>
          <w:p w14:paraId="09169163">
            <w:pPr>
              <w:spacing w:line="300" w:lineRule="exact"/>
              <w:rPr>
                <w:rFonts w:ascii="宋体" w:hAnsi="宋体"/>
                <w:bCs/>
                <w:color w:val="auto"/>
                <w:szCs w:val="21"/>
                <w:highlight w:val="none"/>
              </w:rPr>
            </w:pPr>
            <w:r>
              <w:rPr>
                <w:rFonts w:hint="eastAsia" w:ascii="宋体" w:hAnsi="宋体"/>
                <w:bCs/>
                <w:color w:val="auto"/>
                <w:szCs w:val="21"/>
                <w:highlight w:val="none"/>
              </w:rPr>
              <w:t>（1）资信业绩部分：</w:t>
            </w:r>
            <w:r>
              <w:rPr>
                <w:rFonts w:hint="eastAsia" w:ascii="宋体" w:hAnsi="宋体"/>
                <w:bCs/>
                <w:color w:val="auto"/>
                <w:szCs w:val="21"/>
                <w:highlight w:val="none"/>
                <w:lang w:val="en-US" w:eastAsia="zh-CN"/>
              </w:rPr>
              <w:t>50</w:t>
            </w:r>
            <w:r>
              <w:rPr>
                <w:rFonts w:hint="eastAsia" w:ascii="宋体" w:hAnsi="宋体"/>
                <w:bCs/>
                <w:color w:val="auto"/>
                <w:szCs w:val="21"/>
                <w:highlight w:val="none"/>
              </w:rPr>
              <w:t>分</w:t>
            </w:r>
          </w:p>
          <w:p w14:paraId="08F659C4">
            <w:pPr>
              <w:spacing w:line="300" w:lineRule="exact"/>
              <w:rPr>
                <w:rFonts w:ascii="宋体" w:hAnsi="宋体"/>
                <w:bCs/>
                <w:color w:val="auto"/>
                <w:szCs w:val="21"/>
                <w:highlight w:val="none"/>
              </w:rPr>
            </w:pPr>
            <w:r>
              <w:rPr>
                <w:rFonts w:hint="eastAsia" w:ascii="宋体" w:hAnsi="宋体"/>
                <w:bCs/>
                <w:color w:val="auto"/>
                <w:szCs w:val="21"/>
                <w:highlight w:val="none"/>
              </w:rPr>
              <w:t>（2）监理大纲部分：</w:t>
            </w:r>
            <w:r>
              <w:rPr>
                <w:rFonts w:hint="eastAsia" w:ascii="宋体" w:hAnsi="宋体"/>
                <w:bCs/>
                <w:color w:val="auto"/>
                <w:szCs w:val="21"/>
                <w:highlight w:val="none"/>
                <w:u w:val="single"/>
              </w:rPr>
              <w:t>3</w:t>
            </w:r>
            <w:r>
              <w:rPr>
                <w:rFonts w:hint="eastAsia" w:ascii="宋体" w:hAnsi="宋体"/>
                <w:bCs/>
                <w:color w:val="auto"/>
                <w:szCs w:val="21"/>
                <w:highlight w:val="none"/>
                <w:u w:val="single"/>
                <w:lang w:val="en-US" w:eastAsia="zh-CN"/>
              </w:rPr>
              <w:t>0</w:t>
            </w:r>
            <w:r>
              <w:rPr>
                <w:rFonts w:hint="eastAsia" w:ascii="宋体" w:hAnsi="宋体"/>
                <w:bCs/>
                <w:color w:val="auto"/>
                <w:szCs w:val="21"/>
                <w:highlight w:val="none"/>
              </w:rPr>
              <w:t>分</w:t>
            </w:r>
          </w:p>
          <w:p w14:paraId="68F05802">
            <w:pPr>
              <w:spacing w:line="300" w:lineRule="exact"/>
              <w:rPr>
                <w:rFonts w:ascii="宋体" w:hAnsi="宋体"/>
                <w:bCs/>
                <w:color w:val="auto"/>
                <w:szCs w:val="21"/>
                <w:highlight w:val="none"/>
              </w:rPr>
            </w:pPr>
            <w:r>
              <w:rPr>
                <w:rFonts w:hint="eastAsia" w:ascii="宋体" w:hAnsi="宋体"/>
                <w:bCs/>
                <w:color w:val="auto"/>
                <w:szCs w:val="21"/>
                <w:highlight w:val="none"/>
              </w:rPr>
              <w:t>（3）投标报价：</w:t>
            </w:r>
            <w:r>
              <w:rPr>
                <w:rFonts w:hint="eastAsia" w:ascii="宋体" w:hAnsi="宋体"/>
                <w:bCs/>
                <w:color w:val="auto"/>
                <w:szCs w:val="21"/>
                <w:highlight w:val="none"/>
                <w:u w:val="single"/>
              </w:rPr>
              <w:t>20</w:t>
            </w:r>
            <w:r>
              <w:rPr>
                <w:rFonts w:hint="eastAsia" w:ascii="宋体" w:hAnsi="宋体"/>
                <w:bCs/>
                <w:color w:val="auto"/>
                <w:szCs w:val="21"/>
                <w:highlight w:val="none"/>
              </w:rPr>
              <w:t>分</w:t>
            </w:r>
          </w:p>
          <w:p w14:paraId="694BCC1E">
            <w:pPr>
              <w:spacing w:line="300" w:lineRule="exact"/>
              <w:rPr>
                <w:rFonts w:ascii="宋体" w:hAnsi="宋体" w:cs="宋体"/>
                <w:color w:val="auto"/>
                <w:szCs w:val="21"/>
                <w:highlight w:val="none"/>
              </w:rPr>
            </w:pPr>
            <w:r>
              <w:rPr>
                <w:rFonts w:hint="eastAsia" w:ascii="宋体" w:hAnsi="宋体"/>
                <w:bCs/>
                <w:color w:val="auto"/>
                <w:szCs w:val="21"/>
                <w:highlight w:val="none"/>
                <w:u w:val="single"/>
              </w:rPr>
              <w:t>（4）其他评分因素：无</w:t>
            </w:r>
          </w:p>
        </w:tc>
      </w:tr>
      <w:tr w14:paraId="7FB15A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1" w:hRule="atLeast"/>
          <w:jc w:val="center"/>
        </w:trPr>
        <w:tc>
          <w:tcPr>
            <w:tcW w:w="2689" w:type="dxa"/>
            <w:gridSpan w:val="3"/>
            <w:tcBorders>
              <w:top w:val="single" w:color="auto" w:sz="4" w:space="0"/>
              <w:bottom w:val="single" w:color="auto" w:sz="4" w:space="0"/>
              <w:right w:val="single" w:color="auto" w:sz="4" w:space="0"/>
            </w:tcBorders>
            <w:noWrap/>
            <w:vAlign w:val="center"/>
          </w:tcPr>
          <w:p w14:paraId="46AD96E5">
            <w:pPr>
              <w:spacing w:line="300" w:lineRule="exact"/>
              <w:jc w:val="center"/>
              <w:rPr>
                <w:rFonts w:ascii="宋体" w:hAnsi="宋体" w:cs="宋体"/>
                <w:color w:val="auto"/>
                <w:szCs w:val="21"/>
                <w:highlight w:val="none"/>
              </w:rPr>
            </w:pPr>
            <w:r>
              <w:rPr>
                <w:rFonts w:ascii="宋体" w:hAnsi="宋体" w:cs="宋体"/>
                <w:color w:val="auto"/>
                <w:szCs w:val="21"/>
                <w:highlight w:val="none"/>
              </w:rPr>
              <w:t>2.2.2</w:t>
            </w:r>
          </w:p>
        </w:tc>
        <w:tc>
          <w:tcPr>
            <w:tcW w:w="1417" w:type="dxa"/>
            <w:tcBorders>
              <w:top w:val="single" w:color="auto" w:sz="4" w:space="0"/>
              <w:left w:val="single" w:color="auto" w:sz="4" w:space="0"/>
              <w:bottom w:val="single" w:color="auto" w:sz="4" w:space="0"/>
              <w:right w:val="single" w:color="auto" w:sz="4" w:space="0"/>
            </w:tcBorders>
            <w:noWrap/>
            <w:vAlign w:val="center"/>
          </w:tcPr>
          <w:p w14:paraId="0C156CDC">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评标基准价计算方法</w:t>
            </w:r>
          </w:p>
        </w:tc>
        <w:tc>
          <w:tcPr>
            <w:tcW w:w="5079" w:type="dxa"/>
            <w:gridSpan w:val="2"/>
            <w:tcBorders>
              <w:top w:val="single" w:color="auto" w:sz="4" w:space="0"/>
              <w:left w:val="single" w:color="auto" w:sz="4" w:space="0"/>
              <w:bottom w:val="single" w:color="auto" w:sz="4" w:space="0"/>
            </w:tcBorders>
            <w:noWrap/>
            <w:vAlign w:val="center"/>
          </w:tcPr>
          <w:p w14:paraId="4E7A5DB1">
            <w:pPr>
              <w:adjustRightInd w:val="0"/>
              <w:snapToGrid w:val="0"/>
              <w:spacing w:line="300" w:lineRule="exact"/>
              <w:jc w:val="left"/>
              <w:rPr>
                <w:color w:val="auto"/>
                <w:highlight w:val="none"/>
              </w:rPr>
            </w:pPr>
            <w:r>
              <w:rPr>
                <w:rFonts w:hint="eastAsia"/>
                <w:color w:val="auto"/>
                <w:highlight w:val="none"/>
              </w:rPr>
              <w:t>参与评标基准价计算范围为</w:t>
            </w:r>
            <w:r>
              <w:rPr>
                <w:color w:val="auto"/>
                <w:highlight w:val="none"/>
              </w:rPr>
              <w:t>[最高投标限价×</w:t>
            </w:r>
            <w:r>
              <w:rPr>
                <w:rFonts w:hint="eastAsia"/>
                <w:color w:val="auto"/>
                <w:highlight w:val="none"/>
                <w:lang w:val="en-US" w:eastAsia="zh-CN"/>
              </w:rPr>
              <w:t>85</w:t>
            </w:r>
            <w:r>
              <w:rPr>
                <w:color w:val="auto"/>
                <w:highlight w:val="none"/>
              </w:rPr>
              <w:t>%，最高投标限价]，超过此范围的报价不参与评标基准价的计算</w:t>
            </w:r>
          </w:p>
          <w:p w14:paraId="0954A4A5">
            <w:pPr>
              <w:adjustRightInd w:val="0"/>
              <w:snapToGrid w:val="0"/>
              <w:spacing w:line="300" w:lineRule="exact"/>
              <w:jc w:val="left"/>
              <w:rPr>
                <w:rFonts w:ascii="Calibri" w:hAnsi="Calibri"/>
                <w:color w:val="auto"/>
                <w:highlight w:val="none"/>
              </w:rPr>
            </w:pPr>
            <w:r>
              <w:rPr>
                <w:rFonts w:hint="eastAsia" w:ascii="Calibri" w:hAnsi="Calibri"/>
                <w:color w:val="auto"/>
                <w:highlight w:val="none"/>
              </w:rPr>
              <w:t>1.取所有投标报价在参与评标基准价计算范围内且通过形式评审、资格评审、响应性评审的有效投标价的算术平均值的作为评标基准价。</w:t>
            </w:r>
          </w:p>
          <w:p w14:paraId="66D2B666">
            <w:pPr>
              <w:adjustRightInd w:val="0"/>
              <w:snapToGrid w:val="0"/>
              <w:spacing w:line="300" w:lineRule="exact"/>
              <w:jc w:val="left"/>
              <w:rPr>
                <w:color w:val="auto"/>
                <w:highlight w:val="none"/>
              </w:rPr>
            </w:pPr>
            <w:r>
              <w:rPr>
                <w:rFonts w:hint="eastAsia" w:ascii="Calibri" w:hAnsi="Calibri"/>
                <w:color w:val="auto"/>
                <w:highlight w:val="none"/>
              </w:rPr>
              <w:t>2.若所有通过形式评审、资格评审、响应性评审的投标单位的投标报价均没有在参与评标基准价计算范围内，所有投标人的报价得分均为0分。</w:t>
            </w:r>
          </w:p>
        </w:tc>
      </w:tr>
      <w:tr w14:paraId="47F263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12" w:hRule="atLeast"/>
          <w:jc w:val="center"/>
        </w:trPr>
        <w:tc>
          <w:tcPr>
            <w:tcW w:w="2689" w:type="dxa"/>
            <w:gridSpan w:val="3"/>
            <w:tcBorders>
              <w:top w:val="single" w:color="auto" w:sz="4" w:space="0"/>
              <w:bottom w:val="single" w:color="auto" w:sz="4" w:space="0"/>
              <w:right w:val="single" w:color="auto" w:sz="4" w:space="0"/>
            </w:tcBorders>
            <w:noWrap/>
            <w:vAlign w:val="center"/>
          </w:tcPr>
          <w:p w14:paraId="35890AB6">
            <w:pPr>
              <w:spacing w:line="300" w:lineRule="exact"/>
              <w:jc w:val="center"/>
              <w:rPr>
                <w:rFonts w:ascii="宋体" w:hAnsi="宋体" w:cs="宋体"/>
                <w:color w:val="auto"/>
                <w:szCs w:val="21"/>
                <w:highlight w:val="none"/>
              </w:rPr>
            </w:pPr>
            <w:r>
              <w:rPr>
                <w:rFonts w:ascii="宋体" w:hAnsi="宋体" w:cs="宋体"/>
                <w:color w:val="auto"/>
                <w:szCs w:val="21"/>
                <w:highlight w:val="none"/>
              </w:rPr>
              <w:t>2.2.3</w:t>
            </w:r>
          </w:p>
        </w:tc>
        <w:tc>
          <w:tcPr>
            <w:tcW w:w="1417" w:type="dxa"/>
            <w:tcBorders>
              <w:top w:val="single" w:color="auto" w:sz="4" w:space="0"/>
              <w:left w:val="single" w:color="auto" w:sz="4" w:space="0"/>
              <w:bottom w:val="single" w:color="auto" w:sz="4" w:space="0"/>
              <w:right w:val="single" w:color="auto" w:sz="4" w:space="0"/>
            </w:tcBorders>
            <w:noWrap/>
            <w:vAlign w:val="center"/>
          </w:tcPr>
          <w:p w14:paraId="1E12637C">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投标报价的偏差率</w:t>
            </w:r>
          </w:p>
          <w:p w14:paraId="13B462D2">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计算公式</w:t>
            </w:r>
          </w:p>
        </w:tc>
        <w:tc>
          <w:tcPr>
            <w:tcW w:w="5079" w:type="dxa"/>
            <w:gridSpan w:val="2"/>
            <w:tcBorders>
              <w:top w:val="single" w:color="auto" w:sz="4" w:space="0"/>
              <w:left w:val="single" w:color="auto" w:sz="4" w:space="0"/>
              <w:bottom w:val="single" w:color="auto" w:sz="4" w:space="0"/>
            </w:tcBorders>
            <w:noWrap/>
            <w:vAlign w:val="center"/>
          </w:tcPr>
          <w:p w14:paraId="2B7935B3">
            <w:pPr>
              <w:spacing w:line="300" w:lineRule="exact"/>
              <w:rPr>
                <w:rFonts w:ascii="宋体" w:hAnsi="宋体" w:cs="宋体"/>
                <w:color w:val="auto"/>
                <w:szCs w:val="21"/>
                <w:highlight w:val="none"/>
              </w:rPr>
            </w:pPr>
            <w:r>
              <w:rPr>
                <w:rFonts w:hint="eastAsia" w:ascii="宋体" w:hAnsi="宋体" w:cs="宋体"/>
                <w:color w:val="auto"/>
                <w:szCs w:val="21"/>
                <w:highlight w:val="none"/>
              </w:rPr>
              <w:t>投标报价的偏差率</w:t>
            </w:r>
            <w:r>
              <w:rPr>
                <w:rFonts w:ascii="宋体" w:hAnsi="宋体" w:cs="宋体"/>
                <w:color w:val="auto"/>
                <w:szCs w:val="21"/>
                <w:highlight w:val="none"/>
              </w:rPr>
              <w:t>=（有效投标报价-评标基准价）/评标基准价×100%（偏差率出现小数点时，保留小数点后2位，第三位小数四舍五入。报价偏差率不足1%的，按直线内插法计算。）</w:t>
            </w:r>
          </w:p>
        </w:tc>
      </w:tr>
      <w:tr w14:paraId="20F4B0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89" w:type="dxa"/>
            <w:gridSpan w:val="3"/>
            <w:tcBorders>
              <w:top w:val="single" w:color="auto" w:sz="4" w:space="0"/>
              <w:left w:val="single" w:color="auto" w:sz="4" w:space="0"/>
              <w:bottom w:val="single" w:color="auto" w:sz="4" w:space="0"/>
              <w:right w:val="single" w:color="auto" w:sz="4" w:space="0"/>
            </w:tcBorders>
            <w:noWrap/>
            <w:vAlign w:val="center"/>
          </w:tcPr>
          <w:p w14:paraId="59058A1C">
            <w:pPr>
              <w:spacing w:line="300" w:lineRule="exact"/>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1417" w:type="dxa"/>
            <w:tcBorders>
              <w:top w:val="single" w:color="auto" w:sz="4" w:space="0"/>
              <w:left w:val="single" w:color="auto" w:sz="4" w:space="0"/>
              <w:bottom w:val="single" w:color="auto" w:sz="4" w:space="0"/>
              <w:right w:val="single" w:color="auto" w:sz="4" w:space="0"/>
            </w:tcBorders>
            <w:noWrap/>
            <w:vAlign w:val="center"/>
          </w:tcPr>
          <w:p w14:paraId="37C6C8BF">
            <w:pPr>
              <w:spacing w:line="300" w:lineRule="exact"/>
              <w:jc w:val="center"/>
              <w:rPr>
                <w:rFonts w:ascii="宋体" w:hAnsi="宋体" w:cs="宋体"/>
                <w:b/>
                <w:color w:val="auto"/>
                <w:szCs w:val="21"/>
                <w:highlight w:val="none"/>
              </w:rPr>
            </w:pPr>
            <w:r>
              <w:rPr>
                <w:rFonts w:hint="eastAsia" w:ascii="宋体" w:hAnsi="宋体" w:cs="宋体"/>
                <w:b/>
                <w:color w:val="auto"/>
                <w:szCs w:val="21"/>
                <w:highlight w:val="none"/>
              </w:rPr>
              <w:t>评分因素</w:t>
            </w:r>
          </w:p>
          <w:p w14:paraId="2E0F84F7">
            <w:pPr>
              <w:spacing w:line="300" w:lineRule="exact"/>
              <w:jc w:val="center"/>
              <w:rPr>
                <w:rFonts w:ascii="宋体" w:hAnsi="宋体" w:cs="宋体"/>
                <w:b/>
                <w:color w:val="auto"/>
                <w:szCs w:val="21"/>
                <w:highlight w:val="none"/>
              </w:rPr>
            </w:pPr>
            <w:r>
              <w:rPr>
                <w:rFonts w:hint="eastAsia" w:ascii="宋体" w:hAnsi="宋体" w:cs="宋体"/>
                <w:b/>
                <w:color w:val="auto"/>
                <w:szCs w:val="21"/>
                <w:highlight w:val="none"/>
              </w:rPr>
              <w:t>（偏差率）</w:t>
            </w:r>
          </w:p>
        </w:tc>
        <w:tc>
          <w:tcPr>
            <w:tcW w:w="5079" w:type="dxa"/>
            <w:gridSpan w:val="2"/>
            <w:tcBorders>
              <w:top w:val="single" w:color="auto" w:sz="4" w:space="0"/>
              <w:left w:val="single" w:color="auto" w:sz="4" w:space="0"/>
              <w:bottom w:val="single" w:color="auto" w:sz="4" w:space="0"/>
              <w:right w:val="single" w:color="auto" w:sz="4" w:space="0"/>
            </w:tcBorders>
            <w:noWrap/>
            <w:vAlign w:val="center"/>
          </w:tcPr>
          <w:p w14:paraId="2FF41FA6">
            <w:pPr>
              <w:spacing w:line="300" w:lineRule="exact"/>
              <w:jc w:val="center"/>
              <w:rPr>
                <w:rFonts w:ascii="宋体" w:hAnsi="宋体" w:cs="宋体"/>
                <w:b/>
                <w:color w:val="auto"/>
                <w:szCs w:val="21"/>
                <w:highlight w:val="none"/>
              </w:rPr>
            </w:pPr>
            <w:r>
              <w:rPr>
                <w:rFonts w:hint="eastAsia" w:ascii="宋体" w:hAnsi="宋体" w:cs="宋体"/>
                <w:b/>
                <w:color w:val="auto"/>
                <w:szCs w:val="21"/>
                <w:highlight w:val="none"/>
              </w:rPr>
              <w:t>评分标准</w:t>
            </w:r>
          </w:p>
        </w:tc>
      </w:tr>
      <w:tr w14:paraId="00575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6008" w:hRule="atLeast"/>
          <w:jc w:val="center"/>
        </w:trPr>
        <w:tc>
          <w:tcPr>
            <w:tcW w:w="1555" w:type="dxa"/>
            <w:vMerge w:val="restart"/>
            <w:tcBorders>
              <w:top w:val="single" w:color="auto" w:sz="4" w:space="0"/>
              <w:left w:val="single" w:color="auto" w:sz="4" w:space="0"/>
              <w:right w:val="single" w:color="auto" w:sz="4" w:space="0"/>
            </w:tcBorders>
            <w:vAlign w:val="center"/>
          </w:tcPr>
          <w:p w14:paraId="6D8AE0BF">
            <w:pPr>
              <w:spacing w:line="300" w:lineRule="exact"/>
              <w:rPr>
                <w:rFonts w:ascii="宋体" w:hAnsi="宋体" w:cs="宋体"/>
                <w:color w:val="auto"/>
                <w:szCs w:val="21"/>
                <w:highlight w:val="none"/>
              </w:rPr>
            </w:pPr>
            <w:r>
              <w:rPr>
                <w:rFonts w:ascii="宋体" w:hAnsi="宋体" w:cs="宋体"/>
                <w:color w:val="auto"/>
                <w:szCs w:val="21"/>
                <w:highlight w:val="none"/>
              </w:rPr>
              <w:t>2.2.4（1）</w:t>
            </w:r>
          </w:p>
        </w:tc>
        <w:tc>
          <w:tcPr>
            <w:tcW w:w="1134" w:type="dxa"/>
            <w:gridSpan w:val="2"/>
            <w:vMerge w:val="restart"/>
            <w:tcBorders>
              <w:top w:val="single" w:color="auto" w:sz="4" w:space="0"/>
              <w:left w:val="single" w:color="auto" w:sz="4" w:space="0"/>
              <w:right w:val="single" w:color="auto" w:sz="4" w:space="0"/>
            </w:tcBorders>
            <w:vAlign w:val="center"/>
          </w:tcPr>
          <w:p w14:paraId="2AA7AA08">
            <w:pPr>
              <w:spacing w:line="300" w:lineRule="exact"/>
              <w:rPr>
                <w:rFonts w:ascii="宋体" w:hAnsi="宋体" w:cs="宋体"/>
                <w:color w:val="auto"/>
                <w:szCs w:val="21"/>
                <w:highlight w:val="none"/>
              </w:rPr>
            </w:pPr>
            <w:r>
              <w:rPr>
                <w:rFonts w:hint="eastAsia" w:ascii="宋体" w:hAnsi="宋体" w:cs="宋体"/>
                <w:color w:val="auto"/>
                <w:szCs w:val="21"/>
                <w:highlight w:val="none"/>
              </w:rPr>
              <w:t>资信业绩评分标准（</w:t>
            </w:r>
            <w:r>
              <w:rPr>
                <w:rFonts w:hint="eastAsia" w:ascii="宋体" w:hAnsi="宋体" w:cs="宋体"/>
                <w:color w:val="auto"/>
                <w:szCs w:val="21"/>
                <w:highlight w:val="none"/>
                <w:lang w:val="en-US" w:eastAsia="zh-CN"/>
              </w:rPr>
              <w:t>50</w:t>
            </w:r>
            <w:r>
              <w:rPr>
                <w:rFonts w:ascii="宋体" w:hAnsi="宋体" w:cs="宋体"/>
                <w:color w:val="auto"/>
                <w:szCs w:val="21"/>
                <w:highlight w:val="none"/>
              </w:rPr>
              <w:t>分）</w:t>
            </w:r>
          </w:p>
        </w:tc>
        <w:tc>
          <w:tcPr>
            <w:tcW w:w="1417" w:type="dxa"/>
            <w:tcBorders>
              <w:top w:val="single" w:color="auto" w:sz="4" w:space="0"/>
              <w:left w:val="single" w:color="auto" w:sz="4" w:space="0"/>
              <w:right w:val="single" w:color="auto" w:sz="4" w:space="0"/>
            </w:tcBorders>
            <w:vAlign w:val="center"/>
          </w:tcPr>
          <w:p w14:paraId="7633BAF9">
            <w:pPr>
              <w:spacing w:before="100" w:beforeAutospacing="1" w:after="100" w:afterAutospacing="1" w:line="24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企业综合能力及信誉</w:t>
            </w:r>
          </w:p>
          <w:p w14:paraId="534118C8">
            <w:pPr>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tc>
        <w:tc>
          <w:tcPr>
            <w:tcW w:w="5039" w:type="dxa"/>
            <w:tcBorders>
              <w:top w:val="single" w:color="auto" w:sz="4" w:space="0"/>
              <w:left w:val="single" w:color="auto" w:sz="4" w:space="0"/>
              <w:right w:val="single" w:color="auto" w:sz="4" w:space="0"/>
            </w:tcBorders>
            <w:vAlign w:val="center"/>
          </w:tcPr>
          <w:p w14:paraId="524B8901">
            <w:pPr>
              <w:spacing w:line="240" w:lineRule="auto"/>
              <w:ind w:left="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（1）投标人同时具有有效期内的质量管理体系认证证书、环境管理体系认证证书、职业健康安全管理体系认证证书、信息安全管理体系认证证书、知识产权管理体系认证证书；每一个得1分。本项最高得5分。</w:t>
            </w:r>
          </w:p>
          <w:p w14:paraId="6CFAB716">
            <w:pPr>
              <w:spacing w:line="240" w:lineRule="auto"/>
              <w:ind w:left="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注：需提供证书原件扫描件，认证证书需在有效期内，不提供或不符合要求不得分。</w:t>
            </w:r>
          </w:p>
          <w:p w14:paraId="09F0D747">
            <w:pPr>
              <w:spacing w:line="240" w:lineRule="auto"/>
              <w:ind w:left="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（2）投标人（含最近评审年份202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年）获得“A级纳税人”称号情况：</w:t>
            </w:r>
          </w:p>
          <w:p w14:paraId="72B78139">
            <w:pPr>
              <w:spacing w:line="240" w:lineRule="auto"/>
              <w:ind w:left="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1、连续获得5次或以上“A级纳税人”称号的，得5分；</w:t>
            </w:r>
          </w:p>
          <w:p w14:paraId="512B7DF3">
            <w:pPr>
              <w:spacing w:line="240" w:lineRule="auto"/>
              <w:ind w:left="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2、连续获得3-4次“A级纳税人”称号的，得3分；</w:t>
            </w:r>
          </w:p>
          <w:p w14:paraId="28C574A2">
            <w:pPr>
              <w:spacing w:line="240" w:lineRule="auto"/>
              <w:ind w:left="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3、连续获得1-2次“A级纳税人”称号的，得1分；</w:t>
            </w:r>
          </w:p>
          <w:p w14:paraId="53365853">
            <w:pPr>
              <w:spacing w:line="240" w:lineRule="auto"/>
              <w:ind w:left="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4、未获得过的或不满足上述要求的不得分。</w:t>
            </w:r>
          </w:p>
          <w:p w14:paraId="71914B9A">
            <w:pPr>
              <w:spacing w:line="240" w:lineRule="auto"/>
              <w:ind w:left="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注：需提供由税务部门颁发的证书扫描件或省级或以上税务局官网查询的相关截图。时间以评价年度为准；纳税人等级只计算投标人自身（不计算投标人的分公司和子公司）</w:t>
            </w:r>
          </w:p>
          <w:p w14:paraId="3E1AEB90">
            <w:pPr>
              <w:spacing w:line="240" w:lineRule="auto"/>
              <w:ind w:left="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(3)投标人自202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年1月1日至今，获得过“高新技术企业”证书且在有效期内的，得2分。</w:t>
            </w:r>
          </w:p>
          <w:p w14:paraId="11B5E05C">
            <w:pPr>
              <w:shd w:val="clear" w:color="auto" w:fill="FFFFFF"/>
              <w:spacing w:before="0" w:beforeAutospacing="0" w:after="0" w:afterAutospacing="0"/>
              <w:jc w:val="left"/>
              <w:rPr>
                <w:rFonts w:hint="eastAsia" w:ascii="宋体" w:hAnsi="宋体" w:cs="宋体"/>
                <w:color w:val="auto"/>
                <w:kern w:val="2"/>
                <w:sz w:val="21"/>
                <w:szCs w:val="21"/>
                <w:highlight w:val="none"/>
              </w:rPr>
            </w:pPr>
            <w:r>
              <w:rPr>
                <w:rFonts w:hint="eastAsia" w:ascii="宋体" w:hAnsi="宋体" w:cs="宋体"/>
                <w:color w:val="auto"/>
                <w:szCs w:val="21"/>
                <w:highlight w:val="none"/>
              </w:rPr>
              <w:t>(4)投标人自202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年1月1日至今，获得过省级（或以上）科学技术进步奖或科学技术奖项的,得3分。</w:t>
            </w:r>
          </w:p>
        </w:tc>
      </w:tr>
      <w:tr w14:paraId="1F7C9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2697" w:hRule="atLeast"/>
          <w:jc w:val="center"/>
        </w:trPr>
        <w:tc>
          <w:tcPr>
            <w:tcW w:w="1555" w:type="dxa"/>
            <w:vMerge w:val="continue"/>
            <w:tcBorders>
              <w:left w:val="single" w:color="auto" w:sz="4" w:space="0"/>
              <w:right w:val="single" w:color="auto" w:sz="4" w:space="0"/>
            </w:tcBorders>
            <w:vAlign w:val="center"/>
          </w:tcPr>
          <w:p w14:paraId="2382F119">
            <w:pPr>
              <w:widowControl/>
              <w:spacing w:line="300" w:lineRule="exact"/>
              <w:jc w:val="left"/>
              <w:rPr>
                <w:rFonts w:ascii="宋体" w:hAnsi="宋体" w:cs="宋体"/>
                <w:color w:val="auto"/>
                <w:szCs w:val="21"/>
                <w:highlight w:val="none"/>
              </w:rPr>
            </w:pPr>
          </w:p>
        </w:tc>
        <w:tc>
          <w:tcPr>
            <w:tcW w:w="1134" w:type="dxa"/>
            <w:gridSpan w:val="2"/>
            <w:vMerge w:val="continue"/>
            <w:tcBorders>
              <w:left w:val="single" w:color="auto" w:sz="4" w:space="0"/>
              <w:right w:val="single" w:color="auto" w:sz="4" w:space="0"/>
            </w:tcBorders>
            <w:vAlign w:val="center"/>
          </w:tcPr>
          <w:p w14:paraId="1891D18C">
            <w:pPr>
              <w:widowControl/>
              <w:spacing w:line="300" w:lineRule="exact"/>
              <w:jc w:val="left"/>
              <w:rPr>
                <w:rFonts w:ascii="宋体" w:hAnsi="宋体" w:cs="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591765BB">
            <w:pPr>
              <w:snapToGrid w:val="0"/>
              <w:spacing w:line="240" w:lineRule="auto"/>
              <w:jc w:val="left"/>
              <w:rPr>
                <w:rFonts w:ascii="宋体" w:hAnsi="宋体" w:cs="宋体"/>
                <w:color w:val="auto"/>
                <w:szCs w:val="21"/>
                <w:highlight w:val="none"/>
              </w:rPr>
            </w:pPr>
            <w:r>
              <w:rPr>
                <w:rFonts w:hint="eastAsia" w:ascii="宋体" w:hAnsi="宋体" w:cs="宋体"/>
                <w:color w:val="auto"/>
                <w:szCs w:val="21"/>
                <w:highlight w:val="none"/>
              </w:rPr>
              <w:t>企业监理业绩及获奖（</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分）</w:t>
            </w:r>
          </w:p>
        </w:tc>
        <w:tc>
          <w:tcPr>
            <w:tcW w:w="5039" w:type="dxa"/>
            <w:tcBorders>
              <w:top w:val="single" w:color="auto" w:sz="4" w:space="0"/>
              <w:left w:val="single" w:color="auto" w:sz="4" w:space="0"/>
              <w:right w:val="single" w:color="auto" w:sz="4" w:space="0"/>
            </w:tcBorders>
            <w:vAlign w:val="center"/>
          </w:tcPr>
          <w:p w14:paraId="3D3C9658">
            <w:pPr>
              <w:snapToGrid w:val="0"/>
              <w:spacing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（1）类似监理项目业绩：202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年1月1日至今，投标人完成过</w:t>
            </w:r>
            <w:r>
              <w:rPr>
                <w:rFonts w:hint="eastAsia" w:ascii="宋体" w:hAnsi="宋体" w:cs="宋体"/>
                <w:color w:val="auto"/>
                <w:szCs w:val="21"/>
                <w:highlight w:val="none"/>
                <w:lang w:val="en-US" w:eastAsia="zh-CN"/>
              </w:rPr>
              <w:t>总建筑面积</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5万平方米</w:t>
            </w:r>
            <w:r>
              <w:rPr>
                <w:rFonts w:hint="eastAsia" w:ascii="宋体" w:hAnsi="宋体" w:cs="宋体"/>
                <w:color w:val="auto"/>
                <w:szCs w:val="21"/>
                <w:highlight w:val="none"/>
              </w:rPr>
              <w:t>的房屋建筑工程监理项目，每个项目得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分，本</w:t>
            </w:r>
            <w:r>
              <w:rPr>
                <w:rFonts w:hint="eastAsia" w:ascii="宋体" w:hAnsi="宋体" w:cs="宋体"/>
                <w:color w:val="auto"/>
                <w:szCs w:val="21"/>
                <w:highlight w:val="none"/>
                <w:lang w:val="en-US" w:eastAsia="zh-CN"/>
              </w:rPr>
              <w:t>小</w:t>
            </w:r>
            <w:r>
              <w:rPr>
                <w:rFonts w:hint="eastAsia" w:ascii="宋体" w:hAnsi="宋体" w:cs="宋体"/>
                <w:color w:val="auto"/>
                <w:szCs w:val="21"/>
                <w:highlight w:val="none"/>
              </w:rPr>
              <w:t>项最高得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p w14:paraId="6E73580C">
            <w:pPr>
              <w:snapToGrid w:val="0"/>
              <w:spacing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（2）投标人监理的房屋建筑工程自202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年1月1日至今获得奖项情况：</w:t>
            </w:r>
          </w:p>
          <w:p w14:paraId="2FADD5A8">
            <w:pPr>
              <w:snapToGrid w:val="0"/>
              <w:spacing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1、获得国家级奖项的每个得3分；</w:t>
            </w:r>
          </w:p>
          <w:p w14:paraId="405FBEFC">
            <w:pPr>
              <w:snapToGrid w:val="0"/>
              <w:spacing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2、获得省级奖项的每项得1分；</w:t>
            </w:r>
          </w:p>
          <w:p w14:paraId="7D97D44D">
            <w:pPr>
              <w:snapToGrid w:val="0"/>
              <w:spacing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3、获得市级奖项的每项得0.5分；</w:t>
            </w:r>
          </w:p>
          <w:p w14:paraId="08850B89">
            <w:pPr>
              <w:pStyle w:val="8"/>
              <w:adjustRightInd/>
              <w:spacing w:line="240" w:lineRule="auto"/>
              <w:ind w:firstLine="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本</w:t>
            </w:r>
            <w:r>
              <w:rPr>
                <w:rFonts w:hint="eastAsia" w:ascii="宋体" w:hAnsi="宋体" w:cs="宋体"/>
                <w:color w:val="auto"/>
                <w:szCs w:val="21"/>
                <w:highlight w:val="none"/>
                <w:lang w:val="en-US" w:eastAsia="zh-CN"/>
              </w:rPr>
              <w:t>小</w:t>
            </w:r>
            <w:r>
              <w:rPr>
                <w:rFonts w:hint="eastAsia" w:ascii="宋体" w:hAnsi="宋体" w:cs="宋体"/>
                <w:color w:val="auto"/>
                <w:szCs w:val="21"/>
                <w:highlight w:val="none"/>
              </w:rPr>
              <w:t>项最多得10分。</w:t>
            </w:r>
          </w:p>
        </w:tc>
      </w:tr>
      <w:tr w14:paraId="6F480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1030" w:hRule="atLeast"/>
          <w:jc w:val="center"/>
        </w:trPr>
        <w:tc>
          <w:tcPr>
            <w:tcW w:w="1555" w:type="dxa"/>
            <w:vMerge w:val="continue"/>
            <w:tcBorders>
              <w:left w:val="single" w:color="auto" w:sz="4" w:space="0"/>
              <w:right w:val="single" w:color="auto" w:sz="4" w:space="0"/>
            </w:tcBorders>
            <w:vAlign w:val="center"/>
          </w:tcPr>
          <w:p w14:paraId="14C8925B">
            <w:pPr>
              <w:widowControl/>
              <w:spacing w:line="300" w:lineRule="exact"/>
              <w:jc w:val="left"/>
              <w:rPr>
                <w:rFonts w:ascii="宋体" w:hAnsi="宋体" w:cs="宋体"/>
                <w:color w:val="auto"/>
                <w:szCs w:val="21"/>
                <w:highlight w:val="none"/>
              </w:rPr>
            </w:pPr>
          </w:p>
        </w:tc>
        <w:tc>
          <w:tcPr>
            <w:tcW w:w="1134" w:type="dxa"/>
            <w:gridSpan w:val="2"/>
            <w:vMerge w:val="continue"/>
            <w:tcBorders>
              <w:left w:val="single" w:color="auto" w:sz="4" w:space="0"/>
              <w:right w:val="single" w:color="auto" w:sz="4" w:space="0"/>
            </w:tcBorders>
            <w:vAlign w:val="center"/>
          </w:tcPr>
          <w:p w14:paraId="3AAE640A">
            <w:pPr>
              <w:widowControl/>
              <w:spacing w:line="300" w:lineRule="exact"/>
              <w:jc w:val="left"/>
              <w:rPr>
                <w:rFonts w:ascii="宋体" w:hAnsi="宋体" w:cs="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D4E5BE0">
            <w:pPr>
              <w:snapToGrid w:val="0"/>
              <w:spacing w:line="240" w:lineRule="auto"/>
              <w:jc w:val="left"/>
              <w:rPr>
                <w:rFonts w:ascii="宋体" w:hAnsi="宋体" w:cs="宋体"/>
                <w:color w:val="auto"/>
                <w:szCs w:val="21"/>
                <w:highlight w:val="none"/>
              </w:rPr>
            </w:pPr>
            <w:r>
              <w:rPr>
                <w:rFonts w:hint="eastAsia" w:ascii="宋体" w:hAnsi="宋体" w:cs="宋体"/>
                <w:color w:val="auto"/>
                <w:szCs w:val="21"/>
                <w:highlight w:val="none"/>
              </w:rPr>
              <w:t>总监理工程师资历（</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c>
          <w:tcPr>
            <w:tcW w:w="5039" w:type="dxa"/>
            <w:tcBorders>
              <w:top w:val="single" w:color="auto" w:sz="4" w:space="0"/>
              <w:left w:val="single" w:color="auto" w:sz="4" w:space="0"/>
              <w:bottom w:val="single" w:color="auto" w:sz="4" w:space="0"/>
              <w:right w:val="single" w:color="auto" w:sz="4" w:space="0"/>
            </w:tcBorders>
            <w:vAlign w:val="center"/>
          </w:tcPr>
          <w:p w14:paraId="43C27448">
            <w:pP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（1）具备高级（或以上）技术职称的，得3分；具备中级技术职称的，得1分；其余不得分。</w:t>
            </w:r>
          </w:p>
          <w:p w14:paraId="4CC2BECA">
            <w:pPr>
              <w:ind w:firstLine="0"/>
              <w:rPr>
                <w:rFonts w:hint="eastAsia"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具有</w:t>
            </w:r>
            <w:r>
              <w:rPr>
                <w:rFonts w:hint="eastAsia" w:ascii="宋体" w:hAnsi="宋体" w:cs="宋体"/>
                <w:color w:val="auto"/>
                <w:sz w:val="21"/>
                <w:szCs w:val="21"/>
                <w:highlight w:val="none"/>
              </w:rPr>
              <w:t>10年以上（不含10年）工作经验的，得</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val="en-US" w:eastAsia="zh-CN"/>
              </w:rPr>
              <w:t>具有</w:t>
            </w:r>
            <w:r>
              <w:rPr>
                <w:rFonts w:hint="eastAsia" w:ascii="宋体" w:hAnsi="宋体" w:cs="宋体"/>
                <w:color w:val="auto"/>
                <w:sz w:val="21"/>
                <w:szCs w:val="21"/>
                <w:highlight w:val="none"/>
              </w:rPr>
              <w:t>5至10年工作经验的，得</w:t>
            </w:r>
            <w:r>
              <w:rPr>
                <w:rFonts w:hint="eastAsia" w:ascii="宋体" w:hAnsi="宋体" w:cs="宋体"/>
                <w:color w:val="auto"/>
                <w:sz w:val="21"/>
                <w:szCs w:val="21"/>
                <w:highlight w:val="none"/>
                <w:lang w:val="en-US" w:eastAsia="zh-CN"/>
              </w:rPr>
              <w:t>2.5</w:t>
            </w:r>
            <w:r>
              <w:rPr>
                <w:rFonts w:hint="eastAsia" w:ascii="宋体" w:hAnsi="宋体" w:cs="宋体"/>
                <w:color w:val="auto"/>
                <w:sz w:val="21"/>
                <w:szCs w:val="21"/>
                <w:highlight w:val="none"/>
              </w:rPr>
              <w:t>分；注：</w:t>
            </w:r>
            <w:r>
              <w:rPr>
                <w:rFonts w:hint="eastAsia" w:ascii="宋体" w:hAnsi="宋体" w:cs="宋体"/>
                <w:color w:val="auto"/>
                <w:szCs w:val="21"/>
                <w:highlight w:val="none"/>
              </w:rPr>
              <w:t>工作经验年限以毕业证（大专或以上）颁发时间起计算</w:t>
            </w:r>
            <w:r>
              <w:rPr>
                <w:rFonts w:hint="eastAsia" w:ascii="宋体" w:hAnsi="宋体" w:cs="宋体"/>
                <w:color w:val="auto"/>
                <w:szCs w:val="21"/>
                <w:highlight w:val="none"/>
                <w:lang w:eastAsia="zh-CN"/>
              </w:rPr>
              <w:t>，</w:t>
            </w:r>
            <w:r>
              <w:rPr>
                <w:rFonts w:hint="eastAsia" w:ascii="宋体" w:hAnsi="宋体" w:cs="宋体"/>
                <w:color w:val="auto"/>
                <w:sz w:val="21"/>
                <w:szCs w:val="21"/>
                <w:highlight w:val="none"/>
              </w:rPr>
              <w:t>本项最多得</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分。</w:t>
            </w:r>
          </w:p>
          <w:p w14:paraId="65D2C1E8">
            <w:pPr>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）202</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年1月1日至今，担任项目总监理工程师完成过</w:t>
            </w:r>
            <w:r>
              <w:rPr>
                <w:rFonts w:hint="eastAsia" w:ascii="宋体" w:hAnsi="宋体" w:cs="宋体"/>
                <w:color w:val="auto"/>
                <w:szCs w:val="21"/>
                <w:highlight w:val="none"/>
                <w:lang w:val="en-US" w:eastAsia="zh-CN"/>
              </w:rPr>
              <w:t>总建筑面积</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5万平方米</w:t>
            </w:r>
            <w:r>
              <w:rPr>
                <w:rFonts w:hint="eastAsia" w:ascii="宋体" w:hAnsi="宋体" w:cs="宋体"/>
                <w:color w:val="auto"/>
                <w:sz w:val="21"/>
                <w:szCs w:val="21"/>
                <w:highlight w:val="none"/>
              </w:rPr>
              <w:t>的房屋建筑工程监理项目，得</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分，否则不得分。</w:t>
            </w:r>
          </w:p>
          <w:p w14:paraId="3D736D64">
            <w:pPr>
              <w:rPr>
                <w:rFonts w:hint="eastAsia" w:ascii="宋体" w:hAnsi="宋体" w:cs="宋体"/>
                <w:color w:val="auto"/>
                <w:sz w:val="21"/>
                <w:szCs w:val="21"/>
                <w:highlight w:val="none"/>
              </w:rPr>
            </w:pPr>
            <w:r>
              <w:rPr>
                <w:rFonts w:hint="eastAsia" w:ascii="宋体" w:hAnsi="宋体" w:cs="宋体"/>
                <w:color w:val="auto"/>
                <w:szCs w:val="21"/>
                <w:highlight w:val="none"/>
              </w:rPr>
              <w:t>注：上述（1）、（2）须按评审要求提供相关证书扫描件。上述（3）需同时提供中标通知书或免招标的相关证明、监理合同、竣工验收报告或竣工验收证明或完工证明文件。业绩规模以监理合同概况描述为准，如以上资料无法体现须业绩规模的，须提供能体现业绩规模的其他证明文件。业绩认定时间以竣工验收报告或竣工验收证明或完工证明文件上注明的时间为准。竣工验收报告或竣工验收证明至少具有建设、设计、监理和施工单位盖章。</w:t>
            </w:r>
            <w:r>
              <w:rPr>
                <w:rFonts w:hint="eastAsia" w:ascii="宋体" w:hAnsi="宋体" w:cs="宋体"/>
                <w:color w:val="auto"/>
                <w:szCs w:val="21"/>
                <w:highlight w:val="none"/>
                <w:lang w:val="en-US" w:eastAsia="zh-CN"/>
              </w:rPr>
              <w:t>总监理工程师姓名、职务以中标通知书或合同载明的信息为准，</w:t>
            </w:r>
            <w:r>
              <w:rPr>
                <w:rFonts w:hint="eastAsia" w:ascii="宋体" w:hAnsi="宋体" w:cs="宋体"/>
                <w:color w:val="auto"/>
                <w:szCs w:val="21"/>
                <w:highlight w:val="none"/>
              </w:rPr>
              <w:t>如以上资料无法体现</w:t>
            </w:r>
            <w:r>
              <w:rPr>
                <w:rFonts w:hint="eastAsia" w:ascii="宋体" w:hAnsi="宋体" w:cs="宋体"/>
                <w:color w:val="auto"/>
                <w:szCs w:val="21"/>
                <w:highlight w:val="none"/>
                <w:lang w:val="en-US" w:eastAsia="zh-CN"/>
              </w:rPr>
              <w:t>担任项目</w:t>
            </w:r>
            <w:r>
              <w:rPr>
                <w:rFonts w:hint="eastAsia" w:ascii="宋体" w:hAnsi="宋体" w:cs="宋体"/>
                <w:color w:val="auto"/>
                <w:szCs w:val="21"/>
                <w:highlight w:val="none"/>
              </w:rPr>
              <w:t>总监理工程师的，须提供能体现</w:t>
            </w:r>
            <w:r>
              <w:rPr>
                <w:rFonts w:hint="eastAsia" w:ascii="宋体" w:hAnsi="宋体" w:cs="宋体"/>
                <w:color w:val="auto"/>
                <w:szCs w:val="21"/>
                <w:highlight w:val="none"/>
                <w:lang w:val="en-US" w:eastAsia="zh-CN"/>
              </w:rPr>
              <w:t>担任项目</w:t>
            </w:r>
            <w:r>
              <w:rPr>
                <w:rFonts w:hint="eastAsia" w:ascii="宋体" w:hAnsi="宋体" w:cs="宋体"/>
                <w:color w:val="auto"/>
                <w:szCs w:val="21"/>
                <w:highlight w:val="none"/>
              </w:rPr>
              <w:t>总监理工程师的其他证明文件。</w:t>
            </w:r>
          </w:p>
        </w:tc>
      </w:tr>
      <w:tr w14:paraId="5F28F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1043" w:hRule="atLeast"/>
          <w:jc w:val="center"/>
        </w:trPr>
        <w:tc>
          <w:tcPr>
            <w:tcW w:w="1555" w:type="dxa"/>
            <w:vMerge w:val="continue"/>
            <w:tcBorders>
              <w:left w:val="single" w:color="auto" w:sz="4" w:space="0"/>
              <w:bottom w:val="single" w:color="auto" w:sz="4" w:space="0"/>
              <w:right w:val="single" w:color="auto" w:sz="4" w:space="0"/>
            </w:tcBorders>
            <w:vAlign w:val="center"/>
          </w:tcPr>
          <w:p w14:paraId="0981CD03">
            <w:pPr>
              <w:widowControl/>
              <w:spacing w:line="300" w:lineRule="exact"/>
              <w:jc w:val="left"/>
              <w:rPr>
                <w:rFonts w:ascii="宋体" w:hAnsi="宋体" w:cs="宋体"/>
                <w:color w:val="auto"/>
                <w:szCs w:val="21"/>
                <w:highlight w:val="none"/>
              </w:rPr>
            </w:pPr>
          </w:p>
        </w:tc>
        <w:tc>
          <w:tcPr>
            <w:tcW w:w="1134" w:type="dxa"/>
            <w:gridSpan w:val="2"/>
            <w:vMerge w:val="continue"/>
            <w:tcBorders>
              <w:left w:val="single" w:color="auto" w:sz="4" w:space="0"/>
              <w:bottom w:val="single" w:color="auto" w:sz="4" w:space="0"/>
              <w:right w:val="single" w:color="auto" w:sz="4" w:space="0"/>
            </w:tcBorders>
            <w:vAlign w:val="center"/>
          </w:tcPr>
          <w:p w14:paraId="75A9340F">
            <w:pPr>
              <w:widowControl/>
              <w:spacing w:line="300" w:lineRule="exact"/>
              <w:jc w:val="left"/>
              <w:rPr>
                <w:rFonts w:ascii="宋体" w:hAnsi="宋体" w:cs="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0707A7F">
            <w:pPr>
              <w:snapToGrid w:val="0"/>
              <w:spacing w:line="240" w:lineRule="auto"/>
              <w:jc w:val="left"/>
              <w:rPr>
                <w:rFonts w:ascii="宋体" w:hAnsi="宋体" w:cs="宋体"/>
                <w:color w:val="auto"/>
                <w:szCs w:val="21"/>
                <w:highlight w:val="none"/>
              </w:rPr>
            </w:pPr>
            <w:r>
              <w:rPr>
                <w:rFonts w:hint="eastAsia" w:ascii="宋体" w:hAnsi="宋体" w:cs="宋体"/>
                <w:color w:val="auto"/>
                <w:szCs w:val="21"/>
                <w:highlight w:val="none"/>
              </w:rPr>
              <w:t>其他主要人员资历（</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c>
          <w:tcPr>
            <w:tcW w:w="5039" w:type="dxa"/>
            <w:tcBorders>
              <w:top w:val="single" w:color="auto" w:sz="4" w:space="0"/>
              <w:left w:val="single" w:color="auto" w:sz="4" w:space="0"/>
              <w:bottom w:val="single" w:color="auto" w:sz="4" w:space="0"/>
              <w:right w:val="single" w:color="auto" w:sz="4" w:space="0"/>
            </w:tcBorders>
            <w:vAlign w:val="center"/>
          </w:tcPr>
          <w:p w14:paraId="614A7655">
            <w:pPr>
              <w:spacing w:line="240" w:lineRule="auto"/>
              <w:ind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除总监外，其他人员具有注册监理工程师的，每人加</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分，本小项最多加</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p w14:paraId="4DFADC80">
            <w:pPr>
              <w:spacing w:line="240" w:lineRule="auto"/>
              <w:ind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除总监外，其他人员具有工程师职称以上的，每人加</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分，本小项最多加</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p w14:paraId="64FF1335">
            <w:pPr>
              <w:jc w:val="left"/>
              <w:rPr>
                <w:rFonts w:ascii="宋体" w:hAnsi="宋体" w:cs="宋体"/>
                <w:color w:val="auto"/>
                <w:szCs w:val="21"/>
                <w:highlight w:val="none"/>
              </w:rPr>
            </w:pPr>
            <w:r>
              <w:rPr>
                <w:rFonts w:hint="eastAsia" w:ascii="宋体" w:hAnsi="宋体" w:cs="宋体"/>
                <w:color w:val="auto"/>
                <w:szCs w:val="21"/>
                <w:highlight w:val="none"/>
              </w:rPr>
              <w:t>本项最多得10分。</w:t>
            </w:r>
          </w:p>
        </w:tc>
      </w:tr>
      <w:tr w14:paraId="484C5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cantSplit/>
          <w:jc w:val="center"/>
        </w:trPr>
        <w:tc>
          <w:tcPr>
            <w:tcW w:w="1555" w:type="dxa"/>
            <w:vMerge w:val="restart"/>
            <w:tcBorders>
              <w:top w:val="single" w:color="auto" w:sz="4" w:space="0"/>
              <w:left w:val="single" w:color="auto" w:sz="4" w:space="0"/>
              <w:right w:val="single" w:color="auto" w:sz="4" w:space="0"/>
            </w:tcBorders>
            <w:vAlign w:val="center"/>
          </w:tcPr>
          <w:p w14:paraId="7FB75F70">
            <w:pPr>
              <w:spacing w:line="300" w:lineRule="exact"/>
              <w:jc w:val="center"/>
              <w:rPr>
                <w:rFonts w:ascii="宋体" w:hAnsi="宋体" w:cs="宋体"/>
                <w:color w:val="auto"/>
                <w:szCs w:val="21"/>
                <w:highlight w:val="none"/>
              </w:rPr>
            </w:pPr>
            <w:r>
              <w:rPr>
                <w:rFonts w:ascii="宋体" w:hAnsi="宋体" w:cs="宋体"/>
                <w:color w:val="auto"/>
                <w:szCs w:val="21"/>
                <w:highlight w:val="none"/>
              </w:rPr>
              <w:t>2.2.4（2）</w:t>
            </w:r>
          </w:p>
        </w:tc>
        <w:tc>
          <w:tcPr>
            <w:tcW w:w="1134" w:type="dxa"/>
            <w:gridSpan w:val="2"/>
            <w:vMerge w:val="restart"/>
            <w:tcBorders>
              <w:top w:val="single" w:color="auto" w:sz="4" w:space="0"/>
              <w:left w:val="single" w:color="auto" w:sz="4" w:space="0"/>
              <w:right w:val="single" w:color="auto" w:sz="4" w:space="0"/>
            </w:tcBorders>
            <w:vAlign w:val="center"/>
          </w:tcPr>
          <w:p w14:paraId="718C88E0">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监理大纲评分标准（3</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 xml:space="preserve"> </w:t>
            </w:r>
            <w:r>
              <w:rPr>
                <w:rFonts w:ascii="宋体" w:hAnsi="宋体" w:cs="宋体"/>
                <w:color w:val="auto"/>
                <w:szCs w:val="21"/>
                <w:highlight w:val="none"/>
              </w:rPr>
              <w:t>分）</w:t>
            </w:r>
          </w:p>
        </w:tc>
        <w:tc>
          <w:tcPr>
            <w:tcW w:w="1417" w:type="dxa"/>
            <w:tcBorders>
              <w:top w:val="single" w:color="auto" w:sz="4" w:space="0"/>
              <w:left w:val="single" w:color="auto" w:sz="4" w:space="0"/>
              <w:bottom w:val="single" w:color="auto" w:sz="4" w:space="0"/>
              <w:right w:val="single" w:color="auto" w:sz="4" w:space="0"/>
            </w:tcBorders>
            <w:vAlign w:val="center"/>
          </w:tcPr>
          <w:p w14:paraId="78EDB701">
            <w:pPr>
              <w:spacing w:line="24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监理工作程序、方法和制度（3分）</w:t>
            </w:r>
          </w:p>
        </w:tc>
        <w:tc>
          <w:tcPr>
            <w:tcW w:w="5039" w:type="dxa"/>
            <w:tcBorders>
              <w:top w:val="single" w:color="auto" w:sz="4" w:space="0"/>
              <w:left w:val="single" w:color="auto" w:sz="4" w:space="0"/>
              <w:bottom w:val="single" w:color="auto" w:sz="4" w:space="0"/>
              <w:right w:val="single" w:color="auto" w:sz="4" w:space="0"/>
            </w:tcBorders>
            <w:vAlign w:val="center"/>
          </w:tcPr>
          <w:p w14:paraId="7EF33841">
            <w:pPr>
              <w:spacing w:line="240" w:lineRule="auto"/>
              <w:ind w:left="0" w:leftChars="-10" w:hanging="21" w:hangingChars="10"/>
              <w:jc w:val="left"/>
              <w:rPr>
                <w:rFonts w:hint="eastAsia" w:ascii="宋体" w:hAnsi="宋体" w:cs="宋体"/>
                <w:color w:val="auto"/>
                <w:szCs w:val="21"/>
                <w:highlight w:val="none"/>
              </w:rPr>
            </w:pPr>
            <w:r>
              <w:rPr>
                <w:rFonts w:hint="eastAsia" w:ascii="宋体" w:hAnsi="宋体" w:cs="宋体"/>
                <w:color w:val="auto"/>
                <w:szCs w:val="21"/>
                <w:highlight w:val="none"/>
              </w:rPr>
              <w:t>有清晰合理的工作流程图、工作准则合理可行，得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678A7CB6">
            <w:pPr>
              <w:spacing w:line="240" w:lineRule="auto"/>
              <w:ind w:left="0" w:leftChars="-10" w:hanging="21" w:hangingChars="10"/>
              <w:jc w:val="left"/>
              <w:rPr>
                <w:rFonts w:hint="eastAsia" w:ascii="宋体" w:hAnsi="宋体" w:cs="宋体"/>
                <w:color w:val="auto"/>
                <w:szCs w:val="21"/>
                <w:highlight w:val="none"/>
              </w:rPr>
            </w:pPr>
            <w:r>
              <w:rPr>
                <w:rFonts w:hint="eastAsia" w:ascii="宋体" w:hAnsi="宋体" w:cs="宋体"/>
                <w:color w:val="auto"/>
                <w:szCs w:val="21"/>
                <w:highlight w:val="none"/>
              </w:rPr>
              <w:t>有</w:t>
            </w:r>
            <w:r>
              <w:rPr>
                <w:rFonts w:hint="eastAsia" w:ascii="宋体" w:hAnsi="宋体" w:cs="宋体"/>
                <w:color w:val="auto"/>
                <w:szCs w:val="21"/>
                <w:highlight w:val="none"/>
                <w:lang w:val="en-US" w:eastAsia="zh-CN"/>
              </w:rPr>
              <w:t>较</w:t>
            </w:r>
            <w:r>
              <w:rPr>
                <w:rFonts w:hint="eastAsia" w:ascii="宋体" w:hAnsi="宋体" w:cs="宋体"/>
                <w:color w:val="auto"/>
                <w:szCs w:val="21"/>
                <w:highlight w:val="none"/>
              </w:rPr>
              <w:t>清晰的工作流程图、工作准则基本可行，得2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p w14:paraId="1722D0FC">
            <w:pPr>
              <w:spacing w:line="240" w:lineRule="auto"/>
              <w:ind w:left="0" w:leftChars="-10" w:hanging="21" w:hangingChars="10"/>
              <w:jc w:val="left"/>
              <w:rPr>
                <w:rFonts w:hint="eastAsia" w:ascii="宋体" w:hAnsi="宋体" w:cs="宋体"/>
                <w:color w:val="auto"/>
                <w:szCs w:val="21"/>
                <w:highlight w:val="none"/>
              </w:rPr>
            </w:pPr>
            <w:r>
              <w:rPr>
                <w:rFonts w:hint="eastAsia" w:ascii="宋体" w:hAnsi="宋体" w:cs="宋体"/>
                <w:color w:val="auto"/>
                <w:szCs w:val="21"/>
                <w:highlight w:val="none"/>
              </w:rPr>
              <w:t>有工作流程图、工作准则，得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2588D2C0">
            <w:pPr>
              <w:spacing w:line="240" w:lineRule="auto"/>
              <w:ind w:left="0" w:leftChars="-10" w:hanging="21" w:hangingChars="10"/>
              <w:jc w:val="left"/>
              <w:rPr>
                <w:rFonts w:hint="eastAsia" w:ascii="宋体" w:hAnsi="宋体" w:cs="宋体"/>
                <w:color w:val="auto"/>
                <w:sz w:val="21"/>
                <w:szCs w:val="21"/>
                <w:highlight w:val="none"/>
              </w:rPr>
            </w:pPr>
            <w:r>
              <w:rPr>
                <w:rFonts w:hint="eastAsia" w:ascii="宋体" w:hAnsi="宋体" w:cs="宋体"/>
                <w:color w:val="auto"/>
                <w:szCs w:val="21"/>
                <w:highlight w:val="none"/>
              </w:rPr>
              <w:t>不满足以上情况或无提供工作流程图，不得分。</w:t>
            </w:r>
          </w:p>
        </w:tc>
      </w:tr>
      <w:tr w14:paraId="18A59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cantSplit/>
          <w:jc w:val="center"/>
        </w:trPr>
        <w:tc>
          <w:tcPr>
            <w:tcW w:w="1555" w:type="dxa"/>
            <w:vMerge w:val="continue"/>
            <w:tcBorders>
              <w:left w:val="single" w:color="auto" w:sz="4" w:space="0"/>
              <w:right w:val="single" w:color="auto" w:sz="4" w:space="0"/>
            </w:tcBorders>
            <w:vAlign w:val="center"/>
          </w:tcPr>
          <w:p w14:paraId="2A1C00BE">
            <w:pPr>
              <w:spacing w:line="300" w:lineRule="exact"/>
              <w:jc w:val="center"/>
              <w:rPr>
                <w:rFonts w:ascii="宋体" w:hAnsi="宋体" w:cs="宋体"/>
                <w:color w:val="auto"/>
                <w:szCs w:val="21"/>
                <w:highlight w:val="none"/>
              </w:rPr>
            </w:pPr>
          </w:p>
        </w:tc>
        <w:tc>
          <w:tcPr>
            <w:tcW w:w="1134" w:type="dxa"/>
            <w:gridSpan w:val="2"/>
            <w:vMerge w:val="continue"/>
            <w:tcBorders>
              <w:left w:val="single" w:color="auto" w:sz="4" w:space="0"/>
              <w:right w:val="single" w:color="auto" w:sz="4" w:space="0"/>
            </w:tcBorders>
            <w:vAlign w:val="center"/>
          </w:tcPr>
          <w:p w14:paraId="67F04618">
            <w:pPr>
              <w:spacing w:line="300" w:lineRule="exact"/>
              <w:jc w:val="center"/>
              <w:rPr>
                <w:rFonts w:hint="eastAsia" w:ascii="宋体" w:hAnsi="宋体" w:cs="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8F295E0">
            <w:pPr>
              <w:spacing w:line="24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进度控制方案</w:t>
            </w:r>
          </w:p>
          <w:p w14:paraId="021D6863">
            <w:pPr>
              <w:spacing w:line="24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（3分）</w:t>
            </w:r>
          </w:p>
        </w:tc>
        <w:tc>
          <w:tcPr>
            <w:tcW w:w="5039" w:type="dxa"/>
            <w:tcBorders>
              <w:top w:val="single" w:color="auto" w:sz="4" w:space="0"/>
              <w:left w:val="single" w:color="auto" w:sz="4" w:space="0"/>
              <w:bottom w:val="single" w:color="auto" w:sz="4" w:space="0"/>
              <w:right w:val="single" w:color="auto" w:sz="4" w:space="0"/>
            </w:tcBorders>
            <w:vAlign w:val="center"/>
          </w:tcPr>
          <w:p w14:paraId="26F190B6">
            <w:pPr>
              <w:spacing w:line="240" w:lineRule="auto"/>
              <w:ind w:left="0" w:leftChars="-10" w:hanging="21" w:hangingChars="10"/>
              <w:jc w:val="left"/>
              <w:rPr>
                <w:rFonts w:hint="eastAsia" w:ascii="宋体" w:hAnsi="宋体" w:cs="宋体"/>
                <w:color w:val="auto"/>
                <w:szCs w:val="21"/>
                <w:highlight w:val="none"/>
              </w:rPr>
            </w:pPr>
            <w:r>
              <w:rPr>
                <w:rFonts w:hint="eastAsia" w:ascii="宋体" w:hAnsi="宋体" w:cs="宋体"/>
                <w:color w:val="auto"/>
                <w:szCs w:val="21"/>
                <w:highlight w:val="none"/>
              </w:rPr>
              <w:t>进度控制措施目标明确、方法合理可行、措施具体、针对性程度强，得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6412610D">
            <w:pPr>
              <w:spacing w:line="240" w:lineRule="auto"/>
              <w:ind w:left="0" w:leftChars="-10" w:hanging="21" w:hangingChars="10"/>
              <w:jc w:val="left"/>
              <w:rPr>
                <w:rFonts w:hint="eastAsia" w:ascii="宋体" w:hAnsi="宋体" w:cs="宋体"/>
                <w:color w:val="auto"/>
                <w:szCs w:val="21"/>
                <w:highlight w:val="none"/>
              </w:rPr>
            </w:pPr>
            <w:r>
              <w:rPr>
                <w:rFonts w:hint="eastAsia" w:ascii="宋体" w:hAnsi="宋体" w:cs="宋体"/>
                <w:color w:val="auto"/>
                <w:szCs w:val="21"/>
                <w:highlight w:val="none"/>
              </w:rPr>
              <w:t>进度控制措施</w:t>
            </w:r>
            <w:r>
              <w:rPr>
                <w:rFonts w:hint="eastAsia" w:ascii="宋体" w:hAnsi="宋体" w:cs="宋体"/>
                <w:color w:val="auto"/>
                <w:szCs w:val="21"/>
                <w:highlight w:val="none"/>
                <w:lang w:val="en-US" w:eastAsia="zh-CN"/>
              </w:rPr>
              <w:t>较</w:t>
            </w:r>
            <w:r>
              <w:rPr>
                <w:rFonts w:hint="eastAsia" w:ascii="宋体" w:hAnsi="宋体" w:cs="宋体"/>
                <w:color w:val="auto"/>
                <w:szCs w:val="21"/>
                <w:highlight w:val="none"/>
              </w:rPr>
              <w:t>明确、方法</w:t>
            </w:r>
            <w:r>
              <w:rPr>
                <w:rFonts w:hint="eastAsia" w:ascii="宋体" w:hAnsi="宋体" w:cs="宋体"/>
                <w:color w:val="auto"/>
                <w:szCs w:val="21"/>
                <w:highlight w:val="none"/>
                <w:lang w:val="en-US" w:eastAsia="zh-CN"/>
              </w:rPr>
              <w:t>较</w:t>
            </w:r>
            <w:r>
              <w:rPr>
                <w:rFonts w:hint="eastAsia" w:ascii="宋体" w:hAnsi="宋体" w:cs="宋体"/>
                <w:color w:val="auto"/>
                <w:szCs w:val="21"/>
                <w:highlight w:val="none"/>
              </w:rPr>
              <w:t>合理，措施较具体、有一定的针对性，得</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分；</w:t>
            </w:r>
          </w:p>
          <w:p w14:paraId="4FA70E04">
            <w:pPr>
              <w:spacing w:line="240" w:lineRule="auto"/>
              <w:ind w:left="0" w:leftChars="-10" w:hanging="21" w:hangingChars="10"/>
              <w:jc w:val="left"/>
              <w:rPr>
                <w:rFonts w:hint="eastAsia" w:ascii="宋体" w:hAnsi="宋体" w:cs="宋体"/>
                <w:color w:val="auto"/>
                <w:szCs w:val="21"/>
                <w:highlight w:val="none"/>
              </w:rPr>
            </w:pPr>
            <w:r>
              <w:rPr>
                <w:rFonts w:hint="eastAsia" w:ascii="宋体" w:hAnsi="宋体" w:cs="宋体"/>
                <w:color w:val="auto"/>
                <w:szCs w:val="21"/>
                <w:highlight w:val="none"/>
              </w:rPr>
              <w:t>进度控制措施目标较差、方法可行较差、措施一般，针对性一般，得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76C0924F">
            <w:pPr>
              <w:spacing w:line="240" w:lineRule="auto"/>
              <w:ind w:left="0" w:leftChars="-10" w:hanging="21" w:hangingChars="10"/>
              <w:jc w:val="left"/>
              <w:rPr>
                <w:rFonts w:hint="eastAsia" w:ascii="宋体" w:hAnsi="宋体" w:cs="宋体"/>
                <w:color w:val="auto"/>
                <w:sz w:val="21"/>
                <w:szCs w:val="21"/>
                <w:highlight w:val="none"/>
              </w:rPr>
            </w:pPr>
            <w:r>
              <w:rPr>
                <w:rFonts w:hint="eastAsia" w:ascii="宋体" w:hAnsi="宋体" w:cs="宋体"/>
                <w:color w:val="auto"/>
                <w:szCs w:val="21"/>
                <w:highlight w:val="none"/>
              </w:rPr>
              <w:t>进度控制措施不满足以上情况或无提供措施，不得分。</w:t>
            </w:r>
          </w:p>
        </w:tc>
      </w:tr>
      <w:tr w14:paraId="45C81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cantSplit/>
          <w:jc w:val="center"/>
        </w:trPr>
        <w:tc>
          <w:tcPr>
            <w:tcW w:w="1555" w:type="dxa"/>
            <w:vMerge w:val="continue"/>
            <w:tcBorders>
              <w:left w:val="single" w:color="auto" w:sz="4" w:space="0"/>
              <w:right w:val="single" w:color="auto" w:sz="4" w:space="0"/>
            </w:tcBorders>
            <w:vAlign w:val="center"/>
          </w:tcPr>
          <w:p w14:paraId="37309DC3">
            <w:pPr>
              <w:spacing w:line="300" w:lineRule="exact"/>
              <w:jc w:val="center"/>
              <w:rPr>
                <w:rFonts w:ascii="宋体" w:hAnsi="宋体" w:cs="宋体"/>
                <w:color w:val="auto"/>
                <w:szCs w:val="21"/>
                <w:highlight w:val="none"/>
              </w:rPr>
            </w:pPr>
          </w:p>
        </w:tc>
        <w:tc>
          <w:tcPr>
            <w:tcW w:w="1134" w:type="dxa"/>
            <w:gridSpan w:val="2"/>
            <w:vMerge w:val="continue"/>
            <w:tcBorders>
              <w:left w:val="single" w:color="auto" w:sz="4" w:space="0"/>
              <w:right w:val="single" w:color="auto" w:sz="4" w:space="0"/>
            </w:tcBorders>
            <w:vAlign w:val="center"/>
          </w:tcPr>
          <w:p w14:paraId="621CA585">
            <w:pPr>
              <w:spacing w:line="300" w:lineRule="exact"/>
              <w:jc w:val="center"/>
              <w:rPr>
                <w:rFonts w:ascii="宋体" w:hAnsi="宋体" w:cs="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D761B29">
            <w:pPr>
              <w:spacing w:line="24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质量控制方案</w:t>
            </w:r>
          </w:p>
          <w:p w14:paraId="50A33F4B">
            <w:pPr>
              <w:spacing w:line="240" w:lineRule="auto"/>
              <w:jc w:val="left"/>
              <w:rPr>
                <w:rFonts w:ascii="宋体" w:hAnsi="宋体" w:cs="宋体"/>
                <w:color w:val="auto"/>
                <w:szCs w:val="21"/>
                <w:highlight w:val="none"/>
              </w:rPr>
            </w:pPr>
            <w:r>
              <w:rPr>
                <w:rFonts w:hint="eastAsia" w:ascii="宋体" w:hAnsi="宋体" w:cs="宋体"/>
                <w:color w:val="auto"/>
                <w:sz w:val="21"/>
                <w:szCs w:val="21"/>
                <w:highlight w:val="none"/>
              </w:rPr>
              <w:t>（3分）</w:t>
            </w:r>
          </w:p>
        </w:tc>
        <w:tc>
          <w:tcPr>
            <w:tcW w:w="5039" w:type="dxa"/>
            <w:tcBorders>
              <w:top w:val="single" w:color="auto" w:sz="4" w:space="0"/>
              <w:left w:val="single" w:color="auto" w:sz="4" w:space="0"/>
              <w:bottom w:val="single" w:color="auto" w:sz="4" w:space="0"/>
              <w:right w:val="single" w:color="auto" w:sz="4" w:space="0"/>
            </w:tcBorders>
            <w:vAlign w:val="center"/>
          </w:tcPr>
          <w:p w14:paraId="352A4A92">
            <w:pPr>
              <w:spacing w:line="240" w:lineRule="auto"/>
              <w:ind w:left="0" w:leftChars="-10" w:right="-13" w:rightChars="0" w:hanging="21" w:hangingChars="10"/>
              <w:jc w:val="left"/>
              <w:rPr>
                <w:rFonts w:hint="eastAsia" w:ascii="宋体" w:hAnsi="宋体" w:cs="宋体"/>
                <w:color w:val="auto"/>
                <w:szCs w:val="21"/>
                <w:highlight w:val="none"/>
              </w:rPr>
            </w:pPr>
            <w:r>
              <w:rPr>
                <w:rFonts w:hint="eastAsia" w:ascii="宋体" w:hAnsi="宋体" w:cs="宋体"/>
                <w:color w:val="auto"/>
                <w:szCs w:val="21"/>
                <w:highlight w:val="none"/>
              </w:rPr>
              <w:t>质量控制措施目标明确、方法合理可行、措施具体、针对性程度强，得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5BCE9442">
            <w:pPr>
              <w:spacing w:line="240" w:lineRule="auto"/>
              <w:ind w:left="0" w:leftChars="-10" w:right="-13" w:rightChars="0" w:hanging="21" w:hangingChars="10"/>
              <w:jc w:val="left"/>
              <w:rPr>
                <w:rFonts w:hint="eastAsia" w:ascii="宋体" w:hAnsi="宋体" w:cs="宋体"/>
                <w:color w:val="auto"/>
                <w:szCs w:val="21"/>
                <w:highlight w:val="none"/>
              </w:rPr>
            </w:pPr>
            <w:r>
              <w:rPr>
                <w:rFonts w:hint="eastAsia" w:ascii="宋体" w:hAnsi="宋体" w:cs="宋体"/>
                <w:color w:val="auto"/>
                <w:szCs w:val="21"/>
                <w:highlight w:val="none"/>
              </w:rPr>
              <w:t>质量控制措施</w:t>
            </w:r>
            <w:r>
              <w:rPr>
                <w:rFonts w:hint="eastAsia" w:ascii="宋体" w:hAnsi="宋体" w:cs="宋体"/>
                <w:color w:val="auto"/>
                <w:szCs w:val="21"/>
                <w:highlight w:val="none"/>
                <w:lang w:val="en-US" w:eastAsia="zh-CN"/>
              </w:rPr>
              <w:t>较</w:t>
            </w:r>
            <w:r>
              <w:rPr>
                <w:rFonts w:hint="eastAsia" w:ascii="宋体" w:hAnsi="宋体" w:cs="宋体"/>
                <w:color w:val="auto"/>
                <w:szCs w:val="21"/>
                <w:highlight w:val="none"/>
              </w:rPr>
              <w:t>明确、方法</w:t>
            </w:r>
            <w:r>
              <w:rPr>
                <w:rFonts w:hint="eastAsia" w:ascii="宋体" w:hAnsi="宋体" w:cs="宋体"/>
                <w:color w:val="auto"/>
                <w:szCs w:val="21"/>
                <w:highlight w:val="none"/>
                <w:lang w:val="en-US" w:eastAsia="zh-CN"/>
              </w:rPr>
              <w:t>较</w:t>
            </w:r>
            <w:r>
              <w:rPr>
                <w:rFonts w:hint="eastAsia" w:ascii="宋体" w:hAnsi="宋体" w:cs="宋体"/>
                <w:color w:val="auto"/>
                <w:szCs w:val="21"/>
                <w:highlight w:val="none"/>
              </w:rPr>
              <w:t>合理，措施较具体、有一定的针对性，得</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分；</w:t>
            </w:r>
          </w:p>
          <w:p w14:paraId="38BAC24D">
            <w:pPr>
              <w:spacing w:line="240" w:lineRule="auto"/>
              <w:ind w:left="0" w:leftChars="-10" w:right="-13" w:rightChars="0" w:hanging="21" w:hangingChars="10"/>
              <w:jc w:val="left"/>
              <w:rPr>
                <w:rFonts w:hint="eastAsia" w:ascii="宋体" w:hAnsi="宋体" w:cs="宋体"/>
                <w:color w:val="auto"/>
                <w:szCs w:val="21"/>
                <w:highlight w:val="none"/>
              </w:rPr>
            </w:pPr>
            <w:r>
              <w:rPr>
                <w:rFonts w:hint="eastAsia" w:ascii="宋体" w:hAnsi="宋体" w:cs="宋体"/>
                <w:color w:val="auto"/>
                <w:szCs w:val="21"/>
                <w:highlight w:val="none"/>
              </w:rPr>
              <w:t>质量控制措施目标较差、方法可行较差、措施一般，针对性一般，得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063100D8">
            <w:pPr>
              <w:spacing w:line="240" w:lineRule="auto"/>
              <w:ind w:left="0" w:leftChars="-10" w:right="-13" w:rightChars="0" w:hanging="21" w:hangingChars="10"/>
              <w:jc w:val="left"/>
              <w:rPr>
                <w:rFonts w:ascii="宋体" w:hAnsi="宋体" w:cs="宋体"/>
                <w:color w:val="auto"/>
                <w:szCs w:val="21"/>
                <w:highlight w:val="none"/>
              </w:rPr>
            </w:pPr>
            <w:r>
              <w:rPr>
                <w:rFonts w:hint="eastAsia" w:ascii="宋体" w:hAnsi="宋体" w:cs="宋体"/>
                <w:color w:val="auto"/>
                <w:szCs w:val="21"/>
                <w:highlight w:val="none"/>
              </w:rPr>
              <w:t>质量控制措施不满足以上情况或无提供措施，不得分。</w:t>
            </w:r>
          </w:p>
        </w:tc>
      </w:tr>
      <w:tr w14:paraId="69C8A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cantSplit/>
          <w:jc w:val="center"/>
        </w:trPr>
        <w:tc>
          <w:tcPr>
            <w:tcW w:w="1555" w:type="dxa"/>
            <w:vMerge w:val="continue"/>
            <w:tcBorders>
              <w:left w:val="single" w:color="auto" w:sz="4" w:space="0"/>
              <w:right w:val="single" w:color="auto" w:sz="4" w:space="0"/>
            </w:tcBorders>
            <w:vAlign w:val="center"/>
          </w:tcPr>
          <w:p w14:paraId="25621010">
            <w:pPr>
              <w:widowControl/>
              <w:spacing w:line="300" w:lineRule="exact"/>
              <w:jc w:val="left"/>
              <w:rPr>
                <w:rFonts w:ascii="宋体" w:hAnsi="宋体" w:cs="宋体"/>
                <w:color w:val="auto"/>
                <w:szCs w:val="21"/>
                <w:highlight w:val="none"/>
              </w:rPr>
            </w:pPr>
          </w:p>
        </w:tc>
        <w:tc>
          <w:tcPr>
            <w:tcW w:w="1134" w:type="dxa"/>
            <w:gridSpan w:val="2"/>
            <w:vMerge w:val="continue"/>
            <w:tcBorders>
              <w:left w:val="single" w:color="auto" w:sz="4" w:space="0"/>
              <w:right w:val="single" w:color="auto" w:sz="4" w:space="0"/>
            </w:tcBorders>
            <w:vAlign w:val="center"/>
          </w:tcPr>
          <w:p w14:paraId="49259C51">
            <w:pPr>
              <w:widowControl/>
              <w:spacing w:line="300" w:lineRule="exact"/>
              <w:jc w:val="left"/>
              <w:rPr>
                <w:rFonts w:ascii="宋体" w:hAnsi="宋体" w:cs="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421AC300">
            <w:pPr>
              <w:spacing w:line="24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投资控制措施</w:t>
            </w:r>
          </w:p>
          <w:p w14:paraId="33024929">
            <w:pPr>
              <w:spacing w:line="240" w:lineRule="auto"/>
              <w:jc w:val="left"/>
              <w:rPr>
                <w:rFonts w:ascii="宋体" w:hAnsi="宋体" w:cs="宋体"/>
                <w:color w:val="auto"/>
                <w:szCs w:val="21"/>
                <w:highlight w:val="none"/>
              </w:rPr>
            </w:pPr>
            <w:r>
              <w:rPr>
                <w:rFonts w:hint="eastAsia" w:ascii="宋体" w:hAnsi="宋体" w:cs="宋体"/>
                <w:color w:val="auto"/>
                <w:sz w:val="21"/>
                <w:szCs w:val="21"/>
                <w:highlight w:val="none"/>
              </w:rPr>
              <w:t>（3分）</w:t>
            </w:r>
          </w:p>
        </w:tc>
        <w:tc>
          <w:tcPr>
            <w:tcW w:w="5039" w:type="dxa"/>
            <w:tcBorders>
              <w:top w:val="single" w:color="auto" w:sz="4" w:space="0"/>
              <w:left w:val="single" w:color="auto" w:sz="4" w:space="0"/>
              <w:bottom w:val="single" w:color="auto" w:sz="4" w:space="0"/>
              <w:right w:val="single" w:color="auto" w:sz="4" w:space="0"/>
            </w:tcBorders>
            <w:vAlign w:val="center"/>
          </w:tcPr>
          <w:p w14:paraId="6FC1E091">
            <w:pPr>
              <w:spacing w:line="240" w:lineRule="auto"/>
              <w:ind w:left="0" w:leftChars="-10" w:right="-13" w:rightChars="0" w:hanging="21" w:hangingChars="10"/>
              <w:jc w:val="left"/>
              <w:rPr>
                <w:rFonts w:hint="eastAsia" w:ascii="宋体" w:hAnsi="宋体" w:cs="宋体"/>
                <w:color w:val="auto"/>
                <w:szCs w:val="21"/>
                <w:highlight w:val="none"/>
              </w:rPr>
            </w:pPr>
            <w:r>
              <w:rPr>
                <w:rFonts w:hint="eastAsia" w:ascii="宋体" w:hAnsi="宋体" w:cs="宋体"/>
                <w:color w:val="auto"/>
                <w:szCs w:val="21"/>
                <w:highlight w:val="none"/>
              </w:rPr>
              <w:t>投资控制措施目标明确、方法合理可行、措施具体、针对性程度强，得3分；</w:t>
            </w:r>
          </w:p>
          <w:p w14:paraId="42CD6366">
            <w:pPr>
              <w:spacing w:line="240" w:lineRule="auto"/>
              <w:ind w:left="0" w:leftChars="-10" w:right="-13" w:rightChars="0" w:hanging="21" w:hangingChars="10"/>
              <w:jc w:val="left"/>
              <w:rPr>
                <w:rFonts w:hint="eastAsia" w:ascii="宋体" w:hAnsi="宋体" w:cs="宋体"/>
                <w:color w:val="auto"/>
                <w:szCs w:val="21"/>
                <w:highlight w:val="none"/>
              </w:rPr>
            </w:pPr>
            <w:r>
              <w:rPr>
                <w:rFonts w:hint="eastAsia" w:ascii="宋体" w:hAnsi="宋体" w:cs="宋体"/>
                <w:color w:val="auto"/>
                <w:szCs w:val="21"/>
                <w:highlight w:val="none"/>
              </w:rPr>
              <w:t>投资控制措施</w:t>
            </w:r>
            <w:r>
              <w:rPr>
                <w:rFonts w:hint="eastAsia" w:ascii="宋体" w:hAnsi="宋体" w:cs="宋体"/>
                <w:color w:val="auto"/>
                <w:szCs w:val="21"/>
                <w:highlight w:val="none"/>
                <w:lang w:val="en-US" w:eastAsia="zh-CN"/>
              </w:rPr>
              <w:t>较</w:t>
            </w:r>
            <w:r>
              <w:rPr>
                <w:rFonts w:hint="eastAsia" w:ascii="宋体" w:hAnsi="宋体" w:cs="宋体"/>
                <w:color w:val="auto"/>
                <w:szCs w:val="21"/>
                <w:highlight w:val="none"/>
              </w:rPr>
              <w:t>明确、方法</w:t>
            </w:r>
            <w:r>
              <w:rPr>
                <w:rFonts w:hint="eastAsia" w:ascii="宋体" w:hAnsi="宋体" w:cs="宋体"/>
                <w:color w:val="auto"/>
                <w:szCs w:val="21"/>
                <w:highlight w:val="none"/>
                <w:lang w:val="en-US" w:eastAsia="zh-CN"/>
              </w:rPr>
              <w:t>较</w:t>
            </w:r>
            <w:r>
              <w:rPr>
                <w:rFonts w:hint="eastAsia" w:ascii="宋体" w:hAnsi="宋体" w:cs="宋体"/>
                <w:color w:val="auto"/>
                <w:szCs w:val="21"/>
                <w:highlight w:val="none"/>
              </w:rPr>
              <w:t>合理，措施较具体、有一定的针对性，得2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p w14:paraId="5E188435">
            <w:pPr>
              <w:spacing w:line="240" w:lineRule="auto"/>
              <w:ind w:left="0" w:leftChars="-10" w:right="-13" w:rightChars="0" w:hanging="21" w:hangingChars="10"/>
              <w:jc w:val="left"/>
              <w:rPr>
                <w:rFonts w:hint="eastAsia" w:ascii="宋体" w:hAnsi="宋体" w:cs="宋体"/>
                <w:color w:val="auto"/>
                <w:szCs w:val="21"/>
                <w:highlight w:val="none"/>
              </w:rPr>
            </w:pPr>
            <w:r>
              <w:rPr>
                <w:rFonts w:hint="eastAsia" w:ascii="宋体" w:hAnsi="宋体" w:cs="宋体"/>
                <w:color w:val="auto"/>
                <w:szCs w:val="21"/>
                <w:highlight w:val="none"/>
              </w:rPr>
              <w:t>投资控制措施目标较差、方法可行较差、措施一般，针对性一般，得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35DE9C3A">
            <w:pPr>
              <w:spacing w:line="240" w:lineRule="auto"/>
              <w:ind w:left="0" w:leftChars="-10" w:right="-13" w:rightChars="0" w:hanging="21" w:hangingChars="10"/>
              <w:jc w:val="left"/>
              <w:rPr>
                <w:rFonts w:ascii="宋体" w:hAnsi="宋体" w:cs="宋体"/>
                <w:color w:val="auto"/>
                <w:szCs w:val="21"/>
                <w:highlight w:val="none"/>
              </w:rPr>
            </w:pPr>
            <w:r>
              <w:rPr>
                <w:rFonts w:hint="eastAsia" w:ascii="宋体" w:hAnsi="宋体" w:cs="宋体"/>
                <w:color w:val="auto"/>
                <w:szCs w:val="21"/>
                <w:highlight w:val="none"/>
              </w:rPr>
              <w:t>投资控制措施不满足以上情况或无提供措施，不得分。</w:t>
            </w:r>
          </w:p>
        </w:tc>
      </w:tr>
      <w:tr w14:paraId="37A6F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cantSplit/>
          <w:jc w:val="center"/>
        </w:trPr>
        <w:tc>
          <w:tcPr>
            <w:tcW w:w="1555" w:type="dxa"/>
            <w:vMerge w:val="continue"/>
            <w:tcBorders>
              <w:left w:val="single" w:color="auto" w:sz="4" w:space="0"/>
              <w:right w:val="single" w:color="auto" w:sz="4" w:space="0"/>
            </w:tcBorders>
            <w:vAlign w:val="center"/>
          </w:tcPr>
          <w:p w14:paraId="5AF114BB">
            <w:pPr>
              <w:widowControl/>
              <w:spacing w:line="300" w:lineRule="exact"/>
              <w:jc w:val="left"/>
              <w:rPr>
                <w:rFonts w:ascii="宋体" w:hAnsi="宋体" w:cs="宋体"/>
                <w:color w:val="auto"/>
                <w:szCs w:val="21"/>
                <w:highlight w:val="none"/>
              </w:rPr>
            </w:pPr>
          </w:p>
        </w:tc>
        <w:tc>
          <w:tcPr>
            <w:tcW w:w="1134" w:type="dxa"/>
            <w:gridSpan w:val="2"/>
            <w:vMerge w:val="continue"/>
            <w:tcBorders>
              <w:left w:val="single" w:color="auto" w:sz="4" w:space="0"/>
              <w:right w:val="single" w:color="auto" w:sz="4" w:space="0"/>
            </w:tcBorders>
            <w:vAlign w:val="center"/>
          </w:tcPr>
          <w:p w14:paraId="13C38B6F">
            <w:pPr>
              <w:widowControl/>
              <w:spacing w:line="300" w:lineRule="exact"/>
              <w:jc w:val="left"/>
              <w:rPr>
                <w:rFonts w:ascii="宋体" w:hAnsi="宋体" w:cs="宋体"/>
                <w:color w:val="auto"/>
                <w:szCs w:val="21"/>
                <w:highlight w:val="none"/>
              </w:rPr>
            </w:pPr>
          </w:p>
        </w:tc>
        <w:tc>
          <w:tcPr>
            <w:tcW w:w="1417" w:type="dxa"/>
            <w:tcBorders>
              <w:left w:val="single" w:color="auto" w:sz="4" w:space="0"/>
              <w:right w:val="single" w:color="auto" w:sz="4" w:space="0"/>
            </w:tcBorders>
            <w:tcMar>
              <w:top w:w="0" w:type="dxa"/>
              <w:left w:w="57" w:type="dxa"/>
              <w:bottom w:w="0" w:type="dxa"/>
              <w:right w:w="57" w:type="dxa"/>
            </w:tcMar>
            <w:vAlign w:val="center"/>
          </w:tcPr>
          <w:p w14:paraId="1F1BBC78">
            <w:pPr>
              <w:spacing w:line="24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安全、文明施工管理</w:t>
            </w:r>
          </w:p>
          <w:p w14:paraId="350FE012">
            <w:pPr>
              <w:spacing w:line="240" w:lineRule="auto"/>
              <w:jc w:val="left"/>
              <w:rPr>
                <w:rFonts w:ascii="宋体" w:hAnsi="宋体" w:cs="宋体"/>
                <w:color w:val="auto"/>
                <w:szCs w:val="21"/>
                <w:highlight w:val="none"/>
              </w:rPr>
            </w:pPr>
            <w:r>
              <w:rPr>
                <w:rFonts w:hint="eastAsia" w:ascii="宋体" w:hAnsi="宋体" w:cs="宋体"/>
                <w:color w:val="auto"/>
                <w:sz w:val="21"/>
                <w:szCs w:val="21"/>
                <w:highlight w:val="none"/>
              </w:rPr>
              <w:t>（2分）</w:t>
            </w:r>
          </w:p>
        </w:tc>
        <w:tc>
          <w:tcPr>
            <w:tcW w:w="503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B652C65">
            <w:pPr>
              <w:spacing w:line="240" w:lineRule="auto"/>
              <w:ind w:left="0" w:leftChars="-10" w:right="-13" w:rightChars="0" w:hanging="21" w:hangingChars="10"/>
              <w:jc w:val="left"/>
              <w:rPr>
                <w:rFonts w:hint="eastAsia" w:ascii="宋体" w:hAnsi="宋体" w:cs="宋体"/>
                <w:color w:val="auto"/>
                <w:szCs w:val="21"/>
                <w:highlight w:val="none"/>
              </w:rPr>
            </w:pPr>
            <w:r>
              <w:rPr>
                <w:rFonts w:hint="eastAsia" w:ascii="宋体" w:hAnsi="宋体" w:cs="宋体"/>
                <w:color w:val="auto"/>
                <w:szCs w:val="21"/>
                <w:highlight w:val="none"/>
              </w:rPr>
              <w:t>安全、</w:t>
            </w:r>
            <w:r>
              <w:rPr>
                <w:rFonts w:hint="eastAsia" w:ascii="宋体" w:hAnsi="宋体" w:cs="宋体"/>
                <w:color w:val="auto"/>
                <w:sz w:val="21"/>
                <w:szCs w:val="21"/>
                <w:highlight w:val="none"/>
              </w:rPr>
              <w:t>文明施工管理</w:t>
            </w:r>
            <w:r>
              <w:rPr>
                <w:rFonts w:hint="eastAsia" w:ascii="宋体" w:hAnsi="宋体" w:cs="宋体"/>
                <w:color w:val="auto"/>
                <w:szCs w:val="21"/>
                <w:highlight w:val="none"/>
              </w:rPr>
              <w:t>措施目标明确、方法合理可行、措施具体、针对性程度强，得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105F5719">
            <w:pPr>
              <w:spacing w:line="240" w:lineRule="auto"/>
              <w:ind w:left="0" w:leftChars="-10" w:right="-13" w:rightChars="0" w:hanging="21" w:hangingChars="10"/>
              <w:jc w:val="left"/>
              <w:rPr>
                <w:rFonts w:hint="eastAsia" w:ascii="宋体" w:hAnsi="宋体" w:cs="宋体"/>
                <w:color w:val="auto"/>
                <w:szCs w:val="21"/>
                <w:highlight w:val="none"/>
              </w:rPr>
            </w:pPr>
            <w:r>
              <w:rPr>
                <w:rFonts w:hint="eastAsia" w:ascii="宋体" w:hAnsi="宋体" w:cs="宋体"/>
                <w:color w:val="auto"/>
                <w:szCs w:val="21"/>
                <w:highlight w:val="none"/>
              </w:rPr>
              <w:t>安全、</w:t>
            </w:r>
            <w:r>
              <w:rPr>
                <w:rFonts w:hint="eastAsia" w:ascii="宋体" w:hAnsi="宋体" w:cs="宋体"/>
                <w:color w:val="auto"/>
                <w:sz w:val="21"/>
                <w:szCs w:val="21"/>
                <w:highlight w:val="none"/>
              </w:rPr>
              <w:t>文明施工管理</w:t>
            </w:r>
            <w:r>
              <w:rPr>
                <w:rFonts w:hint="eastAsia" w:ascii="宋体" w:hAnsi="宋体" w:cs="宋体"/>
                <w:color w:val="auto"/>
                <w:szCs w:val="21"/>
                <w:highlight w:val="none"/>
              </w:rPr>
              <w:t>措施</w:t>
            </w:r>
            <w:r>
              <w:rPr>
                <w:rFonts w:hint="eastAsia" w:ascii="宋体" w:hAnsi="宋体" w:cs="宋体"/>
                <w:color w:val="auto"/>
                <w:szCs w:val="21"/>
                <w:highlight w:val="none"/>
                <w:lang w:val="en-US" w:eastAsia="zh-CN"/>
              </w:rPr>
              <w:t>较</w:t>
            </w:r>
            <w:r>
              <w:rPr>
                <w:rFonts w:hint="eastAsia" w:ascii="宋体" w:hAnsi="宋体" w:cs="宋体"/>
                <w:color w:val="auto"/>
                <w:szCs w:val="21"/>
                <w:highlight w:val="none"/>
              </w:rPr>
              <w:t>明确、方法</w:t>
            </w:r>
            <w:r>
              <w:rPr>
                <w:rFonts w:hint="eastAsia" w:ascii="宋体" w:hAnsi="宋体" w:cs="宋体"/>
                <w:color w:val="auto"/>
                <w:szCs w:val="21"/>
                <w:highlight w:val="none"/>
                <w:lang w:val="en-US" w:eastAsia="zh-CN"/>
              </w:rPr>
              <w:t>较</w:t>
            </w:r>
            <w:r>
              <w:rPr>
                <w:rFonts w:hint="eastAsia" w:ascii="宋体" w:hAnsi="宋体" w:cs="宋体"/>
                <w:color w:val="auto"/>
                <w:szCs w:val="21"/>
                <w:highlight w:val="none"/>
              </w:rPr>
              <w:t>合理，措施较具体、有一定的针对性，得</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分；</w:t>
            </w:r>
          </w:p>
          <w:p w14:paraId="7CD57C0A">
            <w:pPr>
              <w:spacing w:line="240" w:lineRule="auto"/>
              <w:ind w:left="0" w:leftChars="-10" w:right="-13" w:rightChars="0" w:hanging="21" w:hangingChars="10"/>
              <w:jc w:val="left"/>
              <w:rPr>
                <w:rFonts w:hint="eastAsia" w:ascii="宋体" w:hAnsi="宋体" w:cs="宋体"/>
                <w:color w:val="auto"/>
                <w:szCs w:val="21"/>
                <w:highlight w:val="none"/>
              </w:rPr>
            </w:pPr>
            <w:r>
              <w:rPr>
                <w:rFonts w:hint="eastAsia" w:ascii="宋体" w:hAnsi="宋体" w:cs="宋体"/>
                <w:color w:val="auto"/>
                <w:szCs w:val="21"/>
                <w:highlight w:val="none"/>
              </w:rPr>
              <w:t>安全、</w:t>
            </w:r>
            <w:r>
              <w:rPr>
                <w:rFonts w:hint="eastAsia" w:ascii="宋体" w:hAnsi="宋体" w:cs="宋体"/>
                <w:color w:val="auto"/>
                <w:sz w:val="21"/>
                <w:szCs w:val="21"/>
                <w:highlight w:val="none"/>
              </w:rPr>
              <w:t>文明施工管理</w:t>
            </w:r>
            <w:r>
              <w:rPr>
                <w:rFonts w:hint="eastAsia" w:ascii="宋体" w:hAnsi="宋体" w:cs="宋体"/>
                <w:color w:val="auto"/>
                <w:szCs w:val="21"/>
                <w:highlight w:val="none"/>
              </w:rPr>
              <w:t>措施目标较差、方法可行较差、措施一般，针对性一般，得1分；</w:t>
            </w:r>
          </w:p>
          <w:p w14:paraId="6293FEEC">
            <w:pPr>
              <w:spacing w:line="240" w:lineRule="auto"/>
              <w:ind w:left="0" w:leftChars="-10" w:right="-13" w:rightChars="0" w:hanging="21" w:hangingChars="10"/>
              <w:jc w:val="left"/>
              <w:rPr>
                <w:rFonts w:ascii="宋体" w:hAnsi="宋体" w:cs="宋体"/>
                <w:color w:val="auto"/>
                <w:szCs w:val="21"/>
                <w:highlight w:val="none"/>
              </w:rPr>
            </w:pPr>
            <w:r>
              <w:rPr>
                <w:rFonts w:hint="eastAsia" w:ascii="宋体" w:hAnsi="宋体" w:cs="宋体"/>
                <w:color w:val="auto"/>
                <w:szCs w:val="21"/>
                <w:highlight w:val="none"/>
              </w:rPr>
              <w:t>安全、</w:t>
            </w:r>
            <w:r>
              <w:rPr>
                <w:rFonts w:hint="eastAsia" w:ascii="宋体" w:hAnsi="宋体" w:cs="宋体"/>
                <w:color w:val="auto"/>
                <w:sz w:val="21"/>
                <w:szCs w:val="21"/>
                <w:highlight w:val="none"/>
              </w:rPr>
              <w:t>文明施工管理</w:t>
            </w:r>
            <w:r>
              <w:rPr>
                <w:rFonts w:hint="eastAsia" w:ascii="宋体" w:hAnsi="宋体" w:cs="宋体"/>
                <w:color w:val="auto"/>
                <w:szCs w:val="21"/>
                <w:highlight w:val="none"/>
              </w:rPr>
              <w:t>措施不满足以上情况或无提供措施，不得分。</w:t>
            </w:r>
          </w:p>
        </w:tc>
      </w:tr>
      <w:tr w14:paraId="05DB7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cantSplit/>
          <w:trHeight w:val="636" w:hRule="atLeast"/>
          <w:jc w:val="center"/>
        </w:trPr>
        <w:tc>
          <w:tcPr>
            <w:tcW w:w="1555" w:type="dxa"/>
            <w:vMerge w:val="continue"/>
            <w:tcBorders>
              <w:left w:val="single" w:color="auto" w:sz="4" w:space="0"/>
              <w:right w:val="single" w:color="auto" w:sz="4" w:space="0"/>
            </w:tcBorders>
            <w:vAlign w:val="center"/>
          </w:tcPr>
          <w:p w14:paraId="505D22A2">
            <w:pPr>
              <w:widowControl/>
              <w:spacing w:line="300" w:lineRule="exact"/>
              <w:jc w:val="left"/>
              <w:rPr>
                <w:rFonts w:ascii="宋体" w:hAnsi="宋体" w:cs="宋体"/>
                <w:color w:val="auto"/>
                <w:szCs w:val="21"/>
                <w:highlight w:val="none"/>
              </w:rPr>
            </w:pPr>
          </w:p>
        </w:tc>
        <w:tc>
          <w:tcPr>
            <w:tcW w:w="1134" w:type="dxa"/>
            <w:gridSpan w:val="2"/>
            <w:vMerge w:val="continue"/>
            <w:tcBorders>
              <w:left w:val="single" w:color="auto" w:sz="4" w:space="0"/>
              <w:right w:val="single" w:color="auto" w:sz="4" w:space="0"/>
            </w:tcBorders>
            <w:vAlign w:val="center"/>
          </w:tcPr>
          <w:p w14:paraId="2998BFDC">
            <w:pPr>
              <w:widowControl/>
              <w:spacing w:line="300" w:lineRule="exact"/>
              <w:jc w:val="left"/>
              <w:rPr>
                <w:rFonts w:ascii="宋体" w:hAnsi="宋体" w:cs="宋体"/>
                <w:color w:val="auto"/>
                <w:szCs w:val="21"/>
                <w:highlight w:val="none"/>
              </w:rPr>
            </w:pPr>
          </w:p>
        </w:tc>
        <w:tc>
          <w:tcPr>
            <w:tcW w:w="1417" w:type="dxa"/>
            <w:tcBorders>
              <w:left w:val="single" w:color="auto" w:sz="4" w:space="0"/>
              <w:right w:val="single" w:color="auto" w:sz="4" w:space="0"/>
            </w:tcBorders>
            <w:tcMar>
              <w:top w:w="0" w:type="dxa"/>
              <w:left w:w="57" w:type="dxa"/>
              <w:bottom w:w="0" w:type="dxa"/>
              <w:right w:w="57" w:type="dxa"/>
            </w:tcMar>
            <w:vAlign w:val="center"/>
          </w:tcPr>
          <w:p w14:paraId="1E274B68">
            <w:pPr>
              <w:spacing w:line="24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合同、信息管理方案</w:t>
            </w:r>
          </w:p>
          <w:p w14:paraId="139ADCDA">
            <w:pPr>
              <w:spacing w:line="240" w:lineRule="auto"/>
              <w:jc w:val="left"/>
              <w:rPr>
                <w:rFonts w:hint="eastAsia" w:ascii="宋体" w:hAnsi="宋体" w:cs="宋体"/>
                <w:color w:val="auto"/>
                <w:szCs w:val="21"/>
                <w:highlight w:val="none"/>
              </w:rPr>
            </w:pPr>
            <w:r>
              <w:rPr>
                <w:rFonts w:hint="eastAsia" w:ascii="宋体" w:hAnsi="宋体" w:cs="宋体"/>
                <w:color w:val="auto"/>
                <w:sz w:val="21"/>
                <w:szCs w:val="21"/>
                <w:highlight w:val="none"/>
              </w:rPr>
              <w:t>（3分）</w:t>
            </w:r>
          </w:p>
        </w:tc>
        <w:tc>
          <w:tcPr>
            <w:tcW w:w="503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438C0A9">
            <w:pPr>
              <w:spacing w:line="240" w:lineRule="auto"/>
              <w:ind w:left="0" w:leftChars="-10" w:right="-13" w:rightChars="0" w:hanging="21" w:hangingChars="10"/>
              <w:jc w:val="left"/>
              <w:rPr>
                <w:rFonts w:hint="eastAsia" w:ascii="宋体" w:hAnsi="宋体" w:cs="宋体"/>
                <w:color w:val="auto"/>
                <w:szCs w:val="21"/>
                <w:highlight w:val="none"/>
              </w:rPr>
            </w:pPr>
            <w:r>
              <w:rPr>
                <w:rFonts w:hint="eastAsia" w:ascii="宋体" w:hAnsi="宋体" w:cs="宋体"/>
                <w:color w:val="auto"/>
                <w:szCs w:val="21"/>
                <w:highlight w:val="none"/>
              </w:rPr>
              <w:t>合同管理、信息管理方法合理可行、措施具体、针对性程度强，得3分；</w:t>
            </w:r>
          </w:p>
          <w:p w14:paraId="263EF608">
            <w:pPr>
              <w:spacing w:line="240" w:lineRule="auto"/>
              <w:ind w:left="0" w:leftChars="-10" w:right="-13" w:rightChars="0" w:hanging="21" w:hangingChars="10"/>
              <w:jc w:val="left"/>
              <w:rPr>
                <w:rFonts w:hint="eastAsia" w:ascii="宋体" w:hAnsi="宋体" w:cs="宋体"/>
                <w:color w:val="auto"/>
                <w:szCs w:val="21"/>
                <w:highlight w:val="none"/>
              </w:rPr>
            </w:pPr>
            <w:r>
              <w:rPr>
                <w:rFonts w:hint="eastAsia" w:ascii="宋体" w:hAnsi="宋体" w:cs="宋体"/>
                <w:color w:val="auto"/>
                <w:szCs w:val="21"/>
                <w:highlight w:val="none"/>
              </w:rPr>
              <w:t>合同管理、信息管理方法</w:t>
            </w:r>
            <w:r>
              <w:rPr>
                <w:rFonts w:hint="eastAsia" w:ascii="宋体" w:hAnsi="宋体" w:cs="宋体"/>
                <w:color w:val="auto"/>
                <w:szCs w:val="21"/>
                <w:highlight w:val="none"/>
                <w:lang w:val="en-US" w:eastAsia="zh-CN"/>
              </w:rPr>
              <w:t>较</w:t>
            </w:r>
            <w:r>
              <w:rPr>
                <w:rFonts w:hint="eastAsia" w:ascii="宋体" w:hAnsi="宋体" w:cs="宋体"/>
                <w:color w:val="auto"/>
                <w:szCs w:val="21"/>
                <w:highlight w:val="none"/>
              </w:rPr>
              <w:t>合理、措施较具体、有一定的针对性，得2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p w14:paraId="51CA94FA">
            <w:pPr>
              <w:spacing w:line="240" w:lineRule="auto"/>
              <w:ind w:left="0" w:leftChars="-10" w:right="-13" w:rightChars="0" w:hanging="21" w:hangingChars="10"/>
              <w:jc w:val="left"/>
              <w:rPr>
                <w:rFonts w:hint="eastAsia" w:ascii="宋体" w:hAnsi="宋体" w:cs="宋体"/>
                <w:color w:val="auto"/>
                <w:szCs w:val="21"/>
                <w:highlight w:val="none"/>
              </w:rPr>
            </w:pPr>
            <w:r>
              <w:rPr>
                <w:rFonts w:hint="eastAsia" w:ascii="宋体" w:hAnsi="宋体" w:cs="宋体"/>
                <w:color w:val="auto"/>
                <w:szCs w:val="21"/>
                <w:highlight w:val="none"/>
              </w:rPr>
              <w:t>合同管理、信息管理方法较差、措施一般，针对性一般，得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474BFFE7">
            <w:pPr>
              <w:spacing w:line="240" w:lineRule="auto"/>
              <w:ind w:left="0" w:leftChars="-10" w:right="-13" w:rightChars="0" w:hanging="21" w:hangingChars="10"/>
              <w:jc w:val="left"/>
              <w:rPr>
                <w:rFonts w:hint="eastAsia" w:ascii="宋体" w:hAnsi="宋体" w:cs="宋体"/>
                <w:color w:val="auto"/>
                <w:szCs w:val="21"/>
                <w:highlight w:val="none"/>
              </w:rPr>
            </w:pPr>
            <w:r>
              <w:rPr>
                <w:rFonts w:hint="eastAsia" w:ascii="宋体" w:hAnsi="宋体" w:cs="宋体"/>
                <w:color w:val="auto"/>
                <w:szCs w:val="21"/>
                <w:highlight w:val="none"/>
              </w:rPr>
              <w:t>不满足以上情况或无提供措施方法，不得分。</w:t>
            </w:r>
          </w:p>
        </w:tc>
      </w:tr>
      <w:tr w14:paraId="0B6C3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cantSplit/>
          <w:trHeight w:val="636" w:hRule="atLeast"/>
          <w:jc w:val="center"/>
        </w:trPr>
        <w:tc>
          <w:tcPr>
            <w:tcW w:w="1555" w:type="dxa"/>
            <w:vMerge w:val="continue"/>
            <w:tcBorders>
              <w:left w:val="single" w:color="auto" w:sz="4" w:space="0"/>
              <w:right w:val="single" w:color="auto" w:sz="4" w:space="0"/>
            </w:tcBorders>
            <w:vAlign w:val="center"/>
          </w:tcPr>
          <w:p w14:paraId="6C76A036">
            <w:pPr>
              <w:widowControl/>
              <w:spacing w:line="300" w:lineRule="exact"/>
              <w:jc w:val="left"/>
              <w:rPr>
                <w:rFonts w:ascii="宋体" w:hAnsi="宋体" w:cs="宋体"/>
                <w:color w:val="auto"/>
                <w:szCs w:val="21"/>
                <w:highlight w:val="none"/>
              </w:rPr>
            </w:pPr>
          </w:p>
        </w:tc>
        <w:tc>
          <w:tcPr>
            <w:tcW w:w="1134" w:type="dxa"/>
            <w:gridSpan w:val="2"/>
            <w:vMerge w:val="continue"/>
            <w:tcBorders>
              <w:left w:val="single" w:color="auto" w:sz="4" w:space="0"/>
              <w:right w:val="single" w:color="auto" w:sz="4" w:space="0"/>
            </w:tcBorders>
            <w:vAlign w:val="center"/>
          </w:tcPr>
          <w:p w14:paraId="4031B408">
            <w:pPr>
              <w:widowControl/>
              <w:spacing w:line="300" w:lineRule="exact"/>
              <w:jc w:val="left"/>
              <w:rPr>
                <w:rFonts w:ascii="宋体" w:hAnsi="宋体" w:cs="宋体"/>
                <w:color w:val="auto"/>
                <w:szCs w:val="21"/>
                <w:highlight w:val="none"/>
              </w:rPr>
            </w:pPr>
          </w:p>
        </w:tc>
        <w:tc>
          <w:tcPr>
            <w:tcW w:w="1417" w:type="dxa"/>
            <w:tcBorders>
              <w:left w:val="single" w:color="auto" w:sz="4" w:space="0"/>
              <w:right w:val="single" w:color="auto" w:sz="4" w:space="0"/>
            </w:tcBorders>
            <w:tcMar>
              <w:top w:w="0" w:type="dxa"/>
              <w:left w:w="57" w:type="dxa"/>
              <w:bottom w:w="0" w:type="dxa"/>
              <w:right w:w="57" w:type="dxa"/>
            </w:tcMar>
            <w:vAlign w:val="center"/>
          </w:tcPr>
          <w:p w14:paraId="0206A4C9">
            <w:pPr>
              <w:spacing w:line="240" w:lineRule="auto"/>
              <w:jc w:val="left"/>
              <w:rPr>
                <w:rFonts w:hint="eastAsia" w:ascii="宋体" w:hAnsi="宋体" w:cs="宋体"/>
                <w:color w:val="auto"/>
                <w:szCs w:val="21"/>
                <w:highlight w:val="none"/>
              </w:rPr>
            </w:pPr>
            <w:r>
              <w:rPr>
                <w:rFonts w:hint="eastAsia" w:ascii="宋体" w:hAnsi="宋体" w:cs="宋体"/>
                <w:color w:val="auto"/>
                <w:sz w:val="21"/>
                <w:szCs w:val="21"/>
                <w:highlight w:val="none"/>
              </w:rPr>
              <w:t>监理组织协调内容及措施（3分）</w:t>
            </w:r>
          </w:p>
        </w:tc>
        <w:tc>
          <w:tcPr>
            <w:tcW w:w="503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586EDF1">
            <w:pPr>
              <w:spacing w:line="240" w:lineRule="auto"/>
              <w:ind w:left="0" w:leftChars="-10" w:right="-13" w:rightChars="0" w:hanging="21" w:hangingChars="10"/>
              <w:jc w:val="left"/>
              <w:rPr>
                <w:rFonts w:hint="eastAsia" w:ascii="宋体" w:hAnsi="宋体" w:cs="宋体"/>
                <w:color w:val="auto"/>
                <w:szCs w:val="21"/>
                <w:highlight w:val="none"/>
              </w:rPr>
            </w:pPr>
            <w:r>
              <w:rPr>
                <w:rFonts w:hint="eastAsia" w:ascii="宋体" w:hAnsi="宋体" w:cs="宋体"/>
                <w:color w:val="auto"/>
                <w:szCs w:val="21"/>
                <w:highlight w:val="none"/>
              </w:rPr>
              <w:t>监理组织协调方法清晰合理、措施具体、针对性程度强，得3分；</w:t>
            </w:r>
          </w:p>
          <w:p w14:paraId="01825659">
            <w:pPr>
              <w:spacing w:line="240" w:lineRule="auto"/>
              <w:ind w:left="0" w:leftChars="-10" w:right="-13" w:rightChars="0" w:hanging="21" w:hangingChars="10"/>
              <w:jc w:val="left"/>
              <w:rPr>
                <w:rFonts w:hint="eastAsia" w:ascii="宋体" w:hAnsi="宋体" w:cs="宋体"/>
                <w:color w:val="auto"/>
                <w:szCs w:val="21"/>
                <w:highlight w:val="none"/>
              </w:rPr>
            </w:pPr>
            <w:r>
              <w:rPr>
                <w:rFonts w:hint="eastAsia" w:ascii="宋体" w:hAnsi="宋体" w:cs="宋体"/>
                <w:color w:val="auto"/>
                <w:szCs w:val="21"/>
                <w:highlight w:val="none"/>
              </w:rPr>
              <w:t>监理组织协调方法清晰较合理、措施较具体、有一定的针对性，得2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p w14:paraId="741AF07B">
            <w:pPr>
              <w:spacing w:line="240" w:lineRule="auto"/>
              <w:ind w:left="0" w:leftChars="-10" w:right="-13" w:rightChars="0" w:hanging="21" w:hangingChars="10"/>
              <w:jc w:val="left"/>
              <w:rPr>
                <w:rFonts w:hint="eastAsia" w:ascii="宋体" w:hAnsi="宋体" w:cs="宋体"/>
                <w:color w:val="auto"/>
                <w:szCs w:val="21"/>
                <w:highlight w:val="none"/>
              </w:rPr>
            </w:pPr>
            <w:r>
              <w:rPr>
                <w:rFonts w:hint="eastAsia" w:ascii="宋体" w:hAnsi="宋体" w:cs="宋体"/>
                <w:color w:val="auto"/>
                <w:szCs w:val="21"/>
                <w:highlight w:val="none"/>
              </w:rPr>
              <w:t>有监理组织协调方法、内容较差，措施一般，针对性一般，得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1FE13637">
            <w:pPr>
              <w:spacing w:line="240" w:lineRule="auto"/>
              <w:ind w:left="0" w:leftChars="-10" w:right="-13" w:rightChars="0" w:hanging="21" w:hangingChars="10"/>
              <w:jc w:val="left"/>
              <w:rPr>
                <w:rFonts w:hint="eastAsia" w:ascii="宋体" w:hAnsi="宋体" w:cs="宋体"/>
                <w:color w:val="auto"/>
                <w:szCs w:val="21"/>
                <w:highlight w:val="none"/>
              </w:rPr>
            </w:pPr>
            <w:r>
              <w:rPr>
                <w:rFonts w:hint="eastAsia" w:ascii="宋体" w:hAnsi="宋体" w:cs="宋体"/>
                <w:color w:val="auto"/>
                <w:szCs w:val="21"/>
                <w:highlight w:val="none"/>
              </w:rPr>
              <w:t>不满足以上情况或无提供措施，不得分。</w:t>
            </w:r>
          </w:p>
        </w:tc>
      </w:tr>
      <w:tr w14:paraId="59108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cantSplit/>
          <w:jc w:val="center"/>
        </w:trPr>
        <w:tc>
          <w:tcPr>
            <w:tcW w:w="1555" w:type="dxa"/>
            <w:vMerge w:val="continue"/>
            <w:tcBorders>
              <w:left w:val="single" w:color="auto" w:sz="4" w:space="0"/>
              <w:right w:val="single" w:color="auto" w:sz="4" w:space="0"/>
            </w:tcBorders>
            <w:vAlign w:val="center"/>
          </w:tcPr>
          <w:p w14:paraId="01F0DC6E">
            <w:pPr>
              <w:widowControl/>
              <w:spacing w:line="300" w:lineRule="exact"/>
              <w:jc w:val="left"/>
              <w:rPr>
                <w:rFonts w:ascii="宋体" w:hAnsi="宋体" w:cs="宋体"/>
                <w:color w:val="auto"/>
                <w:szCs w:val="21"/>
                <w:highlight w:val="none"/>
              </w:rPr>
            </w:pPr>
          </w:p>
        </w:tc>
        <w:tc>
          <w:tcPr>
            <w:tcW w:w="1134" w:type="dxa"/>
            <w:gridSpan w:val="2"/>
            <w:vMerge w:val="continue"/>
            <w:tcBorders>
              <w:left w:val="single" w:color="auto" w:sz="4" w:space="0"/>
              <w:right w:val="single" w:color="auto" w:sz="4" w:space="0"/>
            </w:tcBorders>
            <w:vAlign w:val="center"/>
          </w:tcPr>
          <w:p w14:paraId="6C82E834">
            <w:pPr>
              <w:widowControl/>
              <w:spacing w:line="300" w:lineRule="exact"/>
              <w:jc w:val="left"/>
              <w:rPr>
                <w:rFonts w:ascii="宋体" w:hAnsi="宋体" w:cs="宋体"/>
                <w:color w:val="auto"/>
                <w:szCs w:val="21"/>
                <w:highlight w:val="none"/>
              </w:rPr>
            </w:pPr>
          </w:p>
        </w:tc>
        <w:tc>
          <w:tcPr>
            <w:tcW w:w="1417" w:type="dxa"/>
            <w:tcBorders>
              <w:left w:val="single" w:color="auto" w:sz="4" w:space="0"/>
              <w:right w:val="single" w:color="auto" w:sz="4" w:space="0"/>
            </w:tcBorders>
            <w:tcMar>
              <w:top w:w="0" w:type="dxa"/>
              <w:left w:w="57" w:type="dxa"/>
              <w:bottom w:w="0" w:type="dxa"/>
              <w:right w:w="57" w:type="dxa"/>
            </w:tcMar>
            <w:vAlign w:val="center"/>
          </w:tcPr>
          <w:p w14:paraId="39EAE16C">
            <w:pPr>
              <w:spacing w:line="240" w:lineRule="auto"/>
              <w:jc w:val="left"/>
              <w:rPr>
                <w:rFonts w:ascii="宋体" w:hAnsi="宋体" w:cs="宋体"/>
                <w:color w:val="auto"/>
                <w:szCs w:val="21"/>
                <w:highlight w:val="none"/>
              </w:rPr>
            </w:pPr>
            <w:r>
              <w:rPr>
                <w:rFonts w:hint="eastAsia" w:ascii="宋体" w:hAnsi="宋体" w:cs="宋体"/>
                <w:color w:val="auto"/>
                <w:sz w:val="21"/>
                <w:szCs w:val="21"/>
                <w:highlight w:val="none"/>
              </w:rPr>
              <w:t>监理工作重点、难点分析（3分）</w:t>
            </w:r>
          </w:p>
        </w:tc>
        <w:tc>
          <w:tcPr>
            <w:tcW w:w="503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AB31D56">
            <w:pPr>
              <w:spacing w:line="240" w:lineRule="auto"/>
              <w:ind w:left="0" w:leftChars="-10" w:right="-13" w:rightChars="0" w:hanging="21" w:hangingChars="10"/>
              <w:jc w:val="left"/>
              <w:rPr>
                <w:rFonts w:hint="eastAsia" w:ascii="宋体" w:hAnsi="宋体" w:cs="宋体"/>
                <w:color w:val="auto"/>
                <w:szCs w:val="21"/>
                <w:highlight w:val="none"/>
              </w:rPr>
            </w:pPr>
            <w:r>
              <w:rPr>
                <w:rFonts w:hint="eastAsia" w:ascii="宋体" w:hAnsi="宋体" w:cs="宋体"/>
                <w:color w:val="auto"/>
                <w:szCs w:val="21"/>
                <w:highlight w:val="none"/>
              </w:rPr>
              <w:t>重点难点分析到位、有针对性，有详尽的解决措施、措施科学可行的，得3分。</w:t>
            </w:r>
          </w:p>
          <w:p w14:paraId="74E1A55A">
            <w:pPr>
              <w:spacing w:line="240" w:lineRule="auto"/>
              <w:ind w:left="0" w:leftChars="-10" w:right="-13" w:rightChars="0" w:hanging="21" w:hangingChars="10"/>
              <w:jc w:val="left"/>
              <w:rPr>
                <w:rFonts w:hint="eastAsia" w:ascii="宋体" w:hAnsi="宋体" w:cs="宋体"/>
                <w:color w:val="auto"/>
                <w:szCs w:val="21"/>
                <w:highlight w:val="none"/>
              </w:rPr>
            </w:pPr>
            <w:r>
              <w:rPr>
                <w:rFonts w:hint="eastAsia" w:ascii="宋体" w:hAnsi="宋体" w:cs="宋体"/>
                <w:color w:val="auto"/>
                <w:szCs w:val="21"/>
                <w:highlight w:val="none"/>
              </w:rPr>
              <w:t>重点难点分析一般，有针对性，有解决措施、措施可行的，得2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p w14:paraId="2E806943">
            <w:pPr>
              <w:spacing w:line="240" w:lineRule="auto"/>
              <w:ind w:left="0" w:leftChars="-10" w:right="-13" w:rightChars="0" w:hanging="21" w:hangingChars="10"/>
              <w:jc w:val="left"/>
              <w:rPr>
                <w:rFonts w:hint="eastAsia" w:ascii="宋体" w:hAnsi="宋体" w:cs="宋体"/>
                <w:color w:val="auto"/>
                <w:szCs w:val="21"/>
                <w:highlight w:val="none"/>
              </w:rPr>
            </w:pPr>
            <w:r>
              <w:rPr>
                <w:rFonts w:hint="eastAsia" w:ascii="宋体" w:hAnsi="宋体" w:cs="宋体"/>
                <w:color w:val="auto"/>
                <w:szCs w:val="21"/>
                <w:highlight w:val="none"/>
              </w:rPr>
              <w:t>重点难点分析较差，解决措施一般可行的，得</w:t>
            </w:r>
            <w:r>
              <w:rPr>
                <w:rFonts w:hint="eastAsia" w:ascii="宋体" w:hAnsi="宋体" w:cs="宋体"/>
                <w:color w:val="auto"/>
                <w:szCs w:val="21"/>
                <w:highlight w:val="none"/>
                <w:lang w:eastAsia="zh-CN"/>
              </w:rPr>
              <w:t>2</w:t>
            </w:r>
            <w:r>
              <w:rPr>
                <w:rFonts w:hint="eastAsia" w:ascii="宋体" w:hAnsi="宋体" w:cs="宋体"/>
                <w:color w:val="auto"/>
                <w:szCs w:val="21"/>
                <w:highlight w:val="none"/>
              </w:rPr>
              <w:t>分；</w:t>
            </w:r>
          </w:p>
          <w:p w14:paraId="7BE0A444">
            <w:pPr>
              <w:spacing w:line="240" w:lineRule="auto"/>
              <w:ind w:left="0" w:leftChars="-10" w:right="-13" w:rightChars="0" w:hanging="21" w:hangingChars="10"/>
              <w:jc w:val="left"/>
              <w:rPr>
                <w:rFonts w:hint="eastAsia" w:ascii="宋体" w:hAnsi="宋体" w:cs="宋体"/>
                <w:color w:val="auto"/>
                <w:szCs w:val="21"/>
                <w:highlight w:val="none"/>
              </w:rPr>
            </w:pPr>
            <w:r>
              <w:rPr>
                <w:rFonts w:hint="eastAsia" w:ascii="宋体" w:hAnsi="宋体" w:cs="宋体"/>
                <w:color w:val="auto"/>
                <w:szCs w:val="21"/>
                <w:highlight w:val="none"/>
              </w:rPr>
              <w:t>不满足以上情况或无提供措施，不得分。</w:t>
            </w:r>
          </w:p>
          <w:p w14:paraId="6F2CE753">
            <w:pPr>
              <w:spacing w:line="240" w:lineRule="auto"/>
              <w:ind w:left="0" w:leftChars="-10" w:right="-13" w:rightChars="0" w:hanging="21" w:hangingChars="10"/>
              <w:jc w:val="left"/>
              <w:rPr>
                <w:rFonts w:hint="eastAsia" w:ascii="宋体" w:hAnsi="宋体" w:cs="宋体"/>
                <w:color w:val="auto"/>
                <w:szCs w:val="21"/>
                <w:highlight w:val="none"/>
                <w:lang w:val="en-US" w:eastAsia="zh-CN"/>
              </w:rPr>
            </w:pPr>
          </w:p>
          <w:p w14:paraId="6EFFBFB6">
            <w:pPr>
              <w:spacing w:line="240" w:lineRule="auto"/>
              <w:ind w:left="0" w:leftChars="-10" w:right="-13" w:rightChars="0" w:hanging="21" w:hangingChars="10"/>
              <w:jc w:val="left"/>
              <w:rPr>
                <w:rFonts w:ascii="宋体" w:hAnsi="宋体" w:cs="宋体"/>
                <w:color w:val="auto"/>
                <w:szCs w:val="21"/>
                <w:highlight w:val="none"/>
              </w:rPr>
            </w:pPr>
            <w:r>
              <w:rPr>
                <w:rFonts w:hint="eastAsia" w:ascii="宋体" w:hAnsi="宋体" w:cs="宋体"/>
                <w:color w:val="auto"/>
                <w:szCs w:val="21"/>
                <w:highlight w:val="none"/>
                <w:lang w:val="en-US" w:eastAsia="zh-CN"/>
              </w:rPr>
              <w:t>注：</w:t>
            </w:r>
            <w:r>
              <w:rPr>
                <w:rFonts w:hint="eastAsia" w:ascii="宋体" w:hAnsi="宋体" w:cs="宋体"/>
                <w:color w:val="auto"/>
                <w:szCs w:val="21"/>
                <w:highlight w:val="none"/>
              </w:rPr>
              <w:t>本项目的重点难点为项目邻近商业区，需有环保应对措施，保障噪音、粉尘、振动不干扰正常运营，投标人在监理过程中拟采取的监控措施。对施工单位现场设备、材料的堆置安排拟采取的监控措施。</w:t>
            </w:r>
          </w:p>
        </w:tc>
      </w:tr>
      <w:tr w14:paraId="72812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cantSplit/>
          <w:jc w:val="center"/>
        </w:trPr>
        <w:tc>
          <w:tcPr>
            <w:tcW w:w="1555" w:type="dxa"/>
            <w:vMerge w:val="continue"/>
            <w:tcBorders>
              <w:left w:val="single" w:color="auto" w:sz="4" w:space="0"/>
              <w:right w:val="single" w:color="auto" w:sz="4" w:space="0"/>
            </w:tcBorders>
            <w:vAlign w:val="center"/>
          </w:tcPr>
          <w:p w14:paraId="42441151">
            <w:pPr>
              <w:widowControl/>
              <w:spacing w:line="300" w:lineRule="exact"/>
              <w:jc w:val="left"/>
              <w:rPr>
                <w:rFonts w:ascii="宋体" w:hAnsi="宋体" w:cs="宋体"/>
                <w:color w:val="auto"/>
                <w:szCs w:val="21"/>
                <w:highlight w:val="none"/>
              </w:rPr>
            </w:pPr>
          </w:p>
        </w:tc>
        <w:tc>
          <w:tcPr>
            <w:tcW w:w="1134" w:type="dxa"/>
            <w:gridSpan w:val="2"/>
            <w:vMerge w:val="continue"/>
            <w:tcBorders>
              <w:left w:val="single" w:color="auto" w:sz="4" w:space="0"/>
              <w:right w:val="single" w:color="auto" w:sz="4" w:space="0"/>
            </w:tcBorders>
            <w:vAlign w:val="center"/>
          </w:tcPr>
          <w:p w14:paraId="33975F8A">
            <w:pPr>
              <w:widowControl/>
              <w:spacing w:line="300" w:lineRule="exact"/>
              <w:jc w:val="left"/>
              <w:rPr>
                <w:rFonts w:ascii="宋体" w:hAnsi="宋体" w:cs="宋体"/>
                <w:color w:val="auto"/>
                <w:szCs w:val="21"/>
                <w:highlight w:val="none"/>
              </w:rPr>
            </w:pPr>
          </w:p>
        </w:tc>
        <w:tc>
          <w:tcPr>
            <w:tcW w:w="1417" w:type="dxa"/>
            <w:tcBorders>
              <w:left w:val="single" w:color="auto" w:sz="4" w:space="0"/>
              <w:bottom w:val="single" w:color="auto" w:sz="4" w:space="0"/>
              <w:right w:val="single" w:color="auto" w:sz="4" w:space="0"/>
            </w:tcBorders>
            <w:tcMar>
              <w:top w:w="0" w:type="dxa"/>
              <w:left w:w="57" w:type="dxa"/>
              <w:bottom w:w="0" w:type="dxa"/>
              <w:right w:w="57" w:type="dxa"/>
            </w:tcMar>
            <w:vAlign w:val="center"/>
          </w:tcPr>
          <w:p w14:paraId="65C86798">
            <w:pPr>
              <w:spacing w:line="24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工程进度款、工程结算的管理</w:t>
            </w:r>
          </w:p>
          <w:p w14:paraId="2A278ABE">
            <w:pPr>
              <w:spacing w:line="240" w:lineRule="auto"/>
              <w:jc w:val="left"/>
              <w:rPr>
                <w:rFonts w:ascii="宋体" w:hAnsi="宋体" w:cs="宋体"/>
                <w:color w:val="auto"/>
                <w:szCs w:val="21"/>
                <w:highlight w:val="none"/>
              </w:rPr>
            </w:pPr>
            <w:r>
              <w:rPr>
                <w:rFonts w:hint="eastAsia" w:ascii="宋体" w:hAnsi="宋体" w:cs="宋体"/>
                <w:color w:val="auto"/>
                <w:sz w:val="21"/>
                <w:szCs w:val="21"/>
                <w:highlight w:val="none"/>
              </w:rPr>
              <w:t>（2分）</w:t>
            </w:r>
          </w:p>
        </w:tc>
        <w:tc>
          <w:tcPr>
            <w:tcW w:w="503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5C5690D">
            <w:pPr>
              <w:spacing w:line="240" w:lineRule="auto"/>
              <w:ind w:left="0" w:leftChars="-10" w:right="-13" w:rightChars="0" w:hanging="21" w:hangingChars="10"/>
              <w:jc w:val="left"/>
              <w:rPr>
                <w:rFonts w:hint="eastAsia" w:ascii="宋体" w:hAnsi="宋体" w:cs="宋体"/>
                <w:color w:val="auto"/>
                <w:szCs w:val="21"/>
                <w:highlight w:val="none"/>
              </w:rPr>
            </w:pPr>
            <w:r>
              <w:rPr>
                <w:rFonts w:hint="eastAsia" w:ascii="宋体" w:hAnsi="宋体" w:cs="宋体"/>
                <w:color w:val="auto"/>
                <w:szCs w:val="21"/>
                <w:highlight w:val="none"/>
              </w:rPr>
              <w:t>工程进度款、工程结算管理方法合理有效、有具体管理措施，得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17A483C1">
            <w:pPr>
              <w:spacing w:line="240" w:lineRule="auto"/>
              <w:ind w:left="0" w:leftChars="-10" w:right="-13" w:rightChars="0" w:hanging="21" w:hangingChars="10"/>
              <w:jc w:val="left"/>
              <w:rPr>
                <w:rFonts w:hint="eastAsia" w:ascii="宋体" w:hAnsi="宋体" w:cs="宋体"/>
                <w:color w:val="auto"/>
                <w:szCs w:val="21"/>
                <w:highlight w:val="none"/>
              </w:rPr>
            </w:pPr>
            <w:r>
              <w:rPr>
                <w:rFonts w:hint="eastAsia" w:ascii="宋体" w:hAnsi="宋体" w:cs="宋体"/>
                <w:color w:val="auto"/>
                <w:szCs w:val="21"/>
                <w:highlight w:val="none"/>
              </w:rPr>
              <w:t>工程进度款、工程结算管理方法</w:t>
            </w:r>
            <w:r>
              <w:rPr>
                <w:rFonts w:hint="eastAsia" w:ascii="宋体" w:hAnsi="宋体" w:cs="宋体"/>
                <w:color w:val="auto"/>
                <w:szCs w:val="21"/>
                <w:highlight w:val="none"/>
                <w:lang w:val="en-US" w:eastAsia="zh-CN"/>
              </w:rPr>
              <w:t>较合理</w:t>
            </w:r>
            <w:r>
              <w:rPr>
                <w:rFonts w:hint="eastAsia" w:ascii="宋体" w:hAnsi="宋体" w:cs="宋体"/>
                <w:color w:val="auto"/>
                <w:szCs w:val="21"/>
                <w:highlight w:val="none"/>
              </w:rPr>
              <w:t>、管理措施较具体，得</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分；</w:t>
            </w:r>
          </w:p>
          <w:p w14:paraId="26189245">
            <w:pPr>
              <w:spacing w:line="240" w:lineRule="auto"/>
              <w:ind w:left="0" w:leftChars="-10" w:right="-13" w:rightChars="0" w:hanging="21" w:hangingChars="10"/>
              <w:jc w:val="left"/>
              <w:rPr>
                <w:rFonts w:hint="eastAsia" w:ascii="宋体" w:hAnsi="宋体" w:cs="宋体"/>
                <w:color w:val="auto"/>
                <w:szCs w:val="21"/>
                <w:highlight w:val="none"/>
              </w:rPr>
            </w:pPr>
            <w:r>
              <w:rPr>
                <w:rFonts w:hint="eastAsia" w:ascii="宋体" w:hAnsi="宋体" w:cs="宋体"/>
                <w:color w:val="auto"/>
                <w:szCs w:val="21"/>
                <w:highlight w:val="none"/>
              </w:rPr>
              <w:t>有工程进度款、工程结算管理方法较差、管理措施一般，得1分；</w:t>
            </w:r>
          </w:p>
          <w:p w14:paraId="4C6568EC">
            <w:pPr>
              <w:spacing w:line="240" w:lineRule="auto"/>
              <w:ind w:left="0" w:leftChars="-10" w:right="-13" w:rightChars="0" w:hanging="21" w:hangingChars="10"/>
              <w:jc w:val="left"/>
              <w:rPr>
                <w:rFonts w:ascii="宋体" w:hAnsi="宋体" w:cs="宋体"/>
                <w:color w:val="auto"/>
                <w:szCs w:val="21"/>
                <w:highlight w:val="none"/>
              </w:rPr>
            </w:pPr>
            <w:r>
              <w:rPr>
                <w:rFonts w:hint="eastAsia" w:ascii="宋体" w:hAnsi="宋体" w:cs="宋体"/>
                <w:color w:val="auto"/>
                <w:szCs w:val="21"/>
                <w:highlight w:val="none"/>
              </w:rPr>
              <w:t>不满足以上情况或无提供措施，不得分。</w:t>
            </w:r>
          </w:p>
        </w:tc>
      </w:tr>
      <w:tr w14:paraId="25F07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cantSplit/>
          <w:trHeight w:val="1320" w:hRule="atLeast"/>
          <w:jc w:val="center"/>
        </w:trPr>
        <w:tc>
          <w:tcPr>
            <w:tcW w:w="1555" w:type="dxa"/>
            <w:vMerge w:val="continue"/>
            <w:tcBorders>
              <w:left w:val="single" w:color="auto" w:sz="4" w:space="0"/>
              <w:right w:val="single" w:color="auto" w:sz="4" w:space="0"/>
            </w:tcBorders>
            <w:vAlign w:val="center"/>
          </w:tcPr>
          <w:p w14:paraId="28DA331A">
            <w:pPr>
              <w:widowControl/>
              <w:spacing w:line="300" w:lineRule="exact"/>
              <w:jc w:val="left"/>
              <w:rPr>
                <w:rFonts w:ascii="宋体" w:hAnsi="宋体" w:cs="宋体"/>
                <w:color w:val="auto"/>
                <w:szCs w:val="21"/>
                <w:highlight w:val="none"/>
              </w:rPr>
            </w:pPr>
          </w:p>
        </w:tc>
        <w:tc>
          <w:tcPr>
            <w:tcW w:w="1134" w:type="dxa"/>
            <w:gridSpan w:val="2"/>
            <w:vMerge w:val="continue"/>
            <w:tcBorders>
              <w:left w:val="single" w:color="auto" w:sz="4" w:space="0"/>
              <w:right w:val="single" w:color="auto" w:sz="4" w:space="0"/>
            </w:tcBorders>
            <w:vAlign w:val="center"/>
          </w:tcPr>
          <w:p w14:paraId="72B85E69">
            <w:pPr>
              <w:widowControl/>
              <w:spacing w:line="300" w:lineRule="exact"/>
              <w:jc w:val="left"/>
              <w:rPr>
                <w:rFonts w:ascii="宋体" w:hAnsi="宋体" w:cs="宋体"/>
                <w:color w:val="auto"/>
                <w:szCs w:val="21"/>
                <w:highlight w:val="none"/>
              </w:rPr>
            </w:pPr>
          </w:p>
        </w:tc>
        <w:tc>
          <w:tcPr>
            <w:tcW w:w="1417" w:type="dxa"/>
            <w:tcBorders>
              <w:left w:val="single" w:color="auto" w:sz="4" w:space="0"/>
              <w:bottom w:val="single" w:color="auto" w:sz="4" w:space="0"/>
              <w:right w:val="single" w:color="auto" w:sz="4" w:space="0"/>
            </w:tcBorders>
            <w:tcMar>
              <w:top w:w="0" w:type="dxa"/>
              <w:left w:w="57" w:type="dxa"/>
              <w:bottom w:w="0" w:type="dxa"/>
              <w:right w:w="57" w:type="dxa"/>
            </w:tcMar>
            <w:vAlign w:val="center"/>
          </w:tcPr>
          <w:p w14:paraId="19BBEFCD">
            <w:pPr>
              <w:spacing w:line="24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会议制度</w:t>
            </w:r>
          </w:p>
          <w:p w14:paraId="23ECA4B9">
            <w:pPr>
              <w:spacing w:line="240" w:lineRule="auto"/>
              <w:jc w:val="left"/>
              <w:rPr>
                <w:rFonts w:ascii="宋体" w:hAnsi="宋体" w:cs="宋体"/>
                <w:color w:val="auto"/>
                <w:szCs w:val="21"/>
                <w:highlight w:val="none"/>
              </w:rPr>
            </w:pPr>
            <w:r>
              <w:rPr>
                <w:rFonts w:hint="eastAsia" w:ascii="宋体" w:hAnsi="宋体" w:cs="宋体"/>
                <w:color w:val="auto"/>
                <w:sz w:val="21"/>
                <w:szCs w:val="21"/>
                <w:highlight w:val="none"/>
              </w:rPr>
              <w:t>（2分）</w:t>
            </w:r>
          </w:p>
        </w:tc>
        <w:tc>
          <w:tcPr>
            <w:tcW w:w="503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4B37242">
            <w:pPr>
              <w:spacing w:line="240" w:lineRule="auto"/>
              <w:ind w:left="0" w:leftChars="-10" w:right="-13" w:rightChars="0" w:hanging="21" w:hangingChars="10"/>
              <w:jc w:val="left"/>
              <w:rPr>
                <w:rFonts w:hint="eastAsia" w:ascii="宋体" w:hAnsi="宋体" w:cs="宋体"/>
                <w:color w:val="auto"/>
                <w:szCs w:val="21"/>
                <w:highlight w:val="none"/>
              </w:rPr>
            </w:pPr>
            <w:r>
              <w:rPr>
                <w:rFonts w:hint="eastAsia" w:ascii="宋体" w:hAnsi="宋体" w:cs="宋体"/>
                <w:color w:val="auto"/>
                <w:szCs w:val="21"/>
                <w:highlight w:val="none"/>
              </w:rPr>
              <w:t>建立完善的工地会议制度、制度科学合理，得2分；</w:t>
            </w:r>
          </w:p>
          <w:p w14:paraId="1CA8D839">
            <w:pPr>
              <w:spacing w:line="240" w:lineRule="auto"/>
              <w:ind w:left="0" w:leftChars="-10" w:right="-13" w:rightChars="0" w:hanging="21" w:hangingChars="10"/>
              <w:jc w:val="left"/>
              <w:rPr>
                <w:rFonts w:hint="eastAsia" w:ascii="宋体" w:hAnsi="宋体" w:cs="宋体"/>
                <w:color w:val="auto"/>
                <w:szCs w:val="21"/>
                <w:highlight w:val="none"/>
              </w:rPr>
            </w:pPr>
            <w:r>
              <w:rPr>
                <w:rFonts w:hint="eastAsia" w:ascii="宋体" w:hAnsi="宋体" w:cs="宋体"/>
                <w:color w:val="auto"/>
                <w:szCs w:val="21"/>
                <w:highlight w:val="none"/>
              </w:rPr>
              <w:t>建立较完善的工地会议制度、制度合理，得1分；</w:t>
            </w:r>
          </w:p>
          <w:p w14:paraId="15070E6E">
            <w:pPr>
              <w:spacing w:line="240" w:lineRule="auto"/>
              <w:ind w:left="0" w:leftChars="-10" w:right="-13" w:rightChars="0" w:hanging="21" w:hangingChars="10"/>
              <w:jc w:val="left"/>
              <w:rPr>
                <w:rFonts w:hint="eastAsia" w:ascii="宋体" w:hAnsi="宋体" w:cs="宋体"/>
                <w:color w:val="auto"/>
                <w:szCs w:val="21"/>
                <w:highlight w:val="none"/>
              </w:rPr>
            </w:pPr>
            <w:r>
              <w:rPr>
                <w:rFonts w:hint="eastAsia" w:ascii="宋体" w:hAnsi="宋体" w:cs="宋体"/>
                <w:color w:val="auto"/>
                <w:szCs w:val="21"/>
                <w:highlight w:val="none"/>
              </w:rPr>
              <w:t>有建立工地会议制度、制度基本合理，得0.5分；</w:t>
            </w:r>
          </w:p>
          <w:p w14:paraId="44F0FB9D">
            <w:pPr>
              <w:spacing w:line="240" w:lineRule="auto"/>
              <w:ind w:left="0" w:leftChars="-10" w:right="-13" w:rightChars="0" w:hanging="21" w:hangingChars="1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不满足以上情况或无提供会议制度，不得分</w:t>
            </w:r>
            <w:r>
              <w:rPr>
                <w:rFonts w:hint="eastAsia" w:ascii="宋体" w:hAnsi="宋体" w:cs="宋体"/>
                <w:color w:val="auto"/>
                <w:sz w:val="21"/>
                <w:szCs w:val="21"/>
                <w:highlight w:val="none"/>
                <w:lang w:eastAsia="zh-CN"/>
              </w:rPr>
              <w:t>。</w:t>
            </w:r>
          </w:p>
        </w:tc>
      </w:tr>
      <w:tr w14:paraId="26A95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cantSplit/>
          <w:jc w:val="center"/>
        </w:trPr>
        <w:tc>
          <w:tcPr>
            <w:tcW w:w="1555" w:type="dxa"/>
            <w:vMerge w:val="continue"/>
            <w:tcBorders>
              <w:left w:val="single" w:color="auto" w:sz="4" w:space="0"/>
              <w:bottom w:val="single" w:color="auto" w:sz="4" w:space="0"/>
              <w:right w:val="single" w:color="auto" w:sz="4" w:space="0"/>
            </w:tcBorders>
            <w:vAlign w:val="center"/>
          </w:tcPr>
          <w:p w14:paraId="0DDB5143">
            <w:pPr>
              <w:widowControl/>
              <w:spacing w:line="300" w:lineRule="exact"/>
              <w:jc w:val="left"/>
              <w:rPr>
                <w:rFonts w:ascii="宋体" w:hAnsi="宋体" w:cs="宋体"/>
                <w:color w:val="auto"/>
                <w:szCs w:val="21"/>
                <w:highlight w:val="none"/>
              </w:rPr>
            </w:pPr>
          </w:p>
        </w:tc>
        <w:tc>
          <w:tcPr>
            <w:tcW w:w="1134" w:type="dxa"/>
            <w:gridSpan w:val="2"/>
            <w:vMerge w:val="continue"/>
            <w:tcBorders>
              <w:left w:val="single" w:color="auto" w:sz="4" w:space="0"/>
              <w:bottom w:val="single" w:color="auto" w:sz="4" w:space="0"/>
              <w:right w:val="single" w:color="auto" w:sz="4" w:space="0"/>
            </w:tcBorders>
            <w:vAlign w:val="center"/>
          </w:tcPr>
          <w:p w14:paraId="28169D8A">
            <w:pPr>
              <w:widowControl/>
              <w:spacing w:line="300" w:lineRule="exact"/>
              <w:jc w:val="left"/>
              <w:rPr>
                <w:rFonts w:ascii="宋体" w:hAnsi="宋体" w:cs="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727C0BA">
            <w:pPr>
              <w:spacing w:line="240" w:lineRule="auto"/>
              <w:jc w:val="left"/>
              <w:rPr>
                <w:rFonts w:ascii="宋体" w:hAnsi="宋体" w:cs="宋体"/>
                <w:color w:val="auto"/>
                <w:szCs w:val="21"/>
                <w:highlight w:val="none"/>
              </w:rPr>
            </w:pPr>
            <w:r>
              <w:rPr>
                <w:rFonts w:hint="eastAsia" w:ascii="宋体" w:hAnsi="宋体" w:cs="宋体"/>
                <w:color w:val="auto"/>
                <w:szCs w:val="21"/>
                <w:highlight w:val="none"/>
              </w:rPr>
              <w:t>合理化建议（</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tc>
        <w:tc>
          <w:tcPr>
            <w:tcW w:w="503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3CA24ED">
            <w:pPr>
              <w:spacing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合理化建议科学、合理，有管理方面及保证安全、质量等方面的建议，得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2F923630">
            <w:pPr>
              <w:spacing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合理化建议基本合理，有一定的管理方面及保证安全、质量等方面的建议，得2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p w14:paraId="074DAE19">
            <w:pPr>
              <w:spacing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合理化建议较差，管理方面及保证安全、质量等方面建议非常笼统，得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4A6FAD56">
            <w:pPr>
              <w:spacing w:line="240" w:lineRule="auto"/>
              <w:jc w:val="left"/>
              <w:rPr>
                <w:rFonts w:ascii="宋体" w:hAnsi="宋体" w:cs="宋体"/>
                <w:color w:val="auto"/>
                <w:szCs w:val="21"/>
                <w:highlight w:val="none"/>
              </w:rPr>
            </w:pPr>
            <w:r>
              <w:rPr>
                <w:rFonts w:hint="eastAsia" w:ascii="宋体" w:hAnsi="宋体" w:cs="宋体"/>
                <w:color w:val="auto"/>
                <w:szCs w:val="21"/>
                <w:highlight w:val="none"/>
              </w:rPr>
              <w:t>不满足以上情况或无提供措施，不得分。</w:t>
            </w:r>
          </w:p>
        </w:tc>
      </w:tr>
      <w:tr w14:paraId="3809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jc w:val="center"/>
        </w:trPr>
        <w:tc>
          <w:tcPr>
            <w:tcW w:w="1555" w:type="dxa"/>
            <w:tcBorders>
              <w:top w:val="single" w:color="auto" w:sz="4" w:space="0"/>
              <w:left w:val="single" w:color="auto" w:sz="4" w:space="0"/>
              <w:bottom w:val="single" w:color="auto" w:sz="4" w:space="0"/>
              <w:right w:val="single" w:color="auto" w:sz="4" w:space="0"/>
            </w:tcBorders>
            <w:vAlign w:val="center"/>
          </w:tcPr>
          <w:p w14:paraId="53A793BD">
            <w:pPr>
              <w:spacing w:line="300" w:lineRule="exact"/>
              <w:jc w:val="center"/>
              <w:rPr>
                <w:rFonts w:ascii="宋体" w:hAnsi="宋体" w:cs="宋体"/>
                <w:color w:val="auto"/>
                <w:szCs w:val="21"/>
                <w:highlight w:val="none"/>
              </w:rPr>
            </w:pPr>
            <w:r>
              <w:rPr>
                <w:rFonts w:ascii="宋体" w:hAnsi="宋体" w:cs="宋体"/>
                <w:color w:val="auto"/>
                <w:szCs w:val="21"/>
                <w:highlight w:val="none"/>
              </w:rPr>
              <w:t>2.2.4(3)</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3B702026">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投标报价评分标准（20分）</w:t>
            </w:r>
          </w:p>
        </w:tc>
        <w:tc>
          <w:tcPr>
            <w:tcW w:w="6456" w:type="dxa"/>
            <w:gridSpan w:val="2"/>
            <w:tcBorders>
              <w:top w:val="single" w:color="auto" w:sz="4" w:space="0"/>
              <w:left w:val="single" w:color="auto" w:sz="4" w:space="0"/>
              <w:bottom w:val="single" w:color="auto" w:sz="4" w:space="0"/>
              <w:right w:val="single" w:color="auto" w:sz="4" w:space="0"/>
            </w:tcBorders>
            <w:vAlign w:val="center"/>
          </w:tcPr>
          <w:p w14:paraId="2E61631B">
            <w:pPr>
              <w:spacing w:line="300" w:lineRule="exact"/>
              <w:jc w:val="left"/>
              <w:rPr>
                <w:rFonts w:ascii="宋体" w:hAnsi="宋体" w:cs="宋体"/>
                <w:color w:val="auto"/>
                <w:szCs w:val="21"/>
                <w:highlight w:val="none"/>
              </w:rPr>
            </w:pPr>
            <w:r>
              <w:rPr>
                <w:rFonts w:hint="eastAsia" w:ascii="宋体" w:hAnsi="宋体" w:cs="宋体"/>
                <w:color w:val="auto"/>
                <w:szCs w:val="21"/>
                <w:highlight w:val="none"/>
              </w:rPr>
              <w:t>以评标基准价作为计算各有效投标价得分的基础，当有效投标报价等于评标参考价时得20</w:t>
            </w:r>
            <w:r>
              <w:rPr>
                <w:rFonts w:ascii="宋体" w:hAnsi="宋体" w:cs="宋体"/>
                <w:color w:val="auto"/>
                <w:szCs w:val="21"/>
                <w:highlight w:val="none"/>
              </w:rPr>
              <w:t>分，投标报价每高于评标参考价1%，扣</w:t>
            </w:r>
            <w:r>
              <w:rPr>
                <w:rFonts w:hint="eastAsia" w:ascii="宋体" w:hAnsi="宋体" w:cs="宋体"/>
                <w:color w:val="auto"/>
                <w:szCs w:val="21"/>
                <w:highlight w:val="none"/>
                <w:u w:val="single"/>
              </w:rPr>
              <w:t>1.0</w:t>
            </w:r>
            <w:r>
              <w:rPr>
                <w:rFonts w:hint="eastAsia" w:ascii="宋体" w:hAnsi="宋体" w:cs="宋体"/>
                <w:color w:val="auto"/>
                <w:szCs w:val="21"/>
                <w:highlight w:val="none"/>
              </w:rPr>
              <w:t>分，每低于评标参考价</w:t>
            </w:r>
            <w:r>
              <w:rPr>
                <w:rFonts w:ascii="宋体" w:hAnsi="宋体" w:cs="宋体"/>
                <w:color w:val="auto"/>
                <w:szCs w:val="21"/>
                <w:highlight w:val="none"/>
              </w:rPr>
              <w:t>1%，扣</w:t>
            </w:r>
            <w:r>
              <w:rPr>
                <w:rFonts w:ascii="宋体" w:hAnsi="宋体" w:cs="宋体"/>
                <w:color w:val="auto"/>
                <w:szCs w:val="21"/>
                <w:highlight w:val="none"/>
                <w:u w:val="single"/>
              </w:rPr>
              <w:t>0.</w:t>
            </w:r>
            <w:r>
              <w:rPr>
                <w:rFonts w:hint="eastAsia" w:ascii="宋体" w:hAnsi="宋体" w:cs="宋体"/>
                <w:color w:val="auto"/>
                <w:szCs w:val="21"/>
                <w:highlight w:val="none"/>
                <w:u w:val="single"/>
              </w:rPr>
              <w:t>5</w:t>
            </w:r>
            <w:r>
              <w:rPr>
                <w:rFonts w:hint="eastAsia" w:ascii="宋体" w:hAnsi="宋体" w:cs="宋体"/>
                <w:color w:val="auto"/>
                <w:szCs w:val="21"/>
                <w:highlight w:val="none"/>
              </w:rPr>
              <w:t>分，最多扣20分（评分如出现小数点，则保留小数点后两位，第三位四舍五入）。</w:t>
            </w:r>
          </w:p>
        </w:tc>
      </w:tr>
      <w:tr w14:paraId="6ACAB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1280"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2B373C3C">
            <w:pPr>
              <w:spacing w:line="300" w:lineRule="exact"/>
              <w:rPr>
                <w:rFonts w:ascii="宋体" w:hAnsi="宋体" w:cs="宋体"/>
                <w:color w:val="auto"/>
                <w:szCs w:val="21"/>
                <w:highlight w:val="none"/>
              </w:rPr>
            </w:pPr>
            <w:r>
              <w:rPr>
                <w:rFonts w:ascii="宋体" w:hAnsi="宋体" w:cs="宋体"/>
                <w:color w:val="auto"/>
                <w:szCs w:val="21"/>
                <w:highlight w:val="none"/>
              </w:rPr>
              <w:t>2.2.4(4)</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6F56F375">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其他因素评分标准</w:t>
            </w:r>
          </w:p>
        </w:tc>
        <w:tc>
          <w:tcPr>
            <w:tcW w:w="6456" w:type="dxa"/>
            <w:gridSpan w:val="2"/>
            <w:tcBorders>
              <w:top w:val="single" w:color="auto" w:sz="4" w:space="0"/>
              <w:left w:val="single" w:color="auto" w:sz="4" w:space="0"/>
              <w:bottom w:val="single" w:color="auto" w:sz="4" w:space="0"/>
              <w:right w:val="single" w:color="auto" w:sz="4" w:space="0"/>
            </w:tcBorders>
            <w:vAlign w:val="center"/>
          </w:tcPr>
          <w:p w14:paraId="11C721D8">
            <w:pPr>
              <w:spacing w:line="300" w:lineRule="exact"/>
              <w:jc w:val="left"/>
              <w:rPr>
                <w:rFonts w:ascii="宋体" w:hAnsi="宋体" w:cs="宋体"/>
                <w:color w:val="auto"/>
                <w:szCs w:val="21"/>
                <w:highlight w:val="none"/>
                <w:u w:val="single"/>
              </w:rPr>
            </w:pPr>
            <w:r>
              <w:rPr>
                <w:rFonts w:ascii="宋体" w:hAnsi="宋体" w:cs="宋体"/>
                <w:color w:val="auto"/>
                <w:szCs w:val="21"/>
                <w:highlight w:val="none"/>
                <w:u w:val="single"/>
              </w:rPr>
              <w:t>本项目不适用</w:t>
            </w:r>
          </w:p>
        </w:tc>
      </w:tr>
      <w:bookmarkEnd w:id="154"/>
    </w:tbl>
    <w:p w14:paraId="768F23BA">
      <w:pPr>
        <w:spacing w:line="440" w:lineRule="exact"/>
        <w:rPr>
          <w:color w:val="auto"/>
          <w:highlight w:val="none"/>
        </w:rPr>
      </w:pPr>
      <w:r>
        <w:rPr>
          <w:rFonts w:hint="eastAsia"/>
          <w:color w:val="auto"/>
          <w:highlight w:val="none"/>
        </w:rPr>
        <w:t>说明：</w:t>
      </w:r>
    </w:p>
    <w:p w14:paraId="3512D592">
      <w:pPr>
        <w:pStyle w:val="11"/>
        <w:spacing w:line="440" w:lineRule="exact"/>
        <w:ind w:firstLine="420" w:firstLineChars="200"/>
        <w:rPr>
          <w:color w:val="auto"/>
          <w:highlight w:val="none"/>
        </w:rPr>
      </w:pPr>
      <w:r>
        <w:rPr>
          <w:rFonts w:hint="eastAsia"/>
          <w:color w:val="auto"/>
          <w:highlight w:val="none"/>
        </w:rPr>
        <w:t>（1）企业监理业绩：需同时提供中标通知书或免招标的相关证明、监理合同、竣工验收报告或竣工验收证明或完工证明文件</w:t>
      </w:r>
      <w:r>
        <w:rPr>
          <w:rFonts w:hint="eastAsia"/>
          <w:color w:val="auto"/>
          <w:highlight w:val="none"/>
          <w:lang w:eastAsia="zh-CN"/>
        </w:rPr>
        <w:t>。</w:t>
      </w:r>
      <w:r>
        <w:rPr>
          <w:rFonts w:hint="eastAsia"/>
          <w:color w:val="auto"/>
          <w:highlight w:val="none"/>
        </w:rPr>
        <w:t>业绩</w:t>
      </w:r>
      <w:r>
        <w:rPr>
          <w:rFonts w:hint="eastAsia"/>
          <w:color w:val="auto"/>
          <w:highlight w:val="none"/>
          <w:lang w:val="en-US" w:eastAsia="zh-CN"/>
        </w:rPr>
        <w:t>规模</w:t>
      </w:r>
      <w:r>
        <w:rPr>
          <w:rFonts w:hint="eastAsia"/>
          <w:color w:val="auto"/>
          <w:highlight w:val="none"/>
        </w:rPr>
        <w:t>以监理合同</w:t>
      </w:r>
      <w:r>
        <w:rPr>
          <w:rFonts w:hint="eastAsia"/>
          <w:color w:val="auto"/>
          <w:highlight w:val="none"/>
          <w:lang w:val="en-US" w:eastAsia="zh-CN"/>
        </w:rPr>
        <w:t>概况描述为准，如以上资料无法体现</w:t>
      </w:r>
      <w:r>
        <w:rPr>
          <w:rFonts w:hint="eastAsia"/>
          <w:color w:val="auto"/>
          <w:highlight w:val="none"/>
        </w:rPr>
        <w:t>须业绩</w:t>
      </w:r>
      <w:r>
        <w:rPr>
          <w:rFonts w:hint="eastAsia"/>
          <w:color w:val="auto"/>
          <w:highlight w:val="none"/>
          <w:lang w:val="en-US" w:eastAsia="zh-CN"/>
        </w:rPr>
        <w:t>规模</w:t>
      </w:r>
      <w:r>
        <w:rPr>
          <w:rFonts w:hint="eastAsia"/>
          <w:color w:val="auto"/>
          <w:highlight w:val="none"/>
        </w:rPr>
        <w:t>的</w:t>
      </w:r>
      <w:r>
        <w:rPr>
          <w:rFonts w:hint="eastAsia"/>
          <w:color w:val="auto"/>
          <w:highlight w:val="none"/>
          <w:lang w:eastAsia="zh-CN"/>
        </w:rPr>
        <w:t>，</w:t>
      </w:r>
      <w:r>
        <w:rPr>
          <w:rFonts w:hint="eastAsia"/>
          <w:color w:val="auto"/>
          <w:highlight w:val="none"/>
          <w:lang w:val="en-US" w:eastAsia="zh-CN"/>
        </w:rPr>
        <w:t>须</w:t>
      </w:r>
      <w:r>
        <w:rPr>
          <w:rFonts w:hint="eastAsia"/>
          <w:color w:val="auto"/>
          <w:highlight w:val="none"/>
        </w:rPr>
        <w:t>提供能体现业绩</w:t>
      </w:r>
      <w:r>
        <w:rPr>
          <w:rFonts w:hint="eastAsia"/>
          <w:color w:val="auto"/>
          <w:highlight w:val="none"/>
          <w:lang w:val="en-US" w:eastAsia="zh-CN"/>
        </w:rPr>
        <w:t>规模的其他</w:t>
      </w:r>
      <w:r>
        <w:rPr>
          <w:rFonts w:hint="eastAsia"/>
          <w:color w:val="auto"/>
          <w:highlight w:val="none"/>
        </w:rPr>
        <w:t>证明文件。业绩认定时间以竣工验收报告或竣工验收证明或完工证明文件上注明的时间为准。竣工验收报告或竣工验收证明至少具有建设、设计、监理和施工单位盖章。</w:t>
      </w:r>
    </w:p>
    <w:p w14:paraId="13050196">
      <w:pPr>
        <w:pStyle w:val="11"/>
        <w:spacing w:line="440" w:lineRule="exact"/>
        <w:ind w:firstLine="420" w:firstLineChars="200"/>
        <w:rPr>
          <w:rFonts w:hint="eastAsia" w:ascii="Times New Roman" w:hAnsi="Times New Roman"/>
          <w:color w:val="auto"/>
          <w:szCs w:val="20"/>
          <w:highlight w:val="none"/>
        </w:rPr>
      </w:pPr>
      <w:r>
        <w:rPr>
          <w:rFonts w:hint="eastAsia"/>
          <w:color w:val="auto"/>
          <w:highlight w:val="none"/>
        </w:rPr>
        <w:t>（2）企业获奖：国家级工程质量奖指鲁班奖、中国土木工程詹天佑奖、国家优质工程金质奖、国家优质工程奖；省级或市级（含副省级）工程质量奖项指省级或市级</w:t>
      </w:r>
      <w:bookmarkStart w:id="155" w:name="OLE_LINK1"/>
      <w:r>
        <w:rPr>
          <w:rFonts w:hint="eastAsia"/>
          <w:color w:val="auto"/>
          <w:highlight w:val="none"/>
        </w:rPr>
        <w:t>（含副省级）</w:t>
      </w:r>
      <w:bookmarkEnd w:id="155"/>
      <w:r>
        <w:rPr>
          <w:rFonts w:hint="eastAsia"/>
          <w:color w:val="auto"/>
          <w:highlight w:val="none"/>
        </w:rPr>
        <w:t>主管部门或行业协会颁发的工程质量奖，其中行业协会须在民政部门备案。需提供获奖证书扫描件，时间以获奖证书注明的时间为准。</w:t>
      </w:r>
      <w:r>
        <w:rPr>
          <w:rFonts w:hint="eastAsia" w:ascii="Times New Roman" w:hAnsi="Times New Roman"/>
          <w:color w:val="auto"/>
          <w:szCs w:val="20"/>
          <w:highlight w:val="none"/>
        </w:rPr>
        <w:t>同一项目获得多个奖项的，只计算其符合要求的最高奖项得分，不重复计分。</w:t>
      </w:r>
    </w:p>
    <w:p w14:paraId="3864EE6C">
      <w:pPr>
        <w:pStyle w:val="11"/>
        <w:spacing w:line="440" w:lineRule="exact"/>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rPr>
        <w:t>）高新技术企业证书：须提供科技部门、财政部门和税务局联合颁发的“高新技术企业”证书扫描件。</w:t>
      </w:r>
    </w:p>
    <w:p w14:paraId="6FB19EDC">
      <w:pPr>
        <w:pStyle w:val="11"/>
        <w:spacing w:line="440" w:lineRule="exact"/>
        <w:ind w:firstLine="420" w:firstLineChars="200"/>
        <w:rPr>
          <w:color w:val="auto"/>
          <w:highlight w:val="none"/>
        </w:rPr>
      </w:pP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4</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科学技术进步奖或科学技术奖项：须提供获奖证书扫描件，时间以证书中载明的发证时间为准。发证机构须为政府部门或在国家科学技术奖励工作办公室相关网站(http://www.nosta.gov.cn/web/detail1.aspx?menuID=174&amp;contentID=2863）或省级科技行政部门相关网站可查询到的社会组织或按照《国家科学技术奖励条例》及《科技部关于进一步鼓励和规范社会力量设立科学技术奖的指导意见》的相关规定设立“科学技术奖”的中国社会组织 ；②中国社会组织（如协会、学会等）需提供其在国家或省级科技行政部门网页查询信息页截图及查询路径或提供发证机构符合科技行政部门要求具有设奖资格等相关证明材料，同时须提供其在“中国社会组织公共服务平台”网站查询结果的网页打印页；社会组织颁发的科技奖项无法提供发证单位在上述相关网页查询信息页截图及查询路径或提供其设奖资格证明材料的不得分。同一科学技术进步奖或科学技术奖获得不同级别奖项的按最高级别只计一次得分。</w:t>
      </w:r>
    </w:p>
    <w:p w14:paraId="37755D9D">
      <w:pPr>
        <w:spacing w:line="440" w:lineRule="exact"/>
        <w:ind w:firstLine="420" w:firstLineChars="200"/>
        <w:rPr>
          <w:rFonts w:ascii="宋体" w:hAnsi="宋体" w:cs="宋体"/>
          <w:color w:val="auto"/>
          <w:szCs w:val="21"/>
          <w:highlight w:val="none"/>
        </w:rPr>
      </w:pPr>
      <w:r>
        <w:rPr>
          <w:rFonts w:hint="eastAsia"/>
          <w:color w:val="auto"/>
          <w:highlight w:val="none"/>
        </w:rPr>
        <w:t>（</w:t>
      </w:r>
      <w:r>
        <w:rPr>
          <w:rFonts w:hint="eastAsia"/>
          <w:color w:val="auto"/>
          <w:highlight w:val="none"/>
          <w:lang w:val="en-US" w:eastAsia="zh-CN"/>
        </w:rPr>
        <w:t>5</w:t>
      </w:r>
      <w:r>
        <w:rPr>
          <w:rFonts w:hint="eastAsia"/>
          <w:color w:val="auto"/>
          <w:highlight w:val="none"/>
        </w:rPr>
        <w:t>）投标人拟投入人员须</w:t>
      </w:r>
      <w:r>
        <w:rPr>
          <w:rFonts w:hint="eastAsia"/>
          <w:color w:val="auto"/>
          <w:highlight w:val="none"/>
          <w:lang w:val="en-US" w:eastAsia="zh-CN"/>
        </w:rPr>
        <w:t>按评审要求提供</w:t>
      </w:r>
      <w:r>
        <w:rPr>
          <w:rFonts w:hint="eastAsia"/>
          <w:color w:val="auto"/>
          <w:highlight w:val="none"/>
        </w:rPr>
        <w:t xml:space="preserve">相关证书等证明材料及在本单位离投标截止时间前最近一个月的社保缴纳证明材料（即 </w:t>
      </w:r>
      <w:r>
        <w:rPr>
          <w:rFonts w:hint="eastAsia"/>
          <w:color w:val="auto"/>
          <w:highlight w:val="none"/>
          <w:lang w:eastAsia="zh-CN"/>
        </w:rPr>
        <w:t>2025</w:t>
      </w:r>
      <w:r>
        <w:rPr>
          <w:rFonts w:hint="eastAsia"/>
          <w:color w:val="auto"/>
          <w:highlight w:val="none"/>
        </w:rPr>
        <w:t>年</w:t>
      </w:r>
      <w:r>
        <w:rPr>
          <w:rFonts w:hint="eastAsia"/>
          <w:color w:val="auto"/>
          <w:highlight w:val="none"/>
          <w:lang w:val="en-US" w:eastAsia="zh-CN"/>
        </w:rPr>
        <w:t>8</w:t>
      </w:r>
      <w:r>
        <w:rPr>
          <w:rFonts w:hint="eastAsia"/>
          <w:color w:val="auto"/>
          <w:highlight w:val="none"/>
        </w:rPr>
        <w:t>月）扫描件并加盖投标人电子印章，否则不得分。</w:t>
      </w:r>
      <w:r>
        <w:rPr>
          <w:rFonts w:hint="eastAsia" w:ascii="宋体" w:hAnsi="宋体" w:cs="宋体"/>
          <w:color w:val="auto"/>
          <w:szCs w:val="21"/>
          <w:highlight w:val="none"/>
        </w:rPr>
        <w:t>以上人员还包括在广东省住房和城乡建设主管部门备案且备案的业务范围符合上述注册人员要求的香港专业人士。</w:t>
      </w:r>
    </w:p>
    <w:p w14:paraId="45FFEAB0">
      <w:pPr>
        <w:pStyle w:val="11"/>
        <w:spacing w:line="440" w:lineRule="exact"/>
        <w:ind w:firstLine="420" w:firstLineChars="200"/>
        <w:rPr>
          <w:color w:val="auto"/>
          <w:highlight w:val="none"/>
        </w:rPr>
      </w:pPr>
      <w:r>
        <w:rPr>
          <w:rFonts w:hint="eastAsia"/>
          <w:color w:val="auto"/>
          <w:highlight w:val="none"/>
        </w:rPr>
        <w:t>（</w:t>
      </w:r>
      <w:r>
        <w:rPr>
          <w:rFonts w:hint="eastAsia"/>
          <w:color w:val="auto"/>
          <w:highlight w:val="none"/>
          <w:lang w:val="en-US" w:eastAsia="zh-CN"/>
        </w:rPr>
        <w:t>6</w:t>
      </w:r>
      <w:r>
        <w:rPr>
          <w:rFonts w:hint="eastAsia"/>
          <w:color w:val="auto"/>
          <w:highlight w:val="none"/>
        </w:rPr>
        <w:t>）未提供相关证明材料的不得分</w:t>
      </w:r>
    </w:p>
    <w:p w14:paraId="3CAC289C">
      <w:pPr>
        <w:pStyle w:val="11"/>
        <w:spacing w:line="440" w:lineRule="exact"/>
        <w:ind w:firstLine="420" w:firstLineChars="200"/>
        <w:rPr>
          <w:rFonts w:hint="eastAsia"/>
          <w:color w:val="auto"/>
          <w:highlight w:val="none"/>
        </w:rPr>
      </w:pPr>
      <w:r>
        <w:rPr>
          <w:rFonts w:hint="eastAsia"/>
          <w:color w:val="auto"/>
          <w:highlight w:val="none"/>
        </w:rPr>
        <w:t>（</w:t>
      </w:r>
      <w:r>
        <w:rPr>
          <w:rFonts w:hint="eastAsia"/>
          <w:color w:val="auto"/>
          <w:highlight w:val="none"/>
          <w:lang w:val="en-US" w:eastAsia="zh-CN"/>
        </w:rPr>
        <w:t>7</w:t>
      </w:r>
      <w:r>
        <w:rPr>
          <w:rFonts w:hint="eastAsia"/>
          <w:color w:val="auto"/>
          <w:highlight w:val="none"/>
        </w:rPr>
        <w:t>）投标人的资信业绩得分、监理大纲得分为各评委评分的算术平均分（分数出现小数点时，保留小数点后二位，第三位小数四舍五入）。</w:t>
      </w:r>
    </w:p>
    <w:p w14:paraId="750044E9">
      <w:pPr>
        <w:pStyle w:val="11"/>
        <w:spacing w:line="440" w:lineRule="exact"/>
        <w:ind w:firstLine="420" w:firstLineChars="200"/>
        <w:rPr>
          <w:rFonts w:hint="eastAsia" w:eastAsia="宋体"/>
          <w:color w:val="auto"/>
          <w:highlight w:val="none"/>
          <w:lang w:val="en-US" w:eastAsia="zh-CN"/>
        </w:rPr>
      </w:pPr>
    </w:p>
    <w:p w14:paraId="1935D6ED">
      <w:pPr>
        <w:rPr>
          <w:rFonts w:ascii="宋体" w:hAnsi="宋体" w:cs="宋体"/>
          <w:b/>
          <w:color w:val="auto"/>
          <w:sz w:val="32"/>
          <w:szCs w:val="20"/>
          <w:highlight w:val="none"/>
        </w:rPr>
      </w:pPr>
    </w:p>
    <w:p w14:paraId="441B1079">
      <w:pPr>
        <w:rPr>
          <w:rFonts w:hint="eastAsia" w:ascii="宋体" w:hAnsi="宋体" w:cs="宋体"/>
          <w:b/>
          <w:color w:val="auto"/>
          <w:sz w:val="32"/>
          <w:szCs w:val="20"/>
          <w:highlight w:val="none"/>
        </w:rPr>
      </w:pPr>
      <w:r>
        <w:rPr>
          <w:rFonts w:hint="eastAsia" w:ascii="宋体" w:hAnsi="宋体" w:cs="宋体"/>
          <w:b/>
          <w:color w:val="auto"/>
          <w:sz w:val="32"/>
          <w:szCs w:val="20"/>
          <w:highlight w:val="none"/>
        </w:rPr>
        <w:br w:type="page"/>
      </w:r>
    </w:p>
    <w:p w14:paraId="2166FC0D">
      <w:pPr>
        <w:rPr>
          <w:rFonts w:ascii="宋体" w:hAnsi="宋体" w:cs="宋体"/>
          <w:color w:val="auto"/>
          <w:highlight w:val="none"/>
        </w:rPr>
      </w:pPr>
      <w:r>
        <w:rPr>
          <w:rFonts w:hint="eastAsia" w:ascii="宋体" w:hAnsi="宋体" w:cs="宋体"/>
          <w:b/>
          <w:color w:val="auto"/>
          <w:sz w:val="32"/>
          <w:szCs w:val="20"/>
          <w:highlight w:val="none"/>
        </w:rPr>
        <w:t>1. 评标方法</w:t>
      </w:r>
    </w:p>
    <w:p w14:paraId="26CCBF00">
      <w:pPr>
        <w:spacing w:line="360" w:lineRule="auto"/>
        <w:ind w:firstLine="480" w:firstLineChars="200"/>
        <w:rPr>
          <w:rFonts w:ascii="宋体" w:hAnsi="宋体" w:cs="宋体"/>
          <w:color w:val="auto"/>
          <w:highlight w:val="none"/>
        </w:rPr>
      </w:pPr>
      <w:r>
        <w:rPr>
          <w:rFonts w:hint="eastAsia" w:ascii="宋体" w:hAnsi="宋体" w:cs="宋体"/>
          <w:color w:val="auto"/>
          <w:sz w:val="24"/>
          <w:szCs w:val="24"/>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w:t>
      </w:r>
      <w:bookmarkStart w:id="156" w:name="_Toc144974565"/>
      <w:bookmarkStart w:id="157" w:name="_Toc352691533"/>
      <w:bookmarkStart w:id="158" w:name="_Toc300835008"/>
      <w:bookmarkStart w:id="159" w:name="_Toc4497"/>
      <w:bookmarkStart w:id="160" w:name="_Toc384308272"/>
      <w:bookmarkStart w:id="161" w:name="_Toc247514022"/>
      <w:bookmarkStart w:id="162" w:name="_Toc247527623"/>
      <w:bookmarkStart w:id="163" w:name="_Toc152042375"/>
      <w:bookmarkStart w:id="164" w:name="_Toc369531577"/>
      <w:bookmarkStart w:id="165" w:name="_Toc361508646"/>
      <w:bookmarkStart w:id="166" w:name="_Toc152045598"/>
      <w:r>
        <w:rPr>
          <w:rFonts w:hint="eastAsia" w:ascii="宋体" w:hAnsi="宋体" w:cs="宋体"/>
          <w:color w:val="auto"/>
          <w:sz w:val="24"/>
          <w:szCs w:val="24"/>
          <w:highlight w:val="none"/>
        </w:rPr>
        <w:t>外。</w:t>
      </w:r>
      <w:bookmarkEnd w:id="156"/>
      <w:bookmarkEnd w:id="157"/>
      <w:bookmarkEnd w:id="158"/>
      <w:bookmarkEnd w:id="159"/>
      <w:bookmarkEnd w:id="160"/>
      <w:bookmarkEnd w:id="161"/>
      <w:bookmarkEnd w:id="162"/>
      <w:bookmarkEnd w:id="163"/>
      <w:bookmarkEnd w:id="164"/>
      <w:bookmarkEnd w:id="165"/>
      <w:bookmarkEnd w:id="166"/>
      <w:r>
        <w:rPr>
          <w:rFonts w:hint="eastAsia" w:ascii="宋体" w:hAnsi="宋体" w:cs="宋体"/>
          <w:color w:val="auto"/>
          <w:sz w:val="24"/>
          <w:szCs w:val="24"/>
          <w:highlight w:val="none"/>
        </w:rPr>
        <w:t>综合评分相等时，以投标报价低的优</w:t>
      </w:r>
      <w:bookmarkStart w:id="167" w:name="_Toc384308273"/>
      <w:bookmarkStart w:id="168" w:name="_Toc39"/>
      <w:bookmarkStart w:id="169" w:name="_Toc152042376"/>
      <w:bookmarkStart w:id="170" w:name="_Toc369531578"/>
      <w:bookmarkStart w:id="171" w:name="_Toc300835009"/>
      <w:bookmarkStart w:id="172" w:name="_Toc247527624"/>
      <w:bookmarkStart w:id="173" w:name="_Toc352691534"/>
      <w:bookmarkStart w:id="174" w:name="_Toc152045599"/>
      <w:bookmarkStart w:id="175" w:name="_Toc144974566"/>
      <w:bookmarkStart w:id="176" w:name="_Toc361508647"/>
      <w:bookmarkStart w:id="177" w:name="_Toc247514023"/>
      <w:r>
        <w:rPr>
          <w:rFonts w:hint="eastAsia" w:ascii="宋体" w:hAnsi="宋体" w:cs="宋体"/>
          <w:color w:val="auto"/>
          <w:sz w:val="24"/>
          <w:szCs w:val="24"/>
          <w:highlight w:val="none"/>
        </w:rPr>
        <w:t>先；投标报价也相等</w:t>
      </w:r>
      <w:bookmarkEnd w:id="167"/>
      <w:bookmarkEnd w:id="168"/>
      <w:bookmarkEnd w:id="169"/>
      <w:bookmarkEnd w:id="170"/>
      <w:bookmarkEnd w:id="171"/>
      <w:bookmarkEnd w:id="172"/>
      <w:bookmarkEnd w:id="173"/>
      <w:bookmarkEnd w:id="174"/>
      <w:bookmarkEnd w:id="175"/>
      <w:bookmarkEnd w:id="176"/>
      <w:bookmarkEnd w:id="177"/>
      <w:r>
        <w:rPr>
          <w:rFonts w:hint="eastAsia" w:ascii="宋体" w:hAnsi="宋体" w:cs="宋体"/>
          <w:color w:val="auto"/>
          <w:sz w:val="24"/>
          <w:szCs w:val="24"/>
          <w:highlight w:val="none"/>
        </w:rPr>
        <w:t>的，以监理大纲得分高的优先；如果监理大纲得分也相等，按照评标办法前附表的规定确定中标候选人顺序。</w:t>
      </w:r>
    </w:p>
    <w:p w14:paraId="0E2F2B8C">
      <w:pPr>
        <w:pStyle w:val="4"/>
        <w:keepNext w:val="0"/>
        <w:keepLines w:val="0"/>
        <w:spacing w:line="360" w:lineRule="auto"/>
        <w:rPr>
          <w:rFonts w:ascii="宋体" w:hAnsi="宋体" w:eastAsia="宋体" w:cs="宋体"/>
          <w:color w:val="auto"/>
          <w:highlight w:val="none"/>
        </w:rPr>
      </w:pPr>
      <w:bookmarkStart w:id="178" w:name="_Toc517280576"/>
      <w:r>
        <w:rPr>
          <w:rFonts w:hint="eastAsia" w:ascii="宋体" w:hAnsi="宋体" w:eastAsia="宋体" w:cs="宋体"/>
          <w:color w:val="auto"/>
          <w:highlight w:val="none"/>
        </w:rPr>
        <w:t>2. 评审标准</w:t>
      </w:r>
      <w:bookmarkEnd w:id="178"/>
    </w:p>
    <w:p w14:paraId="36CC4BE0">
      <w:pPr>
        <w:pStyle w:val="5"/>
        <w:keepNext w:val="0"/>
        <w:keepLines w:val="0"/>
        <w:ind w:firstLine="137"/>
        <w:rPr>
          <w:rFonts w:ascii="宋体" w:hAnsi="宋体" w:cs="宋体"/>
          <w:color w:val="auto"/>
          <w:szCs w:val="24"/>
          <w:highlight w:val="none"/>
        </w:rPr>
      </w:pPr>
      <w:bookmarkStart w:id="179" w:name="_Toc517280577"/>
      <w:r>
        <w:rPr>
          <w:rFonts w:hint="eastAsia" w:ascii="宋体" w:hAnsi="宋体" w:cs="宋体"/>
          <w:color w:val="auto"/>
          <w:szCs w:val="24"/>
          <w:highlight w:val="none"/>
        </w:rPr>
        <w:t>2.1 初步评审标准</w:t>
      </w:r>
      <w:bookmarkEnd w:id="179"/>
    </w:p>
    <w:p w14:paraId="405F84B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2.1.1 形式评审标准：见评标办法前附表。</w:t>
      </w:r>
    </w:p>
    <w:p w14:paraId="4D07DEC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2.1.2 资格评审标准：见评标办法前附表。</w:t>
      </w:r>
    </w:p>
    <w:p w14:paraId="06F5F77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2.1.3 响应性评审标准：见评标办法前附表。</w:t>
      </w:r>
    </w:p>
    <w:p w14:paraId="0EF94A20">
      <w:pPr>
        <w:pStyle w:val="5"/>
        <w:keepNext w:val="0"/>
        <w:keepLines w:val="0"/>
        <w:ind w:firstLine="137"/>
        <w:rPr>
          <w:rFonts w:ascii="宋体" w:hAnsi="宋体" w:cs="宋体"/>
          <w:color w:val="auto"/>
          <w:szCs w:val="24"/>
          <w:highlight w:val="none"/>
        </w:rPr>
      </w:pPr>
      <w:bookmarkStart w:id="180" w:name="_Toc517280578"/>
      <w:r>
        <w:rPr>
          <w:rFonts w:hint="eastAsia" w:ascii="宋体" w:hAnsi="宋体" w:cs="宋体"/>
          <w:color w:val="auto"/>
          <w:szCs w:val="24"/>
          <w:highlight w:val="none"/>
        </w:rPr>
        <w:t>2.2 分值构成与评分标准</w:t>
      </w:r>
      <w:bookmarkEnd w:id="180"/>
    </w:p>
    <w:p w14:paraId="04DF1F1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2.2.1 分值构成</w:t>
      </w:r>
    </w:p>
    <w:p w14:paraId="1120B94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（1）资信业绩部分：见评标办法前附表；</w:t>
      </w:r>
    </w:p>
    <w:p w14:paraId="645B259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（2）监理大纲部分：见评标办法前附表；</w:t>
      </w:r>
    </w:p>
    <w:p w14:paraId="02BC2FB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（3）投标报价：见评标办法前附表；</w:t>
      </w:r>
    </w:p>
    <w:p w14:paraId="6A9288CA">
      <w:pPr>
        <w:spacing w:line="360" w:lineRule="auto"/>
        <w:ind w:firstLine="480" w:firstLineChars="200"/>
        <w:rPr>
          <w:rFonts w:ascii="宋体" w:hAnsi="宋体" w:cs="宋体"/>
          <w:strike/>
          <w:color w:val="auto"/>
          <w:sz w:val="24"/>
          <w:szCs w:val="24"/>
          <w:highlight w:val="none"/>
        </w:rPr>
      </w:pPr>
      <w:r>
        <w:rPr>
          <w:rFonts w:hint="eastAsia" w:ascii="宋体" w:hAnsi="宋体" w:cs="宋体"/>
          <w:strike/>
          <w:color w:val="auto"/>
          <w:sz w:val="24"/>
          <w:szCs w:val="24"/>
          <w:highlight w:val="none"/>
        </w:rPr>
        <w:t>（4）其他评分因素：见评标办法前附表。</w:t>
      </w:r>
    </w:p>
    <w:p w14:paraId="334254C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2.2.2 评标基准价计算</w:t>
      </w:r>
    </w:p>
    <w:p w14:paraId="2658D2A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评标基准价计算方法：见评标办法前附表。</w:t>
      </w:r>
    </w:p>
    <w:p w14:paraId="71AADF0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2.2.3 投标报价的偏差率计算</w:t>
      </w:r>
    </w:p>
    <w:p w14:paraId="3C5F203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投标报价的偏差率计算公式：见评标办法前附表。</w:t>
      </w:r>
    </w:p>
    <w:p w14:paraId="20DBC99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2.2.4 评分标准</w:t>
      </w:r>
    </w:p>
    <w:p w14:paraId="63BF743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（1）资信业绩评分标准：见评标办法前附表；</w:t>
      </w:r>
    </w:p>
    <w:p w14:paraId="45AE811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（2）监理大纲评分标准：见评标办法前附表；</w:t>
      </w:r>
    </w:p>
    <w:p w14:paraId="5417829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（3）投标报价评分标准：见评标办法前附表；</w:t>
      </w:r>
    </w:p>
    <w:p w14:paraId="329204FF">
      <w:pPr>
        <w:spacing w:line="360" w:lineRule="auto"/>
        <w:ind w:firstLine="480" w:firstLineChars="200"/>
        <w:rPr>
          <w:rFonts w:ascii="宋体" w:hAnsi="宋体" w:cs="宋体"/>
          <w:strike/>
          <w:color w:val="auto"/>
          <w:sz w:val="24"/>
          <w:szCs w:val="24"/>
          <w:highlight w:val="none"/>
        </w:rPr>
      </w:pPr>
      <w:r>
        <w:rPr>
          <w:rFonts w:hint="eastAsia" w:ascii="宋体" w:hAnsi="宋体" w:cs="宋体"/>
          <w:strike/>
          <w:color w:val="auto"/>
          <w:sz w:val="24"/>
          <w:szCs w:val="24"/>
          <w:highlight w:val="none"/>
        </w:rPr>
        <w:t>（4）其他因素评分标准：见评标办法前附表。</w:t>
      </w:r>
    </w:p>
    <w:p w14:paraId="3E5BE873">
      <w:pPr>
        <w:pStyle w:val="4"/>
        <w:keepNext w:val="0"/>
        <w:keepLines w:val="0"/>
        <w:spacing w:line="360" w:lineRule="auto"/>
        <w:rPr>
          <w:rFonts w:ascii="宋体" w:hAnsi="宋体" w:eastAsia="宋体" w:cs="宋体"/>
          <w:color w:val="auto"/>
          <w:highlight w:val="none"/>
        </w:rPr>
      </w:pPr>
      <w:bookmarkStart w:id="181" w:name="_Toc517280579"/>
      <w:r>
        <w:rPr>
          <w:rFonts w:hint="eastAsia" w:ascii="宋体" w:hAnsi="宋体" w:eastAsia="宋体" w:cs="宋体"/>
          <w:color w:val="auto"/>
          <w:highlight w:val="none"/>
        </w:rPr>
        <w:t>3. 评标程序</w:t>
      </w:r>
      <w:bookmarkEnd w:id="181"/>
    </w:p>
    <w:p w14:paraId="29F09758">
      <w:pPr>
        <w:pStyle w:val="5"/>
        <w:keepNext w:val="0"/>
        <w:keepLines w:val="0"/>
        <w:ind w:firstLine="137"/>
        <w:rPr>
          <w:rFonts w:ascii="宋体" w:hAnsi="宋体" w:cs="宋体"/>
          <w:color w:val="auto"/>
          <w:szCs w:val="24"/>
          <w:highlight w:val="none"/>
        </w:rPr>
      </w:pPr>
      <w:bookmarkStart w:id="182" w:name="_Toc517280580"/>
      <w:r>
        <w:rPr>
          <w:rFonts w:hint="eastAsia" w:ascii="宋体" w:hAnsi="宋体" w:cs="宋体"/>
          <w:color w:val="auto"/>
          <w:szCs w:val="24"/>
          <w:highlight w:val="none"/>
        </w:rPr>
        <w:t>3.1 初步评审</w:t>
      </w:r>
      <w:bookmarkEnd w:id="182"/>
    </w:p>
    <w:p w14:paraId="6A1E6E1A">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r>
        <w:rPr>
          <w:rFonts w:hint="eastAsia" w:ascii="宋体" w:hAnsi="宋体" w:cs="宋体"/>
          <w:color w:val="auto"/>
          <w:sz w:val="24"/>
          <w:szCs w:val="24"/>
          <w:highlight w:val="none"/>
          <w:u w:val="single"/>
        </w:rPr>
        <w:t>评委发现投标文件中含义不明确、对同类问题表述不一致、有明显文字和计算错误的，应当要求投标人作必要的澄清、说明后再判定投标人是否通过初步审查，不得直接否决投标。</w:t>
      </w:r>
      <w:r>
        <w:rPr>
          <w:rFonts w:hint="eastAsia" w:ascii="宋体" w:hAnsi="宋体"/>
          <w:color w:val="auto"/>
          <w:sz w:val="24"/>
          <w:szCs w:val="24"/>
          <w:highlight w:val="none"/>
          <w:u w:val="single"/>
        </w:rPr>
        <w:t>如评标委员会的评审意见不一致时，以评标委员会过半数成员的意见作为评标委员会对该情形的认定结论。若通过初步评审的投标人不足三名时，则本项目招标失败。</w:t>
      </w:r>
    </w:p>
    <w:p w14:paraId="17E058C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3.1.2 投标人有以下情形之一的，评标委员会应当否决其投标：</w:t>
      </w:r>
    </w:p>
    <w:p w14:paraId="41C31B0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（1）投标文件没有对招标文件的实质性要求和条件作出响应，或者对招标文件的偏差超出招标文件规定的偏差范围或最高项数；</w:t>
      </w:r>
    </w:p>
    <w:p w14:paraId="7E5F135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（2）有串通投标、弄虚作假、行贿等违法行为。</w:t>
      </w:r>
    </w:p>
    <w:p w14:paraId="1F6953B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3.1.3 投标报价有算术错误及其他错误的，评标委员会按以下原则要求投标人对投标报价进</w:t>
      </w:r>
      <w:bookmarkStart w:id="183" w:name="_Toc352691538"/>
      <w:bookmarkStart w:id="184" w:name="_Toc2907"/>
      <w:bookmarkStart w:id="185" w:name="_Toc247514027"/>
      <w:bookmarkStart w:id="186" w:name="_Toc152045603"/>
      <w:bookmarkStart w:id="187" w:name="_Toc152042380"/>
      <w:bookmarkStart w:id="188" w:name="_Toc361508651"/>
      <w:bookmarkStart w:id="189" w:name="_Toc144974570"/>
      <w:bookmarkStart w:id="190" w:name="_Toc300835013"/>
      <w:bookmarkStart w:id="191" w:name="_Toc369531582"/>
      <w:bookmarkStart w:id="192" w:name="_Toc384308277"/>
      <w:bookmarkStart w:id="193" w:name="_Toc247527628"/>
      <w:r>
        <w:rPr>
          <w:rFonts w:hint="eastAsia" w:ascii="宋体" w:hAnsi="宋体" w:cs="宋体"/>
          <w:color w:val="auto"/>
          <w:sz w:val="24"/>
          <w:szCs w:val="24"/>
          <w:highlight w:val="none"/>
        </w:rPr>
        <w:t>行修正，并要求投标人书面澄清确认。</w:t>
      </w:r>
      <w:bookmarkEnd w:id="183"/>
      <w:bookmarkEnd w:id="184"/>
      <w:bookmarkEnd w:id="185"/>
      <w:bookmarkEnd w:id="186"/>
      <w:bookmarkEnd w:id="187"/>
      <w:bookmarkEnd w:id="188"/>
      <w:bookmarkEnd w:id="189"/>
      <w:bookmarkEnd w:id="190"/>
      <w:bookmarkEnd w:id="191"/>
      <w:bookmarkEnd w:id="192"/>
      <w:bookmarkEnd w:id="193"/>
      <w:r>
        <w:rPr>
          <w:rFonts w:hint="eastAsia" w:ascii="宋体" w:hAnsi="宋体" w:cs="宋体"/>
          <w:color w:val="auto"/>
          <w:sz w:val="24"/>
          <w:szCs w:val="24"/>
          <w:highlight w:val="none"/>
        </w:rPr>
        <w:t>投标人拒不澄清确认的，评标委员会应当否决其投标：</w:t>
      </w:r>
    </w:p>
    <w:p w14:paraId="3484611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（1）投标文件中的大写金额与小写金额不一致的，以大写金额为准；</w:t>
      </w:r>
    </w:p>
    <w:p w14:paraId="3013DDC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（2）总价金额与单价金额不一致的，以单价金额为准，但单价金额小数点有明显错误的除外。</w:t>
      </w:r>
    </w:p>
    <w:p w14:paraId="4BDFF7FF">
      <w:pPr>
        <w:pStyle w:val="5"/>
        <w:keepNext w:val="0"/>
        <w:keepLines w:val="0"/>
        <w:ind w:firstLine="137"/>
        <w:rPr>
          <w:rFonts w:ascii="宋体" w:hAnsi="宋体" w:cs="宋体"/>
          <w:color w:val="auto"/>
          <w:szCs w:val="24"/>
          <w:highlight w:val="none"/>
        </w:rPr>
      </w:pPr>
      <w:bookmarkStart w:id="194" w:name="_Toc517280581"/>
      <w:r>
        <w:rPr>
          <w:rFonts w:hint="eastAsia" w:ascii="宋体" w:hAnsi="宋体" w:cs="宋体"/>
          <w:color w:val="auto"/>
          <w:szCs w:val="24"/>
          <w:highlight w:val="none"/>
        </w:rPr>
        <w:t>3.2 详细评审</w:t>
      </w:r>
      <w:bookmarkEnd w:id="194"/>
    </w:p>
    <w:p w14:paraId="53480C6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3.2.1 评标委员会按本章第2.2款规定的量化因素和分值进行打分，并计算出综合评估得分。</w:t>
      </w:r>
    </w:p>
    <w:p w14:paraId="1349743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（1）按本章第2.2.4（1）目规定的评审因素和分值对资信业绩部分计算出得分A；</w:t>
      </w:r>
    </w:p>
    <w:p w14:paraId="2853E70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（2）按本章第2.2.4（2）目规定的评审因素和分值对监理大纲部分计算出得分B；</w:t>
      </w:r>
    </w:p>
    <w:p w14:paraId="71327BA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（3）按本章第2.2.4（3）目规定的评审因素和</w:t>
      </w:r>
      <w:bookmarkStart w:id="195" w:name="_Toc144974571"/>
      <w:bookmarkStart w:id="196" w:name="_Toc361508652"/>
      <w:bookmarkStart w:id="197" w:name="_Toc152045604"/>
      <w:bookmarkStart w:id="198" w:name="_Toc369531583"/>
      <w:bookmarkStart w:id="199" w:name="_Toc352691539"/>
      <w:bookmarkStart w:id="200" w:name="_Toc384308278"/>
      <w:bookmarkStart w:id="201" w:name="_Toc300835014"/>
      <w:bookmarkStart w:id="202" w:name="_Toc247527629"/>
      <w:bookmarkStart w:id="203" w:name="_Toc152042381"/>
      <w:bookmarkStart w:id="204" w:name="_Toc247514028"/>
      <w:bookmarkStart w:id="205" w:name="_Toc24330"/>
      <w:r>
        <w:rPr>
          <w:rFonts w:hint="eastAsia" w:ascii="宋体" w:hAnsi="宋体" w:cs="宋体"/>
          <w:color w:val="auto"/>
          <w:sz w:val="24"/>
          <w:szCs w:val="24"/>
          <w:highlight w:val="none"/>
        </w:rPr>
        <w:t>分值对投标报价</w:t>
      </w:r>
      <w:bookmarkEnd w:id="195"/>
      <w:bookmarkEnd w:id="196"/>
      <w:bookmarkEnd w:id="197"/>
      <w:bookmarkEnd w:id="198"/>
      <w:bookmarkEnd w:id="199"/>
      <w:bookmarkEnd w:id="200"/>
      <w:bookmarkEnd w:id="201"/>
      <w:bookmarkEnd w:id="202"/>
      <w:bookmarkEnd w:id="203"/>
      <w:bookmarkEnd w:id="204"/>
      <w:bookmarkEnd w:id="205"/>
      <w:r>
        <w:rPr>
          <w:rFonts w:hint="eastAsia" w:ascii="宋体" w:hAnsi="宋体" w:cs="宋体"/>
          <w:color w:val="auto"/>
          <w:sz w:val="24"/>
          <w:szCs w:val="24"/>
          <w:highlight w:val="none"/>
        </w:rPr>
        <w:t>计</w:t>
      </w:r>
      <w:bookmarkStart w:id="206" w:name="_Toc247514029"/>
      <w:bookmarkStart w:id="207" w:name="_Toc18141"/>
      <w:bookmarkStart w:id="208" w:name="_Toc369531584"/>
      <w:bookmarkStart w:id="209" w:name="_Toc352691540"/>
      <w:bookmarkStart w:id="210" w:name="_Toc247527630"/>
      <w:bookmarkStart w:id="211" w:name="_Toc384308279"/>
      <w:bookmarkStart w:id="212" w:name="_Toc300835015"/>
      <w:bookmarkStart w:id="213" w:name="_Toc144974572"/>
      <w:bookmarkStart w:id="214" w:name="_Toc152045605"/>
      <w:bookmarkStart w:id="215" w:name="_Toc361508653"/>
      <w:bookmarkStart w:id="216" w:name="_Toc152042382"/>
      <w:r>
        <w:rPr>
          <w:rFonts w:hint="eastAsia" w:ascii="宋体" w:hAnsi="宋体" w:cs="宋体"/>
          <w:color w:val="auto"/>
          <w:sz w:val="24"/>
          <w:szCs w:val="24"/>
          <w:highlight w:val="none"/>
        </w:rPr>
        <w:t>算出得分C；</w:t>
      </w:r>
    </w:p>
    <w:p w14:paraId="502C55AF">
      <w:pPr>
        <w:spacing w:line="360" w:lineRule="auto"/>
        <w:ind w:firstLine="480" w:firstLineChars="200"/>
        <w:rPr>
          <w:rFonts w:ascii="宋体" w:hAnsi="宋体" w:cs="宋体"/>
          <w:strike/>
          <w:color w:val="auto"/>
          <w:sz w:val="24"/>
          <w:szCs w:val="24"/>
          <w:highlight w:val="none"/>
        </w:rPr>
      </w:pPr>
      <w:r>
        <w:rPr>
          <w:rFonts w:hint="eastAsia" w:ascii="宋体" w:hAnsi="宋体" w:cs="宋体"/>
          <w:strike/>
          <w:color w:val="auto"/>
          <w:sz w:val="24"/>
          <w:szCs w:val="24"/>
          <w:highlight w:val="none"/>
        </w:rPr>
        <w:t>（</w:t>
      </w:r>
      <w:bookmarkEnd w:id="206"/>
      <w:bookmarkEnd w:id="207"/>
      <w:bookmarkEnd w:id="208"/>
      <w:bookmarkEnd w:id="209"/>
      <w:bookmarkEnd w:id="210"/>
      <w:bookmarkEnd w:id="211"/>
      <w:bookmarkEnd w:id="212"/>
      <w:bookmarkEnd w:id="213"/>
      <w:bookmarkEnd w:id="214"/>
      <w:bookmarkEnd w:id="215"/>
      <w:bookmarkEnd w:id="216"/>
      <w:r>
        <w:rPr>
          <w:rFonts w:hint="eastAsia" w:ascii="宋体" w:hAnsi="宋体" w:cs="宋体"/>
          <w:strike/>
          <w:color w:val="auto"/>
          <w:sz w:val="24"/>
          <w:szCs w:val="24"/>
          <w:highlight w:val="none"/>
        </w:rPr>
        <w:t>4）按本章第2.2.4（4）目规定的评审因素和分值对其他部分计算出得分D。</w:t>
      </w:r>
    </w:p>
    <w:p w14:paraId="007F788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3.2.2 评分分值计算保留小数点后两位，小数点后第三位“四舍五入”。</w:t>
      </w:r>
    </w:p>
    <w:p w14:paraId="7C64525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3.2.3 投标人得分</w:t>
      </w:r>
      <w:r>
        <w:rPr>
          <w:rFonts w:ascii="宋体" w:hAnsi="宋体" w:cs="宋体"/>
          <w:color w:val="auto"/>
          <w:sz w:val="24"/>
          <w:szCs w:val="24"/>
          <w:highlight w:val="none"/>
        </w:rPr>
        <w:t>=</w:t>
      </w:r>
      <w:r>
        <w:rPr>
          <w:rFonts w:ascii="宋体" w:hAnsi="宋体" w:cs="宋体"/>
          <w:color w:val="auto"/>
          <w:sz w:val="24"/>
          <w:szCs w:val="24"/>
          <w:highlight w:val="none"/>
          <w:u w:val="single"/>
        </w:rPr>
        <w:t>A+B+C</w:t>
      </w:r>
      <w:r>
        <w:rPr>
          <w:rFonts w:hint="eastAsia" w:ascii="宋体" w:hAnsi="宋体" w:cs="宋体"/>
          <w:color w:val="auto"/>
          <w:sz w:val="24"/>
          <w:szCs w:val="24"/>
          <w:highlight w:val="none"/>
          <w:u w:val="single"/>
        </w:rPr>
        <w:t>。</w:t>
      </w:r>
    </w:p>
    <w:p w14:paraId="2AC3D01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3596C75B">
      <w:pPr>
        <w:pStyle w:val="5"/>
        <w:keepNext w:val="0"/>
        <w:keepLines w:val="0"/>
        <w:ind w:firstLine="137"/>
        <w:rPr>
          <w:rFonts w:ascii="宋体" w:hAnsi="宋体" w:cs="宋体"/>
          <w:color w:val="auto"/>
          <w:szCs w:val="24"/>
          <w:highlight w:val="none"/>
        </w:rPr>
      </w:pPr>
      <w:bookmarkStart w:id="217" w:name="_Toc517280582"/>
      <w:r>
        <w:rPr>
          <w:rFonts w:hint="eastAsia" w:ascii="宋体" w:hAnsi="宋体" w:cs="宋体"/>
          <w:color w:val="auto"/>
          <w:szCs w:val="24"/>
          <w:highlight w:val="none"/>
        </w:rPr>
        <w:t>3.3 投标文件的澄清</w:t>
      </w:r>
      <w:bookmarkEnd w:id="217"/>
    </w:p>
    <w:p w14:paraId="0EBAA24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6BB3A41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3.3.2 澄清、说明或补正不得超出投标文件的范围且不得改变投标文件的实质性内容，并构成投标文件的组成部分。</w:t>
      </w:r>
    </w:p>
    <w:p w14:paraId="3FC189F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3.3.3 评标委员会对投标人提交的澄清、说明或补正有疑问的，可以要求投标人进一步澄清、说明或补正，直至满足评标委员会的要求。</w:t>
      </w:r>
    </w:p>
    <w:p w14:paraId="4E8193EB">
      <w:pPr>
        <w:pStyle w:val="5"/>
        <w:keepNext w:val="0"/>
        <w:keepLines w:val="0"/>
        <w:ind w:firstLine="137"/>
        <w:rPr>
          <w:rFonts w:ascii="宋体" w:hAnsi="宋体" w:cs="宋体"/>
          <w:color w:val="auto"/>
          <w:szCs w:val="24"/>
          <w:highlight w:val="none"/>
        </w:rPr>
      </w:pPr>
      <w:bookmarkStart w:id="218" w:name="_Toc517280583"/>
      <w:r>
        <w:rPr>
          <w:rFonts w:hint="eastAsia" w:ascii="宋体" w:hAnsi="宋体" w:cs="宋体"/>
          <w:color w:val="auto"/>
          <w:szCs w:val="24"/>
          <w:highlight w:val="none"/>
        </w:rPr>
        <w:t>3.4 评标结果</w:t>
      </w:r>
      <w:bookmarkEnd w:id="218"/>
    </w:p>
    <w:p w14:paraId="124C0DC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3.4.1 除第二章“投标人须知”前附表授权直接确定中标人外，评标委员会按照得分由高到低的顺序推荐中标候选人，并标明排序。</w:t>
      </w:r>
    </w:p>
    <w:p w14:paraId="1370F50E">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3.4.2 </w:t>
      </w:r>
      <w:r>
        <w:rPr>
          <w:rFonts w:hint="eastAsia" w:ascii="宋体" w:hAnsi="宋体" w:cs="宋体"/>
          <w:color w:val="auto"/>
          <w:sz w:val="24"/>
          <w:szCs w:val="24"/>
          <w:highlight w:val="none"/>
        </w:rPr>
        <w:t>评标委员会完成评标后，应当向招标人提交书面评标报告和中标候选人名单。</w:t>
      </w:r>
    </w:p>
    <w:p w14:paraId="0DADFE5B">
      <w:pPr>
        <w:spacing w:line="360" w:lineRule="auto"/>
        <w:ind w:firstLine="640" w:firstLineChars="200"/>
        <w:jc w:val="center"/>
        <w:rPr>
          <w:color w:val="auto"/>
          <w:sz w:val="32"/>
          <w:szCs w:val="32"/>
          <w:highlight w:val="none"/>
        </w:rPr>
      </w:pPr>
      <w:r>
        <w:rPr>
          <w:rFonts w:hint="eastAsia"/>
          <w:color w:val="auto"/>
          <w:sz w:val="32"/>
          <w:szCs w:val="32"/>
          <w:highlight w:val="none"/>
        </w:rPr>
        <w:br w:type="page"/>
      </w:r>
      <w:bookmarkStart w:id="219" w:name="_Toc492300637"/>
    </w:p>
    <w:p w14:paraId="65FF00A7">
      <w:pPr>
        <w:spacing w:line="360" w:lineRule="auto"/>
        <w:ind w:firstLine="640" w:firstLineChars="200"/>
        <w:jc w:val="center"/>
        <w:rPr>
          <w:color w:val="auto"/>
          <w:sz w:val="32"/>
          <w:szCs w:val="32"/>
          <w:highlight w:val="none"/>
        </w:rPr>
      </w:pPr>
    </w:p>
    <w:p w14:paraId="21139E9C">
      <w:pPr>
        <w:pStyle w:val="8"/>
        <w:rPr>
          <w:color w:val="auto"/>
          <w:sz w:val="32"/>
          <w:szCs w:val="32"/>
          <w:highlight w:val="none"/>
        </w:rPr>
      </w:pPr>
    </w:p>
    <w:p w14:paraId="29340F38">
      <w:pPr>
        <w:pStyle w:val="8"/>
        <w:rPr>
          <w:color w:val="auto"/>
          <w:sz w:val="32"/>
          <w:szCs w:val="32"/>
          <w:highlight w:val="none"/>
        </w:rPr>
      </w:pPr>
    </w:p>
    <w:p w14:paraId="52F8EB26">
      <w:pPr>
        <w:pStyle w:val="3"/>
        <w:keepNext w:val="0"/>
        <w:keepLines w:val="0"/>
        <w:spacing w:line="360" w:lineRule="auto"/>
        <w:ind w:firstLine="723" w:firstLineChars="200"/>
        <w:jc w:val="center"/>
        <w:rPr>
          <w:rFonts w:ascii="宋体" w:hAnsi="宋体" w:cs="宋体"/>
          <w:color w:val="auto"/>
          <w:sz w:val="36"/>
          <w:szCs w:val="36"/>
          <w:highlight w:val="none"/>
        </w:rPr>
      </w:pPr>
      <w:bookmarkStart w:id="220" w:name="_Toc1276_WPSOffice_Level1"/>
      <w:bookmarkStart w:id="221" w:name="_Toc4659644"/>
      <w:r>
        <w:rPr>
          <w:rFonts w:hint="eastAsia" w:ascii="宋体" w:hAnsi="宋体" w:cs="宋体"/>
          <w:color w:val="auto"/>
          <w:sz w:val="36"/>
          <w:szCs w:val="36"/>
          <w:highlight w:val="none"/>
        </w:rPr>
        <w:t>第四章 合同条款及格式</w:t>
      </w:r>
      <w:bookmarkEnd w:id="220"/>
      <w:bookmarkEnd w:id="221"/>
    </w:p>
    <w:p w14:paraId="145E8802">
      <w:pPr>
        <w:ind w:firstLine="840" w:firstLineChars="300"/>
        <w:jc w:val="center"/>
        <w:rPr>
          <w:rFonts w:ascii="宋体" w:hAnsi="宋体" w:cs="宋体"/>
          <w:color w:val="auto"/>
          <w:sz w:val="28"/>
          <w:szCs w:val="28"/>
          <w:highlight w:val="none"/>
        </w:rPr>
      </w:pPr>
      <w:r>
        <w:rPr>
          <w:rFonts w:hint="eastAsia" w:ascii="宋体" w:hAnsi="宋体" w:cs="宋体"/>
          <w:color w:val="auto"/>
          <w:sz w:val="28"/>
          <w:szCs w:val="28"/>
          <w:highlight w:val="none"/>
        </w:rPr>
        <w:t>（监理合同另册）</w:t>
      </w:r>
    </w:p>
    <w:p w14:paraId="5E34DA98">
      <w:pPr>
        <w:pStyle w:val="14"/>
        <w:snapToGrid w:val="0"/>
        <w:spacing w:line="400" w:lineRule="atLeast"/>
        <w:ind w:left="0" w:leftChars="0" w:firstLine="420" w:firstLineChars="200"/>
        <w:rPr>
          <w:rFonts w:ascii="宋体" w:hAnsi="宋体" w:cs="宋体"/>
          <w:color w:val="auto"/>
          <w:szCs w:val="21"/>
          <w:highlight w:val="none"/>
        </w:rPr>
      </w:pPr>
    </w:p>
    <w:p w14:paraId="126C3C77">
      <w:pPr>
        <w:rPr>
          <w:rFonts w:ascii="宋体" w:hAnsi="宋体" w:cs="宋体"/>
          <w:color w:val="auto"/>
          <w:highlight w:val="none"/>
        </w:rPr>
      </w:pPr>
    </w:p>
    <w:p w14:paraId="11ACAF5F">
      <w:pPr>
        <w:rPr>
          <w:rFonts w:ascii="宋体" w:hAnsi="宋体" w:cs="宋体"/>
          <w:b/>
          <w:color w:val="auto"/>
          <w:kern w:val="44"/>
          <w:sz w:val="44"/>
          <w:szCs w:val="20"/>
          <w:highlight w:val="none"/>
        </w:rPr>
      </w:pPr>
      <w:bookmarkStart w:id="222" w:name="_Toc247085853"/>
      <w:bookmarkStart w:id="223" w:name="_Toc246996338"/>
      <w:bookmarkStart w:id="224" w:name="_Toc246997081"/>
      <w:bookmarkStart w:id="225" w:name="_Toc179632787"/>
    </w:p>
    <w:p w14:paraId="438BD247">
      <w:pPr>
        <w:rPr>
          <w:rFonts w:ascii="宋体" w:hAnsi="宋体" w:cs="宋体"/>
          <w:b/>
          <w:color w:val="auto"/>
          <w:kern w:val="44"/>
          <w:sz w:val="44"/>
          <w:szCs w:val="20"/>
          <w:highlight w:val="none"/>
        </w:rPr>
      </w:pPr>
    </w:p>
    <w:p w14:paraId="48617F01">
      <w:pPr>
        <w:rPr>
          <w:rFonts w:ascii="宋体" w:hAnsi="宋体" w:cs="宋体"/>
          <w:b/>
          <w:color w:val="auto"/>
          <w:kern w:val="44"/>
          <w:sz w:val="44"/>
          <w:szCs w:val="20"/>
          <w:highlight w:val="none"/>
        </w:rPr>
      </w:pPr>
    </w:p>
    <w:p w14:paraId="0EBDC9FC">
      <w:pPr>
        <w:rPr>
          <w:rFonts w:ascii="宋体" w:hAnsi="宋体" w:cs="宋体"/>
          <w:b/>
          <w:color w:val="auto"/>
          <w:kern w:val="44"/>
          <w:sz w:val="44"/>
          <w:szCs w:val="20"/>
          <w:highlight w:val="none"/>
        </w:rPr>
      </w:pPr>
    </w:p>
    <w:p w14:paraId="5122299A">
      <w:pPr>
        <w:rPr>
          <w:rFonts w:ascii="宋体" w:hAnsi="宋体" w:cs="宋体"/>
          <w:b/>
          <w:color w:val="auto"/>
          <w:kern w:val="44"/>
          <w:sz w:val="44"/>
          <w:szCs w:val="20"/>
          <w:highlight w:val="none"/>
        </w:rPr>
      </w:pPr>
    </w:p>
    <w:p w14:paraId="42E7FD74">
      <w:pPr>
        <w:rPr>
          <w:rFonts w:ascii="宋体" w:hAnsi="宋体" w:cs="宋体"/>
          <w:b/>
          <w:color w:val="auto"/>
          <w:kern w:val="44"/>
          <w:sz w:val="44"/>
          <w:szCs w:val="20"/>
          <w:highlight w:val="none"/>
        </w:rPr>
      </w:pPr>
    </w:p>
    <w:p w14:paraId="50AE0A3C">
      <w:pPr>
        <w:pStyle w:val="3"/>
        <w:keepNext w:val="0"/>
        <w:keepLines w:val="0"/>
        <w:jc w:val="center"/>
        <w:rPr>
          <w:rFonts w:ascii="宋体" w:hAnsi="宋体" w:cs="宋体"/>
          <w:color w:val="auto"/>
          <w:sz w:val="36"/>
          <w:szCs w:val="36"/>
          <w:highlight w:val="none"/>
        </w:rPr>
      </w:pPr>
      <w:bookmarkStart w:id="226" w:name="_Toc517280585"/>
      <w:bookmarkStart w:id="227" w:name="_Toc517280586"/>
      <w:r>
        <w:rPr>
          <w:rFonts w:hint="eastAsia" w:ascii="宋体" w:hAnsi="宋体" w:cs="宋体"/>
          <w:color w:val="auto"/>
          <w:highlight w:val="none"/>
        </w:rPr>
        <w:br w:type="page"/>
      </w:r>
      <w:bookmarkEnd w:id="226"/>
      <w:bookmarkStart w:id="228" w:name="_Toc17307_WPSOffice_Level1"/>
      <w:bookmarkStart w:id="229" w:name="_Toc4659645"/>
      <w:r>
        <w:rPr>
          <w:rFonts w:hint="eastAsia" w:ascii="宋体" w:hAnsi="宋体" w:cs="宋体"/>
          <w:color w:val="auto"/>
          <w:sz w:val="36"/>
          <w:szCs w:val="36"/>
          <w:highlight w:val="none"/>
        </w:rPr>
        <w:t>第五章 委托人要求</w:t>
      </w:r>
      <w:bookmarkEnd w:id="222"/>
      <w:bookmarkEnd w:id="223"/>
      <w:bookmarkEnd w:id="224"/>
      <w:bookmarkEnd w:id="225"/>
      <w:bookmarkEnd w:id="227"/>
      <w:bookmarkEnd w:id="228"/>
      <w:bookmarkEnd w:id="229"/>
    </w:p>
    <w:p w14:paraId="1A9FCDE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highlight w:val="none"/>
        </w:rPr>
      </w:pPr>
      <w:bookmarkStart w:id="230" w:name="_Toc697"/>
      <w:bookmarkStart w:id="231" w:name="_Toc517280598"/>
      <w:r>
        <w:rPr>
          <w:rFonts w:hint="eastAsia" w:ascii="宋体" w:hAnsi="宋体" w:eastAsia="宋体" w:cs="宋体"/>
          <w:b/>
          <w:bCs/>
          <w:color w:val="auto"/>
          <w:highlight w:val="none"/>
        </w:rPr>
        <w:t>一、监理要求</w:t>
      </w:r>
      <w:bookmarkEnd w:id="230"/>
    </w:p>
    <w:p w14:paraId="102878F8">
      <w:pPr>
        <w:spacing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1. 项目概况：</w:t>
      </w:r>
    </w:p>
    <w:p w14:paraId="32ABEE3B">
      <w:pPr>
        <w:spacing w:line="360" w:lineRule="auto"/>
        <w:ind w:firstLine="420" w:firstLineChars="200"/>
        <w:rPr>
          <w:rFonts w:hint="eastAsia" w:ascii="宋体" w:hAnsi="宋体" w:eastAsia="宋体" w:cs="宋体"/>
          <w:bCs/>
          <w:color w:val="auto"/>
          <w:highlight w:val="none"/>
          <w:u w:val="single"/>
          <w:lang w:eastAsia="zh-CN"/>
        </w:rPr>
      </w:pPr>
      <w:r>
        <w:rPr>
          <w:rFonts w:hint="eastAsia" w:ascii="宋体" w:hAnsi="宋体" w:eastAsia="宋体" w:cs="宋体"/>
          <w:color w:val="auto"/>
          <w:highlight w:val="none"/>
        </w:rPr>
        <w:t>1.1项目名称：</w:t>
      </w:r>
      <w:r>
        <w:rPr>
          <w:rFonts w:hint="eastAsia" w:ascii="宋体" w:hAnsi="宋体" w:cs="宋体"/>
          <w:bCs/>
          <w:color w:val="auto"/>
          <w:highlight w:val="none"/>
          <w:u w:val="single"/>
          <w:lang w:eastAsia="zh-CN"/>
        </w:rPr>
        <w:t>珠江·琶醍啤酒文化创意园区改造升级项目—酒店商业综合体工程监理</w:t>
      </w:r>
    </w:p>
    <w:p w14:paraId="2CD3126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1.2建设规模：珠江·琶醍啤酒文化创意园区改造升级项目—酒店商业综合体工程，地上 16 层，地下 4 层，总建筑面积约 9.3 万平方米，其中地上建筑面积约 6.3 平方米，地下建筑面积约 3 万平方米（建筑面积以最终报建批复为准）。</w:t>
      </w:r>
    </w:p>
    <w:p w14:paraId="6E584610">
      <w:pPr>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1.3建设地点：广州市海珠区磨碟沙大街118号。</w:t>
      </w:r>
    </w:p>
    <w:p w14:paraId="05E17029">
      <w:pPr>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1.4工程投资：项目总投资约14亿元，其中工程建安费约11.5亿元。（概算投资额和建筑安装工程费以最终审批后的文件为准）</w:t>
      </w:r>
    </w:p>
    <w:p w14:paraId="07852C7A">
      <w:pPr>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1.5本次招标监理服务期：</w:t>
      </w:r>
    </w:p>
    <w:p w14:paraId="05DE8A7A">
      <w:pPr>
        <w:pStyle w:val="43"/>
        <w:spacing w:line="360" w:lineRule="auto"/>
        <w:ind w:firstLine="420" w:firstLineChars="200"/>
        <w:jc w:val="left"/>
        <w:rPr>
          <w:rFonts w:hAnsi="宋体" w:cs="宋体"/>
          <w:color w:val="auto"/>
          <w:highlight w:val="none"/>
        </w:rPr>
      </w:pPr>
      <w:r>
        <w:rPr>
          <w:rFonts w:hint="eastAsia" w:hAnsi="宋体"/>
          <w:color w:val="auto"/>
          <w:highlight w:val="none"/>
          <w:u w:val="single"/>
        </w:rPr>
        <w:t>自合同签订之日起至所有工程保修期结束且办妥相关工程竣工结算止。包括本工程的施工准备期、施工期、工程收尾等全过程监理服务，监理人须按本合同的约定提供监理服务，监理服务周期必须满足实际施工要求。</w:t>
      </w:r>
    </w:p>
    <w:p w14:paraId="2C6E9A2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1.6工程质量标准：合格。</w:t>
      </w:r>
    </w:p>
    <w:p w14:paraId="29A3D1C1">
      <w:pPr>
        <w:spacing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2.监理范围及内容</w:t>
      </w:r>
    </w:p>
    <w:p w14:paraId="54EA9E50">
      <w:pPr>
        <w:spacing w:line="360" w:lineRule="auto"/>
        <w:ind w:firstLine="440" w:firstLineChars="200"/>
        <w:rPr>
          <w:rFonts w:hint="eastAsia" w:ascii="宋体" w:hAnsi="宋体"/>
          <w:color w:val="auto"/>
          <w:sz w:val="22"/>
          <w:szCs w:val="22"/>
          <w:highlight w:val="none"/>
          <w:u w:val="single"/>
        </w:rPr>
      </w:pPr>
      <w:r>
        <w:rPr>
          <w:rFonts w:hint="eastAsia" w:ascii="宋体" w:hAnsi="宋体"/>
          <w:color w:val="auto"/>
          <w:sz w:val="22"/>
          <w:szCs w:val="22"/>
          <w:highlight w:val="none"/>
        </w:rPr>
        <w:t xml:space="preserve">2.1 </w:t>
      </w:r>
      <w:r>
        <w:rPr>
          <w:rFonts w:hint="eastAsia" w:ascii="宋体" w:hAnsi="宋体"/>
          <w:color w:val="auto"/>
          <w:sz w:val="22"/>
          <w:szCs w:val="22"/>
          <w:highlight w:val="none"/>
          <w:u w:val="single"/>
        </w:rPr>
        <w:t>监理范围包括：主要包括但不限于以下内容（具体按土建所有专业的施工图纸及设计变更内容进行监理）：</w:t>
      </w:r>
    </w:p>
    <w:p w14:paraId="6527B710">
      <w:pPr>
        <w:spacing w:line="360" w:lineRule="auto"/>
        <w:ind w:firstLine="440" w:firstLineChars="200"/>
        <w:rPr>
          <w:rFonts w:hint="eastAsia" w:ascii="宋体" w:hAnsi="宋体"/>
          <w:color w:val="auto"/>
          <w:sz w:val="22"/>
          <w:szCs w:val="22"/>
          <w:highlight w:val="none"/>
          <w:u w:val="single"/>
        </w:rPr>
      </w:pPr>
      <w:r>
        <w:rPr>
          <w:rFonts w:hint="eastAsia" w:ascii="宋体" w:hAnsi="宋体"/>
          <w:color w:val="auto"/>
          <w:sz w:val="22"/>
          <w:szCs w:val="22"/>
          <w:highlight w:val="none"/>
          <w:u w:val="single"/>
        </w:rPr>
        <w:t>①监理范围为本工程的施工准备阶段、施工阶段、竣工验收阶段（包含规定要求的全部专项验收）、竣工结算阶段、缺陷责任阶段、质量保修阶段的质量控制、职业健康安全及环境、监督管理、投资控制、进度控制、合同管理、信息管理、组织协调、工程创优、相关工作。</w:t>
      </w:r>
    </w:p>
    <w:p w14:paraId="6B47629D">
      <w:pPr>
        <w:spacing w:line="360" w:lineRule="auto"/>
        <w:ind w:firstLine="440" w:firstLineChars="200"/>
        <w:rPr>
          <w:rFonts w:hint="eastAsia" w:ascii="宋体" w:hAnsi="宋体"/>
          <w:color w:val="auto"/>
          <w:sz w:val="22"/>
          <w:szCs w:val="22"/>
          <w:highlight w:val="none"/>
          <w:u w:val="single"/>
        </w:rPr>
      </w:pPr>
      <w:r>
        <w:rPr>
          <w:rFonts w:hint="eastAsia" w:ascii="宋体" w:hAnsi="宋体"/>
          <w:color w:val="auto"/>
          <w:sz w:val="22"/>
          <w:szCs w:val="22"/>
          <w:highlight w:val="none"/>
          <w:u w:val="single"/>
        </w:rPr>
        <w:t>②除上述工作范围外，监理人还须按委托人或委托人的要求提前进场参与本工程开工前期的准备和筹划工作，协助委托人或委托人制定本监理工程的工程管理办法、各参建方职责及有关事务性工作等。</w:t>
      </w:r>
    </w:p>
    <w:p w14:paraId="5C4554E4">
      <w:pPr>
        <w:spacing w:line="360" w:lineRule="auto"/>
        <w:ind w:firstLine="440" w:firstLineChars="200"/>
        <w:rPr>
          <w:rFonts w:hint="eastAsia" w:ascii="宋体" w:hAnsi="宋体"/>
          <w:color w:val="auto"/>
          <w:sz w:val="22"/>
          <w:szCs w:val="22"/>
          <w:highlight w:val="none"/>
          <w:u w:val="single"/>
        </w:rPr>
      </w:pPr>
      <w:r>
        <w:rPr>
          <w:rFonts w:hint="eastAsia" w:ascii="宋体" w:hAnsi="宋体"/>
          <w:color w:val="auto"/>
          <w:sz w:val="22"/>
          <w:szCs w:val="22"/>
          <w:highlight w:val="none"/>
          <w:u w:val="single"/>
        </w:rPr>
        <w:t>③</w:t>
      </w:r>
      <w:r>
        <w:rPr>
          <w:rFonts w:ascii="宋体" w:hAnsi="宋体" w:eastAsia="宋体" w:cs="宋体"/>
          <w:color w:val="auto"/>
          <w:sz w:val="24"/>
          <w:szCs w:val="24"/>
          <w:highlight w:val="none"/>
        </w:rPr>
        <w:t>监理工作内容包括本项目规划用地红线范围内所有建筑主体、附属、配套建筑和设施以及属于本项目所需、但又处于规划用地红线范围外的周边市政配套设施，含与外界连接道路、外供水、外排水、燃气等的全部内容。具体包括但不限于基坑支护和土方开挖工程，主体建筑工程、机电安装工程、装饰工程、室外工程、二次精装修工程等</w:t>
      </w:r>
      <w:r>
        <w:rPr>
          <w:rFonts w:hint="eastAsia" w:ascii="宋体" w:hAnsi="宋体" w:eastAsia="宋体" w:cs="宋体"/>
          <w:color w:val="auto"/>
          <w:sz w:val="24"/>
          <w:szCs w:val="24"/>
          <w:highlight w:val="none"/>
          <w:lang w:eastAsia="zh-CN"/>
        </w:rPr>
        <w:t>，</w:t>
      </w:r>
      <w:r>
        <w:rPr>
          <w:rFonts w:hint="eastAsia" w:ascii="宋体" w:hAnsi="宋体"/>
          <w:color w:val="auto"/>
          <w:sz w:val="22"/>
          <w:szCs w:val="22"/>
          <w:highlight w:val="none"/>
          <w:u w:val="single"/>
        </w:rPr>
        <w:t>具体包括但不限于：</w:t>
      </w:r>
    </w:p>
    <w:p w14:paraId="5AA9D6D4">
      <w:pPr>
        <w:numPr>
          <w:ilvl w:val="0"/>
          <w:numId w:val="2"/>
        </w:numPr>
        <w:spacing w:line="360" w:lineRule="auto"/>
        <w:ind w:firstLine="440" w:firstLineChars="200"/>
        <w:rPr>
          <w:rFonts w:hint="eastAsia" w:ascii="宋体" w:hAnsi="宋体"/>
          <w:color w:val="auto"/>
          <w:sz w:val="22"/>
          <w:szCs w:val="22"/>
          <w:highlight w:val="none"/>
          <w:u w:val="single"/>
        </w:rPr>
      </w:pPr>
      <w:r>
        <w:rPr>
          <w:rFonts w:hint="eastAsia" w:ascii="宋体" w:hAnsi="宋体"/>
          <w:color w:val="auto"/>
          <w:sz w:val="22"/>
          <w:szCs w:val="22"/>
          <w:highlight w:val="none"/>
          <w:u w:val="single"/>
        </w:rPr>
        <w:t>基坑开挖与支护工程、地基与基础工程、主体结构工程、建筑工程、建筑装饰装修工程</w:t>
      </w:r>
      <w:r>
        <w:rPr>
          <w:rFonts w:hint="eastAsia" w:ascii="宋体" w:hAnsi="宋体"/>
          <w:color w:val="auto"/>
          <w:sz w:val="22"/>
          <w:szCs w:val="22"/>
          <w:highlight w:val="none"/>
          <w:u w:val="single"/>
          <w:lang w:eastAsia="zh-CN"/>
        </w:rPr>
        <w:t>（</w:t>
      </w:r>
      <w:r>
        <w:rPr>
          <w:rFonts w:hint="eastAsia" w:ascii="宋体" w:hAnsi="宋体"/>
          <w:color w:val="auto"/>
          <w:sz w:val="22"/>
          <w:szCs w:val="22"/>
          <w:highlight w:val="none"/>
          <w:u w:val="single"/>
          <w:lang w:val="en-US" w:eastAsia="zh-CN"/>
        </w:rPr>
        <w:t>包括二次精装修</w:t>
      </w:r>
      <w:r>
        <w:rPr>
          <w:rFonts w:hint="eastAsia" w:ascii="宋体" w:hAnsi="宋体"/>
          <w:color w:val="auto"/>
          <w:sz w:val="22"/>
          <w:szCs w:val="22"/>
          <w:highlight w:val="none"/>
          <w:u w:val="single"/>
          <w:lang w:eastAsia="zh-CN"/>
        </w:rPr>
        <w:t>）</w:t>
      </w:r>
      <w:r>
        <w:rPr>
          <w:rFonts w:hint="eastAsia" w:ascii="宋体" w:hAnsi="宋体"/>
          <w:color w:val="auto"/>
          <w:sz w:val="22"/>
          <w:szCs w:val="22"/>
          <w:highlight w:val="none"/>
          <w:u w:val="single"/>
        </w:rPr>
        <w:t>、砌体工程、屋面工程、建筑给排水工程、防雷及接地工程、消防给水、消防喷淋系统工程、消防报警系统、绿化园艺工程、市政工程、外水工程、节能工程、幕墙工程、</w:t>
      </w:r>
      <w:r>
        <w:rPr>
          <w:rFonts w:hint="eastAsia" w:ascii="宋体" w:hAnsi="宋体"/>
          <w:color w:val="auto"/>
          <w:sz w:val="22"/>
          <w:szCs w:val="22"/>
          <w:highlight w:val="none"/>
          <w:u w:val="single"/>
          <w:lang w:val="en-US" w:eastAsia="zh-CN"/>
        </w:rPr>
        <w:t>海绵城市、</w:t>
      </w:r>
      <w:r>
        <w:rPr>
          <w:rFonts w:hint="eastAsia" w:ascii="宋体" w:hAnsi="宋体"/>
          <w:color w:val="auto"/>
          <w:sz w:val="22"/>
          <w:szCs w:val="22"/>
          <w:highlight w:val="none"/>
          <w:u w:val="single"/>
        </w:rPr>
        <w:t>绿色建筑的施工和验收等全部内容。</w:t>
      </w:r>
    </w:p>
    <w:p w14:paraId="6A08FDB5">
      <w:pPr>
        <w:numPr>
          <w:ilvl w:val="0"/>
          <w:numId w:val="2"/>
        </w:numPr>
        <w:spacing w:line="360" w:lineRule="auto"/>
        <w:ind w:firstLine="440" w:firstLineChars="200"/>
        <w:rPr>
          <w:rFonts w:hint="eastAsia" w:ascii="宋体" w:hAnsi="宋体"/>
          <w:color w:val="auto"/>
          <w:sz w:val="22"/>
          <w:szCs w:val="22"/>
          <w:highlight w:val="none"/>
          <w:u w:val="single"/>
        </w:rPr>
      </w:pPr>
      <w:r>
        <w:rPr>
          <w:rFonts w:hint="eastAsia" w:ascii="宋体" w:hAnsi="宋体"/>
          <w:color w:val="auto"/>
          <w:sz w:val="22"/>
          <w:szCs w:val="22"/>
          <w:highlight w:val="none"/>
          <w:u w:val="single"/>
        </w:rPr>
        <w:t>电梯安装工程、通风空调、电气安装、</w:t>
      </w:r>
      <w:r>
        <w:rPr>
          <w:rFonts w:hint="eastAsia" w:ascii="宋体" w:hAnsi="宋体"/>
          <w:color w:val="auto"/>
          <w:sz w:val="22"/>
          <w:szCs w:val="22"/>
          <w:highlight w:val="none"/>
          <w:u w:val="single"/>
          <w:lang w:val="en-US" w:eastAsia="zh-CN"/>
        </w:rPr>
        <w:t>智能化与综合布线、</w:t>
      </w:r>
      <w:r>
        <w:rPr>
          <w:rFonts w:hint="eastAsia" w:ascii="宋体" w:hAnsi="宋体"/>
          <w:color w:val="auto"/>
          <w:sz w:val="22"/>
          <w:szCs w:val="22"/>
          <w:highlight w:val="none"/>
          <w:u w:val="single"/>
        </w:rPr>
        <w:t>泛光照明、幕墙、市政、室内外的道路（含规划道路及园区道路）、园林景观、室外广场、停车场等。</w:t>
      </w:r>
    </w:p>
    <w:p w14:paraId="1A27EA8A">
      <w:pPr>
        <w:numPr>
          <w:ilvl w:val="0"/>
          <w:numId w:val="2"/>
        </w:numPr>
        <w:spacing w:line="360" w:lineRule="auto"/>
        <w:ind w:firstLine="440" w:firstLineChars="200"/>
        <w:rPr>
          <w:rFonts w:hint="eastAsia" w:ascii="宋体" w:hAnsi="宋体"/>
          <w:color w:val="auto"/>
          <w:sz w:val="22"/>
          <w:szCs w:val="22"/>
          <w:highlight w:val="none"/>
          <w:u w:val="single"/>
        </w:rPr>
      </w:pPr>
      <w:r>
        <w:rPr>
          <w:rFonts w:hint="eastAsia" w:ascii="宋体" w:hAnsi="宋体"/>
          <w:color w:val="auto"/>
          <w:sz w:val="22"/>
          <w:szCs w:val="22"/>
          <w:highlight w:val="none"/>
          <w:u w:val="single"/>
        </w:rPr>
        <w:t>项目实施过程中所涉及的临时围墙、临时道路、施工用水用电、临时给排水、围蔽、场平、板房、清表等所有临时设施以及所涉及的设施拆除、管线迁改、市政设施恢复。</w:t>
      </w:r>
    </w:p>
    <w:p w14:paraId="2F8AFDB5">
      <w:pPr>
        <w:numPr>
          <w:ilvl w:val="0"/>
          <w:numId w:val="2"/>
        </w:numPr>
        <w:spacing w:line="360" w:lineRule="auto"/>
        <w:ind w:firstLine="440" w:firstLineChars="200"/>
        <w:rPr>
          <w:rFonts w:hint="eastAsia" w:ascii="宋体" w:hAnsi="宋体"/>
          <w:color w:val="auto"/>
          <w:sz w:val="22"/>
          <w:szCs w:val="22"/>
          <w:highlight w:val="none"/>
          <w:u w:val="single"/>
        </w:rPr>
      </w:pPr>
      <w:r>
        <w:rPr>
          <w:rFonts w:hint="eastAsia" w:ascii="宋体" w:hAnsi="宋体"/>
          <w:color w:val="auto"/>
          <w:sz w:val="22"/>
          <w:szCs w:val="22"/>
          <w:highlight w:val="none"/>
          <w:u w:val="single"/>
        </w:rPr>
        <w:t>配合完成白蚁防治工程、水土保持工程、环保等相关的专项验收。</w:t>
      </w:r>
    </w:p>
    <w:p w14:paraId="7A079FDC">
      <w:pPr>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2.2 监理工作内容还包括：监理服务各阶段内的具体监理工作，按照相关监理规范中规定的监理内容，并结合本工程具体情况对工程实施全过程监理，包括：</w:t>
      </w:r>
    </w:p>
    <w:p w14:paraId="2F95ACD7">
      <w:pPr>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（1）编制监理规划或计划；</w:t>
      </w:r>
    </w:p>
    <w:p w14:paraId="7A9222F9">
      <w:pPr>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（2）熟悉合同文件，了解施工现场；</w:t>
      </w:r>
    </w:p>
    <w:p w14:paraId="3A49E1B2">
      <w:pPr>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（3）组织交桩</w:t>
      </w: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工程测量资料和</w:t>
      </w:r>
      <w:r>
        <w:rPr>
          <w:rFonts w:hint="eastAsia" w:ascii="宋体" w:hAnsi="宋体"/>
          <w:color w:val="auto"/>
          <w:sz w:val="22"/>
          <w:szCs w:val="22"/>
          <w:highlight w:val="none"/>
        </w:rPr>
        <w:t>设计交底工作，审查承包人提交的复测成果和施工图设计；</w:t>
      </w:r>
    </w:p>
    <w:p w14:paraId="18F1A80D">
      <w:pPr>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（4）督促和检查承包人建立质量保证体系和安全保障体系；</w:t>
      </w:r>
    </w:p>
    <w:p w14:paraId="4AB4B53A">
      <w:pPr>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（5）主持召开第一次工地会议和常规工地会议；</w:t>
      </w:r>
    </w:p>
    <w:p w14:paraId="6D07B4EC">
      <w:pPr>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（6）发布开(复)工令，批准单项工程开工报告；</w:t>
      </w:r>
    </w:p>
    <w:p w14:paraId="0649000E">
      <w:pPr>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（7）审核承包人授权的常驻现场代表的资质，以及其它派驻现场的主要技术、管理人员的资质；</w:t>
      </w:r>
    </w:p>
    <w:p w14:paraId="114322BE">
      <w:pPr>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（8）验收承包人的工地实验室，审核其人员资质；</w:t>
      </w:r>
    </w:p>
    <w:p w14:paraId="04210F4D">
      <w:pPr>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（9）建立监理的试验、检测工作体系，按规定频率独立开展监理的试验、检测工作；</w:t>
      </w:r>
    </w:p>
    <w:p w14:paraId="4DAEDEFE">
      <w:pPr>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（10）审批承包人拟用于本工程的原始材料、成套设备的品质以及工艺试验，对标准试验必须进行复验和审定；</w:t>
      </w:r>
    </w:p>
    <w:p w14:paraId="2C488F58">
      <w:pPr>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（11）审查承包人拟用于本工程的机械装备的性能与数量；</w:t>
      </w:r>
    </w:p>
    <w:p w14:paraId="305958BF">
      <w:pPr>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（12）审批承包人实施本工程的施工方案及主要方法或工艺；</w:t>
      </w:r>
    </w:p>
    <w:p w14:paraId="08EE685D">
      <w:pPr>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（13）审查分包合同和分包人的资质，控制重要外购成品或半成品件的质量；</w:t>
      </w:r>
    </w:p>
    <w:p w14:paraId="51DE0944">
      <w:pPr>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（14）审批承包人提交的总体进度计划，检查和督促承包人实施进度计划，核批承包人的修正计划；</w:t>
      </w:r>
    </w:p>
    <w:p w14:paraId="08A6FBD9">
      <w:pPr>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（15）要求承包人按照合同条件、技术规范和监理程序进行施工，通过旁站、巡视、检测、试验和整体验收等手段全面监理、检查和控制工程质量；</w:t>
      </w:r>
    </w:p>
    <w:p w14:paraId="356AD384">
      <w:pPr>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（16）签发中间交工证书；</w:t>
      </w:r>
    </w:p>
    <w:p w14:paraId="580B06FE">
      <w:pPr>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（17）对设计变更工程费用调整、工期减短或顺延，工程量的签证等事项必须与委托人共同签署相关书面文件；</w:t>
      </w:r>
    </w:p>
    <w:p w14:paraId="73A37053">
      <w:pPr>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（18）调查、处理工程质量缺陷和事故，出现重大质量事故时，督促承包人按规定上报有关部门；</w:t>
      </w:r>
    </w:p>
    <w:p w14:paraId="35D04F6C">
      <w:pPr>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（19）发布停工令，并如实书面报告委托人；</w:t>
      </w:r>
    </w:p>
    <w:p w14:paraId="5DD84763">
      <w:pPr>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（20）对已完工并经检验合格的工程进行准确的计量；</w:t>
      </w:r>
    </w:p>
    <w:p w14:paraId="5E2D56FD">
      <w:pPr>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（21）签认中期支付凭证；</w:t>
      </w:r>
    </w:p>
    <w:p w14:paraId="3931868F">
      <w:pPr>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（22）评估变更令；对工程变更的必要性和可行性进行评估；</w:t>
      </w:r>
    </w:p>
    <w:p w14:paraId="4FC78717">
      <w:pPr>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（23）受理合同事宜，根据合同规定进行评估和处理；</w:t>
      </w:r>
    </w:p>
    <w:p w14:paraId="4E83FC4A">
      <w:pPr>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（24）根据合同规定处理违约事件，协调争端，在仲裁过程中作证；</w:t>
      </w:r>
    </w:p>
    <w:p w14:paraId="4FF418B5">
      <w:pPr>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（25）编制监理工作月报、季报和年报；</w:t>
      </w:r>
    </w:p>
    <w:p w14:paraId="1A3BAD0D">
      <w:pPr>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（26）对承包人的交工申请进行评估，组织对拟交工工程的检查和验收；</w:t>
      </w:r>
    </w:p>
    <w:p w14:paraId="26D7FB51">
      <w:pPr>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（27）签发交工证书；</w:t>
      </w:r>
    </w:p>
    <w:p w14:paraId="625B4377">
      <w:pPr>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（28）督促、检查承包人按工程管理部门和委托人的要求编制竣工文件；</w:t>
      </w:r>
    </w:p>
    <w:p w14:paraId="215C27C3">
      <w:pPr>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（29）编制监理方面的竣工文件；</w:t>
      </w:r>
    </w:p>
    <w:p w14:paraId="6192F616">
      <w:pPr>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（30）监督承包人认真执行保修期的工作计划，检查和验收剩余工程，调查已交工工程中出现缺陷、病害的原因并确定相应责任；</w:t>
      </w:r>
    </w:p>
    <w:p w14:paraId="1F2E2A89">
      <w:pPr>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（31）签发工程缺陷责任终止证书；</w:t>
      </w:r>
    </w:p>
    <w:p w14:paraId="3B4A3C5C">
      <w:pPr>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（32）签发最终支付证书；</w:t>
      </w:r>
    </w:p>
    <w:p w14:paraId="579A4CAB">
      <w:pPr>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（33）配合委托人的竣工验收和工程移交工作；</w:t>
      </w:r>
    </w:p>
    <w:p w14:paraId="0B7189AB">
      <w:pPr>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（34）按委托人要求完成与本项目工程有关的各项测量工作；</w:t>
      </w:r>
    </w:p>
    <w:p w14:paraId="63519E81">
      <w:pPr>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35）监理人需会同委托人代表共同签署才有效的文件：①设计变更；②费用调整；③工程量签证；④工期减短或顺延；⑤其他：按委托人与监理人所签署监理合同，非委托人明确授权的事项，须监理人、委托人代表共同签认并加盖委托人认可的公章方可有效。</w:t>
      </w:r>
    </w:p>
    <w:p w14:paraId="2F1717EE">
      <w:pPr>
        <w:pStyle w:val="8"/>
        <w:spacing w:line="360" w:lineRule="auto"/>
        <w:ind w:firstLine="0"/>
        <w:rPr>
          <w:rFonts w:hint="eastAsia" w:ascii="宋体" w:hAnsi="宋体" w:eastAsia="宋体" w:cs="宋体"/>
          <w:b/>
          <w:bCs/>
          <w:color w:val="auto"/>
          <w:highlight w:val="none"/>
        </w:rPr>
      </w:pPr>
      <w:r>
        <w:rPr>
          <w:rFonts w:hint="eastAsia" w:ascii="宋体" w:hAnsi="宋体" w:eastAsia="宋体" w:cs="宋体"/>
          <w:b/>
          <w:bCs/>
          <w:color w:val="auto"/>
          <w:highlight w:val="none"/>
        </w:rPr>
        <w:t>3.监理依据</w:t>
      </w:r>
    </w:p>
    <w:p w14:paraId="1CD01020">
      <w:pPr>
        <w:pStyle w:val="26"/>
        <w:spacing w:before="0" w:beforeAutospacing="0" w:after="0" w:afterAutospacing="0" w:line="360" w:lineRule="auto"/>
        <w:ind w:firstLine="440" w:firstLineChars="200"/>
        <w:rPr>
          <w:rFonts w:hint="eastAsia"/>
          <w:color w:val="auto"/>
          <w:sz w:val="22"/>
          <w:szCs w:val="22"/>
          <w:highlight w:val="none"/>
        </w:rPr>
      </w:pPr>
      <w:r>
        <w:rPr>
          <w:rFonts w:hint="eastAsia"/>
          <w:color w:val="auto"/>
          <w:sz w:val="22"/>
          <w:szCs w:val="22"/>
          <w:highlight w:val="none"/>
          <w:u w:val="single"/>
        </w:rPr>
        <w:t>a、国家、地方现行建设法律法规；b、正式的工程项目施工图纸、说明及施工规范等；c、本工程监理招标文件及投标文件；d、委托人与承包人签定的正式合同或协议，本合同所规定的条款；e、国家、地方现行相关监理规范。</w:t>
      </w:r>
    </w:p>
    <w:p w14:paraId="4D0B5745">
      <w:pPr>
        <w:spacing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4.其他要求</w:t>
      </w:r>
    </w:p>
    <w:p w14:paraId="4891557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详见本招标文件的第一章投标人须知和本工程委托监理合同的相关约定。</w:t>
      </w:r>
    </w:p>
    <w:p w14:paraId="49EC0E88">
      <w:pPr>
        <w:spacing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5、适用规范标准</w:t>
      </w:r>
    </w:p>
    <w:p w14:paraId="438C961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《建设工程监理规范》及国家关于监理的法律、法规、规章及规范性文件。</w:t>
      </w:r>
    </w:p>
    <w:p w14:paraId="7E0DEA9A">
      <w:pPr>
        <w:spacing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6、监理人需要自备的工作条件</w:t>
      </w:r>
    </w:p>
    <w:p w14:paraId="12CF74C7">
      <w:pPr>
        <w:spacing w:line="360" w:lineRule="auto"/>
        <w:ind w:firstLine="420" w:firstLineChars="200"/>
        <w:rPr>
          <w:rFonts w:ascii="宋体" w:hAnsi="宋体" w:cs="宋体"/>
          <w:color w:val="auto"/>
          <w:sz w:val="24"/>
          <w:szCs w:val="24"/>
          <w:highlight w:val="none"/>
        </w:rPr>
      </w:pPr>
      <w:r>
        <w:rPr>
          <w:rFonts w:hint="eastAsia" w:ascii="宋体" w:hAnsi="宋体" w:eastAsia="宋体" w:cs="宋体"/>
          <w:color w:val="auto"/>
          <w:highlight w:val="none"/>
        </w:rPr>
        <w:t>监理人员的生活用品、交通工具、通讯、办公用品、监理用具、保险等必备用品由监理人自行解决，在投标报价时应考虑此费用。</w:t>
      </w:r>
    </w:p>
    <w:p w14:paraId="297BD05F">
      <w:pPr>
        <w:jc w:val="center"/>
        <w:rPr>
          <w:rFonts w:ascii="宋体" w:hAnsi="宋体" w:cs="宋体"/>
          <w:color w:val="auto"/>
          <w:sz w:val="24"/>
          <w:szCs w:val="24"/>
          <w:highlight w:val="none"/>
        </w:rPr>
      </w:pPr>
    </w:p>
    <w:p w14:paraId="75A7D418">
      <w:pPr>
        <w:tabs>
          <w:tab w:val="left" w:pos="105"/>
        </w:tabs>
        <w:topLinePunct w:val="0"/>
        <w:adjustRightInd/>
        <w:snapToGrid/>
        <w:spacing w:line="360" w:lineRule="auto"/>
        <w:ind w:firstLine="0" w:firstLineChars="0"/>
        <w:jc w:val="left"/>
        <w:rPr>
          <w:rFonts w:hint="eastAsia" w:ascii="宋体" w:hAnsi="宋体" w:cs="宋体"/>
          <w:b/>
          <w:snapToGrid w:val="0"/>
          <w:color w:val="auto"/>
          <w:spacing w:val="4"/>
          <w:kern w:val="0"/>
          <w:sz w:val="24"/>
          <w:szCs w:val="21"/>
          <w:highlight w:val="none"/>
        </w:rPr>
      </w:pPr>
      <w:r>
        <w:rPr>
          <w:rFonts w:hint="eastAsia" w:ascii="宋体" w:hAnsi="宋体"/>
          <w:color w:val="auto"/>
          <w:sz w:val="24"/>
          <w:highlight w:val="none"/>
          <w:lang w:val="en-US" w:eastAsia="zh-CN"/>
        </w:rPr>
        <w:t>二、</w:t>
      </w:r>
      <w:r>
        <w:rPr>
          <w:rFonts w:hint="eastAsia" w:ascii="宋体" w:hAnsi="宋体"/>
          <w:color w:val="auto"/>
          <w:sz w:val="24"/>
          <w:highlight w:val="none"/>
        </w:rPr>
        <w:t>监理机构人员配备要求：</w:t>
      </w:r>
    </w:p>
    <w:p w14:paraId="7DC4DB3D">
      <w:pPr>
        <w:topLinePunct/>
        <w:adjustRightInd w:val="0"/>
        <w:snapToGrid w:val="0"/>
        <w:spacing w:line="360" w:lineRule="auto"/>
        <w:ind w:firstLine="498" w:firstLineChars="200"/>
        <w:jc w:val="center"/>
        <w:rPr>
          <w:color w:val="auto"/>
          <w:highlight w:val="none"/>
        </w:rPr>
      </w:pPr>
      <w:r>
        <w:rPr>
          <w:rFonts w:hint="eastAsia" w:ascii="宋体" w:hAnsi="宋体" w:cs="宋体"/>
          <w:b/>
          <w:snapToGrid w:val="0"/>
          <w:color w:val="auto"/>
          <w:spacing w:val="4"/>
          <w:kern w:val="0"/>
          <w:sz w:val="24"/>
          <w:szCs w:val="21"/>
          <w:highlight w:val="none"/>
        </w:rPr>
        <w:t>项目监理部组成人员配备基本要求表</w:t>
      </w:r>
    </w:p>
    <w:tbl>
      <w:tblPr>
        <w:tblStyle w:val="30"/>
        <w:tblpPr w:leftFromText="180" w:rightFromText="180" w:vertAnchor="text" w:horzAnchor="page" w:tblpX="1611" w:tblpY="109"/>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0"/>
        <w:gridCol w:w="1350"/>
        <w:gridCol w:w="1984"/>
        <w:gridCol w:w="1826"/>
        <w:gridCol w:w="2622"/>
      </w:tblGrid>
      <w:tr w14:paraId="2EEB0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4" w:hRule="atLeast"/>
        </w:trPr>
        <w:tc>
          <w:tcPr>
            <w:tcW w:w="935" w:type="pct"/>
            <w:tcBorders>
              <w:top w:val="single" w:color="auto" w:sz="4" w:space="0"/>
              <w:left w:val="single" w:color="auto" w:sz="4" w:space="0"/>
              <w:bottom w:val="single" w:color="auto" w:sz="4" w:space="0"/>
              <w:right w:val="single" w:color="auto" w:sz="4" w:space="0"/>
            </w:tcBorders>
            <w:noWrap/>
            <w:vAlign w:val="center"/>
          </w:tcPr>
          <w:p w14:paraId="0310A16C">
            <w:pPr>
              <w:widowControl/>
              <w:tabs>
                <w:tab w:val="left" w:pos="105"/>
              </w:tabs>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岗位</w:t>
            </w:r>
          </w:p>
        </w:tc>
        <w:tc>
          <w:tcPr>
            <w:tcW w:w="705" w:type="pct"/>
            <w:tcBorders>
              <w:top w:val="single" w:color="auto" w:sz="4" w:space="0"/>
              <w:left w:val="single" w:color="auto" w:sz="4" w:space="0"/>
              <w:bottom w:val="single" w:color="auto" w:sz="4" w:space="0"/>
              <w:right w:val="single" w:color="auto" w:sz="4" w:space="0"/>
            </w:tcBorders>
            <w:noWrap/>
            <w:vAlign w:val="center"/>
          </w:tcPr>
          <w:p w14:paraId="7801A8AB">
            <w:pPr>
              <w:widowControl/>
              <w:tabs>
                <w:tab w:val="left" w:pos="105"/>
              </w:tabs>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人员要求</w:t>
            </w:r>
          </w:p>
        </w:tc>
        <w:tc>
          <w:tcPr>
            <w:tcW w:w="3359" w:type="pct"/>
            <w:gridSpan w:val="3"/>
            <w:tcBorders>
              <w:top w:val="single" w:color="auto" w:sz="4" w:space="0"/>
              <w:left w:val="single" w:color="auto" w:sz="4" w:space="0"/>
              <w:bottom w:val="single" w:color="auto" w:sz="4" w:space="0"/>
              <w:right w:val="single" w:color="auto" w:sz="4" w:space="0"/>
            </w:tcBorders>
            <w:noWrap/>
            <w:vAlign w:val="center"/>
          </w:tcPr>
          <w:p w14:paraId="61382851">
            <w:pPr>
              <w:widowControl/>
              <w:tabs>
                <w:tab w:val="left" w:pos="105"/>
              </w:tabs>
              <w:spacing w:line="360" w:lineRule="auto"/>
              <w:ind w:left="-1" w:firstLine="422" w:firstLineChars="20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持证上岗要求</w:t>
            </w:r>
          </w:p>
        </w:tc>
      </w:tr>
      <w:tr w14:paraId="4BFC0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trPr>
        <w:tc>
          <w:tcPr>
            <w:tcW w:w="935" w:type="pct"/>
            <w:tcBorders>
              <w:top w:val="single" w:color="auto" w:sz="4" w:space="0"/>
              <w:left w:val="single" w:color="auto" w:sz="4" w:space="0"/>
              <w:bottom w:val="single" w:color="auto" w:sz="4" w:space="0"/>
              <w:right w:val="single" w:color="auto" w:sz="4" w:space="0"/>
            </w:tcBorders>
            <w:noWrap/>
            <w:vAlign w:val="center"/>
          </w:tcPr>
          <w:p w14:paraId="0D689D3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tc>
        <w:tc>
          <w:tcPr>
            <w:tcW w:w="705" w:type="pct"/>
            <w:tcBorders>
              <w:top w:val="single" w:color="auto" w:sz="4" w:space="0"/>
              <w:left w:val="single" w:color="auto" w:sz="4" w:space="0"/>
              <w:bottom w:val="single" w:color="auto" w:sz="4" w:space="0"/>
              <w:right w:val="single" w:color="auto" w:sz="4" w:space="0"/>
            </w:tcBorders>
            <w:noWrap/>
            <w:vAlign w:val="center"/>
          </w:tcPr>
          <w:p w14:paraId="28790A5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1名</w:t>
            </w:r>
          </w:p>
        </w:tc>
        <w:tc>
          <w:tcPr>
            <w:tcW w:w="3359" w:type="pct"/>
            <w:gridSpan w:val="3"/>
            <w:tcBorders>
              <w:top w:val="single" w:color="auto" w:sz="4" w:space="0"/>
              <w:left w:val="single" w:color="auto" w:sz="4" w:space="0"/>
              <w:bottom w:val="single" w:color="auto" w:sz="4" w:space="0"/>
              <w:right w:val="single" w:color="auto" w:sz="4" w:space="0"/>
            </w:tcBorders>
            <w:noWrap/>
            <w:vAlign w:val="center"/>
          </w:tcPr>
          <w:p w14:paraId="510D362A">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要求为注册监理工程师、注册专业为房屋建筑工程，并具备本科或以上学历；</w:t>
            </w:r>
            <w:r>
              <w:rPr>
                <w:rFonts w:hint="eastAsia" w:ascii="宋体" w:hAnsi="宋体" w:eastAsia="宋体" w:cs="宋体"/>
                <w:color w:val="auto"/>
                <w:sz w:val="21"/>
                <w:szCs w:val="21"/>
                <w:highlight w:val="none"/>
                <w:u w:val="single"/>
              </w:rPr>
              <w:t>或已在广东省住房和城乡建设主管部门备案且备案的业务范围相当于注册监理工程师的香港专业人士[香港专业人士的备案业务范围依据《广东省住房和城乡建设厅关于印发香港工程建设咨询企业和专业人士在粤港澳大湾区内地城市开业执业试点管理暂行办法的通知》（粤建规范[2020]1号）确定]。</w:t>
            </w:r>
          </w:p>
        </w:tc>
      </w:tr>
      <w:tr w14:paraId="230B5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935" w:type="pct"/>
            <w:tcBorders>
              <w:top w:val="single" w:color="auto" w:sz="4" w:space="0"/>
              <w:left w:val="single" w:color="auto" w:sz="4" w:space="0"/>
              <w:bottom w:val="single" w:color="auto" w:sz="4" w:space="0"/>
              <w:right w:val="single" w:color="auto" w:sz="4" w:space="0"/>
            </w:tcBorders>
            <w:noWrap/>
            <w:vAlign w:val="center"/>
          </w:tcPr>
          <w:p w14:paraId="29B6D9A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p w14:paraId="1DA6453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代表</w:t>
            </w:r>
          </w:p>
        </w:tc>
        <w:tc>
          <w:tcPr>
            <w:tcW w:w="705" w:type="pct"/>
            <w:tcBorders>
              <w:top w:val="single" w:color="auto" w:sz="4" w:space="0"/>
              <w:left w:val="single" w:color="auto" w:sz="4" w:space="0"/>
              <w:bottom w:val="single" w:color="auto" w:sz="4" w:space="0"/>
              <w:right w:val="single" w:color="auto" w:sz="4" w:space="0"/>
            </w:tcBorders>
            <w:noWrap/>
            <w:vAlign w:val="center"/>
          </w:tcPr>
          <w:p w14:paraId="10A1FCE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1名</w:t>
            </w:r>
          </w:p>
        </w:tc>
        <w:tc>
          <w:tcPr>
            <w:tcW w:w="3359" w:type="pct"/>
            <w:gridSpan w:val="3"/>
            <w:tcBorders>
              <w:top w:val="single" w:color="auto" w:sz="4" w:space="0"/>
              <w:left w:val="single" w:color="auto" w:sz="4" w:space="0"/>
              <w:bottom w:val="single" w:color="auto" w:sz="4" w:space="0"/>
              <w:right w:val="single" w:color="auto" w:sz="4" w:space="0"/>
            </w:tcBorders>
            <w:noWrap/>
            <w:vAlign w:val="center"/>
          </w:tcPr>
          <w:p w14:paraId="024C85A2">
            <w:pPr>
              <w:spacing w:line="360" w:lineRule="auto"/>
              <w:jc w:val="left"/>
              <w:rPr>
                <w:rFonts w:hint="default" w:ascii="宋体" w:hAnsi="宋体" w:eastAsia="宋体" w:cs="宋体"/>
                <w:color w:val="auto"/>
                <w:sz w:val="21"/>
                <w:szCs w:val="21"/>
                <w:highlight w:val="none"/>
                <w:lang w:val="en-US" w:eastAsia="zh-CN"/>
              </w:rPr>
            </w:pPr>
            <w:r>
              <w:rPr>
                <w:rFonts w:hint="eastAsia"/>
                <w:color w:val="auto"/>
                <w:sz w:val="21"/>
                <w:szCs w:val="21"/>
                <w:highlight w:val="none"/>
              </w:rPr>
              <w:t>房建</w:t>
            </w:r>
            <w:r>
              <w:rPr>
                <w:rFonts w:hint="eastAsia"/>
                <w:color w:val="auto"/>
                <w:sz w:val="21"/>
                <w:szCs w:val="21"/>
                <w:highlight w:val="none"/>
                <w:lang w:val="en-US" w:eastAsia="zh-CN"/>
              </w:rPr>
              <w:t>类专业</w:t>
            </w:r>
            <w:r>
              <w:rPr>
                <w:rFonts w:hint="eastAsia"/>
                <w:color w:val="auto"/>
                <w:sz w:val="21"/>
                <w:szCs w:val="21"/>
                <w:highlight w:val="none"/>
              </w:rPr>
              <w:t>，</w:t>
            </w:r>
            <w:r>
              <w:rPr>
                <w:rFonts w:hint="eastAsia"/>
                <w:color w:val="auto"/>
                <w:sz w:val="21"/>
                <w:szCs w:val="21"/>
                <w:highlight w:val="none"/>
                <w:lang w:val="en-US" w:eastAsia="zh-CN"/>
              </w:rPr>
              <w:t>高级工程师或以上职称</w:t>
            </w:r>
          </w:p>
        </w:tc>
      </w:tr>
      <w:tr w14:paraId="4748F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935" w:type="pct"/>
            <w:tcBorders>
              <w:top w:val="single" w:color="auto" w:sz="4" w:space="0"/>
              <w:left w:val="single" w:color="auto" w:sz="4" w:space="0"/>
              <w:bottom w:val="single" w:color="auto" w:sz="4" w:space="0"/>
              <w:right w:val="single" w:color="auto" w:sz="4" w:space="0"/>
            </w:tcBorders>
            <w:noWrap/>
            <w:vAlign w:val="center"/>
          </w:tcPr>
          <w:p w14:paraId="2AD8A60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专业监理工程师</w:t>
            </w:r>
          </w:p>
        </w:tc>
        <w:tc>
          <w:tcPr>
            <w:tcW w:w="705" w:type="pct"/>
            <w:tcBorders>
              <w:top w:val="single" w:color="auto" w:sz="4" w:space="0"/>
              <w:left w:val="single" w:color="auto" w:sz="4" w:space="0"/>
              <w:bottom w:val="single" w:color="auto" w:sz="4" w:space="0"/>
              <w:right w:val="single" w:color="auto" w:sz="4" w:space="0"/>
            </w:tcBorders>
            <w:noWrap/>
            <w:vAlign w:val="center"/>
          </w:tcPr>
          <w:p w14:paraId="35B2E15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不少于</w:t>
            </w:r>
          </w:p>
          <w:p w14:paraId="3EBE1530">
            <w:pPr>
              <w:spacing w:line="36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名</w:t>
            </w:r>
          </w:p>
        </w:tc>
        <w:tc>
          <w:tcPr>
            <w:tcW w:w="1036" w:type="pct"/>
            <w:tcBorders>
              <w:top w:val="single" w:color="auto" w:sz="4" w:space="0"/>
              <w:left w:val="single" w:color="auto" w:sz="4" w:space="0"/>
              <w:bottom w:val="single" w:color="auto" w:sz="4" w:space="0"/>
              <w:right w:val="single" w:color="auto" w:sz="4" w:space="0"/>
            </w:tcBorders>
            <w:noWrap/>
            <w:vAlign w:val="center"/>
          </w:tcPr>
          <w:p w14:paraId="75E5248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建筑工程专业</w:t>
            </w:r>
          </w:p>
        </w:tc>
        <w:tc>
          <w:tcPr>
            <w:tcW w:w="953" w:type="pct"/>
            <w:tcBorders>
              <w:top w:val="single" w:color="auto" w:sz="4" w:space="0"/>
              <w:left w:val="single" w:color="auto" w:sz="4" w:space="0"/>
              <w:bottom w:val="single" w:color="auto" w:sz="4" w:space="0"/>
              <w:right w:val="single" w:color="auto" w:sz="4" w:space="0"/>
            </w:tcBorders>
            <w:noWrap/>
            <w:vAlign w:val="center"/>
          </w:tcPr>
          <w:p w14:paraId="73C701BD">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lang w:val="en-US" w:eastAsia="zh-CN"/>
              </w:rPr>
              <w:t>土建</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名</w:t>
            </w:r>
          </w:p>
          <w:p w14:paraId="27A6E0DC">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FE"/>
            </w:r>
            <w:r>
              <w:rPr>
                <w:rFonts w:hint="eastAsia" w:ascii="宋体" w:hAnsi="宋体" w:cs="宋体"/>
                <w:color w:val="auto"/>
                <w:sz w:val="21"/>
                <w:szCs w:val="21"/>
                <w:highlight w:val="none"/>
                <w:lang w:val="en-US" w:eastAsia="zh-CN"/>
              </w:rPr>
              <w:t>机电2</w:t>
            </w:r>
            <w:r>
              <w:rPr>
                <w:rFonts w:hint="eastAsia" w:ascii="宋体" w:hAnsi="宋体" w:eastAsia="宋体" w:cs="宋体"/>
                <w:color w:val="auto"/>
                <w:sz w:val="21"/>
                <w:szCs w:val="21"/>
                <w:highlight w:val="none"/>
              </w:rPr>
              <w:t>名</w:t>
            </w:r>
          </w:p>
          <w:p w14:paraId="64F96213">
            <w:pPr>
              <w:rPr>
                <w:color w:val="auto"/>
                <w:highlight w:val="none"/>
              </w:rPr>
            </w:pPr>
            <w:r>
              <w:rPr>
                <w:rFonts w:hint="eastAsia" w:ascii="宋体" w:hAnsi="宋体" w:eastAsia="宋体" w:cs="宋体"/>
                <w:color w:val="auto"/>
                <w:sz w:val="21"/>
                <w:szCs w:val="21"/>
                <w:highlight w:val="none"/>
              </w:rPr>
              <w:sym w:font="Wingdings" w:char="00FE"/>
            </w:r>
            <w:r>
              <w:rPr>
                <w:rFonts w:hint="eastAsia" w:ascii="宋体" w:hAnsi="宋体" w:cs="宋体"/>
                <w:color w:val="auto"/>
                <w:sz w:val="21"/>
                <w:szCs w:val="21"/>
                <w:highlight w:val="none"/>
                <w:lang w:val="en-US" w:eastAsia="zh-CN"/>
              </w:rPr>
              <w:t>给排水1</w:t>
            </w:r>
            <w:r>
              <w:rPr>
                <w:rFonts w:hint="eastAsia" w:ascii="宋体" w:hAnsi="宋体" w:eastAsia="宋体" w:cs="宋体"/>
                <w:color w:val="auto"/>
                <w:sz w:val="21"/>
                <w:szCs w:val="21"/>
                <w:highlight w:val="none"/>
              </w:rPr>
              <w:t>名</w:t>
            </w:r>
          </w:p>
          <w:p w14:paraId="7FE16E69">
            <w:pPr>
              <w:spacing w:line="360" w:lineRule="auto"/>
              <w:jc w:val="left"/>
              <w:rPr>
                <w:rFonts w:hint="eastAsia" w:ascii="宋体" w:hAnsi="宋体" w:eastAsia="宋体" w:cs="宋体"/>
                <w:color w:val="auto"/>
                <w:sz w:val="21"/>
                <w:szCs w:val="21"/>
                <w:highlight w:val="none"/>
              </w:rPr>
            </w:pPr>
          </w:p>
        </w:tc>
        <w:tc>
          <w:tcPr>
            <w:tcW w:w="1369" w:type="pct"/>
            <w:tcBorders>
              <w:top w:val="single" w:color="auto" w:sz="4" w:space="0"/>
              <w:left w:val="single" w:color="auto" w:sz="4" w:space="0"/>
              <w:bottom w:val="single" w:color="auto" w:sz="4" w:space="0"/>
              <w:right w:val="single" w:color="auto" w:sz="4" w:space="0"/>
            </w:tcBorders>
            <w:noWrap/>
            <w:vAlign w:val="center"/>
          </w:tcPr>
          <w:p w14:paraId="366BD864">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专业以监理工程师注册证或专业监理工程师证或职称证或毕业证中的专业名称（含相近专业）为准</w:t>
            </w:r>
          </w:p>
        </w:tc>
      </w:tr>
      <w:tr w14:paraId="1C0CC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935" w:type="pct"/>
            <w:tcBorders>
              <w:top w:val="single" w:color="auto" w:sz="4" w:space="0"/>
              <w:left w:val="single" w:color="auto" w:sz="4" w:space="0"/>
              <w:bottom w:val="single" w:color="auto" w:sz="4" w:space="0"/>
              <w:right w:val="single" w:color="auto" w:sz="4" w:space="0"/>
            </w:tcBorders>
            <w:noWrap/>
            <w:vAlign w:val="center"/>
          </w:tcPr>
          <w:p w14:paraId="5654B0C2">
            <w:pPr>
              <w:spacing w:line="360" w:lineRule="auto"/>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造价工程师</w:t>
            </w:r>
          </w:p>
        </w:tc>
        <w:tc>
          <w:tcPr>
            <w:tcW w:w="705" w:type="pct"/>
            <w:tcBorders>
              <w:top w:val="single" w:color="auto" w:sz="4" w:space="0"/>
              <w:left w:val="single" w:color="auto" w:sz="4" w:space="0"/>
              <w:bottom w:val="single" w:color="auto" w:sz="4" w:space="0"/>
              <w:right w:val="single" w:color="auto" w:sz="4" w:space="0"/>
            </w:tcBorders>
            <w:noWrap/>
            <w:vAlign w:val="center"/>
          </w:tcPr>
          <w:p w14:paraId="08991133">
            <w:pPr>
              <w:spacing w:line="360" w:lineRule="auto"/>
              <w:jc w:val="center"/>
              <w:rPr>
                <w:rFonts w:hint="default" w:ascii="宋体" w:hAnsi="宋体" w:eastAsia="宋体" w:cs="宋体"/>
                <w:color w:val="auto"/>
                <w:sz w:val="21"/>
                <w:szCs w:val="21"/>
                <w:highlight w:val="none"/>
                <w:u w:val="single"/>
              </w:rPr>
            </w:pPr>
            <w:r>
              <w:rPr>
                <w:rFonts w:hint="default"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rPr>
              <w:t>名</w:t>
            </w:r>
          </w:p>
        </w:tc>
        <w:tc>
          <w:tcPr>
            <w:tcW w:w="3359" w:type="pct"/>
            <w:gridSpan w:val="3"/>
            <w:tcBorders>
              <w:top w:val="single" w:color="auto" w:sz="4" w:space="0"/>
              <w:left w:val="single" w:color="auto" w:sz="4" w:space="0"/>
              <w:bottom w:val="single" w:color="auto" w:sz="4" w:space="0"/>
              <w:right w:val="single" w:color="auto" w:sz="4" w:space="0"/>
            </w:tcBorders>
            <w:noWrap/>
            <w:vAlign w:val="center"/>
          </w:tcPr>
          <w:p w14:paraId="1EF8FE37">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w:t>
            </w:r>
            <w:r>
              <w:rPr>
                <w:rFonts w:hint="eastAsia" w:ascii="宋体" w:hAnsi="宋体" w:cs="宋体"/>
                <w:color w:val="auto"/>
                <w:szCs w:val="21"/>
                <w:highlight w:val="none"/>
              </w:rPr>
              <w:t>一级注册造价师</w:t>
            </w:r>
          </w:p>
        </w:tc>
      </w:tr>
      <w:tr w14:paraId="5C89A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935" w:type="pct"/>
            <w:tcBorders>
              <w:top w:val="single" w:color="auto" w:sz="4" w:space="0"/>
              <w:left w:val="single" w:color="auto" w:sz="4" w:space="0"/>
              <w:bottom w:val="single" w:color="auto" w:sz="4" w:space="0"/>
              <w:right w:val="single" w:color="auto" w:sz="4" w:space="0"/>
            </w:tcBorders>
            <w:noWrap/>
            <w:vAlign w:val="center"/>
          </w:tcPr>
          <w:p w14:paraId="4610B78C">
            <w:pPr>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资料员</w:t>
            </w:r>
          </w:p>
        </w:tc>
        <w:tc>
          <w:tcPr>
            <w:tcW w:w="705" w:type="pct"/>
            <w:tcBorders>
              <w:top w:val="single" w:color="auto" w:sz="4" w:space="0"/>
              <w:left w:val="single" w:color="auto" w:sz="4" w:space="0"/>
              <w:bottom w:val="single" w:color="auto" w:sz="4" w:space="0"/>
              <w:right w:val="single" w:color="auto" w:sz="4" w:space="0"/>
            </w:tcBorders>
            <w:noWrap/>
            <w:vAlign w:val="center"/>
          </w:tcPr>
          <w:p w14:paraId="3B517D58">
            <w:pPr>
              <w:spacing w:line="360" w:lineRule="auto"/>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rPr>
              <w:t>名</w:t>
            </w:r>
          </w:p>
        </w:tc>
        <w:tc>
          <w:tcPr>
            <w:tcW w:w="3359" w:type="pct"/>
            <w:gridSpan w:val="3"/>
            <w:tcBorders>
              <w:top w:val="single" w:color="auto" w:sz="4" w:space="0"/>
              <w:left w:val="single" w:color="auto" w:sz="4" w:space="0"/>
              <w:bottom w:val="single" w:color="auto" w:sz="4" w:space="0"/>
              <w:right w:val="single" w:color="auto" w:sz="4" w:space="0"/>
            </w:tcBorders>
            <w:noWrap/>
            <w:vAlign w:val="center"/>
          </w:tcPr>
          <w:p w14:paraId="15ABAD22">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w:t>
            </w:r>
            <w:r>
              <w:rPr>
                <w:rFonts w:hint="eastAsia" w:ascii="宋体" w:hAnsi="宋体" w:cs="宋体"/>
                <w:color w:val="auto"/>
                <w:sz w:val="21"/>
                <w:szCs w:val="21"/>
                <w:highlight w:val="none"/>
              </w:rPr>
              <w:t>资料员证书</w:t>
            </w:r>
          </w:p>
        </w:tc>
      </w:tr>
      <w:tr w14:paraId="78978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935" w:type="pct"/>
            <w:tcBorders>
              <w:top w:val="single" w:color="auto" w:sz="4" w:space="0"/>
              <w:left w:val="single" w:color="auto" w:sz="4" w:space="0"/>
              <w:bottom w:val="single" w:color="auto" w:sz="4" w:space="0"/>
              <w:right w:val="single" w:color="auto" w:sz="4" w:space="0"/>
            </w:tcBorders>
            <w:noWrap/>
            <w:vAlign w:val="center"/>
          </w:tcPr>
          <w:p w14:paraId="0765046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安全监理员</w:t>
            </w:r>
          </w:p>
        </w:tc>
        <w:tc>
          <w:tcPr>
            <w:tcW w:w="705" w:type="pct"/>
            <w:tcBorders>
              <w:top w:val="single" w:color="auto" w:sz="4" w:space="0"/>
              <w:left w:val="single" w:color="auto" w:sz="4" w:space="0"/>
              <w:bottom w:val="single" w:color="auto" w:sz="4" w:space="0"/>
              <w:right w:val="single" w:color="auto" w:sz="4" w:space="0"/>
            </w:tcBorders>
            <w:noWrap/>
            <w:vAlign w:val="center"/>
          </w:tcPr>
          <w:p w14:paraId="2643A6E9">
            <w:pPr>
              <w:spacing w:line="360" w:lineRule="auto"/>
              <w:jc w:val="center"/>
              <w:rPr>
                <w:rFonts w:hint="eastAsia" w:ascii="宋体" w:hAnsi="宋体" w:eastAsia="宋体" w:cs="宋体"/>
                <w:color w:val="auto"/>
                <w:sz w:val="21"/>
                <w:szCs w:val="21"/>
                <w:highlight w:val="none"/>
              </w:rPr>
            </w:pPr>
            <w:r>
              <w:rPr>
                <w:rFonts w:hint="default"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rPr>
              <w:t>名</w:t>
            </w:r>
          </w:p>
        </w:tc>
        <w:tc>
          <w:tcPr>
            <w:tcW w:w="3359" w:type="pct"/>
            <w:gridSpan w:val="3"/>
            <w:tcBorders>
              <w:top w:val="single" w:color="auto" w:sz="4" w:space="0"/>
              <w:left w:val="single" w:color="auto" w:sz="4" w:space="0"/>
              <w:bottom w:val="single" w:color="auto" w:sz="4" w:space="0"/>
              <w:right w:val="single" w:color="auto" w:sz="4" w:space="0"/>
            </w:tcBorders>
            <w:noWrap/>
            <w:vAlign w:val="center"/>
          </w:tcPr>
          <w:p w14:paraId="1B427809">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具备注册安全工程师资格或安全监理员证</w:t>
            </w:r>
          </w:p>
        </w:tc>
      </w:tr>
      <w:tr w14:paraId="16745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935" w:type="pct"/>
            <w:tcBorders>
              <w:top w:val="single" w:color="auto" w:sz="4" w:space="0"/>
              <w:left w:val="single" w:color="auto" w:sz="4" w:space="0"/>
              <w:bottom w:val="single" w:color="auto" w:sz="4" w:space="0"/>
              <w:right w:val="single" w:color="auto" w:sz="4" w:space="0"/>
            </w:tcBorders>
            <w:noWrap/>
            <w:vAlign w:val="center"/>
          </w:tcPr>
          <w:p w14:paraId="1408ED0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监理员</w:t>
            </w:r>
          </w:p>
        </w:tc>
        <w:tc>
          <w:tcPr>
            <w:tcW w:w="705" w:type="pct"/>
            <w:tcBorders>
              <w:top w:val="single" w:color="auto" w:sz="4" w:space="0"/>
              <w:left w:val="single" w:color="auto" w:sz="4" w:space="0"/>
              <w:bottom w:val="single" w:color="auto" w:sz="4" w:space="0"/>
              <w:right w:val="single" w:color="auto" w:sz="4" w:space="0"/>
            </w:tcBorders>
            <w:noWrap/>
            <w:vAlign w:val="center"/>
          </w:tcPr>
          <w:p w14:paraId="52818A04">
            <w:pPr>
              <w:spacing w:line="36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rPr>
              <w:t>名</w:t>
            </w:r>
          </w:p>
        </w:tc>
        <w:tc>
          <w:tcPr>
            <w:tcW w:w="3359" w:type="pct"/>
            <w:gridSpan w:val="3"/>
            <w:tcBorders>
              <w:top w:val="single" w:color="auto" w:sz="4" w:space="0"/>
              <w:left w:val="single" w:color="auto" w:sz="4" w:space="0"/>
              <w:bottom w:val="single" w:color="auto" w:sz="4" w:space="0"/>
              <w:right w:val="single" w:color="auto" w:sz="4" w:space="0"/>
            </w:tcBorders>
            <w:noWrap/>
            <w:vAlign w:val="center"/>
          </w:tcPr>
          <w:p w14:paraId="5D8E4FF3">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具备监理员证</w:t>
            </w:r>
          </w:p>
        </w:tc>
      </w:tr>
      <w:tr w14:paraId="437D8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935" w:type="pct"/>
            <w:tcBorders>
              <w:top w:val="single" w:color="auto" w:sz="4" w:space="0"/>
              <w:left w:val="single" w:color="auto" w:sz="4" w:space="0"/>
              <w:bottom w:val="single" w:color="auto" w:sz="4" w:space="0"/>
              <w:right w:val="single" w:color="auto" w:sz="4" w:space="0"/>
            </w:tcBorders>
            <w:noWrap/>
            <w:vAlign w:val="center"/>
          </w:tcPr>
          <w:p w14:paraId="0E703C3B">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总计</w:t>
            </w:r>
          </w:p>
        </w:tc>
        <w:tc>
          <w:tcPr>
            <w:tcW w:w="705" w:type="pct"/>
            <w:tcBorders>
              <w:top w:val="single" w:color="auto" w:sz="4" w:space="0"/>
              <w:left w:val="single" w:color="auto" w:sz="4" w:space="0"/>
              <w:bottom w:val="single" w:color="auto" w:sz="4" w:space="0"/>
              <w:right w:val="single" w:color="auto" w:sz="4" w:space="0"/>
            </w:tcBorders>
            <w:noWrap/>
            <w:vAlign w:val="center"/>
          </w:tcPr>
          <w:p w14:paraId="304381B1">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不少于</w:t>
            </w:r>
          </w:p>
          <w:p w14:paraId="2550B236">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rPr>
              <w:t>名</w:t>
            </w:r>
          </w:p>
        </w:tc>
        <w:tc>
          <w:tcPr>
            <w:tcW w:w="3359" w:type="pct"/>
            <w:gridSpan w:val="3"/>
            <w:tcBorders>
              <w:top w:val="single" w:color="auto" w:sz="4" w:space="0"/>
              <w:left w:val="single" w:color="auto" w:sz="4" w:space="0"/>
              <w:bottom w:val="single" w:color="auto" w:sz="4" w:space="0"/>
              <w:right w:val="single" w:color="auto" w:sz="4" w:space="0"/>
            </w:tcBorders>
            <w:noWrap/>
            <w:vAlign w:val="center"/>
          </w:tcPr>
          <w:p w14:paraId="4E8BA695">
            <w:pPr>
              <w:spacing w:line="360" w:lineRule="auto"/>
              <w:jc w:val="center"/>
              <w:rPr>
                <w:rFonts w:hint="eastAsia" w:ascii="宋体" w:hAnsi="宋体" w:eastAsia="宋体" w:cs="宋体"/>
                <w:color w:val="auto"/>
                <w:sz w:val="21"/>
                <w:szCs w:val="21"/>
                <w:highlight w:val="none"/>
              </w:rPr>
            </w:pPr>
          </w:p>
        </w:tc>
      </w:tr>
    </w:tbl>
    <w:p w14:paraId="4FD3C65D">
      <w:pPr>
        <w:spacing w:line="360" w:lineRule="auto"/>
        <w:rPr>
          <w:rFonts w:hint="eastAsia" w:ascii="宋体" w:hAnsi="宋体"/>
          <w:color w:val="auto"/>
          <w:szCs w:val="21"/>
          <w:highlight w:val="none"/>
          <w:u w:val="none"/>
        </w:rPr>
      </w:pPr>
      <w:r>
        <w:rPr>
          <w:rFonts w:hint="eastAsia" w:ascii="宋体" w:cs="宋体"/>
          <w:color w:val="auto"/>
          <w:szCs w:val="21"/>
          <w:highlight w:val="none"/>
        </w:rPr>
        <w:t>注：1、</w:t>
      </w:r>
      <w:r>
        <w:rPr>
          <w:rFonts w:ascii="宋体" w:hAnsi="宋体"/>
          <w:color w:val="auto"/>
          <w:szCs w:val="21"/>
          <w:highlight w:val="none"/>
        </w:rPr>
        <w:t>投标人提供的人员须为投标人在职员工</w:t>
      </w:r>
      <w:r>
        <w:rPr>
          <w:rFonts w:hint="eastAsia" w:ascii="宋体" w:hAnsi="宋体"/>
          <w:color w:val="auto"/>
          <w:szCs w:val="21"/>
          <w:highlight w:val="none"/>
        </w:rPr>
        <w:t>，人员岗位不得兼任</w:t>
      </w:r>
      <w:r>
        <w:rPr>
          <w:rFonts w:ascii="宋体" w:hAnsi="宋体"/>
          <w:color w:val="auto"/>
          <w:szCs w:val="21"/>
          <w:highlight w:val="none"/>
        </w:rPr>
        <w:t>，</w:t>
      </w:r>
      <w:r>
        <w:rPr>
          <w:rFonts w:hint="eastAsia" w:ascii="宋体" w:hAnsi="宋体"/>
          <w:color w:val="auto"/>
          <w:szCs w:val="21"/>
          <w:highlight w:val="none"/>
        </w:rPr>
        <w:t xml:space="preserve">同时提供相关证书等证明材料及在本单位离投标截止时间前最近一个月的社保缴纳证明材料（即 </w:t>
      </w:r>
      <w:r>
        <w:rPr>
          <w:rFonts w:hint="eastAsia" w:ascii="宋体" w:hAnsi="宋体"/>
          <w:color w:val="auto"/>
          <w:szCs w:val="21"/>
          <w:highlight w:val="none"/>
          <w:lang w:eastAsia="zh-CN"/>
        </w:rPr>
        <w:t>2025</w:t>
      </w:r>
      <w:r>
        <w:rPr>
          <w:rFonts w:hint="eastAsia" w:ascii="宋体" w:hAnsi="宋体"/>
          <w:color w:val="auto"/>
          <w:szCs w:val="21"/>
          <w:highlight w:val="none"/>
        </w:rPr>
        <w:t>年</w:t>
      </w:r>
      <w:r>
        <w:rPr>
          <w:rFonts w:hint="eastAsia" w:ascii="宋体" w:hAnsi="宋体"/>
          <w:color w:val="auto"/>
          <w:szCs w:val="21"/>
          <w:highlight w:val="none"/>
          <w:lang w:val="en-US" w:eastAsia="zh-CN"/>
        </w:rPr>
        <w:t>8</w:t>
      </w:r>
      <w:r>
        <w:rPr>
          <w:rFonts w:hint="eastAsia" w:ascii="宋体" w:hAnsi="宋体"/>
          <w:color w:val="auto"/>
          <w:szCs w:val="21"/>
          <w:highlight w:val="none"/>
        </w:rPr>
        <w:t>月）扫描件并加盖投标人电子印章</w:t>
      </w:r>
      <w:r>
        <w:rPr>
          <w:rFonts w:hint="eastAsia" w:ascii="宋体" w:hAnsi="宋体"/>
          <w:color w:val="auto"/>
          <w:szCs w:val="21"/>
          <w:highlight w:val="none"/>
          <w:u w:val="none"/>
        </w:rPr>
        <w:t>。</w:t>
      </w:r>
    </w:p>
    <w:p w14:paraId="297763DF">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none"/>
          <w:lang w:val="en-US" w:eastAsia="zh-CN"/>
        </w:rPr>
        <w:t>2、</w:t>
      </w:r>
      <w:r>
        <w:rPr>
          <w:rFonts w:hint="eastAsia" w:ascii="宋体" w:hAnsi="宋体"/>
          <w:color w:val="auto"/>
          <w:szCs w:val="21"/>
          <w:highlight w:val="none"/>
          <w:u w:val="none"/>
        </w:rPr>
        <w:t>一级注册造价工程师是指根据住房城乡建设部、交通运输部、水利部、人力资源社会保障部发布的《造价工程师职业资格制度规定》《造价工程师职业资格考试实施办法》（建人〔2018〕67号）取得的一级造价工程师职业资格，并经注册且在有效期内。按照《造价工程师职业资格制度规定》的规定，根据原人事部、原建设部发布的《造价工程师执业资格制度暂行规定》（人发〔1996〕77号）取得的造价工程师执业资格，并经注册且在有效期内的，等同于一级注册造价工程师。</w:t>
      </w:r>
    </w:p>
    <w:p w14:paraId="75DD5020">
      <w:pPr>
        <w:numPr>
          <w:ilvl w:val="-1"/>
          <w:numId w:val="0"/>
        </w:numPr>
        <w:spacing w:line="360" w:lineRule="auto"/>
        <w:ind w:left="420" w:firstLine="0" w:firstLineChars="0"/>
        <w:outlineLvl w:val="9"/>
        <w:rPr>
          <w:rFonts w:ascii="宋体" w:hAnsi="宋体" w:cs="宋体"/>
          <w:color w:val="auto"/>
          <w:sz w:val="24"/>
          <w:szCs w:val="24"/>
          <w:highlight w:val="none"/>
        </w:rPr>
      </w:pPr>
      <w:r>
        <w:rPr>
          <w:rFonts w:hint="eastAsia" w:ascii="宋体" w:cs="宋体"/>
          <w:b/>
          <w:bCs/>
          <w:color w:val="auto"/>
          <w:szCs w:val="21"/>
          <w:highlight w:val="none"/>
          <w:lang w:val="en-US" w:eastAsia="zh-CN"/>
        </w:rPr>
        <w:t>3、</w:t>
      </w:r>
      <w:r>
        <w:rPr>
          <w:rFonts w:hint="eastAsia" w:ascii="宋体" w:cs="宋体"/>
          <w:b/>
          <w:bCs/>
          <w:color w:val="auto"/>
          <w:szCs w:val="21"/>
          <w:highlight w:val="none"/>
        </w:rPr>
        <w:t>本表只用于综合评分打分的依据，不作为废标条件。</w:t>
      </w:r>
    </w:p>
    <w:bookmarkEnd w:id="231"/>
    <w:p w14:paraId="19736B3C">
      <w:pPr>
        <w:keepNext w:val="0"/>
        <w:keepLines w:val="0"/>
        <w:numPr>
          <w:ilvl w:val="0"/>
          <w:numId w:val="3"/>
        </w:numPr>
        <w:jc w:val="center"/>
        <w:rPr>
          <w:rFonts w:ascii="宋体" w:hAnsi="宋体" w:cs="宋体"/>
          <w:color w:val="auto"/>
          <w:sz w:val="36"/>
          <w:szCs w:val="36"/>
          <w:highlight w:val="none"/>
        </w:rPr>
      </w:pPr>
      <w:bookmarkStart w:id="232" w:name="_Toc4659646"/>
      <w:bookmarkStart w:id="233" w:name="_Toc517280599"/>
      <w:bookmarkStart w:id="234" w:name="_Toc9180_WPSOffice_Level1"/>
      <w:r>
        <w:rPr>
          <w:rFonts w:hint="eastAsia" w:ascii="宋体" w:hAnsi="宋体" w:cs="宋体"/>
          <w:color w:val="auto"/>
          <w:sz w:val="36"/>
          <w:szCs w:val="36"/>
          <w:highlight w:val="none"/>
        </w:rPr>
        <w:br w:type="page"/>
      </w:r>
    </w:p>
    <w:p w14:paraId="5ED8B686">
      <w:pPr>
        <w:pStyle w:val="3"/>
        <w:keepNext w:val="0"/>
        <w:keepLines w:val="0"/>
        <w:numPr>
          <w:ilvl w:val="0"/>
          <w:numId w:val="3"/>
        </w:numPr>
        <w:jc w:val="center"/>
        <w:rPr>
          <w:rFonts w:ascii="宋体" w:hAnsi="宋体" w:cs="宋体"/>
          <w:color w:val="auto"/>
          <w:sz w:val="36"/>
          <w:szCs w:val="36"/>
          <w:highlight w:val="none"/>
        </w:rPr>
      </w:pPr>
      <w:r>
        <w:rPr>
          <w:rFonts w:hint="eastAsia" w:ascii="宋体" w:hAnsi="宋体" w:cs="宋体"/>
          <w:color w:val="auto"/>
          <w:sz w:val="36"/>
          <w:szCs w:val="36"/>
          <w:highlight w:val="none"/>
        </w:rPr>
        <w:t>投标文件格式</w:t>
      </w:r>
      <w:bookmarkEnd w:id="232"/>
      <w:bookmarkEnd w:id="233"/>
      <w:bookmarkEnd w:id="234"/>
    </w:p>
    <w:p w14:paraId="635BEBEA">
      <w:pPr>
        <w:widowControl/>
        <w:snapToGrid w:val="0"/>
        <w:spacing w:line="360" w:lineRule="auto"/>
        <w:jc w:val="center"/>
        <w:rPr>
          <w:rFonts w:ascii="黑体" w:hAnsi="黑体" w:eastAsia="黑体" w:cs="黑体"/>
          <w:b/>
          <w:bCs/>
          <w:color w:val="auto"/>
          <w:sz w:val="32"/>
          <w:szCs w:val="32"/>
          <w:highlight w:val="none"/>
          <w:u w:val="single"/>
        </w:rPr>
      </w:pPr>
      <w:r>
        <w:rPr>
          <w:rFonts w:hint="eastAsia" w:ascii="黑体" w:hAnsi="黑体" w:eastAsia="黑体" w:cs="黑体"/>
          <w:b/>
          <w:bCs/>
          <w:color w:val="auto"/>
          <w:sz w:val="32"/>
          <w:szCs w:val="32"/>
          <w:highlight w:val="none"/>
          <w:u w:val="single"/>
        </w:rPr>
        <w:t xml:space="preserve">                     （项目名称）</w:t>
      </w:r>
    </w:p>
    <w:p w14:paraId="3F16EA2E">
      <w:pPr>
        <w:widowControl/>
        <w:snapToGrid w:val="0"/>
        <w:spacing w:line="360" w:lineRule="auto"/>
        <w:jc w:val="center"/>
        <w:rPr>
          <w:color w:val="auto"/>
          <w:highlight w:val="none"/>
        </w:rPr>
      </w:pPr>
    </w:p>
    <w:p w14:paraId="37041EE2">
      <w:pPr>
        <w:widowControl/>
        <w:snapToGrid w:val="0"/>
        <w:spacing w:line="360" w:lineRule="auto"/>
        <w:jc w:val="center"/>
        <w:rPr>
          <w:color w:val="auto"/>
          <w:highlight w:val="none"/>
        </w:rPr>
      </w:pPr>
    </w:p>
    <w:p w14:paraId="5718455A">
      <w:pPr>
        <w:widowControl/>
        <w:snapToGrid w:val="0"/>
        <w:spacing w:line="360" w:lineRule="auto"/>
        <w:jc w:val="center"/>
        <w:rPr>
          <w:rFonts w:ascii="黑体" w:hAnsi="黑体" w:eastAsia="黑体" w:cs="黑体"/>
          <w:b/>
          <w:bCs/>
          <w:color w:val="auto"/>
          <w:sz w:val="72"/>
          <w:szCs w:val="72"/>
          <w:highlight w:val="none"/>
        </w:rPr>
      </w:pPr>
      <w:r>
        <w:rPr>
          <w:rFonts w:hint="eastAsia" w:ascii="黑体" w:hAnsi="黑体" w:eastAsia="黑体" w:cs="黑体"/>
          <w:b/>
          <w:bCs/>
          <w:color w:val="auto"/>
          <w:sz w:val="72"/>
          <w:szCs w:val="72"/>
          <w:highlight w:val="none"/>
        </w:rPr>
        <w:t>投标文件</w:t>
      </w:r>
    </w:p>
    <w:p w14:paraId="0CAA137C">
      <w:pPr>
        <w:widowControl/>
        <w:snapToGrid w:val="0"/>
        <w:spacing w:line="360" w:lineRule="auto"/>
        <w:ind w:left="2921" w:firstLine="1990"/>
        <w:jc w:val="left"/>
        <w:rPr>
          <w:color w:val="auto"/>
          <w:highlight w:val="none"/>
        </w:rPr>
      </w:pPr>
    </w:p>
    <w:p w14:paraId="7B39755F">
      <w:pPr>
        <w:widowControl/>
        <w:snapToGrid w:val="0"/>
        <w:spacing w:line="360" w:lineRule="auto"/>
        <w:ind w:left="2921" w:firstLine="1990"/>
        <w:jc w:val="left"/>
        <w:rPr>
          <w:color w:val="auto"/>
          <w:highlight w:val="none"/>
        </w:rPr>
      </w:pPr>
    </w:p>
    <w:p w14:paraId="19044144">
      <w:pPr>
        <w:widowControl/>
        <w:snapToGrid w:val="0"/>
        <w:spacing w:line="360" w:lineRule="auto"/>
        <w:ind w:left="2921" w:firstLine="1990"/>
        <w:jc w:val="left"/>
        <w:rPr>
          <w:color w:val="auto"/>
          <w:highlight w:val="none"/>
        </w:rPr>
      </w:pPr>
    </w:p>
    <w:p w14:paraId="5F6402A4">
      <w:pPr>
        <w:widowControl/>
        <w:snapToGrid w:val="0"/>
        <w:spacing w:line="360" w:lineRule="auto"/>
        <w:ind w:left="2921" w:firstLine="1990"/>
        <w:jc w:val="left"/>
        <w:rPr>
          <w:color w:val="auto"/>
          <w:highlight w:val="none"/>
        </w:rPr>
      </w:pPr>
    </w:p>
    <w:p w14:paraId="3D21114A">
      <w:pPr>
        <w:widowControl/>
        <w:snapToGrid w:val="0"/>
        <w:spacing w:line="360" w:lineRule="auto"/>
        <w:ind w:left="2921" w:firstLine="1990"/>
        <w:jc w:val="left"/>
        <w:rPr>
          <w:color w:val="auto"/>
          <w:highlight w:val="none"/>
        </w:rPr>
      </w:pPr>
    </w:p>
    <w:p w14:paraId="552520A1">
      <w:pPr>
        <w:pStyle w:val="3"/>
        <w:rPr>
          <w:color w:val="auto"/>
          <w:highlight w:val="none"/>
        </w:rPr>
      </w:pPr>
    </w:p>
    <w:p w14:paraId="679733D8">
      <w:pPr>
        <w:rPr>
          <w:color w:val="auto"/>
          <w:highlight w:val="none"/>
        </w:rPr>
      </w:pPr>
    </w:p>
    <w:p w14:paraId="502C79DD">
      <w:pPr>
        <w:widowControl/>
        <w:snapToGrid w:val="0"/>
        <w:spacing w:line="360" w:lineRule="auto"/>
        <w:ind w:left="2921" w:firstLine="1990"/>
        <w:jc w:val="left"/>
        <w:rPr>
          <w:color w:val="auto"/>
          <w:highlight w:val="none"/>
        </w:rPr>
      </w:pPr>
    </w:p>
    <w:p w14:paraId="3A31CE5F">
      <w:pPr>
        <w:widowControl/>
        <w:snapToGrid w:val="0"/>
        <w:spacing w:line="360" w:lineRule="auto"/>
        <w:ind w:left="2921" w:firstLine="1990"/>
        <w:jc w:val="left"/>
        <w:rPr>
          <w:color w:val="auto"/>
          <w:highlight w:val="none"/>
        </w:rPr>
      </w:pPr>
    </w:p>
    <w:p w14:paraId="08408F33">
      <w:pPr>
        <w:widowControl/>
        <w:tabs>
          <w:tab w:val="left" w:pos="8663"/>
        </w:tabs>
        <w:snapToGrid w:val="0"/>
        <w:spacing w:line="360" w:lineRule="auto"/>
        <w:ind w:left="2921"/>
        <w:jc w:val="left"/>
        <w:rPr>
          <w:color w:val="auto"/>
          <w:sz w:val="28"/>
          <w:highlight w:val="none"/>
        </w:rPr>
      </w:pPr>
    </w:p>
    <w:p w14:paraId="66705258">
      <w:pPr>
        <w:widowControl/>
        <w:tabs>
          <w:tab w:val="left" w:pos="8663"/>
        </w:tabs>
        <w:snapToGrid w:val="0"/>
        <w:spacing w:line="360" w:lineRule="auto"/>
        <w:ind w:left="2921"/>
        <w:jc w:val="left"/>
        <w:rPr>
          <w:color w:val="auto"/>
          <w:sz w:val="28"/>
          <w:highlight w:val="none"/>
        </w:rPr>
      </w:pPr>
    </w:p>
    <w:p w14:paraId="73AECAA2">
      <w:pPr>
        <w:widowControl/>
        <w:snapToGrid w:val="0"/>
        <w:spacing w:line="360" w:lineRule="auto"/>
        <w:ind w:firstLine="1598" w:firstLineChars="571"/>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 （盖单位章）</w:t>
      </w:r>
    </w:p>
    <w:p w14:paraId="6C1DD3F1">
      <w:pPr>
        <w:widowControl/>
        <w:snapToGrid w:val="0"/>
        <w:spacing w:line="360" w:lineRule="auto"/>
        <w:ind w:firstLine="1598" w:firstLineChars="571"/>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法定代表人或其委托代理人：（签字或盖章）</w:t>
      </w:r>
    </w:p>
    <w:p w14:paraId="6DAA1020">
      <w:pPr>
        <w:widowControl/>
        <w:snapToGrid w:val="0"/>
        <w:spacing w:line="360" w:lineRule="auto"/>
        <w:ind w:firstLine="1598" w:firstLineChars="571"/>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投标日期：</w:t>
      </w:r>
      <w:r>
        <w:rPr>
          <w:rFonts w:hint="eastAsia" w:ascii="仿宋" w:hAnsi="仿宋" w:eastAsia="仿宋" w:cs="仿宋"/>
          <w:color w:val="auto"/>
          <w:sz w:val="28"/>
          <w:szCs w:val="28"/>
          <w:highlight w:val="none"/>
          <w:u w:val="single"/>
        </w:rPr>
        <w:t xml:space="preserve">    年</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u w:val="single"/>
        </w:rPr>
        <w:t>日</w:t>
      </w:r>
    </w:p>
    <w:p w14:paraId="39A5ABBD">
      <w:pPr>
        <w:rPr>
          <w:color w:val="auto"/>
          <w:highlight w:val="none"/>
        </w:rPr>
      </w:pPr>
    </w:p>
    <w:p w14:paraId="31A480CB">
      <w:pPr>
        <w:spacing w:before="260" w:after="260" w:line="412" w:lineRule="auto"/>
        <w:jc w:val="center"/>
        <w:outlineLvl w:val="1"/>
        <w:rPr>
          <w:rFonts w:ascii="宋体" w:hAnsi="宋体" w:cs="宋体"/>
          <w:b/>
          <w:color w:val="auto"/>
          <w:sz w:val="32"/>
          <w:szCs w:val="32"/>
          <w:highlight w:val="none"/>
        </w:rPr>
      </w:pPr>
    </w:p>
    <w:p w14:paraId="000691EC">
      <w:pPr>
        <w:jc w:val="left"/>
        <w:rPr>
          <w:rFonts w:ascii="宋体" w:hAnsi="宋体" w:cs="宋体"/>
          <w:color w:val="auto"/>
          <w:highlight w:val="none"/>
        </w:rPr>
      </w:pPr>
      <w:r>
        <w:rPr>
          <w:rFonts w:hint="eastAsia" w:ascii="宋体" w:hAnsi="宋体" w:cs="宋体"/>
          <w:color w:val="auto"/>
          <w:highlight w:val="none"/>
        </w:rPr>
        <w:br w:type="page"/>
      </w:r>
      <w:bookmarkStart w:id="235" w:name="_Toc517280600"/>
      <w:r>
        <w:rPr>
          <w:rFonts w:hint="eastAsia" w:ascii="宋体" w:hAnsi="宋体" w:cs="宋体"/>
          <w:b/>
          <w:bCs/>
          <w:color w:val="auto"/>
          <w:sz w:val="32"/>
          <w:szCs w:val="32"/>
          <w:highlight w:val="none"/>
        </w:rPr>
        <w:t>格式一：</w:t>
      </w:r>
    </w:p>
    <w:bookmarkEnd w:id="235"/>
    <w:p w14:paraId="50C09DA1">
      <w:pPr>
        <w:pStyle w:val="4"/>
        <w:keepNext w:val="0"/>
        <w:keepLines w:val="0"/>
        <w:spacing w:before="0" w:after="140" w:line="240" w:lineRule="auto"/>
        <w:jc w:val="center"/>
        <w:rPr>
          <w:rFonts w:ascii="宋体" w:hAnsi="宋体" w:eastAsia="宋体" w:cs="宋体"/>
          <w:color w:val="auto"/>
          <w:highlight w:val="none"/>
        </w:rPr>
      </w:pPr>
      <w:bookmarkStart w:id="236" w:name="_Toc23319_WPSOffice_Level1"/>
      <w:bookmarkStart w:id="237" w:name="_Toc32158_WPSOffice_Level1"/>
      <w:bookmarkStart w:id="238" w:name="_Toc29104_WPSOffice_Level1"/>
      <w:bookmarkStart w:id="239" w:name="_Toc24003_WPSOffice_Level1"/>
      <w:bookmarkStart w:id="240" w:name="_Toc517280601"/>
      <w:bookmarkStart w:id="241" w:name="_Toc4506_WPSOffice_Level1"/>
      <w:r>
        <w:rPr>
          <w:rFonts w:hint="eastAsia" w:ascii="宋体" w:hAnsi="宋体" w:eastAsia="宋体" w:cs="宋体"/>
          <w:color w:val="auto"/>
          <w:highlight w:val="none"/>
        </w:rPr>
        <w:t>一、投标</w:t>
      </w:r>
      <w:bookmarkStart w:id="242" w:name="_Toc6931"/>
      <w:bookmarkStart w:id="243" w:name="_Toc369531692"/>
      <w:bookmarkStart w:id="244" w:name="_Toc352691656"/>
      <w:r>
        <w:rPr>
          <w:rFonts w:hint="eastAsia" w:ascii="宋体" w:hAnsi="宋体" w:eastAsia="宋体" w:cs="宋体"/>
          <w:color w:val="auto"/>
          <w:highlight w:val="none"/>
        </w:rPr>
        <w:t>函及投标函附录</w:t>
      </w:r>
      <w:bookmarkEnd w:id="236"/>
      <w:bookmarkEnd w:id="237"/>
      <w:bookmarkEnd w:id="238"/>
      <w:bookmarkEnd w:id="239"/>
      <w:bookmarkEnd w:id="240"/>
      <w:bookmarkEnd w:id="241"/>
    </w:p>
    <w:bookmarkEnd w:id="242"/>
    <w:bookmarkEnd w:id="243"/>
    <w:bookmarkEnd w:id="244"/>
    <w:p w14:paraId="5107B451">
      <w:pPr>
        <w:pStyle w:val="5"/>
        <w:keepNext w:val="0"/>
        <w:keepLines w:val="0"/>
        <w:spacing w:line="400" w:lineRule="exact"/>
        <w:ind w:firstLine="137"/>
        <w:jc w:val="center"/>
        <w:rPr>
          <w:rFonts w:ascii="宋体" w:hAnsi="宋体" w:cs="宋体"/>
          <w:b/>
          <w:bCs w:val="0"/>
          <w:color w:val="auto"/>
          <w:szCs w:val="24"/>
          <w:highlight w:val="none"/>
        </w:rPr>
      </w:pPr>
      <w:bookmarkStart w:id="245" w:name="_Toc359594235"/>
      <w:bookmarkStart w:id="246" w:name="_Toc517280602"/>
      <w:bookmarkStart w:id="247" w:name="_Toc370676426"/>
      <w:bookmarkStart w:id="248" w:name="_Toc391394111"/>
      <w:bookmarkStart w:id="249" w:name="_Toc385943065"/>
      <w:bookmarkStart w:id="250" w:name="_Toc482188651"/>
      <w:r>
        <w:rPr>
          <w:rFonts w:hint="eastAsia" w:ascii="宋体" w:hAnsi="宋体" w:cs="宋体"/>
          <w:b/>
          <w:bCs w:val="0"/>
          <w:color w:val="auto"/>
          <w:szCs w:val="24"/>
          <w:highlight w:val="none"/>
        </w:rPr>
        <w:t>（一）投标函</w:t>
      </w:r>
      <w:bookmarkEnd w:id="245"/>
      <w:bookmarkEnd w:id="246"/>
      <w:bookmarkEnd w:id="247"/>
      <w:bookmarkEnd w:id="248"/>
      <w:bookmarkEnd w:id="249"/>
      <w:bookmarkEnd w:id="250"/>
    </w:p>
    <w:p w14:paraId="4ACFE2BC">
      <w:pPr>
        <w:spacing w:line="340" w:lineRule="exact"/>
        <w:rPr>
          <w:rFonts w:ascii="宋体" w:hAnsi="宋体" w:cs="宋体"/>
          <w:color w:val="auto"/>
          <w:sz w:val="24"/>
          <w:szCs w:val="24"/>
          <w:highlight w:val="none"/>
        </w:rPr>
      </w:pPr>
      <w:r>
        <w:rPr>
          <w:rFonts w:hint="eastAsia" w:ascii="宋体" w:hAnsi="宋体" w:cs="宋体"/>
          <w:color w:val="auto"/>
          <w:sz w:val="24"/>
          <w:szCs w:val="24"/>
          <w:highlight w:val="none"/>
        </w:rPr>
        <w:t>（招标人名称）：</w:t>
      </w:r>
    </w:p>
    <w:p w14:paraId="7542C119">
      <w:pPr>
        <w:spacing w:line="340" w:lineRule="exact"/>
        <w:ind w:firstLine="405"/>
        <w:rPr>
          <w:rFonts w:ascii="宋体" w:hAnsi="宋体" w:cs="宋体"/>
          <w:color w:val="auto"/>
          <w:sz w:val="24"/>
          <w:szCs w:val="24"/>
          <w:highlight w:val="none"/>
        </w:rPr>
      </w:pPr>
      <w:r>
        <w:rPr>
          <w:rFonts w:hint="eastAsia" w:ascii="宋体" w:hAnsi="宋体" w:cs="宋体"/>
          <w:color w:val="auto"/>
          <w:sz w:val="24"/>
          <w:szCs w:val="24"/>
          <w:highlight w:val="none"/>
        </w:rPr>
        <w:t>1．我方已仔细研究了</w:t>
      </w:r>
      <w:r>
        <w:rPr>
          <w:rFonts w:hint="eastAsia" w:ascii="宋体" w:hAnsi="宋体" w:cs="宋体"/>
          <w:color w:val="auto"/>
          <w:sz w:val="24"/>
          <w:szCs w:val="24"/>
          <w:highlight w:val="none"/>
          <w:u w:val="single"/>
        </w:rPr>
        <w:t>（项目名称）</w:t>
      </w:r>
      <w:r>
        <w:rPr>
          <w:rFonts w:hint="eastAsia" w:ascii="宋体" w:hAnsi="宋体" w:cs="宋体"/>
          <w:color w:val="auto"/>
          <w:sz w:val="24"/>
          <w:szCs w:val="24"/>
          <w:highlight w:val="none"/>
        </w:rPr>
        <w:t>招标项目招标文件的全部内容，愿意以《投标函附录》中的投标总报价和监理服务期限，按合同约定完成监理工作。</w:t>
      </w:r>
    </w:p>
    <w:p w14:paraId="4DC81A36">
      <w:pPr>
        <w:spacing w:line="3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 我方的投标文件包括下列内容：</w:t>
      </w:r>
    </w:p>
    <w:p w14:paraId="6175F3A5">
      <w:pPr>
        <w:spacing w:line="340" w:lineRule="exact"/>
        <w:ind w:firstLine="405"/>
        <w:rPr>
          <w:rFonts w:ascii="宋体" w:hAnsi="宋体" w:cs="宋体"/>
          <w:color w:val="auto"/>
          <w:sz w:val="24"/>
          <w:szCs w:val="24"/>
          <w:highlight w:val="none"/>
        </w:rPr>
      </w:pPr>
      <w:r>
        <w:rPr>
          <w:rFonts w:hint="eastAsia" w:ascii="宋体" w:hAnsi="宋体" w:cs="宋体"/>
          <w:color w:val="auto"/>
          <w:sz w:val="24"/>
          <w:szCs w:val="24"/>
          <w:highlight w:val="none"/>
        </w:rPr>
        <w:t>（1）投标函及投标函附录；</w:t>
      </w:r>
    </w:p>
    <w:p w14:paraId="10EB9429">
      <w:pPr>
        <w:spacing w:line="340" w:lineRule="exact"/>
        <w:ind w:firstLine="405"/>
        <w:rPr>
          <w:rFonts w:ascii="宋体" w:hAnsi="宋体" w:cs="宋体"/>
          <w:color w:val="auto"/>
          <w:sz w:val="24"/>
          <w:szCs w:val="24"/>
          <w:highlight w:val="none"/>
        </w:rPr>
      </w:pPr>
      <w:r>
        <w:rPr>
          <w:rFonts w:hint="eastAsia" w:ascii="宋体" w:hAnsi="宋体" w:cs="宋体"/>
          <w:color w:val="auto"/>
          <w:sz w:val="24"/>
          <w:szCs w:val="24"/>
          <w:highlight w:val="none"/>
        </w:rPr>
        <w:t>（2）法定代表人身份证明或授权委托书；</w:t>
      </w:r>
    </w:p>
    <w:p w14:paraId="4D30031B">
      <w:pPr>
        <w:spacing w:line="340" w:lineRule="exact"/>
        <w:ind w:firstLine="405"/>
        <w:rPr>
          <w:rFonts w:ascii="宋体" w:hAnsi="宋体" w:cs="宋体"/>
          <w:color w:val="auto"/>
          <w:sz w:val="24"/>
          <w:szCs w:val="24"/>
          <w:highlight w:val="none"/>
        </w:rPr>
      </w:pPr>
      <w:r>
        <w:rPr>
          <w:rFonts w:hint="eastAsia" w:ascii="宋体" w:hAnsi="宋体" w:cs="宋体"/>
          <w:color w:val="auto"/>
          <w:sz w:val="24"/>
          <w:szCs w:val="24"/>
          <w:highlight w:val="none"/>
        </w:rPr>
        <w:t xml:space="preserve">（3）监理报酬清单； </w:t>
      </w:r>
    </w:p>
    <w:p w14:paraId="646ED4DB">
      <w:pPr>
        <w:spacing w:line="340" w:lineRule="exact"/>
        <w:ind w:firstLine="405"/>
        <w:rPr>
          <w:rFonts w:ascii="宋体" w:hAnsi="宋体" w:cs="宋体"/>
          <w:color w:val="auto"/>
          <w:sz w:val="24"/>
          <w:szCs w:val="24"/>
          <w:highlight w:val="none"/>
        </w:rPr>
      </w:pPr>
      <w:r>
        <w:rPr>
          <w:rFonts w:hint="eastAsia" w:ascii="宋体" w:hAnsi="宋体" w:cs="宋体"/>
          <w:color w:val="auto"/>
          <w:sz w:val="24"/>
          <w:szCs w:val="24"/>
          <w:highlight w:val="none"/>
        </w:rPr>
        <w:t>（4）资格审查资料；</w:t>
      </w:r>
    </w:p>
    <w:p w14:paraId="2146694D">
      <w:pPr>
        <w:spacing w:line="340" w:lineRule="exact"/>
        <w:ind w:firstLine="405"/>
        <w:rPr>
          <w:rFonts w:ascii="宋体" w:hAnsi="宋体" w:cs="宋体"/>
          <w:color w:val="auto"/>
          <w:sz w:val="24"/>
          <w:szCs w:val="24"/>
          <w:highlight w:val="none"/>
        </w:rPr>
      </w:pPr>
      <w:r>
        <w:rPr>
          <w:rFonts w:hint="eastAsia" w:ascii="宋体" w:hAnsi="宋体" w:cs="宋体"/>
          <w:color w:val="auto"/>
          <w:sz w:val="24"/>
          <w:szCs w:val="24"/>
          <w:highlight w:val="none"/>
        </w:rPr>
        <w:t>（5）监理大纲；</w:t>
      </w:r>
    </w:p>
    <w:p w14:paraId="4534AAB1">
      <w:pPr>
        <w:spacing w:line="340" w:lineRule="exact"/>
        <w:ind w:firstLine="405"/>
        <w:rPr>
          <w:rFonts w:ascii="宋体" w:hAnsi="宋体" w:cs="宋体"/>
          <w:color w:val="auto"/>
          <w:sz w:val="24"/>
          <w:szCs w:val="24"/>
          <w:highlight w:val="none"/>
        </w:rPr>
      </w:pPr>
      <w:r>
        <w:rPr>
          <w:rFonts w:hint="eastAsia" w:ascii="宋体" w:hAnsi="宋体" w:cs="宋体"/>
          <w:color w:val="auto"/>
          <w:sz w:val="24"/>
          <w:szCs w:val="24"/>
          <w:highlight w:val="none"/>
        </w:rPr>
        <w:t>（6）其他资料。</w:t>
      </w:r>
    </w:p>
    <w:p w14:paraId="72F2CA9A">
      <w:pPr>
        <w:spacing w:line="3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投标文件的上述组成部分如存在内容不一致的，以投标函为准。</w:t>
      </w:r>
    </w:p>
    <w:p w14:paraId="44A80321">
      <w:pPr>
        <w:spacing w:line="3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3．我方承诺在招标文件规定的投标有效期内不撤销投标文件。</w:t>
      </w:r>
    </w:p>
    <w:p w14:paraId="29A67E02">
      <w:pPr>
        <w:spacing w:line="3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4．如我方中标，我方承诺：</w:t>
      </w:r>
    </w:p>
    <w:p w14:paraId="1E4307AB">
      <w:pPr>
        <w:spacing w:line="340" w:lineRule="exact"/>
        <w:ind w:left="120" w:hanging="120" w:hangingChars="50"/>
        <w:rPr>
          <w:rFonts w:ascii="宋体" w:hAnsi="宋体" w:cs="宋体"/>
          <w:color w:val="auto"/>
          <w:sz w:val="24"/>
          <w:szCs w:val="24"/>
          <w:highlight w:val="none"/>
        </w:rPr>
      </w:pPr>
      <w:r>
        <w:rPr>
          <w:rFonts w:hint="eastAsia" w:ascii="宋体" w:hAnsi="宋体" w:cs="宋体"/>
          <w:color w:val="auto"/>
          <w:sz w:val="24"/>
          <w:szCs w:val="24"/>
          <w:highlight w:val="none"/>
        </w:rPr>
        <w:t>（1）在收到中标通知书后30日内与你方签订合同；</w:t>
      </w:r>
    </w:p>
    <w:p w14:paraId="0EC9A820">
      <w:pPr>
        <w:spacing w:line="340" w:lineRule="exact"/>
        <w:ind w:left="120" w:hanging="120" w:hangingChars="50"/>
        <w:rPr>
          <w:rFonts w:ascii="宋体" w:hAnsi="宋体" w:cs="宋体"/>
          <w:color w:val="auto"/>
          <w:sz w:val="24"/>
          <w:szCs w:val="24"/>
          <w:highlight w:val="none"/>
        </w:rPr>
      </w:pPr>
      <w:r>
        <w:rPr>
          <w:rFonts w:hint="eastAsia" w:ascii="宋体" w:hAnsi="宋体" w:cs="宋体"/>
          <w:color w:val="auto"/>
          <w:sz w:val="24"/>
          <w:szCs w:val="24"/>
          <w:highlight w:val="none"/>
        </w:rPr>
        <w:t>（2）在签订合同时不向你方提出附加条件；</w:t>
      </w:r>
    </w:p>
    <w:p w14:paraId="06D2F7AE">
      <w:pPr>
        <w:spacing w:line="340" w:lineRule="exact"/>
        <w:ind w:left="120" w:hanging="120" w:hangingChars="50"/>
        <w:rPr>
          <w:rFonts w:ascii="宋体" w:hAnsi="宋体" w:cs="宋体"/>
          <w:color w:val="auto"/>
          <w:sz w:val="24"/>
          <w:szCs w:val="24"/>
          <w:highlight w:val="none"/>
        </w:rPr>
      </w:pPr>
      <w:r>
        <w:rPr>
          <w:rFonts w:hint="eastAsia" w:ascii="宋体" w:hAnsi="宋体" w:cs="宋体"/>
          <w:color w:val="auto"/>
          <w:sz w:val="24"/>
          <w:szCs w:val="24"/>
          <w:highlight w:val="none"/>
        </w:rPr>
        <w:t>（3）按照招标文件要求提交履约保证金；</w:t>
      </w:r>
    </w:p>
    <w:p w14:paraId="07446F71">
      <w:pPr>
        <w:spacing w:line="340" w:lineRule="exact"/>
        <w:ind w:left="120" w:hanging="120" w:hangingChars="50"/>
        <w:rPr>
          <w:rFonts w:ascii="宋体" w:hAnsi="宋体" w:cs="宋体"/>
          <w:color w:val="auto"/>
          <w:sz w:val="24"/>
          <w:szCs w:val="24"/>
          <w:highlight w:val="none"/>
        </w:rPr>
      </w:pPr>
      <w:bookmarkStart w:id="251" w:name="_Toc369531694"/>
      <w:bookmarkStart w:id="252" w:name="_Toc352691658"/>
      <w:bookmarkStart w:id="253" w:name="_Toc1187"/>
      <w:r>
        <w:rPr>
          <w:rFonts w:hint="eastAsia" w:ascii="宋体" w:hAnsi="宋体" w:cs="宋体"/>
          <w:color w:val="auto"/>
          <w:sz w:val="24"/>
          <w:szCs w:val="24"/>
          <w:highlight w:val="none"/>
        </w:rPr>
        <w:t>（4）在合</w:t>
      </w:r>
      <w:bookmarkEnd w:id="251"/>
      <w:bookmarkEnd w:id="252"/>
      <w:bookmarkEnd w:id="253"/>
      <w:r>
        <w:rPr>
          <w:rFonts w:hint="eastAsia" w:ascii="宋体" w:hAnsi="宋体" w:cs="宋体"/>
          <w:color w:val="auto"/>
          <w:sz w:val="24"/>
          <w:szCs w:val="24"/>
          <w:highlight w:val="none"/>
        </w:rPr>
        <w:t>同约定的期限内完成合同规定的全部义务。</w:t>
      </w:r>
    </w:p>
    <w:p w14:paraId="7D73B347">
      <w:pPr>
        <w:spacing w:line="3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5．我方在此声明，</w:t>
      </w:r>
      <w:bookmarkStart w:id="254" w:name="_Hlk22686284"/>
      <w:r>
        <w:rPr>
          <w:rFonts w:hint="eastAsia" w:ascii="宋体" w:hAnsi="宋体"/>
          <w:color w:val="auto"/>
          <w:sz w:val="24"/>
          <w:szCs w:val="24"/>
          <w:highlight w:val="none"/>
        </w:rPr>
        <w:t>所递交的投标文件</w:t>
      </w:r>
      <w:bookmarkEnd w:id="254"/>
      <w:r>
        <w:rPr>
          <w:rFonts w:hint="eastAsia" w:ascii="宋体" w:hAnsi="宋体"/>
          <w:color w:val="auto"/>
          <w:sz w:val="24"/>
          <w:szCs w:val="24"/>
          <w:highlight w:val="none"/>
        </w:rPr>
        <w:t>及有关资料内容完整、真实和准确，且不存在第二章“投标人须知”第1.4.3项规定的任何一种情形。</w:t>
      </w:r>
    </w:p>
    <w:p w14:paraId="0768C178">
      <w:pPr>
        <w:spacing w:line="3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6. 如我方中标，我方承诺，满足第五章“委托人要求”中的所有内容。</w:t>
      </w:r>
    </w:p>
    <w:p w14:paraId="348E5BB5">
      <w:pPr>
        <w:spacing w:line="3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如我方中标，我方承诺：我司提交的所有投标资料真实可靠。如投标资料弄虚作假的，我方将承担与此有关的一切责任，包括但不限于取消投标资格或中标资格（如果已取得中标）、接受行政监督部门的行政处罚等。</w:t>
      </w:r>
    </w:p>
    <w:p w14:paraId="06B87C66">
      <w:pPr>
        <w:pStyle w:val="8"/>
        <w:spacing w:line="400" w:lineRule="exact"/>
        <w:rPr>
          <w:rFonts w:ascii="宋体" w:hAnsi="宋体" w:cs="宋体"/>
          <w:color w:val="auto"/>
          <w:sz w:val="24"/>
          <w:szCs w:val="24"/>
          <w:highlight w:val="none"/>
        </w:rPr>
      </w:pPr>
    </w:p>
    <w:p w14:paraId="612B853E">
      <w:pPr>
        <w:spacing w:line="400" w:lineRule="exact"/>
        <w:ind w:firstLine="2880" w:firstLineChars="1200"/>
        <w:jc w:val="left"/>
        <w:rPr>
          <w:rFonts w:ascii="宋体" w:hAnsi="宋体" w:cs="宋体"/>
          <w:color w:val="auto"/>
          <w:sz w:val="24"/>
          <w:szCs w:val="24"/>
          <w:highlight w:val="none"/>
        </w:rPr>
      </w:pPr>
      <w:bookmarkStart w:id="255" w:name="_Toc369531695"/>
      <w:bookmarkEnd w:id="255"/>
      <w:bookmarkStart w:id="256" w:name="_Toc352691659"/>
      <w:bookmarkEnd w:id="256"/>
      <w:bookmarkStart w:id="257" w:name="_Toc369531696"/>
      <w:bookmarkEnd w:id="257"/>
      <w:bookmarkStart w:id="258" w:name="_Toc352691660"/>
      <w:bookmarkEnd w:id="258"/>
      <w:bookmarkStart w:id="259" w:name="_Toc16824"/>
      <w:bookmarkEnd w:id="259"/>
      <w:bookmarkStart w:id="260" w:name="_Toc16568"/>
      <w:bookmarkEnd w:id="260"/>
      <w:r>
        <w:rPr>
          <w:rFonts w:hint="eastAsia" w:ascii="宋体" w:hAnsi="宋体" w:cs="宋体"/>
          <w:color w:val="auto"/>
          <w:sz w:val="24"/>
          <w:szCs w:val="24"/>
          <w:highlight w:val="none"/>
        </w:rPr>
        <w:t>投 标 人：（盖单位章）</w:t>
      </w:r>
    </w:p>
    <w:p w14:paraId="21D32757">
      <w:pPr>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                        法定代表人或其委托代理人：（签字或盖章）</w:t>
      </w:r>
    </w:p>
    <w:p w14:paraId="088F0550">
      <w:pPr>
        <w:spacing w:line="400" w:lineRule="exact"/>
        <w:ind w:firstLine="2880" w:firstLineChars="120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地    址：</w:t>
      </w:r>
    </w:p>
    <w:p w14:paraId="53CAFD67">
      <w:pPr>
        <w:spacing w:line="400" w:lineRule="exact"/>
        <w:ind w:firstLine="2880" w:firstLineChars="1200"/>
        <w:jc w:val="left"/>
        <w:rPr>
          <w:rFonts w:ascii="宋体" w:hAnsi="宋体" w:cs="宋体"/>
          <w:color w:val="auto"/>
          <w:sz w:val="24"/>
          <w:szCs w:val="24"/>
          <w:highlight w:val="none"/>
        </w:rPr>
      </w:pPr>
      <w:r>
        <w:rPr>
          <w:rFonts w:hint="eastAsia" w:ascii="宋体" w:hAnsi="宋体" w:cs="宋体"/>
          <w:color w:val="auto"/>
          <w:sz w:val="24"/>
          <w:szCs w:val="24"/>
          <w:highlight w:val="none"/>
        </w:rPr>
        <w:t>网    址：</w:t>
      </w:r>
    </w:p>
    <w:p w14:paraId="48F9FC2E">
      <w:pPr>
        <w:spacing w:line="400" w:lineRule="exact"/>
        <w:ind w:firstLine="2880" w:firstLineChars="1200"/>
        <w:jc w:val="left"/>
        <w:rPr>
          <w:rFonts w:ascii="宋体" w:hAnsi="宋体" w:cs="宋体"/>
          <w:color w:val="auto"/>
          <w:sz w:val="24"/>
          <w:szCs w:val="24"/>
          <w:highlight w:val="none"/>
        </w:rPr>
      </w:pPr>
      <w:r>
        <w:rPr>
          <w:rFonts w:hint="eastAsia" w:ascii="宋体" w:hAnsi="宋体" w:cs="宋体"/>
          <w:color w:val="auto"/>
          <w:sz w:val="24"/>
          <w:szCs w:val="24"/>
          <w:highlight w:val="none"/>
        </w:rPr>
        <w:t>电    话：</w:t>
      </w:r>
    </w:p>
    <w:p w14:paraId="2CFD9EAF">
      <w:pPr>
        <w:spacing w:line="400" w:lineRule="exact"/>
        <w:ind w:firstLine="2880" w:firstLineChars="1200"/>
        <w:jc w:val="left"/>
        <w:rPr>
          <w:rFonts w:ascii="宋体" w:hAnsi="宋体" w:cs="宋体"/>
          <w:color w:val="auto"/>
          <w:sz w:val="24"/>
          <w:szCs w:val="24"/>
          <w:highlight w:val="none"/>
        </w:rPr>
      </w:pPr>
      <w:r>
        <w:rPr>
          <w:rFonts w:hint="eastAsia" w:ascii="宋体" w:hAnsi="宋体" w:cs="宋体"/>
          <w:color w:val="auto"/>
          <w:sz w:val="24"/>
          <w:szCs w:val="24"/>
          <w:highlight w:val="none"/>
        </w:rPr>
        <w:t>传    真：</w:t>
      </w:r>
    </w:p>
    <w:p w14:paraId="0B9756D4">
      <w:pPr>
        <w:spacing w:line="400" w:lineRule="exact"/>
        <w:ind w:firstLine="2880" w:firstLineChars="1200"/>
        <w:jc w:val="left"/>
        <w:rPr>
          <w:rFonts w:ascii="宋体" w:hAnsi="宋体" w:cs="宋体"/>
          <w:color w:val="auto"/>
          <w:sz w:val="24"/>
          <w:szCs w:val="24"/>
          <w:highlight w:val="none"/>
        </w:rPr>
      </w:pPr>
      <w:r>
        <w:rPr>
          <w:rFonts w:hint="eastAsia" w:ascii="宋体" w:hAnsi="宋体" w:cs="宋体"/>
          <w:color w:val="auto"/>
          <w:sz w:val="24"/>
          <w:szCs w:val="24"/>
          <w:highlight w:val="none"/>
        </w:rPr>
        <w:t>邮政编码：</w:t>
      </w:r>
    </w:p>
    <w:p w14:paraId="1C8C655F">
      <w:pPr>
        <w:spacing w:line="380" w:lineRule="exact"/>
        <w:ind w:firstLine="5400" w:firstLineChars="2250"/>
        <w:jc w:val="right"/>
        <w:rPr>
          <w:rFonts w:ascii="宋体" w:hAnsi="宋体" w:cs="宋体"/>
          <w:color w:val="auto"/>
          <w:sz w:val="24"/>
          <w:szCs w:val="24"/>
          <w:highlight w:val="none"/>
        </w:rPr>
      </w:pPr>
      <w:r>
        <w:rPr>
          <w:rFonts w:hint="eastAsia" w:ascii="宋体" w:hAnsi="宋体" w:cs="宋体"/>
          <w:color w:val="auto"/>
          <w:sz w:val="24"/>
          <w:szCs w:val="24"/>
          <w:highlight w:val="none"/>
        </w:rPr>
        <w:t>年   月   日</w:t>
      </w:r>
    </w:p>
    <w:p w14:paraId="1EB20470">
      <w:pPr>
        <w:pStyle w:val="8"/>
        <w:rPr>
          <w:color w:val="auto"/>
          <w:highlight w:val="none"/>
        </w:rPr>
      </w:pPr>
      <w:bookmarkStart w:id="261" w:name="_Toc385943066"/>
      <w:bookmarkStart w:id="262" w:name="_Toc482188652"/>
      <w:bookmarkStart w:id="263" w:name="_Toc370676427"/>
      <w:bookmarkStart w:id="264" w:name="_Toc391394112"/>
      <w:bookmarkStart w:id="265" w:name="_Toc517280603"/>
      <w:bookmarkStart w:id="266" w:name="_Toc359594236"/>
      <w:bookmarkStart w:id="267" w:name="_Toc247514246"/>
      <w:bookmarkStart w:id="268" w:name="_Toc369531697"/>
      <w:bookmarkStart w:id="269" w:name="_Toc352691661"/>
      <w:bookmarkStart w:id="270" w:name="_Toc17960"/>
      <w:bookmarkStart w:id="271" w:name="_Toc144974856"/>
      <w:bookmarkStart w:id="272" w:name="_Toc152045787"/>
      <w:bookmarkStart w:id="273" w:name="_Toc300835209"/>
      <w:bookmarkStart w:id="274" w:name="_Toc384308375"/>
      <w:bookmarkStart w:id="275" w:name="_Toc247527827"/>
      <w:bookmarkStart w:id="276" w:name="_Toc361508752"/>
      <w:bookmarkStart w:id="277" w:name="_Toc152042576"/>
      <w:r>
        <w:rPr>
          <w:color w:val="auto"/>
          <w:highlight w:val="none"/>
        </w:rPr>
        <w:br w:type="page"/>
      </w:r>
    </w:p>
    <w:p w14:paraId="743B7B1E">
      <w:pPr>
        <w:pStyle w:val="5"/>
        <w:keepNext w:val="0"/>
        <w:keepLines w:val="0"/>
        <w:numPr>
          <w:ilvl w:val="0"/>
          <w:numId w:val="4"/>
        </w:numPr>
        <w:ind w:firstLine="137"/>
        <w:jc w:val="center"/>
        <w:rPr>
          <w:rFonts w:ascii="宋体" w:hAnsi="宋体" w:cs="宋体"/>
          <w:b/>
          <w:bCs w:val="0"/>
          <w:color w:val="auto"/>
          <w:highlight w:val="none"/>
        </w:rPr>
      </w:pPr>
      <w:r>
        <w:rPr>
          <w:rFonts w:hint="eastAsia" w:ascii="宋体" w:hAnsi="宋体" w:cs="宋体"/>
          <w:b/>
          <w:bCs w:val="0"/>
          <w:color w:val="auto"/>
          <w:highlight w:val="none"/>
        </w:rPr>
        <w:t>投标函附录</w:t>
      </w:r>
      <w:bookmarkEnd w:id="261"/>
      <w:bookmarkEnd w:id="262"/>
      <w:bookmarkEnd w:id="263"/>
      <w:bookmarkEnd w:id="264"/>
      <w:bookmarkEnd w:id="265"/>
      <w:bookmarkEnd w:id="266"/>
    </w:p>
    <w:p w14:paraId="512FF33E">
      <w:pPr>
        <w:jc w:val="center"/>
        <w:rPr>
          <w:rFonts w:ascii="宋体" w:hAnsi="宋体"/>
          <w:color w:val="auto"/>
          <w:sz w:val="28"/>
          <w:szCs w:val="28"/>
          <w:highlight w:val="none"/>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1738"/>
        <w:gridCol w:w="3709"/>
        <w:gridCol w:w="3055"/>
      </w:tblGrid>
      <w:tr w14:paraId="3B0CD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69" w:type="dxa"/>
            <w:tcBorders>
              <w:top w:val="single" w:color="auto" w:sz="4" w:space="0"/>
              <w:left w:val="single" w:color="auto" w:sz="4" w:space="0"/>
              <w:bottom w:val="single" w:color="auto" w:sz="4" w:space="0"/>
              <w:right w:val="single" w:color="auto" w:sz="4" w:space="0"/>
            </w:tcBorders>
            <w:vAlign w:val="center"/>
          </w:tcPr>
          <w:p w14:paraId="12E10253">
            <w:pPr>
              <w:jc w:val="center"/>
              <w:rPr>
                <w:rFonts w:ascii="宋体" w:hAnsi="宋体" w:cs="宋体"/>
                <w:b/>
                <w:color w:val="auto"/>
                <w:sz w:val="24"/>
                <w:szCs w:val="28"/>
                <w:highlight w:val="none"/>
              </w:rPr>
            </w:pPr>
            <w:r>
              <w:rPr>
                <w:rFonts w:hint="eastAsia" w:ascii="宋体" w:hAnsi="宋体" w:cs="宋体"/>
                <w:b/>
                <w:color w:val="auto"/>
                <w:sz w:val="24"/>
                <w:szCs w:val="28"/>
                <w:highlight w:val="none"/>
              </w:rPr>
              <w:t>序号</w:t>
            </w:r>
          </w:p>
        </w:tc>
        <w:tc>
          <w:tcPr>
            <w:tcW w:w="1738" w:type="dxa"/>
            <w:tcBorders>
              <w:top w:val="single" w:color="auto" w:sz="4" w:space="0"/>
              <w:left w:val="single" w:color="auto" w:sz="4" w:space="0"/>
              <w:bottom w:val="single" w:color="auto" w:sz="4" w:space="0"/>
              <w:right w:val="single" w:color="auto" w:sz="4" w:space="0"/>
            </w:tcBorders>
            <w:vAlign w:val="center"/>
          </w:tcPr>
          <w:p w14:paraId="24B4862D">
            <w:pPr>
              <w:jc w:val="center"/>
              <w:rPr>
                <w:rFonts w:ascii="宋体" w:hAnsi="宋体" w:cs="宋体"/>
                <w:b/>
                <w:color w:val="auto"/>
                <w:sz w:val="24"/>
                <w:szCs w:val="28"/>
                <w:highlight w:val="none"/>
              </w:rPr>
            </w:pPr>
            <w:r>
              <w:rPr>
                <w:rFonts w:hint="eastAsia" w:ascii="宋体" w:hAnsi="宋体" w:cs="宋体"/>
                <w:b/>
                <w:color w:val="auto"/>
                <w:sz w:val="24"/>
                <w:szCs w:val="28"/>
                <w:highlight w:val="none"/>
              </w:rPr>
              <w:t>条款名称</w:t>
            </w:r>
          </w:p>
        </w:tc>
        <w:tc>
          <w:tcPr>
            <w:tcW w:w="3709" w:type="dxa"/>
            <w:tcBorders>
              <w:top w:val="single" w:color="auto" w:sz="4" w:space="0"/>
              <w:left w:val="single" w:color="auto" w:sz="4" w:space="0"/>
              <w:bottom w:val="single" w:color="auto" w:sz="4" w:space="0"/>
              <w:right w:val="single" w:color="auto" w:sz="4" w:space="0"/>
            </w:tcBorders>
            <w:vAlign w:val="center"/>
          </w:tcPr>
          <w:p w14:paraId="3CD05AB6">
            <w:pPr>
              <w:jc w:val="center"/>
              <w:rPr>
                <w:rFonts w:ascii="宋体" w:hAnsi="宋体" w:cs="宋体"/>
                <w:b/>
                <w:color w:val="auto"/>
                <w:sz w:val="24"/>
                <w:szCs w:val="28"/>
                <w:highlight w:val="none"/>
              </w:rPr>
            </w:pPr>
            <w:r>
              <w:rPr>
                <w:rFonts w:hint="eastAsia" w:ascii="宋体" w:hAnsi="宋体" w:cs="宋体"/>
                <w:b/>
                <w:color w:val="auto"/>
                <w:sz w:val="24"/>
                <w:szCs w:val="28"/>
                <w:highlight w:val="none"/>
              </w:rPr>
              <w:t>约定内容</w:t>
            </w:r>
          </w:p>
        </w:tc>
        <w:tc>
          <w:tcPr>
            <w:tcW w:w="3055" w:type="dxa"/>
            <w:tcBorders>
              <w:top w:val="single" w:color="auto" w:sz="4" w:space="0"/>
              <w:left w:val="single" w:color="auto" w:sz="4" w:space="0"/>
              <w:bottom w:val="single" w:color="auto" w:sz="4" w:space="0"/>
              <w:right w:val="single" w:color="auto" w:sz="4" w:space="0"/>
            </w:tcBorders>
            <w:vAlign w:val="center"/>
          </w:tcPr>
          <w:p w14:paraId="458A35B6">
            <w:pPr>
              <w:jc w:val="center"/>
              <w:rPr>
                <w:rFonts w:ascii="宋体" w:hAnsi="宋体" w:cs="宋体"/>
                <w:b/>
                <w:color w:val="auto"/>
                <w:sz w:val="24"/>
                <w:szCs w:val="28"/>
                <w:highlight w:val="none"/>
              </w:rPr>
            </w:pPr>
            <w:r>
              <w:rPr>
                <w:rFonts w:hint="eastAsia" w:ascii="宋体" w:hAnsi="宋体" w:cs="宋体"/>
                <w:b/>
                <w:color w:val="auto"/>
                <w:sz w:val="24"/>
                <w:szCs w:val="28"/>
                <w:highlight w:val="none"/>
              </w:rPr>
              <w:t>备注</w:t>
            </w:r>
          </w:p>
        </w:tc>
      </w:tr>
      <w:tr w14:paraId="215A7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69" w:type="dxa"/>
            <w:tcBorders>
              <w:top w:val="single" w:color="auto" w:sz="4" w:space="0"/>
              <w:left w:val="single" w:color="auto" w:sz="4" w:space="0"/>
              <w:bottom w:val="single" w:color="auto" w:sz="4" w:space="0"/>
              <w:right w:val="single" w:color="auto" w:sz="4" w:space="0"/>
            </w:tcBorders>
            <w:vAlign w:val="center"/>
          </w:tcPr>
          <w:p w14:paraId="776A6C31">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738" w:type="dxa"/>
            <w:tcBorders>
              <w:top w:val="single" w:color="auto" w:sz="4" w:space="0"/>
              <w:left w:val="single" w:color="auto" w:sz="4" w:space="0"/>
              <w:bottom w:val="single" w:color="auto" w:sz="4" w:space="0"/>
              <w:right w:val="single" w:color="auto" w:sz="4" w:space="0"/>
            </w:tcBorders>
            <w:vAlign w:val="center"/>
          </w:tcPr>
          <w:p w14:paraId="4DCD9B3F">
            <w:pPr>
              <w:jc w:val="center"/>
              <w:rPr>
                <w:rFonts w:ascii="宋体" w:hAnsi="宋体" w:cs="宋体"/>
                <w:color w:val="auto"/>
                <w:sz w:val="24"/>
                <w:szCs w:val="24"/>
                <w:highlight w:val="none"/>
              </w:rPr>
            </w:pPr>
            <w:r>
              <w:rPr>
                <w:rFonts w:hint="eastAsia" w:ascii="宋体" w:hAnsi="宋体" w:cs="宋体"/>
                <w:color w:val="auto"/>
                <w:sz w:val="24"/>
                <w:szCs w:val="24"/>
                <w:highlight w:val="none"/>
              </w:rPr>
              <w:t>总监理工程师</w:t>
            </w:r>
          </w:p>
        </w:tc>
        <w:tc>
          <w:tcPr>
            <w:tcW w:w="3709" w:type="dxa"/>
            <w:tcBorders>
              <w:top w:val="single" w:color="auto" w:sz="4" w:space="0"/>
              <w:left w:val="single" w:color="auto" w:sz="4" w:space="0"/>
              <w:bottom w:val="single" w:color="auto" w:sz="4" w:space="0"/>
              <w:right w:val="single" w:color="auto" w:sz="4" w:space="0"/>
            </w:tcBorders>
            <w:vAlign w:val="center"/>
          </w:tcPr>
          <w:p w14:paraId="44227200">
            <w:pPr>
              <w:jc w:val="left"/>
              <w:rPr>
                <w:rFonts w:ascii="宋体" w:hAnsi="宋体" w:cs="宋体"/>
                <w:bCs/>
                <w:color w:val="auto"/>
                <w:sz w:val="24"/>
                <w:szCs w:val="24"/>
                <w:highlight w:val="none"/>
                <w:u w:val="single"/>
              </w:rPr>
            </w:pPr>
            <w:r>
              <w:rPr>
                <w:rFonts w:hint="eastAsia" w:ascii="宋体" w:hAnsi="宋体" w:cs="宋体"/>
                <w:bCs/>
                <w:color w:val="auto"/>
                <w:sz w:val="24"/>
                <w:szCs w:val="24"/>
                <w:highlight w:val="none"/>
              </w:rPr>
              <w:t>姓名：</w:t>
            </w:r>
          </w:p>
          <w:p w14:paraId="28FC32D1">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技术职称：</w:t>
            </w:r>
          </w:p>
          <w:p w14:paraId="5CFB9E9B">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注册证号：</w:t>
            </w:r>
          </w:p>
        </w:tc>
        <w:tc>
          <w:tcPr>
            <w:tcW w:w="3055" w:type="dxa"/>
            <w:tcBorders>
              <w:top w:val="single" w:color="auto" w:sz="4" w:space="0"/>
              <w:left w:val="single" w:color="auto" w:sz="4" w:space="0"/>
              <w:bottom w:val="single" w:color="auto" w:sz="4" w:space="0"/>
              <w:right w:val="single" w:color="auto" w:sz="4" w:space="0"/>
            </w:tcBorders>
            <w:vAlign w:val="center"/>
          </w:tcPr>
          <w:p w14:paraId="5E89FF73">
            <w:pPr>
              <w:jc w:val="center"/>
              <w:rPr>
                <w:rFonts w:ascii="宋体" w:hAnsi="宋体" w:eastAsia="Times New Roman" w:cs="宋体"/>
                <w:b/>
                <w:color w:val="auto"/>
                <w:szCs w:val="21"/>
                <w:highlight w:val="none"/>
              </w:rPr>
            </w:pPr>
          </w:p>
        </w:tc>
      </w:tr>
      <w:tr w14:paraId="5FA04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69" w:type="dxa"/>
            <w:tcBorders>
              <w:top w:val="single" w:color="auto" w:sz="4" w:space="0"/>
              <w:left w:val="single" w:color="auto" w:sz="4" w:space="0"/>
              <w:bottom w:val="single" w:color="auto" w:sz="4" w:space="0"/>
              <w:right w:val="single" w:color="auto" w:sz="4" w:space="0"/>
            </w:tcBorders>
            <w:vAlign w:val="center"/>
          </w:tcPr>
          <w:p w14:paraId="652CE2E0">
            <w:pPr>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738" w:type="dxa"/>
            <w:tcBorders>
              <w:top w:val="single" w:color="auto" w:sz="4" w:space="0"/>
              <w:left w:val="single" w:color="auto" w:sz="4" w:space="0"/>
              <w:bottom w:val="single" w:color="auto" w:sz="4" w:space="0"/>
              <w:right w:val="single" w:color="auto" w:sz="4" w:space="0"/>
            </w:tcBorders>
            <w:vAlign w:val="center"/>
          </w:tcPr>
          <w:p w14:paraId="3166817F">
            <w:pPr>
              <w:jc w:val="center"/>
              <w:rPr>
                <w:rFonts w:ascii="宋体" w:hAnsi="宋体" w:cs="宋体"/>
                <w:color w:val="auto"/>
                <w:sz w:val="24"/>
                <w:szCs w:val="24"/>
                <w:highlight w:val="none"/>
              </w:rPr>
            </w:pPr>
            <w:r>
              <w:rPr>
                <w:rFonts w:hint="eastAsia" w:ascii="宋体" w:hAnsi="宋体" w:cs="宋体"/>
                <w:color w:val="auto"/>
                <w:sz w:val="24"/>
                <w:szCs w:val="24"/>
                <w:highlight w:val="none"/>
              </w:rPr>
              <w:t>监理服务期限</w:t>
            </w:r>
          </w:p>
        </w:tc>
        <w:tc>
          <w:tcPr>
            <w:tcW w:w="3709" w:type="dxa"/>
            <w:tcBorders>
              <w:top w:val="single" w:color="auto" w:sz="4" w:space="0"/>
              <w:left w:val="single" w:color="auto" w:sz="4" w:space="0"/>
              <w:bottom w:val="single" w:color="auto" w:sz="4" w:space="0"/>
              <w:right w:val="single" w:color="auto" w:sz="4" w:space="0"/>
            </w:tcBorders>
            <w:vAlign w:val="center"/>
          </w:tcPr>
          <w:p w14:paraId="1A5D3F27">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按招标文件要求。</w:t>
            </w:r>
          </w:p>
        </w:tc>
        <w:tc>
          <w:tcPr>
            <w:tcW w:w="3055" w:type="dxa"/>
            <w:tcBorders>
              <w:top w:val="single" w:color="auto" w:sz="4" w:space="0"/>
              <w:left w:val="single" w:color="auto" w:sz="4" w:space="0"/>
              <w:bottom w:val="single" w:color="auto" w:sz="4" w:space="0"/>
              <w:right w:val="single" w:color="auto" w:sz="4" w:space="0"/>
            </w:tcBorders>
            <w:vAlign w:val="center"/>
          </w:tcPr>
          <w:p w14:paraId="3AE4E163">
            <w:pPr>
              <w:jc w:val="center"/>
              <w:rPr>
                <w:rFonts w:ascii="宋体" w:hAnsi="宋体" w:cs="宋体"/>
                <w:b/>
                <w:color w:val="auto"/>
                <w:szCs w:val="21"/>
                <w:highlight w:val="none"/>
              </w:rPr>
            </w:pPr>
          </w:p>
        </w:tc>
      </w:tr>
      <w:tr w14:paraId="3D294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69" w:type="dxa"/>
            <w:tcBorders>
              <w:top w:val="single" w:color="auto" w:sz="4" w:space="0"/>
              <w:left w:val="single" w:color="auto" w:sz="4" w:space="0"/>
              <w:bottom w:val="single" w:color="auto" w:sz="4" w:space="0"/>
              <w:right w:val="single" w:color="auto" w:sz="4" w:space="0"/>
            </w:tcBorders>
            <w:vAlign w:val="center"/>
          </w:tcPr>
          <w:p w14:paraId="2763BF93">
            <w:pPr>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738" w:type="dxa"/>
            <w:tcBorders>
              <w:top w:val="single" w:color="auto" w:sz="4" w:space="0"/>
              <w:left w:val="single" w:color="auto" w:sz="4" w:space="0"/>
              <w:bottom w:val="single" w:color="auto" w:sz="4" w:space="0"/>
              <w:right w:val="single" w:color="auto" w:sz="4" w:space="0"/>
            </w:tcBorders>
            <w:vAlign w:val="center"/>
          </w:tcPr>
          <w:p w14:paraId="6165E45C">
            <w:pPr>
              <w:jc w:val="center"/>
              <w:rPr>
                <w:rFonts w:ascii="宋体" w:hAnsi="宋体" w:cs="宋体"/>
                <w:color w:val="auto"/>
                <w:sz w:val="24"/>
                <w:szCs w:val="24"/>
                <w:highlight w:val="none"/>
              </w:rPr>
            </w:pPr>
            <w:r>
              <w:rPr>
                <w:rFonts w:hint="eastAsia" w:ascii="宋体" w:hAnsi="宋体" w:cs="宋体"/>
                <w:color w:val="auto"/>
                <w:sz w:val="24"/>
                <w:szCs w:val="24"/>
                <w:highlight w:val="none"/>
              </w:rPr>
              <w:t>合同价款确定方式</w:t>
            </w:r>
          </w:p>
        </w:tc>
        <w:tc>
          <w:tcPr>
            <w:tcW w:w="3709" w:type="dxa"/>
            <w:tcBorders>
              <w:top w:val="single" w:color="auto" w:sz="4" w:space="0"/>
              <w:left w:val="single" w:color="auto" w:sz="4" w:space="0"/>
              <w:bottom w:val="single" w:color="auto" w:sz="4" w:space="0"/>
              <w:right w:val="single" w:color="auto" w:sz="4" w:space="0"/>
            </w:tcBorders>
            <w:vAlign w:val="center"/>
          </w:tcPr>
          <w:p w14:paraId="4D8840CA">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按招标文件要求。</w:t>
            </w:r>
          </w:p>
        </w:tc>
        <w:tc>
          <w:tcPr>
            <w:tcW w:w="3055" w:type="dxa"/>
            <w:tcBorders>
              <w:top w:val="single" w:color="auto" w:sz="4" w:space="0"/>
              <w:left w:val="single" w:color="auto" w:sz="4" w:space="0"/>
              <w:bottom w:val="single" w:color="auto" w:sz="4" w:space="0"/>
              <w:right w:val="single" w:color="auto" w:sz="4" w:space="0"/>
            </w:tcBorders>
            <w:vAlign w:val="center"/>
          </w:tcPr>
          <w:p w14:paraId="7864471E">
            <w:pPr>
              <w:jc w:val="center"/>
              <w:rPr>
                <w:rFonts w:ascii="宋体" w:hAnsi="宋体" w:cs="宋体"/>
                <w:b/>
                <w:color w:val="auto"/>
                <w:szCs w:val="21"/>
                <w:highlight w:val="none"/>
              </w:rPr>
            </w:pPr>
          </w:p>
        </w:tc>
      </w:tr>
      <w:tr w14:paraId="61D96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69" w:type="dxa"/>
            <w:tcBorders>
              <w:top w:val="single" w:color="auto" w:sz="4" w:space="0"/>
              <w:left w:val="single" w:color="auto" w:sz="4" w:space="0"/>
              <w:bottom w:val="single" w:color="auto" w:sz="4" w:space="0"/>
              <w:right w:val="single" w:color="auto" w:sz="4" w:space="0"/>
            </w:tcBorders>
            <w:vAlign w:val="center"/>
          </w:tcPr>
          <w:p w14:paraId="6B8E506C">
            <w:pPr>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738" w:type="dxa"/>
            <w:tcBorders>
              <w:top w:val="single" w:color="auto" w:sz="4" w:space="0"/>
              <w:left w:val="single" w:color="auto" w:sz="4" w:space="0"/>
              <w:bottom w:val="single" w:color="auto" w:sz="4" w:space="0"/>
              <w:right w:val="single" w:color="auto" w:sz="4" w:space="0"/>
            </w:tcBorders>
            <w:vAlign w:val="center"/>
          </w:tcPr>
          <w:p w14:paraId="1D05C35E">
            <w:pPr>
              <w:jc w:val="center"/>
              <w:rPr>
                <w:rFonts w:ascii="宋体" w:hAnsi="宋体" w:cs="宋体"/>
                <w:color w:val="auto"/>
                <w:sz w:val="24"/>
                <w:szCs w:val="24"/>
                <w:highlight w:val="none"/>
              </w:rPr>
            </w:pPr>
            <w:r>
              <w:rPr>
                <w:rFonts w:hint="eastAsia" w:ascii="宋体" w:hAnsi="宋体" w:cs="宋体"/>
                <w:color w:val="auto"/>
                <w:sz w:val="24"/>
                <w:szCs w:val="24"/>
                <w:highlight w:val="none"/>
              </w:rPr>
              <w:t>质量标准</w:t>
            </w:r>
          </w:p>
        </w:tc>
        <w:tc>
          <w:tcPr>
            <w:tcW w:w="3709" w:type="dxa"/>
            <w:tcBorders>
              <w:top w:val="single" w:color="auto" w:sz="4" w:space="0"/>
              <w:left w:val="single" w:color="auto" w:sz="4" w:space="0"/>
              <w:bottom w:val="single" w:color="auto" w:sz="4" w:space="0"/>
              <w:right w:val="single" w:color="auto" w:sz="4" w:space="0"/>
            </w:tcBorders>
            <w:vAlign w:val="center"/>
          </w:tcPr>
          <w:p w14:paraId="511EF6B8">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按招标文件要求。</w:t>
            </w:r>
          </w:p>
        </w:tc>
        <w:tc>
          <w:tcPr>
            <w:tcW w:w="3055" w:type="dxa"/>
            <w:tcBorders>
              <w:top w:val="single" w:color="auto" w:sz="4" w:space="0"/>
              <w:left w:val="single" w:color="auto" w:sz="4" w:space="0"/>
              <w:bottom w:val="single" w:color="auto" w:sz="4" w:space="0"/>
              <w:right w:val="single" w:color="auto" w:sz="4" w:space="0"/>
            </w:tcBorders>
            <w:vAlign w:val="center"/>
          </w:tcPr>
          <w:p w14:paraId="3056144A">
            <w:pPr>
              <w:jc w:val="center"/>
              <w:rPr>
                <w:rFonts w:ascii="宋体" w:hAnsi="宋体" w:cs="宋体"/>
                <w:b/>
                <w:color w:val="auto"/>
                <w:szCs w:val="21"/>
                <w:highlight w:val="none"/>
              </w:rPr>
            </w:pPr>
          </w:p>
        </w:tc>
      </w:tr>
      <w:tr w14:paraId="3AB7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69" w:type="dxa"/>
            <w:tcBorders>
              <w:top w:val="single" w:color="auto" w:sz="4" w:space="0"/>
              <w:left w:val="single" w:color="auto" w:sz="4" w:space="0"/>
              <w:right w:val="single" w:color="auto" w:sz="4" w:space="0"/>
            </w:tcBorders>
            <w:vAlign w:val="center"/>
          </w:tcPr>
          <w:p w14:paraId="78D0C898">
            <w:pPr>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1738" w:type="dxa"/>
            <w:tcBorders>
              <w:top w:val="single" w:color="auto" w:sz="4" w:space="0"/>
              <w:left w:val="single" w:color="auto" w:sz="4" w:space="0"/>
              <w:bottom w:val="single" w:color="auto" w:sz="4" w:space="0"/>
              <w:right w:val="single" w:color="auto" w:sz="4" w:space="0"/>
            </w:tcBorders>
            <w:vAlign w:val="center"/>
          </w:tcPr>
          <w:p w14:paraId="14AB8CD2">
            <w:pPr>
              <w:jc w:val="center"/>
              <w:rPr>
                <w:rFonts w:ascii="宋体" w:hAnsi="宋体" w:cs="宋体"/>
                <w:color w:val="auto"/>
                <w:sz w:val="24"/>
                <w:szCs w:val="24"/>
                <w:highlight w:val="none"/>
              </w:rPr>
            </w:pPr>
            <w:r>
              <w:rPr>
                <w:rFonts w:hint="eastAsia" w:ascii="宋体" w:hAnsi="宋体" w:cs="宋体"/>
                <w:color w:val="auto"/>
                <w:sz w:val="24"/>
                <w:szCs w:val="24"/>
                <w:highlight w:val="none"/>
              </w:rPr>
              <w:t>投标报价</w:t>
            </w:r>
          </w:p>
          <w:p w14:paraId="1BE10530">
            <w:pPr>
              <w:jc w:val="center"/>
              <w:rPr>
                <w:rFonts w:ascii="宋体" w:hAnsi="宋体" w:cs="宋体"/>
                <w:color w:val="auto"/>
                <w:sz w:val="24"/>
                <w:szCs w:val="24"/>
                <w:highlight w:val="none"/>
              </w:rPr>
            </w:pPr>
            <w:r>
              <w:rPr>
                <w:rFonts w:hint="eastAsia" w:ascii="宋体" w:hAnsi="宋体" w:cs="宋体"/>
                <w:bCs/>
                <w:color w:val="auto"/>
                <w:sz w:val="24"/>
                <w:szCs w:val="24"/>
                <w:highlight w:val="none"/>
              </w:rPr>
              <w:t>（含税）</w:t>
            </w:r>
          </w:p>
        </w:tc>
        <w:tc>
          <w:tcPr>
            <w:tcW w:w="3709" w:type="dxa"/>
            <w:tcBorders>
              <w:top w:val="single" w:color="auto" w:sz="4" w:space="0"/>
              <w:left w:val="single" w:color="auto" w:sz="4" w:space="0"/>
              <w:bottom w:val="single" w:color="auto" w:sz="4" w:space="0"/>
              <w:right w:val="single" w:color="auto" w:sz="4" w:space="0"/>
            </w:tcBorders>
            <w:vAlign w:val="center"/>
          </w:tcPr>
          <w:p w14:paraId="1BE7E8A9">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 xml:space="preserve">小写：          元 </w:t>
            </w:r>
          </w:p>
          <w:p w14:paraId="406BCD8E">
            <w:pPr>
              <w:pStyle w:val="20"/>
              <w:rPr>
                <w:color w:val="auto"/>
                <w:highlight w:val="none"/>
              </w:rPr>
            </w:pPr>
            <w:r>
              <w:rPr>
                <w:rFonts w:hint="eastAsia" w:ascii="宋体" w:hAnsi="宋体" w:cs="宋体"/>
                <w:bCs/>
                <w:color w:val="auto"/>
                <w:sz w:val="24"/>
                <w:szCs w:val="24"/>
                <w:highlight w:val="none"/>
              </w:rPr>
              <w:t>大写：</w:t>
            </w:r>
          </w:p>
        </w:tc>
        <w:tc>
          <w:tcPr>
            <w:tcW w:w="3055" w:type="dxa"/>
            <w:tcBorders>
              <w:top w:val="single" w:color="auto" w:sz="4" w:space="0"/>
              <w:left w:val="single" w:color="auto" w:sz="4" w:space="0"/>
              <w:bottom w:val="single" w:color="auto" w:sz="4" w:space="0"/>
              <w:right w:val="single" w:color="auto" w:sz="4" w:space="0"/>
            </w:tcBorders>
            <w:vAlign w:val="center"/>
          </w:tcPr>
          <w:p w14:paraId="1C969ABC">
            <w:pPr>
              <w:jc w:val="center"/>
              <w:rPr>
                <w:rFonts w:ascii="宋体" w:hAnsi="宋体" w:cs="宋体"/>
                <w:b/>
                <w:color w:val="auto"/>
                <w:szCs w:val="21"/>
                <w:highlight w:val="none"/>
              </w:rPr>
            </w:pPr>
            <w:r>
              <w:rPr>
                <w:rFonts w:hint="eastAsia" w:ascii="宋体" w:hAnsi="宋体" w:cs="宋体"/>
                <w:b/>
                <w:color w:val="auto"/>
                <w:szCs w:val="21"/>
                <w:highlight w:val="none"/>
              </w:rPr>
              <w:t>以“元”为单位，精确到小数点后2位。</w:t>
            </w:r>
          </w:p>
        </w:tc>
      </w:tr>
      <w:tr w14:paraId="5C67C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69" w:type="dxa"/>
            <w:tcBorders>
              <w:top w:val="single" w:color="auto" w:sz="4" w:space="0"/>
              <w:left w:val="single" w:color="auto" w:sz="4" w:space="0"/>
              <w:right w:val="single" w:color="auto" w:sz="4" w:space="0"/>
            </w:tcBorders>
            <w:vAlign w:val="center"/>
          </w:tcPr>
          <w:p w14:paraId="427DF6C5">
            <w:pPr>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1738" w:type="dxa"/>
            <w:tcBorders>
              <w:top w:val="single" w:color="auto" w:sz="4" w:space="0"/>
              <w:left w:val="single" w:color="auto" w:sz="4" w:space="0"/>
              <w:bottom w:val="single" w:color="auto" w:sz="4" w:space="0"/>
              <w:right w:val="single" w:color="auto" w:sz="4" w:space="0"/>
            </w:tcBorders>
            <w:vAlign w:val="center"/>
          </w:tcPr>
          <w:p w14:paraId="5F1784B2">
            <w:pPr>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监理费率</w:t>
            </w:r>
          </w:p>
        </w:tc>
        <w:tc>
          <w:tcPr>
            <w:tcW w:w="3709" w:type="dxa"/>
            <w:tcBorders>
              <w:top w:val="single" w:color="auto" w:sz="4" w:space="0"/>
              <w:left w:val="single" w:color="auto" w:sz="4" w:space="0"/>
              <w:bottom w:val="single" w:color="auto" w:sz="4" w:space="0"/>
              <w:right w:val="single" w:color="auto" w:sz="4" w:space="0"/>
            </w:tcBorders>
            <w:vAlign w:val="center"/>
          </w:tcPr>
          <w:p w14:paraId="1785F661">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 xml:space="preserve">      %</w:t>
            </w:r>
          </w:p>
        </w:tc>
        <w:tc>
          <w:tcPr>
            <w:tcW w:w="3055" w:type="dxa"/>
            <w:tcBorders>
              <w:top w:val="single" w:color="auto" w:sz="4" w:space="0"/>
              <w:left w:val="single" w:color="auto" w:sz="4" w:space="0"/>
              <w:bottom w:val="single" w:color="auto" w:sz="4" w:space="0"/>
              <w:right w:val="single" w:color="auto" w:sz="4" w:space="0"/>
            </w:tcBorders>
            <w:vAlign w:val="center"/>
          </w:tcPr>
          <w:p w14:paraId="4254E77E">
            <w:pPr>
              <w:jc w:val="center"/>
              <w:rPr>
                <w:rFonts w:ascii="宋体" w:hAnsi="宋体" w:cs="宋体"/>
                <w:b/>
                <w:color w:val="auto"/>
                <w:szCs w:val="21"/>
                <w:highlight w:val="none"/>
              </w:rPr>
            </w:pPr>
            <w:r>
              <w:rPr>
                <w:rFonts w:hint="eastAsia" w:ascii="宋体" w:hAnsi="宋体" w:eastAsia="宋体" w:cs="Times New Roman"/>
                <w:color w:val="auto"/>
                <w:kern w:val="0"/>
                <w:sz w:val="22"/>
                <w:szCs w:val="22"/>
                <w:highlight w:val="none"/>
              </w:rPr>
              <w:t>监理费率的计算公式为：</w:t>
            </w:r>
            <w:r>
              <w:rPr>
                <w:rFonts w:hint="eastAsia" w:ascii="宋体" w:hAnsi="宋体" w:eastAsia="宋体" w:cs="Times New Roman"/>
                <w:color w:val="auto"/>
                <w:kern w:val="0"/>
                <w:sz w:val="22"/>
                <w:szCs w:val="22"/>
                <w:highlight w:val="none"/>
                <w:lang w:val="en-US" w:eastAsia="zh-CN"/>
              </w:rPr>
              <w:t>投标报</w:t>
            </w:r>
            <w:r>
              <w:rPr>
                <w:rFonts w:hint="eastAsia" w:ascii="宋体" w:hAnsi="宋体" w:eastAsia="宋体" w:cs="Times New Roman"/>
                <w:color w:val="auto"/>
                <w:kern w:val="0"/>
                <w:sz w:val="22"/>
                <w:szCs w:val="22"/>
                <w:highlight w:val="none"/>
              </w:rPr>
              <w:t>价/115603.11万元×100%(四舍五入，分子保留小数点后两位)。</w:t>
            </w:r>
          </w:p>
        </w:tc>
      </w:tr>
      <w:tr w14:paraId="5823F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69" w:type="dxa"/>
            <w:tcBorders>
              <w:top w:val="single" w:color="auto" w:sz="4" w:space="0"/>
              <w:left w:val="single" w:color="auto" w:sz="4" w:space="0"/>
              <w:bottom w:val="single" w:color="auto" w:sz="4" w:space="0"/>
              <w:right w:val="single" w:color="auto" w:sz="4" w:space="0"/>
            </w:tcBorders>
            <w:vAlign w:val="center"/>
          </w:tcPr>
          <w:p w14:paraId="7C532924">
            <w:pPr>
              <w:jc w:val="center"/>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1738" w:type="dxa"/>
            <w:tcBorders>
              <w:top w:val="single" w:color="auto" w:sz="4" w:space="0"/>
              <w:left w:val="single" w:color="auto" w:sz="4" w:space="0"/>
              <w:bottom w:val="single" w:color="auto" w:sz="4" w:space="0"/>
              <w:right w:val="single" w:color="auto" w:sz="4" w:space="0"/>
            </w:tcBorders>
            <w:vAlign w:val="center"/>
          </w:tcPr>
          <w:p w14:paraId="257CA0FA">
            <w:pPr>
              <w:jc w:val="center"/>
              <w:rPr>
                <w:rFonts w:ascii="宋体" w:hAnsi="宋体" w:cs="宋体"/>
                <w:color w:val="auto"/>
                <w:sz w:val="24"/>
                <w:szCs w:val="24"/>
                <w:highlight w:val="none"/>
              </w:rPr>
            </w:pPr>
            <w:r>
              <w:rPr>
                <w:rFonts w:hint="eastAsia" w:ascii="宋体" w:hAnsi="宋体" w:cs="宋体"/>
                <w:color w:val="auto"/>
                <w:sz w:val="24"/>
                <w:szCs w:val="24"/>
                <w:highlight w:val="none"/>
              </w:rPr>
              <w:t>投标有效期</w:t>
            </w:r>
          </w:p>
        </w:tc>
        <w:tc>
          <w:tcPr>
            <w:tcW w:w="3709" w:type="dxa"/>
            <w:tcBorders>
              <w:top w:val="single" w:color="auto" w:sz="4" w:space="0"/>
              <w:left w:val="single" w:color="auto" w:sz="4" w:space="0"/>
              <w:bottom w:val="single" w:color="auto" w:sz="4" w:space="0"/>
              <w:right w:val="single" w:color="auto" w:sz="4" w:space="0"/>
            </w:tcBorders>
            <w:vAlign w:val="center"/>
          </w:tcPr>
          <w:p w14:paraId="0596425D">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按招标文件要求。</w:t>
            </w:r>
          </w:p>
        </w:tc>
        <w:tc>
          <w:tcPr>
            <w:tcW w:w="3055" w:type="dxa"/>
            <w:tcBorders>
              <w:top w:val="single" w:color="auto" w:sz="4" w:space="0"/>
              <w:left w:val="single" w:color="auto" w:sz="4" w:space="0"/>
              <w:bottom w:val="single" w:color="auto" w:sz="4" w:space="0"/>
              <w:right w:val="single" w:color="auto" w:sz="4" w:space="0"/>
            </w:tcBorders>
            <w:vAlign w:val="center"/>
          </w:tcPr>
          <w:p w14:paraId="1425BCCC">
            <w:pPr>
              <w:jc w:val="center"/>
              <w:rPr>
                <w:rFonts w:ascii="宋体" w:hAnsi="宋体" w:cs="宋体"/>
                <w:b/>
                <w:color w:val="auto"/>
                <w:szCs w:val="21"/>
                <w:highlight w:val="none"/>
              </w:rPr>
            </w:pPr>
          </w:p>
        </w:tc>
      </w:tr>
      <w:tr w14:paraId="263B6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69" w:type="dxa"/>
            <w:tcBorders>
              <w:top w:val="single" w:color="auto" w:sz="4" w:space="0"/>
              <w:left w:val="single" w:color="auto" w:sz="4" w:space="0"/>
              <w:bottom w:val="single" w:color="auto" w:sz="4" w:space="0"/>
              <w:right w:val="single" w:color="auto" w:sz="4" w:space="0"/>
            </w:tcBorders>
            <w:vAlign w:val="center"/>
          </w:tcPr>
          <w:p w14:paraId="1648DDFC">
            <w:pPr>
              <w:jc w:val="center"/>
              <w:rPr>
                <w:rFonts w:ascii="宋体" w:hAnsi="宋体" w:cs="宋体"/>
                <w:color w:val="auto"/>
                <w:sz w:val="24"/>
                <w:szCs w:val="24"/>
                <w:highlight w:val="none"/>
              </w:rPr>
            </w:pPr>
            <w:r>
              <w:rPr>
                <w:rFonts w:hint="eastAsia" w:ascii="宋体" w:hAnsi="宋体" w:cs="宋体"/>
                <w:color w:val="auto"/>
                <w:sz w:val="24"/>
                <w:szCs w:val="24"/>
                <w:highlight w:val="none"/>
              </w:rPr>
              <w:t>8</w:t>
            </w:r>
          </w:p>
        </w:tc>
        <w:tc>
          <w:tcPr>
            <w:tcW w:w="1738" w:type="dxa"/>
            <w:tcBorders>
              <w:top w:val="single" w:color="auto" w:sz="4" w:space="0"/>
              <w:left w:val="single" w:color="auto" w:sz="4" w:space="0"/>
              <w:bottom w:val="single" w:color="auto" w:sz="4" w:space="0"/>
              <w:right w:val="single" w:color="auto" w:sz="4" w:space="0"/>
            </w:tcBorders>
            <w:vAlign w:val="center"/>
          </w:tcPr>
          <w:p w14:paraId="2C3E78CB">
            <w:pPr>
              <w:jc w:val="center"/>
              <w:rPr>
                <w:rFonts w:ascii="宋体" w:hAnsi="宋体" w:cs="宋体"/>
                <w:color w:val="auto"/>
                <w:sz w:val="24"/>
                <w:szCs w:val="24"/>
                <w:highlight w:val="none"/>
              </w:rPr>
            </w:pPr>
            <w:r>
              <w:rPr>
                <w:rFonts w:hint="eastAsia" w:ascii="宋体" w:hAnsi="宋体" w:cs="宋体"/>
                <w:color w:val="auto"/>
                <w:sz w:val="24"/>
                <w:szCs w:val="24"/>
                <w:highlight w:val="none"/>
              </w:rPr>
              <w:t>投标内容</w:t>
            </w:r>
          </w:p>
        </w:tc>
        <w:tc>
          <w:tcPr>
            <w:tcW w:w="3709" w:type="dxa"/>
            <w:tcBorders>
              <w:top w:val="single" w:color="auto" w:sz="4" w:space="0"/>
              <w:left w:val="single" w:color="auto" w:sz="4" w:space="0"/>
              <w:bottom w:val="single" w:color="auto" w:sz="4" w:space="0"/>
              <w:right w:val="single" w:color="auto" w:sz="4" w:space="0"/>
            </w:tcBorders>
            <w:vAlign w:val="center"/>
          </w:tcPr>
          <w:p w14:paraId="1E0551AE">
            <w:pPr>
              <w:jc w:val="left"/>
              <w:rPr>
                <w:rFonts w:ascii="宋体" w:hAnsi="宋体" w:cs="宋体"/>
                <w:bCs/>
                <w:color w:val="auto"/>
                <w:sz w:val="24"/>
                <w:highlight w:val="none"/>
              </w:rPr>
            </w:pPr>
            <w:r>
              <w:rPr>
                <w:rFonts w:hint="eastAsia" w:ascii="宋体" w:hAnsi="宋体" w:cs="宋体"/>
                <w:bCs/>
                <w:color w:val="auto"/>
                <w:sz w:val="24"/>
                <w:szCs w:val="24"/>
                <w:highlight w:val="none"/>
              </w:rPr>
              <w:t>按招标文件要求。</w:t>
            </w:r>
          </w:p>
        </w:tc>
        <w:tc>
          <w:tcPr>
            <w:tcW w:w="3055" w:type="dxa"/>
            <w:tcBorders>
              <w:top w:val="single" w:color="auto" w:sz="4" w:space="0"/>
              <w:left w:val="single" w:color="auto" w:sz="4" w:space="0"/>
              <w:bottom w:val="single" w:color="auto" w:sz="4" w:space="0"/>
              <w:right w:val="single" w:color="auto" w:sz="4" w:space="0"/>
            </w:tcBorders>
            <w:vAlign w:val="center"/>
          </w:tcPr>
          <w:p w14:paraId="31D4EFA9">
            <w:pPr>
              <w:jc w:val="center"/>
              <w:rPr>
                <w:rFonts w:ascii="宋体" w:hAnsi="宋体" w:cs="宋体"/>
                <w:b/>
                <w:color w:val="auto"/>
                <w:szCs w:val="21"/>
                <w:highlight w:val="none"/>
              </w:rPr>
            </w:pPr>
          </w:p>
        </w:tc>
      </w:tr>
    </w:tbl>
    <w:p w14:paraId="1018A6E5">
      <w:pPr>
        <w:jc w:val="center"/>
        <w:rPr>
          <w:rFonts w:ascii="宋体" w:hAnsi="宋体"/>
          <w:color w:val="auto"/>
          <w:sz w:val="28"/>
          <w:szCs w:val="28"/>
          <w:highlight w:val="none"/>
        </w:rPr>
      </w:pPr>
    </w:p>
    <w:p w14:paraId="4DC21B90">
      <w:pPr>
        <w:spacing w:after="151"/>
        <w:ind w:left="10" w:right="198" w:hanging="10"/>
        <w:jc w:val="right"/>
        <w:rPr>
          <w:rFonts w:ascii="宋体" w:hAnsi="宋体"/>
          <w:color w:val="auto"/>
          <w:highlight w:val="none"/>
        </w:rPr>
      </w:pPr>
    </w:p>
    <w:p w14:paraId="696F7A4B">
      <w:pPr>
        <w:spacing w:line="480" w:lineRule="exact"/>
        <w:ind w:firstLine="0" w:firstLineChars="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投标人名称：</w:t>
      </w:r>
    </w:p>
    <w:p w14:paraId="0E8EC132">
      <w:pPr>
        <w:tabs>
          <w:tab w:val="left" w:pos="9333"/>
        </w:tabs>
        <w:wordWrap w:val="0"/>
        <w:spacing w:line="480" w:lineRule="exact"/>
        <w:ind w:right="178" w:rightChars="85" w:firstLine="0" w:firstLineChars="0"/>
        <w:rPr>
          <w:rFonts w:ascii="宋体" w:hAnsi="宋体" w:cs="宋体"/>
          <w:color w:val="auto"/>
          <w:sz w:val="24"/>
          <w:szCs w:val="24"/>
          <w:highlight w:val="none"/>
        </w:rPr>
      </w:pPr>
      <w:r>
        <w:rPr>
          <w:rFonts w:hint="eastAsia" w:ascii="宋体" w:hAnsi="宋体" w:cs="宋体"/>
          <w:color w:val="auto"/>
          <w:sz w:val="24"/>
          <w:szCs w:val="24"/>
          <w:highlight w:val="none"/>
        </w:rPr>
        <w:t>日期：年月日</w:t>
      </w:r>
    </w:p>
    <w:p w14:paraId="18F43B26">
      <w:pPr>
        <w:pStyle w:val="4"/>
        <w:keepNext w:val="0"/>
        <w:keepLines w:val="0"/>
        <w:rPr>
          <w:rFonts w:ascii="宋体" w:hAnsi="宋体" w:eastAsia="宋体" w:cs="宋体"/>
          <w:color w:val="auto"/>
          <w:highlight w:val="none"/>
        </w:rPr>
      </w:pPr>
      <w:bookmarkStart w:id="278" w:name="_Toc517280604"/>
      <w:r>
        <w:rPr>
          <w:rFonts w:hint="eastAsia" w:ascii="宋体" w:hAnsi="宋体" w:eastAsia="宋体" w:cs="宋体"/>
          <w:color w:val="auto"/>
          <w:highlight w:val="none"/>
        </w:rPr>
        <w:br w:type="page"/>
      </w:r>
      <w:bookmarkStart w:id="279" w:name="_Toc15912_WPSOffice_Level1"/>
      <w:bookmarkStart w:id="280" w:name="_Toc9287_WPSOffice_Level1"/>
      <w:bookmarkStart w:id="281" w:name="_Toc17626_WPSOffice_Level1"/>
      <w:bookmarkStart w:id="282" w:name="_Toc14715_WPSOffice_Level1"/>
      <w:bookmarkStart w:id="283" w:name="_Toc5323_WPSOffice_Level1"/>
      <w:r>
        <w:rPr>
          <w:rFonts w:hint="eastAsia" w:ascii="宋体" w:hAnsi="宋体" w:eastAsia="宋体" w:cs="宋体"/>
          <w:color w:val="auto"/>
          <w:szCs w:val="32"/>
          <w:highlight w:val="none"/>
        </w:rPr>
        <w:t>格式二：</w:t>
      </w:r>
    </w:p>
    <w:p w14:paraId="5ED6FF4F">
      <w:pPr>
        <w:pStyle w:val="4"/>
        <w:keepNext w:val="0"/>
        <w:keepLines w:val="0"/>
        <w:ind w:left="1680"/>
        <w:rPr>
          <w:rFonts w:ascii="宋体" w:hAnsi="宋体" w:eastAsia="宋体" w:cs="宋体"/>
          <w:color w:val="auto"/>
          <w:highlight w:val="none"/>
        </w:rPr>
      </w:pPr>
      <w:r>
        <w:rPr>
          <w:rFonts w:hint="eastAsia" w:ascii="宋体" w:hAnsi="宋体" w:eastAsia="宋体" w:cs="宋体"/>
          <w:color w:val="auto"/>
          <w:highlight w:val="none"/>
        </w:rPr>
        <w:t>二</w:t>
      </w:r>
      <w:bookmarkEnd w:id="267"/>
      <w:bookmarkEnd w:id="268"/>
      <w:bookmarkEnd w:id="269"/>
      <w:bookmarkEnd w:id="270"/>
      <w:bookmarkEnd w:id="271"/>
      <w:bookmarkEnd w:id="272"/>
      <w:bookmarkEnd w:id="273"/>
      <w:bookmarkEnd w:id="274"/>
      <w:bookmarkEnd w:id="275"/>
      <w:bookmarkEnd w:id="276"/>
      <w:bookmarkEnd w:id="277"/>
      <w:r>
        <w:rPr>
          <w:rFonts w:hint="eastAsia" w:ascii="宋体" w:hAnsi="宋体" w:eastAsia="宋体" w:cs="宋体"/>
          <w:color w:val="auto"/>
          <w:highlight w:val="none"/>
        </w:rPr>
        <w:t>、法定代表人身份证明或授权委托书</w:t>
      </w:r>
    </w:p>
    <w:p w14:paraId="1979B5E8">
      <w:pPr>
        <w:pStyle w:val="4"/>
        <w:keepNext w:val="0"/>
        <w:keepLines w:val="0"/>
        <w:jc w:val="center"/>
        <w:rPr>
          <w:rFonts w:ascii="宋体" w:hAnsi="宋体" w:eastAsia="宋体" w:cs="宋体"/>
          <w:color w:val="auto"/>
          <w:highlight w:val="none"/>
        </w:rPr>
      </w:pPr>
      <w:r>
        <w:rPr>
          <w:rFonts w:hint="eastAsia" w:ascii="宋体" w:hAnsi="宋体" w:eastAsia="宋体" w:cs="宋体"/>
          <w:color w:val="auto"/>
          <w:highlight w:val="none"/>
        </w:rPr>
        <w:t>（一）法定代表人身份证明</w:t>
      </w:r>
      <w:bookmarkEnd w:id="278"/>
      <w:bookmarkEnd w:id="279"/>
      <w:bookmarkEnd w:id="280"/>
      <w:bookmarkEnd w:id="281"/>
      <w:bookmarkEnd w:id="282"/>
      <w:bookmarkEnd w:id="283"/>
      <w:r>
        <w:rPr>
          <w:rFonts w:hint="eastAsia" w:ascii="宋体" w:hAnsi="宋体" w:eastAsia="宋体" w:cs="宋体"/>
          <w:color w:val="auto"/>
          <w:highlight w:val="none"/>
        </w:rPr>
        <w:t>（格式可自拟）</w:t>
      </w:r>
    </w:p>
    <w:p w14:paraId="62947FE2">
      <w:pPr>
        <w:spacing w:line="440" w:lineRule="exact"/>
        <w:rPr>
          <w:rFonts w:ascii="宋体" w:hAnsi="宋体" w:cs="宋体"/>
          <w:color w:val="auto"/>
          <w:highlight w:val="none"/>
        </w:rPr>
      </w:pPr>
    </w:p>
    <w:p w14:paraId="2E497D43">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投标人名称：</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p>
    <w:p w14:paraId="735EA300">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姓名：</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性别：</w:t>
      </w:r>
      <w:bookmarkStart w:id="284" w:name="_Toc369531698"/>
      <w:bookmarkStart w:id="285" w:name="_Toc27897"/>
      <w:bookmarkStart w:id="286" w:name="_Toc352691662"/>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年</w:t>
      </w:r>
      <w:bookmarkEnd w:id="284"/>
      <w:bookmarkEnd w:id="285"/>
      <w:bookmarkEnd w:id="286"/>
      <w:r>
        <w:rPr>
          <w:rFonts w:hint="eastAsia" w:ascii="宋体" w:hAnsi="宋体" w:cs="宋体"/>
          <w:color w:val="auto"/>
          <w:sz w:val="24"/>
          <w:szCs w:val="24"/>
          <w:highlight w:val="none"/>
        </w:rPr>
        <w:t>龄</w:t>
      </w:r>
      <w:bookmarkStart w:id="287" w:name="_Toc300835211"/>
      <w:bookmarkStart w:id="288" w:name="_Toc361508754"/>
      <w:bookmarkStart w:id="289" w:name="_Toc15573"/>
      <w:bookmarkStart w:id="290" w:name="_Toc144974858"/>
      <w:bookmarkStart w:id="291" w:name="_Toc152045789"/>
      <w:bookmarkStart w:id="292" w:name="_Toc152042578"/>
      <w:bookmarkStart w:id="293" w:name="_Toc352691663"/>
      <w:bookmarkStart w:id="294" w:name="_Toc384308377"/>
      <w:bookmarkStart w:id="295" w:name="_Toc247514248"/>
      <w:bookmarkStart w:id="296" w:name="_Toc247527829"/>
      <w:bookmarkStart w:id="297" w:name="_Toc369531699"/>
      <w:r>
        <w:rPr>
          <w:rFonts w:hint="eastAsia" w:ascii="宋体" w:hAnsi="宋体" w:cs="宋体"/>
          <w:color w:val="auto"/>
          <w:sz w:val="24"/>
          <w:szCs w:val="24"/>
          <w:highlight w:val="none"/>
        </w:rPr>
        <w:t>：</w:t>
      </w:r>
      <w:bookmarkEnd w:id="287"/>
      <w:bookmarkEnd w:id="288"/>
      <w:bookmarkEnd w:id="289"/>
      <w:bookmarkEnd w:id="290"/>
      <w:bookmarkEnd w:id="291"/>
      <w:bookmarkEnd w:id="292"/>
      <w:bookmarkEnd w:id="293"/>
      <w:bookmarkEnd w:id="294"/>
      <w:bookmarkEnd w:id="295"/>
      <w:bookmarkEnd w:id="296"/>
      <w:bookmarkEnd w:id="297"/>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职务：</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p>
    <w:p w14:paraId="454A126F">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系</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（投标人名称）的法定代表人。</w:t>
      </w:r>
    </w:p>
    <w:p w14:paraId="79C97588">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特此证明。</w:t>
      </w:r>
    </w:p>
    <w:p w14:paraId="6BD4C492">
      <w:pPr>
        <w:spacing w:line="440" w:lineRule="exact"/>
        <w:rPr>
          <w:rFonts w:ascii="宋体" w:hAnsi="宋体" w:cs="宋体"/>
          <w:color w:val="auto"/>
          <w:sz w:val="24"/>
          <w:szCs w:val="24"/>
          <w:highlight w:val="none"/>
        </w:rPr>
      </w:pPr>
    </w:p>
    <w:p w14:paraId="09680D87">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附：法定代表人身份证原件正反面清晰彩色扫描件。</w:t>
      </w:r>
    </w:p>
    <w:p w14:paraId="3CFE7480">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注：本身份证明需由投标人加盖单位公章。</w:t>
      </w:r>
    </w:p>
    <w:p w14:paraId="47A6334D">
      <w:pPr>
        <w:spacing w:line="440" w:lineRule="exact"/>
        <w:rPr>
          <w:rFonts w:ascii="宋体" w:hAnsi="宋体" w:cs="宋体"/>
          <w:color w:val="auto"/>
          <w:sz w:val="24"/>
          <w:szCs w:val="24"/>
          <w:highlight w:val="none"/>
        </w:rPr>
      </w:pPr>
    </w:p>
    <w:p w14:paraId="222E9A62">
      <w:pPr>
        <w:spacing w:line="440" w:lineRule="exact"/>
        <w:rPr>
          <w:rFonts w:ascii="宋体" w:hAnsi="宋体" w:cs="宋体"/>
          <w:color w:val="auto"/>
          <w:sz w:val="24"/>
          <w:szCs w:val="24"/>
          <w:highlight w:val="none"/>
        </w:rPr>
      </w:pPr>
    </w:p>
    <w:p w14:paraId="1ACC5C4F">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投标人：（盖单位章）</w:t>
      </w:r>
    </w:p>
    <w:p w14:paraId="5CA28672">
      <w:pPr>
        <w:spacing w:line="440" w:lineRule="exact"/>
        <w:rPr>
          <w:rFonts w:ascii="宋体" w:hAnsi="宋体" w:cs="宋体"/>
          <w:color w:val="auto"/>
          <w:sz w:val="24"/>
          <w:szCs w:val="24"/>
          <w:highlight w:val="none"/>
        </w:rPr>
      </w:pPr>
    </w:p>
    <w:p w14:paraId="4CF0A0FA">
      <w:pPr>
        <w:spacing w:line="440" w:lineRule="exact"/>
        <w:ind w:firstLine="5280" w:firstLineChars="2200"/>
        <w:rPr>
          <w:rFonts w:ascii="宋体" w:hAnsi="宋体" w:cs="宋体"/>
          <w:color w:val="auto"/>
          <w:sz w:val="24"/>
          <w:szCs w:val="24"/>
          <w:highlight w:val="none"/>
        </w:rPr>
      </w:pPr>
      <w:r>
        <w:rPr>
          <w:rFonts w:hint="eastAsia" w:ascii="宋体" w:hAnsi="宋体" w:cs="宋体"/>
          <w:color w:val="auto"/>
          <w:sz w:val="24"/>
          <w:szCs w:val="24"/>
          <w:highlight w:val="none"/>
        </w:rPr>
        <w:t>年   月   日</w:t>
      </w:r>
    </w:p>
    <w:p w14:paraId="6DC51A3A">
      <w:pPr>
        <w:pStyle w:val="4"/>
        <w:keepNext w:val="0"/>
        <w:keepLines w:val="0"/>
        <w:jc w:val="center"/>
        <w:rPr>
          <w:rFonts w:ascii="宋体" w:hAnsi="宋体" w:eastAsia="宋体" w:cs="宋体"/>
          <w:color w:val="auto"/>
          <w:highlight w:val="none"/>
        </w:rPr>
      </w:pPr>
      <w:bookmarkStart w:id="298" w:name="_Toc517280605"/>
      <w:r>
        <w:rPr>
          <w:rFonts w:hint="eastAsia" w:ascii="宋体" w:hAnsi="宋体" w:eastAsia="宋体" w:cs="宋体"/>
          <w:color w:val="auto"/>
          <w:highlight w:val="none"/>
        </w:rPr>
        <w:br w:type="page"/>
      </w:r>
      <w:bookmarkStart w:id="299" w:name="_Toc22443_WPSOffice_Level1"/>
      <w:bookmarkStart w:id="300" w:name="_Toc8685_WPSOffice_Level1"/>
      <w:bookmarkStart w:id="301" w:name="_Toc21692_WPSOffice_Level1"/>
      <w:bookmarkStart w:id="302" w:name="_Toc24676_WPSOffice_Level1"/>
      <w:bookmarkStart w:id="303" w:name="_Toc23040_WPSOffice_Level1"/>
    </w:p>
    <w:p w14:paraId="7916BC4D">
      <w:pPr>
        <w:pStyle w:val="4"/>
        <w:keepNext w:val="0"/>
        <w:keepLines w:val="0"/>
        <w:jc w:val="center"/>
        <w:rPr>
          <w:rFonts w:ascii="宋体" w:hAnsi="宋体" w:eastAsia="宋体" w:cs="宋体"/>
          <w:color w:val="auto"/>
          <w:highlight w:val="none"/>
        </w:rPr>
      </w:pPr>
      <w:r>
        <w:rPr>
          <w:rFonts w:hint="eastAsia" w:ascii="宋体" w:hAnsi="宋体" w:eastAsia="宋体" w:cs="宋体"/>
          <w:color w:val="auto"/>
          <w:highlight w:val="none"/>
        </w:rPr>
        <w:t>（二）授权委托书</w:t>
      </w:r>
      <w:bookmarkEnd w:id="298"/>
      <w:bookmarkEnd w:id="299"/>
      <w:bookmarkEnd w:id="300"/>
      <w:bookmarkEnd w:id="301"/>
      <w:bookmarkEnd w:id="302"/>
      <w:bookmarkEnd w:id="303"/>
      <w:r>
        <w:rPr>
          <w:rFonts w:hint="eastAsia" w:ascii="宋体" w:hAnsi="宋体" w:eastAsia="宋体" w:cs="宋体"/>
          <w:color w:val="auto"/>
          <w:highlight w:val="none"/>
        </w:rPr>
        <w:t>（格式可自拟）</w:t>
      </w:r>
    </w:p>
    <w:p w14:paraId="0EA57054">
      <w:pPr>
        <w:spacing w:line="440" w:lineRule="exact"/>
        <w:rPr>
          <w:rFonts w:ascii="宋体" w:hAnsi="宋体" w:cs="宋体"/>
          <w:color w:val="auto"/>
          <w:highlight w:val="none"/>
        </w:rPr>
      </w:pPr>
    </w:p>
    <w:p w14:paraId="5D2B10F7">
      <w:pPr>
        <w:topLinePunct/>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本人</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（姓名）系</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（投标人名称）的法定代表人，现委托</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（姓名）为我方代理人。代理人根据授权，以我方名义签署、澄清确认、递交、撤回、修改</w:t>
      </w:r>
      <w:r>
        <w:rPr>
          <w:rFonts w:hint="eastAsia" w:ascii="宋体" w:hAnsi="宋体" w:cs="宋体"/>
          <w:color w:val="auto"/>
          <w:sz w:val="24"/>
          <w:szCs w:val="24"/>
          <w:highlight w:val="none"/>
          <w:u w:val="single"/>
        </w:rPr>
        <w:t>（项目名称）</w:t>
      </w:r>
      <w:r>
        <w:rPr>
          <w:rFonts w:hint="eastAsia" w:ascii="宋体" w:hAnsi="宋体" w:cs="宋体"/>
          <w:color w:val="auto"/>
          <w:sz w:val="24"/>
          <w:szCs w:val="24"/>
          <w:highlight w:val="none"/>
        </w:rPr>
        <w:t xml:space="preserve">投标文件、签订合同和处理有关事宜，其法律后果由我方承担。 </w:t>
      </w:r>
    </w:p>
    <w:p w14:paraId="24290A9B">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委托期限：</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w:t>
      </w:r>
    </w:p>
    <w:p w14:paraId="5CE74EFC">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委托代理人无转委托权。</w:t>
      </w:r>
    </w:p>
    <w:p w14:paraId="25C5B63A">
      <w:pPr>
        <w:spacing w:line="440" w:lineRule="exact"/>
        <w:ind w:firstLine="480" w:firstLineChars="200"/>
        <w:rPr>
          <w:rFonts w:ascii="宋体" w:hAnsi="宋体" w:cs="宋体"/>
          <w:color w:val="auto"/>
          <w:sz w:val="24"/>
          <w:szCs w:val="24"/>
          <w:highlight w:val="none"/>
        </w:rPr>
      </w:pPr>
    </w:p>
    <w:p w14:paraId="79A9E2C3">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附：法定代表人身份证及委托代理人身份原件正反面清晰彩色扫描件</w:t>
      </w:r>
    </w:p>
    <w:p w14:paraId="72A17797">
      <w:pPr>
        <w:spacing w:line="440" w:lineRule="exact"/>
        <w:rPr>
          <w:rFonts w:ascii="宋体" w:hAnsi="宋体" w:cs="宋体"/>
          <w:color w:val="auto"/>
          <w:sz w:val="24"/>
          <w:szCs w:val="24"/>
          <w:highlight w:val="none"/>
        </w:rPr>
      </w:pPr>
    </w:p>
    <w:p w14:paraId="6EABA5CD">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注：本授权委托书需由投标人加盖单位公章并由其法定代表人和委托代理人签字或盖章。</w:t>
      </w:r>
    </w:p>
    <w:p w14:paraId="2D3127CA">
      <w:pPr>
        <w:spacing w:line="440" w:lineRule="exact"/>
        <w:rPr>
          <w:rFonts w:ascii="宋体" w:hAnsi="宋体" w:cs="宋体"/>
          <w:color w:val="auto"/>
          <w:sz w:val="24"/>
          <w:szCs w:val="24"/>
          <w:highlight w:val="none"/>
        </w:rPr>
      </w:pPr>
    </w:p>
    <w:p w14:paraId="5398E3D4">
      <w:pPr>
        <w:spacing w:line="440" w:lineRule="exact"/>
        <w:ind w:firstLine="3076" w:firstLineChars="1282"/>
        <w:rPr>
          <w:rFonts w:ascii="宋体" w:hAnsi="宋体" w:cs="宋体"/>
          <w:color w:val="auto"/>
          <w:sz w:val="24"/>
          <w:szCs w:val="24"/>
          <w:highlight w:val="none"/>
        </w:rPr>
      </w:pPr>
      <w:r>
        <w:rPr>
          <w:rFonts w:hint="eastAsia" w:ascii="宋体" w:hAnsi="宋体" w:cs="宋体"/>
          <w:color w:val="auto"/>
          <w:sz w:val="24"/>
          <w:szCs w:val="24"/>
          <w:highlight w:val="none"/>
        </w:rPr>
        <w:t>投  标  人：</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（盖单位章）</w:t>
      </w:r>
    </w:p>
    <w:p w14:paraId="501EB85D">
      <w:pPr>
        <w:spacing w:line="440" w:lineRule="exact"/>
        <w:ind w:firstLine="3076" w:firstLineChars="1282"/>
        <w:rPr>
          <w:rFonts w:ascii="宋体" w:hAnsi="宋体" w:cs="宋体"/>
          <w:color w:val="auto"/>
          <w:sz w:val="24"/>
          <w:szCs w:val="24"/>
          <w:highlight w:val="none"/>
        </w:rPr>
      </w:pPr>
    </w:p>
    <w:p w14:paraId="1D6B2A15">
      <w:pPr>
        <w:spacing w:line="440" w:lineRule="exact"/>
        <w:ind w:firstLine="3074" w:firstLineChars="1281"/>
        <w:jc w:val="left"/>
        <w:rPr>
          <w:rFonts w:ascii="宋体" w:hAnsi="宋体" w:cs="宋体"/>
          <w:color w:val="auto"/>
          <w:sz w:val="24"/>
          <w:szCs w:val="24"/>
          <w:highlight w:val="none"/>
        </w:rPr>
      </w:pPr>
      <w:r>
        <w:rPr>
          <w:rFonts w:hint="eastAsia" w:ascii="宋体" w:hAnsi="宋体" w:cs="宋体"/>
          <w:color w:val="auto"/>
          <w:sz w:val="24"/>
          <w:szCs w:val="24"/>
          <w:highlight w:val="none"/>
        </w:rPr>
        <w:t>法定代表人：</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（签字或盖章）</w:t>
      </w:r>
    </w:p>
    <w:p w14:paraId="05292ADF">
      <w:pPr>
        <w:spacing w:line="440" w:lineRule="exact"/>
        <w:ind w:firstLine="3076" w:firstLineChars="1282"/>
        <w:rPr>
          <w:rFonts w:ascii="宋体" w:hAnsi="宋体" w:cs="宋体"/>
          <w:color w:val="auto"/>
          <w:sz w:val="24"/>
          <w:szCs w:val="24"/>
          <w:highlight w:val="none"/>
        </w:rPr>
      </w:pPr>
    </w:p>
    <w:p w14:paraId="0AC69826">
      <w:pPr>
        <w:spacing w:line="440" w:lineRule="exact"/>
        <w:ind w:firstLine="3076" w:firstLineChars="1282"/>
        <w:rPr>
          <w:rFonts w:ascii="宋体" w:hAnsi="宋体" w:cs="宋体"/>
          <w:color w:val="auto"/>
          <w:sz w:val="24"/>
          <w:szCs w:val="24"/>
          <w:highlight w:val="none"/>
        </w:rPr>
      </w:pPr>
      <w:r>
        <w:rPr>
          <w:rFonts w:hint="eastAsia" w:ascii="宋体" w:hAnsi="宋体" w:cs="宋体"/>
          <w:color w:val="auto"/>
          <w:sz w:val="24"/>
          <w:szCs w:val="24"/>
          <w:highlight w:val="none"/>
        </w:rPr>
        <w:t>身份证号码：</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p>
    <w:p w14:paraId="24E4C414">
      <w:pPr>
        <w:spacing w:line="440" w:lineRule="exact"/>
        <w:ind w:firstLine="3076" w:firstLineChars="1282"/>
        <w:rPr>
          <w:rFonts w:ascii="宋体" w:hAnsi="宋体" w:cs="宋体"/>
          <w:color w:val="auto"/>
          <w:sz w:val="24"/>
          <w:szCs w:val="24"/>
          <w:highlight w:val="none"/>
        </w:rPr>
      </w:pPr>
    </w:p>
    <w:p w14:paraId="2E9E918E">
      <w:pPr>
        <w:spacing w:line="440" w:lineRule="exact"/>
        <w:ind w:firstLine="3076" w:firstLineChars="1282"/>
        <w:rPr>
          <w:rFonts w:ascii="宋体" w:hAnsi="宋体" w:cs="宋体"/>
          <w:color w:val="auto"/>
          <w:sz w:val="24"/>
          <w:szCs w:val="24"/>
          <w:highlight w:val="none"/>
        </w:rPr>
      </w:pPr>
      <w:r>
        <w:rPr>
          <w:rFonts w:hint="eastAsia" w:ascii="宋体" w:hAnsi="宋体" w:cs="宋体"/>
          <w:color w:val="auto"/>
          <w:sz w:val="24"/>
          <w:szCs w:val="24"/>
          <w:highlight w:val="none"/>
        </w:rPr>
        <w:t>委托代理人：</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（签字或盖章）</w:t>
      </w:r>
    </w:p>
    <w:p w14:paraId="62A3D202">
      <w:pPr>
        <w:spacing w:line="440" w:lineRule="exact"/>
        <w:ind w:firstLine="3076" w:firstLineChars="1282"/>
        <w:rPr>
          <w:rFonts w:ascii="宋体" w:hAnsi="宋体" w:cs="宋体"/>
          <w:color w:val="auto"/>
          <w:sz w:val="24"/>
          <w:szCs w:val="24"/>
          <w:highlight w:val="none"/>
        </w:rPr>
      </w:pPr>
    </w:p>
    <w:p w14:paraId="5A9199A7">
      <w:pPr>
        <w:spacing w:line="440" w:lineRule="exact"/>
        <w:ind w:firstLine="3076" w:firstLineChars="1282"/>
        <w:rPr>
          <w:rFonts w:ascii="宋体" w:hAnsi="宋体" w:cs="宋体"/>
          <w:color w:val="auto"/>
          <w:sz w:val="24"/>
          <w:szCs w:val="24"/>
          <w:highlight w:val="none"/>
        </w:rPr>
      </w:pPr>
      <w:r>
        <w:rPr>
          <w:rFonts w:hint="eastAsia" w:ascii="宋体" w:hAnsi="宋体" w:cs="宋体"/>
          <w:color w:val="auto"/>
          <w:sz w:val="24"/>
          <w:szCs w:val="24"/>
          <w:highlight w:val="none"/>
        </w:rPr>
        <w:t>身份证号码：</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p>
    <w:p w14:paraId="3EC6A833">
      <w:pPr>
        <w:spacing w:line="440" w:lineRule="exact"/>
        <w:ind w:firstLine="3076" w:firstLineChars="1282"/>
        <w:rPr>
          <w:rFonts w:ascii="宋体" w:hAnsi="宋体" w:cs="宋体"/>
          <w:color w:val="auto"/>
          <w:sz w:val="24"/>
          <w:szCs w:val="24"/>
          <w:highlight w:val="none"/>
        </w:rPr>
      </w:pPr>
    </w:p>
    <w:p w14:paraId="4DDDF932">
      <w:pPr>
        <w:spacing w:line="440" w:lineRule="exact"/>
        <w:ind w:firstLine="3076" w:firstLineChars="1282"/>
        <w:rPr>
          <w:rFonts w:ascii="宋体" w:hAnsi="宋体" w:cs="宋体"/>
          <w:color w:val="auto"/>
          <w:sz w:val="24"/>
          <w:szCs w:val="24"/>
          <w:highlight w:val="none"/>
        </w:rPr>
      </w:pPr>
    </w:p>
    <w:p w14:paraId="6B225359">
      <w:pPr>
        <w:spacing w:line="440" w:lineRule="exact"/>
        <w:ind w:firstLine="4636" w:firstLineChars="1932"/>
        <w:jc w:val="right"/>
        <w:rPr>
          <w:rFonts w:ascii="宋体" w:hAnsi="宋体" w:cs="宋体"/>
          <w:color w:val="auto"/>
          <w:sz w:val="24"/>
          <w:szCs w:val="24"/>
          <w:highlight w:val="none"/>
        </w:rPr>
      </w:pPr>
      <w:r>
        <w:rPr>
          <w:rFonts w:hint="eastAsia" w:ascii="宋体" w:hAnsi="宋体" w:cs="宋体"/>
          <w:color w:val="auto"/>
          <w:sz w:val="24"/>
          <w:szCs w:val="24"/>
          <w:highlight w:val="none"/>
        </w:rPr>
        <w:t>年   月   日</w:t>
      </w:r>
    </w:p>
    <w:p w14:paraId="7310D6B5">
      <w:pPr>
        <w:spacing w:line="440" w:lineRule="exact"/>
        <w:ind w:firstLine="4057" w:firstLineChars="1932"/>
        <w:jc w:val="right"/>
        <w:rPr>
          <w:rFonts w:ascii="宋体" w:hAnsi="宋体" w:cs="宋体"/>
          <w:color w:val="auto"/>
          <w:highlight w:val="none"/>
        </w:rPr>
      </w:pPr>
    </w:p>
    <w:p w14:paraId="135EF727">
      <w:pPr>
        <w:pStyle w:val="4"/>
        <w:jc w:val="left"/>
        <w:rPr>
          <w:rFonts w:ascii="宋体" w:hAnsi="宋体" w:eastAsia="宋体" w:cs="宋体"/>
          <w:color w:val="auto"/>
          <w:highlight w:val="none"/>
        </w:rPr>
      </w:pPr>
      <w:r>
        <w:rPr>
          <w:rFonts w:hint="eastAsia" w:ascii="宋体" w:hAnsi="宋体" w:eastAsia="宋体" w:cs="宋体"/>
          <w:color w:val="auto"/>
          <w:highlight w:val="none"/>
        </w:rPr>
        <w:br w:type="page"/>
      </w:r>
      <w:bookmarkStart w:id="304" w:name="_Toc517280606"/>
      <w:bookmarkStart w:id="305" w:name="_Toc26885_WPSOffice_Level1"/>
      <w:bookmarkStart w:id="306" w:name="_Toc15443_WPSOffice_Level1"/>
      <w:bookmarkStart w:id="307" w:name="_Toc19848_WPSOffice_Level1"/>
      <w:bookmarkStart w:id="308" w:name="_Toc10562_WPSOffice_Level1"/>
      <w:bookmarkStart w:id="309" w:name="_Toc5982_WPSOffice_Level1"/>
      <w:r>
        <w:rPr>
          <w:rFonts w:hint="eastAsia" w:ascii="宋体" w:hAnsi="宋体" w:eastAsia="宋体" w:cs="宋体"/>
          <w:color w:val="auto"/>
          <w:szCs w:val="32"/>
          <w:highlight w:val="none"/>
        </w:rPr>
        <w:t>格式三：</w:t>
      </w:r>
    </w:p>
    <w:p w14:paraId="15253247">
      <w:pPr>
        <w:pStyle w:val="5"/>
        <w:rPr>
          <w:rFonts w:ascii="宋体" w:hAnsi="宋体" w:cs="宋体"/>
          <w:color w:val="auto"/>
          <w:highlight w:val="none"/>
        </w:rPr>
      </w:pPr>
      <w:bookmarkStart w:id="310" w:name="_Toc3349"/>
      <w:bookmarkStart w:id="311" w:name="_Toc25721"/>
      <w:bookmarkStart w:id="312" w:name="_Toc1871"/>
      <w:bookmarkStart w:id="313" w:name="_Toc13068"/>
    </w:p>
    <w:p w14:paraId="0CB13AAD">
      <w:pPr>
        <w:pStyle w:val="5"/>
        <w:jc w:val="center"/>
        <w:rPr>
          <w:rFonts w:ascii="宋体" w:hAnsi="宋体" w:cs="宋体"/>
          <w:b/>
          <w:color w:val="auto"/>
          <w:sz w:val="32"/>
          <w:szCs w:val="20"/>
          <w:highlight w:val="none"/>
        </w:rPr>
      </w:pPr>
      <w:r>
        <w:rPr>
          <w:rFonts w:hint="eastAsia" w:ascii="宋体" w:hAnsi="宋体" w:cs="宋体"/>
          <w:b/>
          <w:color w:val="auto"/>
          <w:sz w:val="32"/>
          <w:szCs w:val="20"/>
          <w:highlight w:val="none"/>
        </w:rPr>
        <w:t>三、监理报酬清单</w:t>
      </w:r>
      <w:bookmarkEnd w:id="310"/>
      <w:bookmarkEnd w:id="311"/>
      <w:bookmarkEnd w:id="312"/>
      <w:bookmarkEnd w:id="313"/>
    </w:p>
    <w:p w14:paraId="5C75CEB1">
      <w:pPr>
        <w:jc w:val="left"/>
        <w:rPr>
          <w:color w:val="auto"/>
          <w:sz w:val="28"/>
          <w:szCs w:val="28"/>
          <w:highlight w:val="none"/>
        </w:rPr>
      </w:pPr>
    </w:p>
    <w:p w14:paraId="42BF7FF8">
      <w:pPr>
        <w:spacing w:afterLines="100"/>
        <w:jc w:val="left"/>
        <w:rPr>
          <w:rFonts w:ascii="宋体" w:hAnsi="宋体" w:cs="宋体"/>
          <w:bCs/>
          <w:color w:val="auto"/>
          <w:sz w:val="28"/>
          <w:szCs w:val="28"/>
          <w:highlight w:val="none"/>
        </w:rPr>
      </w:pPr>
      <w:r>
        <w:rPr>
          <w:rFonts w:hint="eastAsia"/>
          <w:color w:val="auto"/>
          <w:sz w:val="28"/>
          <w:szCs w:val="28"/>
          <w:highlight w:val="none"/>
        </w:rPr>
        <w:t>项目名称：</w:t>
      </w:r>
      <w:r>
        <w:rPr>
          <w:rFonts w:hint="eastAsia"/>
          <w:color w:val="auto"/>
          <w:sz w:val="28"/>
          <w:szCs w:val="28"/>
          <w:highlight w:val="none"/>
          <w:lang w:eastAsia="zh-CN"/>
        </w:rPr>
        <w:t>珠江·琶醍啤酒文化创意园区改造升级项目—酒店商业综合体工程监理</w:t>
      </w:r>
      <w:r>
        <w:rPr>
          <w:rFonts w:hint="eastAsia"/>
          <w:color w:val="auto"/>
          <w:sz w:val="28"/>
          <w:szCs w:val="28"/>
          <w:highlight w:val="none"/>
        </w:rPr>
        <w:t xml:space="preserve">       </w:t>
      </w:r>
      <w:r>
        <w:rPr>
          <w:rFonts w:hint="eastAsia" w:ascii="宋体" w:hAnsi="宋体" w:cs="宋体"/>
          <w:bCs/>
          <w:color w:val="auto"/>
          <w:sz w:val="28"/>
          <w:szCs w:val="28"/>
          <w:highlight w:val="none"/>
        </w:rPr>
        <w:t>货币类型：人民币</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3823"/>
        <w:gridCol w:w="3619"/>
        <w:gridCol w:w="1060"/>
      </w:tblGrid>
      <w:tr w14:paraId="66B48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059" w:type="dxa"/>
            <w:tcBorders>
              <w:top w:val="single" w:color="auto" w:sz="4" w:space="0"/>
              <w:left w:val="single" w:color="auto" w:sz="4" w:space="0"/>
              <w:bottom w:val="single" w:color="auto" w:sz="4" w:space="0"/>
              <w:right w:val="single" w:color="auto" w:sz="4" w:space="0"/>
            </w:tcBorders>
            <w:vAlign w:val="center"/>
          </w:tcPr>
          <w:p w14:paraId="7DC0AD63">
            <w:pPr>
              <w:jc w:val="center"/>
              <w:rPr>
                <w:rFonts w:ascii="宋体" w:hAnsi="宋体" w:cs="宋体"/>
                <w:b/>
                <w:color w:val="auto"/>
                <w:sz w:val="28"/>
                <w:szCs w:val="28"/>
                <w:highlight w:val="none"/>
              </w:rPr>
            </w:pPr>
            <w:r>
              <w:rPr>
                <w:rFonts w:hint="eastAsia" w:ascii="宋体" w:hAnsi="宋体" w:cs="宋体"/>
                <w:b/>
                <w:color w:val="auto"/>
                <w:sz w:val="28"/>
                <w:szCs w:val="28"/>
                <w:highlight w:val="none"/>
              </w:rPr>
              <w:t>序号</w:t>
            </w:r>
          </w:p>
        </w:tc>
        <w:tc>
          <w:tcPr>
            <w:tcW w:w="3823" w:type="dxa"/>
            <w:tcBorders>
              <w:top w:val="single" w:color="auto" w:sz="4" w:space="0"/>
              <w:left w:val="single" w:color="auto" w:sz="4" w:space="0"/>
              <w:bottom w:val="single" w:color="auto" w:sz="4" w:space="0"/>
              <w:right w:val="single" w:color="auto" w:sz="4" w:space="0"/>
            </w:tcBorders>
            <w:vAlign w:val="center"/>
          </w:tcPr>
          <w:p w14:paraId="17A81D46">
            <w:pPr>
              <w:jc w:val="center"/>
              <w:rPr>
                <w:rFonts w:ascii="宋体" w:hAnsi="宋体" w:cs="宋体"/>
                <w:b/>
                <w:color w:val="auto"/>
                <w:sz w:val="28"/>
                <w:szCs w:val="28"/>
                <w:highlight w:val="none"/>
              </w:rPr>
            </w:pPr>
            <w:r>
              <w:rPr>
                <w:rFonts w:hint="eastAsia" w:ascii="宋体" w:hAnsi="宋体" w:cs="宋体"/>
                <w:b/>
                <w:color w:val="auto"/>
                <w:sz w:val="28"/>
                <w:szCs w:val="28"/>
                <w:highlight w:val="none"/>
              </w:rPr>
              <w:t>费用名称</w:t>
            </w:r>
          </w:p>
        </w:tc>
        <w:tc>
          <w:tcPr>
            <w:tcW w:w="3619" w:type="dxa"/>
            <w:tcBorders>
              <w:top w:val="single" w:color="auto" w:sz="4" w:space="0"/>
              <w:left w:val="single" w:color="auto" w:sz="4" w:space="0"/>
              <w:bottom w:val="single" w:color="auto" w:sz="4" w:space="0"/>
              <w:right w:val="single" w:color="auto" w:sz="4" w:space="0"/>
            </w:tcBorders>
            <w:vAlign w:val="center"/>
          </w:tcPr>
          <w:p w14:paraId="68312457">
            <w:pPr>
              <w:jc w:val="center"/>
              <w:rPr>
                <w:rFonts w:ascii="宋体" w:hAnsi="宋体" w:cs="宋体"/>
                <w:b/>
                <w:color w:val="auto"/>
                <w:sz w:val="28"/>
                <w:szCs w:val="28"/>
                <w:highlight w:val="none"/>
              </w:rPr>
            </w:pPr>
            <w:r>
              <w:rPr>
                <w:rFonts w:hint="eastAsia" w:ascii="宋体" w:hAnsi="宋体" w:cs="宋体"/>
                <w:b/>
                <w:color w:val="auto"/>
                <w:sz w:val="28"/>
                <w:szCs w:val="28"/>
                <w:highlight w:val="none"/>
              </w:rPr>
              <w:t>投标报价（元）</w:t>
            </w:r>
          </w:p>
        </w:tc>
        <w:tc>
          <w:tcPr>
            <w:tcW w:w="1060" w:type="dxa"/>
            <w:tcBorders>
              <w:top w:val="single" w:color="auto" w:sz="4" w:space="0"/>
              <w:left w:val="single" w:color="auto" w:sz="4" w:space="0"/>
              <w:bottom w:val="single" w:color="auto" w:sz="4" w:space="0"/>
              <w:right w:val="single" w:color="auto" w:sz="4" w:space="0"/>
            </w:tcBorders>
            <w:vAlign w:val="center"/>
          </w:tcPr>
          <w:p w14:paraId="59342FB9">
            <w:pPr>
              <w:jc w:val="center"/>
              <w:rPr>
                <w:rFonts w:ascii="宋体" w:hAnsi="宋体" w:cs="宋体"/>
                <w:b/>
                <w:color w:val="auto"/>
                <w:sz w:val="28"/>
                <w:szCs w:val="28"/>
                <w:highlight w:val="none"/>
              </w:rPr>
            </w:pPr>
            <w:r>
              <w:rPr>
                <w:rFonts w:hint="eastAsia" w:ascii="宋体" w:hAnsi="宋体" w:cs="宋体"/>
                <w:b/>
                <w:color w:val="auto"/>
                <w:sz w:val="28"/>
                <w:szCs w:val="28"/>
                <w:highlight w:val="none"/>
              </w:rPr>
              <w:t>备注</w:t>
            </w:r>
          </w:p>
        </w:tc>
      </w:tr>
      <w:tr w14:paraId="4F482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059" w:type="dxa"/>
            <w:tcBorders>
              <w:top w:val="single" w:color="auto" w:sz="4" w:space="0"/>
              <w:left w:val="single" w:color="auto" w:sz="4" w:space="0"/>
              <w:bottom w:val="single" w:color="auto" w:sz="4" w:space="0"/>
              <w:right w:val="single" w:color="auto" w:sz="4" w:space="0"/>
            </w:tcBorders>
            <w:vAlign w:val="center"/>
          </w:tcPr>
          <w:p w14:paraId="0DE00712">
            <w:pPr>
              <w:jc w:val="center"/>
              <w:rPr>
                <w:rFonts w:ascii="宋体" w:hAnsi="宋体" w:cs="宋体"/>
                <w:b/>
                <w:color w:val="auto"/>
                <w:sz w:val="28"/>
                <w:szCs w:val="28"/>
                <w:highlight w:val="none"/>
              </w:rPr>
            </w:pPr>
            <w:r>
              <w:rPr>
                <w:rFonts w:hint="eastAsia" w:ascii="宋体" w:hAnsi="宋体" w:cs="宋体"/>
                <w:b/>
                <w:color w:val="auto"/>
                <w:sz w:val="28"/>
                <w:szCs w:val="28"/>
                <w:highlight w:val="none"/>
              </w:rPr>
              <w:t>1</w:t>
            </w:r>
          </w:p>
        </w:tc>
        <w:tc>
          <w:tcPr>
            <w:tcW w:w="3823" w:type="dxa"/>
            <w:tcBorders>
              <w:top w:val="single" w:color="auto" w:sz="4" w:space="0"/>
              <w:left w:val="single" w:color="auto" w:sz="4" w:space="0"/>
              <w:bottom w:val="single" w:color="auto" w:sz="4" w:space="0"/>
              <w:right w:val="single" w:color="auto" w:sz="4" w:space="0"/>
            </w:tcBorders>
          </w:tcPr>
          <w:p w14:paraId="789E8608">
            <w:pPr>
              <w:rPr>
                <w:rFonts w:ascii="宋体" w:hAnsi="宋体" w:cs="宋体"/>
                <w:b/>
                <w:color w:val="auto"/>
                <w:sz w:val="28"/>
                <w:szCs w:val="28"/>
                <w:highlight w:val="none"/>
              </w:rPr>
            </w:pPr>
            <w:r>
              <w:rPr>
                <w:rFonts w:hint="eastAsia"/>
                <w:color w:val="auto"/>
                <w:sz w:val="28"/>
                <w:szCs w:val="28"/>
                <w:highlight w:val="none"/>
              </w:rPr>
              <w:t>监理费用（不含税）</w:t>
            </w:r>
          </w:p>
        </w:tc>
        <w:tc>
          <w:tcPr>
            <w:tcW w:w="3619" w:type="dxa"/>
            <w:tcBorders>
              <w:top w:val="single" w:color="auto" w:sz="4" w:space="0"/>
              <w:left w:val="single" w:color="auto" w:sz="4" w:space="0"/>
              <w:bottom w:val="single" w:color="auto" w:sz="4" w:space="0"/>
              <w:right w:val="single" w:color="auto" w:sz="4" w:space="0"/>
            </w:tcBorders>
          </w:tcPr>
          <w:p w14:paraId="37ADD197">
            <w:pPr>
              <w:rPr>
                <w:rFonts w:ascii="宋体" w:hAnsi="宋体" w:cs="宋体"/>
                <w:b/>
                <w:color w:val="auto"/>
                <w:sz w:val="28"/>
                <w:szCs w:val="28"/>
                <w:highlight w:val="none"/>
              </w:rPr>
            </w:pPr>
          </w:p>
        </w:tc>
        <w:tc>
          <w:tcPr>
            <w:tcW w:w="1060" w:type="dxa"/>
            <w:tcBorders>
              <w:top w:val="single" w:color="auto" w:sz="4" w:space="0"/>
              <w:left w:val="single" w:color="auto" w:sz="4" w:space="0"/>
              <w:bottom w:val="single" w:color="auto" w:sz="4" w:space="0"/>
              <w:right w:val="single" w:color="auto" w:sz="4" w:space="0"/>
            </w:tcBorders>
            <w:vAlign w:val="center"/>
          </w:tcPr>
          <w:p w14:paraId="0049A0D7">
            <w:pPr>
              <w:rPr>
                <w:rFonts w:ascii="宋体" w:hAnsi="宋体" w:cs="宋体"/>
                <w:b/>
                <w:color w:val="auto"/>
                <w:sz w:val="28"/>
                <w:szCs w:val="28"/>
                <w:highlight w:val="none"/>
              </w:rPr>
            </w:pPr>
          </w:p>
        </w:tc>
      </w:tr>
      <w:tr w14:paraId="0BE7B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059" w:type="dxa"/>
            <w:tcBorders>
              <w:top w:val="single" w:color="auto" w:sz="4" w:space="0"/>
              <w:left w:val="single" w:color="auto" w:sz="4" w:space="0"/>
              <w:bottom w:val="single" w:color="auto" w:sz="4" w:space="0"/>
              <w:right w:val="single" w:color="auto" w:sz="4" w:space="0"/>
            </w:tcBorders>
            <w:vAlign w:val="center"/>
          </w:tcPr>
          <w:p w14:paraId="3AC5A1FB">
            <w:pPr>
              <w:jc w:val="center"/>
              <w:rPr>
                <w:rFonts w:ascii="宋体" w:hAnsi="宋体" w:cs="宋体"/>
                <w:b/>
                <w:color w:val="auto"/>
                <w:sz w:val="28"/>
                <w:szCs w:val="28"/>
                <w:highlight w:val="none"/>
              </w:rPr>
            </w:pPr>
            <w:r>
              <w:rPr>
                <w:rFonts w:hint="eastAsia" w:ascii="宋体" w:hAnsi="宋体" w:cs="宋体"/>
                <w:b/>
                <w:color w:val="auto"/>
                <w:sz w:val="28"/>
                <w:szCs w:val="28"/>
                <w:highlight w:val="none"/>
              </w:rPr>
              <w:t>2</w:t>
            </w:r>
          </w:p>
        </w:tc>
        <w:tc>
          <w:tcPr>
            <w:tcW w:w="3823" w:type="dxa"/>
            <w:tcBorders>
              <w:top w:val="single" w:color="auto" w:sz="4" w:space="0"/>
              <w:left w:val="single" w:color="auto" w:sz="4" w:space="0"/>
              <w:bottom w:val="single" w:color="auto" w:sz="4" w:space="0"/>
              <w:right w:val="single" w:color="auto" w:sz="4" w:space="0"/>
            </w:tcBorders>
          </w:tcPr>
          <w:p w14:paraId="58EAC185">
            <w:pPr>
              <w:rPr>
                <w:rFonts w:ascii="宋体" w:hAnsi="宋体" w:cs="宋体"/>
                <w:b/>
                <w:color w:val="auto"/>
                <w:sz w:val="28"/>
                <w:szCs w:val="28"/>
                <w:highlight w:val="none"/>
              </w:rPr>
            </w:pPr>
            <w:r>
              <w:rPr>
                <w:rFonts w:hint="eastAsia"/>
                <w:color w:val="auto"/>
                <w:sz w:val="28"/>
                <w:szCs w:val="28"/>
                <w:highlight w:val="none"/>
              </w:rPr>
              <w:t>增值税税金（税率为6%）</w:t>
            </w:r>
          </w:p>
        </w:tc>
        <w:tc>
          <w:tcPr>
            <w:tcW w:w="3619" w:type="dxa"/>
            <w:tcBorders>
              <w:top w:val="single" w:color="auto" w:sz="4" w:space="0"/>
              <w:left w:val="single" w:color="auto" w:sz="4" w:space="0"/>
              <w:bottom w:val="single" w:color="auto" w:sz="4" w:space="0"/>
              <w:right w:val="single" w:color="auto" w:sz="4" w:space="0"/>
            </w:tcBorders>
          </w:tcPr>
          <w:p w14:paraId="2CEF46DB">
            <w:pPr>
              <w:rPr>
                <w:rFonts w:ascii="宋体" w:hAnsi="宋体" w:cs="宋体"/>
                <w:b/>
                <w:color w:val="auto"/>
                <w:sz w:val="28"/>
                <w:szCs w:val="28"/>
                <w:highlight w:val="none"/>
              </w:rPr>
            </w:pPr>
          </w:p>
        </w:tc>
        <w:tc>
          <w:tcPr>
            <w:tcW w:w="1060" w:type="dxa"/>
            <w:tcBorders>
              <w:top w:val="single" w:color="auto" w:sz="4" w:space="0"/>
              <w:left w:val="single" w:color="auto" w:sz="4" w:space="0"/>
              <w:bottom w:val="single" w:color="auto" w:sz="4" w:space="0"/>
              <w:right w:val="single" w:color="auto" w:sz="4" w:space="0"/>
            </w:tcBorders>
            <w:vAlign w:val="center"/>
          </w:tcPr>
          <w:p w14:paraId="6B3CA901">
            <w:pPr>
              <w:rPr>
                <w:rFonts w:ascii="宋体" w:hAnsi="宋体" w:cs="宋体"/>
                <w:b/>
                <w:color w:val="auto"/>
                <w:sz w:val="28"/>
                <w:szCs w:val="28"/>
                <w:highlight w:val="none"/>
              </w:rPr>
            </w:pPr>
          </w:p>
        </w:tc>
      </w:tr>
      <w:tr w14:paraId="7EB1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8501" w:type="dxa"/>
            <w:gridSpan w:val="3"/>
            <w:tcBorders>
              <w:top w:val="single" w:color="auto" w:sz="4" w:space="0"/>
              <w:left w:val="single" w:color="auto" w:sz="4" w:space="0"/>
              <w:bottom w:val="single" w:color="auto" w:sz="4" w:space="0"/>
              <w:right w:val="single" w:color="auto" w:sz="4" w:space="0"/>
            </w:tcBorders>
            <w:vAlign w:val="center"/>
          </w:tcPr>
          <w:p w14:paraId="51FF4781">
            <w:pPr>
              <w:rPr>
                <w:rFonts w:ascii="宋体" w:hAnsi="宋体" w:cs="宋体"/>
                <w:b/>
                <w:color w:val="auto"/>
                <w:sz w:val="28"/>
                <w:szCs w:val="28"/>
                <w:highlight w:val="none"/>
              </w:rPr>
            </w:pPr>
            <w:r>
              <w:rPr>
                <w:rFonts w:hint="eastAsia" w:ascii="宋体" w:hAnsi="宋体" w:cs="宋体"/>
                <w:b/>
                <w:color w:val="auto"/>
                <w:sz w:val="28"/>
                <w:szCs w:val="28"/>
                <w:highlight w:val="none"/>
              </w:rPr>
              <w:t>投标总报价（元）：</w:t>
            </w:r>
          </w:p>
        </w:tc>
        <w:tc>
          <w:tcPr>
            <w:tcW w:w="1060" w:type="dxa"/>
            <w:tcBorders>
              <w:top w:val="single" w:color="auto" w:sz="4" w:space="0"/>
              <w:left w:val="single" w:color="auto" w:sz="4" w:space="0"/>
              <w:bottom w:val="single" w:color="auto" w:sz="4" w:space="0"/>
              <w:right w:val="single" w:color="auto" w:sz="4" w:space="0"/>
            </w:tcBorders>
            <w:vAlign w:val="center"/>
          </w:tcPr>
          <w:p w14:paraId="71210A4D">
            <w:pPr>
              <w:rPr>
                <w:rFonts w:ascii="宋体" w:hAnsi="宋体" w:cs="宋体"/>
                <w:b/>
                <w:color w:val="auto"/>
                <w:sz w:val="28"/>
                <w:szCs w:val="28"/>
                <w:highlight w:val="none"/>
              </w:rPr>
            </w:pPr>
            <w:r>
              <w:rPr>
                <w:rFonts w:hint="eastAsia" w:ascii="宋体" w:hAnsi="宋体" w:cs="宋体"/>
                <w:b/>
                <w:color w:val="auto"/>
                <w:sz w:val="28"/>
                <w:szCs w:val="28"/>
                <w:highlight w:val="none"/>
              </w:rPr>
              <w:t>含税</w:t>
            </w:r>
          </w:p>
        </w:tc>
      </w:tr>
    </w:tbl>
    <w:p w14:paraId="20F2C353">
      <w:pPr>
        <w:spacing w:line="360" w:lineRule="auto"/>
        <w:rPr>
          <w:rFonts w:ascii="宋体" w:hAnsi="宋体" w:cs="宋体"/>
          <w:color w:val="auto"/>
          <w:sz w:val="28"/>
          <w:szCs w:val="28"/>
          <w:highlight w:val="none"/>
        </w:rPr>
      </w:pPr>
    </w:p>
    <w:p w14:paraId="7294339D">
      <w:pPr>
        <w:spacing w:line="360" w:lineRule="auto"/>
        <w:rPr>
          <w:rFonts w:ascii="宋体" w:hAnsi="宋体" w:cs="宋体"/>
          <w:color w:val="auto"/>
          <w:sz w:val="28"/>
          <w:szCs w:val="28"/>
          <w:highlight w:val="none"/>
        </w:rPr>
      </w:pPr>
    </w:p>
    <w:p w14:paraId="1F07CE88">
      <w:pPr>
        <w:spacing w:line="360" w:lineRule="auto"/>
        <w:rPr>
          <w:rFonts w:ascii="宋体" w:hAnsi="宋体" w:cs="宋体"/>
          <w:color w:val="auto"/>
          <w:sz w:val="28"/>
          <w:szCs w:val="28"/>
          <w:highlight w:val="none"/>
        </w:rPr>
      </w:pPr>
    </w:p>
    <w:p w14:paraId="403875DF">
      <w:pPr>
        <w:spacing w:line="360" w:lineRule="auto"/>
        <w:rPr>
          <w:rFonts w:ascii="宋体" w:hAnsi="宋体" w:cs="宋体"/>
          <w:color w:val="auto"/>
          <w:sz w:val="28"/>
          <w:szCs w:val="28"/>
          <w:highlight w:val="none"/>
          <w:u w:val="single"/>
        </w:rPr>
      </w:pPr>
      <w:r>
        <w:rPr>
          <w:rFonts w:hint="eastAsia" w:ascii="宋体" w:hAnsi="宋体" w:cs="宋体"/>
          <w:color w:val="auto"/>
          <w:sz w:val="28"/>
          <w:szCs w:val="28"/>
          <w:highlight w:val="none"/>
        </w:rPr>
        <w:t>投标单位：</w:t>
      </w:r>
    </w:p>
    <w:p w14:paraId="0122ACB2">
      <w:pPr>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日期：      年     月     日</w:t>
      </w:r>
    </w:p>
    <w:p w14:paraId="1ABBA910">
      <w:pPr>
        <w:jc w:val="left"/>
        <w:rPr>
          <w:rFonts w:ascii="宋体" w:hAnsi="宋体" w:cs="宋体"/>
          <w:color w:val="auto"/>
          <w:sz w:val="24"/>
          <w:szCs w:val="24"/>
          <w:highlight w:val="none"/>
        </w:rPr>
      </w:pPr>
      <w:r>
        <w:rPr>
          <w:rFonts w:ascii="宋体" w:hAnsi="宋体" w:cs="宋体"/>
          <w:color w:val="auto"/>
          <w:sz w:val="24"/>
          <w:szCs w:val="24"/>
          <w:highlight w:val="none"/>
        </w:rPr>
        <w:br w:type="page"/>
      </w:r>
      <w:r>
        <w:rPr>
          <w:rFonts w:hint="eastAsia" w:ascii="宋体" w:hAnsi="宋体" w:cs="宋体"/>
          <w:b/>
          <w:bCs/>
          <w:color w:val="auto"/>
          <w:sz w:val="32"/>
          <w:szCs w:val="32"/>
          <w:highlight w:val="none"/>
        </w:rPr>
        <w:t>格式四：</w:t>
      </w:r>
    </w:p>
    <w:p w14:paraId="03E89C00">
      <w:pPr>
        <w:jc w:val="center"/>
        <w:rPr>
          <w:rFonts w:ascii="宋体" w:hAnsi="宋体" w:cs="宋体"/>
          <w:color w:val="auto"/>
          <w:sz w:val="24"/>
          <w:szCs w:val="24"/>
          <w:highlight w:val="none"/>
        </w:rPr>
      </w:pPr>
    </w:p>
    <w:p w14:paraId="134C0216">
      <w:pPr>
        <w:jc w:val="center"/>
        <w:rPr>
          <w:rFonts w:ascii="宋体" w:hAnsi="宋体" w:cs="宋体"/>
          <w:b/>
          <w:color w:val="auto"/>
          <w:sz w:val="32"/>
          <w:szCs w:val="32"/>
          <w:highlight w:val="none"/>
        </w:rPr>
      </w:pPr>
      <w:r>
        <w:rPr>
          <w:rFonts w:hint="eastAsia" w:ascii="宋体" w:hAnsi="宋体" w:cs="宋体"/>
          <w:b/>
          <w:color w:val="auto"/>
          <w:sz w:val="32"/>
          <w:szCs w:val="32"/>
          <w:highlight w:val="none"/>
        </w:rPr>
        <w:t>四、资格审查资料</w:t>
      </w:r>
    </w:p>
    <w:p w14:paraId="58BA8BE4">
      <w:pPr>
        <w:spacing w:line="360" w:lineRule="auto"/>
        <w:rPr>
          <w:rFonts w:ascii="宋体" w:hAnsi="宋体" w:cs="宋体"/>
          <w:color w:val="auto"/>
          <w:sz w:val="30"/>
          <w:szCs w:val="30"/>
          <w:highlight w:val="none"/>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8054"/>
      </w:tblGrid>
      <w:tr w14:paraId="50B99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514" w:type="dxa"/>
            <w:tcBorders>
              <w:top w:val="single" w:color="auto" w:sz="4" w:space="0"/>
              <w:left w:val="single" w:color="auto" w:sz="4" w:space="0"/>
              <w:bottom w:val="single" w:color="auto" w:sz="4" w:space="0"/>
              <w:right w:val="single" w:color="auto" w:sz="4" w:space="0"/>
            </w:tcBorders>
            <w:vAlign w:val="center"/>
          </w:tcPr>
          <w:p w14:paraId="7B6D49EE">
            <w:pPr>
              <w:tabs>
                <w:tab w:val="left" w:pos="720"/>
              </w:tabs>
              <w:snapToGrid w:val="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序号</w:t>
            </w:r>
          </w:p>
        </w:tc>
        <w:tc>
          <w:tcPr>
            <w:tcW w:w="8054" w:type="dxa"/>
            <w:tcBorders>
              <w:top w:val="single" w:color="auto" w:sz="4" w:space="0"/>
              <w:left w:val="single" w:color="auto" w:sz="4" w:space="0"/>
              <w:bottom w:val="single" w:color="auto" w:sz="4" w:space="0"/>
              <w:right w:val="single" w:color="auto" w:sz="4" w:space="0"/>
            </w:tcBorders>
            <w:vAlign w:val="center"/>
          </w:tcPr>
          <w:p w14:paraId="46ECF333">
            <w:pPr>
              <w:tabs>
                <w:tab w:val="left" w:pos="720"/>
              </w:tabs>
              <w:snapToGrid w:val="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审查内容</w:t>
            </w:r>
          </w:p>
        </w:tc>
      </w:tr>
      <w:tr w14:paraId="3A32C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514" w:type="dxa"/>
            <w:tcBorders>
              <w:top w:val="single" w:color="auto" w:sz="4" w:space="0"/>
              <w:left w:val="single" w:color="auto" w:sz="4" w:space="0"/>
              <w:bottom w:val="single" w:color="auto" w:sz="4" w:space="0"/>
              <w:right w:val="single" w:color="auto" w:sz="4" w:space="0"/>
            </w:tcBorders>
            <w:vAlign w:val="center"/>
          </w:tcPr>
          <w:p w14:paraId="7E2CF33A">
            <w:pPr>
              <w:tabs>
                <w:tab w:val="left" w:pos="720"/>
              </w:tabs>
              <w:snapToGrid w:val="0"/>
              <w:jc w:val="center"/>
              <w:rPr>
                <w:rFonts w:ascii="宋体" w:hAnsi="宋体" w:cs="宋体"/>
                <w:color w:val="auto"/>
                <w:sz w:val="28"/>
                <w:szCs w:val="28"/>
                <w:highlight w:val="none"/>
              </w:rPr>
            </w:pPr>
            <w:r>
              <w:rPr>
                <w:rFonts w:hint="eastAsia" w:ascii="宋体" w:hAnsi="宋体" w:cs="宋体"/>
                <w:color w:val="auto"/>
                <w:sz w:val="28"/>
                <w:szCs w:val="28"/>
                <w:highlight w:val="none"/>
              </w:rPr>
              <w:t>1</w:t>
            </w:r>
          </w:p>
        </w:tc>
        <w:tc>
          <w:tcPr>
            <w:tcW w:w="8054" w:type="dxa"/>
            <w:tcBorders>
              <w:top w:val="single" w:color="auto" w:sz="4" w:space="0"/>
              <w:left w:val="single" w:color="auto" w:sz="4" w:space="0"/>
              <w:bottom w:val="single" w:color="auto" w:sz="4" w:space="0"/>
              <w:right w:val="single" w:color="auto" w:sz="4" w:space="0"/>
            </w:tcBorders>
            <w:vAlign w:val="center"/>
          </w:tcPr>
          <w:p w14:paraId="41F9F18C">
            <w:pPr>
              <w:tabs>
                <w:tab w:val="left" w:pos="720"/>
              </w:tabs>
              <w:snapToGrid w:val="0"/>
              <w:rPr>
                <w:rFonts w:ascii="宋体" w:hAnsi="宋体" w:cs="宋体"/>
                <w:color w:val="auto"/>
                <w:sz w:val="28"/>
                <w:szCs w:val="28"/>
                <w:highlight w:val="none"/>
              </w:rPr>
            </w:pPr>
            <w:r>
              <w:rPr>
                <w:rFonts w:hint="eastAsia" w:ascii="宋体" w:hAnsi="宋体" w:cs="宋体"/>
                <w:color w:val="auto"/>
                <w:sz w:val="28"/>
                <w:szCs w:val="28"/>
                <w:highlight w:val="none"/>
              </w:rPr>
              <w:t>营业执照</w:t>
            </w:r>
          </w:p>
        </w:tc>
      </w:tr>
      <w:tr w14:paraId="64AF4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514" w:type="dxa"/>
            <w:tcBorders>
              <w:top w:val="single" w:color="auto" w:sz="4" w:space="0"/>
              <w:left w:val="single" w:color="auto" w:sz="4" w:space="0"/>
              <w:bottom w:val="single" w:color="auto" w:sz="4" w:space="0"/>
              <w:right w:val="single" w:color="auto" w:sz="4" w:space="0"/>
            </w:tcBorders>
            <w:vAlign w:val="center"/>
          </w:tcPr>
          <w:p w14:paraId="7A1B2AD6">
            <w:pPr>
              <w:tabs>
                <w:tab w:val="left" w:pos="720"/>
              </w:tabs>
              <w:snapToGrid w:val="0"/>
              <w:jc w:val="center"/>
              <w:rPr>
                <w:rFonts w:ascii="宋体" w:hAnsi="宋体" w:cs="宋体"/>
                <w:color w:val="auto"/>
                <w:sz w:val="28"/>
                <w:szCs w:val="28"/>
                <w:highlight w:val="none"/>
              </w:rPr>
            </w:pPr>
            <w:r>
              <w:rPr>
                <w:rFonts w:hint="eastAsia" w:ascii="宋体" w:hAnsi="宋体" w:cs="宋体"/>
                <w:color w:val="auto"/>
                <w:sz w:val="28"/>
                <w:szCs w:val="28"/>
                <w:highlight w:val="none"/>
              </w:rPr>
              <w:t>2</w:t>
            </w:r>
          </w:p>
        </w:tc>
        <w:tc>
          <w:tcPr>
            <w:tcW w:w="8054" w:type="dxa"/>
            <w:tcBorders>
              <w:top w:val="single" w:color="auto" w:sz="4" w:space="0"/>
              <w:left w:val="single" w:color="auto" w:sz="4" w:space="0"/>
              <w:bottom w:val="single" w:color="auto" w:sz="4" w:space="0"/>
              <w:right w:val="single" w:color="auto" w:sz="4" w:space="0"/>
            </w:tcBorders>
            <w:vAlign w:val="center"/>
          </w:tcPr>
          <w:p w14:paraId="13714300">
            <w:pPr>
              <w:tabs>
                <w:tab w:val="left" w:pos="720"/>
              </w:tabs>
              <w:snapToGrid w:val="0"/>
              <w:rPr>
                <w:rFonts w:ascii="宋体" w:hAnsi="宋体" w:cs="宋体"/>
                <w:color w:val="auto"/>
                <w:sz w:val="28"/>
                <w:szCs w:val="28"/>
                <w:highlight w:val="none"/>
              </w:rPr>
            </w:pPr>
            <w:r>
              <w:rPr>
                <w:rFonts w:hint="eastAsia" w:ascii="宋体" w:hAnsi="宋体" w:cs="宋体"/>
                <w:color w:val="auto"/>
                <w:sz w:val="28"/>
                <w:szCs w:val="28"/>
                <w:highlight w:val="none"/>
              </w:rPr>
              <w:t>监理资质证书</w:t>
            </w:r>
          </w:p>
        </w:tc>
      </w:tr>
      <w:tr w14:paraId="160B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514" w:type="dxa"/>
            <w:tcBorders>
              <w:top w:val="single" w:color="auto" w:sz="4" w:space="0"/>
              <w:left w:val="single" w:color="auto" w:sz="4" w:space="0"/>
              <w:bottom w:val="single" w:color="auto" w:sz="4" w:space="0"/>
              <w:right w:val="single" w:color="auto" w:sz="4" w:space="0"/>
            </w:tcBorders>
            <w:vAlign w:val="center"/>
          </w:tcPr>
          <w:p w14:paraId="0B524215">
            <w:pPr>
              <w:tabs>
                <w:tab w:val="left" w:pos="720"/>
              </w:tabs>
              <w:snapToGrid w:val="0"/>
              <w:jc w:val="center"/>
              <w:rPr>
                <w:rFonts w:ascii="宋体" w:hAnsi="宋体" w:cs="宋体"/>
                <w:color w:val="auto"/>
                <w:sz w:val="28"/>
                <w:szCs w:val="28"/>
                <w:highlight w:val="none"/>
              </w:rPr>
            </w:pPr>
            <w:r>
              <w:rPr>
                <w:rFonts w:hint="eastAsia" w:ascii="宋体" w:hAnsi="宋体" w:cs="宋体"/>
                <w:color w:val="auto"/>
                <w:sz w:val="28"/>
                <w:szCs w:val="28"/>
                <w:highlight w:val="none"/>
              </w:rPr>
              <w:t>3</w:t>
            </w:r>
          </w:p>
        </w:tc>
        <w:tc>
          <w:tcPr>
            <w:tcW w:w="8054" w:type="dxa"/>
            <w:tcBorders>
              <w:top w:val="single" w:color="auto" w:sz="4" w:space="0"/>
              <w:left w:val="single" w:color="auto" w:sz="4" w:space="0"/>
              <w:bottom w:val="single" w:color="auto" w:sz="4" w:space="0"/>
              <w:right w:val="single" w:color="auto" w:sz="4" w:space="0"/>
            </w:tcBorders>
            <w:vAlign w:val="center"/>
          </w:tcPr>
          <w:p w14:paraId="6EE140E6">
            <w:pPr>
              <w:tabs>
                <w:tab w:val="left" w:pos="720"/>
              </w:tabs>
              <w:snapToGrid w:val="0"/>
              <w:rPr>
                <w:rFonts w:ascii="宋体" w:hAnsi="宋体" w:cs="宋体"/>
                <w:color w:val="auto"/>
                <w:sz w:val="28"/>
                <w:szCs w:val="28"/>
                <w:highlight w:val="none"/>
              </w:rPr>
            </w:pPr>
            <w:r>
              <w:rPr>
                <w:rFonts w:hint="eastAsia" w:ascii="宋体" w:hAnsi="宋体" w:cs="宋体"/>
                <w:color w:val="auto"/>
                <w:sz w:val="28"/>
                <w:szCs w:val="28"/>
                <w:highlight w:val="none"/>
              </w:rPr>
              <w:t>拟派项目总监理工程师证明资料</w:t>
            </w:r>
          </w:p>
        </w:tc>
      </w:tr>
      <w:tr w14:paraId="47857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14" w:type="dxa"/>
            <w:tcBorders>
              <w:top w:val="single" w:color="auto" w:sz="4" w:space="0"/>
              <w:left w:val="single" w:color="auto" w:sz="4" w:space="0"/>
              <w:bottom w:val="single" w:color="auto" w:sz="4" w:space="0"/>
              <w:right w:val="single" w:color="auto" w:sz="4" w:space="0"/>
            </w:tcBorders>
            <w:vAlign w:val="center"/>
          </w:tcPr>
          <w:p w14:paraId="4098D617">
            <w:pPr>
              <w:tabs>
                <w:tab w:val="left" w:pos="720"/>
              </w:tabs>
              <w:snapToGrid w:val="0"/>
              <w:jc w:val="center"/>
              <w:rPr>
                <w:rFonts w:ascii="宋体" w:hAnsi="宋体" w:cs="宋体"/>
                <w:color w:val="auto"/>
                <w:sz w:val="28"/>
                <w:szCs w:val="28"/>
                <w:highlight w:val="none"/>
              </w:rPr>
            </w:pPr>
            <w:r>
              <w:rPr>
                <w:rFonts w:hint="eastAsia" w:ascii="宋体" w:hAnsi="宋体" w:cs="宋体"/>
                <w:color w:val="auto"/>
                <w:sz w:val="28"/>
                <w:szCs w:val="28"/>
                <w:highlight w:val="none"/>
              </w:rPr>
              <w:t>4</w:t>
            </w:r>
          </w:p>
        </w:tc>
        <w:tc>
          <w:tcPr>
            <w:tcW w:w="8054" w:type="dxa"/>
            <w:tcBorders>
              <w:top w:val="single" w:color="auto" w:sz="4" w:space="0"/>
              <w:left w:val="single" w:color="auto" w:sz="4" w:space="0"/>
              <w:bottom w:val="single" w:color="auto" w:sz="4" w:space="0"/>
              <w:right w:val="single" w:color="auto" w:sz="4" w:space="0"/>
            </w:tcBorders>
            <w:vAlign w:val="center"/>
          </w:tcPr>
          <w:p w14:paraId="6F6EC3F9">
            <w:pPr>
              <w:tabs>
                <w:tab w:val="left" w:pos="720"/>
              </w:tabs>
              <w:snapToGrid w:val="0"/>
              <w:rPr>
                <w:rFonts w:ascii="宋体" w:hAnsi="宋体" w:cs="宋体"/>
                <w:color w:val="auto"/>
                <w:sz w:val="28"/>
                <w:szCs w:val="28"/>
                <w:highlight w:val="none"/>
              </w:rPr>
            </w:pPr>
            <w:r>
              <w:rPr>
                <w:rFonts w:ascii="宋体" w:hAnsi="宋体" w:cs="宋体"/>
                <w:color w:val="auto"/>
                <w:sz w:val="28"/>
                <w:szCs w:val="28"/>
                <w:highlight w:val="none"/>
              </w:rPr>
              <w:t>其他要求</w:t>
            </w:r>
            <w:r>
              <w:rPr>
                <w:rFonts w:hint="eastAsia" w:ascii="宋体" w:hAnsi="宋体" w:cs="宋体"/>
                <w:color w:val="auto"/>
                <w:sz w:val="28"/>
                <w:szCs w:val="28"/>
                <w:highlight w:val="none"/>
              </w:rPr>
              <w:t>证明资料（《投标人声明》格式详见招标公告附件）</w:t>
            </w:r>
          </w:p>
        </w:tc>
      </w:tr>
      <w:tr w14:paraId="44772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14" w:type="dxa"/>
            <w:tcBorders>
              <w:top w:val="single" w:color="auto" w:sz="4" w:space="0"/>
              <w:left w:val="single" w:color="auto" w:sz="4" w:space="0"/>
              <w:bottom w:val="single" w:color="auto" w:sz="4" w:space="0"/>
              <w:right w:val="single" w:color="auto" w:sz="4" w:space="0"/>
            </w:tcBorders>
            <w:vAlign w:val="center"/>
          </w:tcPr>
          <w:p w14:paraId="4C4EF553">
            <w:pPr>
              <w:tabs>
                <w:tab w:val="left" w:pos="720"/>
              </w:tabs>
              <w:snapToGrid w:val="0"/>
              <w:jc w:val="center"/>
              <w:rPr>
                <w:rFonts w:ascii="宋体" w:hAnsi="宋体" w:cs="宋体"/>
                <w:color w:val="auto"/>
                <w:sz w:val="28"/>
                <w:szCs w:val="28"/>
                <w:highlight w:val="none"/>
              </w:rPr>
            </w:pPr>
            <w:r>
              <w:rPr>
                <w:rFonts w:hint="eastAsia" w:ascii="宋体" w:hAnsi="宋体" w:cs="宋体"/>
                <w:color w:val="auto"/>
                <w:sz w:val="28"/>
                <w:szCs w:val="28"/>
                <w:highlight w:val="none"/>
              </w:rPr>
              <w:t>5</w:t>
            </w:r>
          </w:p>
        </w:tc>
        <w:tc>
          <w:tcPr>
            <w:tcW w:w="8054" w:type="dxa"/>
            <w:tcBorders>
              <w:top w:val="single" w:color="auto" w:sz="4" w:space="0"/>
              <w:left w:val="single" w:color="auto" w:sz="4" w:space="0"/>
              <w:bottom w:val="single" w:color="auto" w:sz="4" w:space="0"/>
              <w:right w:val="single" w:color="auto" w:sz="4" w:space="0"/>
            </w:tcBorders>
            <w:vAlign w:val="center"/>
          </w:tcPr>
          <w:p w14:paraId="5C649A80">
            <w:pPr>
              <w:tabs>
                <w:tab w:val="left" w:pos="720"/>
              </w:tabs>
              <w:snapToGrid w:val="0"/>
              <w:rPr>
                <w:rFonts w:ascii="宋体" w:hAnsi="宋体" w:cs="宋体"/>
                <w:color w:val="auto"/>
                <w:sz w:val="28"/>
                <w:szCs w:val="28"/>
                <w:highlight w:val="none"/>
              </w:rPr>
            </w:pPr>
            <w:r>
              <w:rPr>
                <w:rFonts w:ascii="宋体" w:hAnsi="宋体" w:cs="宋体"/>
                <w:color w:val="auto"/>
                <w:sz w:val="28"/>
                <w:szCs w:val="28"/>
                <w:highlight w:val="none"/>
              </w:rPr>
              <w:t>投标人认为需要提供的资料</w:t>
            </w:r>
          </w:p>
        </w:tc>
      </w:tr>
      <w:tr w14:paraId="7751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514" w:type="dxa"/>
            <w:tcBorders>
              <w:top w:val="single" w:color="auto" w:sz="4" w:space="0"/>
              <w:left w:val="single" w:color="auto" w:sz="4" w:space="0"/>
              <w:bottom w:val="single" w:color="auto" w:sz="4" w:space="0"/>
              <w:right w:val="single" w:color="auto" w:sz="4" w:space="0"/>
            </w:tcBorders>
            <w:vAlign w:val="center"/>
          </w:tcPr>
          <w:p w14:paraId="043F6C1F">
            <w:pPr>
              <w:tabs>
                <w:tab w:val="left" w:pos="720"/>
              </w:tabs>
              <w:snapToGrid w:val="0"/>
              <w:jc w:val="center"/>
              <w:rPr>
                <w:rFonts w:ascii="宋体" w:hAnsi="宋体" w:cs="宋体"/>
                <w:color w:val="auto"/>
                <w:sz w:val="28"/>
                <w:szCs w:val="28"/>
                <w:highlight w:val="none"/>
              </w:rPr>
            </w:pPr>
          </w:p>
        </w:tc>
        <w:tc>
          <w:tcPr>
            <w:tcW w:w="8054" w:type="dxa"/>
            <w:tcBorders>
              <w:top w:val="single" w:color="auto" w:sz="4" w:space="0"/>
              <w:left w:val="single" w:color="auto" w:sz="4" w:space="0"/>
              <w:bottom w:val="single" w:color="auto" w:sz="4" w:space="0"/>
              <w:right w:val="single" w:color="auto" w:sz="4" w:space="0"/>
            </w:tcBorders>
            <w:vAlign w:val="center"/>
          </w:tcPr>
          <w:p w14:paraId="5557840D">
            <w:pPr>
              <w:tabs>
                <w:tab w:val="left" w:pos="720"/>
              </w:tabs>
              <w:snapToGrid w:val="0"/>
              <w:rPr>
                <w:rFonts w:ascii="宋体" w:hAnsi="宋体" w:cs="宋体"/>
                <w:color w:val="auto"/>
                <w:sz w:val="28"/>
                <w:szCs w:val="28"/>
                <w:highlight w:val="none"/>
              </w:rPr>
            </w:pPr>
            <w:r>
              <w:rPr>
                <w:rFonts w:hint="eastAsia" w:ascii="宋体" w:hAnsi="宋体" w:cs="宋体"/>
                <w:color w:val="auto"/>
                <w:sz w:val="28"/>
                <w:szCs w:val="28"/>
                <w:highlight w:val="none"/>
              </w:rPr>
              <w:t>……</w:t>
            </w:r>
          </w:p>
        </w:tc>
      </w:tr>
    </w:tbl>
    <w:p w14:paraId="1D50FB9B">
      <w:pPr>
        <w:ind w:firstLine="1120" w:firstLineChars="400"/>
        <w:rPr>
          <w:rFonts w:ascii="宋体" w:hAnsi="宋体" w:cs="宋体"/>
          <w:color w:val="auto"/>
          <w:sz w:val="28"/>
          <w:szCs w:val="28"/>
          <w:highlight w:val="none"/>
        </w:rPr>
      </w:pPr>
    </w:p>
    <w:p w14:paraId="58ACE458">
      <w:pPr>
        <w:keepNext/>
        <w:keepLines/>
        <w:spacing w:line="480" w:lineRule="auto"/>
        <w:jc w:val="left"/>
        <w:outlineLvl w:val="2"/>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b/>
          <w:bCs/>
          <w:color w:val="auto"/>
          <w:sz w:val="32"/>
          <w:szCs w:val="32"/>
          <w:highlight w:val="none"/>
        </w:rPr>
        <w:t>格式五：</w:t>
      </w:r>
    </w:p>
    <w:p w14:paraId="2F53F869">
      <w:pPr>
        <w:keepNext/>
        <w:keepLines/>
        <w:spacing w:line="480" w:lineRule="auto"/>
        <w:jc w:val="center"/>
        <w:outlineLvl w:val="2"/>
        <w:rPr>
          <w:rFonts w:ascii="宋体" w:hAnsi="宋体" w:cs="宋体"/>
          <w:b/>
          <w:bCs/>
          <w:color w:val="auto"/>
          <w:sz w:val="32"/>
          <w:szCs w:val="32"/>
          <w:highlight w:val="none"/>
        </w:rPr>
      </w:pPr>
      <w:r>
        <w:rPr>
          <w:rFonts w:hint="eastAsia" w:ascii="宋体" w:hAnsi="宋体" w:cs="宋体"/>
          <w:b/>
          <w:bCs/>
          <w:color w:val="auto"/>
          <w:sz w:val="32"/>
          <w:szCs w:val="32"/>
          <w:highlight w:val="none"/>
        </w:rPr>
        <w:t>五、监理大纲</w:t>
      </w:r>
    </w:p>
    <w:p w14:paraId="66EC40A2">
      <w:pPr>
        <w:spacing w:line="48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（格式自拟）</w:t>
      </w:r>
    </w:p>
    <w:p w14:paraId="5357160B">
      <w:pPr>
        <w:pStyle w:val="5"/>
        <w:keepNext w:val="0"/>
        <w:keepLines w:val="0"/>
        <w:spacing w:before="20"/>
        <w:ind w:firstLine="137"/>
        <w:jc w:val="left"/>
        <w:rPr>
          <w:rFonts w:ascii="宋体" w:hAnsi="宋体" w:cs="宋体"/>
          <w:b/>
          <w:color w:val="auto"/>
          <w:sz w:val="32"/>
          <w:highlight w:val="none"/>
        </w:rPr>
      </w:pPr>
      <w:r>
        <w:rPr>
          <w:rFonts w:hint="eastAsia" w:ascii="宋体" w:hAnsi="宋体" w:cs="宋体"/>
          <w:color w:val="auto"/>
          <w:highlight w:val="none"/>
        </w:rPr>
        <w:br w:type="page"/>
      </w:r>
      <w:r>
        <w:rPr>
          <w:rFonts w:hint="eastAsia" w:ascii="宋体" w:hAnsi="宋体" w:cs="宋体"/>
          <w:b/>
          <w:color w:val="auto"/>
          <w:sz w:val="32"/>
          <w:highlight w:val="none"/>
        </w:rPr>
        <w:t>格式六：</w:t>
      </w:r>
    </w:p>
    <w:p w14:paraId="65E5D6F4">
      <w:pPr>
        <w:pStyle w:val="5"/>
        <w:keepNext w:val="0"/>
        <w:keepLines w:val="0"/>
        <w:spacing w:before="20"/>
        <w:ind w:firstLine="137"/>
        <w:jc w:val="center"/>
        <w:rPr>
          <w:rFonts w:ascii="宋体" w:hAnsi="宋体" w:cs="宋体"/>
          <w:b/>
          <w:color w:val="auto"/>
          <w:sz w:val="32"/>
          <w:highlight w:val="none"/>
        </w:rPr>
      </w:pPr>
      <w:r>
        <w:rPr>
          <w:rFonts w:hint="eastAsia" w:ascii="宋体" w:hAnsi="宋体" w:cs="宋体"/>
          <w:b/>
          <w:color w:val="auto"/>
          <w:sz w:val="32"/>
          <w:highlight w:val="none"/>
        </w:rPr>
        <w:t>六、其他资料</w:t>
      </w:r>
    </w:p>
    <w:bookmarkEnd w:id="304"/>
    <w:bookmarkEnd w:id="305"/>
    <w:bookmarkEnd w:id="306"/>
    <w:bookmarkEnd w:id="307"/>
    <w:bookmarkEnd w:id="308"/>
    <w:bookmarkEnd w:id="309"/>
    <w:p w14:paraId="34486493">
      <w:pPr>
        <w:pStyle w:val="5"/>
        <w:keepNext w:val="0"/>
        <w:keepLines w:val="0"/>
        <w:spacing w:before="20"/>
        <w:ind w:firstLine="137"/>
        <w:jc w:val="center"/>
        <w:rPr>
          <w:rFonts w:ascii="宋体" w:hAnsi="宋体" w:cs="宋体"/>
          <w:color w:val="auto"/>
          <w:highlight w:val="none"/>
        </w:rPr>
      </w:pPr>
      <w:bookmarkStart w:id="314" w:name="_Toc517280608"/>
      <w:bookmarkStart w:id="315" w:name="_Toc361508760"/>
      <w:r>
        <w:rPr>
          <w:rFonts w:hint="eastAsia" w:ascii="宋体" w:hAnsi="宋体" w:cs="宋体"/>
          <w:b/>
          <w:color w:val="auto"/>
          <w:sz w:val="32"/>
          <w:highlight w:val="none"/>
        </w:rPr>
        <w:t>（一）基本情况表</w:t>
      </w:r>
      <w:bookmarkEnd w:id="314"/>
    </w:p>
    <w:tbl>
      <w:tblPr>
        <w:tblStyle w:val="3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1210"/>
        <w:gridCol w:w="714"/>
        <w:gridCol w:w="1287"/>
        <w:gridCol w:w="414"/>
        <w:gridCol w:w="873"/>
        <w:gridCol w:w="828"/>
        <w:gridCol w:w="284"/>
        <w:gridCol w:w="1230"/>
      </w:tblGrid>
      <w:tr w14:paraId="241377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ign w:val="center"/>
          </w:tcPr>
          <w:p w14:paraId="44B3C219">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投标人名称</w:t>
            </w:r>
          </w:p>
        </w:tc>
        <w:tc>
          <w:tcPr>
            <w:tcW w:w="6840" w:type="dxa"/>
            <w:gridSpan w:val="8"/>
            <w:tcBorders>
              <w:top w:val="single" w:color="auto" w:sz="4" w:space="0"/>
              <w:left w:val="single" w:color="auto" w:sz="4" w:space="0"/>
              <w:bottom w:val="single" w:color="auto" w:sz="4" w:space="0"/>
              <w:right w:val="single" w:color="auto" w:sz="4" w:space="0"/>
            </w:tcBorders>
            <w:noWrap/>
            <w:vAlign w:val="center"/>
          </w:tcPr>
          <w:p w14:paraId="792C20CB">
            <w:pPr>
              <w:topLinePunct/>
              <w:spacing w:line="440" w:lineRule="exact"/>
              <w:jc w:val="center"/>
              <w:rPr>
                <w:rFonts w:ascii="宋体" w:hAnsi="宋体" w:cs="宋体"/>
                <w:color w:val="auto"/>
                <w:sz w:val="24"/>
                <w:szCs w:val="24"/>
                <w:highlight w:val="none"/>
              </w:rPr>
            </w:pPr>
          </w:p>
        </w:tc>
      </w:tr>
      <w:tr w14:paraId="7860EE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ign w:val="center"/>
          </w:tcPr>
          <w:p w14:paraId="3DE43531">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注册地址</w:t>
            </w:r>
          </w:p>
        </w:tc>
        <w:tc>
          <w:tcPr>
            <w:tcW w:w="3211" w:type="dxa"/>
            <w:gridSpan w:val="3"/>
            <w:tcBorders>
              <w:top w:val="single" w:color="auto" w:sz="4" w:space="0"/>
              <w:left w:val="single" w:color="auto" w:sz="4" w:space="0"/>
              <w:bottom w:val="single" w:color="auto" w:sz="4" w:space="0"/>
              <w:right w:val="single" w:color="auto" w:sz="4" w:space="0"/>
            </w:tcBorders>
            <w:noWrap/>
            <w:vAlign w:val="center"/>
          </w:tcPr>
          <w:p w14:paraId="2A710844">
            <w:pPr>
              <w:topLinePunct/>
              <w:spacing w:line="440" w:lineRule="exact"/>
              <w:jc w:val="center"/>
              <w:rPr>
                <w:rFonts w:ascii="宋体" w:hAnsi="宋体" w:cs="宋体"/>
                <w:color w:val="auto"/>
                <w:sz w:val="24"/>
                <w:szCs w:val="24"/>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ign w:val="center"/>
          </w:tcPr>
          <w:p w14:paraId="1F50A073">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ign w:val="center"/>
          </w:tcPr>
          <w:p w14:paraId="009F38A7">
            <w:pPr>
              <w:topLinePunct/>
              <w:spacing w:line="440" w:lineRule="exact"/>
              <w:jc w:val="center"/>
              <w:rPr>
                <w:rFonts w:ascii="宋体" w:hAnsi="宋体" w:cs="宋体"/>
                <w:color w:val="auto"/>
                <w:sz w:val="24"/>
                <w:szCs w:val="24"/>
                <w:highlight w:val="none"/>
              </w:rPr>
            </w:pPr>
          </w:p>
        </w:tc>
      </w:tr>
      <w:tr w14:paraId="4EE967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bottom w:val="single" w:color="auto" w:sz="4" w:space="0"/>
              <w:right w:val="single" w:color="auto" w:sz="4" w:space="0"/>
            </w:tcBorders>
            <w:noWrap/>
            <w:vAlign w:val="center"/>
          </w:tcPr>
          <w:p w14:paraId="6C215895">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联系方式</w:t>
            </w:r>
          </w:p>
        </w:tc>
        <w:tc>
          <w:tcPr>
            <w:tcW w:w="1210" w:type="dxa"/>
            <w:tcBorders>
              <w:top w:val="single" w:color="auto" w:sz="4" w:space="0"/>
              <w:left w:val="single" w:color="auto" w:sz="4" w:space="0"/>
              <w:bottom w:val="single" w:color="auto" w:sz="4" w:space="0"/>
              <w:right w:val="single" w:color="auto" w:sz="4" w:space="0"/>
            </w:tcBorders>
            <w:noWrap/>
            <w:vAlign w:val="center"/>
          </w:tcPr>
          <w:p w14:paraId="20E3F115">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联系人</w:t>
            </w:r>
          </w:p>
        </w:tc>
        <w:tc>
          <w:tcPr>
            <w:tcW w:w="2001" w:type="dxa"/>
            <w:gridSpan w:val="2"/>
            <w:tcBorders>
              <w:top w:val="single" w:color="auto" w:sz="4" w:space="0"/>
              <w:left w:val="single" w:color="auto" w:sz="4" w:space="0"/>
              <w:bottom w:val="single" w:color="auto" w:sz="4" w:space="0"/>
              <w:right w:val="single" w:color="auto" w:sz="4" w:space="0"/>
            </w:tcBorders>
            <w:noWrap/>
            <w:vAlign w:val="center"/>
          </w:tcPr>
          <w:p w14:paraId="3D1EB568">
            <w:pPr>
              <w:topLinePunct/>
              <w:spacing w:line="440" w:lineRule="exact"/>
              <w:jc w:val="center"/>
              <w:rPr>
                <w:rFonts w:ascii="宋体" w:hAnsi="宋体" w:cs="宋体"/>
                <w:color w:val="auto"/>
                <w:sz w:val="24"/>
                <w:szCs w:val="24"/>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ign w:val="center"/>
          </w:tcPr>
          <w:p w14:paraId="051E795B">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电 话</w:t>
            </w:r>
          </w:p>
        </w:tc>
        <w:tc>
          <w:tcPr>
            <w:tcW w:w="2342" w:type="dxa"/>
            <w:gridSpan w:val="3"/>
            <w:tcBorders>
              <w:top w:val="single" w:color="auto" w:sz="4" w:space="0"/>
              <w:left w:val="single" w:color="auto" w:sz="4" w:space="0"/>
              <w:bottom w:val="single" w:color="auto" w:sz="4" w:space="0"/>
              <w:right w:val="single" w:color="auto" w:sz="4" w:space="0"/>
            </w:tcBorders>
            <w:noWrap/>
            <w:vAlign w:val="center"/>
          </w:tcPr>
          <w:p w14:paraId="4BB6A644">
            <w:pPr>
              <w:topLinePunct/>
              <w:spacing w:line="440" w:lineRule="exact"/>
              <w:jc w:val="center"/>
              <w:rPr>
                <w:rFonts w:ascii="宋体" w:hAnsi="宋体" w:cs="宋体"/>
                <w:color w:val="auto"/>
                <w:sz w:val="24"/>
                <w:szCs w:val="24"/>
                <w:highlight w:val="none"/>
              </w:rPr>
            </w:pPr>
          </w:p>
        </w:tc>
      </w:tr>
      <w:tr w14:paraId="4180B5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left w:val="single" w:color="auto" w:sz="4" w:space="0"/>
              <w:bottom w:val="single" w:color="auto" w:sz="4" w:space="0"/>
              <w:right w:val="single" w:color="auto" w:sz="4" w:space="0"/>
            </w:tcBorders>
            <w:noWrap/>
            <w:vAlign w:val="center"/>
          </w:tcPr>
          <w:p w14:paraId="1C04767C">
            <w:pPr>
              <w:jc w:val="center"/>
              <w:rPr>
                <w:rFonts w:ascii="宋体" w:hAnsi="宋体" w:cs="宋体"/>
                <w:color w:val="auto"/>
                <w:sz w:val="24"/>
                <w:szCs w:val="24"/>
                <w:highlight w:val="none"/>
              </w:rPr>
            </w:pPr>
          </w:p>
        </w:tc>
        <w:tc>
          <w:tcPr>
            <w:tcW w:w="1210" w:type="dxa"/>
            <w:tcBorders>
              <w:top w:val="single" w:color="auto" w:sz="4" w:space="0"/>
              <w:left w:val="single" w:color="auto" w:sz="4" w:space="0"/>
              <w:bottom w:val="single" w:color="auto" w:sz="4" w:space="0"/>
              <w:right w:val="single" w:color="auto" w:sz="4" w:space="0"/>
            </w:tcBorders>
            <w:noWrap/>
            <w:vAlign w:val="center"/>
          </w:tcPr>
          <w:p w14:paraId="715A8007">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传  真</w:t>
            </w:r>
          </w:p>
        </w:tc>
        <w:tc>
          <w:tcPr>
            <w:tcW w:w="2001" w:type="dxa"/>
            <w:gridSpan w:val="2"/>
            <w:tcBorders>
              <w:top w:val="single" w:color="auto" w:sz="4" w:space="0"/>
              <w:left w:val="single" w:color="auto" w:sz="4" w:space="0"/>
              <w:bottom w:val="single" w:color="auto" w:sz="4" w:space="0"/>
              <w:right w:val="single" w:color="auto" w:sz="4" w:space="0"/>
            </w:tcBorders>
            <w:noWrap/>
            <w:vAlign w:val="center"/>
          </w:tcPr>
          <w:p w14:paraId="395BF892">
            <w:pPr>
              <w:topLinePunct/>
              <w:spacing w:line="440" w:lineRule="exact"/>
              <w:jc w:val="center"/>
              <w:rPr>
                <w:rFonts w:ascii="宋体" w:hAnsi="宋体" w:cs="宋体"/>
                <w:color w:val="auto"/>
                <w:sz w:val="24"/>
                <w:szCs w:val="24"/>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ign w:val="center"/>
          </w:tcPr>
          <w:p w14:paraId="1356B261">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网 址</w:t>
            </w:r>
          </w:p>
        </w:tc>
        <w:tc>
          <w:tcPr>
            <w:tcW w:w="2342" w:type="dxa"/>
            <w:gridSpan w:val="3"/>
            <w:tcBorders>
              <w:top w:val="single" w:color="auto" w:sz="4" w:space="0"/>
              <w:left w:val="single" w:color="auto" w:sz="4" w:space="0"/>
              <w:bottom w:val="single" w:color="auto" w:sz="4" w:space="0"/>
              <w:right w:val="single" w:color="auto" w:sz="4" w:space="0"/>
            </w:tcBorders>
            <w:noWrap/>
            <w:vAlign w:val="center"/>
          </w:tcPr>
          <w:p w14:paraId="527C9608">
            <w:pPr>
              <w:topLinePunct/>
              <w:spacing w:line="440" w:lineRule="exact"/>
              <w:jc w:val="center"/>
              <w:rPr>
                <w:rFonts w:ascii="宋体" w:hAnsi="宋体" w:cs="宋体"/>
                <w:color w:val="auto"/>
                <w:sz w:val="24"/>
                <w:szCs w:val="24"/>
                <w:highlight w:val="none"/>
              </w:rPr>
            </w:pPr>
          </w:p>
        </w:tc>
      </w:tr>
      <w:tr w14:paraId="3F0432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ign w:val="center"/>
          </w:tcPr>
          <w:p w14:paraId="11261051">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法定代表人</w:t>
            </w:r>
          </w:p>
        </w:tc>
        <w:tc>
          <w:tcPr>
            <w:tcW w:w="1210" w:type="dxa"/>
            <w:tcBorders>
              <w:top w:val="single" w:color="auto" w:sz="4" w:space="0"/>
              <w:left w:val="single" w:color="auto" w:sz="4" w:space="0"/>
              <w:bottom w:val="single" w:color="auto" w:sz="4" w:space="0"/>
              <w:right w:val="single" w:color="auto" w:sz="4" w:space="0"/>
            </w:tcBorders>
            <w:noWrap/>
            <w:vAlign w:val="center"/>
          </w:tcPr>
          <w:p w14:paraId="58B23763">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714" w:type="dxa"/>
            <w:tcBorders>
              <w:top w:val="single" w:color="auto" w:sz="4" w:space="0"/>
              <w:left w:val="single" w:color="auto" w:sz="4" w:space="0"/>
              <w:bottom w:val="single" w:color="auto" w:sz="4" w:space="0"/>
              <w:right w:val="single" w:color="auto" w:sz="4" w:space="0"/>
            </w:tcBorders>
            <w:noWrap/>
            <w:vAlign w:val="center"/>
          </w:tcPr>
          <w:p w14:paraId="5DFEB35A">
            <w:pPr>
              <w:topLinePunct/>
              <w:spacing w:line="440" w:lineRule="exact"/>
              <w:jc w:val="center"/>
              <w:rPr>
                <w:rFonts w:ascii="宋体" w:hAnsi="宋体" w:cs="宋体"/>
                <w:color w:val="auto"/>
                <w:sz w:val="24"/>
                <w:szCs w:val="24"/>
                <w:highlight w:val="none"/>
              </w:rPr>
            </w:pPr>
          </w:p>
        </w:tc>
        <w:tc>
          <w:tcPr>
            <w:tcW w:w="1287" w:type="dxa"/>
            <w:tcBorders>
              <w:top w:val="single" w:color="auto" w:sz="4" w:space="0"/>
              <w:left w:val="single" w:color="auto" w:sz="4" w:space="0"/>
              <w:bottom w:val="single" w:color="auto" w:sz="4" w:space="0"/>
              <w:right w:val="single" w:color="auto" w:sz="4" w:space="0"/>
            </w:tcBorders>
            <w:noWrap/>
            <w:vAlign w:val="center"/>
          </w:tcPr>
          <w:p w14:paraId="7679E676">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noWrap/>
            <w:vAlign w:val="center"/>
          </w:tcPr>
          <w:p w14:paraId="0AE509B0">
            <w:pPr>
              <w:topLinePunct/>
              <w:spacing w:line="440" w:lineRule="exact"/>
              <w:jc w:val="center"/>
              <w:rPr>
                <w:rFonts w:ascii="宋体" w:hAnsi="宋体" w:cs="宋体"/>
                <w:color w:val="auto"/>
                <w:sz w:val="24"/>
                <w:szCs w:val="24"/>
                <w:highlight w:val="none"/>
              </w:rPr>
            </w:pPr>
          </w:p>
        </w:tc>
        <w:tc>
          <w:tcPr>
            <w:tcW w:w="1112" w:type="dxa"/>
            <w:gridSpan w:val="2"/>
            <w:tcBorders>
              <w:top w:val="single" w:color="auto" w:sz="4" w:space="0"/>
              <w:left w:val="single" w:color="auto" w:sz="4" w:space="0"/>
              <w:bottom w:val="single" w:color="auto" w:sz="4" w:space="0"/>
              <w:right w:val="single" w:color="auto" w:sz="4" w:space="0"/>
            </w:tcBorders>
            <w:noWrap/>
            <w:vAlign w:val="center"/>
          </w:tcPr>
          <w:p w14:paraId="284A8C99">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1230" w:type="dxa"/>
            <w:tcBorders>
              <w:top w:val="single" w:color="auto" w:sz="4" w:space="0"/>
              <w:left w:val="single" w:color="auto" w:sz="4" w:space="0"/>
              <w:bottom w:val="single" w:color="auto" w:sz="4" w:space="0"/>
              <w:right w:val="single" w:color="auto" w:sz="4" w:space="0"/>
            </w:tcBorders>
            <w:noWrap/>
            <w:vAlign w:val="center"/>
          </w:tcPr>
          <w:p w14:paraId="596CAA6C">
            <w:pPr>
              <w:topLinePunct/>
              <w:spacing w:line="440" w:lineRule="exact"/>
              <w:jc w:val="center"/>
              <w:rPr>
                <w:rFonts w:ascii="宋体" w:hAnsi="宋体" w:cs="宋体"/>
                <w:color w:val="auto"/>
                <w:sz w:val="24"/>
                <w:szCs w:val="24"/>
                <w:highlight w:val="none"/>
              </w:rPr>
            </w:pPr>
          </w:p>
        </w:tc>
      </w:tr>
      <w:tr w14:paraId="624F15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ign w:val="center"/>
          </w:tcPr>
          <w:p w14:paraId="53102350">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210" w:type="dxa"/>
            <w:tcBorders>
              <w:top w:val="single" w:color="auto" w:sz="4" w:space="0"/>
              <w:left w:val="single" w:color="auto" w:sz="4" w:space="0"/>
              <w:bottom w:val="single" w:color="auto" w:sz="4" w:space="0"/>
              <w:right w:val="single" w:color="auto" w:sz="4" w:space="0"/>
            </w:tcBorders>
            <w:noWrap/>
            <w:vAlign w:val="center"/>
          </w:tcPr>
          <w:p w14:paraId="3184873F">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714" w:type="dxa"/>
            <w:tcBorders>
              <w:top w:val="single" w:color="auto" w:sz="4" w:space="0"/>
              <w:left w:val="single" w:color="auto" w:sz="4" w:space="0"/>
              <w:bottom w:val="single" w:color="auto" w:sz="4" w:space="0"/>
              <w:right w:val="single" w:color="auto" w:sz="4" w:space="0"/>
            </w:tcBorders>
            <w:noWrap/>
            <w:vAlign w:val="center"/>
          </w:tcPr>
          <w:p w14:paraId="2D48ABF9">
            <w:pPr>
              <w:topLinePunct/>
              <w:spacing w:line="440" w:lineRule="exact"/>
              <w:jc w:val="center"/>
              <w:rPr>
                <w:rFonts w:ascii="宋体" w:hAnsi="宋体" w:cs="宋体"/>
                <w:color w:val="auto"/>
                <w:sz w:val="24"/>
                <w:szCs w:val="24"/>
                <w:highlight w:val="none"/>
              </w:rPr>
            </w:pPr>
          </w:p>
        </w:tc>
        <w:tc>
          <w:tcPr>
            <w:tcW w:w="1287" w:type="dxa"/>
            <w:tcBorders>
              <w:top w:val="single" w:color="auto" w:sz="4" w:space="0"/>
              <w:left w:val="single" w:color="auto" w:sz="4" w:space="0"/>
              <w:bottom w:val="single" w:color="auto" w:sz="4" w:space="0"/>
              <w:right w:val="single" w:color="auto" w:sz="4" w:space="0"/>
            </w:tcBorders>
            <w:noWrap/>
            <w:vAlign w:val="center"/>
          </w:tcPr>
          <w:p w14:paraId="72459840">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noWrap/>
            <w:vAlign w:val="center"/>
          </w:tcPr>
          <w:p w14:paraId="39B1BBF5">
            <w:pPr>
              <w:topLinePunct/>
              <w:spacing w:line="440" w:lineRule="exact"/>
              <w:jc w:val="center"/>
              <w:rPr>
                <w:rFonts w:ascii="宋体" w:hAnsi="宋体" w:cs="宋体"/>
                <w:color w:val="auto"/>
                <w:sz w:val="24"/>
                <w:szCs w:val="24"/>
                <w:highlight w:val="none"/>
              </w:rPr>
            </w:pPr>
          </w:p>
        </w:tc>
        <w:tc>
          <w:tcPr>
            <w:tcW w:w="1112" w:type="dxa"/>
            <w:gridSpan w:val="2"/>
            <w:tcBorders>
              <w:top w:val="single" w:color="auto" w:sz="4" w:space="0"/>
              <w:left w:val="single" w:color="auto" w:sz="4" w:space="0"/>
              <w:bottom w:val="single" w:color="auto" w:sz="4" w:space="0"/>
              <w:right w:val="single" w:color="auto" w:sz="4" w:space="0"/>
            </w:tcBorders>
            <w:noWrap/>
            <w:vAlign w:val="center"/>
          </w:tcPr>
          <w:p w14:paraId="37D3A7C3">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1230" w:type="dxa"/>
            <w:tcBorders>
              <w:top w:val="single" w:color="auto" w:sz="4" w:space="0"/>
              <w:left w:val="single" w:color="auto" w:sz="4" w:space="0"/>
              <w:bottom w:val="single" w:color="auto" w:sz="4" w:space="0"/>
              <w:right w:val="single" w:color="auto" w:sz="4" w:space="0"/>
            </w:tcBorders>
            <w:noWrap/>
            <w:vAlign w:val="center"/>
          </w:tcPr>
          <w:p w14:paraId="7DB56550">
            <w:pPr>
              <w:topLinePunct/>
              <w:spacing w:line="440" w:lineRule="exact"/>
              <w:jc w:val="center"/>
              <w:rPr>
                <w:rFonts w:ascii="宋体" w:hAnsi="宋体" w:cs="宋体"/>
                <w:color w:val="auto"/>
                <w:sz w:val="24"/>
                <w:szCs w:val="24"/>
                <w:highlight w:val="none"/>
              </w:rPr>
            </w:pPr>
          </w:p>
        </w:tc>
      </w:tr>
      <w:tr w14:paraId="3AF5C2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ign w:val="center"/>
          </w:tcPr>
          <w:p w14:paraId="1C363BEB">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企业监理资质证书</w:t>
            </w:r>
          </w:p>
        </w:tc>
        <w:tc>
          <w:tcPr>
            <w:tcW w:w="6840" w:type="dxa"/>
            <w:gridSpan w:val="8"/>
            <w:tcBorders>
              <w:top w:val="single" w:color="auto" w:sz="4" w:space="0"/>
              <w:left w:val="single" w:color="auto" w:sz="4" w:space="0"/>
              <w:bottom w:val="single" w:color="auto" w:sz="4" w:space="0"/>
              <w:right w:val="single" w:color="auto" w:sz="4" w:space="0"/>
            </w:tcBorders>
            <w:noWrap/>
            <w:vAlign w:val="center"/>
          </w:tcPr>
          <w:p w14:paraId="407CA732">
            <w:pPr>
              <w:topLinePunct/>
              <w:spacing w:before="100" w:beforeAutospacing="1" w:after="100" w:afterAutospacing="1" w:line="440" w:lineRule="exact"/>
              <w:ind w:firstLine="120" w:firstLineChars="50"/>
              <w:jc w:val="center"/>
              <w:rPr>
                <w:rFonts w:ascii="宋体" w:hAnsi="宋体" w:cs="宋体"/>
                <w:color w:val="auto"/>
                <w:sz w:val="24"/>
                <w:szCs w:val="24"/>
                <w:highlight w:val="none"/>
              </w:rPr>
            </w:pPr>
            <w:r>
              <w:rPr>
                <w:rFonts w:hint="eastAsia" w:ascii="宋体" w:hAnsi="宋体" w:cs="宋体"/>
                <w:color w:val="auto"/>
                <w:sz w:val="24"/>
                <w:szCs w:val="24"/>
                <w:highlight w:val="none"/>
              </w:rPr>
              <w:t>类型：                    等级：      证书号：</w:t>
            </w:r>
          </w:p>
        </w:tc>
      </w:tr>
      <w:tr w14:paraId="6ED132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ign w:val="center"/>
          </w:tcPr>
          <w:p w14:paraId="0CEF9BA8">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质量管理体系证书（如有）</w:t>
            </w:r>
          </w:p>
        </w:tc>
        <w:tc>
          <w:tcPr>
            <w:tcW w:w="6840" w:type="dxa"/>
            <w:gridSpan w:val="8"/>
            <w:tcBorders>
              <w:top w:val="single" w:color="auto" w:sz="4" w:space="0"/>
              <w:left w:val="single" w:color="auto" w:sz="4" w:space="0"/>
              <w:bottom w:val="single" w:color="auto" w:sz="4" w:space="0"/>
              <w:right w:val="single" w:color="auto" w:sz="4" w:space="0"/>
            </w:tcBorders>
            <w:noWrap/>
            <w:vAlign w:val="center"/>
          </w:tcPr>
          <w:p w14:paraId="05A2251B">
            <w:pPr>
              <w:topLinePunct/>
              <w:spacing w:before="100" w:beforeAutospacing="1" w:after="100" w:afterAutospacing="1" w:line="440" w:lineRule="exact"/>
              <w:ind w:firstLine="120" w:firstLineChars="50"/>
              <w:jc w:val="center"/>
              <w:rPr>
                <w:rFonts w:ascii="宋体" w:hAnsi="宋体" w:cs="宋体"/>
                <w:color w:val="auto"/>
                <w:sz w:val="24"/>
                <w:szCs w:val="24"/>
                <w:highlight w:val="none"/>
              </w:rPr>
            </w:pPr>
            <w:r>
              <w:rPr>
                <w:rFonts w:hint="eastAsia" w:ascii="宋体" w:hAnsi="宋体" w:cs="宋体"/>
                <w:color w:val="auto"/>
                <w:sz w:val="24"/>
                <w:szCs w:val="24"/>
                <w:highlight w:val="none"/>
              </w:rPr>
              <w:t>类型：                    等级：      证书号：</w:t>
            </w:r>
          </w:p>
        </w:tc>
      </w:tr>
      <w:tr w14:paraId="1DA4A1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ign w:val="center"/>
          </w:tcPr>
          <w:p w14:paraId="21B6674F">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营业执照号</w:t>
            </w:r>
          </w:p>
        </w:tc>
        <w:tc>
          <w:tcPr>
            <w:tcW w:w="3211" w:type="dxa"/>
            <w:gridSpan w:val="3"/>
            <w:tcBorders>
              <w:top w:val="single" w:color="auto" w:sz="4" w:space="0"/>
              <w:left w:val="single" w:color="auto" w:sz="4" w:space="0"/>
              <w:bottom w:val="single" w:color="auto" w:sz="4" w:space="0"/>
              <w:right w:val="single" w:color="auto" w:sz="4" w:space="0"/>
            </w:tcBorders>
            <w:noWrap/>
            <w:vAlign w:val="center"/>
          </w:tcPr>
          <w:p w14:paraId="0499C632">
            <w:pPr>
              <w:topLinePunct/>
              <w:spacing w:line="440" w:lineRule="exact"/>
              <w:jc w:val="center"/>
              <w:rPr>
                <w:rFonts w:ascii="宋体" w:hAnsi="宋体" w:cs="宋体"/>
                <w:color w:val="auto"/>
                <w:sz w:val="24"/>
                <w:szCs w:val="24"/>
                <w:highlight w:val="none"/>
              </w:rPr>
            </w:pPr>
          </w:p>
        </w:tc>
        <w:tc>
          <w:tcPr>
            <w:tcW w:w="3629" w:type="dxa"/>
            <w:gridSpan w:val="5"/>
            <w:tcBorders>
              <w:top w:val="single" w:color="auto" w:sz="4" w:space="0"/>
              <w:left w:val="single" w:color="auto" w:sz="4" w:space="0"/>
              <w:bottom w:val="single" w:color="auto" w:sz="4" w:space="0"/>
              <w:right w:val="single" w:color="auto" w:sz="4" w:space="0"/>
            </w:tcBorders>
            <w:noWrap/>
            <w:vAlign w:val="center"/>
          </w:tcPr>
          <w:p w14:paraId="660C14A4">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员工总人数：</w:t>
            </w:r>
          </w:p>
        </w:tc>
      </w:tr>
      <w:tr w14:paraId="3DD2C8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ign w:val="center"/>
          </w:tcPr>
          <w:p w14:paraId="7A483030">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注册资本</w:t>
            </w:r>
          </w:p>
        </w:tc>
        <w:tc>
          <w:tcPr>
            <w:tcW w:w="3211" w:type="dxa"/>
            <w:gridSpan w:val="3"/>
            <w:tcBorders>
              <w:top w:val="single" w:color="auto" w:sz="4" w:space="0"/>
              <w:left w:val="single" w:color="auto" w:sz="4" w:space="0"/>
              <w:bottom w:val="single" w:color="auto" w:sz="4" w:space="0"/>
              <w:right w:val="single" w:color="auto" w:sz="4" w:space="0"/>
            </w:tcBorders>
            <w:noWrap/>
            <w:vAlign w:val="center"/>
          </w:tcPr>
          <w:p w14:paraId="74493A72">
            <w:pPr>
              <w:topLinePunct/>
              <w:spacing w:line="440" w:lineRule="exact"/>
              <w:jc w:val="center"/>
              <w:rPr>
                <w:rFonts w:ascii="宋体" w:hAnsi="宋体" w:cs="宋体"/>
                <w:color w:val="auto"/>
                <w:sz w:val="24"/>
                <w:szCs w:val="24"/>
                <w:highlight w:val="none"/>
              </w:rPr>
            </w:pPr>
          </w:p>
        </w:tc>
        <w:tc>
          <w:tcPr>
            <w:tcW w:w="414" w:type="dxa"/>
            <w:vMerge w:val="restart"/>
            <w:tcBorders>
              <w:top w:val="single" w:color="auto" w:sz="4" w:space="0"/>
              <w:left w:val="single" w:color="auto" w:sz="4" w:space="0"/>
              <w:right w:val="single" w:color="auto" w:sz="4" w:space="0"/>
            </w:tcBorders>
            <w:noWrap/>
            <w:vAlign w:val="center"/>
          </w:tcPr>
          <w:p w14:paraId="725438EB">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noWrap/>
            <w:vAlign w:val="center"/>
          </w:tcPr>
          <w:p w14:paraId="03E72103">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高级职称人员</w:t>
            </w:r>
          </w:p>
        </w:tc>
        <w:tc>
          <w:tcPr>
            <w:tcW w:w="1514" w:type="dxa"/>
            <w:gridSpan w:val="2"/>
            <w:tcBorders>
              <w:top w:val="single" w:color="auto" w:sz="4" w:space="0"/>
              <w:left w:val="single" w:color="auto" w:sz="4" w:space="0"/>
              <w:bottom w:val="single" w:color="auto" w:sz="4" w:space="0"/>
              <w:right w:val="single" w:color="auto" w:sz="4" w:space="0"/>
            </w:tcBorders>
            <w:noWrap/>
            <w:vAlign w:val="center"/>
          </w:tcPr>
          <w:p w14:paraId="790F4CB2">
            <w:pPr>
              <w:topLinePunct/>
              <w:spacing w:line="440" w:lineRule="exact"/>
              <w:jc w:val="center"/>
              <w:rPr>
                <w:rFonts w:ascii="宋体" w:hAnsi="宋体" w:cs="宋体"/>
                <w:color w:val="auto"/>
                <w:sz w:val="24"/>
                <w:szCs w:val="24"/>
                <w:highlight w:val="none"/>
              </w:rPr>
            </w:pPr>
          </w:p>
        </w:tc>
      </w:tr>
      <w:tr w14:paraId="5053F1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ign w:val="center"/>
          </w:tcPr>
          <w:p w14:paraId="4F0F0816">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成立日期</w:t>
            </w:r>
          </w:p>
        </w:tc>
        <w:tc>
          <w:tcPr>
            <w:tcW w:w="3211" w:type="dxa"/>
            <w:gridSpan w:val="3"/>
            <w:tcBorders>
              <w:top w:val="single" w:color="auto" w:sz="4" w:space="0"/>
              <w:left w:val="single" w:color="auto" w:sz="4" w:space="0"/>
              <w:bottom w:val="single" w:color="auto" w:sz="4" w:space="0"/>
              <w:right w:val="single" w:color="auto" w:sz="4" w:space="0"/>
            </w:tcBorders>
            <w:noWrap/>
            <w:vAlign w:val="center"/>
          </w:tcPr>
          <w:p w14:paraId="1CD43273">
            <w:pPr>
              <w:topLinePunct/>
              <w:spacing w:line="440" w:lineRule="exact"/>
              <w:jc w:val="center"/>
              <w:rPr>
                <w:rFonts w:ascii="宋体" w:hAnsi="宋体" w:cs="宋体"/>
                <w:color w:val="auto"/>
                <w:sz w:val="24"/>
                <w:szCs w:val="24"/>
                <w:highlight w:val="none"/>
              </w:rPr>
            </w:pPr>
          </w:p>
        </w:tc>
        <w:tc>
          <w:tcPr>
            <w:tcW w:w="414" w:type="dxa"/>
            <w:vMerge w:val="continue"/>
            <w:tcBorders>
              <w:left w:val="single" w:color="auto" w:sz="4" w:space="0"/>
              <w:right w:val="single" w:color="auto" w:sz="4" w:space="0"/>
            </w:tcBorders>
            <w:noWrap/>
            <w:vAlign w:val="center"/>
          </w:tcPr>
          <w:p w14:paraId="1E20CA40">
            <w:pPr>
              <w:jc w:val="center"/>
              <w:rPr>
                <w:rFonts w:ascii="宋体" w:hAnsi="宋体" w:cs="宋体"/>
                <w:color w:val="auto"/>
                <w:sz w:val="24"/>
                <w:szCs w:val="24"/>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ign w:val="center"/>
          </w:tcPr>
          <w:p w14:paraId="698B359F">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中级职称人员</w:t>
            </w:r>
          </w:p>
        </w:tc>
        <w:tc>
          <w:tcPr>
            <w:tcW w:w="1514" w:type="dxa"/>
            <w:gridSpan w:val="2"/>
            <w:tcBorders>
              <w:top w:val="single" w:color="auto" w:sz="4" w:space="0"/>
              <w:left w:val="single" w:color="auto" w:sz="4" w:space="0"/>
              <w:bottom w:val="single" w:color="auto" w:sz="4" w:space="0"/>
              <w:right w:val="single" w:color="auto" w:sz="4" w:space="0"/>
            </w:tcBorders>
            <w:noWrap/>
            <w:vAlign w:val="center"/>
          </w:tcPr>
          <w:p w14:paraId="42B06E82">
            <w:pPr>
              <w:topLinePunct/>
              <w:spacing w:line="440" w:lineRule="exact"/>
              <w:jc w:val="center"/>
              <w:rPr>
                <w:rFonts w:ascii="宋体" w:hAnsi="宋体" w:cs="宋体"/>
                <w:color w:val="auto"/>
                <w:sz w:val="24"/>
                <w:szCs w:val="24"/>
                <w:highlight w:val="none"/>
              </w:rPr>
            </w:pPr>
          </w:p>
        </w:tc>
      </w:tr>
      <w:tr w14:paraId="56C43A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ign w:val="center"/>
          </w:tcPr>
          <w:p w14:paraId="3A3E332A">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noWrap/>
            <w:vAlign w:val="center"/>
          </w:tcPr>
          <w:p w14:paraId="49018071">
            <w:pPr>
              <w:topLinePunct/>
              <w:spacing w:line="440" w:lineRule="exact"/>
              <w:jc w:val="center"/>
              <w:rPr>
                <w:rFonts w:ascii="宋体" w:hAnsi="宋体" w:cs="宋体"/>
                <w:color w:val="auto"/>
                <w:sz w:val="24"/>
                <w:szCs w:val="24"/>
                <w:highlight w:val="none"/>
              </w:rPr>
            </w:pPr>
          </w:p>
        </w:tc>
        <w:tc>
          <w:tcPr>
            <w:tcW w:w="414" w:type="dxa"/>
            <w:vMerge w:val="continue"/>
            <w:tcBorders>
              <w:left w:val="single" w:color="auto" w:sz="4" w:space="0"/>
              <w:right w:val="single" w:color="auto" w:sz="4" w:space="0"/>
            </w:tcBorders>
            <w:noWrap/>
            <w:vAlign w:val="center"/>
          </w:tcPr>
          <w:p w14:paraId="161614F4">
            <w:pPr>
              <w:jc w:val="center"/>
              <w:rPr>
                <w:rFonts w:ascii="宋体" w:hAnsi="宋体" w:cs="宋体"/>
                <w:color w:val="auto"/>
                <w:sz w:val="24"/>
                <w:szCs w:val="24"/>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ign w:val="center"/>
          </w:tcPr>
          <w:p w14:paraId="1F9AAD63">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技术人员数量</w:t>
            </w:r>
          </w:p>
        </w:tc>
        <w:tc>
          <w:tcPr>
            <w:tcW w:w="1514" w:type="dxa"/>
            <w:gridSpan w:val="2"/>
            <w:tcBorders>
              <w:top w:val="single" w:color="auto" w:sz="4" w:space="0"/>
              <w:left w:val="single" w:color="auto" w:sz="4" w:space="0"/>
              <w:bottom w:val="single" w:color="auto" w:sz="4" w:space="0"/>
              <w:right w:val="single" w:color="auto" w:sz="4" w:space="0"/>
            </w:tcBorders>
            <w:noWrap/>
            <w:vAlign w:val="center"/>
          </w:tcPr>
          <w:p w14:paraId="7F4DF29D">
            <w:pPr>
              <w:topLinePunct/>
              <w:spacing w:line="440" w:lineRule="exact"/>
              <w:jc w:val="center"/>
              <w:rPr>
                <w:rFonts w:ascii="宋体" w:hAnsi="宋体" w:cs="宋体"/>
                <w:color w:val="auto"/>
                <w:sz w:val="24"/>
                <w:szCs w:val="24"/>
                <w:highlight w:val="none"/>
              </w:rPr>
            </w:pPr>
          </w:p>
        </w:tc>
      </w:tr>
      <w:tr w14:paraId="49AD7B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ign w:val="center"/>
          </w:tcPr>
          <w:p w14:paraId="27344C30">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noWrap/>
            <w:vAlign w:val="center"/>
          </w:tcPr>
          <w:p w14:paraId="7D3D47CF">
            <w:pPr>
              <w:topLinePunct/>
              <w:spacing w:line="440" w:lineRule="exact"/>
              <w:jc w:val="center"/>
              <w:rPr>
                <w:rFonts w:ascii="宋体" w:hAnsi="宋体" w:cs="宋体"/>
                <w:color w:val="auto"/>
                <w:sz w:val="24"/>
                <w:szCs w:val="24"/>
                <w:highlight w:val="none"/>
              </w:rPr>
            </w:pPr>
          </w:p>
        </w:tc>
        <w:tc>
          <w:tcPr>
            <w:tcW w:w="414" w:type="dxa"/>
            <w:vMerge w:val="continue"/>
            <w:tcBorders>
              <w:left w:val="single" w:color="auto" w:sz="4" w:space="0"/>
              <w:right w:val="single" w:color="auto" w:sz="4" w:space="0"/>
            </w:tcBorders>
            <w:noWrap/>
            <w:vAlign w:val="center"/>
          </w:tcPr>
          <w:p w14:paraId="784F8A21">
            <w:pPr>
              <w:jc w:val="center"/>
              <w:rPr>
                <w:rFonts w:ascii="宋体" w:hAnsi="宋体" w:cs="宋体"/>
                <w:color w:val="auto"/>
                <w:sz w:val="24"/>
                <w:szCs w:val="24"/>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ign w:val="center"/>
          </w:tcPr>
          <w:p w14:paraId="7AACB0A5">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各类注册人员</w:t>
            </w:r>
          </w:p>
        </w:tc>
        <w:tc>
          <w:tcPr>
            <w:tcW w:w="1514" w:type="dxa"/>
            <w:gridSpan w:val="2"/>
            <w:tcBorders>
              <w:top w:val="single" w:color="auto" w:sz="4" w:space="0"/>
              <w:left w:val="single" w:color="auto" w:sz="4" w:space="0"/>
              <w:bottom w:val="single" w:color="auto" w:sz="4" w:space="0"/>
              <w:right w:val="single" w:color="auto" w:sz="4" w:space="0"/>
            </w:tcBorders>
            <w:noWrap/>
            <w:vAlign w:val="center"/>
          </w:tcPr>
          <w:p w14:paraId="0F308733">
            <w:pPr>
              <w:topLinePunct/>
              <w:spacing w:line="440" w:lineRule="exact"/>
              <w:jc w:val="center"/>
              <w:rPr>
                <w:rFonts w:ascii="宋体" w:hAnsi="宋体" w:cs="宋体"/>
                <w:color w:val="auto"/>
                <w:sz w:val="24"/>
                <w:szCs w:val="24"/>
                <w:highlight w:val="none"/>
              </w:rPr>
            </w:pPr>
          </w:p>
        </w:tc>
      </w:tr>
      <w:tr w14:paraId="7C626D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noWrap/>
            <w:vAlign w:val="center"/>
          </w:tcPr>
          <w:p w14:paraId="16033C02">
            <w:pPr>
              <w:topLinePunct/>
              <w:spacing w:before="100" w:beforeAutospacing="1" w:after="100" w:afterAutospacing="1" w:line="440" w:lineRule="exact"/>
              <w:ind w:firstLine="240" w:firstLineChars="100"/>
              <w:jc w:val="center"/>
              <w:rPr>
                <w:rFonts w:ascii="宋体" w:hAnsi="宋体" w:cs="宋体"/>
                <w:color w:val="auto"/>
                <w:sz w:val="24"/>
                <w:szCs w:val="24"/>
                <w:highlight w:val="none"/>
              </w:rPr>
            </w:pPr>
            <w:r>
              <w:rPr>
                <w:rFonts w:hint="eastAsia" w:ascii="宋体" w:hAnsi="宋体" w:cs="宋体"/>
                <w:color w:val="auto"/>
                <w:sz w:val="24"/>
                <w:szCs w:val="24"/>
                <w:highlight w:val="none"/>
              </w:rPr>
              <w:t>经营范围</w:t>
            </w:r>
          </w:p>
        </w:tc>
        <w:tc>
          <w:tcPr>
            <w:tcW w:w="6840" w:type="dxa"/>
            <w:gridSpan w:val="8"/>
            <w:tcBorders>
              <w:top w:val="single" w:color="auto" w:sz="4" w:space="0"/>
              <w:left w:val="single" w:color="auto" w:sz="4" w:space="0"/>
              <w:right w:val="single" w:color="auto" w:sz="4" w:space="0"/>
            </w:tcBorders>
            <w:noWrap/>
            <w:vAlign w:val="center"/>
          </w:tcPr>
          <w:p w14:paraId="54461625">
            <w:pPr>
              <w:topLinePunct/>
              <w:spacing w:line="440" w:lineRule="exact"/>
              <w:jc w:val="center"/>
              <w:rPr>
                <w:rFonts w:ascii="宋体" w:hAnsi="宋体" w:cs="宋体"/>
                <w:color w:val="auto"/>
                <w:sz w:val="24"/>
                <w:szCs w:val="24"/>
                <w:highlight w:val="none"/>
              </w:rPr>
            </w:pPr>
          </w:p>
        </w:tc>
      </w:tr>
      <w:tr w14:paraId="61CCB3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noWrap/>
            <w:vAlign w:val="center"/>
          </w:tcPr>
          <w:p w14:paraId="681CEACB">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right w:val="single" w:color="auto" w:sz="4" w:space="0"/>
            </w:tcBorders>
            <w:noWrap/>
            <w:vAlign w:val="center"/>
          </w:tcPr>
          <w:p w14:paraId="6F094C66">
            <w:pPr>
              <w:topLinePunct/>
              <w:spacing w:line="440" w:lineRule="exact"/>
              <w:jc w:val="center"/>
              <w:rPr>
                <w:rFonts w:ascii="宋体" w:hAnsi="宋体" w:cs="宋体"/>
                <w:color w:val="auto"/>
                <w:sz w:val="24"/>
                <w:szCs w:val="24"/>
                <w:highlight w:val="none"/>
              </w:rPr>
            </w:pPr>
          </w:p>
        </w:tc>
      </w:tr>
      <w:tr w14:paraId="501496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left w:val="single" w:color="auto" w:sz="4" w:space="0"/>
              <w:bottom w:val="single" w:color="auto" w:sz="4" w:space="0"/>
              <w:right w:val="single" w:color="auto" w:sz="4" w:space="0"/>
            </w:tcBorders>
            <w:noWrap/>
            <w:vAlign w:val="center"/>
          </w:tcPr>
          <w:p w14:paraId="6AB61D2F">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c>
          <w:tcPr>
            <w:tcW w:w="6840" w:type="dxa"/>
            <w:gridSpan w:val="8"/>
            <w:tcBorders>
              <w:top w:val="single" w:color="auto" w:sz="4" w:space="0"/>
              <w:left w:val="single" w:color="auto" w:sz="4" w:space="0"/>
              <w:bottom w:val="single" w:color="auto" w:sz="4" w:space="0"/>
              <w:right w:val="single" w:color="auto" w:sz="4" w:space="0"/>
            </w:tcBorders>
            <w:noWrap/>
            <w:vAlign w:val="center"/>
          </w:tcPr>
          <w:p w14:paraId="741D19A9">
            <w:pPr>
              <w:topLinePunct/>
              <w:spacing w:line="440" w:lineRule="exact"/>
              <w:jc w:val="center"/>
              <w:rPr>
                <w:rFonts w:ascii="宋体" w:hAnsi="宋体" w:cs="宋体"/>
                <w:color w:val="auto"/>
                <w:sz w:val="24"/>
                <w:szCs w:val="24"/>
                <w:highlight w:val="none"/>
              </w:rPr>
            </w:pPr>
          </w:p>
        </w:tc>
      </w:tr>
    </w:tbl>
    <w:p w14:paraId="5431FB05">
      <w:pPr>
        <w:pStyle w:val="5"/>
        <w:keepNext w:val="0"/>
        <w:keepLines w:val="0"/>
        <w:ind w:firstLine="137"/>
        <w:jc w:val="center"/>
        <w:rPr>
          <w:rFonts w:ascii="宋体" w:hAnsi="宋体" w:cs="宋体"/>
          <w:color w:val="auto"/>
          <w:highlight w:val="none"/>
        </w:rPr>
      </w:pPr>
      <w:bookmarkStart w:id="316" w:name="_Toc517280609"/>
      <w:r>
        <w:rPr>
          <w:rFonts w:hint="eastAsia"/>
          <w:color w:val="auto"/>
          <w:highlight w:val="none"/>
        </w:rPr>
        <w:br w:type="page"/>
      </w:r>
      <w:r>
        <w:rPr>
          <w:rFonts w:hint="eastAsia" w:ascii="宋体" w:hAnsi="宋体" w:cs="宋体"/>
          <w:b/>
          <w:color w:val="auto"/>
          <w:sz w:val="32"/>
          <w:highlight w:val="none"/>
        </w:rPr>
        <w:t>（二）近年完成的类似监理项目情况表</w:t>
      </w:r>
      <w:bookmarkEnd w:id="316"/>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51F1A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1D1BF511">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6253" w:type="dxa"/>
            <w:tcBorders>
              <w:top w:val="single" w:color="auto" w:sz="4" w:space="0"/>
              <w:left w:val="single" w:color="auto" w:sz="4" w:space="0"/>
              <w:bottom w:val="single" w:color="auto" w:sz="4" w:space="0"/>
              <w:right w:val="single" w:color="auto" w:sz="4" w:space="0"/>
            </w:tcBorders>
            <w:noWrap/>
          </w:tcPr>
          <w:p w14:paraId="52D73CEE">
            <w:pPr>
              <w:topLinePunct/>
              <w:spacing w:line="440" w:lineRule="exact"/>
              <w:rPr>
                <w:rFonts w:ascii="宋体" w:hAnsi="宋体" w:cs="宋体"/>
                <w:color w:val="auto"/>
                <w:sz w:val="24"/>
                <w:szCs w:val="24"/>
                <w:highlight w:val="none"/>
              </w:rPr>
            </w:pPr>
          </w:p>
        </w:tc>
      </w:tr>
      <w:tr w14:paraId="1BD26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13FDE946">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项目所在地</w:t>
            </w:r>
          </w:p>
        </w:tc>
        <w:tc>
          <w:tcPr>
            <w:tcW w:w="6253" w:type="dxa"/>
            <w:tcBorders>
              <w:top w:val="single" w:color="auto" w:sz="4" w:space="0"/>
              <w:left w:val="single" w:color="auto" w:sz="4" w:space="0"/>
              <w:bottom w:val="single" w:color="auto" w:sz="4" w:space="0"/>
              <w:right w:val="single" w:color="auto" w:sz="4" w:space="0"/>
            </w:tcBorders>
            <w:noWrap/>
          </w:tcPr>
          <w:p w14:paraId="2CFC5434">
            <w:pPr>
              <w:topLinePunct/>
              <w:spacing w:line="440" w:lineRule="exact"/>
              <w:rPr>
                <w:rFonts w:ascii="宋体" w:hAnsi="宋体" w:cs="宋体"/>
                <w:color w:val="auto"/>
                <w:sz w:val="24"/>
                <w:szCs w:val="24"/>
                <w:highlight w:val="none"/>
              </w:rPr>
            </w:pPr>
          </w:p>
        </w:tc>
      </w:tr>
      <w:tr w14:paraId="4A00D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2ADF796E">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委托人名称</w:t>
            </w:r>
          </w:p>
        </w:tc>
        <w:tc>
          <w:tcPr>
            <w:tcW w:w="6253" w:type="dxa"/>
            <w:tcBorders>
              <w:top w:val="single" w:color="auto" w:sz="4" w:space="0"/>
              <w:left w:val="single" w:color="auto" w:sz="4" w:space="0"/>
              <w:bottom w:val="single" w:color="auto" w:sz="4" w:space="0"/>
              <w:right w:val="single" w:color="auto" w:sz="4" w:space="0"/>
            </w:tcBorders>
            <w:noWrap/>
          </w:tcPr>
          <w:p w14:paraId="2FA4B818">
            <w:pPr>
              <w:topLinePunct/>
              <w:spacing w:line="440" w:lineRule="exact"/>
              <w:rPr>
                <w:rFonts w:ascii="宋体" w:hAnsi="宋体" w:cs="宋体"/>
                <w:color w:val="auto"/>
                <w:sz w:val="24"/>
                <w:szCs w:val="24"/>
                <w:highlight w:val="none"/>
              </w:rPr>
            </w:pPr>
          </w:p>
        </w:tc>
      </w:tr>
      <w:tr w14:paraId="7505C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560B458F">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委托人地址</w:t>
            </w:r>
          </w:p>
        </w:tc>
        <w:tc>
          <w:tcPr>
            <w:tcW w:w="6253" w:type="dxa"/>
            <w:tcBorders>
              <w:top w:val="single" w:color="auto" w:sz="4" w:space="0"/>
              <w:left w:val="single" w:color="auto" w:sz="4" w:space="0"/>
              <w:bottom w:val="single" w:color="auto" w:sz="4" w:space="0"/>
              <w:right w:val="single" w:color="auto" w:sz="4" w:space="0"/>
            </w:tcBorders>
            <w:noWrap/>
          </w:tcPr>
          <w:p w14:paraId="618B08F8">
            <w:pPr>
              <w:topLinePunct/>
              <w:spacing w:line="440" w:lineRule="exact"/>
              <w:rPr>
                <w:rFonts w:ascii="宋体" w:hAnsi="宋体" w:cs="宋体"/>
                <w:color w:val="auto"/>
                <w:sz w:val="24"/>
                <w:szCs w:val="24"/>
                <w:highlight w:val="none"/>
              </w:rPr>
            </w:pPr>
          </w:p>
        </w:tc>
      </w:tr>
      <w:tr w14:paraId="54F2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10EAFBF8">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委托人电话</w:t>
            </w:r>
          </w:p>
        </w:tc>
        <w:tc>
          <w:tcPr>
            <w:tcW w:w="6253" w:type="dxa"/>
            <w:tcBorders>
              <w:top w:val="single" w:color="auto" w:sz="4" w:space="0"/>
              <w:left w:val="single" w:color="auto" w:sz="4" w:space="0"/>
              <w:bottom w:val="single" w:color="auto" w:sz="4" w:space="0"/>
              <w:right w:val="single" w:color="auto" w:sz="4" w:space="0"/>
            </w:tcBorders>
            <w:noWrap/>
          </w:tcPr>
          <w:p w14:paraId="32A1AEF5">
            <w:pPr>
              <w:topLinePunct/>
              <w:spacing w:line="440" w:lineRule="exact"/>
              <w:rPr>
                <w:rFonts w:ascii="宋体" w:hAnsi="宋体" w:cs="宋体"/>
                <w:color w:val="auto"/>
                <w:sz w:val="24"/>
                <w:szCs w:val="24"/>
                <w:highlight w:val="none"/>
              </w:rPr>
            </w:pPr>
          </w:p>
        </w:tc>
      </w:tr>
      <w:tr w14:paraId="77CAB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6547FF57">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合同价格</w:t>
            </w:r>
          </w:p>
        </w:tc>
        <w:tc>
          <w:tcPr>
            <w:tcW w:w="6253" w:type="dxa"/>
            <w:tcBorders>
              <w:top w:val="single" w:color="auto" w:sz="4" w:space="0"/>
              <w:left w:val="single" w:color="auto" w:sz="4" w:space="0"/>
              <w:bottom w:val="single" w:color="auto" w:sz="4" w:space="0"/>
              <w:right w:val="single" w:color="auto" w:sz="4" w:space="0"/>
            </w:tcBorders>
            <w:noWrap/>
          </w:tcPr>
          <w:p w14:paraId="3034FC34">
            <w:pPr>
              <w:topLinePunct/>
              <w:spacing w:line="440" w:lineRule="exact"/>
              <w:rPr>
                <w:rFonts w:ascii="宋体" w:hAnsi="宋体" w:cs="宋体"/>
                <w:color w:val="auto"/>
                <w:sz w:val="24"/>
                <w:szCs w:val="24"/>
                <w:highlight w:val="none"/>
              </w:rPr>
            </w:pPr>
          </w:p>
        </w:tc>
      </w:tr>
      <w:tr w14:paraId="58864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4D36DC76">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监理服务期限</w:t>
            </w:r>
          </w:p>
        </w:tc>
        <w:tc>
          <w:tcPr>
            <w:tcW w:w="6253" w:type="dxa"/>
            <w:tcBorders>
              <w:top w:val="single" w:color="auto" w:sz="4" w:space="0"/>
              <w:left w:val="single" w:color="auto" w:sz="4" w:space="0"/>
              <w:bottom w:val="single" w:color="auto" w:sz="4" w:space="0"/>
              <w:right w:val="single" w:color="auto" w:sz="4" w:space="0"/>
            </w:tcBorders>
            <w:noWrap/>
          </w:tcPr>
          <w:p w14:paraId="0B3394D1">
            <w:pPr>
              <w:topLinePunct/>
              <w:spacing w:line="440" w:lineRule="exact"/>
              <w:rPr>
                <w:rFonts w:ascii="宋体" w:hAnsi="宋体" w:cs="宋体"/>
                <w:color w:val="auto"/>
                <w:sz w:val="24"/>
                <w:szCs w:val="24"/>
                <w:highlight w:val="none"/>
              </w:rPr>
            </w:pPr>
          </w:p>
        </w:tc>
      </w:tr>
      <w:tr w14:paraId="0D409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40A472C9">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监理内容</w:t>
            </w:r>
          </w:p>
        </w:tc>
        <w:tc>
          <w:tcPr>
            <w:tcW w:w="6253" w:type="dxa"/>
            <w:tcBorders>
              <w:top w:val="single" w:color="auto" w:sz="4" w:space="0"/>
              <w:left w:val="single" w:color="auto" w:sz="4" w:space="0"/>
              <w:bottom w:val="single" w:color="auto" w:sz="4" w:space="0"/>
              <w:right w:val="single" w:color="auto" w:sz="4" w:space="0"/>
            </w:tcBorders>
            <w:noWrap/>
          </w:tcPr>
          <w:p w14:paraId="6F88FC09">
            <w:pPr>
              <w:topLinePunct/>
              <w:spacing w:line="440" w:lineRule="exact"/>
              <w:rPr>
                <w:rFonts w:ascii="宋体" w:hAnsi="宋体" w:cs="宋体"/>
                <w:color w:val="auto"/>
                <w:sz w:val="24"/>
                <w:szCs w:val="24"/>
                <w:highlight w:val="none"/>
              </w:rPr>
            </w:pPr>
          </w:p>
        </w:tc>
      </w:tr>
      <w:tr w14:paraId="455D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40CA525A">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总监理工程师</w:t>
            </w:r>
          </w:p>
        </w:tc>
        <w:tc>
          <w:tcPr>
            <w:tcW w:w="6253" w:type="dxa"/>
            <w:tcBorders>
              <w:top w:val="single" w:color="auto" w:sz="4" w:space="0"/>
              <w:left w:val="single" w:color="auto" w:sz="4" w:space="0"/>
              <w:bottom w:val="single" w:color="auto" w:sz="4" w:space="0"/>
              <w:right w:val="single" w:color="auto" w:sz="4" w:space="0"/>
            </w:tcBorders>
            <w:noWrap/>
          </w:tcPr>
          <w:p w14:paraId="6B9E946C">
            <w:pPr>
              <w:topLinePunct/>
              <w:spacing w:line="440" w:lineRule="exact"/>
              <w:rPr>
                <w:rFonts w:ascii="宋体" w:hAnsi="宋体" w:cs="宋体"/>
                <w:color w:val="auto"/>
                <w:sz w:val="24"/>
                <w:szCs w:val="24"/>
                <w:highlight w:val="none"/>
              </w:rPr>
            </w:pPr>
          </w:p>
        </w:tc>
      </w:tr>
      <w:tr w14:paraId="58309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3"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6DE986F0">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项目描述</w:t>
            </w:r>
          </w:p>
        </w:tc>
        <w:tc>
          <w:tcPr>
            <w:tcW w:w="6253" w:type="dxa"/>
            <w:tcBorders>
              <w:top w:val="single" w:color="auto" w:sz="4" w:space="0"/>
              <w:left w:val="single" w:color="auto" w:sz="4" w:space="0"/>
              <w:bottom w:val="single" w:color="auto" w:sz="4" w:space="0"/>
              <w:right w:val="single" w:color="auto" w:sz="4" w:space="0"/>
            </w:tcBorders>
            <w:noWrap/>
          </w:tcPr>
          <w:p w14:paraId="32A627CA">
            <w:pPr>
              <w:topLinePunct/>
              <w:spacing w:line="440" w:lineRule="exact"/>
              <w:rPr>
                <w:rFonts w:ascii="宋体" w:hAnsi="宋体" w:cs="宋体"/>
                <w:color w:val="auto"/>
                <w:sz w:val="24"/>
                <w:szCs w:val="24"/>
                <w:highlight w:val="none"/>
              </w:rPr>
            </w:pPr>
          </w:p>
          <w:p w14:paraId="02C99805">
            <w:pPr>
              <w:topLinePunct/>
              <w:spacing w:line="440" w:lineRule="exact"/>
              <w:rPr>
                <w:rFonts w:ascii="宋体" w:hAnsi="宋体" w:cs="宋体"/>
                <w:color w:val="auto"/>
                <w:sz w:val="24"/>
                <w:szCs w:val="24"/>
                <w:highlight w:val="none"/>
              </w:rPr>
            </w:pPr>
          </w:p>
          <w:p w14:paraId="4E6B8DEC">
            <w:pPr>
              <w:topLinePunct/>
              <w:spacing w:line="440" w:lineRule="exact"/>
              <w:rPr>
                <w:rFonts w:ascii="宋体" w:hAnsi="宋体" w:cs="宋体"/>
                <w:color w:val="auto"/>
                <w:sz w:val="24"/>
                <w:szCs w:val="24"/>
                <w:highlight w:val="none"/>
              </w:rPr>
            </w:pPr>
          </w:p>
          <w:p w14:paraId="605FB509">
            <w:pPr>
              <w:topLinePunct/>
              <w:spacing w:line="440" w:lineRule="exact"/>
              <w:rPr>
                <w:rFonts w:ascii="宋体" w:hAnsi="宋体" w:cs="宋体"/>
                <w:color w:val="auto"/>
                <w:sz w:val="24"/>
                <w:szCs w:val="24"/>
                <w:highlight w:val="none"/>
              </w:rPr>
            </w:pPr>
          </w:p>
          <w:p w14:paraId="7759F3D5">
            <w:pPr>
              <w:topLinePunct/>
              <w:spacing w:line="440" w:lineRule="exact"/>
              <w:rPr>
                <w:rFonts w:ascii="宋体" w:hAnsi="宋体" w:cs="宋体"/>
                <w:color w:val="auto"/>
                <w:sz w:val="24"/>
                <w:szCs w:val="24"/>
                <w:highlight w:val="none"/>
              </w:rPr>
            </w:pPr>
          </w:p>
          <w:p w14:paraId="04B2D041">
            <w:pPr>
              <w:topLinePunct/>
              <w:spacing w:line="440" w:lineRule="exact"/>
              <w:rPr>
                <w:rFonts w:ascii="宋体" w:hAnsi="宋体" w:cs="宋体"/>
                <w:color w:val="auto"/>
                <w:sz w:val="24"/>
                <w:szCs w:val="24"/>
                <w:highlight w:val="none"/>
              </w:rPr>
            </w:pPr>
          </w:p>
          <w:p w14:paraId="3677BB75">
            <w:pPr>
              <w:topLinePunct/>
              <w:spacing w:line="440" w:lineRule="exact"/>
              <w:rPr>
                <w:rFonts w:ascii="宋体" w:hAnsi="宋体" w:cs="宋体"/>
                <w:color w:val="auto"/>
                <w:sz w:val="24"/>
                <w:szCs w:val="24"/>
                <w:highlight w:val="none"/>
              </w:rPr>
            </w:pPr>
          </w:p>
        </w:tc>
      </w:tr>
      <w:tr w14:paraId="4F679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6169C576">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c>
          <w:tcPr>
            <w:tcW w:w="6253" w:type="dxa"/>
            <w:tcBorders>
              <w:top w:val="single" w:color="auto" w:sz="4" w:space="0"/>
              <w:left w:val="single" w:color="auto" w:sz="4" w:space="0"/>
              <w:bottom w:val="single" w:color="auto" w:sz="4" w:space="0"/>
              <w:right w:val="single" w:color="auto" w:sz="4" w:space="0"/>
            </w:tcBorders>
            <w:noWrap/>
          </w:tcPr>
          <w:p w14:paraId="57D12FB9">
            <w:pPr>
              <w:topLinePunct/>
              <w:spacing w:line="440" w:lineRule="exact"/>
              <w:rPr>
                <w:rFonts w:ascii="宋体" w:hAnsi="宋体" w:cs="宋体"/>
                <w:color w:val="auto"/>
                <w:sz w:val="24"/>
                <w:szCs w:val="24"/>
                <w:highlight w:val="none"/>
              </w:rPr>
            </w:pPr>
          </w:p>
        </w:tc>
      </w:tr>
    </w:tbl>
    <w:p w14:paraId="215C2897">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注：投标人应根据</w:t>
      </w:r>
      <w:r>
        <w:rPr>
          <w:rFonts w:hint="eastAsia"/>
          <w:color w:val="auto"/>
          <w:sz w:val="24"/>
          <w:szCs w:val="24"/>
          <w:highlight w:val="none"/>
        </w:rPr>
        <w:t>第三章评标办法前附表评分标准及说明</w:t>
      </w:r>
      <w:r>
        <w:rPr>
          <w:rFonts w:hint="eastAsia" w:ascii="宋体" w:hAnsi="宋体" w:cs="宋体"/>
          <w:color w:val="auto"/>
          <w:sz w:val="24"/>
          <w:szCs w:val="24"/>
          <w:highlight w:val="none"/>
        </w:rPr>
        <w:t>的要求在本表后附相关证明材料。</w:t>
      </w:r>
    </w:p>
    <w:p w14:paraId="45DA876D">
      <w:pPr>
        <w:spacing w:line="440" w:lineRule="exact"/>
        <w:rPr>
          <w:rFonts w:ascii="宋体" w:hAnsi="宋体" w:cs="宋体"/>
          <w:color w:val="auto"/>
          <w:highlight w:val="none"/>
        </w:rPr>
        <w:sectPr>
          <w:pgSz w:w="11907" w:h="16840"/>
          <w:pgMar w:top="1134" w:right="1134" w:bottom="1134" w:left="1417" w:header="851" w:footer="850" w:gutter="0"/>
          <w:cols w:space="720" w:num="1"/>
          <w:docGrid w:linePitch="326" w:charSpace="0"/>
        </w:sectPr>
      </w:pPr>
    </w:p>
    <w:bookmarkEnd w:id="315"/>
    <w:p w14:paraId="5A2FC048">
      <w:pPr>
        <w:spacing w:line="440" w:lineRule="exact"/>
        <w:rPr>
          <w:rFonts w:ascii="宋体" w:hAnsi="宋体" w:cs="宋体"/>
          <w:color w:val="auto"/>
          <w:sz w:val="24"/>
          <w:szCs w:val="24"/>
          <w:highlight w:val="none"/>
        </w:rPr>
      </w:pPr>
    </w:p>
    <w:p w14:paraId="5F14B9F7">
      <w:pPr>
        <w:spacing w:before="20" w:line="412" w:lineRule="auto"/>
        <w:ind w:firstLine="137"/>
        <w:jc w:val="center"/>
        <w:outlineLvl w:val="2"/>
        <w:rPr>
          <w:rFonts w:ascii="宋体" w:hAnsi="宋体" w:cs="宋体"/>
          <w:b/>
          <w:color w:val="auto"/>
          <w:sz w:val="32"/>
          <w:szCs w:val="32"/>
          <w:highlight w:val="none"/>
        </w:rPr>
      </w:pPr>
      <w:bookmarkStart w:id="317" w:name="_Toc482188667"/>
      <w:bookmarkStart w:id="318" w:name="_Toc517280611"/>
      <w:r>
        <w:rPr>
          <w:rFonts w:hint="eastAsia" w:ascii="宋体" w:hAnsi="宋体" w:cs="宋体"/>
          <w:b/>
          <w:color w:val="auto"/>
          <w:sz w:val="32"/>
          <w:szCs w:val="32"/>
          <w:highlight w:val="none"/>
        </w:rPr>
        <w:t>（三）</w:t>
      </w:r>
      <w:r>
        <w:rPr>
          <w:rFonts w:ascii="宋体" w:hAnsi="宋体" w:cs="宋体"/>
          <w:b/>
          <w:color w:val="auto"/>
          <w:sz w:val="32"/>
          <w:szCs w:val="32"/>
          <w:highlight w:val="none"/>
        </w:rPr>
        <w:t>拟委任的主要人员汇总表</w:t>
      </w:r>
      <w:bookmarkEnd w:id="317"/>
      <w:bookmarkEnd w:id="318"/>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1538"/>
        <w:gridCol w:w="1115"/>
        <w:gridCol w:w="810"/>
        <w:gridCol w:w="710"/>
        <w:gridCol w:w="1246"/>
        <w:gridCol w:w="856"/>
        <w:gridCol w:w="1051"/>
        <w:gridCol w:w="1369"/>
      </w:tblGrid>
      <w:tr w14:paraId="5240D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vMerge w:val="restart"/>
            <w:noWrap/>
            <w:vAlign w:val="center"/>
          </w:tcPr>
          <w:p w14:paraId="6773D2B9">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1538" w:type="dxa"/>
            <w:vMerge w:val="restart"/>
            <w:noWrap/>
            <w:vAlign w:val="center"/>
          </w:tcPr>
          <w:p w14:paraId="3242943A">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本项目任职</w:t>
            </w:r>
          </w:p>
        </w:tc>
        <w:tc>
          <w:tcPr>
            <w:tcW w:w="1115" w:type="dxa"/>
            <w:vMerge w:val="restart"/>
            <w:noWrap/>
            <w:vAlign w:val="center"/>
          </w:tcPr>
          <w:p w14:paraId="4E30E55B">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810" w:type="dxa"/>
            <w:vMerge w:val="restart"/>
            <w:noWrap/>
            <w:vAlign w:val="center"/>
          </w:tcPr>
          <w:p w14:paraId="6F75953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职称</w:t>
            </w:r>
          </w:p>
        </w:tc>
        <w:tc>
          <w:tcPr>
            <w:tcW w:w="710" w:type="dxa"/>
            <w:vMerge w:val="restart"/>
            <w:noWrap/>
            <w:vAlign w:val="center"/>
          </w:tcPr>
          <w:p w14:paraId="5CBF46A0">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专业</w:t>
            </w:r>
          </w:p>
        </w:tc>
        <w:tc>
          <w:tcPr>
            <w:tcW w:w="3153" w:type="dxa"/>
            <w:gridSpan w:val="3"/>
            <w:noWrap/>
            <w:vAlign w:val="center"/>
          </w:tcPr>
          <w:p w14:paraId="4CF8B7B2">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369" w:type="dxa"/>
            <w:noWrap/>
            <w:vAlign w:val="center"/>
          </w:tcPr>
          <w:p w14:paraId="737878EF">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14:paraId="37B52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985" w:type="dxa"/>
            <w:vMerge w:val="continue"/>
            <w:noWrap/>
            <w:vAlign w:val="center"/>
          </w:tcPr>
          <w:p w14:paraId="60E4B569">
            <w:pPr>
              <w:rPr>
                <w:rFonts w:ascii="宋体" w:hAnsi="宋体" w:cs="宋体"/>
                <w:color w:val="auto"/>
                <w:sz w:val="24"/>
                <w:szCs w:val="24"/>
                <w:highlight w:val="none"/>
              </w:rPr>
            </w:pPr>
          </w:p>
        </w:tc>
        <w:tc>
          <w:tcPr>
            <w:tcW w:w="1538" w:type="dxa"/>
            <w:vMerge w:val="continue"/>
            <w:noWrap/>
          </w:tcPr>
          <w:p w14:paraId="6D7FF56E">
            <w:pPr>
              <w:rPr>
                <w:rFonts w:ascii="宋体" w:hAnsi="宋体" w:cs="宋体"/>
                <w:color w:val="auto"/>
                <w:sz w:val="24"/>
                <w:szCs w:val="24"/>
                <w:highlight w:val="none"/>
              </w:rPr>
            </w:pPr>
          </w:p>
        </w:tc>
        <w:tc>
          <w:tcPr>
            <w:tcW w:w="1115" w:type="dxa"/>
            <w:vMerge w:val="continue"/>
            <w:noWrap/>
            <w:vAlign w:val="center"/>
          </w:tcPr>
          <w:p w14:paraId="79C8FE98">
            <w:pPr>
              <w:rPr>
                <w:rFonts w:ascii="宋体" w:hAnsi="宋体" w:cs="宋体"/>
                <w:color w:val="auto"/>
                <w:sz w:val="24"/>
                <w:szCs w:val="24"/>
                <w:highlight w:val="none"/>
              </w:rPr>
            </w:pPr>
          </w:p>
        </w:tc>
        <w:tc>
          <w:tcPr>
            <w:tcW w:w="810" w:type="dxa"/>
            <w:vMerge w:val="continue"/>
            <w:noWrap/>
            <w:vAlign w:val="center"/>
          </w:tcPr>
          <w:p w14:paraId="7D41BA0F">
            <w:pPr>
              <w:rPr>
                <w:rFonts w:ascii="宋体" w:hAnsi="宋体" w:cs="宋体"/>
                <w:color w:val="auto"/>
                <w:sz w:val="24"/>
                <w:szCs w:val="24"/>
                <w:highlight w:val="none"/>
              </w:rPr>
            </w:pPr>
          </w:p>
        </w:tc>
        <w:tc>
          <w:tcPr>
            <w:tcW w:w="710" w:type="dxa"/>
            <w:vMerge w:val="continue"/>
            <w:noWrap/>
            <w:vAlign w:val="center"/>
          </w:tcPr>
          <w:p w14:paraId="19B61295">
            <w:pPr>
              <w:spacing w:line="440" w:lineRule="exact"/>
              <w:jc w:val="center"/>
              <w:rPr>
                <w:rFonts w:ascii="宋体" w:hAnsi="宋体" w:cs="宋体"/>
                <w:color w:val="auto"/>
                <w:sz w:val="24"/>
                <w:szCs w:val="24"/>
                <w:highlight w:val="none"/>
              </w:rPr>
            </w:pPr>
          </w:p>
        </w:tc>
        <w:tc>
          <w:tcPr>
            <w:tcW w:w="1246" w:type="dxa"/>
            <w:noWrap/>
            <w:vAlign w:val="center"/>
          </w:tcPr>
          <w:p w14:paraId="5146EDCC">
            <w:pPr>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证书名称</w:t>
            </w:r>
          </w:p>
        </w:tc>
        <w:tc>
          <w:tcPr>
            <w:tcW w:w="856" w:type="dxa"/>
            <w:noWrap/>
            <w:vAlign w:val="center"/>
          </w:tcPr>
          <w:p w14:paraId="3195291E">
            <w:pPr>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级别</w:t>
            </w:r>
          </w:p>
        </w:tc>
        <w:tc>
          <w:tcPr>
            <w:tcW w:w="1051" w:type="dxa"/>
            <w:noWrap/>
            <w:vAlign w:val="center"/>
          </w:tcPr>
          <w:p w14:paraId="4F15300C">
            <w:pPr>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证号</w:t>
            </w:r>
          </w:p>
        </w:tc>
        <w:tc>
          <w:tcPr>
            <w:tcW w:w="1369" w:type="dxa"/>
            <w:noWrap/>
            <w:vAlign w:val="center"/>
          </w:tcPr>
          <w:p w14:paraId="01C3CCCF">
            <w:pPr>
              <w:spacing w:line="440" w:lineRule="exact"/>
              <w:jc w:val="center"/>
              <w:rPr>
                <w:rFonts w:ascii="宋体" w:hAnsi="宋体" w:cs="宋体"/>
                <w:color w:val="auto"/>
                <w:sz w:val="24"/>
                <w:szCs w:val="24"/>
                <w:highlight w:val="none"/>
              </w:rPr>
            </w:pPr>
          </w:p>
        </w:tc>
      </w:tr>
      <w:tr w14:paraId="02B24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vAlign w:val="center"/>
          </w:tcPr>
          <w:p w14:paraId="26E66B9F">
            <w:pPr>
              <w:spacing w:line="440" w:lineRule="exact"/>
              <w:jc w:val="center"/>
              <w:rPr>
                <w:rFonts w:ascii="宋体" w:hAnsi="宋体" w:cs="宋体"/>
                <w:color w:val="auto"/>
                <w:sz w:val="24"/>
                <w:szCs w:val="24"/>
                <w:highlight w:val="none"/>
              </w:rPr>
            </w:pPr>
          </w:p>
        </w:tc>
        <w:tc>
          <w:tcPr>
            <w:tcW w:w="1538" w:type="dxa"/>
            <w:noWrap/>
          </w:tcPr>
          <w:p w14:paraId="23B94AA9">
            <w:pPr>
              <w:spacing w:line="440" w:lineRule="exact"/>
              <w:jc w:val="center"/>
              <w:rPr>
                <w:rFonts w:ascii="宋体" w:hAnsi="宋体" w:cs="宋体"/>
                <w:color w:val="auto"/>
                <w:sz w:val="24"/>
                <w:szCs w:val="24"/>
                <w:highlight w:val="none"/>
              </w:rPr>
            </w:pPr>
          </w:p>
        </w:tc>
        <w:tc>
          <w:tcPr>
            <w:tcW w:w="1115" w:type="dxa"/>
            <w:noWrap/>
            <w:vAlign w:val="center"/>
          </w:tcPr>
          <w:p w14:paraId="674462CA">
            <w:pPr>
              <w:spacing w:line="440" w:lineRule="exact"/>
              <w:jc w:val="center"/>
              <w:rPr>
                <w:rFonts w:ascii="宋体" w:hAnsi="宋体" w:cs="宋体"/>
                <w:color w:val="auto"/>
                <w:sz w:val="24"/>
                <w:szCs w:val="24"/>
                <w:highlight w:val="none"/>
              </w:rPr>
            </w:pPr>
          </w:p>
        </w:tc>
        <w:tc>
          <w:tcPr>
            <w:tcW w:w="810" w:type="dxa"/>
            <w:noWrap/>
            <w:vAlign w:val="center"/>
          </w:tcPr>
          <w:p w14:paraId="543CB6F6">
            <w:pPr>
              <w:spacing w:line="440" w:lineRule="exact"/>
              <w:jc w:val="center"/>
              <w:rPr>
                <w:rFonts w:ascii="宋体" w:hAnsi="宋体" w:cs="宋体"/>
                <w:color w:val="auto"/>
                <w:sz w:val="24"/>
                <w:szCs w:val="24"/>
                <w:highlight w:val="none"/>
              </w:rPr>
            </w:pPr>
          </w:p>
        </w:tc>
        <w:tc>
          <w:tcPr>
            <w:tcW w:w="710" w:type="dxa"/>
            <w:noWrap/>
            <w:vAlign w:val="center"/>
          </w:tcPr>
          <w:p w14:paraId="135442F6">
            <w:pPr>
              <w:spacing w:line="440" w:lineRule="exact"/>
              <w:jc w:val="center"/>
              <w:rPr>
                <w:rFonts w:ascii="宋体" w:hAnsi="宋体" w:cs="宋体"/>
                <w:color w:val="auto"/>
                <w:sz w:val="24"/>
                <w:szCs w:val="24"/>
                <w:highlight w:val="none"/>
              </w:rPr>
            </w:pPr>
          </w:p>
        </w:tc>
        <w:tc>
          <w:tcPr>
            <w:tcW w:w="1246" w:type="dxa"/>
            <w:noWrap/>
            <w:vAlign w:val="center"/>
          </w:tcPr>
          <w:p w14:paraId="789D7EF5">
            <w:pPr>
              <w:spacing w:line="440" w:lineRule="exact"/>
              <w:jc w:val="center"/>
              <w:rPr>
                <w:rFonts w:ascii="宋体" w:hAnsi="宋体" w:cs="宋体"/>
                <w:color w:val="auto"/>
                <w:sz w:val="24"/>
                <w:szCs w:val="24"/>
                <w:highlight w:val="none"/>
              </w:rPr>
            </w:pPr>
          </w:p>
        </w:tc>
        <w:tc>
          <w:tcPr>
            <w:tcW w:w="856" w:type="dxa"/>
            <w:noWrap/>
            <w:vAlign w:val="center"/>
          </w:tcPr>
          <w:p w14:paraId="5AA793F4">
            <w:pPr>
              <w:spacing w:line="440" w:lineRule="exact"/>
              <w:jc w:val="center"/>
              <w:rPr>
                <w:rFonts w:ascii="宋体" w:hAnsi="宋体" w:cs="宋体"/>
                <w:color w:val="auto"/>
                <w:sz w:val="24"/>
                <w:szCs w:val="24"/>
                <w:highlight w:val="none"/>
              </w:rPr>
            </w:pPr>
          </w:p>
        </w:tc>
        <w:tc>
          <w:tcPr>
            <w:tcW w:w="1051" w:type="dxa"/>
            <w:noWrap/>
            <w:vAlign w:val="center"/>
          </w:tcPr>
          <w:p w14:paraId="6D5C582C">
            <w:pPr>
              <w:spacing w:line="440" w:lineRule="exact"/>
              <w:jc w:val="center"/>
              <w:rPr>
                <w:rFonts w:ascii="宋体" w:hAnsi="宋体" w:cs="宋体"/>
                <w:color w:val="auto"/>
                <w:sz w:val="24"/>
                <w:szCs w:val="24"/>
                <w:highlight w:val="none"/>
              </w:rPr>
            </w:pPr>
          </w:p>
        </w:tc>
        <w:tc>
          <w:tcPr>
            <w:tcW w:w="1369" w:type="dxa"/>
            <w:noWrap/>
            <w:vAlign w:val="center"/>
          </w:tcPr>
          <w:p w14:paraId="4BF1373A">
            <w:pPr>
              <w:spacing w:line="440" w:lineRule="exact"/>
              <w:jc w:val="center"/>
              <w:rPr>
                <w:rFonts w:ascii="宋体" w:hAnsi="宋体" w:cs="宋体"/>
                <w:color w:val="auto"/>
                <w:sz w:val="24"/>
                <w:szCs w:val="24"/>
                <w:highlight w:val="none"/>
              </w:rPr>
            </w:pPr>
          </w:p>
        </w:tc>
      </w:tr>
      <w:tr w14:paraId="514F8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4987DF12">
            <w:pPr>
              <w:spacing w:line="440" w:lineRule="exact"/>
              <w:jc w:val="center"/>
              <w:rPr>
                <w:rFonts w:ascii="宋体" w:hAnsi="宋体" w:cs="宋体"/>
                <w:color w:val="auto"/>
                <w:sz w:val="24"/>
                <w:szCs w:val="24"/>
                <w:highlight w:val="none"/>
              </w:rPr>
            </w:pPr>
          </w:p>
        </w:tc>
        <w:tc>
          <w:tcPr>
            <w:tcW w:w="1538" w:type="dxa"/>
            <w:noWrap/>
          </w:tcPr>
          <w:p w14:paraId="396D223D">
            <w:pPr>
              <w:spacing w:line="440" w:lineRule="exact"/>
              <w:jc w:val="center"/>
              <w:rPr>
                <w:rFonts w:ascii="宋体" w:hAnsi="宋体" w:cs="宋体"/>
                <w:color w:val="auto"/>
                <w:sz w:val="24"/>
                <w:szCs w:val="24"/>
                <w:highlight w:val="none"/>
              </w:rPr>
            </w:pPr>
          </w:p>
        </w:tc>
        <w:tc>
          <w:tcPr>
            <w:tcW w:w="1115" w:type="dxa"/>
            <w:noWrap/>
          </w:tcPr>
          <w:p w14:paraId="6328787E">
            <w:pPr>
              <w:spacing w:line="440" w:lineRule="exact"/>
              <w:jc w:val="center"/>
              <w:rPr>
                <w:rFonts w:ascii="宋体" w:hAnsi="宋体" w:cs="宋体"/>
                <w:color w:val="auto"/>
                <w:sz w:val="24"/>
                <w:szCs w:val="24"/>
                <w:highlight w:val="none"/>
              </w:rPr>
            </w:pPr>
          </w:p>
        </w:tc>
        <w:tc>
          <w:tcPr>
            <w:tcW w:w="810" w:type="dxa"/>
            <w:noWrap/>
          </w:tcPr>
          <w:p w14:paraId="6724F31D">
            <w:pPr>
              <w:spacing w:line="440" w:lineRule="exact"/>
              <w:jc w:val="center"/>
              <w:rPr>
                <w:rFonts w:ascii="宋体" w:hAnsi="宋体" w:cs="宋体"/>
                <w:color w:val="auto"/>
                <w:sz w:val="24"/>
                <w:szCs w:val="24"/>
                <w:highlight w:val="none"/>
              </w:rPr>
            </w:pPr>
          </w:p>
        </w:tc>
        <w:tc>
          <w:tcPr>
            <w:tcW w:w="710" w:type="dxa"/>
            <w:noWrap/>
          </w:tcPr>
          <w:p w14:paraId="399008DF">
            <w:pPr>
              <w:spacing w:line="440" w:lineRule="exact"/>
              <w:jc w:val="center"/>
              <w:rPr>
                <w:rFonts w:ascii="宋体" w:hAnsi="宋体" w:cs="宋体"/>
                <w:color w:val="auto"/>
                <w:sz w:val="24"/>
                <w:szCs w:val="24"/>
                <w:highlight w:val="none"/>
              </w:rPr>
            </w:pPr>
          </w:p>
        </w:tc>
        <w:tc>
          <w:tcPr>
            <w:tcW w:w="1246" w:type="dxa"/>
            <w:noWrap/>
          </w:tcPr>
          <w:p w14:paraId="61524D36">
            <w:pPr>
              <w:spacing w:line="440" w:lineRule="exact"/>
              <w:jc w:val="center"/>
              <w:rPr>
                <w:rFonts w:ascii="宋体" w:hAnsi="宋体" w:cs="宋体"/>
                <w:color w:val="auto"/>
                <w:sz w:val="24"/>
                <w:szCs w:val="24"/>
                <w:highlight w:val="none"/>
              </w:rPr>
            </w:pPr>
          </w:p>
        </w:tc>
        <w:tc>
          <w:tcPr>
            <w:tcW w:w="856" w:type="dxa"/>
            <w:noWrap/>
          </w:tcPr>
          <w:p w14:paraId="7CD5F415">
            <w:pPr>
              <w:spacing w:line="440" w:lineRule="exact"/>
              <w:jc w:val="center"/>
              <w:rPr>
                <w:rFonts w:ascii="宋体" w:hAnsi="宋体" w:cs="宋体"/>
                <w:color w:val="auto"/>
                <w:sz w:val="24"/>
                <w:szCs w:val="24"/>
                <w:highlight w:val="none"/>
              </w:rPr>
            </w:pPr>
          </w:p>
        </w:tc>
        <w:tc>
          <w:tcPr>
            <w:tcW w:w="1051" w:type="dxa"/>
            <w:noWrap/>
          </w:tcPr>
          <w:p w14:paraId="47706B5E">
            <w:pPr>
              <w:spacing w:line="440" w:lineRule="exact"/>
              <w:jc w:val="center"/>
              <w:rPr>
                <w:rFonts w:ascii="宋体" w:hAnsi="宋体" w:cs="宋体"/>
                <w:color w:val="auto"/>
                <w:sz w:val="24"/>
                <w:szCs w:val="24"/>
                <w:highlight w:val="none"/>
              </w:rPr>
            </w:pPr>
          </w:p>
        </w:tc>
        <w:tc>
          <w:tcPr>
            <w:tcW w:w="1369" w:type="dxa"/>
            <w:noWrap/>
          </w:tcPr>
          <w:p w14:paraId="423F2B5D">
            <w:pPr>
              <w:spacing w:line="440" w:lineRule="exact"/>
              <w:jc w:val="center"/>
              <w:rPr>
                <w:rFonts w:ascii="宋体" w:hAnsi="宋体" w:cs="宋体"/>
                <w:color w:val="auto"/>
                <w:sz w:val="24"/>
                <w:szCs w:val="24"/>
                <w:highlight w:val="none"/>
              </w:rPr>
            </w:pPr>
          </w:p>
        </w:tc>
      </w:tr>
      <w:tr w14:paraId="6653C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55B74A6B">
            <w:pPr>
              <w:spacing w:line="440" w:lineRule="exact"/>
              <w:jc w:val="center"/>
              <w:rPr>
                <w:rFonts w:ascii="宋体" w:hAnsi="宋体" w:cs="宋体"/>
                <w:color w:val="auto"/>
                <w:sz w:val="24"/>
                <w:szCs w:val="24"/>
                <w:highlight w:val="none"/>
              </w:rPr>
            </w:pPr>
          </w:p>
        </w:tc>
        <w:tc>
          <w:tcPr>
            <w:tcW w:w="1538" w:type="dxa"/>
            <w:noWrap/>
          </w:tcPr>
          <w:p w14:paraId="382639E2">
            <w:pPr>
              <w:spacing w:line="440" w:lineRule="exact"/>
              <w:jc w:val="center"/>
              <w:rPr>
                <w:rFonts w:ascii="宋体" w:hAnsi="宋体" w:cs="宋体"/>
                <w:color w:val="auto"/>
                <w:sz w:val="24"/>
                <w:szCs w:val="24"/>
                <w:highlight w:val="none"/>
              </w:rPr>
            </w:pPr>
          </w:p>
        </w:tc>
        <w:tc>
          <w:tcPr>
            <w:tcW w:w="1115" w:type="dxa"/>
            <w:noWrap/>
          </w:tcPr>
          <w:p w14:paraId="13A90F96">
            <w:pPr>
              <w:spacing w:line="440" w:lineRule="exact"/>
              <w:jc w:val="center"/>
              <w:rPr>
                <w:rFonts w:ascii="宋体" w:hAnsi="宋体" w:cs="宋体"/>
                <w:color w:val="auto"/>
                <w:sz w:val="24"/>
                <w:szCs w:val="24"/>
                <w:highlight w:val="none"/>
              </w:rPr>
            </w:pPr>
          </w:p>
        </w:tc>
        <w:tc>
          <w:tcPr>
            <w:tcW w:w="810" w:type="dxa"/>
            <w:noWrap/>
          </w:tcPr>
          <w:p w14:paraId="26560848">
            <w:pPr>
              <w:spacing w:line="440" w:lineRule="exact"/>
              <w:jc w:val="center"/>
              <w:rPr>
                <w:rFonts w:ascii="宋体" w:hAnsi="宋体" w:cs="宋体"/>
                <w:color w:val="auto"/>
                <w:sz w:val="24"/>
                <w:szCs w:val="24"/>
                <w:highlight w:val="none"/>
              </w:rPr>
            </w:pPr>
          </w:p>
        </w:tc>
        <w:tc>
          <w:tcPr>
            <w:tcW w:w="710" w:type="dxa"/>
            <w:noWrap/>
          </w:tcPr>
          <w:p w14:paraId="79AECEF4">
            <w:pPr>
              <w:spacing w:line="440" w:lineRule="exact"/>
              <w:jc w:val="center"/>
              <w:rPr>
                <w:rFonts w:ascii="宋体" w:hAnsi="宋体" w:cs="宋体"/>
                <w:color w:val="auto"/>
                <w:sz w:val="24"/>
                <w:szCs w:val="24"/>
                <w:highlight w:val="none"/>
              </w:rPr>
            </w:pPr>
          </w:p>
        </w:tc>
        <w:tc>
          <w:tcPr>
            <w:tcW w:w="1246" w:type="dxa"/>
            <w:noWrap/>
          </w:tcPr>
          <w:p w14:paraId="7A26D180">
            <w:pPr>
              <w:spacing w:line="440" w:lineRule="exact"/>
              <w:jc w:val="center"/>
              <w:rPr>
                <w:rFonts w:ascii="宋体" w:hAnsi="宋体" w:cs="宋体"/>
                <w:color w:val="auto"/>
                <w:sz w:val="24"/>
                <w:szCs w:val="24"/>
                <w:highlight w:val="none"/>
              </w:rPr>
            </w:pPr>
          </w:p>
        </w:tc>
        <w:tc>
          <w:tcPr>
            <w:tcW w:w="856" w:type="dxa"/>
            <w:noWrap/>
          </w:tcPr>
          <w:p w14:paraId="36873956">
            <w:pPr>
              <w:spacing w:line="440" w:lineRule="exact"/>
              <w:jc w:val="center"/>
              <w:rPr>
                <w:rFonts w:ascii="宋体" w:hAnsi="宋体" w:cs="宋体"/>
                <w:color w:val="auto"/>
                <w:sz w:val="24"/>
                <w:szCs w:val="24"/>
                <w:highlight w:val="none"/>
              </w:rPr>
            </w:pPr>
          </w:p>
        </w:tc>
        <w:tc>
          <w:tcPr>
            <w:tcW w:w="1051" w:type="dxa"/>
            <w:noWrap/>
          </w:tcPr>
          <w:p w14:paraId="59378F96">
            <w:pPr>
              <w:spacing w:line="440" w:lineRule="exact"/>
              <w:jc w:val="center"/>
              <w:rPr>
                <w:rFonts w:ascii="宋体" w:hAnsi="宋体" w:cs="宋体"/>
                <w:color w:val="auto"/>
                <w:sz w:val="24"/>
                <w:szCs w:val="24"/>
                <w:highlight w:val="none"/>
              </w:rPr>
            </w:pPr>
          </w:p>
        </w:tc>
        <w:tc>
          <w:tcPr>
            <w:tcW w:w="1369" w:type="dxa"/>
            <w:noWrap/>
          </w:tcPr>
          <w:p w14:paraId="7AFFDFA8">
            <w:pPr>
              <w:spacing w:line="440" w:lineRule="exact"/>
              <w:jc w:val="center"/>
              <w:rPr>
                <w:rFonts w:ascii="宋体" w:hAnsi="宋体" w:cs="宋体"/>
                <w:color w:val="auto"/>
                <w:sz w:val="24"/>
                <w:szCs w:val="24"/>
                <w:highlight w:val="none"/>
              </w:rPr>
            </w:pPr>
          </w:p>
        </w:tc>
      </w:tr>
      <w:tr w14:paraId="4DFD0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3EA5B183">
            <w:pPr>
              <w:spacing w:line="440" w:lineRule="exact"/>
              <w:jc w:val="center"/>
              <w:rPr>
                <w:rFonts w:ascii="宋体" w:hAnsi="宋体" w:cs="宋体"/>
                <w:color w:val="auto"/>
                <w:sz w:val="24"/>
                <w:szCs w:val="24"/>
                <w:highlight w:val="none"/>
              </w:rPr>
            </w:pPr>
          </w:p>
        </w:tc>
        <w:tc>
          <w:tcPr>
            <w:tcW w:w="1538" w:type="dxa"/>
            <w:noWrap/>
          </w:tcPr>
          <w:p w14:paraId="60EF1C57">
            <w:pPr>
              <w:spacing w:line="440" w:lineRule="exact"/>
              <w:jc w:val="center"/>
              <w:rPr>
                <w:rFonts w:ascii="宋体" w:hAnsi="宋体" w:cs="宋体"/>
                <w:color w:val="auto"/>
                <w:sz w:val="24"/>
                <w:szCs w:val="24"/>
                <w:highlight w:val="none"/>
              </w:rPr>
            </w:pPr>
          </w:p>
        </w:tc>
        <w:tc>
          <w:tcPr>
            <w:tcW w:w="1115" w:type="dxa"/>
            <w:noWrap/>
          </w:tcPr>
          <w:p w14:paraId="37270165">
            <w:pPr>
              <w:spacing w:line="440" w:lineRule="exact"/>
              <w:jc w:val="center"/>
              <w:rPr>
                <w:rFonts w:ascii="宋体" w:hAnsi="宋体" w:cs="宋体"/>
                <w:color w:val="auto"/>
                <w:sz w:val="24"/>
                <w:szCs w:val="24"/>
                <w:highlight w:val="none"/>
              </w:rPr>
            </w:pPr>
          </w:p>
        </w:tc>
        <w:tc>
          <w:tcPr>
            <w:tcW w:w="810" w:type="dxa"/>
            <w:noWrap/>
          </w:tcPr>
          <w:p w14:paraId="4C567709">
            <w:pPr>
              <w:spacing w:line="440" w:lineRule="exact"/>
              <w:jc w:val="center"/>
              <w:rPr>
                <w:rFonts w:ascii="宋体" w:hAnsi="宋体" w:cs="宋体"/>
                <w:color w:val="auto"/>
                <w:sz w:val="24"/>
                <w:szCs w:val="24"/>
                <w:highlight w:val="none"/>
              </w:rPr>
            </w:pPr>
          </w:p>
        </w:tc>
        <w:tc>
          <w:tcPr>
            <w:tcW w:w="710" w:type="dxa"/>
            <w:noWrap/>
          </w:tcPr>
          <w:p w14:paraId="251E6EFD">
            <w:pPr>
              <w:spacing w:line="440" w:lineRule="exact"/>
              <w:jc w:val="center"/>
              <w:rPr>
                <w:rFonts w:ascii="宋体" w:hAnsi="宋体" w:cs="宋体"/>
                <w:color w:val="auto"/>
                <w:sz w:val="24"/>
                <w:szCs w:val="24"/>
                <w:highlight w:val="none"/>
              </w:rPr>
            </w:pPr>
          </w:p>
        </w:tc>
        <w:tc>
          <w:tcPr>
            <w:tcW w:w="1246" w:type="dxa"/>
            <w:noWrap/>
          </w:tcPr>
          <w:p w14:paraId="6725FEFF">
            <w:pPr>
              <w:spacing w:line="440" w:lineRule="exact"/>
              <w:jc w:val="center"/>
              <w:rPr>
                <w:rFonts w:ascii="宋体" w:hAnsi="宋体" w:cs="宋体"/>
                <w:color w:val="auto"/>
                <w:sz w:val="24"/>
                <w:szCs w:val="24"/>
                <w:highlight w:val="none"/>
              </w:rPr>
            </w:pPr>
          </w:p>
        </w:tc>
        <w:tc>
          <w:tcPr>
            <w:tcW w:w="856" w:type="dxa"/>
            <w:noWrap/>
          </w:tcPr>
          <w:p w14:paraId="3E79B542">
            <w:pPr>
              <w:spacing w:line="440" w:lineRule="exact"/>
              <w:jc w:val="center"/>
              <w:rPr>
                <w:rFonts w:ascii="宋体" w:hAnsi="宋体" w:cs="宋体"/>
                <w:color w:val="auto"/>
                <w:sz w:val="24"/>
                <w:szCs w:val="24"/>
                <w:highlight w:val="none"/>
              </w:rPr>
            </w:pPr>
          </w:p>
        </w:tc>
        <w:tc>
          <w:tcPr>
            <w:tcW w:w="1051" w:type="dxa"/>
            <w:noWrap/>
          </w:tcPr>
          <w:p w14:paraId="2ED91618">
            <w:pPr>
              <w:spacing w:line="440" w:lineRule="exact"/>
              <w:jc w:val="center"/>
              <w:rPr>
                <w:rFonts w:ascii="宋体" w:hAnsi="宋体" w:cs="宋体"/>
                <w:color w:val="auto"/>
                <w:sz w:val="24"/>
                <w:szCs w:val="24"/>
                <w:highlight w:val="none"/>
              </w:rPr>
            </w:pPr>
          </w:p>
        </w:tc>
        <w:tc>
          <w:tcPr>
            <w:tcW w:w="1369" w:type="dxa"/>
            <w:noWrap/>
          </w:tcPr>
          <w:p w14:paraId="3AA23C01">
            <w:pPr>
              <w:spacing w:line="440" w:lineRule="exact"/>
              <w:jc w:val="center"/>
              <w:rPr>
                <w:rFonts w:ascii="宋体" w:hAnsi="宋体" w:cs="宋体"/>
                <w:color w:val="auto"/>
                <w:sz w:val="24"/>
                <w:szCs w:val="24"/>
                <w:highlight w:val="none"/>
              </w:rPr>
            </w:pPr>
          </w:p>
        </w:tc>
      </w:tr>
      <w:tr w14:paraId="188B5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035672F8">
            <w:pPr>
              <w:spacing w:line="440" w:lineRule="exact"/>
              <w:jc w:val="center"/>
              <w:rPr>
                <w:rFonts w:ascii="宋体" w:hAnsi="宋体" w:cs="宋体"/>
                <w:color w:val="auto"/>
                <w:sz w:val="24"/>
                <w:szCs w:val="24"/>
                <w:highlight w:val="none"/>
              </w:rPr>
            </w:pPr>
          </w:p>
        </w:tc>
        <w:tc>
          <w:tcPr>
            <w:tcW w:w="1538" w:type="dxa"/>
            <w:noWrap/>
          </w:tcPr>
          <w:p w14:paraId="6EB09BD0">
            <w:pPr>
              <w:spacing w:line="440" w:lineRule="exact"/>
              <w:jc w:val="center"/>
              <w:rPr>
                <w:rFonts w:ascii="宋体" w:hAnsi="宋体" w:cs="宋体"/>
                <w:color w:val="auto"/>
                <w:sz w:val="24"/>
                <w:szCs w:val="24"/>
                <w:highlight w:val="none"/>
              </w:rPr>
            </w:pPr>
          </w:p>
        </w:tc>
        <w:tc>
          <w:tcPr>
            <w:tcW w:w="1115" w:type="dxa"/>
            <w:noWrap/>
          </w:tcPr>
          <w:p w14:paraId="42E1998D">
            <w:pPr>
              <w:spacing w:line="440" w:lineRule="exact"/>
              <w:jc w:val="center"/>
              <w:rPr>
                <w:rFonts w:ascii="宋体" w:hAnsi="宋体" w:cs="宋体"/>
                <w:color w:val="auto"/>
                <w:sz w:val="24"/>
                <w:szCs w:val="24"/>
                <w:highlight w:val="none"/>
              </w:rPr>
            </w:pPr>
          </w:p>
        </w:tc>
        <w:tc>
          <w:tcPr>
            <w:tcW w:w="810" w:type="dxa"/>
            <w:noWrap/>
          </w:tcPr>
          <w:p w14:paraId="0F9F3476">
            <w:pPr>
              <w:spacing w:line="440" w:lineRule="exact"/>
              <w:jc w:val="center"/>
              <w:rPr>
                <w:rFonts w:ascii="宋体" w:hAnsi="宋体" w:cs="宋体"/>
                <w:color w:val="auto"/>
                <w:sz w:val="24"/>
                <w:szCs w:val="24"/>
                <w:highlight w:val="none"/>
              </w:rPr>
            </w:pPr>
          </w:p>
        </w:tc>
        <w:tc>
          <w:tcPr>
            <w:tcW w:w="710" w:type="dxa"/>
            <w:noWrap/>
          </w:tcPr>
          <w:p w14:paraId="5E5FC0B5">
            <w:pPr>
              <w:spacing w:line="440" w:lineRule="exact"/>
              <w:jc w:val="center"/>
              <w:rPr>
                <w:rFonts w:ascii="宋体" w:hAnsi="宋体" w:cs="宋体"/>
                <w:color w:val="auto"/>
                <w:sz w:val="24"/>
                <w:szCs w:val="24"/>
                <w:highlight w:val="none"/>
              </w:rPr>
            </w:pPr>
          </w:p>
        </w:tc>
        <w:tc>
          <w:tcPr>
            <w:tcW w:w="1246" w:type="dxa"/>
            <w:noWrap/>
          </w:tcPr>
          <w:p w14:paraId="3BEE1CF7">
            <w:pPr>
              <w:spacing w:line="440" w:lineRule="exact"/>
              <w:jc w:val="center"/>
              <w:rPr>
                <w:rFonts w:ascii="宋体" w:hAnsi="宋体" w:cs="宋体"/>
                <w:color w:val="auto"/>
                <w:sz w:val="24"/>
                <w:szCs w:val="24"/>
                <w:highlight w:val="none"/>
              </w:rPr>
            </w:pPr>
          </w:p>
        </w:tc>
        <w:tc>
          <w:tcPr>
            <w:tcW w:w="856" w:type="dxa"/>
            <w:noWrap/>
          </w:tcPr>
          <w:p w14:paraId="062AB1E3">
            <w:pPr>
              <w:spacing w:line="440" w:lineRule="exact"/>
              <w:jc w:val="center"/>
              <w:rPr>
                <w:rFonts w:ascii="宋体" w:hAnsi="宋体" w:cs="宋体"/>
                <w:color w:val="auto"/>
                <w:sz w:val="24"/>
                <w:szCs w:val="24"/>
                <w:highlight w:val="none"/>
              </w:rPr>
            </w:pPr>
          </w:p>
        </w:tc>
        <w:tc>
          <w:tcPr>
            <w:tcW w:w="1051" w:type="dxa"/>
            <w:noWrap/>
          </w:tcPr>
          <w:p w14:paraId="35DF7C5E">
            <w:pPr>
              <w:spacing w:line="440" w:lineRule="exact"/>
              <w:jc w:val="center"/>
              <w:rPr>
                <w:rFonts w:ascii="宋体" w:hAnsi="宋体" w:cs="宋体"/>
                <w:color w:val="auto"/>
                <w:sz w:val="24"/>
                <w:szCs w:val="24"/>
                <w:highlight w:val="none"/>
              </w:rPr>
            </w:pPr>
          </w:p>
        </w:tc>
        <w:tc>
          <w:tcPr>
            <w:tcW w:w="1369" w:type="dxa"/>
            <w:noWrap/>
          </w:tcPr>
          <w:p w14:paraId="12478CDA">
            <w:pPr>
              <w:spacing w:line="440" w:lineRule="exact"/>
              <w:jc w:val="center"/>
              <w:rPr>
                <w:rFonts w:ascii="宋体" w:hAnsi="宋体" w:cs="宋体"/>
                <w:color w:val="auto"/>
                <w:sz w:val="24"/>
                <w:szCs w:val="24"/>
                <w:highlight w:val="none"/>
              </w:rPr>
            </w:pPr>
          </w:p>
        </w:tc>
      </w:tr>
      <w:tr w14:paraId="2336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27DC2A66">
            <w:pPr>
              <w:spacing w:line="440" w:lineRule="exact"/>
              <w:jc w:val="center"/>
              <w:rPr>
                <w:rFonts w:ascii="宋体" w:hAnsi="宋体" w:cs="宋体"/>
                <w:color w:val="auto"/>
                <w:sz w:val="24"/>
                <w:szCs w:val="24"/>
                <w:highlight w:val="none"/>
              </w:rPr>
            </w:pPr>
          </w:p>
        </w:tc>
        <w:tc>
          <w:tcPr>
            <w:tcW w:w="1538" w:type="dxa"/>
            <w:noWrap/>
          </w:tcPr>
          <w:p w14:paraId="068C3133">
            <w:pPr>
              <w:spacing w:line="440" w:lineRule="exact"/>
              <w:jc w:val="center"/>
              <w:rPr>
                <w:rFonts w:ascii="宋体" w:hAnsi="宋体" w:cs="宋体"/>
                <w:color w:val="auto"/>
                <w:sz w:val="24"/>
                <w:szCs w:val="24"/>
                <w:highlight w:val="none"/>
              </w:rPr>
            </w:pPr>
          </w:p>
        </w:tc>
        <w:tc>
          <w:tcPr>
            <w:tcW w:w="1115" w:type="dxa"/>
            <w:noWrap/>
          </w:tcPr>
          <w:p w14:paraId="222F60DD">
            <w:pPr>
              <w:spacing w:line="440" w:lineRule="exact"/>
              <w:jc w:val="center"/>
              <w:rPr>
                <w:rFonts w:ascii="宋体" w:hAnsi="宋体" w:cs="宋体"/>
                <w:color w:val="auto"/>
                <w:sz w:val="24"/>
                <w:szCs w:val="24"/>
                <w:highlight w:val="none"/>
              </w:rPr>
            </w:pPr>
          </w:p>
        </w:tc>
        <w:tc>
          <w:tcPr>
            <w:tcW w:w="810" w:type="dxa"/>
            <w:noWrap/>
          </w:tcPr>
          <w:p w14:paraId="01FE0BB8">
            <w:pPr>
              <w:spacing w:line="440" w:lineRule="exact"/>
              <w:jc w:val="center"/>
              <w:rPr>
                <w:rFonts w:ascii="宋体" w:hAnsi="宋体" w:cs="宋体"/>
                <w:color w:val="auto"/>
                <w:sz w:val="24"/>
                <w:szCs w:val="24"/>
                <w:highlight w:val="none"/>
              </w:rPr>
            </w:pPr>
          </w:p>
        </w:tc>
        <w:tc>
          <w:tcPr>
            <w:tcW w:w="710" w:type="dxa"/>
            <w:noWrap/>
          </w:tcPr>
          <w:p w14:paraId="74B25123">
            <w:pPr>
              <w:spacing w:line="440" w:lineRule="exact"/>
              <w:jc w:val="center"/>
              <w:rPr>
                <w:rFonts w:ascii="宋体" w:hAnsi="宋体" w:cs="宋体"/>
                <w:color w:val="auto"/>
                <w:sz w:val="24"/>
                <w:szCs w:val="24"/>
                <w:highlight w:val="none"/>
              </w:rPr>
            </w:pPr>
          </w:p>
        </w:tc>
        <w:tc>
          <w:tcPr>
            <w:tcW w:w="1246" w:type="dxa"/>
            <w:noWrap/>
          </w:tcPr>
          <w:p w14:paraId="6AAFF5A4">
            <w:pPr>
              <w:spacing w:line="440" w:lineRule="exact"/>
              <w:jc w:val="center"/>
              <w:rPr>
                <w:rFonts w:ascii="宋体" w:hAnsi="宋体" w:cs="宋体"/>
                <w:color w:val="auto"/>
                <w:sz w:val="24"/>
                <w:szCs w:val="24"/>
                <w:highlight w:val="none"/>
              </w:rPr>
            </w:pPr>
          </w:p>
        </w:tc>
        <w:tc>
          <w:tcPr>
            <w:tcW w:w="856" w:type="dxa"/>
            <w:noWrap/>
          </w:tcPr>
          <w:p w14:paraId="394E5986">
            <w:pPr>
              <w:spacing w:line="440" w:lineRule="exact"/>
              <w:jc w:val="center"/>
              <w:rPr>
                <w:rFonts w:ascii="宋体" w:hAnsi="宋体" w:cs="宋体"/>
                <w:color w:val="auto"/>
                <w:sz w:val="24"/>
                <w:szCs w:val="24"/>
                <w:highlight w:val="none"/>
              </w:rPr>
            </w:pPr>
          </w:p>
        </w:tc>
        <w:tc>
          <w:tcPr>
            <w:tcW w:w="1051" w:type="dxa"/>
            <w:noWrap/>
          </w:tcPr>
          <w:p w14:paraId="47D256CD">
            <w:pPr>
              <w:spacing w:line="440" w:lineRule="exact"/>
              <w:jc w:val="center"/>
              <w:rPr>
                <w:rFonts w:ascii="宋体" w:hAnsi="宋体" w:cs="宋体"/>
                <w:color w:val="auto"/>
                <w:sz w:val="24"/>
                <w:szCs w:val="24"/>
                <w:highlight w:val="none"/>
              </w:rPr>
            </w:pPr>
          </w:p>
        </w:tc>
        <w:tc>
          <w:tcPr>
            <w:tcW w:w="1369" w:type="dxa"/>
            <w:noWrap/>
          </w:tcPr>
          <w:p w14:paraId="6D9A4FE4">
            <w:pPr>
              <w:spacing w:line="440" w:lineRule="exact"/>
              <w:jc w:val="center"/>
              <w:rPr>
                <w:rFonts w:ascii="宋体" w:hAnsi="宋体" w:cs="宋体"/>
                <w:color w:val="auto"/>
                <w:sz w:val="24"/>
                <w:szCs w:val="24"/>
                <w:highlight w:val="none"/>
              </w:rPr>
            </w:pPr>
          </w:p>
        </w:tc>
      </w:tr>
      <w:tr w14:paraId="04D90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5DEA8408">
            <w:pPr>
              <w:spacing w:line="440" w:lineRule="exact"/>
              <w:jc w:val="center"/>
              <w:rPr>
                <w:rFonts w:ascii="宋体" w:hAnsi="宋体" w:cs="宋体"/>
                <w:color w:val="auto"/>
                <w:sz w:val="24"/>
                <w:szCs w:val="24"/>
                <w:highlight w:val="none"/>
              </w:rPr>
            </w:pPr>
          </w:p>
        </w:tc>
        <w:tc>
          <w:tcPr>
            <w:tcW w:w="1538" w:type="dxa"/>
            <w:noWrap/>
          </w:tcPr>
          <w:p w14:paraId="7B453541">
            <w:pPr>
              <w:spacing w:line="440" w:lineRule="exact"/>
              <w:jc w:val="center"/>
              <w:rPr>
                <w:rFonts w:ascii="宋体" w:hAnsi="宋体" w:cs="宋体"/>
                <w:color w:val="auto"/>
                <w:sz w:val="24"/>
                <w:szCs w:val="24"/>
                <w:highlight w:val="none"/>
              </w:rPr>
            </w:pPr>
          </w:p>
        </w:tc>
        <w:tc>
          <w:tcPr>
            <w:tcW w:w="1115" w:type="dxa"/>
            <w:noWrap/>
          </w:tcPr>
          <w:p w14:paraId="0A1EF479">
            <w:pPr>
              <w:spacing w:line="440" w:lineRule="exact"/>
              <w:jc w:val="center"/>
              <w:rPr>
                <w:rFonts w:ascii="宋体" w:hAnsi="宋体" w:cs="宋体"/>
                <w:color w:val="auto"/>
                <w:sz w:val="24"/>
                <w:szCs w:val="24"/>
                <w:highlight w:val="none"/>
              </w:rPr>
            </w:pPr>
          </w:p>
        </w:tc>
        <w:tc>
          <w:tcPr>
            <w:tcW w:w="810" w:type="dxa"/>
            <w:noWrap/>
          </w:tcPr>
          <w:p w14:paraId="0DE25065">
            <w:pPr>
              <w:spacing w:line="440" w:lineRule="exact"/>
              <w:jc w:val="center"/>
              <w:rPr>
                <w:rFonts w:ascii="宋体" w:hAnsi="宋体" w:cs="宋体"/>
                <w:color w:val="auto"/>
                <w:sz w:val="24"/>
                <w:szCs w:val="24"/>
                <w:highlight w:val="none"/>
              </w:rPr>
            </w:pPr>
          </w:p>
        </w:tc>
        <w:tc>
          <w:tcPr>
            <w:tcW w:w="710" w:type="dxa"/>
            <w:noWrap/>
          </w:tcPr>
          <w:p w14:paraId="3D51A0D2">
            <w:pPr>
              <w:spacing w:line="440" w:lineRule="exact"/>
              <w:jc w:val="center"/>
              <w:rPr>
                <w:rFonts w:ascii="宋体" w:hAnsi="宋体" w:cs="宋体"/>
                <w:color w:val="auto"/>
                <w:sz w:val="24"/>
                <w:szCs w:val="24"/>
                <w:highlight w:val="none"/>
              </w:rPr>
            </w:pPr>
          </w:p>
        </w:tc>
        <w:tc>
          <w:tcPr>
            <w:tcW w:w="1246" w:type="dxa"/>
            <w:noWrap/>
          </w:tcPr>
          <w:p w14:paraId="19AA2738">
            <w:pPr>
              <w:spacing w:line="440" w:lineRule="exact"/>
              <w:jc w:val="center"/>
              <w:rPr>
                <w:rFonts w:ascii="宋体" w:hAnsi="宋体" w:cs="宋体"/>
                <w:color w:val="auto"/>
                <w:sz w:val="24"/>
                <w:szCs w:val="24"/>
                <w:highlight w:val="none"/>
              </w:rPr>
            </w:pPr>
          </w:p>
        </w:tc>
        <w:tc>
          <w:tcPr>
            <w:tcW w:w="856" w:type="dxa"/>
            <w:noWrap/>
          </w:tcPr>
          <w:p w14:paraId="63E92C00">
            <w:pPr>
              <w:spacing w:line="440" w:lineRule="exact"/>
              <w:jc w:val="center"/>
              <w:rPr>
                <w:rFonts w:ascii="宋体" w:hAnsi="宋体" w:cs="宋体"/>
                <w:color w:val="auto"/>
                <w:sz w:val="24"/>
                <w:szCs w:val="24"/>
                <w:highlight w:val="none"/>
              </w:rPr>
            </w:pPr>
          </w:p>
        </w:tc>
        <w:tc>
          <w:tcPr>
            <w:tcW w:w="1051" w:type="dxa"/>
            <w:noWrap/>
          </w:tcPr>
          <w:p w14:paraId="3D558DA6">
            <w:pPr>
              <w:spacing w:line="440" w:lineRule="exact"/>
              <w:jc w:val="center"/>
              <w:rPr>
                <w:rFonts w:ascii="宋体" w:hAnsi="宋体" w:cs="宋体"/>
                <w:color w:val="auto"/>
                <w:sz w:val="24"/>
                <w:szCs w:val="24"/>
                <w:highlight w:val="none"/>
              </w:rPr>
            </w:pPr>
          </w:p>
        </w:tc>
        <w:tc>
          <w:tcPr>
            <w:tcW w:w="1369" w:type="dxa"/>
            <w:noWrap/>
          </w:tcPr>
          <w:p w14:paraId="6EE12F1E">
            <w:pPr>
              <w:spacing w:line="440" w:lineRule="exact"/>
              <w:jc w:val="center"/>
              <w:rPr>
                <w:rFonts w:ascii="宋体" w:hAnsi="宋体" w:cs="宋体"/>
                <w:color w:val="auto"/>
                <w:sz w:val="24"/>
                <w:szCs w:val="24"/>
                <w:highlight w:val="none"/>
              </w:rPr>
            </w:pPr>
          </w:p>
        </w:tc>
      </w:tr>
      <w:tr w14:paraId="327FF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2E1DD382">
            <w:pPr>
              <w:spacing w:line="440" w:lineRule="exact"/>
              <w:jc w:val="center"/>
              <w:rPr>
                <w:rFonts w:ascii="宋体" w:hAnsi="宋体" w:cs="宋体"/>
                <w:color w:val="auto"/>
                <w:sz w:val="24"/>
                <w:szCs w:val="24"/>
                <w:highlight w:val="none"/>
              </w:rPr>
            </w:pPr>
          </w:p>
        </w:tc>
        <w:tc>
          <w:tcPr>
            <w:tcW w:w="1538" w:type="dxa"/>
            <w:noWrap/>
          </w:tcPr>
          <w:p w14:paraId="540E9D6D">
            <w:pPr>
              <w:spacing w:line="440" w:lineRule="exact"/>
              <w:jc w:val="center"/>
              <w:rPr>
                <w:rFonts w:ascii="宋体" w:hAnsi="宋体" w:cs="宋体"/>
                <w:color w:val="auto"/>
                <w:sz w:val="24"/>
                <w:szCs w:val="24"/>
                <w:highlight w:val="none"/>
              </w:rPr>
            </w:pPr>
          </w:p>
        </w:tc>
        <w:tc>
          <w:tcPr>
            <w:tcW w:w="1115" w:type="dxa"/>
            <w:noWrap/>
          </w:tcPr>
          <w:p w14:paraId="12B708C6">
            <w:pPr>
              <w:spacing w:line="440" w:lineRule="exact"/>
              <w:jc w:val="center"/>
              <w:rPr>
                <w:rFonts w:ascii="宋体" w:hAnsi="宋体" w:cs="宋体"/>
                <w:color w:val="auto"/>
                <w:sz w:val="24"/>
                <w:szCs w:val="24"/>
                <w:highlight w:val="none"/>
              </w:rPr>
            </w:pPr>
          </w:p>
        </w:tc>
        <w:tc>
          <w:tcPr>
            <w:tcW w:w="810" w:type="dxa"/>
            <w:noWrap/>
          </w:tcPr>
          <w:p w14:paraId="34701D4C">
            <w:pPr>
              <w:spacing w:line="440" w:lineRule="exact"/>
              <w:jc w:val="center"/>
              <w:rPr>
                <w:rFonts w:ascii="宋体" w:hAnsi="宋体" w:cs="宋体"/>
                <w:color w:val="auto"/>
                <w:sz w:val="24"/>
                <w:szCs w:val="24"/>
                <w:highlight w:val="none"/>
              </w:rPr>
            </w:pPr>
          </w:p>
        </w:tc>
        <w:tc>
          <w:tcPr>
            <w:tcW w:w="710" w:type="dxa"/>
            <w:noWrap/>
          </w:tcPr>
          <w:p w14:paraId="7B3B9536">
            <w:pPr>
              <w:spacing w:line="440" w:lineRule="exact"/>
              <w:jc w:val="center"/>
              <w:rPr>
                <w:rFonts w:ascii="宋体" w:hAnsi="宋体" w:cs="宋体"/>
                <w:color w:val="auto"/>
                <w:sz w:val="24"/>
                <w:szCs w:val="24"/>
                <w:highlight w:val="none"/>
              </w:rPr>
            </w:pPr>
          </w:p>
        </w:tc>
        <w:tc>
          <w:tcPr>
            <w:tcW w:w="1246" w:type="dxa"/>
            <w:noWrap/>
          </w:tcPr>
          <w:p w14:paraId="41D97CCA">
            <w:pPr>
              <w:spacing w:line="440" w:lineRule="exact"/>
              <w:jc w:val="center"/>
              <w:rPr>
                <w:rFonts w:ascii="宋体" w:hAnsi="宋体" w:cs="宋体"/>
                <w:color w:val="auto"/>
                <w:sz w:val="24"/>
                <w:szCs w:val="24"/>
                <w:highlight w:val="none"/>
              </w:rPr>
            </w:pPr>
          </w:p>
        </w:tc>
        <w:tc>
          <w:tcPr>
            <w:tcW w:w="856" w:type="dxa"/>
            <w:noWrap/>
          </w:tcPr>
          <w:p w14:paraId="74285B40">
            <w:pPr>
              <w:spacing w:line="440" w:lineRule="exact"/>
              <w:jc w:val="center"/>
              <w:rPr>
                <w:rFonts w:ascii="宋体" w:hAnsi="宋体" w:cs="宋体"/>
                <w:color w:val="auto"/>
                <w:sz w:val="24"/>
                <w:szCs w:val="24"/>
                <w:highlight w:val="none"/>
              </w:rPr>
            </w:pPr>
          </w:p>
        </w:tc>
        <w:tc>
          <w:tcPr>
            <w:tcW w:w="1051" w:type="dxa"/>
            <w:noWrap/>
          </w:tcPr>
          <w:p w14:paraId="7F50519D">
            <w:pPr>
              <w:spacing w:line="440" w:lineRule="exact"/>
              <w:jc w:val="center"/>
              <w:rPr>
                <w:rFonts w:ascii="宋体" w:hAnsi="宋体" w:cs="宋体"/>
                <w:color w:val="auto"/>
                <w:sz w:val="24"/>
                <w:szCs w:val="24"/>
                <w:highlight w:val="none"/>
              </w:rPr>
            </w:pPr>
          </w:p>
        </w:tc>
        <w:tc>
          <w:tcPr>
            <w:tcW w:w="1369" w:type="dxa"/>
            <w:noWrap/>
          </w:tcPr>
          <w:p w14:paraId="1C1012DB">
            <w:pPr>
              <w:spacing w:line="440" w:lineRule="exact"/>
              <w:jc w:val="center"/>
              <w:rPr>
                <w:rFonts w:ascii="宋体" w:hAnsi="宋体" w:cs="宋体"/>
                <w:color w:val="auto"/>
                <w:sz w:val="24"/>
                <w:szCs w:val="24"/>
                <w:highlight w:val="none"/>
              </w:rPr>
            </w:pPr>
          </w:p>
        </w:tc>
      </w:tr>
      <w:tr w14:paraId="52CD3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23368C73">
            <w:pPr>
              <w:spacing w:line="440" w:lineRule="exact"/>
              <w:jc w:val="center"/>
              <w:rPr>
                <w:rFonts w:ascii="宋体" w:hAnsi="宋体" w:cs="宋体"/>
                <w:color w:val="auto"/>
                <w:sz w:val="24"/>
                <w:szCs w:val="24"/>
                <w:highlight w:val="none"/>
              </w:rPr>
            </w:pPr>
          </w:p>
        </w:tc>
        <w:tc>
          <w:tcPr>
            <w:tcW w:w="1538" w:type="dxa"/>
            <w:noWrap/>
          </w:tcPr>
          <w:p w14:paraId="1AA31D50">
            <w:pPr>
              <w:spacing w:line="440" w:lineRule="exact"/>
              <w:jc w:val="center"/>
              <w:rPr>
                <w:rFonts w:ascii="宋体" w:hAnsi="宋体" w:cs="宋体"/>
                <w:color w:val="auto"/>
                <w:sz w:val="24"/>
                <w:szCs w:val="24"/>
                <w:highlight w:val="none"/>
              </w:rPr>
            </w:pPr>
          </w:p>
        </w:tc>
        <w:tc>
          <w:tcPr>
            <w:tcW w:w="1115" w:type="dxa"/>
            <w:noWrap/>
          </w:tcPr>
          <w:p w14:paraId="6B5C14F7">
            <w:pPr>
              <w:spacing w:line="440" w:lineRule="exact"/>
              <w:jc w:val="center"/>
              <w:rPr>
                <w:rFonts w:ascii="宋体" w:hAnsi="宋体" w:cs="宋体"/>
                <w:color w:val="auto"/>
                <w:sz w:val="24"/>
                <w:szCs w:val="24"/>
                <w:highlight w:val="none"/>
              </w:rPr>
            </w:pPr>
          </w:p>
        </w:tc>
        <w:tc>
          <w:tcPr>
            <w:tcW w:w="810" w:type="dxa"/>
            <w:noWrap/>
          </w:tcPr>
          <w:p w14:paraId="56785E40">
            <w:pPr>
              <w:spacing w:line="440" w:lineRule="exact"/>
              <w:jc w:val="center"/>
              <w:rPr>
                <w:rFonts w:ascii="宋体" w:hAnsi="宋体" w:cs="宋体"/>
                <w:color w:val="auto"/>
                <w:sz w:val="24"/>
                <w:szCs w:val="24"/>
                <w:highlight w:val="none"/>
              </w:rPr>
            </w:pPr>
          </w:p>
        </w:tc>
        <w:tc>
          <w:tcPr>
            <w:tcW w:w="710" w:type="dxa"/>
            <w:noWrap/>
          </w:tcPr>
          <w:p w14:paraId="141C27D6">
            <w:pPr>
              <w:spacing w:line="440" w:lineRule="exact"/>
              <w:jc w:val="center"/>
              <w:rPr>
                <w:rFonts w:ascii="宋体" w:hAnsi="宋体" w:cs="宋体"/>
                <w:color w:val="auto"/>
                <w:sz w:val="24"/>
                <w:szCs w:val="24"/>
                <w:highlight w:val="none"/>
              </w:rPr>
            </w:pPr>
          </w:p>
        </w:tc>
        <w:tc>
          <w:tcPr>
            <w:tcW w:w="1246" w:type="dxa"/>
            <w:noWrap/>
          </w:tcPr>
          <w:p w14:paraId="1A0C55B0">
            <w:pPr>
              <w:spacing w:line="440" w:lineRule="exact"/>
              <w:jc w:val="center"/>
              <w:rPr>
                <w:rFonts w:ascii="宋体" w:hAnsi="宋体" w:cs="宋体"/>
                <w:color w:val="auto"/>
                <w:sz w:val="24"/>
                <w:szCs w:val="24"/>
                <w:highlight w:val="none"/>
              </w:rPr>
            </w:pPr>
          </w:p>
        </w:tc>
        <w:tc>
          <w:tcPr>
            <w:tcW w:w="856" w:type="dxa"/>
            <w:noWrap/>
          </w:tcPr>
          <w:p w14:paraId="73ACD7CB">
            <w:pPr>
              <w:spacing w:line="440" w:lineRule="exact"/>
              <w:jc w:val="center"/>
              <w:rPr>
                <w:rFonts w:ascii="宋体" w:hAnsi="宋体" w:cs="宋体"/>
                <w:color w:val="auto"/>
                <w:sz w:val="24"/>
                <w:szCs w:val="24"/>
                <w:highlight w:val="none"/>
              </w:rPr>
            </w:pPr>
          </w:p>
        </w:tc>
        <w:tc>
          <w:tcPr>
            <w:tcW w:w="1051" w:type="dxa"/>
            <w:noWrap/>
          </w:tcPr>
          <w:p w14:paraId="4A22A8D2">
            <w:pPr>
              <w:spacing w:line="440" w:lineRule="exact"/>
              <w:jc w:val="center"/>
              <w:rPr>
                <w:rFonts w:ascii="宋体" w:hAnsi="宋体" w:cs="宋体"/>
                <w:color w:val="auto"/>
                <w:sz w:val="24"/>
                <w:szCs w:val="24"/>
                <w:highlight w:val="none"/>
              </w:rPr>
            </w:pPr>
          </w:p>
        </w:tc>
        <w:tc>
          <w:tcPr>
            <w:tcW w:w="1369" w:type="dxa"/>
            <w:noWrap/>
          </w:tcPr>
          <w:p w14:paraId="15EFE8B2">
            <w:pPr>
              <w:spacing w:line="440" w:lineRule="exact"/>
              <w:jc w:val="center"/>
              <w:rPr>
                <w:rFonts w:ascii="宋体" w:hAnsi="宋体" w:cs="宋体"/>
                <w:color w:val="auto"/>
                <w:sz w:val="24"/>
                <w:szCs w:val="24"/>
                <w:highlight w:val="none"/>
              </w:rPr>
            </w:pPr>
          </w:p>
        </w:tc>
      </w:tr>
      <w:tr w14:paraId="3E08B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68613CA7">
            <w:pPr>
              <w:spacing w:line="440" w:lineRule="exact"/>
              <w:jc w:val="center"/>
              <w:rPr>
                <w:rFonts w:ascii="宋体" w:hAnsi="宋体" w:cs="宋体"/>
                <w:color w:val="auto"/>
                <w:sz w:val="24"/>
                <w:szCs w:val="24"/>
                <w:highlight w:val="none"/>
              </w:rPr>
            </w:pPr>
          </w:p>
        </w:tc>
        <w:tc>
          <w:tcPr>
            <w:tcW w:w="1538" w:type="dxa"/>
            <w:noWrap/>
          </w:tcPr>
          <w:p w14:paraId="7DB74EEE">
            <w:pPr>
              <w:spacing w:line="440" w:lineRule="exact"/>
              <w:jc w:val="center"/>
              <w:rPr>
                <w:rFonts w:ascii="宋体" w:hAnsi="宋体" w:cs="宋体"/>
                <w:color w:val="auto"/>
                <w:sz w:val="24"/>
                <w:szCs w:val="24"/>
                <w:highlight w:val="none"/>
              </w:rPr>
            </w:pPr>
          </w:p>
        </w:tc>
        <w:tc>
          <w:tcPr>
            <w:tcW w:w="1115" w:type="dxa"/>
            <w:noWrap/>
          </w:tcPr>
          <w:p w14:paraId="7157D299">
            <w:pPr>
              <w:spacing w:line="440" w:lineRule="exact"/>
              <w:jc w:val="center"/>
              <w:rPr>
                <w:rFonts w:ascii="宋体" w:hAnsi="宋体" w:cs="宋体"/>
                <w:color w:val="auto"/>
                <w:sz w:val="24"/>
                <w:szCs w:val="24"/>
                <w:highlight w:val="none"/>
              </w:rPr>
            </w:pPr>
          </w:p>
        </w:tc>
        <w:tc>
          <w:tcPr>
            <w:tcW w:w="810" w:type="dxa"/>
            <w:noWrap/>
          </w:tcPr>
          <w:p w14:paraId="616B8C8C">
            <w:pPr>
              <w:spacing w:line="440" w:lineRule="exact"/>
              <w:jc w:val="center"/>
              <w:rPr>
                <w:rFonts w:ascii="宋体" w:hAnsi="宋体" w:cs="宋体"/>
                <w:color w:val="auto"/>
                <w:sz w:val="24"/>
                <w:szCs w:val="24"/>
                <w:highlight w:val="none"/>
              </w:rPr>
            </w:pPr>
          </w:p>
        </w:tc>
        <w:tc>
          <w:tcPr>
            <w:tcW w:w="710" w:type="dxa"/>
            <w:noWrap/>
          </w:tcPr>
          <w:p w14:paraId="27404AD2">
            <w:pPr>
              <w:spacing w:line="440" w:lineRule="exact"/>
              <w:jc w:val="center"/>
              <w:rPr>
                <w:rFonts w:ascii="宋体" w:hAnsi="宋体" w:cs="宋体"/>
                <w:color w:val="auto"/>
                <w:sz w:val="24"/>
                <w:szCs w:val="24"/>
                <w:highlight w:val="none"/>
              </w:rPr>
            </w:pPr>
          </w:p>
        </w:tc>
        <w:tc>
          <w:tcPr>
            <w:tcW w:w="1246" w:type="dxa"/>
            <w:noWrap/>
          </w:tcPr>
          <w:p w14:paraId="35DA2CF4">
            <w:pPr>
              <w:spacing w:line="440" w:lineRule="exact"/>
              <w:jc w:val="center"/>
              <w:rPr>
                <w:rFonts w:ascii="宋体" w:hAnsi="宋体" w:cs="宋体"/>
                <w:color w:val="auto"/>
                <w:sz w:val="24"/>
                <w:szCs w:val="24"/>
                <w:highlight w:val="none"/>
              </w:rPr>
            </w:pPr>
          </w:p>
        </w:tc>
        <w:tc>
          <w:tcPr>
            <w:tcW w:w="856" w:type="dxa"/>
            <w:noWrap/>
          </w:tcPr>
          <w:p w14:paraId="35A40ECE">
            <w:pPr>
              <w:spacing w:line="440" w:lineRule="exact"/>
              <w:jc w:val="center"/>
              <w:rPr>
                <w:rFonts w:ascii="宋体" w:hAnsi="宋体" w:cs="宋体"/>
                <w:color w:val="auto"/>
                <w:sz w:val="24"/>
                <w:szCs w:val="24"/>
                <w:highlight w:val="none"/>
              </w:rPr>
            </w:pPr>
          </w:p>
        </w:tc>
        <w:tc>
          <w:tcPr>
            <w:tcW w:w="1051" w:type="dxa"/>
            <w:noWrap/>
          </w:tcPr>
          <w:p w14:paraId="7531BF03">
            <w:pPr>
              <w:spacing w:line="440" w:lineRule="exact"/>
              <w:jc w:val="center"/>
              <w:rPr>
                <w:rFonts w:ascii="宋体" w:hAnsi="宋体" w:cs="宋体"/>
                <w:color w:val="auto"/>
                <w:sz w:val="24"/>
                <w:szCs w:val="24"/>
                <w:highlight w:val="none"/>
              </w:rPr>
            </w:pPr>
          </w:p>
        </w:tc>
        <w:tc>
          <w:tcPr>
            <w:tcW w:w="1369" w:type="dxa"/>
            <w:noWrap/>
          </w:tcPr>
          <w:p w14:paraId="12BA8616">
            <w:pPr>
              <w:spacing w:line="440" w:lineRule="exact"/>
              <w:jc w:val="center"/>
              <w:rPr>
                <w:rFonts w:ascii="宋体" w:hAnsi="宋体" w:cs="宋体"/>
                <w:color w:val="auto"/>
                <w:sz w:val="24"/>
                <w:szCs w:val="24"/>
                <w:highlight w:val="none"/>
              </w:rPr>
            </w:pPr>
          </w:p>
        </w:tc>
      </w:tr>
      <w:tr w14:paraId="2F81C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3CA51085">
            <w:pPr>
              <w:spacing w:line="440" w:lineRule="exact"/>
              <w:jc w:val="center"/>
              <w:rPr>
                <w:rFonts w:ascii="宋体" w:hAnsi="宋体" w:cs="宋体"/>
                <w:color w:val="auto"/>
                <w:sz w:val="24"/>
                <w:szCs w:val="24"/>
                <w:highlight w:val="none"/>
              </w:rPr>
            </w:pPr>
          </w:p>
        </w:tc>
        <w:tc>
          <w:tcPr>
            <w:tcW w:w="1538" w:type="dxa"/>
            <w:noWrap/>
          </w:tcPr>
          <w:p w14:paraId="7D285826">
            <w:pPr>
              <w:spacing w:line="440" w:lineRule="exact"/>
              <w:jc w:val="center"/>
              <w:rPr>
                <w:rFonts w:ascii="宋体" w:hAnsi="宋体" w:cs="宋体"/>
                <w:color w:val="auto"/>
                <w:sz w:val="24"/>
                <w:szCs w:val="24"/>
                <w:highlight w:val="none"/>
              </w:rPr>
            </w:pPr>
          </w:p>
        </w:tc>
        <w:tc>
          <w:tcPr>
            <w:tcW w:w="1115" w:type="dxa"/>
            <w:noWrap/>
          </w:tcPr>
          <w:p w14:paraId="215E26B6">
            <w:pPr>
              <w:spacing w:line="440" w:lineRule="exact"/>
              <w:jc w:val="center"/>
              <w:rPr>
                <w:rFonts w:ascii="宋体" w:hAnsi="宋体" w:cs="宋体"/>
                <w:color w:val="auto"/>
                <w:sz w:val="24"/>
                <w:szCs w:val="24"/>
                <w:highlight w:val="none"/>
              </w:rPr>
            </w:pPr>
          </w:p>
        </w:tc>
        <w:tc>
          <w:tcPr>
            <w:tcW w:w="810" w:type="dxa"/>
            <w:noWrap/>
          </w:tcPr>
          <w:p w14:paraId="2D1DC26A">
            <w:pPr>
              <w:spacing w:line="440" w:lineRule="exact"/>
              <w:jc w:val="center"/>
              <w:rPr>
                <w:rFonts w:ascii="宋体" w:hAnsi="宋体" w:cs="宋体"/>
                <w:color w:val="auto"/>
                <w:sz w:val="24"/>
                <w:szCs w:val="24"/>
                <w:highlight w:val="none"/>
              </w:rPr>
            </w:pPr>
          </w:p>
        </w:tc>
        <w:tc>
          <w:tcPr>
            <w:tcW w:w="710" w:type="dxa"/>
            <w:noWrap/>
          </w:tcPr>
          <w:p w14:paraId="6E68ED32">
            <w:pPr>
              <w:spacing w:line="440" w:lineRule="exact"/>
              <w:jc w:val="center"/>
              <w:rPr>
                <w:rFonts w:ascii="宋体" w:hAnsi="宋体" w:cs="宋体"/>
                <w:color w:val="auto"/>
                <w:sz w:val="24"/>
                <w:szCs w:val="24"/>
                <w:highlight w:val="none"/>
              </w:rPr>
            </w:pPr>
          </w:p>
        </w:tc>
        <w:tc>
          <w:tcPr>
            <w:tcW w:w="1246" w:type="dxa"/>
            <w:noWrap/>
          </w:tcPr>
          <w:p w14:paraId="727E9FEE">
            <w:pPr>
              <w:spacing w:line="440" w:lineRule="exact"/>
              <w:jc w:val="center"/>
              <w:rPr>
                <w:rFonts w:ascii="宋体" w:hAnsi="宋体" w:cs="宋体"/>
                <w:color w:val="auto"/>
                <w:sz w:val="24"/>
                <w:szCs w:val="24"/>
                <w:highlight w:val="none"/>
              </w:rPr>
            </w:pPr>
          </w:p>
        </w:tc>
        <w:tc>
          <w:tcPr>
            <w:tcW w:w="856" w:type="dxa"/>
            <w:noWrap/>
          </w:tcPr>
          <w:p w14:paraId="71D06C82">
            <w:pPr>
              <w:spacing w:line="440" w:lineRule="exact"/>
              <w:jc w:val="center"/>
              <w:rPr>
                <w:rFonts w:ascii="宋体" w:hAnsi="宋体" w:cs="宋体"/>
                <w:color w:val="auto"/>
                <w:sz w:val="24"/>
                <w:szCs w:val="24"/>
                <w:highlight w:val="none"/>
              </w:rPr>
            </w:pPr>
          </w:p>
        </w:tc>
        <w:tc>
          <w:tcPr>
            <w:tcW w:w="1051" w:type="dxa"/>
            <w:noWrap/>
          </w:tcPr>
          <w:p w14:paraId="3A593F73">
            <w:pPr>
              <w:spacing w:line="440" w:lineRule="exact"/>
              <w:jc w:val="center"/>
              <w:rPr>
                <w:rFonts w:ascii="宋体" w:hAnsi="宋体" w:cs="宋体"/>
                <w:color w:val="auto"/>
                <w:sz w:val="24"/>
                <w:szCs w:val="24"/>
                <w:highlight w:val="none"/>
              </w:rPr>
            </w:pPr>
          </w:p>
        </w:tc>
        <w:tc>
          <w:tcPr>
            <w:tcW w:w="1369" w:type="dxa"/>
            <w:noWrap/>
          </w:tcPr>
          <w:p w14:paraId="6EFFD12A">
            <w:pPr>
              <w:spacing w:line="440" w:lineRule="exact"/>
              <w:jc w:val="center"/>
              <w:rPr>
                <w:rFonts w:ascii="宋体" w:hAnsi="宋体" w:cs="宋体"/>
                <w:color w:val="auto"/>
                <w:sz w:val="24"/>
                <w:szCs w:val="24"/>
                <w:highlight w:val="none"/>
              </w:rPr>
            </w:pPr>
          </w:p>
        </w:tc>
      </w:tr>
      <w:tr w14:paraId="0AEB8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08CEFF09">
            <w:pPr>
              <w:spacing w:line="440" w:lineRule="exact"/>
              <w:jc w:val="center"/>
              <w:rPr>
                <w:rFonts w:ascii="宋体" w:hAnsi="宋体" w:cs="宋体"/>
                <w:color w:val="auto"/>
                <w:sz w:val="24"/>
                <w:szCs w:val="24"/>
                <w:highlight w:val="none"/>
              </w:rPr>
            </w:pPr>
          </w:p>
        </w:tc>
        <w:tc>
          <w:tcPr>
            <w:tcW w:w="1538" w:type="dxa"/>
            <w:noWrap/>
          </w:tcPr>
          <w:p w14:paraId="35194757">
            <w:pPr>
              <w:spacing w:line="440" w:lineRule="exact"/>
              <w:jc w:val="center"/>
              <w:rPr>
                <w:rFonts w:ascii="宋体" w:hAnsi="宋体" w:cs="宋体"/>
                <w:color w:val="auto"/>
                <w:sz w:val="24"/>
                <w:szCs w:val="24"/>
                <w:highlight w:val="none"/>
              </w:rPr>
            </w:pPr>
          </w:p>
        </w:tc>
        <w:tc>
          <w:tcPr>
            <w:tcW w:w="1115" w:type="dxa"/>
            <w:noWrap/>
          </w:tcPr>
          <w:p w14:paraId="71C2AA10">
            <w:pPr>
              <w:spacing w:line="440" w:lineRule="exact"/>
              <w:jc w:val="center"/>
              <w:rPr>
                <w:rFonts w:ascii="宋体" w:hAnsi="宋体" w:cs="宋体"/>
                <w:color w:val="auto"/>
                <w:sz w:val="24"/>
                <w:szCs w:val="24"/>
                <w:highlight w:val="none"/>
              </w:rPr>
            </w:pPr>
          </w:p>
        </w:tc>
        <w:tc>
          <w:tcPr>
            <w:tcW w:w="810" w:type="dxa"/>
            <w:noWrap/>
          </w:tcPr>
          <w:p w14:paraId="7C334700">
            <w:pPr>
              <w:spacing w:line="440" w:lineRule="exact"/>
              <w:jc w:val="center"/>
              <w:rPr>
                <w:rFonts w:ascii="宋体" w:hAnsi="宋体" w:cs="宋体"/>
                <w:color w:val="auto"/>
                <w:sz w:val="24"/>
                <w:szCs w:val="24"/>
                <w:highlight w:val="none"/>
              </w:rPr>
            </w:pPr>
          </w:p>
        </w:tc>
        <w:tc>
          <w:tcPr>
            <w:tcW w:w="710" w:type="dxa"/>
            <w:noWrap/>
          </w:tcPr>
          <w:p w14:paraId="3298B303">
            <w:pPr>
              <w:spacing w:line="440" w:lineRule="exact"/>
              <w:jc w:val="center"/>
              <w:rPr>
                <w:rFonts w:ascii="宋体" w:hAnsi="宋体" w:cs="宋体"/>
                <w:color w:val="auto"/>
                <w:sz w:val="24"/>
                <w:szCs w:val="24"/>
                <w:highlight w:val="none"/>
              </w:rPr>
            </w:pPr>
          </w:p>
        </w:tc>
        <w:tc>
          <w:tcPr>
            <w:tcW w:w="1246" w:type="dxa"/>
            <w:noWrap/>
          </w:tcPr>
          <w:p w14:paraId="7BED6421">
            <w:pPr>
              <w:spacing w:line="440" w:lineRule="exact"/>
              <w:jc w:val="center"/>
              <w:rPr>
                <w:rFonts w:ascii="宋体" w:hAnsi="宋体" w:cs="宋体"/>
                <w:color w:val="auto"/>
                <w:sz w:val="24"/>
                <w:szCs w:val="24"/>
                <w:highlight w:val="none"/>
              </w:rPr>
            </w:pPr>
          </w:p>
        </w:tc>
        <w:tc>
          <w:tcPr>
            <w:tcW w:w="856" w:type="dxa"/>
            <w:noWrap/>
          </w:tcPr>
          <w:p w14:paraId="06B885CC">
            <w:pPr>
              <w:spacing w:line="440" w:lineRule="exact"/>
              <w:jc w:val="center"/>
              <w:rPr>
                <w:rFonts w:ascii="宋体" w:hAnsi="宋体" w:cs="宋体"/>
                <w:color w:val="auto"/>
                <w:sz w:val="24"/>
                <w:szCs w:val="24"/>
                <w:highlight w:val="none"/>
              </w:rPr>
            </w:pPr>
          </w:p>
        </w:tc>
        <w:tc>
          <w:tcPr>
            <w:tcW w:w="1051" w:type="dxa"/>
            <w:noWrap/>
          </w:tcPr>
          <w:p w14:paraId="0B9BDA49">
            <w:pPr>
              <w:spacing w:line="440" w:lineRule="exact"/>
              <w:jc w:val="center"/>
              <w:rPr>
                <w:rFonts w:ascii="宋体" w:hAnsi="宋体" w:cs="宋体"/>
                <w:color w:val="auto"/>
                <w:sz w:val="24"/>
                <w:szCs w:val="24"/>
                <w:highlight w:val="none"/>
              </w:rPr>
            </w:pPr>
          </w:p>
        </w:tc>
        <w:tc>
          <w:tcPr>
            <w:tcW w:w="1369" w:type="dxa"/>
            <w:noWrap/>
          </w:tcPr>
          <w:p w14:paraId="38A6EC69">
            <w:pPr>
              <w:spacing w:line="440" w:lineRule="exact"/>
              <w:jc w:val="center"/>
              <w:rPr>
                <w:rFonts w:ascii="宋体" w:hAnsi="宋体" w:cs="宋体"/>
                <w:color w:val="auto"/>
                <w:sz w:val="24"/>
                <w:szCs w:val="24"/>
                <w:highlight w:val="none"/>
              </w:rPr>
            </w:pPr>
          </w:p>
        </w:tc>
      </w:tr>
      <w:tr w14:paraId="74A92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421179E3">
            <w:pPr>
              <w:spacing w:line="440" w:lineRule="exact"/>
              <w:jc w:val="center"/>
              <w:rPr>
                <w:rFonts w:ascii="宋体" w:hAnsi="宋体" w:cs="宋体"/>
                <w:color w:val="auto"/>
                <w:sz w:val="24"/>
                <w:szCs w:val="24"/>
                <w:highlight w:val="none"/>
              </w:rPr>
            </w:pPr>
          </w:p>
        </w:tc>
        <w:tc>
          <w:tcPr>
            <w:tcW w:w="1538" w:type="dxa"/>
            <w:noWrap/>
          </w:tcPr>
          <w:p w14:paraId="6FDDEC52">
            <w:pPr>
              <w:spacing w:line="440" w:lineRule="exact"/>
              <w:jc w:val="center"/>
              <w:rPr>
                <w:rFonts w:ascii="宋体" w:hAnsi="宋体" w:cs="宋体"/>
                <w:color w:val="auto"/>
                <w:sz w:val="24"/>
                <w:szCs w:val="24"/>
                <w:highlight w:val="none"/>
              </w:rPr>
            </w:pPr>
          </w:p>
        </w:tc>
        <w:tc>
          <w:tcPr>
            <w:tcW w:w="1115" w:type="dxa"/>
            <w:noWrap/>
          </w:tcPr>
          <w:p w14:paraId="0E9B1903">
            <w:pPr>
              <w:spacing w:line="440" w:lineRule="exact"/>
              <w:jc w:val="center"/>
              <w:rPr>
                <w:rFonts w:ascii="宋体" w:hAnsi="宋体" w:cs="宋体"/>
                <w:color w:val="auto"/>
                <w:sz w:val="24"/>
                <w:szCs w:val="24"/>
                <w:highlight w:val="none"/>
              </w:rPr>
            </w:pPr>
          </w:p>
        </w:tc>
        <w:tc>
          <w:tcPr>
            <w:tcW w:w="810" w:type="dxa"/>
            <w:noWrap/>
          </w:tcPr>
          <w:p w14:paraId="67A9F32C">
            <w:pPr>
              <w:spacing w:line="440" w:lineRule="exact"/>
              <w:jc w:val="center"/>
              <w:rPr>
                <w:rFonts w:ascii="宋体" w:hAnsi="宋体" w:cs="宋体"/>
                <w:color w:val="auto"/>
                <w:sz w:val="24"/>
                <w:szCs w:val="24"/>
                <w:highlight w:val="none"/>
              </w:rPr>
            </w:pPr>
          </w:p>
        </w:tc>
        <w:tc>
          <w:tcPr>
            <w:tcW w:w="710" w:type="dxa"/>
            <w:noWrap/>
          </w:tcPr>
          <w:p w14:paraId="466504D5">
            <w:pPr>
              <w:spacing w:line="440" w:lineRule="exact"/>
              <w:jc w:val="center"/>
              <w:rPr>
                <w:rFonts w:ascii="宋体" w:hAnsi="宋体" w:cs="宋体"/>
                <w:color w:val="auto"/>
                <w:sz w:val="24"/>
                <w:szCs w:val="24"/>
                <w:highlight w:val="none"/>
              </w:rPr>
            </w:pPr>
          </w:p>
        </w:tc>
        <w:tc>
          <w:tcPr>
            <w:tcW w:w="1246" w:type="dxa"/>
            <w:noWrap/>
          </w:tcPr>
          <w:p w14:paraId="559B7B63">
            <w:pPr>
              <w:spacing w:line="440" w:lineRule="exact"/>
              <w:jc w:val="center"/>
              <w:rPr>
                <w:rFonts w:ascii="宋体" w:hAnsi="宋体" w:cs="宋体"/>
                <w:color w:val="auto"/>
                <w:sz w:val="24"/>
                <w:szCs w:val="24"/>
                <w:highlight w:val="none"/>
              </w:rPr>
            </w:pPr>
          </w:p>
        </w:tc>
        <w:tc>
          <w:tcPr>
            <w:tcW w:w="856" w:type="dxa"/>
            <w:noWrap/>
          </w:tcPr>
          <w:p w14:paraId="028BD25B">
            <w:pPr>
              <w:spacing w:line="440" w:lineRule="exact"/>
              <w:jc w:val="center"/>
              <w:rPr>
                <w:rFonts w:ascii="宋体" w:hAnsi="宋体" w:cs="宋体"/>
                <w:color w:val="auto"/>
                <w:sz w:val="24"/>
                <w:szCs w:val="24"/>
                <w:highlight w:val="none"/>
              </w:rPr>
            </w:pPr>
          </w:p>
        </w:tc>
        <w:tc>
          <w:tcPr>
            <w:tcW w:w="1051" w:type="dxa"/>
            <w:noWrap/>
          </w:tcPr>
          <w:p w14:paraId="47B08556">
            <w:pPr>
              <w:spacing w:line="440" w:lineRule="exact"/>
              <w:jc w:val="center"/>
              <w:rPr>
                <w:rFonts w:ascii="宋体" w:hAnsi="宋体" w:cs="宋体"/>
                <w:color w:val="auto"/>
                <w:sz w:val="24"/>
                <w:szCs w:val="24"/>
                <w:highlight w:val="none"/>
              </w:rPr>
            </w:pPr>
          </w:p>
        </w:tc>
        <w:tc>
          <w:tcPr>
            <w:tcW w:w="1369" w:type="dxa"/>
            <w:noWrap/>
          </w:tcPr>
          <w:p w14:paraId="331E8F75">
            <w:pPr>
              <w:spacing w:line="440" w:lineRule="exact"/>
              <w:jc w:val="center"/>
              <w:rPr>
                <w:rFonts w:ascii="宋体" w:hAnsi="宋体" w:cs="宋体"/>
                <w:color w:val="auto"/>
                <w:sz w:val="24"/>
                <w:szCs w:val="24"/>
                <w:highlight w:val="none"/>
              </w:rPr>
            </w:pPr>
          </w:p>
        </w:tc>
      </w:tr>
      <w:tr w14:paraId="347E5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6C60AD02">
            <w:pPr>
              <w:spacing w:line="440" w:lineRule="exact"/>
              <w:jc w:val="center"/>
              <w:rPr>
                <w:rFonts w:ascii="宋体" w:hAnsi="宋体" w:cs="宋体"/>
                <w:color w:val="auto"/>
                <w:sz w:val="24"/>
                <w:szCs w:val="24"/>
                <w:highlight w:val="none"/>
              </w:rPr>
            </w:pPr>
          </w:p>
        </w:tc>
        <w:tc>
          <w:tcPr>
            <w:tcW w:w="1538" w:type="dxa"/>
            <w:noWrap/>
          </w:tcPr>
          <w:p w14:paraId="1AC20B4D">
            <w:pPr>
              <w:spacing w:line="440" w:lineRule="exact"/>
              <w:jc w:val="center"/>
              <w:rPr>
                <w:rFonts w:ascii="宋体" w:hAnsi="宋体" w:cs="宋体"/>
                <w:color w:val="auto"/>
                <w:sz w:val="24"/>
                <w:szCs w:val="24"/>
                <w:highlight w:val="none"/>
              </w:rPr>
            </w:pPr>
          </w:p>
        </w:tc>
        <w:tc>
          <w:tcPr>
            <w:tcW w:w="1115" w:type="dxa"/>
            <w:noWrap/>
          </w:tcPr>
          <w:p w14:paraId="7D3F8D6E">
            <w:pPr>
              <w:spacing w:line="440" w:lineRule="exact"/>
              <w:jc w:val="center"/>
              <w:rPr>
                <w:rFonts w:ascii="宋体" w:hAnsi="宋体" w:cs="宋体"/>
                <w:color w:val="auto"/>
                <w:sz w:val="24"/>
                <w:szCs w:val="24"/>
                <w:highlight w:val="none"/>
              </w:rPr>
            </w:pPr>
          </w:p>
        </w:tc>
        <w:tc>
          <w:tcPr>
            <w:tcW w:w="810" w:type="dxa"/>
            <w:noWrap/>
          </w:tcPr>
          <w:p w14:paraId="14EF3C59">
            <w:pPr>
              <w:spacing w:line="440" w:lineRule="exact"/>
              <w:jc w:val="center"/>
              <w:rPr>
                <w:rFonts w:ascii="宋体" w:hAnsi="宋体" w:cs="宋体"/>
                <w:color w:val="auto"/>
                <w:sz w:val="24"/>
                <w:szCs w:val="24"/>
                <w:highlight w:val="none"/>
              </w:rPr>
            </w:pPr>
          </w:p>
        </w:tc>
        <w:tc>
          <w:tcPr>
            <w:tcW w:w="710" w:type="dxa"/>
            <w:noWrap/>
          </w:tcPr>
          <w:p w14:paraId="2B2F72BA">
            <w:pPr>
              <w:spacing w:line="440" w:lineRule="exact"/>
              <w:jc w:val="center"/>
              <w:rPr>
                <w:rFonts w:ascii="宋体" w:hAnsi="宋体" w:cs="宋体"/>
                <w:color w:val="auto"/>
                <w:sz w:val="24"/>
                <w:szCs w:val="24"/>
                <w:highlight w:val="none"/>
              </w:rPr>
            </w:pPr>
          </w:p>
        </w:tc>
        <w:tc>
          <w:tcPr>
            <w:tcW w:w="1246" w:type="dxa"/>
            <w:noWrap/>
          </w:tcPr>
          <w:p w14:paraId="1D326F5E">
            <w:pPr>
              <w:spacing w:line="440" w:lineRule="exact"/>
              <w:jc w:val="center"/>
              <w:rPr>
                <w:rFonts w:ascii="宋体" w:hAnsi="宋体" w:cs="宋体"/>
                <w:color w:val="auto"/>
                <w:sz w:val="24"/>
                <w:szCs w:val="24"/>
                <w:highlight w:val="none"/>
              </w:rPr>
            </w:pPr>
          </w:p>
        </w:tc>
        <w:tc>
          <w:tcPr>
            <w:tcW w:w="856" w:type="dxa"/>
            <w:noWrap/>
          </w:tcPr>
          <w:p w14:paraId="1AD4B000">
            <w:pPr>
              <w:spacing w:line="440" w:lineRule="exact"/>
              <w:jc w:val="center"/>
              <w:rPr>
                <w:rFonts w:ascii="宋体" w:hAnsi="宋体" w:cs="宋体"/>
                <w:color w:val="auto"/>
                <w:sz w:val="24"/>
                <w:szCs w:val="24"/>
                <w:highlight w:val="none"/>
              </w:rPr>
            </w:pPr>
          </w:p>
        </w:tc>
        <w:tc>
          <w:tcPr>
            <w:tcW w:w="1051" w:type="dxa"/>
            <w:noWrap/>
          </w:tcPr>
          <w:p w14:paraId="31122AEF">
            <w:pPr>
              <w:spacing w:line="440" w:lineRule="exact"/>
              <w:jc w:val="center"/>
              <w:rPr>
                <w:rFonts w:ascii="宋体" w:hAnsi="宋体" w:cs="宋体"/>
                <w:color w:val="auto"/>
                <w:sz w:val="24"/>
                <w:szCs w:val="24"/>
                <w:highlight w:val="none"/>
              </w:rPr>
            </w:pPr>
          </w:p>
        </w:tc>
        <w:tc>
          <w:tcPr>
            <w:tcW w:w="1369" w:type="dxa"/>
            <w:noWrap/>
          </w:tcPr>
          <w:p w14:paraId="7C16993F">
            <w:pPr>
              <w:spacing w:line="440" w:lineRule="exact"/>
              <w:jc w:val="center"/>
              <w:rPr>
                <w:rFonts w:ascii="宋体" w:hAnsi="宋体" w:cs="宋体"/>
                <w:color w:val="auto"/>
                <w:sz w:val="24"/>
                <w:szCs w:val="24"/>
                <w:highlight w:val="none"/>
              </w:rPr>
            </w:pPr>
          </w:p>
        </w:tc>
      </w:tr>
      <w:tr w14:paraId="009FA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40CF7CC5">
            <w:pPr>
              <w:spacing w:line="440" w:lineRule="exact"/>
              <w:jc w:val="center"/>
              <w:rPr>
                <w:rFonts w:ascii="宋体" w:hAnsi="宋体" w:cs="宋体"/>
                <w:color w:val="auto"/>
                <w:sz w:val="24"/>
                <w:szCs w:val="24"/>
                <w:highlight w:val="none"/>
              </w:rPr>
            </w:pPr>
          </w:p>
        </w:tc>
        <w:tc>
          <w:tcPr>
            <w:tcW w:w="1538" w:type="dxa"/>
            <w:noWrap/>
          </w:tcPr>
          <w:p w14:paraId="1C38EFA5">
            <w:pPr>
              <w:spacing w:line="440" w:lineRule="exact"/>
              <w:jc w:val="center"/>
              <w:rPr>
                <w:rFonts w:ascii="宋体" w:hAnsi="宋体" w:cs="宋体"/>
                <w:color w:val="auto"/>
                <w:sz w:val="24"/>
                <w:szCs w:val="24"/>
                <w:highlight w:val="none"/>
              </w:rPr>
            </w:pPr>
          </w:p>
        </w:tc>
        <w:tc>
          <w:tcPr>
            <w:tcW w:w="1115" w:type="dxa"/>
            <w:noWrap/>
          </w:tcPr>
          <w:p w14:paraId="0A91A5C0">
            <w:pPr>
              <w:spacing w:line="440" w:lineRule="exact"/>
              <w:jc w:val="center"/>
              <w:rPr>
                <w:rFonts w:ascii="宋体" w:hAnsi="宋体" w:cs="宋体"/>
                <w:color w:val="auto"/>
                <w:sz w:val="24"/>
                <w:szCs w:val="24"/>
                <w:highlight w:val="none"/>
              </w:rPr>
            </w:pPr>
          </w:p>
        </w:tc>
        <w:tc>
          <w:tcPr>
            <w:tcW w:w="810" w:type="dxa"/>
            <w:noWrap/>
          </w:tcPr>
          <w:p w14:paraId="6BFE68FE">
            <w:pPr>
              <w:spacing w:line="440" w:lineRule="exact"/>
              <w:jc w:val="center"/>
              <w:rPr>
                <w:rFonts w:ascii="宋体" w:hAnsi="宋体" w:cs="宋体"/>
                <w:color w:val="auto"/>
                <w:sz w:val="24"/>
                <w:szCs w:val="24"/>
                <w:highlight w:val="none"/>
              </w:rPr>
            </w:pPr>
          </w:p>
        </w:tc>
        <w:tc>
          <w:tcPr>
            <w:tcW w:w="710" w:type="dxa"/>
            <w:noWrap/>
          </w:tcPr>
          <w:p w14:paraId="4EB0E87F">
            <w:pPr>
              <w:spacing w:line="440" w:lineRule="exact"/>
              <w:jc w:val="center"/>
              <w:rPr>
                <w:rFonts w:ascii="宋体" w:hAnsi="宋体" w:cs="宋体"/>
                <w:color w:val="auto"/>
                <w:sz w:val="24"/>
                <w:szCs w:val="24"/>
                <w:highlight w:val="none"/>
              </w:rPr>
            </w:pPr>
          </w:p>
        </w:tc>
        <w:tc>
          <w:tcPr>
            <w:tcW w:w="1246" w:type="dxa"/>
            <w:noWrap/>
          </w:tcPr>
          <w:p w14:paraId="75728336">
            <w:pPr>
              <w:spacing w:line="440" w:lineRule="exact"/>
              <w:jc w:val="center"/>
              <w:rPr>
                <w:rFonts w:ascii="宋体" w:hAnsi="宋体" w:cs="宋体"/>
                <w:color w:val="auto"/>
                <w:sz w:val="24"/>
                <w:szCs w:val="24"/>
                <w:highlight w:val="none"/>
              </w:rPr>
            </w:pPr>
          </w:p>
        </w:tc>
        <w:tc>
          <w:tcPr>
            <w:tcW w:w="856" w:type="dxa"/>
            <w:noWrap/>
          </w:tcPr>
          <w:p w14:paraId="563419A9">
            <w:pPr>
              <w:spacing w:line="440" w:lineRule="exact"/>
              <w:jc w:val="center"/>
              <w:rPr>
                <w:rFonts w:ascii="宋体" w:hAnsi="宋体" w:cs="宋体"/>
                <w:color w:val="auto"/>
                <w:sz w:val="24"/>
                <w:szCs w:val="24"/>
                <w:highlight w:val="none"/>
              </w:rPr>
            </w:pPr>
          </w:p>
        </w:tc>
        <w:tc>
          <w:tcPr>
            <w:tcW w:w="1051" w:type="dxa"/>
            <w:noWrap/>
          </w:tcPr>
          <w:p w14:paraId="1C92D526">
            <w:pPr>
              <w:spacing w:line="440" w:lineRule="exact"/>
              <w:jc w:val="center"/>
              <w:rPr>
                <w:rFonts w:ascii="宋体" w:hAnsi="宋体" w:cs="宋体"/>
                <w:color w:val="auto"/>
                <w:sz w:val="24"/>
                <w:szCs w:val="24"/>
                <w:highlight w:val="none"/>
              </w:rPr>
            </w:pPr>
          </w:p>
        </w:tc>
        <w:tc>
          <w:tcPr>
            <w:tcW w:w="1369" w:type="dxa"/>
            <w:noWrap/>
          </w:tcPr>
          <w:p w14:paraId="1F2E4A0C">
            <w:pPr>
              <w:spacing w:line="440" w:lineRule="exact"/>
              <w:jc w:val="center"/>
              <w:rPr>
                <w:rFonts w:ascii="宋体" w:hAnsi="宋体" w:cs="宋体"/>
                <w:color w:val="auto"/>
                <w:sz w:val="24"/>
                <w:szCs w:val="24"/>
                <w:highlight w:val="none"/>
              </w:rPr>
            </w:pPr>
          </w:p>
        </w:tc>
      </w:tr>
      <w:tr w14:paraId="07788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1936A934">
            <w:pPr>
              <w:spacing w:line="440" w:lineRule="exact"/>
              <w:jc w:val="center"/>
              <w:rPr>
                <w:rFonts w:ascii="宋体" w:hAnsi="宋体" w:cs="宋体"/>
                <w:color w:val="auto"/>
                <w:sz w:val="24"/>
                <w:szCs w:val="24"/>
                <w:highlight w:val="none"/>
              </w:rPr>
            </w:pPr>
          </w:p>
        </w:tc>
        <w:tc>
          <w:tcPr>
            <w:tcW w:w="1538" w:type="dxa"/>
            <w:noWrap/>
          </w:tcPr>
          <w:p w14:paraId="00351ECE">
            <w:pPr>
              <w:spacing w:line="440" w:lineRule="exact"/>
              <w:jc w:val="center"/>
              <w:rPr>
                <w:rFonts w:ascii="宋体" w:hAnsi="宋体" w:cs="宋体"/>
                <w:color w:val="auto"/>
                <w:sz w:val="24"/>
                <w:szCs w:val="24"/>
                <w:highlight w:val="none"/>
              </w:rPr>
            </w:pPr>
          </w:p>
        </w:tc>
        <w:tc>
          <w:tcPr>
            <w:tcW w:w="1115" w:type="dxa"/>
            <w:noWrap/>
          </w:tcPr>
          <w:p w14:paraId="5F97C63D">
            <w:pPr>
              <w:spacing w:line="440" w:lineRule="exact"/>
              <w:jc w:val="center"/>
              <w:rPr>
                <w:rFonts w:ascii="宋体" w:hAnsi="宋体" w:cs="宋体"/>
                <w:color w:val="auto"/>
                <w:sz w:val="24"/>
                <w:szCs w:val="24"/>
                <w:highlight w:val="none"/>
              </w:rPr>
            </w:pPr>
          </w:p>
        </w:tc>
        <w:tc>
          <w:tcPr>
            <w:tcW w:w="810" w:type="dxa"/>
            <w:noWrap/>
          </w:tcPr>
          <w:p w14:paraId="4C2C59F5">
            <w:pPr>
              <w:spacing w:line="440" w:lineRule="exact"/>
              <w:jc w:val="center"/>
              <w:rPr>
                <w:rFonts w:ascii="宋体" w:hAnsi="宋体" w:cs="宋体"/>
                <w:color w:val="auto"/>
                <w:sz w:val="24"/>
                <w:szCs w:val="24"/>
                <w:highlight w:val="none"/>
              </w:rPr>
            </w:pPr>
          </w:p>
        </w:tc>
        <w:tc>
          <w:tcPr>
            <w:tcW w:w="710" w:type="dxa"/>
            <w:noWrap/>
          </w:tcPr>
          <w:p w14:paraId="5848B3D7">
            <w:pPr>
              <w:spacing w:line="440" w:lineRule="exact"/>
              <w:jc w:val="center"/>
              <w:rPr>
                <w:rFonts w:ascii="宋体" w:hAnsi="宋体" w:cs="宋体"/>
                <w:color w:val="auto"/>
                <w:sz w:val="24"/>
                <w:szCs w:val="24"/>
                <w:highlight w:val="none"/>
              </w:rPr>
            </w:pPr>
          </w:p>
        </w:tc>
        <w:tc>
          <w:tcPr>
            <w:tcW w:w="1246" w:type="dxa"/>
            <w:noWrap/>
          </w:tcPr>
          <w:p w14:paraId="7BFF7221">
            <w:pPr>
              <w:spacing w:line="440" w:lineRule="exact"/>
              <w:jc w:val="center"/>
              <w:rPr>
                <w:rFonts w:ascii="宋体" w:hAnsi="宋体" w:cs="宋体"/>
                <w:color w:val="auto"/>
                <w:sz w:val="24"/>
                <w:szCs w:val="24"/>
                <w:highlight w:val="none"/>
              </w:rPr>
            </w:pPr>
          </w:p>
        </w:tc>
        <w:tc>
          <w:tcPr>
            <w:tcW w:w="856" w:type="dxa"/>
            <w:noWrap/>
          </w:tcPr>
          <w:p w14:paraId="452DEEF2">
            <w:pPr>
              <w:spacing w:line="440" w:lineRule="exact"/>
              <w:jc w:val="center"/>
              <w:rPr>
                <w:rFonts w:ascii="宋体" w:hAnsi="宋体" w:cs="宋体"/>
                <w:color w:val="auto"/>
                <w:sz w:val="24"/>
                <w:szCs w:val="24"/>
                <w:highlight w:val="none"/>
              </w:rPr>
            </w:pPr>
          </w:p>
        </w:tc>
        <w:tc>
          <w:tcPr>
            <w:tcW w:w="1051" w:type="dxa"/>
            <w:noWrap/>
          </w:tcPr>
          <w:p w14:paraId="76E675C1">
            <w:pPr>
              <w:spacing w:line="440" w:lineRule="exact"/>
              <w:jc w:val="center"/>
              <w:rPr>
                <w:rFonts w:ascii="宋体" w:hAnsi="宋体" w:cs="宋体"/>
                <w:color w:val="auto"/>
                <w:sz w:val="24"/>
                <w:szCs w:val="24"/>
                <w:highlight w:val="none"/>
              </w:rPr>
            </w:pPr>
          </w:p>
        </w:tc>
        <w:tc>
          <w:tcPr>
            <w:tcW w:w="1369" w:type="dxa"/>
            <w:noWrap/>
          </w:tcPr>
          <w:p w14:paraId="10293117">
            <w:pPr>
              <w:spacing w:line="440" w:lineRule="exact"/>
              <w:jc w:val="center"/>
              <w:rPr>
                <w:rFonts w:ascii="宋体" w:hAnsi="宋体" w:cs="宋体"/>
                <w:color w:val="auto"/>
                <w:sz w:val="24"/>
                <w:szCs w:val="24"/>
                <w:highlight w:val="none"/>
              </w:rPr>
            </w:pPr>
          </w:p>
        </w:tc>
      </w:tr>
      <w:tr w14:paraId="71FDA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0572FB73">
            <w:pPr>
              <w:spacing w:line="440" w:lineRule="exact"/>
              <w:jc w:val="center"/>
              <w:rPr>
                <w:rFonts w:ascii="宋体" w:hAnsi="宋体" w:cs="宋体"/>
                <w:color w:val="auto"/>
                <w:sz w:val="24"/>
                <w:szCs w:val="24"/>
                <w:highlight w:val="none"/>
              </w:rPr>
            </w:pPr>
          </w:p>
        </w:tc>
        <w:tc>
          <w:tcPr>
            <w:tcW w:w="1538" w:type="dxa"/>
            <w:noWrap/>
          </w:tcPr>
          <w:p w14:paraId="7B768073">
            <w:pPr>
              <w:spacing w:line="440" w:lineRule="exact"/>
              <w:jc w:val="center"/>
              <w:rPr>
                <w:rFonts w:ascii="宋体" w:hAnsi="宋体" w:cs="宋体"/>
                <w:color w:val="auto"/>
                <w:sz w:val="24"/>
                <w:szCs w:val="24"/>
                <w:highlight w:val="none"/>
              </w:rPr>
            </w:pPr>
          </w:p>
        </w:tc>
        <w:tc>
          <w:tcPr>
            <w:tcW w:w="1115" w:type="dxa"/>
            <w:noWrap/>
          </w:tcPr>
          <w:p w14:paraId="286C0959">
            <w:pPr>
              <w:spacing w:line="440" w:lineRule="exact"/>
              <w:jc w:val="center"/>
              <w:rPr>
                <w:rFonts w:ascii="宋体" w:hAnsi="宋体" w:cs="宋体"/>
                <w:color w:val="auto"/>
                <w:sz w:val="24"/>
                <w:szCs w:val="24"/>
                <w:highlight w:val="none"/>
              </w:rPr>
            </w:pPr>
          </w:p>
        </w:tc>
        <w:tc>
          <w:tcPr>
            <w:tcW w:w="810" w:type="dxa"/>
            <w:noWrap/>
          </w:tcPr>
          <w:p w14:paraId="55324AE9">
            <w:pPr>
              <w:spacing w:line="440" w:lineRule="exact"/>
              <w:jc w:val="center"/>
              <w:rPr>
                <w:rFonts w:ascii="宋体" w:hAnsi="宋体" w:cs="宋体"/>
                <w:color w:val="auto"/>
                <w:sz w:val="24"/>
                <w:szCs w:val="24"/>
                <w:highlight w:val="none"/>
              </w:rPr>
            </w:pPr>
          </w:p>
        </w:tc>
        <w:tc>
          <w:tcPr>
            <w:tcW w:w="710" w:type="dxa"/>
            <w:noWrap/>
          </w:tcPr>
          <w:p w14:paraId="7AF5AD97">
            <w:pPr>
              <w:spacing w:line="440" w:lineRule="exact"/>
              <w:jc w:val="center"/>
              <w:rPr>
                <w:rFonts w:ascii="宋体" w:hAnsi="宋体" w:cs="宋体"/>
                <w:color w:val="auto"/>
                <w:sz w:val="24"/>
                <w:szCs w:val="24"/>
                <w:highlight w:val="none"/>
              </w:rPr>
            </w:pPr>
          </w:p>
        </w:tc>
        <w:tc>
          <w:tcPr>
            <w:tcW w:w="1246" w:type="dxa"/>
            <w:noWrap/>
          </w:tcPr>
          <w:p w14:paraId="473DEF4C">
            <w:pPr>
              <w:spacing w:line="440" w:lineRule="exact"/>
              <w:jc w:val="center"/>
              <w:rPr>
                <w:rFonts w:ascii="宋体" w:hAnsi="宋体" w:cs="宋体"/>
                <w:color w:val="auto"/>
                <w:sz w:val="24"/>
                <w:szCs w:val="24"/>
                <w:highlight w:val="none"/>
              </w:rPr>
            </w:pPr>
          </w:p>
        </w:tc>
        <w:tc>
          <w:tcPr>
            <w:tcW w:w="856" w:type="dxa"/>
            <w:noWrap/>
          </w:tcPr>
          <w:p w14:paraId="160BEE68">
            <w:pPr>
              <w:spacing w:line="440" w:lineRule="exact"/>
              <w:jc w:val="center"/>
              <w:rPr>
                <w:rFonts w:ascii="宋体" w:hAnsi="宋体" w:cs="宋体"/>
                <w:color w:val="auto"/>
                <w:sz w:val="24"/>
                <w:szCs w:val="24"/>
                <w:highlight w:val="none"/>
              </w:rPr>
            </w:pPr>
          </w:p>
        </w:tc>
        <w:tc>
          <w:tcPr>
            <w:tcW w:w="1051" w:type="dxa"/>
            <w:noWrap/>
          </w:tcPr>
          <w:p w14:paraId="35534064">
            <w:pPr>
              <w:spacing w:line="440" w:lineRule="exact"/>
              <w:jc w:val="center"/>
              <w:rPr>
                <w:rFonts w:ascii="宋体" w:hAnsi="宋体" w:cs="宋体"/>
                <w:color w:val="auto"/>
                <w:sz w:val="24"/>
                <w:szCs w:val="24"/>
                <w:highlight w:val="none"/>
              </w:rPr>
            </w:pPr>
          </w:p>
        </w:tc>
        <w:tc>
          <w:tcPr>
            <w:tcW w:w="1369" w:type="dxa"/>
            <w:noWrap/>
          </w:tcPr>
          <w:p w14:paraId="3B7EF13F">
            <w:pPr>
              <w:spacing w:line="440" w:lineRule="exact"/>
              <w:jc w:val="center"/>
              <w:rPr>
                <w:rFonts w:ascii="宋体" w:hAnsi="宋体" w:cs="宋体"/>
                <w:color w:val="auto"/>
                <w:sz w:val="24"/>
                <w:szCs w:val="24"/>
                <w:highlight w:val="none"/>
              </w:rPr>
            </w:pPr>
          </w:p>
        </w:tc>
      </w:tr>
      <w:tr w14:paraId="7FFDC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3E48D43A">
            <w:pPr>
              <w:spacing w:line="440" w:lineRule="exact"/>
              <w:jc w:val="center"/>
              <w:rPr>
                <w:rFonts w:ascii="宋体" w:hAnsi="宋体" w:cs="宋体"/>
                <w:color w:val="auto"/>
                <w:sz w:val="24"/>
                <w:szCs w:val="24"/>
                <w:highlight w:val="none"/>
              </w:rPr>
            </w:pPr>
          </w:p>
        </w:tc>
        <w:tc>
          <w:tcPr>
            <w:tcW w:w="1538" w:type="dxa"/>
            <w:noWrap/>
          </w:tcPr>
          <w:p w14:paraId="7469C39B">
            <w:pPr>
              <w:spacing w:line="440" w:lineRule="exact"/>
              <w:jc w:val="center"/>
              <w:rPr>
                <w:rFonts w:ascii="宋体" w:hAnsi="宋体" w:cs="宋体"/>
                <w:color w:val="auto"/>
                <w:sz w:val="24"/>
                <w:szCs w:val="24"/>
                <w:highlight w:val="none"/>
              </w:rPr>
            </w:pPr>
          </w:p>
        </w:tc>
        <w:tc>
          <w:tcPr>
            <w:tcW w:w="1115" w:type="dxa"/>
            <w:noWrap/>
          </w:tcPr>
          <w:p w14:paraId="6F415504">
            <w:pPr>
              <w:spacing w:line="440" w:lineRule="exact"/>
              <w:jc w:val="center"/>
              <w:rPr>
                <w:rFonts w:ascii="宋体" w:hAnsi="宋体" w:cs="宋体"/>
                <w:color w:val="auto"/>
                <w:sz w:val="24"/>
                <w:szCs w:val="24"/>
                <w:highlight w:val="none"/>
              </w:rPr>
            </w:pPr>
          </w:p>
        </w:tc>
        <w:tc>
          <w:tcPr>
            <w:tcW w:w="810" w:type="dxa"/>
            <w:noWrap/>
          </w:tcPr>
          <w:p w14:paraId="50FD2558">
            <w:pPr>
              <w:spacing w:line="440" w:lineRule="exact"/>
              <w:jc w:val="center"/>
              <w:rPr>
                <w:rFonts w:ascii="宋体" w:hAnsi="宋体" w:cs="宋体"/>
                <w:color w:val="auto"/>
                <w:sz w:val="24"/>
                <w:szCs w:val="24"/>
                <w:highlight w:val="none"/>
              </w:rPr>
            </w:pPr>
          </w:p>
        </w:tc>
        <w:tc>
          <w:tcPr>
            <w:tcW w:w="710" w:type="dxa"/>
            <w:noWrap/>
          </w:tcPr>
          <w:p w14:paraId="2731A4CA">
            <w:pPr>
              <w:spacing w:line="440" w:lineRule="exact"/>
              <w:jc w:val="center"/>
              <w:rPr>
                <w:rFonts w:ascii="宋体" w:hAnsi="宋体" w:cs="宋体"/>
                <w:color w:val="auto"/>
                <w:sz w:val="24"/>
                <w:szCs w:val="24"/>
                <w:highlight w:val="none"/>
              </w:rPr>
            </w:pPr>
          </w:p>
        </w:tc>
        <w:tc>
          <w:tcPr>
            <w:tcW w:w="1246" w:type="dxa"/>
            <w:noWrap/>
          </w:tcPr>
          <w:p w14:paraId="3D1BF592">
            <w:pPr>
              <w:spacing w:line="440" w:lineRule="exact"/>
              <w:jc w:val="center"/>
              <w:rPr>
                <w:rFonts w:ascii="宋体" w:hAnsi="宋体" w:cs="宋体"/>
                <w:color w:val="auto"/>
                <w:sz w:val="24"/>
                <w:szCs w:val="24"/>
                <w:highlight w:val="none"/>
              </w:rPr>
            </w:pPr>
          </w:p>
        </w:tc>
        <w:tc>
          <w:tcPr>
            <w:tcW w:w="856" w:type="dxa"/>
            <w:noWrap/>
          </w:tcPr>
          <w:p w14:paraId="2E124E5A">
            <w:pPr>
              <w:spacing w:line="440" w:lineRule="exact"/>
              <w:jc w:val="center"/>
              <w:rPr>
                <w:rFonts w:ascii="宋体" w:hAnsi="宋体" w:cs="宋体"/>
                <w:color w:val="auto"/>
                <w:sz w:val="24"/>
                <w:szCs w:val="24"/>
                <w:highlight w:val="none"/>
              </w:rPr>
            </w:pPr>
          </w:p>
        </w:tc>
        <w:tc>
          <w:tcPr>
            <w:tcW w:w="1051" w:type="dxa"/>
            <w:noWrap/>
          </w:tcPr>
          <w:p w14:paraId="2057576D">
            <w:pPr>
              <w:spacing w:line="440" w:lineRule="exact"/>
              <w:jc w:val="center"/>
              <w:rPr>
                <w:rFonts w:ascii="宋体" w:hAnsi="宋体" w:cs="宋体"/>
                <w:color w:val="auto"/>
                <w:sz w:val="24"/>
                <w:szCs w:val="24"/>
                <w:highlight w:val="none"/>
              </w:rPr>
            </w:pPr>
          </w:p>
        </w:tc>
        <w:tc>
          <w:tcPr>
            <w:tcW w:w="1369" w:type="dxa"/>
            <w:noWrap/>
          </w:tcPr>
          <w:p w14:paraId="0FF110A7">
            <w:pPr>
              <w:spacing w:line="440" w:lineRule="exact"/>
              <w:jc w:val="center"/>
              <w:rPr>
                <w:rFonts w:ascii="宋体" w:hAnsi="宋体" w:cs="宋体"/>
                <w:color w:val="auto"/>
                <w:sz w:val="24"/>
                <w:szCs w:val="24"/>
                <w:highlight w:val="none"/>
              </w:rPr>
            </w:pPr>
          </w:p>
        </w:tc>
      </w:tr>
      <w:tr w14:paraId="787F9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2B3850F5">
            <w:pPr>
              <w:spacing w:line="440" w:lineRule="exact"/>
              <w:jc w:val="center"/>
              <w:rPr>
                <w:rFonts w:ascii="宋体" w:hAnsi="宋体" w:cs="宋体"/>
                <w:color w:val="auto"/>
                <w:sz w:val="24"/>
                <w:szCs w:val="24"/>
                <w:highlight w:val="none"/>
              </w:rPr>
            </w:pPr>
          </w:p>
        </w:tc>
        <w:tc>
          <w:tcPr>
            <w:tcW w:w="1538" w:type="dxa"/>
            <w:noWrap/>
          </w:tcPr>
          <w:p w14:paraId="0793A602">
            <w:pPr>
              <w:spacing w:line="440" w:lineRule="exact"/>
              <w:jc w:val="center"/>
              <w:rPr>
                <w:rFonts w:ascii="宋体" w:hAnsi="宋体" w:cs="宋体"/>
                <w:color w:val="auto"/>
                <w:sz w:val="24"/>
                <w:szCs w:val="24"/>
                <w:highlight w:val="none"/>
              </w:rPr>
            </w:pPr>
          </w:p>
        </w:tc>
        <w:tc>
          <w:tcPr>
            <w:tcW w:w="1115" w:type="dxa"/>
            <w:noWrap/>
          </w:tcPr>
          <w:p w14:paraId="55A01A91">
            <w:pPr>
              <w:spacing w:line="440" w:lineRule="exact"/>
              <w:jc w:val="center"/>
              <w:rPr>
                <w:rFonts w:ascii="宋体" w:hAnsi="宋体" w:cs="宋体"/>
                <w:color w:val="auto"/>
                <w:sz w:val="24"/>
                <w:szCs w:val="24"/>
                <w:highlight w:val="none"/>
              </w:rPr>
            </w:pPr>
          </w:p>
        </w:tc>
        <w:tc>
          <w:tcPr>
            <w:tcW w:w="810" w:type="dxa"/>
            <w:noWrap/>
          </w:tcPr>
          <w:p w14:paraId="0AF4561C">
            <w:pPr>
              <w:spacing w:line="440" w:lineRule="exact"/>
              <w:jc w:val="center"/>
              <w:rPr>
                <w:rFonts w:ascii="宋体" w:hAnsi="宋体" w:cs="宋体"/>
                <w:color w:val="auto"/>
                <w:sz w:val="24"/>
                <w:szCs w:val="24"/>
                <w:highlight w:val="none"/>
              </w:rPr>
            </w:pPr>
          </w:p>
        </w:tc>
        <w:tc>
          <w:tcPr>
            <w:tcW w:w="710" w:type="dxa"/>
            <w:noWrap/>
          </w:tcPr>
          <w:p w14:paraId="133106E4">
            <w:pPr>
              <w:spacing w:line="440" w:lineRule="exact"/>
              <w:jc w:val="center"/>
              <w:rPr>
                <w:rFonts w:ascii="宋体" w:hAnsi="宋体" w:cs="宋体"/>
                <w:color w:val="auto"/>
                <w:sz w:val="24"/>
                <w:szCs w:val="24"/>
                <w:highlight w:val="none"/>
              </w:rPr>
            </w:pPr>
          </w:p>
        </w:tc>
        <w:tc>
          <w:tcPr>
            <w:tcW w:w="1246" w:type="dxa"/>
            <w:noWrap/>
          </w:tcPr>
          <w:p w14:paraId="2EC8924E">
            <w:pPr>
              <w:spacing w:line="440" w:lineRule="exact"/>
              <w:jc w:val="center"/>
              <w:rPr>
                <w:rFonts w:ascii="宋体" w:hAnsi="宋体" w:cs="宋体"/>
                <w:color w:val="auto"/>
                <w:sz w:val="24"/>
                <w:szCs w:val="24"/>
                <w:highlight w:val="none"/>
              </w:rPr>
            </w:pPr>
          </w:p>
        </w:tc>
        <w:tc>
          <w:tcPr>
            <w:tcW w:w="856" w:type="dxa"/>
            <w:noWrap/>
          </w:tcPr>
          <w:p w14:paraId="3E97EF90">
            <w:pPr>
              <w:spacing w:line="440" w:lineRule="exact"/>
              <w:jc w:val="center"/>
              <w:rPr>
                <w:rFonts w:ascii="宋体" w:hAnsi="宋体" w:cs="宋体"/>
                <w:color w:val="auto"/>
                <w:sz w:val="24"/>
                <w:szCs w:val="24"/>
                <w:highlight w:val="none"/>
              </w:rPr>
            </w:pPr>
          </w:p>
        </w:tc>
        <w:tc>
          <w:tcPr>
            <w:tcW w:w="1051" w:type="dxa"/>
            <w:noWrap/>
          </w:tcPr>
          <w:p w14:paraId="7FF101E5">
            <w:pPr>
              <w:spacing w:line="440" w:lineRule="exact"/>
              <w:jc w:val="center"/>
              <w:rPr>
                <w:rFonts w:ascii="宋体" w:hAnsi="宋体" w:cs="宋体"/>
                <w:color w:val="auto"/>
                <w:sz w:val="24"/>
                <w:szCs w:val="24"/>
                <w:highlight w:val="none"/>
              </w:rPr>
            </w:pPr>
          </w:p>
        </w:tc>
        <w:tc>
          <w:tcPr>
            <w:tcW w:w="1369" w:type="dxa"/>
            <w:noWrap/>
          </w:tcPr>
          <w:p w14:paraId="55A668D8">
            <w:pPr>
              <w:spacing w:line="440" w:lineRule="exact"/>
              <w:jc w:val="center"/>
              <w:rPr>
                <w:rFonts w:ascii="宋体" w:hAnsi="宋体" w:cs="宋体"/>
                <w:color w:val="auto"/>
                <w:sz w:val="24"/>
                <w:szCs w:val="24"/>
                <w:highlight w:val="none"/>
              </w:rPr>
            </w:pPr>
          </w:p>
        </w:tc>
      </w:tr>
      <w:tr w14:paraId="5C76E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582F4B4F">
            <w:pPr>
              <w:spacing w:line="440" w:lineRule="exact"/>
              <w:jc w:val="center"/>
              <w:rPr>
                <w:rFonts w:ascii="宋体" w:hAnsi="宋体" w:cs="宋体"/>
                <w:color w:val="auto"/>
                <w:sz w:val="24"/>
                <w:szCs w:val="24"/>
                <w:highlight w:val="none"/>
              </w:rPr>
            </w:pPr>
          </w:p>
        </w:tc>
        <w:tc>
          <w:tcPr>
            <w:tcW w:w="1538" w:type="dxa"/>
            <w:noWrap/>
          </w:tcPr>
          <w:p w14:paraId="2D758682">
            <w:pPr>
              <w:spacing w:line="440" w:lineRule="exact"/>
              <w:jc w:val="center"/>
              <w:rPr>
                <w:rFonts w:ascii="宋体" w:hAnsi="宋体" w:cs="宋体"/>
                <w:color w:val="auto"/>
                <w:sz w:val="24"/>
                <w:szCs w:val="24"/>
                <w:highlight w:val="none"/>
              </w:rPr>
            </w:pPr>
          </w:p>
        </w:tc>
        <w:tc>
          <w:tcPr>
            <w:tcW w:w="1115" w:type="dxa"/>
            <w:noWrap/>
          </w:tcPr>
          <w:p w14:paraId="5A3C2C50">
            <w:pPr>
              <w:spacing w:line="440" w:lineRule="exact"/>
              <w:jc w:val="center"/>
              <w:rPr>
                <w:rFonts w:ascii="宋体" w:hAnsi="宋体" w:cs="宋体"/>
                <w:color w:val="auto"/>
                <w:sz w:val="24"/>
                <w:szCs w:val="24"/>
                <w:highlight w:val="none"/>
              </w:rPr>
            </w:pPr>
          </w:p>
        </w:tc>
        <w:tc>
          <w:tcPr>
            <w:tcW w:w="810" w:type="dxa"/>
            <w:noWrap/>
          </w:tcPr>
          <w:p w14:paraId="6A849B13">
            <w:pPr>
              <w:spacing w:line="440" w:lineRule="exact"/>
              <w:jc w:val="center"/>
              <w:rPr>
                <w:rFonts w:ascii="宋体" w:hAnsi="宋体" w:cs="宋体"/>
                <w:color w:val="auto"/>
                <w:sz w:val="24"/>
                <w:szCs w:val="24"/>
                <w:highlight w:val="none"/>
              </w:rPr>
            </w:pPr>
          </w:p>
        </w:tc>
        <w:tc>
          <w:tcPr>
            <w:tcW w:w="710" w:type="dxa"/>
            <w:noWrap/>
          </w:tcPr>
          <w:p w14:paraId="43187840">
            <w:pPr>
              <w:spacing w:line="440" w:lineRule="exact"/>
              <w:jc w:val="center"/>
              <w:rPr>
                <w:rFonts w:ascii="宋体" w:hAnsi="宋体" w:cs="宋体"/>
                <w:color w:val="auto"/>
                <w:sz w:val="24"/>
                <w:szCs w:val="24"/>
                <w:highlight w:val="none"/>
              </w:rPr>
            </w:pPr>
          </w:p>
        </w:tc>
        <w:tc>
          <w:tcPr>
            <w:tcW w:w="1246" w:type="dxa"/>
            <w:noWrap/>
          </w:tcPr>
          <w:p w14:paraId="2C49EC3D">
            <w:pPr>
              <w:spacing w:line="440" w:lineRule="exact"/>
              <w:jc w:val="center"/>
              <w:rPr>
                <w:rFonts w:ascii="宋体" w:hAnsi="宋体" w:cs="宋体"/>
                <w:color w:val="auto"/>
                <w:sz w:val="24"/>
                <w:szCs w:val="24"/>
                <w:highlight w:val="none"/>
              </w:rPr>
            </w:pPr>
          </w:p>
        </w:tc>
        <w:tc>
          <w:tcPr>
            <w:tcW w:w="856" w:type="dxa"/>
            <w:noWrap/>
          </w:tcPr>
          <w:p w14:paraId="30F22103">
            <w:pPr>
              <w:spacing w:line="440" w:lineRule="exact"/>
              <w:jc w:val="center"/>
              <w:rPr>
                <w:rFonts w:ascii="宋体" w:hAnsi="宋体" w:cs="宋体"/>
                <w:color w:val="auto"/>
                <w:sz w:val="24"/>
                <w:szCs w:val="24"/>
                <w:highlight w:val="none"/>
              </w:rPr>
            </w:pPr>
          </w:p>
        </w:tc>
        <w:tc>
          <w:tcPr>
            <w:tcW w:w="1051" w:type="dxa"/>
            <w:noWrap/>
          </w:tcPr>
          <w:p w14:paraId="4E2A1CD0">
            <w:pPr>
              <w:spacing w:line="440" w:lineRule="exact"/>
              <w:jc w:val="center"/>
              <w:rPr>
                <w:rFonts w:ascii="宋体" w:hAnsi="宋体" w:cs="宋体"/>
                <w:color w:val="auto"/>
                <w:sz w:val="24"/>
                <w:szCs w:val="24"/>
                <w:highlight w:val="none"/>
              </w:rPr>
            </w:pPr>
          </w:p>
        </w:tc>
        <w:tc>
          <w:tcPr>
            <w:tcW w:w="1369" w:type="dxa"/>
            <w:noWrap/>
          </w:tcPr>
          <w:p w14:paraId="484A7A82">
            <w:pPr>
              <w:spacing w:line="440" w:lineRule="exact"/>
              <w:jc w:val="center"/>
              <w:rPr>
                <w:rFonts w:ascii="宋体" w:hAnsi="宋体" w:cs="宋体"/>
                <w:color w:val="auto"/>
                <w:sz w:val="24"/>
                <w:szCs w:val="24"/>
                <w:highlight w:val="none"/>
              </w:rPr>
            </w:pPr>
          </w:p>
        </w:tc>
      </w:tr>
      <w:tr w14:paraId="32792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85" w:type="dxa"/>
            <w:noWrap/>
          </w:tcPr>
          <w:p w14:paraId="426F91A3">
            <w:pPr>
              <w:spacing w:line="440" w:lineRule="exact"/>
              <w:jc w:val="center"/>
              <w:rPr>
                <w:rFonts w:ascii="宋体" w:hAnsi="宋体" w:cs="宋体"/>
                <w:color w:val="auto"/>
                <w:sz w:val="24"/>
                <w:szCs w:val="24"/>
                <w:highlight w:val="none"/>
              </w:rPr>
            </w:pPr>
          </w:p>
        </w:tc>
        <w:tc>
          <w:tcPr>
            <w:tcW w:w="1538" w:type="dxa"/>
            <w:noWrap/>
          </w:tcPr>
          <w:p w14:paraId="0668C720">
            <w:pPr>
              <w:spacing w:line="440" w:lineRule="exact"/>
              <w:jc w:val="center"/>
              <w:rPr>
                <w:rFonts w:ascii="宋体" w:hAnsi="宋体" w:cs="宋体"/>
                <w:color w:val="auto"/>
                <w:sz w:val="24"/>
                <w:szCs w:val="24"/>
                <w:highlight w:val="none"/>
              </w:rPr>
            </w:pPr>
          </w:p>
        </w:tc>
        <w:tc>
          <w:tcPr>
            <w:tcW w:w="1115" w:type="dxa"/>
            <w:noWrap/>
          </w:tcPr>
          <w:p w14:paraId="0C767CCD">
            <w:pPr>
              <w:spacing w:line="440" w:lineRule="exact"/>
              <w:jc w:val="center"/>
              <w:rPr>
                <w:rFonts w:ascii="宋体" w:hAnsi="宋体" w:cs="宋体"/>
                <w:color w:val="auto"/>
                <w:sz w:val="24"/>
                <w:szCs w:val="24"/>
                <w:highlight w:val="none"/>
              </w:rPr>
            </w:pPr>
          </w:p>
        </w:tc>
        <w:tc>
          <w:tcPr>
            <w:tcW w:w="810" w:type="dxa"/>
            <w:noWrap/>
          </w:tcPr>
          <w:p w14:paraId="6EF774FD">
            <w:pPr>
              <w:spacing w:line="440" w:lineRule="exact"/>
              <w:jc w:val="center"/>
              <w:rPr>
                <w:rFonts w:ascii="宋体" w:hAnsi="宋体" w:cs="宋体"/>
                <w:color w:val="auto"/>
                <w:sz w:val="24"/>
                <w:szCs w:val="24"/>
                <w:highlight w:val="none"/>
              </w:rPr>
            </w:pPr>
          </w:p>
        </w:tc>
        <w:tc>
          <w:tcPr>
            <w:tcW w:w="710" w:type="dxa"/>
            <w:noWrap/>
          </w:tcPr>
          <w:p w14:paraId="0DEA6F35">
            <w:pPr>
              <w:spacing w:line="440" w:lineRule="exact"/>
              <w:jc w:val="center"/>
              <w:rPr>
                <w:rFonts w:ascii="宋体" w:hAnsi="宋体" w:cs="宋体"/>
                <w:color w:val="auto"/>
                <w:sz w:val="24"/>
                <w:szCs w:val="24"/>
                <w:highlight w:val="none"/>
              </w:rPr>
            </w:pPr>
          </w:p>
        </w:tc>
        <w:tc>
          <w:tcPr>
            <w:tcW w:w="1246" w:type="dxa"/>
            <w:noWrap/>
          </w:tcPr>
          <w:p w14:paraId="1CAB88C2">
            <w:pPr>
              <w:spacing w:line="440" w:lineRule="exact"/>
              <w:jc w:val="center"/>
              <w:rPr>
                <w:rFonts w:ascii="宋体" w:hAnsi="宋体" w:cs="宋体"/>
                <w:color w:val="auto"/>
                <w:sz w:val="24"/>
                <w:szCs w:val="24"/>
                <w:highlight w:val="none"/>
              </w:rPr>
            </w:pPr>
          </w:p>
        </w:tc>
        <w:tc>
          <w:tcPr>
            <w:tcW w:w="856" w:type="dxa"/>
            <w:noWrap/>
          </w:tcPr>
          <w:p w14:paraId="7C80B31C">
            <w:pPr>
              <w:spacing w:line="440" w:lineRule="exact"/>
              <w:jc w:val="center"/>
              <w:rPr>
                <w:rFonts w:ascii="宋体" w:hAnsi="宋体" w:cs="宋体"/>
                <w:color w:val="auto"/>
                <w:sz w:val="24"/>
                <w:szCs w:val="24"/>
                <w:highlight w:val="none"/>
              </w:rPr>
            </w:pPr>
          </w:p>
        </w:tc>
        <w:tc>
          <w:tcPr>
            <w:tcW w:w="1051" w:type="dxa"/>
            <w:noWrap/>
          </w:tcPr>
          <w:p w14:paraId="558712E6">
            <w:pPr>
              <w:spacing w:line="440" w:lineRule="exact"/>
              <w:jc w:val="center"/>
              <w:rPr>
                <w:rFonts w:ascii="宋体" w:hAnsi="宋体" w:cs="宋体"/>
                <w:color w:val="auto"/>
                <w:sz w:val="24"/>
                <w:szCs w:val="24"/>
                <w:highlight w:val="none"/>
              </w:rPr>
            </w:pPr>
          </w:p>
        </w:tc>
        <w:tc>
          <w:tcPr>
            <w:tcW w:w="1369" w:type="dxa"/>
            <w:noWrap/>
          </w:tcPr>
          <w:p w14:paraId="5D0C1436">
            <w:pPr>
              <w:spacing w:line="440" w:lineRule="exact"/>
              <w:jc w:val="center"/>
              <w:rPr>
                <w:rFonts w:ascii="宋体" w:hAnsi="宋体" w:cs="宋体"/>
                <w:color w:val="auto"/>
                <w:sz w:val="24"/>
                <w:szCs w:val="24"/>
                <w:highlight w:val="none"/>
              </w:rPr>
            </w:pPr>
          </w:p>
        </w:tc>
      </w:tr>
    </w:tbl>
    <w:p w14:paraId="74C296A0">
      <w:pPr>
        <w:spacing w:line="440" w:lineRule="exact"/>
        <w:rPr>
          <w:rFonts w:ascii="宋体" w:hAnsi="宋体" w:cs="宋体"/>
          <w:color w:val="auto"/>
          <w:highlight w:val="none"/>
        </w:rPr>
      </w:pPr>
      <w:bookmarkStart w:id="319" w:name="_Toc152045805"/>
      <w:bookmarkStart w:id="320" w:name="_Toc152042594"/>
      <w:bookmarkStart w:id="321" w:name="_Toc391394125"/>
      <w:bookmarkStart w:id="322" w:name="_Toc384308390"/>
      <w:bookmarkStart w:id="323" w:name="_Toc370676440"/>
      <w:bookmarkStart w:id="324" w:name="_Toc359594249"/>
      <w:bookmarkStart w:id="325" w:name="_Toc385943079"/>
      <w:bookmarkStart w:id="326" w:name="_Toc144974873"/>
      <w:bookmarkStart w:id="327" w:name="_Toc300835232"/>
      <w:bookmarkStart w:id="328" w:name="_Toc482188668"/>
      <w:bookmarkStart w:id="329" w:name="_Toc517280612"/>
      <w:bookmarkStart w:id="330" w:name="_Toc179632825"/>
    </w:p>
    <w:p w14:paraId="7A82BF53">
      <w:pPr>
        <w:spacing w:line="440" w:lineRule="exact"/>
        <w:rPr>
          <w:rFonts w:ascii="宋体" w:hAnsi="宋体" w:cs="宋体"/>
          <w:color w:val="auto"/>
          <w:highlight w:val="none"/>
        </w:rPr>
      </w:pPr>
    </w:p>
    <w:p w14:paraId="1560889C">
      <w:pPr>
        <w:pStyle w:val="5"/>
        <w:keepNext w:val="0"/>
        <w:keepLines w:val="0"/>
        <w:ind w:firstLine="137"/>
        <w:jc w:val="cente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b/>
          <w:bCs w:val="0"/>
          <w:color w:val="auto"/>
          <w:sz w:val="32"/>
          <w:highlight w:val="none"/>
        </w:rPr>
        <w:t>（四）</w:t>
      </w:r>
      <w:r>
        <w:rPr>
          <w:rFonts w:ascii="宋体" w:hAnsi="宋体" w:cs="宋体"/>
          <w:b/>
          <w:bCs w:val="0"/>
          <w:color w:val="auto"/>
          <w:sz w:val="32"/>
          <w:highlight w:val="none"/>
        </w:rPr>
        <w:t>主要人员简历表</w:t>
      </w:r>
      <w:bookmarkEnd w:id="319"/>
      <w:bookmarkEnd w:id="320"/>
      <w:bookmarkEnd w:id="321"/>
      <w:bookmarkEnd w:id="322"/>
      <w:bookmarkEnd w:id="323"/>
      <w:bookmarkEnd w:id="324"/>
      <w:bookmarkEnd w:id="325"/>
      <w:bookmarkEnd w:id="326"/>
      <w:bookmarkEnd w:id="327"/>
      <w:bookmarkEnd w:id="328"/>
      <w:bookmarkEnd w:id="329"/>
      <w:bookmarkEnd w:id="330"/>
    </w:p>
    <w:p w14:paraId="631BA6F1">
      <w:pPr>
        <w:topLinePunct/>
        <w:spacing w:line="440" w:lineRule="exact"/>
        <w:jc w:val="center"/>
        <w:rPr>
          <w:rFonts w:ascii="宋体" w:hAnsi="宋体" w:cs="宋体"/>
          <w:color w:val="auto"/>
          <w:sz w:val="23"/>
          <w:highlight w:val="none"/>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1"/>
        <w:gridCol w:w="406"/>
        <w:gridCol w:w="787"/>
        <w:gridCol w:w="1090"/>
        <w:gridCol w:w="1213"/>
        <w:gridCol w:w="803"/>
        <w:gridCol w:w="1435"/>
        <w:gridCol w:w="457"/>
        <w:gridCol w:w="2158"/>
      </w:tblGrid>
      <w:tr w14:paraId="00CD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351" w:type="dxa"/>
            <w:noWrap/>
            <w:vAlign w:val="center"/>
          </w:tcPr>
          <w:p w14:paraId="11236190">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姓  名</w:t>
            </w:r>
          </w:p>
        </w:tc>
        <w:tc>
          <w:tcPr>
            <w:tcW w:w="1193" w:type="dxa"/>
            <w:gridSpan w:val="2"/>
            <w:noWrap/>
            <w:vAlign w:val="center"/>
          </w:tcPr>
          <w:p w14:paraId="202621F9">
            <w:pPr>
              <w:spacing w:line="440" w:lineRule="exact"/>
              <w:jc w:val="center"/>
              <w:rPr>
                <w:rFonts w:ascii="宋体" w:hAnsi="宋体" w:cs="宋体"/>
                <w:color w:val="auto"/>
                <w:sz w:val="24"/>
                <w:szCs w:val="24"/>
                <w:highlight w:val="none"/>
              </w:rPr>
            </w:pPr>
          </w:p>
        </w:tc>
        <w:tc>
          <w:tcPr>
            <w:tcW w:w="1090" w:type="dxa"/>
            <w:noWrap/>
            <w:vAlign w:val="center"/>
          </w:tcPr>
          <w:p w14:paraId="13186094">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年龄</w:t>
            </w:r>
          </w:p>
        </w:tc>
        <w:tc>
          <w:tcPr>
            <w:tcW w:w="1213" w:type="dxa"/>
            <w:noWrap/>
            <w:vAlign w:val="center"/>
          </w:tcPr>
          <w:p w14:paraId="54FC8488">
            <w:pPr>
              <w:spacing w:line="440" w:lineRule="exact"/>
              <w:jc w:val="center"/>
              <w:rPr>
                <w:rFonts w:ascii="宋体" w:hAnsi="宋体" w:cs="宋体"/>
                <w:color w:val="auto"/>
                <w:sz w:val="24"/>
                <w:szCs w:val="24"/>
                <w:highlight w:val="none"/>
              </w:rPr>
            </w:pPr>
          </w:p>
        </w:tc>
        <w:tc>
          <w:tcPr>
            <w:tcW w:w="2695" w:type="dxa"/>
            <w:gridSpan w:val="3"/>
            <w:noWrap/>
            <w:vAlign w:val="center"/>
          </w:tcPr>
          <w:p w14:paraId="2D708367">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执业资格证书（或上岗证书）名称</w:t>
            </w:r>
          </w:p>
        </w:tc>
        <w:tc>
          <w:tcPr>
            <w:tcW w:w="2158" w:type="dxa"/>
            <w:noWrap/>
            <w:vAlign w:val="center"/>
          </w:tcPr>
          <w:p w14:paraId="78B425D4">
            <w:pPr>
              <w:spacing w:line="440" w:lineRule="exact"/>
              <w:jc w:val="center"/>
              <w:rPr>
                <w:rFonts w:ascii="宋体" w:hAnsi="宋体" w:cs="宋体"/>
                <w:color w:val="auto"/>
                <w:sz w:val="24"/>
                <w:szCs w:val="24"/>
                <w:highlight w:val="none"/>
              </w:rPr>
            </w:pPr>
          </w:p>
        </w:tc>
      </w:tr>
      <w:tr w14:paraId="15FC6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351" w:type="dxa"/>
            <w:noWrap/>
            <w:vAlign w:val="center"/>
          </w:tcPr>
          <w:p w14:paraId="6167AB9C">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职  称</w:t>
            </w:r>
          </w:p>
        </w:tc>
        <w:tc>
          <w:tcPr>
            <w:tcW w:w="1193" w:type="dxa"/>
            <w:gridSpan w:val="2"/>
            <w:noWrap/>
            <w:vAlign w:val="center"/>
          </w:tcPr>
          <w:p w14:paraId="2E229BD6">
            <w:pPr>
              <w:spacing w:line="440" w:lineRule="exact"/>
              <w:jc w:val="center"/>
              <w:rPr>
                <w:rFonts w:ascii="宋体" w:hAnsi="宋体" w:cs="宋体"/>
                <w:color w:val="auto"/>
                <w:sz w:val="24"/>
                <w:szCs w:val="24"/>
                <w:highlight w:val="none"/>
              </w:rPr>
            </w:pPr>
          </w:p>
        </w:tc>
        <w:tc>
          <w:tcPr>
            <w:tcW w:w="1090" w:type="dxa"/>
            <w:noWrap/>
            <w:vAlign w:val="center"/>
          </w:tcPr>
          <w:p w14:paraId="1D8AF845">
            <w:pPr>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学历</w:t>
            </w:r>
          </w:p>
        </w:tc>
        <w:tc>
          <w:tcPr>
            <w:tcW w:w="1213" w:type="dxa"/>
            <w:noWrap/>
            <w:vAlign w:val="center"/>
          </w:tcPr>
          <w:p w14:paraId="174BE5C2">
            <w:pPr>
              <w:spacing w:line="440" w:lineRule="exact"/>
              <w:jc w:val="center"/>
              <w:rPr>
                <w:rFonts w:ascii="宋体" w:hAnsi="宋体" w:cs="宋体"/>
                <w:color w:val="auto"/>
                <w:sz w:val="24"/>
                <w:szCs w:val="24"/>
                <w:highlight w:val="none"/>
              </w:rPr>
            </w:pPr>
          </w:p>
        </w:tc>
        <w:tc>
          <w:tcPr>
            <w:tcW w:w="2695" w:type="dxa"/>
            <w:gridSpan w:val="3"/>
            <w:noWrap/>
            <w:vAlign w:val="center"/>
          </w:tcPr>
          <w:p w14:paraId="22B18AA5">
            <w:pPr>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拟在本项目任职</w:t>
            </w:r>
          </w:p>
        </w:tc>
        <w:tc>
          <w:tcPr>
            <w:tcW w:w="2158" w:type="dxa"/>
            <w:noWrap/>
            <w:vAlign w:val="center"/>
          </w:tcPr>
          <w:p w14:paraId="6A9887AE">
            <w:pPr>
              <w:spacing w:line="440" w:lineRule="exact"/>
              <w:jc w:val="center"/>
              <w:rPr>
                <w:rFonts w:ascii="宋体" w:hAnsi="宋体" w:cs="宋体"/>
                <w:color w:val="auto"/>
                <w:sz w:val="24"/>
                <w:szCs w:val="24"/>
                <w:highlight w:val="none"/>
              </w:rPr>
            </w:pPr>
          </w:p>
        </w:tc>
      </w:tr>
      <w:tr w14:paraId="0289D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351" w:type="dxa"/>
            <w:noWrap/>
            <w:vAlign w:val="center"/>
          </w:tcPr>
          <w:p w14:paraId="5F063B2B">
            <w:pPr>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工作年限</w:t>
            </w:r>
          </w:p>
        </w:tc>
        <w:tc>
          <w:tcPr>
            <w:tcW w:w="3496" w:type="dxa"/>
            <w:gridSpan w:val="4"/>
            <w:noWrap/>
            <w:vAlign w:val="center"/>
          </w:tcPr>
          <w:p w14:paraId="296E192F">
            <w:pPr>
              <w:spacing w:line="440" w:lineRule="exact"/>
              <w:jc w:val="center"/>
              <w:rPr>
                <w:rFonts w:ascii="宋体" w:hAnsi="宋体" w:cs="宋体"/>
                <w:color w:val="auto"/>
                <w:sz w:val="24"/>
                <w:szCs w:val="24"/>
                <w:highlight w:val="none"/>
              </w:rPr>
            </w:pPr>
          </w:p>
        </w:tc>
        <w:tc>
          <w:tcPr>
            <w:tcW w:w="2695" w:type="dxa"/>
            <w:gridSpan w:val="3"/>
            <w:noWrap/>
            <w:vAlign w:val="center"/>
          </w:tcPr>
          <w:p w14:paraId="015B58CA">
            <w:pPr>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从事监理工作年限</w:t>
            </w:r>
          </w:p>
        </w:tc>
        <w:tc>
          <w:tcPr>
            <w:tcW w:w="2158" w:type="dxa"/>
            <w:noWrap/>
            <w:vAlign w:val="center"/>
          </w:tcPr>
          <w:p w14:paraId="38F6B323">
            <w:pPr>
              <w:spacing w:line="440" w:lineRule="exact"/>
              <w:jc w:val="center"/>
              <w:rPr>
                <w:rFonts w:ascii="宋体" w:hAnsi="宋体" w:cs="宋体"/>
                <w:color w:val="auto"/>
                <w:sz w:val="24"/>
                <w:szCs w:val="24"/>
                <w:highlight w:val="none"/>
              </w:rPr>
            </w:pPr>
          </w:p>
        </w:tc>
      </w:tr>
      <w:tr w14:paraId="78AF9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351" w:type="dxa"/>
            <w:noWrap/>
            <w:vAlign w:val="center"/>
          </w:tcPr>
          <w:p w14:paraId="55D7DDEF">
            <w:pPr>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毕业学校</w:t>
            </w:r>
          </w:p>
        </w:tc>
        <w:tc>
          <w:tcPr>
            <w:tcW w:w="8349" w:type="dxa"/>
            <w:gridSpan w:val="8"/>
            <w:noWrap/>
            <w:vAlign w:val="center"/>
          </w:tcPr>
          <w:p w14:paraId="34423EFC">
            <w:pPr>
              <w:spacing w:before="100" w:beforeAutospacing="1" w:after="100" w:afterAutospacing="1" w:line="440" w:lineRule="exact"/>
              <w:ind w:firstLine="1320" w:firstLineChars="550"/>
              <w:rPr>
                <w:rFonts w:ascii="宋体" w:hAnsi="宋体" w:cs="宋体"/>
                <w:color w:val="auto"/>
                <w:sz w:val="24"/>
                <w:szCs w:val="24"/>
                <w:highlight w:val="none"/>
              </w:rPr>
            </w:pPr>
            <w:r>
              <w:rPr>
                <w:rFonts w:hint="eastAsia" w:ascii="宋体" w:hAnsi="宋体" w:cs="宋体"/>
                <w:color w:val="auto"/>
                <w:sz w:val="24"/>
                <w:szCs w:val="24"/>
                <w:highlight w:val="none"/>
              </w:rPr>
              <w:t>年毕业于            学校        专业</w:t>
            </w:r>
          </w:p>
        </w:tc>
      </w:tr>
      <w:tr w14:paraId="7B770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9700" w:type="dxa"/>
            <w:gridSpan w:val="9"/>
            <w:noWrap/>
            <w:vAlign w:val="center"/>
          </w:tcPr>
          <w:p w14:paraId="271C7228">
            <w:pPr>
              <w:spacing w:before="100" w:beforeAutospacing="1" w:after="100" w:afterAutospacing="1" w:line="44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主要工作经历</w:t>
            </w:r>
          </w:p>
        </w:tc>
      </w:tr>
      <w:tr w14:paraId="0EBDB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757" w:type="dxa"/>
            <w:gridSpan w:val="2"/>
            <w:noWrap/>
            <w:vAlign w:val="center"/>
          </w:tcPr>
          <w:p w14:paraId="1AE2342D">
            <w:pPr>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时  间</w:t>
            </w:r>
          </w:p>
        </w:tc>
        <w:tc>
          <w:tcPr>
            <w:tcW w:w="3893" w:type="dxa"/>
            <w:gridSpan w:val="4"/>
            <w:noWrap/>
            <w:vAlign w:val="center"/>
          </w:tcPr>
          <w:p w14:paraId="0A5E8568">
            <w:pPr>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参加过的类似项目</w:t>
            </w:r>
          </w:p>
        </w:tc>
        <w:tc>
          <w:tcPr>
            <w:tcW w:w="1435" w:type="dxa"/>
            <w:noWrap/>
            <w:vAlign w:val="center"/>
          </w:tcPr>
          <w:p w14:paraId="22F666B5">
            <w:pPr>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担任职务</w:t>
            </w:r>
          </w:p>
        </w:tc>
        <w:tc>
          <w:tcPr>
            <w:tcW w:w="2615" w:type="dxa"/>
            <w:gridSpan w:val="2"/>
            <w:noWrap/>
            <w:vAlign w:val="center"/>
          </w:tcPr>
          <w:p w14:paraId="0D50CA47">
            <w:pPr>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委托人及联系电话</w:t>
            </w:r>
          </w:p>
        </w:tc>
      </w:tr>
      <w:tr w14:paraId="72D3E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757" w:type="dxa"/>
            <w:gridSpan w:val="2"/>
            <w:noWrap/>
          </w:tcPr>
          <w:p w14:paraId="3B246407">
            <w:pPr>
              <w:spacing w:line="440" w:lineRule="exact"/>
              <w:rPr>
                <w:rFonts w:ascii="宋体" w:hAnsi="宋体" w:cs="宋体"/>
                <w:color w:val="auto"/>
                <w:sz w:val="24"/>
                <w:szCs w:val="24"/>
                <w:highlight w:val="none"/>
              </w:rPr>
            </w:pPr>
          </w:p>
        </w:tc>
        <w:tc>
          <w:tcPr>
            <w:tcW w:w="3893" w:type="dxa"/>
            <w:gridSpan w:val="4"/>
            <w:noWrap/>
          </w:tcPr>
          <w:p w14:paraId="5A9C66BA">
            <w:pPr>
              <w:spacing w:line="440" w:lineRule="exact"/>
              <w:rPr>
                <w:rFonts w:ascii="宋体" w:hAnsi="宋体" w:cs="宋体"/>
                <w:color w:val="auto"/>
                <w:sz w:val="24"/>
                <w:szCs w:val="24"/>
                <w:highlight w:val="none"/>
              </w:rPr>
            </w:pPr>
          </w:p>
        </w:tc>
        <w:tc>
          <w:tcPr>
            <w:tcW w:w="1435" w:type="dxa"/>
            <w:noWrap/>
          </w:tcPr>
          <w:p w14:paraId="7BD7DDAC">
            <w:pPr>
              <w:spacing w:line="440" w:lineRule="exact"/>
              <w:rPr>
                <w:rFonts w:ascii="宋体" w:hAnsi="宋体" w:cs="宋体"/>
                <w:color w:val="auto"/>
                <w:sz w:val="24"/>
                <w:szCs w:val="24"/>
                <w:highlight w:val="none"/>
              </w:rPr>
            </w:pPr>
          </w:p>
        </w:tc>
        <w:tc>
          <w:tcPr>
            <w:tcW w:w="2615" w:type="dxa"/>
            <w:gridSpan w:val="2"/>
            <w:noWrap/>
          </w:tcPr>
          <w:p w14:paraId="12B0001D">
            <w:pPr>
              <w:spacing w:line="440" w:lineRule="exact"/>
              <w:rPr>
                <w:rFonts w:ascii="宋体" w:hAnsi="宋体" w:cs="宋体"/>
                <w:color w:val="auto"/>
                <w:sz w:val="24"/>
                <w:szCs w:val="24"/>
                <w:highlight w:val="none"/>
              </w:rPr>
            </w:pPr>
          </w:p>
        </w:tc>
      </w:tr>
      <w:tr w14:paraId="260FA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757" w:type="dxa"/>
            <w:gridSpan w:val="2"/>
            <w:noWrap/>
          </w:tcPr>
          <w:p w14:paraId="16739684">
            <w:pPr>
              <w:spacing w:line="440" w:lineRule="exact"/>
              <w:rPr>
                <w:rFonts w:ascii="宋体" w:hAnsi="宋体" w:cs="宋体"/>
                <w:color w:val="auto"/>
                <w:sz w:val="24"/>
                <w:szCs w:val="24"/>
                <w:highlight w:val="none"/>
              </w:rPr>
            </w:pPr>
          </w:p>
        </w:tc>
        <w:tc>
          <w:tcPr>
            <w:tcW w:w="3893" w:type="dxa"/>
            <w:gridSpan w:val="4"/>
            <w:noWrap/>
          </w:tcPr>
          <w:p w14:paraId="6E7EAA7A">
            <w:pPr>
              <w:spacing w:line="440" w:lineRule="exact"/>
              <w:rPr>
                <w:rFonts w:ascii="宋体" w:hAnsi="宋体" w:cs="宋体"/>
                <w:color w:val="auto"/>
                <w:sz w:val="24"/>
                <w:szCs w:val="24"/>
                <w:highlight w:val="none"/>
              </w:rPr>
            </w:pPr>
          </w:p>
        </w:tc>
        <w:tc>
          <w:tcPr>
            <w:tcW w:w="1435" w:type="dxa"/>
            <w:noWrap/>
          </w:tcPr>
          <w:p w14:paraId="2F5173CA">
            <w:pPr>
              <w:spacing w:line="440" w:lineRule="exact"/>
              <w:rPr>
                <w:rFonts w:ascii="宋体" w:hAnsi="宋体" w:cs="宋体"/>
                <w:color w:val="auto"/>
                <w:sz w:val="24"/>
                <w:szCs w:val="24"/>
                <w:highlight w:val="none"/>
              </w:rPr>
            </w:pPr>
          </w:p>
        </w:tc>
        <w:tc>
          <w:tcPr>
            <w:tcW w:w="2615" w:type="dxa"/>
            <w:gridSpan w:val="2"/>
            <w:noWrap/>
          </w:tcPr>
          <w:p w14:paraId="45B89FC2">
            <w:pPr>
              <w:spacing w:line="440" w:lineRule="exact"/>
              <w:rPr>
                <w:rFonts w:ascii="宋体" w:hAnsi="宋体" w:cs="宋体"/>
                <w:color w:val="auto"/>
                <w:sz w:val="24"/>
                <w:szCs w:val="24"/>
                <w:highlight w:val="none"/>
              </w:rPr>
            </w:pPr>
          </w:p>
        </w:tc>
      </w:tr>
      <w:tr w14:paraId="3DB4E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757" w:type="dxa"/>
            <w:gridSpan w:val="2"/>
            <w:noWrap/>
          </w:tcPr>
          <w:p w14:paraId="73C8E4A9">
            <w:pPr>
              <w:spacing w:line="440" w:lineRule="exact"/>
              <w:rPr>
                <w:rFonts w:ascii="宋体" w:hAnsi="宋体" w:cs="宋体"/>
                <w:color w:val="auto"/>
                <w:sz w:val="24"/>
                <w:szCs w:val="24"/>
                <w:highlight w:val="none"/>
              </w:rPr>
            </w:pPr>
          </w:p>
        </w:tc>
        <w:tc>
          <w:tcPr>
            <w:tcW w:w="3893" w:type="dxa"/>
            <w:gridSpan w:val="4"/>
            <w:noWrap/>
          </w:tcPr>
          <w:p w14:paraId="653B141F">
            <w:pPr>
              <w:spacing w:line="440" w:lineRule="exact"/>
              <w:rPr>
                <w:rFonts w:ascii="宋体" w:hAnsi="宋体" w:cs="宋体"/>
                <w:color w:val="auto"/>
                <w:sz w:val="24"/>
                <w:szCs w:val="24"/>
                <w:highlight w:val="none"/>
              </w:rPr>
            </w:pPr>
          </w:p>
        </w:tc>
        <w:tc>
          <w:tcPr>
            <w:tcW w:w="1435" w:type="dxa"/>
            <w:noWrap/>
          </w:tcPr>
          <w:p w14:paraId="0AD22A39">
            <w:pPr>
              <w:spacing w:line="440" w:lineRule="exact"/>
              <w:rPr>
                <w:rFonts w:ascii="宋体" w:hAnsi="宋体" w:cs="宋体"/>
                <w:color w:val="auto"/>
                <w:sz w:val="24"/>
                <w:szCs w:val="24"/>
                <w:highlight w:val="none"/>
              </w:rPr>
            </w:pPr>
          </w:p>
        </w:tc>
        <w:tc>
          <w:tcPr>
            <w:tcW w:w="2615" w:type="dxa"/>
            <w:gridSpan w:val="2"/>
            <w:noWrap/>
          </w:tcPr>
          <w:p w14:paraId="5BACFAB1">
            <w:pPr>
              <w:spacing w:line="440" w:lineRule="exact"/>
              <w:rPr>
                <w:rFonts w:ascii="宋体" w:hAnsi="宋体" w:cs="宋体"/>
                <w:color w:val="auto"/>
                <w:sz w:val="24"/>
                <w:szCs w:val="24"/>
                <w:highlight w:val="none"/>
              </w:rPr>
            </w:pPr>
          </w:p>
        </w:tc>
      </w:tr>
      <w:tr w14:paraId="2E05F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757" w:type="dxa"/>
            <w:gridSpan w:val="2"/>
            <w:noWrap/>
            <w:vAlign w:val="center"/>
          </w:tcPr>
          <w:p w14:paraId="6C89F509">
            <w:pPr>
              <w:spacing w:line="440" w:lineRule="exact"/>
              <w:rPr>
                <w:rFonts w:ascii="宋体" w:hAnsi="宋体" w:cs="宋体"/>
                <w:color w:val="auto"/>
                <w:sz w:val="24"/>
                <w:szCs w:val="24"/>
                <w:highlight w:val="none"/>
              </w:rPr>
            </w:pPr>
          </w:p>
        </w:tc>
        <w:tc>
          <w:tcPr>
            <w:tcW w:w="3893" w:type="dxa"/>
            <w:gridSpan w:val="4"/>
            <w:noWrap/>
            <w:vAlign w:val="center"/>
          </w:tcPr>
          <w:p w14:paraId="4BB172F0">
            <w:pPr>
              <w:spacing w:line="440" w:lineRule="exact"/>
              <w:rPr>
                <w:rFonts w:ascii="宋体" w:hAnsi="宋体" w:cs="宋体"/>
                <w:color w:val="auto"/>
                <w:sz w:val="24"/>
                <w:szCs w:val="24"/>
                <w:highlight w:val="none"/>
              </w:rPr>
            </w:pPr>
          </w:p>
        </w:tc>
        <w:tc>
          <w:tcPr>
            <w:tcW w:w="1435" w:type="dxa"/>
            <w:noWrap/>
            <w:vAlign w:val="center"/>
          </w:tcPr>
          <w:p w14:paraId="51602314">
            <w:pPr>
              <w:spacing w:line="440" w:lineRule="exact"/>
              <w:rPr>
                <w:rFonts w:ascii="宋体" w:hAnsi="宋体" w:cs="宋体"/>
                <w:color w:val="auto"/>
                <w:sz w:val="24"/>
                <w:szCs w:val="24"/>
                <w:highlight w:val="none"/>
              </w:rPr>
            </w:pPr>
          </w:p>
        </w:tc>
        <w:tc>
          <w:tcPr>
            <w:tcW w:w="2615" w:type="dxa"/>
            <w:gridSpan w:val="2"/>
            <w:noWrap/>
            <w:vAlign w:val="center"/>
          </w:tcPr>
          <w:p w14:paraId="11E760CA">
            <w:pPr>
              <w:spacing w:line="440" w:lineRule="exact"/>
              <w:rPr>
                <w:rFonts w:ascii="宋体" w:hAnsi="宋体" w:cs="宋体"/>
                <w:color w:val="auto"/>
                <w:sz w:val="24"/>
                <w:szCs w:val="24"/>
                <w:highlight w:val="none"/>
              </w:rPr>
            </w:pPr>
          </w:p>
        </w:tc>
      </w:tr>
      <w:tr w14:paraId="558B8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757" w:type="dxa"/>
            <w:gridSpan w:val="2"/>
            <w:noWrap/>
            <w:vAlign w:val="center"/>
          </w:tcPr>
          <w:p w14:paraId="55EC4030">
            <w:pPr>
              <w:spacing w:line="440" w:lineRule="exact"/>
              <w:rPr>
                <w:rFonts w:ascii="宋体" w:hAnsi="宋体" w:cs="宋体"/>
                <w:color w:val="auto"/>
                <w:sz w:val="24"/>
                <w:szCs w:val="24"/>
                <w:highlight w:val="none"/>
              </w:rPr>
            </w:pPr>
          </w:p>
        </w:tc>
        <w:tc>
          <w:tcPr>
            <w:tcW w:w="3893" w:type="dxa"/>
            <w:gridSpan w:val="4"/>
            <w:noWrap/>
            <w:vAlign w:val="center"/>
          </w:tcPr>
          <w:p w14:paraId="6203E35E">
            <w:pPr>
              <w:spacing w:line="440" w:lineRule="exact"/>
              <w:rPr>
                <w:rFonts w:ascii="宋体" w:hAnsi="宋体" w:cs="宋体"/>
                <w:color w:val="auto"/>
                <w:sz w:val="24"/>
                <w:szCs w:val="24"/>
                <w:highlight w:val="none"/>
              </w:rPr>
            </w:pPr>
          </w:p>
        </w:tc>
        <w:tc>
          <w:tcPr>
            <w:tcW w:w="1435" w:type="dxa"/>
            <w:noWrap/>
            <w:vAlign w:val="center"/>
          </w:tcPr>
          <w:p w14:paraId="3A980B56">
            <w:pPr>
              <w:spacing w:line="440" w:lineRule="exact"/>
              <w:rPr>
                <w:rFonts w:ascii="宋体" w:hAnsi="宋体" w:cs="宋体"/>
                <w:color w:val="auto"/>
                <w:sz w:val="24"/>
                <w:szCs w:val="24"/>
                <w:highlight w:val="none"/>
              </w:rPr>
            </w:pPr>
          </w:p>
        </w:tc>
        <w:tc>
          <w:tcPr>
            <w:tcW w:w="2615" w:type="dxa"/>
            <w:gridSpan w:val="2"/>
            <w:noWrap/>
            <w:vAlign w:val="center"/>
          </w:tcPr>
          <w:p w14:paraId="4321F3E9">
            <w:pPr>
              <w:spacing w:line="440" w:lineRule="exact"/>
              <w:rPr>
                <w:rFonts w:ascii="宋体" w:hAnsi="宋体" w:cs="宋体"/>
                <w:color w:val="auto"/>
                <w:sz w:val="24"/>
                <w:szCs w:val="24"/>
                <w:highlight w:val="none"/>
              </w:rPr>
            </w:pPr>
          </w:p>
        </w:tc>
      </w:tr>
      <w:tr w14:paraId="0F4CD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757" w:type="dxa"/>
            <w:gridSpan w:val="2"/>
            <w:noWrap/>
            <w:vAlign w:val="center"/>
          </w:tcPr>
          <w:p w14:paraId="6F225322">
            <w:pPr>
              <w:spacing w:line="440" w:lineRule="exact"/>
              <w:rPr>
                <w:rFonts w:ascii="宋体" w:hAnsi="宋体" w:cs="宋体"/>
                <w:color w:val="auto"/>
                <w:sz w:val="24"/>
                <w:szCs w:val="24"/>
                <w:highlight w:val="none"/>
              </w:rPr>
            </w:pPr>
          </w:p>
        </w:tc>
        <w:tc>
          <w:tcPr>
            <w:tcW w:w="3893" w:type="dxa"/>
            <w:gridSpan w:val="4"/>
            <w:noWrap/>
            <w:vAlign w:val="center"/>
          </w:tcPr>
          <w:p w14:paraId="01751A43">
            <w:pPr>
              <w:spacing w:line="440" w:lineRule="exact"/>
              <w:rPr>
                <w:rFonts w:ascii="宋体" w:hAnsi="宋体" w:cs="宋体"/>
                <w:color w:val="auto"/>
                <w:sz w:val="24"/>
                <w:szCs w:val="24"/>
                <w:highlight w:val="none"/>
              </w:rPr>
            </w:pPr>
          </w:p>
        </w:tc>
        <w:tc>
          <w:tcPr>
            <w:tcW w:w="1435" w:type="dxa"/>
            <w:noWrap/>
            <w:vAlign w:val="center"/>
          </w:tcPr>
          <w:p w14:paraId="7201EDD9">
            <w:pPr>
              <w:spacing w:line="440" w:lineRule="exact"/>
              <w:rPr>
                <w:rFonts w:ascii="宋体" w:hAnsi="宋体" w:cs="宋体"/>
                <w:color w:val="auto"/>
                <w:sz w:val="24"/>
                <w:szCs w:val="24"/>
                <w:highlight w:val="none"/>
              </w:rPr>
            </w:pPr>
          </w:p>
        </w:tc>
        <w:tc>
          <w:tcPr>
            <w:tcW w:w="2615" w:type="dxa"/>
            <w:gridSpan w:val="2"/>
            <w:noWrap/>
            <w:vAlign w:val="center"/>
          </w:tcPr>
          <w:p w14:paraId="0AF7C1A8">
            <w:pPr>
              <w:spacing w:line="440" w:lineRule="exact"/>
              <w:rPr>
                <w:rFonts w:ascii="宋体" w:hAnsi="宋体" w:cs="宋体"/>
                <w:color w:val="auto"/>
                <w:sz w:val="24"/>
                <w:szCs w:val="24"/>
                <w:highlight w:val="none"/>
              </w:rPr>
            </w:pPr>
          </w:p>
        </w:tc>
      </w:tr>
      <w:tr w14:paraId="2A386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757" w:type="dxa"/>
            <w:gridSpan w:val="2"/>
            <w:noWrap/>
            <w:vAlign w:val="center"/>
          </w:tcPr>
          <w:p w14:paraId="4DAE1C99">
            <w:pPr>
              <w:spacing w:line="440" w:lineRule="exact"/>
              <w:rPr>
                <w:rFonts w:ascii="宋体" w:hAnsi="宋体" w:cs="宋体"/>
                <w:color w:val="auto"/>
                <w:sz w:val="24"/>
                <w:szCs w:val="24"/>
                <w:highlight w:val="none"/>
              </w:rPr>
            </w:pPr>
          </w:p>
        </w:tc>
        <w:tc>
          <w:tcPr>
            <w:tcW w:w="3893" w:type="dxa"/>
            <w:gridSpan w:val="4"/>
            <w:noWrap/>
            <w:vAlign w:val="center"/>
          </w:tcPr>
          <w:p w14:paraId="71B8079E">
            <w:pPr>
              <w:spacing w:line="440" w:lineRule="exact"/>
              <w:rPr>
                <w:rFonts w:ascii="宋体" w:hAnsi="宋体" w:cs="宋体"/>
                <w:color w:val="auto"/>
                <w:sz w:val="24"/>
                <w:szCs w:val="24"/>
                <w:highlight w:val="none"/>
              </w:rPr>
            </w:pPr>
          </w:p>
        </w:tc>
        <w:tc>
          <w:tcPr>
            <w:tcW w:w="1435" w:type="dxa"/>
            <w:noWrap/>
            <w:vAlign w:val="center"/>
          </w:tcPr>
          <w:p w14:paraId="019B4464">
            <w:pPr>
              <w:spacing w:line="440" w:lineRule="exact"/>
              <w:rPr>
                <w:rFonts w:ascii="宋体" w:hAnsi="宋体" w:cs="宋体"/>
                <w:color w:val="auto"/>
                <w:sz w:val="24"/>
                <w:szCs w:val="24"/>
                <w:highlight w:val="none"/>
              </w:rPr>
            </w:pPr>
          </w:p>
        </w:tc>
        <w:tc>
          <w:tcPr>
            <w:tcW w:w="2615" w:type="dxa"/>
            <w:gridSpan w:val="2"/>
            <w:noWrap/>
            <w:vAlign w:val="center"/>
          </w:tcPr>
          <w:p w14:paraId="49E036D6">
            <w:pPr>
              <w:spacing w:line="440" w:lineRule="exact"/>
              <w:rPr>
                <w:rFonts w:ascii="宋体" w:hAnsi="宋体" w:cs="宋体"/>
                <w:color w:val="auto"/>
                <w:sz w:val="24"/>
                <w:szCs w:val="24"/>
                <w:highlight w:val="none"/>
              </w:rPr>
            </w:pPr>
          </w:p>
        </w:tc>
      </w:tr>
    </w:tbl>
    <w:p w14:paraId="772D733E">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注：投标人应根据</w:t>
      </w:r>
      <w:r>
        <w:rPr>
          <w:rFonts w:hint="eastAsia"/>
          <w:color w:val="auto"/>
          <w:sz w:val="24"/>
          <w:szCs w:val="24"/>
          <w:highlight w:val="none"/>
        </w:rPr>
        <w:t>第三章评标办法前附表评分标准及说明</w:t>
      </w:r>
      <w:r>
        <w:rPr>
          <w:rFonts w:hint="eastAsia" w:ascii="宋体" w:hAnsi="宋体" w:cs="宋体"/>
          <w:color w:val="auto"/>
          <w:sz w:val="24"/>
          <w:szCs w:val="24"/>
          <w:highlight w:val="none"/>
        </w:rPr>
        <w:t>的要求在本表后附相关证明材料。</w:t>
      </w:r>
    </w:p>
    <w:p w14:paraId="477A326A">
      <w:pPr>
        <w:spacing w:line="440" w:lineRule="exact"/>
        <w:rPr>
          <w:rFonts w:ascii="宋体" w:hAnsi="宋体" w:cs="宋体"/>
          <w:color w:val="auto"/>
          <w:highlight w:val="none"/>
        </w:rPr>
      </w:pPr>
      <w:bookmarkStart w:id="331" w:name="_Toc300835229"/>
      <w:bookmarkStart w:id="332" w:name="_Toc352703741"/>
    </w:p>
    <w:p w14:paraId="52662FFB">
      <w:pPr>
        <w:spacing w:line="440" w:lineRule="exact"/>
        <w:rPr>
          <w:rFonts w:ascii="宋体" w:hAnsi="宋体" w:cs="宋体"/>
          <w:color w:val="auto"/>
          <w:highlight w:val="none"/>
        </w:rPr>
      </w:pPr>
    </w:p>
    <w:p w14:paraId="31192E60">
      <w:pPr>
        <w:spacing w:line="440" w:lineRule="exact"/>
        <w:rPr>
          <w:rFonts w:ascii="宋体" w:hAnsi="宋体" w:cs="宋体"/>
          <w:color w:val="auto"/>
          <w:highlight w:val="none"/>
        </w:rPr>
        <w:sectPr>
          <w:pgSz w:w="11907" w:h="16840"/>
          <w:pgMar w:top="1134" w:right="1134" w:bottom="1134" w:left="1417" w:header="851" w:footer="850" w:gutter="0"/>
          <w:cols w:space="720" w:num="1"/>
          <w:docGrid w:linePitch="326" w:charSpace="0"/>
        </w:sectPr>
      </w:pPr>
    </w:p>
    <w:p w14:paraId="1857F5E0">
      <w:pPr>
        <w:pStyle w:val="2"/>
        <w:spacing w:line="360" w:lineRule="auto"/>
        <w:jc w:val="center"/>
        <w:outlineLvl w:val="1"/>
        <w:rPr>
          <w:b/>
          <w:bCs/>
          <w:color w:val="auto"/>
          <w:sz w:val="32"/>
          <w:szCs w:val="32"/>
          <w:highlight w:val="none"/>
        </w:rPr>
      </w:pPr>
      <w:r>
        <w:rPr>
          <w:rFonts w:hint="eastAsia"/>
          <w:b/>
          <w:bCs/>
          <w:color w:val="auto"/>
          <w:sz w:val="32"/>
          <w:szCs w:val="32"/>
          <w:highlight w:val="none"/>
        </w:rPr>
        <w:t>（五）投标人认为需提供的其他材料（格式自拟）。</w:t>
      </w:r>
    </w:p>
    <w:p w14:paraId="05D820A7">
      <w:pPr>
        <w:pStyle w:val="2"/>
        <w:spacing w:line="360" w:lineRule="auto"/>
        <w:jc w:val="left"/>
        <w:outlineLvl w:val="1"/>
        <w:rPr>
          <w:b/>
          <w:bCs/>
          <w:color w:val="auto"/>
          <w:sz w:val="28"/>
          <w:szCs w:val="28"/>
          <w:highlight w:val="none"/>
        </w:rPr>
      </w:pPr>
      <w:r>
        <w:rPr>
          <w:rFonts w:hint="eastAsia"/>
          <w:b/>
          <w:bCs/>
          <w:color w:val="auto"/>
          <w:sz w:val="28"/>
          <w:szCs w:val="28"/>
          <w:highlight w:val="none"/>
        </w:rPr>
        <w:t>（注：投标人应根据第三章评标办法前附表评分标准及说明的要求附相关证明材料）。</w:t>
      </w:r>
    </w:p>
    <w:bookmarkEnd w:id="331"/>
    <w:bookmarkEnd w:id="332"/>
    <w:p w14:paraId="044A62B7">
      <w:pPr>
        <w:rPr>
          <w:rFonts w:ascii="宋体" w:hAnsi="宋体" w:cs="宋体"/>
          <w:color w:val="auto"/>
          <w:highlight w:val="none"/>
        </w:rPr>
      </w:pPr>
    </w:p>
    <w:bookmarkEnd w:id="219"/>
    <w:p w14:paraId="1BBDD644">
      <w:pPr>
        <w:pStyle w:val="2"/>
        <w:spacing w:line="360" w:lineRule="auto"/>
        <w:rPr>
          <w:color w:val="auto"/>
          <w:highlight w:val="none"/>
        </w:rPr>
      </w:pPr>
    </w:p>
    <w:p w14:paraId="7ED50451">
      <w:pPr>
        <w:rPr>
          <w:color w:val="auto"/>
          <w:highlight w:val="none"/>
        </w:rPr>
      </w:pPr>
    </w:p>
    <w:sectPr>
      <w:pgSz w:w="11907" w:h="16840"/>
      <w:pgMar w:top="1134" w:right="1134" w:bottom="1134" w:left="1417" w:header="851" w:footer="85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Consolas">
    <w:panose1 w:val="020B0609020204030204"/>
    <w:charset w:val="00"/>
    <w:family w:val="modern"/>
    <w:pitch w:val="default"/>
    <w:sig w:usb0="E00006FF" w:usb1="0000FCFF" w:usb2="00000001" w:usb3="00000000" w:csb0="6000019F" w:csb1="DFD70000"/>
  </w:font>
  <w:font w:name="新宋体">
    <w:panose1 w:val="02010609030101010101"/>
    <w:charset w:val="86"/>
    <w:family w:val="modern"/>
    <w:pitch w:val="default"/>
    <w:sig w:usb0="0000028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D9C69">
    <w:pPr>
      <w:pStyle w:val="2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3C518">
    <w:pPr>
      <w:pStyle w:val="20"/>
      <w:framePr w:wrap="around" w:vAnchor="text" w:hAnchor="margin" w:xAlign="right" w:y="1"/>
      <w:rPr>
        <w:rStyle w:val="34"/>
      </w:rPr>
    </w:pPr>
    <w:r>
      <w:fldChar w:fldCharType="begin"/>
    </w:r>
    <w:r>
      <w:rPr>
        <w:rStyle w:val="34"/>
      </w:rPr>
      <w:instrText xml:space="preserve">PAGE  </w:instrText>
    </w:r>
    <w:r>
      <w:fldChar w:fldCharType="separate"/>
    </w:r>
    <w:r>
      <w:rPr>
        <w:rStyle w:val="34"/>
      </w:rPr>
      <w:t>29</w:t>
    </w:r>
    <w:r>
      <w:fldChar w:fldCharType="end"/>
    </w:r>
  </w:p>
  <w:p w14:paraId="2BCE519F">
    <w:pPr>
      <w:pStyle w:val="2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45B80">
    <w:pPr>
      <w:pStyle w:val="20"/>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2DCAE84">
                          <w:pPr>
                            <w:pStyle w:val="20"/>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42DCAE84">
                    <w:pPr>
                      <w:pStyle w:val="20"/>
                    </w:pPr>
                    <w:r>
                      <w:fldChar w:fldCharType="begin"/>
                    </w:r>
                    <w:r>
                      <w:instrText xml:space="preserve"> PAGE  \* MERGEFORMAT </w:instrText>
                    </w:r>
                    <w:r>
                      <w:fldChar w:fldCharType="separate"/>
                    </w:r>
                    <w:r>
                      <w:t>49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B5F44B"/>
    <w:multiLevelType w:val="singleLevel"/>
    <w:tmpl w:val="A8B5F44B"/>
    <w:lvl w:ilvl="0" w:tentative="0">
      <w:start w:val="6"/>
      <w:numFmt w:val="chineseCounting"/>
      <w:suff w:val="space"/>
      <w:lvlText w:val="第%1章"/>
      <w:lvlJc w:val="left"/>
      <w:rPr>
        <w:rFonts w:hint="eastAsia"/>
      </w:rPr>
    </w:lvl>
  </w:abstractNum>
  <w:abstractNum w:abstractNumId="1">
    <w:nsid w:val="CEF6CE59"/>
    <w:multiLevelType w:val="singleLevel"/>
    <w:tmpl w:val="CEF6CE59"/>
    <w:lvl w:ilvl="0" w:tentative="0">
      <w:start w:val="1"/>
      <w:numFmt w:val="decimal"/>
      <w:suff w:val="nothing"/>
      <w:lvlText w:val="%1、"/>
      <w:lvlJc w:val="left"/>
    </w:lvl>
  </w:abstractNum>
  <w:abstractNum w:abstractNumId="2">
    <w:nsid w:val="19F22F95"/>
    <w:multiLevelType w:val="singleLevel"/>
    <w:tmpl w:val="19F22F95"/>
    <w:lvl w:ilvl="0" w:tentative="0">
      <w:start w:val="2"/>
      <w:numFmt w:val="chineseCounting"/>
      <w:suff w:val="nothing"/>
      <w:lvlText w:val="（%1）"/>
      <w:lvlJc w:val="left"/>
      <w:rPr>
        <w:rFonts w:hint="eastAsia"/>
      </w:rPr>
    </w:lvl>
  </w:abstractNum>
  <w:abstractNum w:abstractNumId="3">
    <w:nsid w:val="228A78DC"/>
    <w:multiLevelType w:val="singleLevel"/>
    <w:tmpl w:val="228A78DC"/>
    <w:lvl w:ilvl="0" w:tentative="0">
      <w:start w:val="1"/>
      <w:numFmt w:val="upperLetter"/>
      <w:lvlText w:val="%1."/>
      <w:lvlJc w:val="left"/>
      <w:pPr>
        <w:tabs>
          <w:tab w:val="left" w:pos="312"/>
        </w:tabs>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hMDg1ZWI4OWY2MmMxNzA2MjgwMmVjMjllNDg4MTcifQ=="/>
  </w:docVars>
  <w:rsids>
    <w:rsidRoot w:val="00FC08E4"/>
    <w:rsid w:val="0003156D"/>
    <w:rsid w:val="000523B0"/>
    <w:rsid w:val="0006009C"/>
    <w:rsid w:val="000664FC"/>
    <w:rsid w:val="000A56FC"/>
    <w:rsid w:val="000B6C07"/>
    <w:rsid w:val="000D1286"/>
    <w:rsid w:val="000E6E5D"/>
    <w:rsid w:val="000E7B07"/>
    <w:rsid w:val="0013764E"/>
    <w:rsid w:val="001946FA"/>
    <w:rsid w:val="001B5A26"/>
    <w:rsid w:val="001E41DC"/>
    <w:rsid w:val="002803E8"/>
    <w:rsid w:val="002870D1"/>
    <w:rsid w:val="002A4D5A"/>
    <w:rsid w:val="002A4F7E"/>
    <w:rsid w:val="002B4B89"/>
    <w:rsid w:val="002E493B"/>
    <w:rsid w:val="00384559"/>
    <w:rsid w:val="00385C0B"/>
    <w:rsid w:val="003A1982"/>
    <w:rsid w:val="003D0346"/>
    <w:rsid w:val="0041693C"/>
    <w:rsid w:val="00456B69"/>
    <w:rsid w:val="00460EF7"/>
    <w:rsid w:val="004851EE"/>
    <w:rsid w:val="004A2028"/>
    <w:rsid w:val="00503B17"/>
    <w:rsid w:val="0053287A"/>
    <w:rsid w:val="005A54A8"/>
    <w:rsid w:val="005A7D19"/>
    <w:rsid w:val="005D0A82"/>
    <w:rsid w:val="00662512"/>
    <w:rsid w:val="006F27D2"/>
    <w:rsid w:val="006F3BB1"/>
    <w:rsid w:val="0073566E"/>
    <w:rsid w:val="0075184B"/>
    <w:rsid w:val="0076382B"/>
    <w:rsid w:val="00764296"/>
    <w:rsid w:val="0077664D"/>
    <w:rsid w:val="00797C88"/>
    <w:rsid w:val="007B26A4"/>
    <w:rsid w:val="00816A7E"/>
    <w:rsid w:val="00817D49"/>
    <w:rsid w:val="008571D3"/>
    <w:rsid w:val="00895F34"/>
    <w:rsid w:val="009115AB"/>
    <w:rsid w:val="00936253"/>
    <w:rsid w:val="0094536F"/>
    <w:rsid w:val="00951DC1"/>
    <w:rsid w:val="009B3913"/>
    <w:rsid w:val="009B7222"/>
    <w:rsid w:val="009D7A86"/>
    <w:rsid w:val="00A365BE"/>
    <w:rsid w:val="00A77B90"/>
    <w:rsid w:val="00AA5171"/>
    <w:rsid w:val="00AC64FC"/>
    <w:rsid w:val="00AE6823"/>
    <w:rsid w:val="00AF1A6D"/>
    <w:rsid w:val="00B0161A"/>
    <w:rsid w:val="00B10FF2"/>
    <w:rsid w:val="00B408B8"/>
    <w:rsid w:val="00B94146"/>
    <w:rsid w:val="00BB1EEE"/>
    <w:rsid w:val="00BF213F"/>
    <w:rsid w:val="00C24AE9"/>
    <w:rsid w:val="00C72C90"/>
    <w:rsid w:val="00C7775F"/>
    <w:rsid w:val="00CD3E37"/>
    <w:rsid w:val="00CF544D"/>
    <w:rsid w:val="00D11C23"/>
    <w:rsid w:val="00D45E8F"/>
    <w:rsid w:val="00D60F01"/>
    <w:rsid w:val="00DE46AA"/>
    <w:rsid w:val="00E04F36"/>
    <w:rsid w:val="00E64226"/>
    <w:rsid w:val="00EA6341"/>
    <w:rsid w:val="00EE70D3"/>
    <w:rsid w:val="00F103F9"/>
    <w:rsid w:val="00F80662"/>
    <w:rsid w:val="00F86EBB"/>
    <w:rsid w:val="00FA41A1"/>
    <w:rsid w:val="00FB2575"/>
    <w:rsid w:val="00FB3DFE"/>
    <w:rsid w:val="00FC08E4"/>
    <w:rsid w:val="00FC412B"/>
    <w:rsid w:val="00FF6188"/>
    <w:rsid w:val="0115485A"/>
    <w:rsid w:val="048F1E4E"/>
    <w:rsid w:val="04B54D46"/>
    <w:rsid w:val="07DD0B58"/>
    <w:rsid w:val="086A6195"/>
    <w:rsid w:val="091D76C2"/>
    <w:rsid w:val="0A715455"/>
    <w:rsid w:val="0ACA05AD"/>
    <w:rsid w:val="0B2A15F5"/>
    <w:rsid w:val="0B5C0EE2"/>
    <w:rsid w:val="0CE46C41"/>
    <w:rsid w:val="0DA5126E"/>
    <w:rsid w:val="11946767"/>
    <w:rsid w:val="12E87513"/>
    <w:rsid w:val="135D2FD8"/>
    <w:rsid w:val="14991E74"/>
    <w:rsid w:val="152C3048"/>
    <w:rsid w:val="197930D4"/>
    <w:rsid w:val="1C515F79"/>
    <w:rsid w:val="1F9611CB"/>
    <w:rsid w:val="28AF5D4A"/>
    <w:rsid w:val="2E932177"/>
    <w:rsid w:val="31A07EFD"/>
    <w:rsid w:val="335813F7"/>
    <w:rsid w:val="33B00B4D"/>
    <w:rsid w:val="345F7CDC"/>
    <w:rsid w:val="3AE7679C"/>
    <w:rsid w:val="40D27327"/>
    <w:rsid w:val="41A1641C"/>
    <w:rsid w:val="44A61100"/>
    <w:rsid w:val="46C469BE"/>
    <w:rsid w:val="477D5A90"/>
    <w:rsid w:val="4C054B4E"/>
    <w:rsid w:val="4D2D0845"/>
    <w:rsid w:val="4DDE00FE"/>
    <w:rsid w:val="4F6B7972"/>
    <w:rsid w:val="53AA0A8D"/>
    <w:rsid w:val="545876E7"/>
    <w:rsid w:val="549C03CB"/>
    <w:rsid w:val="56B9054D"/>
    <w:rsid w:val="56BF0021"/>
    <w:rsid w:val="599211F9"/>
    <w:rsid w:val="5BB771F2"/>
    <w:rsid w:val="5EBB24AD"/>
    <w:rsid w:val="611759A9"/>
    <w:rsid w:val="61B9080E"/>
    <w:rsid w:val="62587902"/>
    <w:rsid w:val="65AA6AFE"/>
    <w:rsid w:val="663704C4"/>
    <w:rsid w:val="66BD553F"/>
    <w:rsid w:val="6A8F782C"/>
    <w:rsid w:val="6CB7400F"/>
    <w:rsid w:val="6D920165"/>
    <w:rsid w:val="6E516C3B"/>
    <w:rsid w:val="713B3C30"/>
    <w:rsid w:val="75DF7502"/>
    <w:rsid w:val="75F92C8E"/>
    <w:rsid w:val="774A4F65"/>
    <w:rsid w:val="784F59BE"/>
    <w:rsid w:val="7CE77D92"/>
    <w:rsid w:val="7D5C309E"/>
    <w:rsid w:val="7FC97D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iPriority="0" w:semiHidden="0"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44"/>
    <w:qFormat/>
    <w:uiPriority w:val="0"/>
    <w:pPr>
      <w:keepNext/>
      <w:keepLines/>
      <w:spacing w:before="340" w:after="330" w:line="576" w:lineRule="auto"/>
      <w:outlineLvl w:val="0"/>
    </w:pPr>
    <w:rPr>
      <w:b/>
      <w:kern w:val="44"/>
      <w:sz w:val="44"/>
      <w:szCs w:val="20"/>
    </w:rPr>
  </w:style>
  <w:style w:type="paragraph" w:styleId="4">
    <w:name w:val="heading 2"/>
    <w:basedOn w:val="1"/>
    <w:next w:val="1"/>
    <w:link w:val="45"/>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46"/>
    <w:qFormat/>
    <w:uiPriority w:val="0"/>
    <w:pPr>
      <w:keepNext/>
      <w:keepLines/>
      <w:spacing w:line="360" w:lineRule="auto"/>
      <w:outlineLvl w:val="2"/>
    </w:pPr>
    <w:rPr>
      <w:bCs/>
      <w:sz w:val="24"/>
      <w:szCs w:val="32"/>
    </w:rPr>
  </w:style>
  <w:style w:type="paragraph" w:styleId="6">
    <w:name w:val="heading 4"/>
    <w:basedOn w:val="1"/>
    <w:next w:val="1"/>
    <w:link w:val="47"/>
    <w:qFormat/>
    <w:uiPriority w:val="0"/>
    <w:pPr>
      <w:keepNext/>
      <w:keepLines/>
      <w:adjustRightInd w:val="0"/>
      <w:snapToGrid w:val="0"/>
      <w:spacing w:line="500" w:lineRule="exact"/>
      <w:ind w:left="426"/>
      <w:outlineLvl w:val="3"/>
    </w:pPr>
    <w:rPr>
      <w:rFonts w:ascii="Arial" w:hAnsi="Arial"/>
      <w:bCs/>
      <w:sz w:val="24"/>
      <w:szCs w:val="28"/>
    </w:rPr>
  </w:style>
  <w:style w:type="paragraph" w:styleId="7">
    <w:name w:val="heading 5"/>
    <w:basedOn w:val="1"/>
    <w:next w:val="1"/>
    <w:link w:val="48"/>
    <w:qFormat/>
    <w:uiPriority w:val="0"/>
    <w:pPr>
      <w:keepNext/>
      <w:keepLines/>
      <w:tabs>
        <w:tab w:val="left" w:pos="33"/>
      </w:tabs>
      <w:spacing w:before="280" w:after="290"/>
      <w:ind w:left="436" w:firstLine="448"/>
      <w:outlineLvl w:val="4"/>
    </w:pPr>
    <w:rPr>
      <w:bCs/>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55"/>
    <w:qFormat/>
    <w:uiPriority w:val="0"/>
    <w:rPr>
      <w:rFonts w:ascii="宋体" w:hAnsi="Courier New" w:cs="Courier New"/>
      <w:szCs w:val="21"/>
    </w:rPr>
  </w:style>
  <w:style w:type="paragraph" w:styleId="8">
    <w:name w:val="Normal Indent"/>
    <w:basedOn w:val="1"/>
    <w:next w:val="1"/>
    <w:qFormat/>
    <w:uiPriority w:val="0"/>
    <w:pPr>
      <w:adjustRightInd w:val="0"/>
      <w:spacing w:line="360" w:lineRule="atLeast"/>
      <w:ind w:firstLine="420"/>
      <w:textAlignment w:val="baseline"/>
    </w:pPr>
    <w:rPr>
      <w:szCs w:val="20"/>
      <w:lang w:val="zh-CN"/>
    </w:rPr>
  </w:style>
  <w:style w:type="paragraph" w:styleId="9">
    <w:name w:val="Document Map"/>
    <w:basedOn w:val="1"/>
    <w:link w:val="50"/>
    <w:semiHidden/>
    <w:qFormat/>
    <w:uiPriority w:val="0"/>
    <w:pPr>
      <w:shd w:val="clear" w:color="auto" w:fill="000080"/>
    </w:pPr>
  </w:style>
  <w:style w:type="paragraph" w:styleId="10">
    <w:name w:val="toa heading"/>
    <w:basedOn w:val="1"/>
    <w:next w:val="1"/>
    <w:unhideWhenUsed/>
    <w:qFormat/>
    <w:uiPriority w:val="99"/>
    <w:pPr>
      <w:spacing w:before="120"/>
    </w:pPr>
    <w:rPr>
      <w:rFonts w:ascii="Cambria" w:hAnsi="Cambria" w:cs="Times New Roman"/>
      <w:sz w:val="24"/>
      <w:szCs w:val="24"/>
    </w:rPr>
  </w:style>
  <w:style w:type="paragraph" w:styleId="11">
    <w:name w:val="annotation text"/>
    <w:basedOn w:val="1"/>
    <w:next w:val="1"/>
    <w:link w:val="51"/>
    <w:qFormat/>
    <w:uiPriority w:val="0"/>
    <w:pPr>
      <w:jc w:val="left"/>
    </w:pPr>
    <w:rPr>
      <w:szCs w:val="20"/>
    </w:rPr>
  </w:style>
  <w:style w:type="paragraph" w:styleId="12">
    <w:name w:val="Body Text 3"/>
    <w:basedOn w:val="1"/>
    <w:link w:val="52"/>
    <w:qFormat/>
    <w:uiPriority w:val="0"/>
    <w:pPr>
      <w:spacing w:after="120"/>
    </w:pPr>
    <w:rPr>
      <w:sz w:val="16"/>
      <w:szCs w:val="16"/>
    </w:rPr>
  </w:style>
  <w:style w:type="paragraph" w:styleId="13">
    <w:name w:val="Body Text"/>
    <w:basedOn w:val="1"/>
    <w:next w:val="1"/>
    <w:link w:val="53"/>
    <w:qFormat/>
    <w:uiPriority w:val="0"/>
    <w:pPr>
      <w:spacing w:after="120"/>
    </w:pPr>
    <w:rPr>
      <w:szCs w:val="24"/>
    </w:rPr>
  </w:style>
  <w:style w:type="paragraph" w:styleId="14">
    <w:name w:val="Body Text Indent"/>
    <w:basedOn w:val="1"/>
    <w:next w:val="15"/>
    <w:link w:val="54"/>
    <w:qFormat/>
    <w:uiPriority w:val="0"/>
    <w:pPr>
      <w:spacing w:after="120"/>
      <w:ind w:left="420" w:leftChars="200"/>
    </w:pPr>
  </w:style>
  <w:style w:type="paragraph" w:styleId="15">
    <w:name w:val="envelope return"/>
    <w:basedOn w:val="1"/>
    <w:qFormat/>
    <w:uiPriority w:val="0"/>
    <w:pPr>
      <w:snapToGrid w:val="0"/>
    </w:pPr>
    <w:rPr>
      <w:rFonts w:ascii="Arial" w:hAnsi="Arial"/>
      <w:szCs w:val="24"/>
    </w:rPr>
  </w:style>
  <w:style w:type="paragraph" w:styleId="16">
    <w:name w:val="index 4"/>
    <w:basedOn w:val="1"/>
    <w:next w:val="1"/>
    <w:unhideWhenUsed/>
    <w:qFormat/>
    <w:uiPriority w:val="99"/>
    <w:pPr>
      <w:ind w:left="600" w:leftChars="600"/>
    </w:pPr>
  </w:style>
  <w:style w:type="paragraph" w:styleId="17">
    <w:name w:val="Date"/>
    <w:basedOn w:val="1"/>
    <w:next w:val="1"/>
    <w:link w:val="56"/>
    <w:qFormat/>
    <w:uiPriority w:val="0"/>
    <w:pPr>
      <w:ind w:left="100" w:leftChars="2500"/>
    </w:pPr>
  </w:style>
  <w:style w:type="paragraph" w:styleId="18">
    <w:name w:val="endnote text"/>
    <w:basedOn w:val="1"/>
    <w:link w:val="57"/>
    <w:unhideWhenUsed/>
    <w:qFormat/>
    <w:uiPriority w:val="0"/>
    <w:pPr>
      <w:snapToGrid w:val="0"/>
      <w:jc w:val="left"/>
    </w:pPr>
    <w:rPr>
      <w:rFonts w:eastAsia="Calibri"/>
      <w:kern w:val="0"/>
      <w:sz w:val="22"/>
      <w:lang w:eastAsia="en-US"/>
    </w:rPr>
  </w:style>
  <w:style w:type="paragraph" w:styleId="19">
    <w:name w:val="Balloon Text"/>
    <w:basedOn w:val="1"/>
    <w:link w:val="58"/>
    <w:semiHidden/>
    <w:qFormat/>
    <w:uiPriority w:val="0"/>
    <w:rPr>
      <w:sz w:val="18"/>
      <w:szCs w:val="18"/>
    </w:rPr>
  </w:style>
  <w:style w:type="paragraph" w:styleId="20">
    <w:name w:val="footer"/>
    <w:basedOn w:val="1"/>
    <w:link w:val="49"/>
    <w:qFormat/>
    <w:uiPriority w:val="0"/>
    <w:pPr>
      <w:tabs>
        <w:tab w:val="center" w:pos="4153"/>
        <w:tab w:val="right" w:pos="8306"/>
      </w:tabs>
      <w:snapToGrid w:val="0"/>
      <w:jc w:val="left"/>
    </w:pPr>
    <w:rPr>
      <w:sz w:val="18"/>
      <w:szCs w:val="18"/>
    </w:rPr>
  </w:style>
  <w:style w:type="paragraph" w:styleId="21">
    <w:name w:val="header"/>
    <w:basedOn w:val="1"/>
    <w:link w:val="59"/>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footnote text"/>
    <w:basedOn w:val="1"/>
    <w:link w:val="60"/>
    <w:semiHidden/>
    <w:qFormat/>
    <w:uiPriority w:val="0"/>
    <w:pPr>
      <w:snapToGrid w:val="0"/>
      <w:jc w:val="left"/>
    </w:pPr>
    <w:rPr>
      <w:sz w:val="18"/>
      <w:szCs w:val="18"/>
    </w:rPr>
  </w:style>
  <w:style w:type="paragraph" w:styleId="24">
    <w:name w:val="Body Text Indent 3"/>
    <w:basedOn w:val="1"/>
    <w:link w:val="61"/>
    <w:qFormat/>
    <w:uiPriority w:val="0"/>
    <w:pPr>
      <w:spacing w:after="120"/>
      <w:ind w:left="420" w:leftChars="200"/>
    </w:pPr>
    <w:rPr>
      <w:sz w:val="16"/>
      <w:szCs w:val="16"/>
    </w:rPr>
  </w:style>
  <w:style w:type="paragraph" w:styleId="25">
    <w:name w:val="HTML Preformatted"/>
    <w:basedOn w:val="1"/>
    <w:link w:val="62"/>
    <w:qFormat/>
    <w:uiPriority w:val="0"/>
    <w:rPr>
      <w:rFonts w:ascii="Courier New" w:hAnsi="Courier New" w:cs="Courier New"/>
      <w:sz w:val="20"/>
      <w:szCs w:val="20"/>
    </w:r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7">
    <w:name w:val="annotation subject"/>
    <w:basedOn w:val="11"/>
    <w:next w:val="11"/>
    <w:link w:val="63"/>
    <w:semiHidden/>
    <w:qFormat/>
    <w:uiPriority w:val="0"/>
    <w:rPr>
      <w:rFonts w:ascii="Calibri" w:hAnsi="Calibri"/>
      <w:b/>
      <w:bCs/>
      <w:szCs w:val="22"/>
    </w:rPr>
  </w:style>
  <w:style w:type="paragraph" w:styleId="28">
    <w:name w:val="Body Text First Indent"/>
    <w:basedOn w:val="13"/>
    <w:link w:val="64"/>
    <w:qFormat/>
    <w:uiPriority w:val="0"/>
    <w:pPr>
      <w:ind w:firstLine="420" w:firstLineChars="100"/>
    </w:pPr>
    <w:rPr>
      <w:rFonts w:ascii="Calibri" w:hAnsi="Calibri"/>
      <w:szCs w:val="22"/>
    </w:rPr>
  </w:style>
  <w:style w:type="paragraph" w:styleId="29">
    <w:name w:val="Body Text First Indent 2"/>
    <w:basedOn w:val="14"/>
    <w:link w:val="65"/>
    <w:qFormat/>
    <w:uiPriority w:val="0"/>
    <w:pPr>
      <w:ind w:left="200" w:firstLine="200" w:firstLineChars="200"/>
    </w:pPr>
    <w:rPr>
      <w:rFonts w:ascii="Calibri" w:hAnsi="Calibri"/>
      <w:color w:val="0D0D0D"/>
      <w:szCs w:val="24"/>
      <w:lang w:eastAsia="en-US"/>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qFormat/>
    <w:uiPriority w:val="22"/>
    <w:rPr>
      <w:b/>
      <w:bCs/>
    </w:rPr>
  </w:style>
  <w:style w:type="character" w:styleId="34">
    <w:name w:val="page number"/>
    <w:qFormat/>
    <w:uiPriority w:val="0"/>
  </w:style>
  <w:style w:type="character" w:styleId="35">
    <w:name w:val="FollowedHyperlink"/>
    <w:qFormat/>
    <w:uiPriority w:val="0"/>
    <w:rPr>
      <w:rFonts w:hint="eastAsia" w:ascii="微软雅黑" w:hAnsi="微软雅黑" w:eastAsia="微软雅黑" w:cs="微软雅黑"/>
      <w:color w:val="337AB7"/>
      <w:u w:val="none"/>
    </w:rPr>
  </w:style>
  <w:style w:type="character" w:styleId="36">
    <w:name w:val="Emphasis"/>
    <w:qFormat/>
    <w:uiPriority w:val="0"/>
    <w:rPr>
      <w:rFonts w:eastAsia="华文仿宋" w:cs="Times New Roman"/>
      <w:sz w:val="24"/>
    </w:rPr>
  </w:style>
  <w:style w:type="character" w:styleId="37">
    <w:name w:val="HTML Definition"/>
    <w:qFormat/>
    <w:uiPriority w:val="0"/>
    <w:rPr>
      <w:i/>
    </w:rPr>
  </w:style>
  <w:style w:type="character" w:styleId="38">
    <w:name w:val="Hyperlink"/>
    <w:qFormat/>
    <w:uiPriority w:val="99"/>
    <w:rPr>
      <w:color w:val="0000FF"/>
      <w:u w:val="single"/>
    </w:rPr>
  </w:style>
  <w:style w:type="character" w:styleId="39">
    <w:name w:val="HTML Code"/>
    <w:qFormat/>
    <w:uiPriority w:val="0"/>
    <w:rPr>
      <w:rFonts w:ascii="Consolas" w:hAnsi="Consolas" w:eastAsia="Consolas" w:cs="Consolas"/>
      <w:color w:val="C7254E"/>
      <w:sz w:val="21"/>
      <w:szCs w:val="21"/>
      <w:bdr w:val="single" w:color="E1E1E1" w:sz="6" w:space="0"/>
      <w:shd w:val="clear" w:color="auto" w:fill="F9F2F4"/>
    </w:rPr>
  </w:style>
  <w:style w:type="character" w:styleId="40">
    <w:name w:val="annotation reference"/>
    <w:qFormat/>
    <w:uiPriority w:val="0"/>
    <w:rPr>
      <w:rFonts w:cs="Times New Roman"/>
      <w:sz w:val="21"/>
    </w:rPr>
  </w:style>
  <w:style w:type="character" w:styleId="41">
    <w:name w:val="HTML Keyboard"/>
    <w:qFormat/>
    <w:uiPriority w:val="0"/>
    <w:rPr>
      <w:rFonts w:hint="default" w:ascii="Consolas" w:hAnsi="Consolas" w:eastAsia="Consolas" w:cs="Consolas"/>
      <w:color w:val="FFFFFF"/>
      <w:sz w:val="21"/>
      <w:szCs w:val="21"/>
      <w:shd w:val="clear" w:color="auto" w:fill="333333"/>
    </w:rPr>
  </w:style>
  <w:style w:type="character" w:styleId="42">
    <w:name w:val="HTML Sample"/>
    <w:qFormat/>
    <w:uiPriority w:val="0"/>
    <w:rPr>
      <w:rFonts w:hint="default" w:ascii="Consolas" w:hAnsi="Consolas" w:eastAsia="Consolas" w:cs="Consolas"/>
      <w:sz w:val="21"/>
      <w:szCs w:val="21"/>
    </w:rPr>
  </w:style>
  <w:style w:type="paragraph" w:customStyle="1" w:styleId="43">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44">
    <w:name w:val="标题 1 Char"/>
    <w:basedOn w:val="32"/>
    <w:link w:val="3"/>
    <w:qFormat/>
    <w:uiPriority w:val="0"/>
    <w:rPr>
      <w:rFonts w:ascii="Times New Roman" w:hAnsi="Times New Roman" w:eastAsia="宋体" w:cs="Times New Roman"/>
      <w:b/>
      <w:kern w:val="44"/>
      <w:sz w:val="44"/>
      <w:szCs w:val="20"/>
    </w:rPr>
  </w:style>
  <w:style w:type="character" w:customStyle="1" w:styleId="45">
    <w:name w:val="标题 2 Char"/>
    <w:basedOn w:val="32"/>
    <w:link w:val="4"/>
    <w:qFormat/>
    <w:uiPriority w:val="0"/>
    <w:rPr>
      <w:rFonts w:ascii="Arial" w:hAnsi="Arial" w:eastAsia="黑体" w:cs="Times New Roman"/>
      <w:b/>
      <w:sz w:val="32"/>
      <w:szCs w:val="20"/>
    </w:rPr>
  </w:style>
  <w:style w:type="character" w:customStyle="1" w:styleId="46">
    <w:name w:val="标题 3 Char"/>
    <w:basedOn w:val="32"/>
    <w:link w:val="5"/>
    <w:qFormat/>
    <w:uiPriority w:val="0"/>
    <w:rPr>
      <w:rFonts w:ascii="Times New Roman" w:hAnsi="Times New Roman" w:eastAsia="宋体" w:cs="Times New Roman"/>
      <w:bCs/>
      <w:sz w:val="24"/>
      <w:szCs w:val="32"/>
    </w:rPr>
  </w:style>
  <w:style w:type="character" w:customStyle="1" w:styleId="47">
    <w:name w:val="标题 4 Char"/>
    <w:basedOn w:val="32"/>
    <w:link w:val="6"/>
    <w:qFormat/>
    <w:uiPriority w:val="0"/>
    <w:rPr>
      <w:rFonts w:ascii="Arial" w:hAnsi="Arial" w:eastAsia="宋体" w:cs="Times New Roman"/>
      <w:bCs/>
      <w:sz w:val="24"/>
      <w:szCs w:val="28"/>
    </w:rPr>
  </w:style>
  <w:style w:type="character" w:customStyle="1" w:styleId="48">
    <w:name w:val="标题 5 Char"/>
    <w:basedOn w:val="32"/>
    <w:link w:val="7"/>
    <w:qFormat/>
    <w:uiPriority w:val="0"/>
    <w:rPr>
      <w:rFonts w:ascii="Times New Roman" w:hAnsi="Times New Roman" w:eastAsia="宋体" w:cs="Times New Roman"/>
      <w:bCs/>
      <w:szCs w:val="28"/>
    </w:rPr>
  </w:style>
  <w:style w:type="character" w:customStyle="1" w:styleId="49">
    <w:name w:val="页脚 Char"/>
    <w:basedOn w:val="32"/>
    <w:link w:val="20"/>
    <w:qFormat/>
    <w:uiPriority w:val="0"/>
    <w:rPr>
      <w:rFonts w:ascii="Times New Roman" w:hAnsi="Times New Roman" w:eastAsia="宋体" w:cs="Times New Roman"/>
      <w:sz w:val="18"/>
      <w:szCs w:val="18"/>
    </w:rPr>
  </w:style>
  <w:style w:type="character" w:customStyle="1" w:styleId="50">
    <w:name w:val="文档结构图 Char"/>
    <w:basedOn w:val="32"/>
    <w:link w:val="9"/>
    <w:semiHidden/>
    <w:qFormat/>
    <w:uiPriority w:val="0"/>
    <w:rPr>
      <w:rFonts w:ascii="Times New Roman" w:hAnsi="Times New Roman" w:eastAsia="宋体" w:cs="Times New Roman"/>
      <w:shd w:val="clear" w:color="auto" w:fill="000080"/>
    </w:rPr>
  </w:style>
  <w:style w:type="character" w:customStyle="1" w:styleId="51">
    <w:name w:val="批注文字 Char"/>
    <w:basedOn w:val="32"/>
    <w:link w:val="11"/>
    <w:qFormat/>
    <w:uiPriority w:val="0"/>
    <w:rPr>
      <w:rFonts w:ascii="Times New Roman" w:hAnsi="Times New Roman" w:eastAsia="宋体" w:cs="Times New Roman"/>
      <w:szCs w:val="20"/>
    </w:rPr>
  </w:style>
  <w:style w:type="character" w:customStyle="1" w:styleId="52">
    <w:name w:val="正文文本 3 Char"/>
    <w:basedOn w:val="32"/>
    <w:link w:val="12"/>
    <w:qFormat/>
    <w:uiPriority w:val="0"/>
    <w:rPr>
      <w:rFonts w:ascii="Times New Roman" w:hAnsi="Times New Roman" w:eastAsia="宋体" w:cs="Times New Roman"/>
      <w:sz w:val="16"/>
      <w:szCs w:val="16"/>
    </w:rPr>
  </w:style>
  <w:style w:type="character" w:customStyle="1" w:styleId="53">
    <w:name w:val="正文文本 Char"/>
    <w:basedOn w:val="32"/>
    <w:link w:val="13"/>
    <w:qFormat/>
    <w:uiPriority w:val="0"/>
    <w:rPr>
      <w:rFonts w:ascii="Times New Roman" w:hAnsi="Times New Roman" w:eastAsia="宋体" w:cs="Times New Roman"/>
      <w:szCs w:val="24"/>
    </w:rPr>
  </w:style>
  <w:style w:type="character" w:customStyle="1" w:styleId="54">
    <w:name w:val="正文文本缩进 Char"/>
    <w:basedOn w:val="32"/>
    <w:link w:val="14"/>
    <w:qFormat/>
    <w:uiPriority w:val="0"/>
    <w:rPr>
      <w:rFonts w:ascii="Times New Roman" w:hAnsi="Times New Roman" w:eastAsia="宋体" w:cs="Times New Roman"/>
    </w:rPr>
  </w:style>
  <w:style w:type="character" w:customStyle="1" w:styleId="55">
    <w:name w:val="纯文本 Char"/>
    <w:basedOn w:val="32"/>
    <w:link w:val="2"/>
    <w:qFormat/>
    <w:uiPriority w:val="0"/>
    <w:rPr>
      <w:rFonts w:ascii="宋体" w:hAnsi="Courier New" w:eastAsia="宋体" w:cs="Courier New"/>
      <w:szCs w:val="21"/>
    </w:rPr>
  </w:style>
  <w:style w:type="character" w:customStyle="1" w:styleId="56">
    <w:name w:val="日期 Char"/>
    <w:basedOn w:val="32"/>
    <w:link w:val="17"/>
    <w:qFormat/>
    <w:uiPriority w:val="0"/>
    <w:rPr>
      <w:rFonts w:ascii="Times New Roman" w:hAnsi="Times New Roman" w:eastAsia="宋体" w:cs="Times New Roman"/>
    </w:rPr>
  </w:style>
  <w:style w:type="character" w:customStyle="1" w:styleId="57">
    <w:name w:val="尾注文本 Char"/>
    <w:basedOn w:val="32"/>
    <w:link w:val="18"/>
    <w:qFormat/>
    <w:uiPriority w:val="0"/>
    <w:rPr>
      <w:rFonts w:ascii="Times New Roman" w:hAnsi="Times New Roman" w:eastAsia="Calibri" w:cs="Times New Roman"/>
      <w:kern w:val="0"/>
      <w:sz w:val="22"/>
      <w:lang w:eastAsia="en-US"/>
    </w:rPr>
  </w:style>
  <w:style w:type="character" w:customStyle="1" w:styleId="58">
    <w:name w:val="批注框文本 Char"/>
    <w:basedOn w:val="32"/>
    <w:link w:val="19"/>
    <w:semiHidden/>
    <w:qFormat/>
    <w:uiPriority w:val="0"/>
    <w:rPr>
      <w:rFonts w:ascii="Times New Roman" w:hAnsi="Times New Roman" w:eastAsia="宋体" w:cs="Times New Roman"/>
      <w:sz w:val="18"/>
      <w:szCs w:val="18"/>
    </w:rPr>
  </w:style>
  <w:style w:type="character" w:customStyle="1" w:styleId="59">
    <w:name w:val="页眉 Char"/>
    <w:basedOn w:val="32"/>
    <w:link w:val="21"/>
    <w:qFormat/>
    <w:uiPriority w:val="0"/>
    <w:rPr>
      <w:rFonts w:ascii="Times New Roman" w:hAnsi="Times New Roman" w:eastAsia="宋体" w:cs="Times New Roman"/>
      <w:sz w:val="18"/>
      <w:szCs w:val="18"/>
    </w:rPr>
  </w:style>
  <w:style w:type="character" w:customStyle="1" w:styleId="60">
    <w:name w:val="脚注文本 Char"/>
    <w:basedOn w:val="32"/>
    <w:link w:val="23"/>
    <w:semiHidden/>
    <w:qFormat/>
    <w:uiPriority w:val="0"/>
    <w:rPr>
      <w:rFonts w:ascii="Times New Roman" w:hAnsi="Times New Roman" w:eastAsia="宋体" w:cs="Times New Roman"/>
      <w:sz w:val="18"/>
      <w:szCs w:val="18"/>
    </w:rPr>
  </w:style>
  <w:style w:type="character" w:customStyle="1" w:styleId="61">
    <w:name w:val="正文文本缩进 3 Char"/>
    <w:basedOn w:val="32"/>
    <w:link w:val="24"/>
    <w:qFormat/>
    <w:uiPriority w:val="0"/>
    <w:rPr>
      <w:rFonts w:ascii="Times New Roman" w:hAnsi="Times New Roman" w:eastAsia="宋体" w:cs="Times New Roman"/>
      <w:sz w:val="16"/>
      <w:szCs w:val="16"/>
    </w:rPr>
  </w:style>
  <w:style w:type="character" w:customStyle="1" w:styleId="62">
    <w:name w:val="HTML 预设格式 Char"/>
    <w:basedOn w:val="32"/>
    <w:link w:val="25"/>
    <w:qFormat/>
    <w:uiPriority w:val="0"/>
    <w:rPr>
      <w:rFonts w:ascii="Courier New" w:hAnsi="Courier New" w:eastAsia="宋体" w:cs="Courier New"/>
      <w:sz w:val="20"/>
      <w:szCs w:val="20"/>
    </w:rPr>
  </w:style>
  <w:style w:type="character" w:customStyle="1" w:styleId="63">
    <w:name w:val="批注主题 Char"/>
    <w:basedOn w:val="51"/>
    <w:link w:val="27"/>
    <w:semiHidden/>
    <w:qFormat/>
    <w:uiPriority w:val="0"/>
    <w:rPr>
      <w:rFonts w:ascii="Calibri" w:hAnsi="Calibri"/>
      <w:b/>
      <w:bCs/>
    </w:rPr>
  </w:style>
  <w:style w:type="character" w:customStyle="1" w:styleId="64">
    <w:name w:val="正文首行缩进 Char"/>
    <w:basedOn w:val="53"/>
    <w:link w:val="28"/>
    <w:qFormat/>
    <w:uiPriority w:val="0"/>
    <w:rPr>
      <w:rFonts w:ascii="Calibri" w:hAnsi="Calibri"/>
    </w:rPr>
  </w:style>
  <w:style w:type="character" w:customStyle="1" w:styleId="65">
    <w:name w:val="正文首行缩进 2 Char"/>
    <w:basedOn w:val="54"/>
    <w:link w:val="29"/>
    <w:qFormat/>
    <w:uiPriority w:val="0"/>
    <w:rPr>
      <w:rFonts w:ascii="Calibri" w:hAnsi="Calibri"/>
      <w:color w:val="0D0D0D"/>
      <w:szCs w:val="24"/>
      <w:lang w:eastAsia="en-US"/>
    </w:rPr>
  </w:style>
  <w:style w:type="paragraph" w:customStyle="1" w:styleId="66">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67">
    <w:name w:val="username"/>
    <w:qFormat/>
    <w:uiPriority w:val="0"/>
  </w:style>
  <w:style w:type="character" w:customStyle="1" w:styleId="68">
    <w:name w:val="Heading 1 Char"/>
    <w:qFormat/>
    <w:locked/>
    <w:uiPriority w:val="0"/>
    <w:rPr>
      <w:rFonts w:eastAsia="宋体" w:cs="Times New Roman"/>
      <w:b/>
      <w:kern w:val="44"/>
      <w:sz w:val="44"/>
    </w:rPr>
  </w:style>
  <w:style w:type="character" w:customStyle="1" w:styleId="69">
    <w:name w:val="样式 新宋体 小四"/>
    <w:qFormat/>
    <w:uiPriority w:val="0"/>
    <w:rPr>
      <w:rFonts w:ascii="新宋体" w:hAnsi="新宋体" w:eastAsia="宋体"/>
      <w:sz w:val="21"/>
    </w:rPr>
  </w:style>
  <w:style w:type="character" w:customStyle="1" w:styleId="70">
    <w:name w:val="Char Char5"/>
    <w:qFormat/>
    <w:uiPriority w:val="0"/>
    <w:rPr>
      <w:rFonts w:eastAsia="宋体"/>
      <w:kern w:val="2"/>
      <w:sz w:val="21"/>
    </w:rPr>
  </w:style>
  <w:style w:type="character" w:customStyle="1" w:styleId="71">
    <w:name w:val="样式 标题 3 + 新宋体 Char"/>
    <w:link w:val="72"/>
    <w:qFormat/>
    <w:uiPriority w:val="0"/>
    <w:rPr>
      <w:rFonts w:ascii="新宋体" w:hAnsi="新宋体" w:eastAsia="宋体"/>
      <w:szCs w:val="32"/>
    </w:rPr>
  </w:style>
  <w:style w:type="paragraph" w:customStyle="1" w:styleId="72">
    <w:name w:val="样式 标题 3 + 新宋体"/>
    <w:basedOn w:val="5"/>
    <w:link w:val="71"/>
    <w:qFormat/>
    <w:uiPriority w:val="0"/>
    <w:rPr>
      <w:rFonts w:ascii="新宋体" w:hAnsi="新宋体" w:cstheme="minorBidi"/>
      <w:bCs w:val="0"/>
      <w:sz w:val="21"/>
    </w:rPr>
  </w:style>
  <w:style w:type="character" w:customStyle="1" w:styleId="73">
    <w:name w:val="文一 Char"/>
    <w:link w:val="74"/>
    <w:qFormat/>
    <w:uiPriority w:val="0"/>
    <w:rPr>
      <w:spacing w:val="4"/>
      <w:sz w:val="24"/>
      <w:szCs w:val="24"/>
    </w:rPr>
  </w:style>
  <w:style w:type="paragraph" w:customStyle="1" w:styleId="74">
    <w:name w:val="文一"/>
    <w:basedOn w:val="1"/>
    <w:link w:val="73"/>
    <w:qFormat/>
    <w:uiPriority w:val="0"/>
    <w:pPr>
      <w:topLinePunct/>
      <w:adjustRightInd w:val="0"/>
      <w:snapToGrid w:val="0"/>
      <w:spacing w:line="360" w:lineRule="auto"/>
      <w:ind w:firstLine="200" w:firstLineChars="200"/>
    </w:pPr>
    <w:rPr>
      <w:rFonts w:asciiTheme="minorHAnsi" w:hAnsiTheme="minorHAnsi" w:eastAsiaTheme="minorEastAsia" w:cstheme="minorBidi"/>
      <w:spacing w:val="4"/>
      <w:sz w:val="24"/>
      <w:szCs w:val="24"/>
    </w:rPr>
  </w:style>
  <w:style w:type="character" w:customStyle="1" w:styleId="75">
    <w:name w:val="font161"/>
    <w:qFormat/>
    <w:uiPriority w:val="0"/>
    <w:rPr>
      <w:b/>
      <w:sz w:val="32"/>
    </w:rPr>
  </w:style>
  <w:style w:type="character" w:customStyle="1" w:styleId="76">
    <w:name w:val="批注文字 Char2"/>
    <w:qFormat/>
    <w:uiPriority w:val="0"/>
    <w:rPr>
      <w:rFonts w:hint="eastAsia" w:ascii="宋体" w:hAnsi="宋体" w:eastAsia="宋体" w:cs="宋体"/>
      <w:sz w:val="24"/>
      <w:szCs w:val="24"/>
    </w:rPr>
  </w:style>
  <w:style w:type="character" w:customStyle="1" w:styleId="77">
    <w:name w:val="Char Char21"/>
    <w:qFormat/>
    <w:uiPriority w:val="0"/>
    <w:rPr>
      <w:rFonts w:eastAsia="宋体"/>
      <w:b/>
      <w:kern w:val="44"/>
      <w:sz w:val="44"/>
    </w:rPr>
  </w:style>
  <w:style w:type="character" w:customStyle="1" w:styleId="78">
    <w:name w:val="样式 正文文本 + 新宋体 小四 黑色 Char"/>
    <w:link w:val="79"/>
    <w:qFormat/>
    <w:uiPriority w:val="0"/>
    <w:rPr>
      <w:rFonts w:ascii="新宋体" w:hAnsi="新宋体" w:eastAsia="宋体"/>
      <w:color w:val="000000"/>
      <w:szCs w:val="24"/>
    </w:rPr>
  </w:style>
  <w:style w:type="paragraph" w:customStyle="1" w:styleId="79">
    <w:name w:val="样式 正文文本 + 新宋体 小四 黑色"/>
    <w:basedOn w:val="13"/>
    <w:link w:val="78"/>
    <w:qFormat/>
    <w:uiPriority w:val="0"/>
    <w:rPr>
      <w:rFonts w:ascii="新宋体" w:hAnsi="新宋体" w:cstheme="minorBidi"/>
      <w:color w:val="000000"/>
    </w:rPr>
  </w:style>
  <w:style w:type="character" w:customStyle="1" w:styleId="80">
    <w:name w:val="title26"/>
    <w:qFormat/>
    <w:uiPriority w:val="0"/>
  </w:style>
  <w:style w:type="character" w:customStyle="1" w:styleId="81">
    <w:name w:val="font11"/>
    <w:qFormat/>
    <w:uiPriority w:val="0"/>
    <w:rPr>
      <w:rFonts w:hint="eastAsia" w:ascii="仿宋" w:hAnsi="仿宋" w:eastAsia="仿宋" w:cs="仿宋"/>
      <w:b/>
      <w:color w:val="000000"/>
      <w:sz w:val="28"/>
      <w:szCs w:val="28"/>
      <w:u w:val="none"/>
    </w:rPr>
  </w:style>
  <w:style w:type="character" w:customStyle="1" w:styleId="82">
    <w:name w:val="font01"/>
    <w:qFormat/>
    <w:uiPriority w:val="0"/>
    <w:rPr>
      <w:rFonts w:hint="eastAsia" w:ascii="仿宋" w:hAnsi="仿宋" w:eastAsia="仿宋" w:cs="仿宋"/>
      <w:color w:val="000000"/>
      <w:sz w:val="28"/>
      <w:szCs w:val="28"/>
      <w:u w:val="none"/>
    </w:rPr>
  </w:style>
  <w:style w:type="character" w:customStyle="1" w:styleId="83">
    <w:name w:val="title24"/>
    <w:qFormat/>
    <w:uiPriority w:val="0"/>
  </w:style>
  <w:style w:type="character" w:customStyle="1" w:styleId="84">
    <w:name w:val="批注文字 Char1"/>
    <w:semiHidden/>
    <w:qFormat/>
    <w:uiPriority w:val="0"/>
    <w:rPr>
      <w:rFonts w:ascii="Calibri" w:hAnsi="Calibri" w:eastAsia="宋体"/>
      <w:kern w:val="2"/>
      <w:sz w:val="21"/>
      <w:szCs w:val="22"/>
      <w:lang w:val="en-US" w:eastAsia="zh-CN" w:bidi="ar-SA"/>
    </w:rPr>
  </w:style>
  <w:style w:type="character" w:customStyle="1" w:styleId="85">
    <w:name w:val="title21"/>
    <w:qFormat/>
    <w:uiPriority w:val="0"/>
  </w:style>
  <w:style w:type="paragraph" w:customStyle="1" w:styleId="86">
    <w:name w:val="修订4"/>
    <w:semiHidden/>
    <w:qFormat/>
    <w:uiPriority w:val="99"/>
    <w:rPr>
      <w:rFonts w:ascii="Times New Roman" w:hAnsi="Times New Roman" w:eastAsia="宋体" w:cs="Times New Roman"/>
      <w:kern w:val="2"/>
      <w:sz w:val="21"/>
      <w:szCs w:val="22"/>
      <w:lang w:val="en-US" w:eastAsia="zh-CN" w:bidi="ar-SA"/>
    </w:rPr>
  </w:style>
  <w:style w:type="paragraph" w:customStyle="1" w:styleId="87">
    <w:name w:val="文二"/>
    <w:basedOn w:val="1"/>
    <w:qFormat/>
    <w:uiPriority w:val="0"/>
    <w:pPr>
      <w:jc w:val="left"/>
    </w:pPr>
    <w:rPr>
      <w:rFonts w:ascii="宋体" w:hAnsi="宋体"/>
      <w:szCs w:val="21"/>
    </w:rPr>
  </w:style>
  <w:style w:type="paragraph" w:customStyle="1" w:styleId="88">
    <w:name w:val="正文文本 31"/>
    <w:basedOn w:val="1"/>
    <w:qFormat/>
    <w:uiPriority w:val="0"/>
    <w:rPr>
      <w:rFonts w:ascii="宋体" w:hAnsi="Calibri"/>
      <w:sz w:val="24"/>
      <w:szCs w:val="20"/>
    </w:rPr>
  </w:style>
  <w:style w:type="paragraph" w:customStyle="1" w:styleId="89">
    <w:name w:val="修订5"/>
    <w:semiHidden/>
    <w:qFormat/>
    <w:uiPriority w:val="99"/>
    <w:rPr>
      <w:rFonts w:ascii="Times New Roman" w:hAnsi="Times New Roman" w:eastAsia="宋体" w:cs="Times New Roman"/>
      <w:kern w:val="2"/>
      <w:sz w:val="21"/>
      <w:szCs w:val="22"/>
      <w:lang w:val="en-US" w:eastAsia="zh-CN" w:bidi="ar-SA"/>
    </w:rPr>
  </w:style>
  <w:style w:type="paragraph" w:customStyle="1" w:styleId="90">
    <w:name w:val="Table Paragraph"/>
    <w:basedOn w:val="1"/>
    <w:qFormat/>
    <w:uiPriority w:val="0"/>
    <w:pPr>
      <w:autoSpaceDE w:val="0"/>
      <w:autoSpaceDN w:val="0"/>
      <w:jc w:val="left"/>
    </w:pPr>
    <w:rPr>
      <w:rFonts w:ascii="宋体" w:cs="宋体"/>
      <w:kern w:val="0"/>
      <w:sz w:val="22"/>
      <w:lang w:val="zh-CN" w:bidi="zh-CN"/>
    </w:rPr>
  </w:style>
  <w:style w:type="paragraph" w:customStyle="1" w:styleId="91">
    <w:name w:val="修订2"/>
    <w:semiHidden/>
    <w:qFormat/>
    <w:uiPriority w:val="99"/>
    <w:rPr>
      <w:rFonts w:ascii="Times New Roman" w:hAnsi="Times New Roman" w:eastAsia="宋体" w:cs="Times New Roman"/>
      <w:kern w:val="2"/>
      <w:sz w:val="21"/>
      <w:szCs w:val="22"/>
      <w:lang w:val="en-US" w:eastAsia="zh-CN" w:bidi="ar-SA"/>
    </w:rPr>
  </w:style>
  <w:style w:type="paragraph" w:customStyle="1" w:styleId="92">
    <w:name w:val="标题 31"/>
    <w:basedOn w:val="1"/>
    <w:unhideWhenUsed/>
    <w:qFormat/>
    <w:uiPriority w:val="1"/>
    <w:pPr>
      <w:autoSpaceDE w:val="0"/>
      <w:autoSpaceDN w:val="0"/>
      <w:ind w:left="237"/>
      <w:jc w:val="left"/>
      <w:outlineLvl w:val="2"/>
    </w:pPr>
    <w:rPr>
      <w:rFonts w:hint="eastAsia" w:ascii="宋体" w:hAnsi="宋体"/>
      <w:kern w:val="0"/>
      <w:sz w:val="28"/>
      <w:szCs w:val="20"/>
    </w:rPr>
  </w:style>
  <w:style w:type="paragraph" w:customStyle="1" w:styleId="93">
    <w:name w:val="WPSOffice手动目录 1"/>
    <w:qFormat/>
    <w:uiPriority w:val="0"/>
    <w:rPr>
      <w:rFonts w:ascii="Times New Roman" w:hAnsi="Times New Roman" w:eastAsia="宋体" w:cs="Times New Roman"/>
      <w:lang w:val="en-US" w:eastAsia="zh-CN" w:bidi="ar-SA"/>
    </w:rPr>
  </w:style>
  <w:style w:type="paragraph" w:customStyle="1" w:styleId="94">
    <w:name w:val="修订6"/>
    <w:semiHidden/>
    <w:qFormat/>
    <w:uiPriority w:val="99"/>
    <w:rPr>
      <w:rFonts w:ascii="Times New Roman" w:hAnsi="Times New Roman" w:eastAsia="宋体" w:cs="Times New Roman"/>
      <w:kern w:val="2"/>
      <w:sz w:val="21"/>
      <w:szCs w:val="22"/>
      <w:lang w:val="en-US" w:eastAsia="zh-CN" w:bidi="ar-SA"/>
    </w:rPr>
  </w:style>
  <w:style w:type="paragraph" w:customStyle="1" w:styleId="95">
    <w:name w:val="修订1"/>
    <w:unhideWhenUsed/>
    <w:qFormat/>
    <w:uiPriority w:val="99"/>
    <w:rPr>
      <w:rFonts w:ascii="Times New Roman" w:hAnsi="Times New Roman" w:eastAsia="宋体" w:cs="Times New Roman"/>
      <w:kern w:val="2"/>
      <w:sz w:val="21"/>
      <w:szCs w:val="22"/>
      <w:lang w:val="en-US" w:eastAsia="zh-CN" w:bidi="ar-SA"/>
    </w:rPr>
  </w:style>
  <w:style w:type="paragraph" w:customStyle="1" w:styleId="96">
    <w:name w:val="修订3"/>
    <w:semiHidden/>
    <w:qFormat/>
    <w:uiPriority w:val="99"/>
    <w:rPr>
      <w:rFonts w:ascii="Times New Roman" w:hAnsi="Times New Roman" w:eastAsia="宋体" w:cs="Times New Roman"/>
      <w:kern w:val="2"/>
      <w:sz w:val="21"/>
      <w:szCs w:val="22"/>
      <w:lang w:val="en-US" w:eastAsia="zh-CN" w:bidi="ar-SA"/>
    </w:rPr>
  </w:style>
  <w:style w:type="paragraph" w:customStyle="1" w:styleId="97">
    <w:name w:val="TOC 标题1"/>
    <w:basedOn w:val="3"/>
    <w:next w:val="1"/>
    <w:qFormat/>
    <w:uiPriority w:val="0"/>
    <w:pPr>
      <w:widowControl/>
      <w:spacing w:before="480" w:after="0" w:line="276" w:lineRule="auto"/>
      <w:jc w:val="left"/>
      <w:outlineLvl w:val="9"/>
    </w:pPr>
    <w:rPr>
      <w:rFonts w:ascii="Cambria" w:hAnsi="Cambria"/>
      <w:color w:val="365F91"/>
      <w:kern w:val="0"/>
      <w:sz w:val="28"/>
    </w:rPr>
  </w:style>
  <w:style w:type="paragraph" w:customStyle="1" w:styleId="98">
    <w:name w:val="修订11"/>
    <w:unhideWhenUsed/>
    <w:qFormat/>
    <w:uiPriority w:val="99"/>
    <w:rPr>
      <w:rFonts w:ascii="Times New Roman" w:hAnsi="Times New Roman" w:eastAsia="宋体" w:cs="Times New Roman"/>
      <w:kern w:val="2"/>
      <w:sz w:val="21"/>
      <w:szCs w:val="22"/>
      <w:lang w:val="en-US" w:eastAsia="zh-CN" w:bidi="ar-SA"/>
    </w:rPr>
  </w:style>
  <w:style w:type="paragraph" w:customStyle="1" w:styleId="99">
    <w:name w:val="修订12"/>
    <w:unhideWhenUsed/>
    <w:qFormat/>
    <w:uiPriority w:val="99"/>
    <w:rPr>
      <w:rFonts w:ascii="Times New Roman" w:hAnsi="Times New Roman" w:eastAsia="宋体" w:cs="Times New Roman"/>
      <w:kern w:val="2"/>
      <w:sz w:val="21"/>
      <w:szCs w:val="22"/>
      <w:lang w:val="en-US" w:eastAsia="zh-CN" w:bidi="ar-SA"/>
    </w:rPr>
  </w:style>
  <w:style w:type="paragraph" w:customStyle="1" w:styleId="100">
    <w:name w:val="Char Char Char Char"/>
    <w:basedOn w:val="9"/>
    <w:qFormat/>
    <w:uiPriority w:val="0"/>
    <w:pPr>
      <w:widowControl/>
      <w:ind w:firstLine="454"/>
      <w:jc w:val="left"/>
    </w:pPr>
    <w:rPr>
      <w:szCs w:val="20"/>
    </w:rPr>
  </w:style>
  <w:style w:type="character" w:customStyle="1" w:styleId="101">
    <w:name w:val="NormalCharacter"/>
    <w:qFormat/>
    <w:uiPriority w:val="0"/>
  </w:style>
  <w:style w:type="paragraph" w:customStyle="1" w:styleId="102">
    <w:name w:val="修订7"/>
    <w:hidden/>
    <w:unhideWhenUsed/>
    <w:qFormat/>
    <w:uiPriority w:val="99"/>
    <w:rPr>
      <w:rFonts w:ascii="Times New Roman" w:hAnsi="Times New Roman" w:eastAsia="宋体" w:cs="Times New Roman"/>
      <w:kern w:val="2"/>
      <w:sz w:val="21"/>
      <w:szCs w:val="22"/>
      <w:lang w:val="en-US" w:eastAsia="zh-CN" w:bidi="ar-SA"/>
    </w:rPr>
  </w:style>
  <w:style w:type="paragraph" w:styleId="103">
    <w:name w:val="List Paragraph"/>
    <w:basedOn w:val="1"/>
    <w:qFormat/>
    <w:uiPriority w:val="34"/>
    <w:pPr>
      <w:ind w:firstLine="42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53</Pages>
  <Words>26824</Words>
  <Characters>28164</Characters>
  <Lines>199</Lines>
  <Paragraphs>56</Paragraphs>
  <TotalTime>3</TotalTime>
  <ScaleCrop>false</ScaleCrop>
  <LinksUpToDate>false</LinksUpToDate>
  <CharactersWithSpaces>28616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2024-02-01T02:10:00Z</dcterms:created>
  <dc:creator>Administrator</dc:creator>
  <cp:lastModifiedBy>张</cp:lastModifiedBy>
  <cp:lastPrinted>2025-09-02T09:22:00Z</cp:lastPrinted>
  <dcterms:modified xsi:type="dcterms:W3CDTF">2025-09-05T08:24:21Z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42780D75BE6E4FFCA9C3AF7DB19B0BB5_13</vt:lpwstr>
  </property>
  <property fmtid="{D5CDD505-2E9C-101B-9397-08002B2CF9AE}" pid="4" name="KSOTemplateDocerSaveRecord">
    <vt:lpwstr>eyJoZGlkIjoiZTIzN2QyN2MyMmM4YmI4YWJiNDdjNWMyNTNjNDU4ZmQiLCJ1c2VySWQiOiIxNDYxNTQ3MTE0In0=</vt:lpwstr>
  </property>
</Properties>
</file>