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1" w:firstLineChars="100"/>
        <w:jc w:val="center"/>
        <w:rPr>
          <w:rFonts w:hint="eastAsia"/>
          <w:b/>
          <w:bCs/>
          <w:sz w:val="32"/>
          <w:szCs w:val="32"/>
          <w:highlight w:val="none"/>
          <w:u w:val="none"/>
          <w:lang w:val="en-US" w:eastAsia="zh-CN"/>
        </w:rPr>
      </w:pPr>
      <w:bookmarkStart w:id="0" w:name="_Toc27162"/>
      <w:bookmarkStart w:id="1" w:name="_Toc10780"/>
      <w:bookmarkStart w:id="2" w:name="_Toc393961876"/>
      <w:bookmarkStart w:id="3" w:name="_Toc10286"/>
      <w:bookmarkStart w:id="4" w:name="_Toc15544"/>
      <w:bookmarkStart w:id="5" w:name="_Toc179"/>
      <w:bookmarkStart w:id="6" w:name="_Toc6162_WPSOffice_Level1"/>
      <w:bookmarkStart w:id="7" w:name="_Toc514170131"/>
      <w:bookmarkStart w:id="8" w:name="_Toc19513"/>
      <w:bookmarkStart w:id="9" w:name="_Toc16484"/>
      <w:r>
        <w:rPr>
          <w:rFonts w:hint="eastAsia"/>
          <w:b/>
          <w:bCs/>
          <w:sz w:val="32"/>
          <w:szCs w:val="32"/>
          <w:highlight w:val="none"/>
          <w:u w:val="none"/>
          <w:lang w:val="en-US" w:eastAsia="zh-CN"/>
        </w:rPr>
        <w:t>广东电网清洁低碳电力技术创新研究基地项目</w:t>
      </w:r>
    </w:p>
    <w:p>
      <w:pPr>
        <w:ind w:firstLine="321" w:firstLineChars="100"/>
        <w:jc w:val="center"/>
        <w:rPr>
          <w:rFonts w:hint="eastAsia"/>
          <w:b/>
          <w:bCs/>
          <w:sz w:val="32"/>
          <w:szCs w:val="32"/>
          <w:highlight w:val="none"/>
          <w:u w:val="none"/>
          <w:lang w:eastAsia="zh-CN"/>
        </w:rPr>
      </w:pPr>
      <w:r>
        <w:rPr>
          <w:rFonts w:hint="eastAsia"/>
          <w:b/>
          <w:bCs/>
          <w:sz w:val="32"/>
          <w:szCs w:val="32"/>
          <w:highlight w:val="none"/>
          <w:u w:val="none"/>
          <w:lang w:val="en-US" w:eastAsia="zh-CN"/>
        </w:rPr>
        <w:t>勘察设计施工总承包（EPC）</w:t>
      </w:r>
    </w:p>
    <w:p>
      <w:pPr>
        <w:ind w:firstLine="321" w:firstLineChars="100"/>
        <w:jc w:val="center"/>
        <w:rPr>
          <w:sz w:val="32"/>
          <w:szCs w:val="32"/>
          <w:highlight w:val="none"/>
          <w:u w:val="none"/>
        </w:rPr>
      </w:pPr>
      <w:r>
        <w:rPr>
          <w:rFonts w:hint="eastAsia"/>
          <w:b/>
          <w:bCs/>
          <w:sz w:val="32"/>
          <w:szCs w:val="32"/>
          <w:highlight w:val="none"/>
          <w:u w:val="none"/>
        </w:rPr>
        <w:t>补充公告</w:t>
      </w:r>
    </w:p>
    <w:p>
      <w:pPr>
        <w:spacing w:line="520" w:lineRule="exact"/>
        <w:jc w:val="center"/>
        <w:rPr>
          <w:sz w:val="32"/>
          <w:szCs w:val="32"/>
          <w:highlight w:val="none"/>
          <w:u w:val="none"/>
        </w:rPr>
      </w:pPr>
    </w:p>
    <w:p>
      <w:pPr>
        <w:pStyle w:val="7"/>
        <w:widowControl/>
        <w:spacing w:beforeAutospacing="0" w:afterAutospacing="0" w:line="480" w:lineRule="exact"/>
        <w:ind w:firstLine="480" w:firstLineChars="200"/>
        <w:rPr>
          <w:rFonts w:hint="eastAsia" w:ascii="宋体" w:hAnsi="宋体" w:eastAsia="宋体" w:cs="宋体"/>
          <w:color w:val="000000"/>
          <w:kern w:val="2"/>
          <w:highlight w:val="none"/>
          <w:u w:val="none"/>
          <w:shd w:val="clear" w:color="auto" w:fill="FFFFFF"/>
          <w:lang w:eastAsia="zh-CN" w:bidi="ar"/>
        </w:rPr>
      </w:pPr>
      <w:r>
        <w:rPr>
          <w:rFonts w:hint="eastAsia" w:ascii="宋体" w:hAnsi="宋体" w:eastAsia="宋体" w:cs="宋体"/>
          <w:color w:val="000000"/>
          <w:kern w:val="2"/>
          <w:highlight w:val="none"/>
          <w:u w:val="none"/>
          <w:shd w:val="clear" w:color="auto" w:fill="FFFFFF"/>
          <w:lang w:val="en-US" w:eastAsia="zh-CN" w:bidi="ar"/>
        </w:rPr>
        <w:t>广东电网清洁低碳电力技术创新研究基地项目勘察设计施工总承包（EPC）</w:t>
      </w:r>
    </w:p>
    <w:p>
      <w:pPr>
        <w:pStyle w:val="7"/>
        <w:widowControl/>
        <w:spacing w:beforeAutospacing="0" w:afterAutospacing="0" w:line="480" w:lineRule="exact"/>
        <w:rPr>
          <w:rFonts w:hint="eastAsia" w:ascii="宋体" w:hAnsi="宋体" w:eastAsia="宋体" w:cs="宋体"/>
          <w:color w:val="000000"/>
          <w:kern w:val="2"/>
          <w:highlight w:val="none"/>
          <w:u w:val="none"/>
          <w:shd w:val="clear" w:color="auto" w:fill="FFFFFF"/>
          <w:lang w:bidi="ar"/>
        </w:rPr>
      </w:pPr>
      <w:r>
        <w:rPr>
          <w:rFonts w:hint="eastAsia" w:ascii="宋体" w:hAnsi="宋体" w:eastAsia="宋体" w:cs="宋体"/>
          <w:color w:val="000000"/>
          <w:kern w:val="2"/>
          <w:highlight w:val="none"/>
          <w:u w:val="none"/>
          <w:shd w:val="clear" w:color="auto" w:fill="FFFFFF"/>
          <w:lang w:bidi="ar"/>
        </w:rPr>
        <w:t>（项目编号：</w:t>
      </w:r>
      <w:r>
        <w:rPr>
          <w:rFonts w:hint="eastAsia" w:ascii="宋体" w:hAnsi="宋体" w:eastAsia="宋体" w:cs="宋体"/>
          <w:color w:val="000000"/>
          <w:kern w:val="2"/>
          <w:highlight w:val="none"/>
          <w:u w:val="none"/>
          <w:shd w:val="clear" w:color="auto" w:fill="FFFFFF"/>
          <w:lang w:val="en-US" w:eastAsia="zh-CN" w:bidi="ar"/>
        </w:rPr>
        <w:t>JG2025-4159</w:t>
      </w:r>
      <w:r>
        <w:rPr>
          <w:rFonts w:hint="eastAsia" w:ascii="宋体" w:hAnsi="宋体" w:eastAsia="宋体" w:cs="宋体"/>
          <w:color w:val="000000"/>
          <w:kern w:val="2"/>
          <w:highlight w:val="none"/>
          <w:u w:val="none"/>
          <w:shd w:val="clear" w:color="auto" w:fill="FFFFFF"/>
          <w:lang w:bidi="ar"/>
        </w:rPr>
        <w:t>）于202</w:t>
      </w:r>
      <w:r>
        <w:rPr>
          <w:rFonts w:hint="eastAsia" w:ascii="宋体" w:hAnsi="宋体" w:eastAsia="宋体" w:cs="宋体"/>
          <w:color w:val="000000"/>
          <w:kern w:val="2"/>
          <w:highlight w:val="none"/>
          <w:u w:val="none"/>
          <w:shd w:val="clear" w:color="auto" w:fill="FFFFFF"/>
          <w:lang w:val="en-US" w:eastAsia="zh-CN" w:bidi="ar"/>
        </w:rPr>
        <w:t>5</w:t>
      </w:r>
      <w:r>
        <w:rPr>
          <w:rFonts w:hint="eastAsia" w:ascii="宋体" w:hAnsi="宋体" w:eastAsia="宋体" w:cs="宋体"/>
          <w:color w:val="000000"/>
          <w:kern w:val="2"/>
          <w:highlight w:val="none"/>
          <w:u w:val="none"/>
          <w:shd w:val="clear" w:color="auto" w:fill="FFFFFF"/>
          <w:lang w:bidi="ar"/>
        </w:rPr>
        <w:t>年</w:t>
      </w:r>
      <w:r>
        <w:rPr>
          <w:rFonts w:hint="eastAsia" w:ascii="宋体" w:hAnsi="宋体" w:eastAsia="宋体" w:cs="宋体"/>
          <w:color w:val="000000"/>
          <w:kern w:val="2"/>
          <w:highlight w:val="none"/>
          <w:u w:val="none"/>
          <w:shd w:val="clear" w:color="auto" w:fill="FFFFFF"/>
          <w:lang w:val="en-US" w:eastAsia="zh-CN" w:bidi="ar"/>
        </w:rPr>
        <w:t>8</w:t>
      </w:r>
      <w:r>
        <w:rPr>
          <w:rFonts w:hint="eastAsia" w:ascii="宋体" w:hAnsi="宋体" w:eastAsia="宋体" w:cs="宋体"/>
          <w:color w:val="000000"/>
          <w:kern w:val="2"/>
          <w:highlight w:val="none"/>
          <w:u w:val="none"/>
          <w:shd w:val="clear" w:color="auto" w:fill="FFFFFF"/>
          <w:lang w:bidi="ar"/>
        </w:rPr>
        <w:t>月2</w:t>
      </w:r>
      <w:r>
        <w:rPr>
          <w:rFonts w:hint="eastAsia" w:ascii="宋体" w:hAnsi="宋体" w:eastAsia="宋体" w:cs="宋体"/>
          <w:color w:val="000000"/>
          <w:kern w:val="2"/>
          <w:highlight w:val="none"/>
          <w:u w:val="none"/>
          <w:shd w:val="clear" w:color="auto" w:fill="FFFFFF"/>
          <w:lang w:val="en-US" w:eastAsia="zh-CN" w:bidi="ar"/>
        </w:rPr>
        <w:t>9</w:t>
      </w:r>
      <w:r>
        <w:rPr>
          <w:rFonts w:hint="eastAsia" w:ascii="宋体" w:hAnsi="宋体" w:eastAsia="宋体" w:cs="宋体"/>
          <w:color w:val="000000"/>
          <w:kern w:val="2"/>
          <w:highlight w:val="none"/>
          <w:u w:val="none"/>
          <w:shd w:val="clear" w:color="auto" w:fill="FFFFFF"/>
          <w:lang w:bidi="ar"/>
        </w:rPr>
        <w:t>日在广州公共资源交易中心网、广东省招标投标监管网、中国招标投标公共服务平台、南方电网供应链统一服务平台等媒介发布招标公告。现对原招标文件作出如下补充与修改：</w:t>
      </w:r>
    </w:p>
    <w:p>
      <w:pPr>
        <w:pStyle w:val="7"/>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default" w:ascii="宋体" w:hAnsi="宋体" w:eastAsia="宋体" w:cs="宋体"/>
          <w:b w:val="0"/>
          <w:bCs w:val="0"/>
          <w:color w:val="000000"/>
          <w:kern w:val="2"/>
          <w:sz w:val="24"/>
          <w:szCs w:val="24"/>
          <w:highlight w:val="none"/>
          <w:u w:val="none"/>
          <w:shd w:val="clear" w:fill="FFFFFF"/>
          <w:lang w:val="en-US" w:bidi="ar"/>
        </w:rPr>
      </w:pPr>
      <w:r>
        <w:rPr>
          <w:rFonts w:hint="eastAsia" w:ascii="宋体" w:hAnsi="宋体" w:eastAsia="宋体" w:cs="宋体"/>
          <w:b w:val="0"/>
          <w:bCs w:val="0"/>
          <w:color w:val="000000"/>
          <w:kern w:val="2"/>
          <w:sz w:val="24"/>
          <w:szCs w:val="24"/>
          <w:highlight w:val="none"/>
          <w:u w:val="none"/>
          <w:shd w:val="clear" w:fill="FFFFFF"/>
          <w:lang w:val="en-US" w:eastAsia="zh-CN" w:bidi="ar"/>
        </w:rPr>
        <w:t>对原招标文件</w:t>
      </w:r>
      <w:bookmarkEnd w:id="0"/>
      <w:bookmarkEnd w:id="1"/>
      <w:bookmarkEnd w:id="2"/>
      <w:bookmarkEnd w:id="3"/>
      <w:bookmarkEnd w:id="4"/>
      <w:bookmarkEnd w:id="5"/>
      <w:bookmarkEnd w:id="6"/>
      <w:bookmarkEnd w:id="7"/>
      <w:bookmarkEnd w:id="8"/>
      <w:bookmarkEnd w:id="9"/>
      <w:r>
        <w:rPr>
          <w:rFonts w:hint="eastAsia" w:ascii="宋体" w:hAnsi="宋体" w:eastAsia="宋体" w:cs="宋体"/>
          <w:b w:val="0"/>
          <w:bCs w:val="0"/>
          <w:color w:val="000000"/>
          <w:kern w:val="2"/>
          <w:sz w:val="24"/>
          <w:szCs w:val="24"/>
          <w:highlight w:val="none"/>
          <w:u w:val="none"/>
          <w:shd w:val="clear" w:fill="FFFFFF"/>
          <w:lang w:val="en-US" w:eastAsia="zh-CN" w:bidi="ar"/>
        </w:rPr>
        <w:t>相关内容作以下澄清修改：</w:t>
      </w:r>
    </w:p>
    <w:tbl>
      <w:tblPr>
        <w:tblStyle w:val="9"/>
        <w:tblW w:w="57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553"/>
        <w:gridCol w:w="3834"/>
        <w:gridCol w:w="3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bCs/>
                <w:szCs w:val="21"/>
                <w:highlight w:val="none"/>
                <w:u w:val="none"/>
              </w:rPr>
            </w:pPr>
            <w:r>
              <w:rPr>
                <w:rFonts w:hint="eastAsia" w:ascii="宋体" w:hAnsi="宋体" w:cs="宋体"/>
                <w:b/>
                <w:bCs/>
                <w:szCs w:val="21"/>
                <w:highlight w:val="none"/>
                <w:u w:val="none"/>
                <w:lang w:val="en-US" w:eastAsia="zh-CN"/>
              </w:rPr>
              <w:t>序</w:t>
            </w:r>
            <w:r>
              <w:rPr>
                <w:rFonts w:hint="eastAsia" w:ascii="宋体" w:hAnsi="宋体" w:cs="宋体"/>
                <w:b/>
                <w:bCs/>
                <w:szCs w:val="21"/>
                <w:highlight w:val="none"/>
                <w:u w:val="none"/>
              </w:rPr>
              <w:t>号</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bCs/>
                <w:szCs w:val="21"/>
                <w:highlight w:val="none"/>
                <w:u w:val="none"/>
              </w:rPr>
            </w:pPr>
            <w:r>
              <w:rPr>
                <w:rFonts w:hint="eastAsia" w:ascii="宋体" w:hAnsi="宋体" w:cs="宋体"/>
                <w:b/>
                <w:bCs/>
                <w:szCs w:val="21"/>
                <w:highlight w:val="none"/>
                <w:u w:val="none"/>
              </w:rPr>
              <w:t>条款</w:t>
            </w:r>
            <w:r>
              <w:rPr>
                <w:rFonts w:hint="eastAsia" w:ascii="宋体" w:hAnsi="宋体" w:cs="宋体"/>
                <w:b/>
                <w:bCs/>
                <w:szCs w:val="21"/>
                <w:highlight w:val="none"/>
                <w:u w:val="none"/>
                <w:lang w:val="en-US" w:eastAsia="zh-CN"/>
              </w:rPr>
              <w:t>号及</w:t>
            </w:r>
            <w:r>
              <w:rPr>
                <w:rFonts w:hint="eastAsia" w:ascii="宋体" w:hAnsi="宋体" w:cs="宋体"/>
                <w:b/>
                <w:bCs/>
                <w:szCs w:val="21"/>
                <w:highlight w:val="none"/>
                <w:u w:val="none"/>
              </w:rPr>
              <w:t>内容</w:t>
            </w:r>
          </w:p>
        </w:tc>
        <w:tc>
          <w:tcPr>
            <w:tcW w:w="198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b/>
                <w:bCs/>
                <w:szCs w:val="21"/>
                <w:highlight w:val="none"/>
                <w:u w:val="none"/>
                <w:lang w:val="en-US" w:eastAsia="zh-CN"/>
              </w:rPr>
            </w:pPr>
            <w:r>
              <w:rPr>
                <w:rFonts w:hint="eastAsia" w:ascii="宋体" w:hAnsi="宋体" w:cs="宋体"/>
                <w:b/>
                <w:bCs/>
                <w:szCs w:val="21"/>
                <w:highlight w:val="none"/>
                <w:u w:val="none"/>
                <w:lang w:val="en-US" w:eastAsia="zh-CN"/>
              </w:rPr>
              <w:t>原文</w:t>
            </w:r>
          </w:p>
        </w:tc>
        <w:tc>
          <w:tcPr>
            <w:tcW w:w="19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cs="宋体" w:eastAsiaTheme="minorEastAsia"/>
                <w:b/>
                <w:bCs/>
                <w:szCs w:val="21"/>
                <w:highlight w:val="none"/>
                <w:u w:val="none"/>
                <w:lang w:val="en-US" w:eastAsia="zh-CN"/>
              </w:rPr>
            </w:pPr>
            <w:r>
              <w:rPr>
                <w:rFonts w:hint="eastAsia" w:ascii="宋体" w:hAnsi="宋体" w:cs="宋体"/>
                <w:b/>
                <w:bCs/>
                <w:szCs w:val="21"/>
                <w:highlight w:val="none"/>
                <w:u w:val="none"/>
                <w:lang w:val="en-US" w:eastAsia="zh-CN"/>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招标公告</w:t>
            </w:r>
            <w:r>
              <w:rPr>
                <w:rFonts w:hint="eastAsia" w:ascii="宋体" w:hAnsi="宋体" w:eastAsia="宋体" w:cs="宋体"/>
                <w:sz w:val="24"/>
                <w:szCs w:val="24"/>
                <w:highlight w:val="none"/>
                <w:u w:val="none"/>
              </w:rPr>
              <w:t>2.5.2.1勘察范围</w:t>
            </w:r>
          </w:p>
        </w:tc>
        <w:tc>
          <w:tcPr>
            <w:tcW w:w="1980" w:type="pct"/>
            <w:tcBorders>
              <w:top w:val="single" w:color="auto" w:sz="4" w:space="0"/>
              <w:left w:val="single" w:color="auto" w:sz="4" w:space="0"/>
              <w:bottom w:val="single" w:color="auto" w:sz="4" w:space="0"/>
              <w:right w:val="single" w:color="auto" w:sz="4" w:space="0"/>
            </w:tcBorders>
            <w:vAlign w:val="center"/>
          </w:tcPr>
          <w:p>
            <w:pPr>
              <w:spacing w:line="384" w:lineRule="auto"/>
              <w:ind w:firstLine="480" w:firstLineChars="200"/>
              <w:rPr>
                <w:rFonts w:ascii="宋体" w:hAnsi="宋体" w:eastAsia="宋体" w:cs="宋体"/>
                <w:color w:val="auto"/>
                <w:sz w:val="24"/>
                <w:szCs w:val="24"/>
                <w:highlight w:val="none"/>
                <w:u w:val="none"/>
              </w:rPr>
            </w:pPr>
            <w:r>
              <w:rPr>
                <w:rFonts w:hint="eastAsia" w:ascii="宋体" w:hAnsi="宋体" w:eastAsia="宋体" w:cs="Times New Roman"/>
                <w:color w:val="auto"/>
                <w:sz w:val="24"/>
                <w:szCs w:val="24"/>
                <w:highlight w:val="none"/>
                <w:u w:val="none"/>
                <w:lang w:val="en-US" w:eastAsia="zh-CN"/>
              </w:rPr>
              <w:t>本工程场地类别为Ⅲ类，属于对建筑抗震不利地段。本项目需完成的勘察工作，包括但不限于以下内容：①组织编制勘察方案报委托人审查。②按工程建设需要，查明、分析、评价建设场地的各项勘察内容，包括：初步设计阶段勘察、施工图设计阶段勘察、勘探取样、原位测试、室内实验、超前钻、岩土工程地质条件分析评价、工程测绘、地下管线探测、周边市政环境与建筑物调查、土工试验、地下水试验，编制各阶段建设工程勘察报告；绿建审查所需的各项检测（包含土壤氡检测、噪声检测）。③按相关要求包工、包料、包安全、包水电，包通过建设等主管部门组织的勘察报告审查，包配合设计阶段和施工阶段的技术支持和服务，包验收以及其他相关的技术支持和服务，包验收以及其他相关的评审、技术支持和服务。</w:t>
            </w:r>
          </w:p>
          <w:p>
            <w:pPr>
              <w:pStyle w:val="13"/>
              <w:keepNext w:val="0"/>
              <w:keepLines w:val="0"/>
              <w:pageBreakBefore w:val="0"/>
              <w:kinsoku/>
              <w:wordWrap/>
              <w:overflowPunct/>
              <w:topLinePunct w:val="0"/>
              <w:autoSpaceDE/>
              <w:autoSpaceDN/>
              <w:bidi w:val="0"/>
              <w:adjustRightInd/>
              <w:snapToGrid/>
              <w:spacing w:line="240" w:lineRule="auto"/>
              <w:ind w:left="-2" w:leftChars="-1"/>
              <w:jc w:val="both"/>
              <w:textAlignment w:val="auto"/>
              <w:rPr>
                <w:rFonts w:hint="eastAsia" w:ascii="宋体" w:hAnsi="宋体" w:eastAsia="宋体" w:cs="宋体"/>
                <w:b w:val="0"/>
                <w:bCs/>
                <w:sz w:val="24"/>
                <w:szCs w:val="24"/>
                <w:highlight w:val="none"/>
                <w:u w:val="none"/>
              </w:rPr>
            </w:pPr>
          </w:p>
        </w:tc>
        <w:tc>
          <w:tcPr>
            <w:tcW w:w="1957" w:type="pct"/>
            <w:tcBorders>
              <w:top w:val="single" w:color="auto" w:sz="4" w:space="0"/>
              <w:left w:val="single" w:color="auto" w:sz="4" w:space="0"/>
              <w:bottom w:val="single" w:color="auto" w:sz="4" w:space="0"/>
              <w:right w:val="single" w:color="auto" w:sz="4" w:space="0"/>
            </w:tcBorders>
            <w:vAlign w:val="center"/>
          </w:tcPr>
          <w:p>
            <w:pPr>
              <w:spacing w:line="384" w:lineRule="auto"/>
              <w:ind w:firstLine="480" w:firstLineChars="200"/>
              <w:rPr>
                <w:rFonts w:ascii="宋体" w:hAnsi="宋体" w:eastAsia="宋体" w:cs="宋体"/>
                <w:color w:val="auto"/>
                <w:sz w:val="24"/>
                <w:szCs w:val="24"/>
                <w:highlight w:val="none"/>
                <w:u w:val="none"/>
              </w:rPr>
            </w:pPr>
            <w:r>
              <w:rPr>
                <w:rFonts w:hint="eastAsia" w:ascii="宋体" w:hAnsi="宋体" w:eastAsia="宋体" w:cs="Times New Roman"/>
                <w:color w:val="auto"/>
                <w:sz w:val="24"/>
                <w:szCs w:val="24"/>
                <w:highlight w:val="none"/>
                <w:u w:val="none"/>
                <w:lang w:val="en-US" w:eastAsia="zh-CN"/>
              </w:rPr>
              <w:t>本工程场地类别为Ⅲ类，属于对建筑抗震不利地段。本项目需完成的勘察工作，包括但不限于以下内容：①组织编制勘察方案报委托人审查。②按工程建设需要，查明、分析、评价建设场地的各项勘察内容，包括：初步设计阶段勘察、施工图设计阶段勘察、勘探取样、原位测试、室内实验、超前钻、岩土工程地质条件分析评价、地下管线摸查、周边市政环境与建筑物调查、土工试验、地下水试验，编制各阶段建设工程勘察报告；绿建审查所需的各项检测（包含土壤氡检测、噪声检测）。③按相关要求包工、包料、包安全、包水电，包通过建设等主管部门组织的勘察报告审查，包配合设计阶段和施工阶段的技术支持和服务，包验收以及其他相关的技术支持和服务，包验收以及其他相关的评审、技术支持和服务。</w:t>
            </w:r>
          </w:p>
          <w:p>
            <w:pPr>
              <w:pStyle w:val="13"/>
              <w:keepNext w:val="0"/>
              <w:keepLines w:val="0"/>
              <w:pageBreakBefore w:val="0"/>
              <w:kinsoku/>
              <w:wordWrap/>
              <w:overflowPunct/>
              <w:topLinePunct w:val="0"/>
              <w:autoSpaceDE/>
              <w:autoSpaceDN/>
              <w:bidi w:val="0"/>
              <w:adjustRightInd/>
              <w:snapToGrid/>
              <w:spacing w:line="240" w:lineRule="auto"/>
              <w:ind w:left="-2" w:leftChars="-1"/>
              <w:jc w:val="both"/>
              <w:textAlignment w:val="auto"/>
              <w:rPr>
                <w:rFonts w:hint="eastAsia" w:ascii="宋体" w:hAnsi="宋体" w:eastAsia="宋体" w:cs="宋体"/>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color w:val="000000"/>
                <w:kern w:val="2"/>
                <w:sz w:val="24"/>
                <w:szCs w:val="24"/>
                <w:highlight w:val="none"/>
                <w:u w:val="none"/>
                <w:shd w:val="clear" w:fill="FFFFFF"/>
                <w:lang w:val="en-US" w:eastAsia="zh-CN" w:bidi="ar"/>
              </w:rPr>
            </w:pPr>
            <w:r>
              <w:rPr>
                <w:rFonts w:hint="eastAsia" w:ascii="宋体" w:hAnsi="宋体" w:eastAsia="宋体" w:cs="宋体"/>
                <w:b w:val="0"/>
                <w:color w:val="000000"/>
                <w:kern w:val="2"/>
                <w:sz w:val="24"/>
                <w:szCs w:val="24"/>
                <w:highlight w:val="none"/>
                <w:u w:val="none"/>
                <w:shd w:val="clear" w:fill="FFFFFF"/>
                <w:lang w:val="en-US" w:eastAsia="zh-CN" w:bidi="ar"/>
              </w:rPr>
              <w:t>招标公告7.特别提示</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color w:val="000000"/>
                <w:kern w:val="2"/>
                <w:sz w:val="24"/>
                <w:szCs w:val="24"/>
                <w:highlight w:val="none"/>
                <w:u w:val="none"/>
                <w:shd w:val="clear" w:fill="FFFFFF"/>
                <w:lang w:val="en-US" w:eastAsia="zh-CN" w:bidi="ar"/>
              </w:rPr>
            </w:pPr>
          </w:p>
        </w:tc>
        <w:tc>
          <w:tcPr>
            <w:tcW w:w="198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4" w:lineRule="auto"/>
              <w:rPr>
                <w:rFonts w:hint="eastAsia" w:ascii="宋体" w:hAnsi="宋体" w:eastAsia="宋体" w:cs="宋体"/>
                <w:sz w:val="24"/>
                <w:szCs w:val="24"/>
                <w:highlight w:val="none"/>
                <w:u w:val="none"/>
              </w:rPr>
            </w:pPr>
            <w:r>
              <w:rPr>
                <w:rFonts w:hint="eastAsia" w:ascii="宋体" w:hAnsi="宋体" w:eastAsia="宋体" w:cs="宋体"/>
                <w:color w:val="auto"/>
                <w:sz w:val="24"/>
                <w:highlight w:val="none"/>
                <w:u w:val="none"/>
              </w:rPr>
              <w:t>特别提示：投标人在本项目招标人的工程项目中存在下列行为的，将被拒绝</w:t>
            </w:r>
            <w:r>
              <w:rPr>
                <w:rFonts w:hint="eastAsia" w:ascii="宋体" w:hAnsi="宋体" w:eastAsia="宋体" w:cs="宋体"/>
                <w:color w:val="auto"/>
                <w:sz w:val="24"/>
                <w:highlight w:val="none"/>
                <w:u w:val="none"/>
                <w:lang w:val="en-US" w:eastAsia="zh-CN"/>
              </w:rPr>
              <w:t>12-36个月</w:t>
            </w:r>
            <w:r>
              <w:rPr>
                <w:rFonts w:hint="eastAsia" w:ascii="宋体" w:hAnsi="宋体" w:eastAsia="宋体" w:cs="宋体"/>
                <w:color w:val="auto"/>
                <w:sz w:val="24"/>
                <w:highlight w:val="none"/>
                <w:u w:val="none"/>
              </w:rPr>
              <w:t>内参与招标人后续工程投标</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具体时间视行为情况而定</w:t>
            </w:r>
            <w:r>
              <w:rPr>
                <w:rFonts w:hint="eastAsia" w:ascii="宋体" w:hAnsi="宋体" w:eastAsia="宋体" w:cs="宋体"/>
                <w:color w:val="auto"/>
                <w:sz w:val="24"/>
                <w:highlight w:val="none"/>
                <w:u w:val="none"/>
              </w:rPr>
              <w:t>：</w:t>
            </w:r>
          </w:p>
        </w:tc>
        <w:tc>
          <w:tcPr>
            <w:tcW w:w="195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84"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特别提示：投标人在本项目招标人的工程项目中存在下列行为的，将被拒绝12-36个月内参与招标人后续工程投标，具体时间视行为情况参照《中国南方电网有限责任公司供应商不良行为处理管理细则》而定：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3</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招标公告</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附件二</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投标人声明</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color w:val="000000"/>
                <w:kern w:val="2"/>
                <w:sz w:val="24"/>
                <w:szCs w:val="24"/>
                <w:highlight w:val="none"/>
                <w:u w:val="none"/>
                <w:shd w:val="clear" w:color="auto" w:fill="auto"/>
                <w:lang w:val="en-US" w:eastAsia="zh-CN" w:bidi="ar"/>
              </w:rPr>
            </w:pPr>
          </w:p>
        </w:tc>
        <w:tc>
          <w:tcPr>
            <w:tcW w:w="198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招标公告</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附件二</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highlight w:val="none"/>
                <w:u w:val="none"/>
                <w:shd w:val="clear" w:color="auto" w:fill="auto"/>
                <w:lang w:val="en-US" w:eastAsia="zh-CN"/>
              </w:rPr>
            </w:pPr>
            <w:r>
              <w:rPr>
                <w:rFonts w:hint="eastAsia" w:ascii="宋体" w:hAnsi="宋体" w:eastAsia="宋体" w:cs="宋体"/>
                <w:b w:val="0"/>
                <w:color w:val="000000"/>
                <w:kern w:val="2"/>
                <w:sz w:val="24"/>
                <w:szCs w:val="24"/>
                <w:highlight w:val="none"/>
                <w:u w:val="none"/>
                <w:shd w:val="clear" w:color="auto" w:fill="auto"/>
                <w:lang w:val="en-US" w:eastAsia="zh-CN" w:bidi="ar"/>
              </w:rPr>
              <w:t>投标人声明</w:t>
            </w:r>
          </w:p>
        </w:tc>
        <w:tc>
          <w:tcPr>
            <w:tcW w:w="19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default" w:ascii="宋体" w:hAnsi="宋体" w:eastAsia="宋体" w:cs="宋体"/>
                <w:kern w:val="2"/>
                <w:sz w:val="24"/>
                <w:szCs w:val="24"/>
                <w:highlight w:val="none"/>
                <w:u w:val="none"/>
                <w:lang w:val="en-US" w:eastAsia="zh-CN" w:bidi="ar-SA"/>
              </w:rPr>
            </w:pPr>
            <w:r>
              <w:rPr>
                <w:rFonts w:hint="eastAsia" w:asciiTheme="minorEastAsia" w:hAnsiTheme="minorEastAsia" w:cstheme="minorEastAsia"/>
                <w:sz w:val="21"/>
                <w:szCs w:val="21"/>
                <w:highlight w:val="none"/>
                <w:u w:val="none"/>
                <w:shd w:val="clear" w:color="auto" w:fill="auto"/>
                <w:lang w:val="en-US" w:eastAsia="zh-CN"/>
              </w:rPr>
              <w:t>删除法定代表人签字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4</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招标公告附件三</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color w:val="000000"/>
                <w:kern w:val="2"/>
                <w:sz w:val="24"/>
                <w:szCs w:val="24"/>
                <w:highlight w:val="none"/>
                <w:u w:val="none"/>
                <w:shd w:val="clear" w:fill="FFFFFF"/>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联合体协议</w:t>
            </w:r>
          </w:p>
        </w:tc>
        <w:tc>
          <w:tcPr>
            <w:tcW w:w="1980"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rPr>
                <w:rFonts w:ascii="宋体" w:hAnsi="宋体" w:cs="宋体"/>
                <w:color w:val="auto"/>
                <w:szCs w:val="21"/>
                <w:highlight w:val="none"/>
                <w:u w:val="none"/>
              </w:rPr>
            </w:pPr>
            <w:r>
              <w:rPr>
                <w:rFonts w:ascii="宋体" w:hAnsi="宋体"/>
                <w:color w:val="auto"/>
                <w:szCs w:val="21"/>
                <w:highlight w:val="none"/>
                <w:u w:val="none"/>
              </w:rPr>
              <w:t>4</w:t>
            </w:r>
            <w:r>
              <w:rPr>
                <w:rFonts w:hint="eastAsia" w:ascii="宋体" w:hAnsi="宋体"/>
                <w:color w:val="auto"/>
                <w:szCs w:val="21"/>
                <w:highlight w:val="none"/>
                <w:u w:val="none"/>
              </w:rPr>
              <w:t>、联合体各成员单位内部的职责分工如下：</w:t>
            </w:r>
          </w:p>
          <w:p>
            <w:pPr>
              <w:topLinePunct/>
              <w:adjustRightInd w:val="0"/>
              <w:snapToGrid w:val="0"/>
              <w:spacing w:line="360" w:lineRule="auto"/>
              <w:ind w:firstLine="420" w:firstLineChars="200"/>
              <w:rPr>
                <w:rFonts w:ascii="宋体" w:hAnsi="宋体"/>
                <w:color w:val="auto"/>
                <w:szCs w:val="21"/>
                <w:highlight w:val="none"/>
                <w:u w:val="none"/>
              </w:rPr>
            </w:pPr>
            <w:r>
              <w:rPr>
                <w:rFonts w:hint="eastAsia" w:ascii="宋体" w:hAnsi="宋体" w:cs="宋体"/>
                <w:color w:val="auto"/>
                <w:szCs w:val="21"/>
                <w:highlight w:val="none"/>
                <w:u w:val="none"/>
              </w:rPr>
              <w:t>①</w:t>
            </w:r>
            <w:r>
              <w:rPr>
                <w:rFonts w:ascii="宋体" w:hAnsi="宋体" w:cs="宋体"/>
                <w:color w:val="auto"/>
                <w:szCs w:val="21"/>
                <w:highlight w:val="none"/>
                <w:u w:val="none"/>
              </w:rPr>
              <w:t xml:space="preserve">             </w:t>
            </w:r>
            <w:r>
              <w:rPr>
                <w:rFonts w:hint="eastAsia" w:ascii="宋体" w:hAnsi="宋体" w:cs="宋体"/>
                <w:color w:val="auto"/>
                <w:szCs w:val="21"/>
                <w:highlight w:val="none"/>
                <w:u w:val="none"/>
              </w:rPr>
              <w:t>（</w:t>
            </w:r>
            <w:r>
              <w:rPr>
                <w:rFonts w:hint="eastAsia" w:ascii="宋体" w:hAnsi="宋体"/>
                <w:color w:val="auto"/>
                <w:szCs w:val="21"/>
                <w:highlight w:val="none"/>
                <w:u w:val="none"/>
                <w:lang w:val="en-US" w:eastAsia="zh-CN"/>
              </w:rPr>
              <w:t>设计</w:t>
            </w:r>
            <w:r>
              <w:rPr>
                <w:rFonts w:hint="eastAsia" w:ascii="宋体" w:hAnsi="宋体"/>
                <w:color w:val="auto"/>
                <w:szCs w:val="21"/>
                <w:highlight w:val="none"/>
                <w:u w:val="none"/>
              </w:rPr>
              <w:t>方单位名称）：作为联合体的主办方除负责本工程的</w:t>
            </w:r>
            <w:r>
              <w:rPr>
                <w:rFonts w:hint="eastAsia" w:ascii="宋体" w:hAnsi="宋体"/>
                <w:color w:val="auto"/>
                <w:szCs w:val="21"/>
                <w:highlight w:val="none"/>
                <w:u w:val="none"/>
                <w:lang w:val="en-US" w:eastAsia="zh-CN"/>
              </w:rPr>
              <w:t>设计工作</w:t>
            </w:r>
            <w:r>
              <w:rPr>
                <w:rFonts w:hint="eastAsia" w:ascii="宋体" w:hAnsi="宋体"/>
                <w:color w:val="auto"/>
                <w:szCs w:val="21"/>
                <w:highlight w:val="none"/>
                <w:u w:val="none"/>
              </w:rPr>
              <w:t>外，还应</w:t>
            </w:r>
            <w:r>
              <w:rPr>
                <w:rFonts w:hint="eastAsia" w:ascii="宋体" w:hAnsi="宋体"/>
                <w:color w:val="auto"/>
                <w:szCs w:val="21"/>
                <w:highlight w:val="none"/>
                <w:u w:val="none"/>
                <w:lang w:val="en-US" w:eastAsia="zh-CN"/>
              </w:rPr>
              <w:t>勘察</w:t>
            </w:r>
            <w:r>
              <w:rPr>
                <w:rFonts w:hint="eastAsia" w:ascii="宋体" w:hAnsi="宋体"/>
                <w:color w:val="auto"/>
                <w:szCs w:val="21"/>
                <w:highlight w:val="none"/>
                <w:u w:val="none"/>
              </w:rPr>
              <w:t>设计施工总承包管理的职责。联合体其他相关方违约时，主办方应承担连带责任，具体按合同要求。</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highlight w:val="none"/>
                <w:u w:val="none"/>
              </w:rPr>
            </w:pPr>
          </w:p>
        </w:tc>
        <w:tc>
          <w:tcPr>
            <w:tcW w:w="1957"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rPr>
                <w:rFonts w:ascii="宋体" w:hAnsi="宋体" w:cs="宋体"/>
                <w:color w:val="auto"/>
                <w:szCs w:val="21"/>
                <w:highlight w:val="none"/>
                <w:u w:val="none"/>
              </w:rPr>
            </w:pPr>
            <w:r>
              <w:rPr>
                <w:rFonts w:ascii="宋体" w:hAnsi="宋体"/>
                <w:color w:val="auto"/>
                <w:szCs w:val="21"/>
                <w:highlight w:val="none"/>
                <w:u w:val="none"/>
              </w:rPr>
              <w:t>4</w:t>
            </w:r>
            <w:r>
              <w:rPr>
                <w:rFonts w:hint="eastAsia" w:ascii="宋体" w:hAnsi="宋体"/>
                <w:color w:val="auto"/>
                <w:szCs w:val="21"/>
                <w:highlight w:val="none"/>
                <w:u w:val="none"/>
              </w:rPr>
              <w:t>、联合体各成员单位内部的职责分工如下：</w:t>
            </w:r>
          </w:p>
          <w:p>
            <w:pPr>
              <w:topLinePunct/>
              <w:adjustRightInd w:val="0"/>
              <w:snapToGrid w:val="0"/>
              <w:spacing w:line="360" w:lineRule="auto"/>
              <w:ind w:firstLine="420" w:firstLineChars="200"/>
              <w:rPr>
                <w:rFonts w:ascii="宋体" w:hAnsi="宋体"/>
                <w:color w:val="auto"/>
                <w:szCs w:val="21"/>
                <w:highlight w:val="none"/>
                <w:u w:val="none"/>
              </w:rPr>
            </w:pPr>
            <w:r>
              <w:rPr>
                <w:rFonts w:hint="eastAsia" w:ascii="宋体" w:hAnsi="宋体" w:cs="宋体"/>
                <w:color w:val="auto"/>
                <w:szCs w:val="21"/>
                <w:highlight w:val="none"/>
                <w:u w:val="none"/>
              </w:rPr>
              <w:t>①</w:t>
            </w:r>
            <w:r>
              <w:rPr>
                <w:rFonts w:ascii="宋体" w:hAnsi="宋体" w:cs="宋体"/>
                <w:color w:val="auto"/>
                <w:szCs w:val="21"/>
                <w:highlight w:val="none"/>
                <w:u w:val="none"/>
              </w:rPr>
              <w:t xml:space="preserve">             </w:t>
            </w:r>
            <w:r>
              <w:rPr>
                <w:rFonts w:hint="eastAsia" w:ascii="宋体" w:hAnsi="宋体" w:cs="宋体"/>
                <w:color w:val="auto"/>
                <w:szCs w:val="21"/>
                <w:highlight w:val="none"/>
                <w:u w:val="none"/>
              </w:rPr>
              <w:t>（</w:t>
            </w:r>
            <w:r>
              <w:rPr>
                <w:rFonts w:hint="eastAsia" w:ascii="宋体" w:hAnsi="宋体"/>
                <w:color w:val="auto"/>
                <w:szCs w:val="21"/>
                <w:highlight w:val="none"/>
                <w:u w:val="none"/>
                <w:lang w:val="en-US" w:eastAsia="zh-CN"/>
              </w:rPr>
              <w:t>设计</w:t>
            </w:r>
            <w:r>
              <w:rPr>
                <w:rFonts w:hint="eastAsia" w:ascii="宋体" w:hAnsi="宋体"/>
                <w:color w:val="auto"/>
                <w:szCs w:val="21"/>
                <w:highlight w:val="none"/>
                <w:u w:val="none"/>
              </w:rPr>
              <w:t>方单位名称）：作为联合体的主办方除负责本工程的</w:t>
            </w:r>
            <w:r>
              <w:rPr>
                <w:rFonts w:hint="eastAsia" w:ascii="宋体" w:hAnsi="宋体"/>
                <w:color w:val="auto"/>
                <w:szCs w:val="21"/>
                <w:highlight w:val="none"/>
                <w:u w:val="none"/>
                <w:lang w:val="en-US" w:eastAsia="zh-CN"/>
              </w:rPr>
              <w:t>设计工作</w:t>
            </w:r>
            <w:r>
              <w:rPr>
                <w:rFonts w:hint="eastAsia" w:ascii="宋体" w:hAnsi="宋体"/>
                <w:color w:val="auto"/>
                <w:szCs w:val="21"/>
                <w:highlight w:val="none"/>
                <w:u w:val="none"/>
              </w:rPr>
              <w:t>外，还应</w:t>
            </w:r>
            <w:r>
              <w:rPr>
                <w:rFonts w:hint="eastAsia" w:ascii="宋体" w:hAnsi="宋体"/>
                <w:color w:val="auto"/>
                <w:szCs w:val="21"/>
                <w:highlight w:val="none"/>
                <w:u w:val="none"/>
                <w:lang w:val="en-US" w:eastAsia="zh-CN"/>
              </w:rPr>
              <w:t>承担勘察</w:t>
            </w:r>
            <w:r>
              <w:rPr>
                <w:rFonts w:hint="eastAsia" w:ascii="宋体" w:hAnsi="宋体"/>
                <w:color w:val="auto"/>
                <w:szCs w:val="21"/>
                <w:highlight w:val="none"/>
                <w:u w:val="none"/>
              </w:rPr>
              <w:t>设计施工总承包管理的职责。联合体其他相关方违约时，主办方应承担连带责任，具体按合同要求。</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5</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 xml:space="preserve">招标文件第二章 评标办法 </w:t>
            </w:r>
            <w:bookmarkStart w:id="10" w:name="_Toc19708"/>
            <w:bookmarkStart w:id="11" w:name="_Toc17253"/>
            <w:bookmarkStart w:id="12" w:name="_Toc17537"/>
            <w:bookmarkStart w:id="13" w:name="_Toc17483"/>
            <w:bookmarkStart w:id="14" w:name="_Toc28222"/>
            <w:r>
              <w:rPr>
                <w:rFonts w:hint="eastAsia" w:ascii="宋体" w:hAnsi="宋体" w:eastAsia="宋体" w:cs="宋体"/>
                <w:b w:val="0"/>
                <w:color w:val="000000"/>
                <w:kern w:val="2"/>
                <w:sz w:val="24"/>
                <w:szCs w:val="24"/>
                <w:highlight w:val="none"/>
                <w:u w:val="none"/>
                <w:shd w:val="clear" w:color="auto" w:fill="auto"/>
                <w:lang w:val="en-US" w:eastAsia="zh-CN" w:bidi="ar"/>
              </w:rPr>
              <w:t>评标办法前附表</w:t>
            </w:r>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宋体" w:hAnsi="宋体" w:eastAsia="宋体" w:cs="宋体"/>
                <w:b w:val="0"/>
                <w:color w:val="000000"/>
                <w:kern w:val="2"/>
                <w:sz w:val="24"/>
                <w:szCs w:val="24"/>
                <w:highlight w:val="none"/>
                <w:u w:val="none"/>
                <w:shd w:val="clear" w:color="auto" w:fill="auto"/>
                <w:lang w:val="en-US" w:eastAsia="zh-CN" w:bidi="ar"/>
              </w:rPr>
            </w:pPr>
          </w:p>
        </w:tc>
        <w:tc>
          <w:tcPr>
            <w:tcW w:w="198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highlight w:val="none"/>
                <w:u w:val="none"/>
              </w:rPr>
            </w:pPr>
            <w:r>
              <w:rPr>
                <w:rFonts w:hint="default" w:ascii="宋体" w:hAnsi="宋体" w:eastAsia="宋体" w:cs="宋体"/>
                <w:i w:val="0"/>
                <w:iCs w:val="0"/>
                <w:color w:val="auto"/>
                <w:szCs w:val="21"/>
                <w:highlight w:val="none"/>
                <w:u w:val="none"/>
                <w:lang w:eastAsia="zh-CN"/>
              </w:rPr>
              <w:t>投标文件格式</w:t>
            </w:r>
            <w:r>
              <w:rPr>
                <w:rFonts w:hint="eastAsia" w:ascii="宋体" w:hAnsi="宋体" w:eastAsia="宋体" w:cs="宋体"/>
                <w:i w:val="0"/>
                <w:iCs w:val="0"/>
                <w:color w:val="auto"/>
                <w:szCs w:val="21"/>
                <w:highlight w:val="none"/>
                <w:u w:val="none"/>
                <w:lang w:eastAsia="zh-CN"/>
              </w:rPr>
              <w:t>：</w:t>
            </w:r>
            <w:r>
              <w:rPr>
                <w:rFonts w:hint="default" w:ascii="宋体" w:hAnsi="宋体" w:eastAsia="宋体" w:cs="宋体"/>
                <w:i w:val="0"/>
                <w:iCs w:val="0"/>
                <w:color w:val="auto"/>
                <w:szCs w:val="21"/>
                <w:highlight w:val="none"/>
                <w:u w:val="none"/>
                <w:lang w:eastAsia="zh-CN"/>
              </w:rPr>
              <w:t>符合第七章“投标文件格式</w:t>
            </w:r>
            <w:r>
              <w:rPr>
                <w:rFonts w:hint="eastAsia" w:ascii="宋体" w:hAnsi="宋体" w:eastAsia="宋体" w:cs="宋体"/>
                <w:i w:val="0"/>
                <w:iCs w:val="0"/>
                <w:color w:val="auto"/>
                <w:szCs w:val="21"/>
                <w:highlight w:val="none"/>
                <w:u w:val="none"/>
                <w:lang w:val="en-US" w:eastAsia="zh-CN"/>
              </w:rPr>
              <w:t>《投标承诺书》、《参与编制工程总承包实施方案技术投标文件人员名单》、</w:t>
            </w:r>
            <w:r>
              <w:rPr>
                <w:rFonts w:hint="eastAsia" w:ascii="宋体" w:hAnsi="宋体" w:eastAsia="宋体" w:cs="宋体"/>
                <w:i w:val="0"/>
                <w:iCs w:val="0"/>
                <w:color w:val="auto"/>
                <w:szCs w:val="21"/>
                <w:highlight w:val="none"/>
                <w:u w:val="none"/>
                <w:lang w:eastAsia="zh-CN"/>
              </w:rPr>
              <w:t>《</w:t>
            </w:r>
            <w:r>
              <w:rPr>
                <w:rFonts w:hint="eastAsia" w:ascii="宋体" w:hAnsi="宋体" w:eastAsia="宋体" w:cs="宋体"/>
                <w:i w:val="0"/>
                <w:iCs w:val="0"/>
                <w:color w:val="auto"/>
                <w:szCs w:val="21"/>
                <w:highlight w:val="none"/>
                <w:u w:val="none"/>
                <w:lang w:val="en-US" w:eastAsia="zh-CN"/>
              </w:rPr>
              <w:t>经济标投标书</w:t>
            </w:r>
            <w:r>
              <w:rPr>
                <w:rFonts w:hint="eastAsia" w:ascii="宋体" w:hAnsi="宋体" w:eastAsia="宋体" w:cs="宋体"/>
                <w:i w:val="0"/>
                <w:iCs w:val="0"/>
                <w:color w:val="auto"/>
                <w:szCs w:val="21"/>
                <w:highlight w:val="none"/>
                <w:u w:val="none"/>
                <w:lang w:eastAsia="zh-CN"/>
              </w:rPr>
              <w:t>》、</w:t>
            </w:r>
            <w:r>
              <w:rPr>
                <w:rFonts w:hint="eastAsia" w:ascii="宋体" w:hAnsi="宋体" w:eastAsia="宋体" w:cs="宋体"/>
                <w:i w:val="0"/>
                <w:iCs w:val="0"/>
                <w:color w:val="auto"/>
                <w:szCs w:val="21"/>
                <w:highlight w:val="none"/>
                <w:u w:val="none"/>
                <w:lang w:val="en-US" w:eastAsia="zh-CN"/>
              </w:rPr>
              <w:t>《参与编制工程总承包实施方案经济投标文件人员名单》</w:t>
            </w:r>
            <w:r>
              <w:rPr>
                <w:rFonts w:hint="default" w:ascii="宋体" w:hAnsi="宋体" w:eastAsia="宋体" w:cs="宋体"/>
                <w:i w:val="0"/>
                <w:iCs w:val="0"/>
                <w:color w:val="auto"/>
                <w:szCs w:val="21"/>
                <w:highlight w:val="none"/>
                <w:u w:val="none"/>
                <w:lang w:eastAsia="zh-CN"/>
              </w:rPr>
              <w:t>”的要求，</w:t>
            </w:r>
            <w:r>
              <w:rPr>
                <w:rFonts w:hint="default" w:ascii="宋体" w:hAnsi="宋体" w:eastAsia="宋体" w:cs="宋体"/>
                <w:i w:val="0"/>
                <w:iCs w:val="0"/>
                <w:strike/>
                <w:dstrike w:val="0"/>
                <w:color w:val="auto"/>
                <w:szCs w:val="21"/>
                <w:highlight w:val="none"/>
                <w:u w:val="none"/>
                <w:lang w:eastAsia="zh-CN"/>
              </w:rPr>
              <w:t>按规定盖章签署，</w:t>
            </w:r>
            <w:r>
              <w:rPr>
                <w:rFonts w:hint="default" w:ascii="宋体" w:hAnsi="宋体" w:eastAsia="宋体" w:cs="宋体"/>
                <w:i w:val="0"/>
                <w:iCs w:val="0"/>
                <w:color w:val="auto"/>
                <w:szCs w:val="21"/>
                <w:highlight w:val="none"/>
                <w:u w:val="none"/>
                <w:lang w:eastAsia="zh-CN"/>
              </w:rPr>
              <w:t>主要内容齐全，关键字迹清晰、能辨认</w:t>
            </w:r>
            <w:r>
              <w:rPr>
                <w:rFonts w:hint="eastAsia" w:ascii="宋体" w:hAnsi="宋体" w:cs="宋体"/>
                <w:i w:val="0"/>
                <w:iCs w:val="0"/>
                <w:strike/>
                <w:dstrike w:val="0"/>
                <w:color w:val="auto"/>
                <w:szCs w:val="21"/>
                <w:highlight w:val="none"/>
                <w:u w:val="none"/>
                <w:lang w:eastAsia="zh-CN"/>
              </w:rPr>
              <w:t>（</w:t>
            </w:r>
            <w:r>
              <w:rPr>
                <w:rFonts w:hint="eastAsia" w:ascii="宋体" w:hAnsi="宋体" w:cs="宋体"/>
                <w:i w:val="0"/>
                <w:iCs w:val="0"/>
                <w:strike/>
                <w:dstrike w:val="0"/>
                <w:color w:val="auto"/>
                <w:szCs w:val="21"/>
                <w:highlight w:val="none"/>
                <w:u w:val="none"/>
                <w:lang w:val="en-US" w:eastAsia="zh-CN"/>
              </w:rPr>
              <w:t>最终以广州市建设工程招标管理办公室发布的最新招标文件范本为准</w:t>
            </w:r>
            <w:r>
              <w:rPr>
                <w:rFonts w:hint="eastAsia" w:ascii="宋体" w:hAnsi="宋体" w:cs="宋体"/>
                <w:i w:val="0"/>
                <w:iCs w:val="0"/>
                <w:strike/>
                <w:dstrike w:val="0"/>
                <w:color w:val="auto"/>
                <w:szCs w:val="21"/>
                <w:highlight w:val="none"/>
                <w:u w:val="none"/>
                <w:lang w:eastAsia="zh-CN"/>
              </w:rPr>
              <w:t>）</w:t>
            </w:r>
          </w:p>
        </w:tc>
        <w:tc>
          <w:tcPr>
            <w:tcW w:w="19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highlight w:val="none"/>
                <w:u w:val="none"/>
                <w:lang w:val="en-US" w:eastAsia="zh-CN"/>
              </w:rPr>
            </w:pPr>
            <w:r>
              <w:rPr>
                <w:rFonts w:hint="default" w:ascii="宋体" w:hAnsi="宋体" w:eastAsia="宋体" w:cs="宋体"/>
                <w:i w:val="0"/>
                <w:iCs w:val="0"/>
                <w:color w:val="auto"/>
                <w:szCs w:val="21"/>
                <w:highlight w:val="none"/>
                <w:u w:val="none"/>
                <w:lang w:eastAsia="zh-CN"/>
              </w:rPr>
              <w:t>投标文件格式</w:t>
            </w:r>
            <w:r>
              <w:rPr>
                <w:rFonts w:hint="eastAsia" w:ascii="宋体" w:hAnsi="宋体" w:eastAsia="宋体" w:cs="宋体"/>
                <w:i w:val="0"/>
                <w:iCs w:val="0"/>
                <w:color w:val="auto"/>
                <w:szCs w:val="21"/>
                <w:highlight w:val="none"/>
                <w:u w:val="none"/>
                <w:lang w:eastAsia="zh-CN"/>
              </w:rPr>
              <w:t>：</w:t>
            </w:r>
            <w:r>
              <w:rPr>
                <w:rFonts w:hint="default" w:ascii="宋体" w:hAnsi="宋体" w:eastAsia="宋体" w:cs="宋体"/>
                <w:i w:val="0"/>
                <w:iCs w:val="0"/>
                <w:color w:val="auto"/>
                <w:szCs w:val="21"/>
                <w:highlight w:val="none"/>
                <w:u w:val="none"/>
                <w:lang w:eastAsia="zh-CN"/>
              </w:rPr>
              <w:t>符合第七章“投标文件格式</w:t>
            </w:r>
            <w:r>
              <w:rPr>
                <w:rFonts w:hint="eastAsia" w:ascii="宋体" w:hAnsi="宋体" w:eastAsia="宋体" w:cs="宋体"/>
                <w:i w:val="0"/>
                <w:iCs w:val="0"/>
                <w:color w:val="auto"/>
                <w:szCs w:val="21"/>
                <w:highlight w:val="none"/>
                <w:u w:val="none"/>
                <w:lang w:val="en-US" w:eastAsia="zh-CN"/>
              </w:rPr>
              <w:t>《投标承诺书》、《参与编制工程总承包实施方案技术投标文件人员名单》、</w:t>
            </w:r>
            <w:r>
              <w:rPr>
                <w:rFonts w:hint="eastAsia" w:ascii="宋体" w:hAnsi="宋体" w:eastAsia="宋体" w:cs="宋体"/>
                <w:i w:val="0"/>
                <w:iCs w:val="0"/>
                <w:color w:val="auto"/>
                <w:szCs w:val="21"/>
                <w:highlight w:val="none"/>
                <w:u w:val="none"/>
                <w:lang w:eastAsia="zh-CN"/>
              </w:rPr>
              <w:t>《</w:t>
            </w:r>
            <w:r>
              <w:rPr>
                <w:rFonts w:hint="eastAsia" w:ascii="宋体" w:hAnsi="宋体" w:eastAsia="宋体" w:cs="宋体"/>
                <w:i w:val="0"/>
                <w:iCs w:val="0"/>
                <w:color w:val="auto"/>
                <w:szCs w:val="21"/>
                <w:highlight w:val="none"/>
                <w:u w:val="none"/>
                <w:lang w:val="en-US" w:eastAsia="zh-CN"/>
              </w:rPr>
              <w:t>经济标投标书</w:t>
            </w:r>
            <w:r>
              <w:rPr>
                <w:rFonts w:hint="eastAsia" w:ascii="宋体" w:hAnsi="宋体" w:eastAsia="宋体" w:cs="宋体"/>
                <w:i w:val="0"/>
                <w:iCs w:val="0"/>
                <w:color w:val="auto"/>
                <w:szCs w:val="21"/>
                <w:highlight w:val="none"/>
                <w:u w:val="none"/>
                <w:lang w:eastAsia="zh-CN"/>
              </w:rPr>
              <w:t>》、</w:t>
            </w:r>
            <w:r>
              <w:rPr>
                <w:rFonts w:hint="eastAsia" w:ascii="宋体" w:hAnsi="宋体" w:eastAsia="宋体" w:cs="宋体"/>
                <w:i w:val="0"/>
                <w:iCs w:val="0"/>
                <w:color w:val="auto"/>
                <w:szCs w:val="21"/>
                <w:highlight w:val="none"/>
                <w:u w:val="none"/>
                <w:lang w:val="en-US" w:eastAsia="zh-CN"/>
              </w:rPr>
              <w:t>《参与编制工程总承包实施方案经济投标文件人员名单》</w:t>
            </w:r>
            <w:r>
              <w:rPr>
                <w:rFonts w:hint="default" w:ascii="宋体" w:hAnsi="宋体" w:eastAsia="宋体" w:cs="宋体"/>
                <w:i w:val="0"/>
                <w:iCs w:val="0"/>
                <w:color w:val="auto"/>
                <w:szCs w:val="21"/>
                <w:highlight w:val="none"/>
                <w:u w:val="none"/>
                <w:lang w:eastAsia="zh-CN"/>
              </w:rPr>
              <w:t>”的要求，主要内容齐全，关键字迹清晰、能辨认</w:t>
            </w:r>
            <w:r>
              <w:rPr>
                <w:rFonts w:hint="eastAsia" w:ascii="宋体" w:hAnsi="宋体" w:eastAsia="宋体" w:cs="宋体"/>
                <w:i w:val="0"/>
                <w:iCs w:val="0"/>
                <w:color w:val="auto"/>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6</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招标文件第二章 评标办法 评标办法前附表</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198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highlight w:val="none"/>
                <w:u w:val="none"/>
                <w:lang w:eastAsia="zh-CN"/>
              </w:rPr>
            </w:pPr>
            <w:r>
              <w:rPr>
                <w:rFonts w:hint="default" w:ascii="宋体" w:hAnsi="宋体" w:eastAsia="宋体" w:cs="宋体"/>
                <w:i w:val="0"/>
                <w:iCs w:val="0"/>
                <w:color w:val="auto"/>
                <w:szCs w:val="21"/>
                <w:highlight w:val="none"/>
                <w:u w:val="none"/>
              </w:rPr>
              <w:t>报价唯一</w:t>
            </w:r>
            <w:r>
              <w:rPr>
                <w:rFonts w:hint="eastAsia" w:ascii="宋体" w:hAnsi="宋体" w:eastAsia="宋体" w:cs="宋体"/>
                <w:i w:val="0"/>
                <w:iCs w:val="0"/>
                <w:color w:val="auto"/>
                <w:szCs w:val="21"/>
                <w:highlight w:val="none"/>
                <w:u w:val="none"/>
                <w:lang w:eastAsia="zh-CN"/>
              </w:rPr>
              <w:t>：只能有一个有效投标总报价。</w:t>
            </w:r>
          </w:p>
        </w:tc>
        <w:tc>
          <w:tcPr>
            <w:tcW w:w="19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报价唯一：投标总报价及各分项报价均只能有一个有效报价。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招标文件第二章 评标办法 评标办法前附表</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198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i w:val="0"/>
                <w:iCs w:val="0"/>
                <w:color w:val="auto"/>
                <w:szCs w:val="21"/>
                <w:highlight w:val="none"/>
                <w:u w:val="none"/>
                <w:lang w:eastAsia="zh-CN"/>
              </w:rPr>
            </w:pPr>
            <w:r>
              <w:rPr>
                <w:rFonts w:hint="default" w:ascii="宋体" w:hAnsi="宋体" w:eastAsia="宋体" w:cs="宋体"/>
                <w:i w:val="0"/>
                <w:iCs w:val="0"/>
                <w:color w:val="auto"/>
                <w:szCs w:val="21"/>
                <w:highlight w:val="none"/>
                <w:u w:val="none"/>
              </w:rPr>
              <w:t>机器特征码一致</w:t>
            </w:r>
            <w:r>
              <w:rPr>
                <w:rFonts w:hint="eastAsia" w:ascii="宋体" w:hAnsi="宋体" w:eastAsia="宋体" w:cs="宋体"/>
                <w:i w:val="0"/>
                <w:iCs w:val="0"/>
                <w:color w:val="auto"/>
                <w:szCs w:val="21"/>
                <w:highlight w:val="none"/>
                <w:u w:val="none"/>
                <w:lang w:eastAsia="zh-CN"/>
              </w:rPr>
              <w:t>：</w:t>
            </w:r>
            <w:r>
              <w:rPr>
                <w:rFonts w:hint="default" w:ascii="宋体" w:hAnsi="宋体" w:eastAsia="宋体" w:cs="宋体"/>
                <w:i w:val="0"/>
                <w:iCs w:val="0"/>
                <w:color w:val="auto"/>
                <w:szCs w:val="21"/>
                <w:highlight w:val="none"/>
                <w:u w:val="none"/>
                <w:lang w:eastAsia="zh-CN"/>
              </w:rPr>
              <w:t>投标人与其他投标人加密打包投标文件电脑机器特征码不一致的(以广州公共资源交易中心交易平台评标系统的检索信息为准)</w:t>
            </w:r>
          </w:p>
        </w:tc>
        <w:tc>
          <w:tcPr>
            <w:tcW w:w="19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sz w:val="24"/>
                <w:szCs w:val="24"/>
                <w:highlight w:val="none"/>
                <w:u w:val="none"/>
                <w:lang w:val="en-US" w:eastAsia="zh-CN"/>
              </w:rPr>
            </w:pPr>
            <w:r>
              <w:rPr>
                <w:rFonts w:hint="default" w:ascii="宋体" w:hAnsi="宋体" w:eastAsia="宋体" w:cs="宋体"/>
                <w:i w:val="0"/>
                <w:iCs w:val="0"/>
                <w:color w:val="auto"/>
                <w:szCs w:val="21"/>
                <w:highlight w:val="none"/>
                <w:u w:val="none"/>
              </w:rPr>
              <w:t>机器特征码一致</w:t>
            </w:r>
            <w:r>
              <w:rPr>
                <w:rFonts w:hint="eastAsia" w:ascii="宋体" w:hAnsi="宋体" w:eastAsia="宋体" w:cs="宋体"/>
                <w:i w:val="0"/>
                <w:iCs w:val="0"/>
                <w:color w:val="auto"/>
                <w:szCs w:val="21"/>
                <w:highlight w:val="none"/>
                <w:u w:val="none"/>
                <w:lang w:eastAsia="zh-CN"/>
              </w:rPr>
              <w:t>：</w:t>
            </w:r>
            <w:r>
              <w:rPr>
                <w:rFonts w:hint="default" w:ascii="宋体" w:hAnsi="宋体" w:eastAsia="宋体" w:cs="宋体"/>
                <w:i w:val="0"/>
                <w:iCs w:val="0"/>
                <w:color w:val="auto"/>
                <w:szCs w:val="21"/>
                <w:highlight w:val="none"/>
                <w:u w:val="none"/>
                <w:lang w:eastAsia="zh-CN"/>
              </w:rPr>
              <w:t>投标人与</w:t>
            </w:r>
            <w:r>
              <w:rPr>
                <w:rFonts w:hint="eastAsia" w:ascii="宋体" w:hAnsi="宋体" w:eastAsia="宋体" w:cs="宋体"/>
                <w:i w:val="0"/>
                <w:iCs w:val="0"/>
                <w:color w:val="auto"/>
                <w:szCs w:val="21"/>
                <w:highlight w:val="none"/>
                <w:u w:val="none"/>
                <w:lang w:val="en-US" w:eastAsia="zh-CN"/>
              </w:rPr>
              <w:t>本项目</w:t>
            </w:r>
            <w:r>
              <w:rPr>
                <w:rFonts w:hint="default" w:ascii="宋体" w:hAnsi="宋体" w:eastAsia="宋体" w:cs="宋体"/>
                <w:i w:val="0"/>
                <w:iCs w:val="0"/>
                <w:color w:val="auto"/>
                <w:szCs w:val="21"/>
                <w:highlight w:val="none"/>
                <w:u w:val="none"/>
                <w:lang w:eastAsia="zh-CN"/>
              </w:rPr>
              <w:t>其他投标人加密打包投标文件电脑机器特征码不一致的(以广州公共资源交易中心交易平台评标系统的检索信息为准)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8</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招标文件第二章 评标办法 评标办法前附表</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198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宋体" w:hAnsi="宋体" w:eastAsia="宋体" w:cs="宋体"/>
                <w:i w:val="0"/>
                <w:iCs w:val="0"/>
                <w:color w:val="auto"/>
                <w:szCs w:val="21"/>
                <w:highlight w:val="none"/>
                <w:u w:val="none"/>
              </w:rPr>
            </w:pPr>
            <w:r>
              <w:rPr>
                <w:rFonts w:hint="eastAsia" w:ascii="宋体" w:hAnsi="宋体" w:cs="宋体"/>
                <w:color w:val="auto"/>
                <w:szCs w:val="21"/>
                <w:highlight w:val="none"/>
                <w:u w:val="none"/>
              </w:rPr>
              <w:t>投标报价评分</w:t>
            </w:r>
            <w:r>
              <w:rPr>
                <w:rFonts w:hint="eastAsia" w:ascii="宋体" w:hAnsi="宋体" w:cs="宋体"/>
                <w:color w:val="auto"/>
                <w:szCs w:val="21"/>
                <w:highlight w:val="none"/>
                <w:u w:val="none"/>
                <w:lang w:eastAsia="zh-CN"/>
              </w:rPr>
              <w:t>：</w:t>
            </w:r>
            <w:r>
              <w:rPr>
                <w:rFonts w:hint="default"/>
                <w:b w:val="0"/>
                <w:i w:val="0"/>
                <w:iCs w:val="0"/>
                <w:color w:val="auto"/>
                <w:highlight w:val="none"/>
                <w:u w:val="none"/>
              </w:rPr>
              <w:t>进入技术商务评分范围的投标人全部进入价格评分。</w:t>
            </w:r>
            <w:r>
              <w:rPr>
                <w:rFonts w:hint="eastAsia" w:ascii="宋体" w:hAnsi="宋体" w:cs="宋体"/>
                <w:color w:val="auto"/>
                <w:szCs w:val="21"/>
                <w:highlight w:val="none"/>
                <w:u w:val="none"/>
              </w:rPr>
              <w:t>当经算术复核的投标总报价等于评标基准价时得100分，报价每高于评标基准价1%，扣</w:t>
            </w:r>
            <w:r>
              <w:rPr>
                <w:rFonts w:hint="eastAsia" w:ascii="宋体" w:hAnsi="宋体" w:cs="宋体"/>
                <w:color w:val="auto"/>
                <w:szCs w:val="21"/>
                <w:highlight w:val="none"/>
                <w:u w:val="none"/>
                <w:lang w:val="en-US" w:eastAsia="zh-CN"/>
              </w:rPr>
              <w:t>1.5</w:t>
            </w:r>
            <w:r>
              <w:rPr>
                <w:rFonts w:hint="eastAsia" w:ascii="宋体" w:hAnsi="宋体" w:cs="宋体"/>
                <w:color w:val="auto"/>
                <w:szCs w:val="21"/>
                <w:highlight w:val="none"/>
                <w:u w:val="none"/>
              </w:rPr>
              <w:t>分，每低于评标基准价1%，扣</w:t>
            </w:r>
            <w:r>
              <w:rPr>
                <w:rFonts w:hint="eastAsia" w:ascii="宋体" w:hAnsi="宋体" w:cs="宋体"/>
                <w:color w:val="auto"/>
                <w:szCs w:val="21"/>
                <w:highlight w:val="none"/>
                <w:u w:val="none"/>
                <w:lang w:val="en-US" w:eastAsia="zh-CN"/>
              </w:rPr>
              <w:t>1.0</w:t>
            </w:r>
            <w:r>
              <w:rPr>
                <w:rFonts w:hint="eastAsia" w:ascii="宋体" w:hAnsi="宋体" w:cs="宋体"/>
                <w:color w:val="auto"/>
                <w:szCs w:val="21"/>
                <w:highlight w:val="none"/>
                <w:u w:val="none"/>
              </w:rPr>
              <w:t>分，扣至0分为止，得出投标报价得分，精确到小数点后两位。</w:t>
            </w:r>
            <w:r>
              <w:rPr>
                <w:rFonts w:hint="default"/>
                <w:b w:val="0"/>
                <w:i w:val="0"/>
                <w:iCs w:val="0"/>
                <w:color w:val="auto"/>
                <w:highlight w:val="none"/>
                <w:u w:val="none"/>
              </w:rPr>
              <w:t>本次评标不设置技术商务末位淘汰。</w:t>
            </w:r>
          </w:p>
        </w:tc>
        <w:tc>
          <w:tcPr>
            <w:tcW w:w="19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宋体" w:hAnsi="宋体" w:eastAsia="宋体" w:cs="宋体"/>
                <w:i w:val="0"/>
                <w:iCs w:val="0"/>
                <w:color w:val="auto"/>
                <w:szCs w:val="21"/>
                <w:highlight w:val="none"/>
                <w:u w:val="none"/>
                <w:lang w:eastAsia="zh-CN"/>
              </w:rPr>
            </w:pPr>
            <w:r>
              <w:rPr>
                <w:rFonts w:hint="default"/>
                <w:b w:val="0"/>
                <w:i w:val="0"/>
                <w:iCs w:val="0"/>
                <w:color w:val="auto"/>
                <w:highlight w:val="none"/>
                <w:u w:val="none"/>
              </w:rPr>
              <w:t>通过</w:t>
            </w:r>
            <w:r>
              <w:rPr>
                <w:rFonts w:hint="default"/>
                <w:b w:val="0"/>
                <w:i w:val="0"/>
                <w:iCs w:val="0"/>
                <w:color w:val="auto"/>
                <w:highlight w:val="none"/>
                <w:u w:val="none"/>
                <w:lang w:val="en-US" w:eastAsia="zh-CN"/>
              </w:rPr>
              <w:t>形式审查、</w:t>
            </w:r>
            <w:r>
              <w:rPr>
                <w:rFonts w:hint="default"/>
                <w:b w:val="0"/>
                <w:i w:val="0"/>
                <w:iCs w:val="0"/>
                <w:color w:val="auto"/>
                <w:highlight w:val="none"/>
                <w:u w:val="none"/>
              </w:rPr>
              <w:t>资格审查、</w:t>
            </w:r>
            <w:r>
              <w:rPr>
                <w:rFonts w:hint="default"/>
                <w:b w:val="0"/>
                <w:i w:val="0"/>
                <w:iCs w:val="0"/>
                <w:color w:val="auto"/>
                <w:highlight w:val="none"/>
                <w:u w:val="none"/>
                <w:lang w:val="en-US" w:eastAsia="zh-CN"/>
              </w:rPr>
              <w:t>勘察设计方案投标文件有效性审查、</w:t>
            </w:r>
            <w:r>
              <w:rPr>
                <w:rFonts w:hint="default"/>
                <w:b w:val="0"/>
                <w:i w:val="0"/>
                <w:iCs w:val="0"/>
                <w:color w:val="auto"/>
                <w:highlight w:val="none"/>
                <w:u w:val="none"/>
              </w:rPr>
              <w:t>工程总承包实施方案投标文件有效性审查的投标人全部进入价格评分。</w:t>
            </w:r>
            <w:r>
              <w:rPr>
                <w:rFonts w:hint="eastAsia" w:ascii="宋体" w:hAnsi="宋体" w:cs="宋体"/>
                <w:color w:val="auto"/>
                <w:szCs w:val="21"/>
                <w:highlight w:val="none"/>
                <w:u w:val="none"/>
              </w:rPr>
              <w:t>当经算术复核的投标总报价等于评标基准价时得100分，报价每高于评标基准价1%，扣</w:t>
            </w:r>
            <w:r>
              <w:rPr>
                <w:rFonts w:hint="eastAsia" w:ascii="宋体" w:hAnsi="宋体" w:cs="宋体"/>
                <w:color w:val="auto"/>
                <w:szCs w:val="21"/>
                <w:highlight w:val="none"/>
                <w:u w:val="none"/>
                <w:lang w:val="en-US" w:eastAsia="zh-CN"/>
              </w:rPr>
              <w:t>1.5</w:t>
            </w:r>
            <w:r>
              <w:rPr>
                <w:rFonts w:hint="eastAsia" w:ascii="宋体" w:hAnsi="宋体" w:cs="宋体"/>
                <w:color w:val="auto"/>
                <w:szCs w:val="21"/>
                <w:highlight w:val="none"/>
                <w:u w:val="none"/>
              </w:rPr>
              <w:t>分，每低于评标基准价1%，扣</w:t>
            </w:r>
            <w:r>
              <w:rPr>
                <w:rFonts w:hint="eastAsia" w:ascii="宋体" w:hAnsi="宋体" w:cs="宋体"/>
                <w:color w:val="auto"/>
                <w:szCs w:val="21"/>
                <w:highlight w:val="none"/>
                <w:u w:val="none"/>
                <w:lang w:val="en-US" w:eastAsia="zh-CN"/>
              </w:rPr>
              <w:t>1.0</w:t>
            </w:r>
            <w:r>
              <w:rPr>
                <w:rFonts w:hint="eastAsia" w:ascii="宋体" w:hAnsi="宋体" w:cs="宋体"/>
                <w:color w:val="auto"/>
                <w:szCs w:val="21"/>
                <w:highlight w:val="none"/>
                <w:u w:val="none"/>
              </w:rPr>
              <w:t>分，扣至0分为止，得出投标报价得分，精确到小数点后两位。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9</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招标文件第二章 评标办法 附表5 勘察设计方案评分表</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1980"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auto"/>
                <w:kern w:val="2"/>
                <w:sz w:val="21"/>
                <w:szCs w:val="21"/>
                <w:highlight w:val="none"/>
                <w:u w:val="none"/>
                <w:lang w:val="en-US" w:eastAsia="zh-CN" w:bidi="ar-SA"/>
              </w:rPr>
            </w:pPr>
            <w:r>
              <w:rPr>
                <w:b/>
                <w:color w:val="auto"/>
                <w:kern w:val="1"/>
                <w:highlight w:val="none"/>
                <w:u w:val="none"/>
              </w:rPr>
              <w:t>总体理念</w:t>
            </w:r>
            <w:r>
              <w:rPr>
                <w:rFonts w:hint="eastAsia"/>
                <w:b/>
                <w:color w:val="auto"/>
                <w:kern w:val="1"/>
                <w:highlight w:val="none"/>
                <w:u w:val="none"/>
                <w:lang w:eastAsia="zh-CN"/>
              </w:rPr>
              <w:t>：</w:t>
            </w:r>
            <w:r>
              <w:rPr>
                <w:rFonts w:hint="eastAsia" w:ascii="宋体" w:hAnsi="宋体" w:eastAsia="宋体" w:cs="宋体"/>
                <w:bCs/>
                <w:color w:val="auto"/>
                <w:kern w:val="2"/>
                <w:sz w:val="21"/>
                <w:szCs w:val="21"/>
                <w:highlight w:val="none"/>
                <w:u w:val="none"/>
                <w:lang w:val="en-US" w:eastAsia="zh-CN" w:bidi="ar-SA"/>
              </w:rPr>
              <w:t>1、设计思路清晰，充分分析周边格局，充分分析地块特征及周边格局，充分结合本项目业务需求，充分提出因地制宜并有针对性的设计概念及改造策略，得13-20分；</w:t>
            </w:r>
          </w:p>
          <w:p>
            <w:pPr>
              <w:spacing w:line="360" w:lineRule="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2、设计思路比较清晰，能较好地分析了地块特征及周边格局，较好的结合本项目业务需求，较好提出因地制宜并有针对性的设计概念及改造策略，得7-12分；</w:t>
            </w:r>
          </w:p>
          <w:p>
            <w:pPr>
              <w:spacing w:line="360" w:lineRule="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3、设计思路基本清晰，能基本分析周边格局，基本结合本项目业务需求，基本提出因地制宜并有针对性的设计概念及改造策略，得1-6分；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cs="宋体"/>
                <w:color w:val="auto"/>
                <w:szCs w:val="21"/>
                <w:highlight w:val="none"/>
                <w:u w:val="none"/>
              </w:rPr>
            </w:pPr>
            <w:r>
              <w:rPr>
                <w:rFonts w:hint="eastAsia" w:ascii="宋体" w:hAnsi="宋体" w:eastAsia="宋体" w:cs="宋体"/>
                <w:bCs/>
                <w:color w:val="auto"/>
                <w:kern w:val="2"/>
                <w:sz w:val="21"/>
                <w:szCs w:val="21"/>
                <w:highlight w:val="none"/>
                <w:u w:val="none"/>
                <w:lang w:val="en-US" w:eastAsia="zh-CN" w:bidi="ar-SA"/>
              </w:rPr>
              <w:t>4、不提供不得分。</w:t>
            </w:r>
          </w:p>
        </w:tc>
        <w:tc>
          <w:tcPr>
            <w:tcW w:w="37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auto"/>
                <w:kern w:val="2"/>
                <w:sz w:val="21"/>
                <w:szCs w:val="21"/>
                <w:highlight w:val="none"/>
                <w:u w:val="none"/>
                <w:lang w:val="en-US" w:eastAsia="zh-CN" w:bidi="ar-SA"/>
              </w:rPr>
            </w:pPr>
            <w:r>
              <w:rPr>
                <w:b/>
                <w:color w:val="auto"/>
                <w:kern w:val="1"/>
                <w:highlight w:val="none"/>
                <w:u w:val="none"/>
              </w:rPr>
              <w:t>总体理念</w:t>
            </w:r>
            <w:r>
              <w:rPr>
                <w:rFonts w:hint="eastAsia"/>
                <w:b/>
                <w:color w:val="auto"/>
                <w:kern w:val="1"/>
                <w:highlight w:val="none"/>
                <w:u w:val="none"/>
                <w:lang w:eastAsia="zh-CN"/>
              </w:rPr>
              <w:t>：</w:t>
            </w:r>
            <w:r>
              <w:rPr>
                <w:rFonts w:hint="eastAsia" w:ascii="宋体" w:hAnsi="宋体" w:eastAsia="宋体" w:cs="宋体"/>
                <w:bCs/>
                <w:color w:val="auto"/>
                <w:kern w:val="2"/>
                <w:sz w:val="21"/>
                <w:szCs w:val="21"/>
                <w:highlight w:val="none"/>
                <w:u w:val="none"/>
                <w:lang w:val="en-US" w:eastAsia="zh-CN" w:bidi="ar-SA"/>
              </w:rPr>
              <w:t>1、设计思路清晰，充分分析周边格局，充分分析地块特征及周边格局，充分结合本项目业务需求（同时布置多种类型储能实验室，具体参见可研报告第3章3.1~3.8节），充分提出因地制宜并有针对性的设计概念及改造策略，得13-20分；</w:t>
            </w:r>
          </w:p>
          <w:p>
            <w:pPr>
              <w:spacing w:line="360" w:lineRule="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2、设计思路比较清晰，能较好地分析了地块特征及周边格局，较好的结合本项目业务需求（同时布置多种类型储能实验室，具体参见可研报告第3章3.1~3.8节），较好提出因地制宜并有针对性的设计概念及改造策略，得7-12分；</w:t>
            </w:r>
          </w:p>
          <w:p>
            <w:pPr>
              <w:spacing w:line="360" w:lineRule="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3、设计思路基本清晰，能基本分析周边格局，基本结合本项目业务需求（同时布置多种类型储能实验室，具体参见可研报告第3章3.1~3.8节），基本提出因地制宜并有针对性的设计概念及改造策略，得1-6分；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default"/>
                <w:b w:val="0"/>
                <w:i w:val="0"/>
                <w:iCs w:val="0"/>
                <w:color w:val="auto"/>
                <w:highlight w:val="none"/>
                <w:u w:val="none"/>
              </w:rPr>
            </w:pPr>
            <w:r>
              <w:rPr>
                <w:rFonts w:hint="eastAsia" w:ascii="宋体" w:hAnsi="宋体" w:eastAsia="宋体" w:cs="宋体"/>
                <w:bCs/>
                <w:color w:val="auto"/>
                <w:kern w:val="2"/>
                <w:sz w:val="21"/>
                <w:szCs w:val="21"/>
                <w:highlight w:val="none"/>
                <w:u w:val="none"/>
                <w:lang w:val="en-US" w:eastAsia="zh-CN" w:bidi="ar-SA"/>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10</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招标文件第二章 评标办法 附表5 勘察设计方案评分表</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1980"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imes New Roman" w:hAnsi="Times New Roman" w:eastAsia="宋体" w:cs="Times New Roman"/>
                <w:color w:val="auto"/>
                <w:highlight w:val="none"/>
                <w:u w:val="none"/>
                <w:lang w:val="en-US" w:eastAsia="zh-CN"/>
              </w:rPr>
            </w:pPr>
            <w:r>
              <w:rPr>
                <w:b/>
                <w:color w:val="auto"/>
                <w:kern w:val="1"/>
                <w:highlight w:val="none"/>
                <w:u w:val="none"/>
              </w:rPr>
              <w:t>总平面方案</w:t>
            </w:r>
            <w:r>
              <w:rPr>
                <w:rFonts w:hint="eastAsia"/>
                <w:b/>
                <w:color w:val="auto"/>
                <w:kern w:val="1"/>
                <w:highlight w:val="none"/>
                <w:u w:val="none"/>
                <w:lang w:eastAsia="zh-CN"/>
              </w:rPr>
              <w:t>：</w:t>
            </w:r>
            <w:r>
              <w:rPr>
                <w:rFonts w:hint="eastAsia" w:ascii="Times New Roman" w:hAnsi="Times New Roman" w:eastAsia="宋体" w:cs="Times New Roman"/>
                <w:color w:val="auto"/>
                <w:highlight w:val="none"/>
                <w:u w:val="none"/>
                <w:lang w:val="en-US" w:eastAsia="zh-CN"/>
              </w:rPr>
              <w:t>1、总体方案充分反映了本项目的设计要求、符合本项目的实际情况，充分体现工业建筑特色，合理可行，充分利用土地资源等现场条件，充分结合业务需求开展环境空间整体设计，整体风格协调美观，主要空间互相渗透，造型主题保持连贯、统一的设计手法形成一致独特的性格特点，得20-30分；</w:t>
            </w:r>
          </w:p>
          <w:p>
            <w:pPr>
              <w:spacing w:line="360" w:lineRule="auto"/>
              <w:rPr>
                <w:rFonts w:hint="eastAsia"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2、总体方案反映了本项目的设计要求、基本符合本项目的实际情况，体现工业建筑特色，利用土地资源等现场条件，并能结合业务需求开展环境空间整体设计，主要空间有互相渗透，基本采用造型主题保持连贯、统一的设计手法，得10-19分；</w:t>
            </w:r>
          </w:p>
          <w:p>
            <w:pPr>
              <w:spacing w:line="360" w:lineRule="auto"/>
              <w:rPr>
                <w:rFonts w:hint="eastAsia"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3、总体方案未能充分反映本项目的设计要求，不符合本项目的实际情况，土地资源利用不充分，未能结合业务需求开展环境空间整体设计，得1-9分；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cs="宋体" w:eastAsiaTheme="minorEastAsia"/>
                <w:bCs/>
                <w:color w:val="auto"/>
                <w:kern w:val="2"/>
                <w:sz w:val="21"/>
                <w:szCs w:val="21"/>
                <w:highlight w:val="none"/>
                <w:u w:val="none"/>
                <w:lang w:val="en-US" w:eastAsia="zh-CN" w:bidi="ar-SA"/>
              </w:rPr>
            </w:pPr>
            <w:r>
              <w:rPr>
                <w:rFonts w:hint="eastAsia" w:ascii="Times New Roman" w:hAnsi="Times New Roman" w:eastAsia="宋体" w:cs="Times New Roman"/>
                <w:color w:val="auto"/>
                <w:highlight w:val="none"/>
                <w:u w:val="none"/>
                <w:lang w:val="en-US" w:eastAsia="zh-CN"/>
              </w:rPr>
              <w:t>4、不提供不得分。</w:t>
            </w:r>
          </w:p>
        </w:tc>
        <w:tc>
          <w:tcPr>
            <w:tcW w:w="37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imes New Roman" w:hAnsi="Times New Roman" w:eastAsia="宋体" w:cs="Times New Roman"/>
                <w:color w:val="auto"/>
                <w:highlight w:val="none"/>
                <w:u w:val="none"/>
                <w:lang w:val="en-US" w:eastAsia="zh-CN"/>
              </w:rPr>
            </w:pPr>
            <w:r>
              <w:rPr>
                <w:b/>
                <w:color w:val="auto"/>
                <w:kern w:val="1"/>
                <w:highlight w:val="none"/>
                <w:u w:val="none"/>
              </w:rPr>
              <w:t>总平面方案</w:t>
            </w:r>
            <w:r>
              <w:rPr>
                <w:rFonts w:hint="eastAsia"/>
                <w:b/>
                <w:color w:val="auto"/>
                <w:kern w:val="1"/>
                <w:highlight w:val="none"/>
                <w:u w:val="none"/>
                <w:lang w:eastAsia="zh-CN"/>
              </w:rPr>
              <w:t>：</w:t>
            </w:r>
            <w:r>
              <w:rPr>
                <w:rFonts w:hint="eastAsia" w:ascii="Times New Roman" w:hAnsi="Times New Roman" w:eastAsia="宋体" w:cs="Times New Roman"/>
                <w:color w:val="auto"/>
                <w:highlight w:val="none"/>
                <w:u w:val="none"/>
                <w:lang w:val="en-US" w:eastAsia="zh-CN"/>
              </w:rPr>
              <w:t>1、总体方案充分反映了本项目的设计要求（详见《勘察设计任务书》）、符合本项目的实际情况，充分体现工业建筑特色，合理可行，充分利用土地资源等现场条件，充分结合业务需求（</w:t>
            </w:r>
            <w:r>
              <w:rPr>
                <w:rFonts w:hint="eastAsia" w:ascii="宋体" w:hAnsi="宋体" w:eastAsia="宋体" w:cs="宋体"/>
                <w:bCs/>
                <w:color w:val="auto"/>
                <w:kern w:val="2"/>
                <w:sz w:val="21"/>
                <w:szCs w:val="21"/>
                <w:highlight w:val="none"/>
                <w:u w:val="none"/>
                <w:lang w:val="en-US" w:eastAsia="zh-CN" w:bidi="ar-SA"/>
              </w:rPr>
              <w:t>同时布置多种类型储能实验室，具体参见可研报告第3章3.1~3.8节</w:t>
            </w:r>
            <w:r>
              <w:rPr>
                <w:rFonts w:hint="eastAsia" w:ascii="Times New Roman" w:hAnsi="Times New Roman" w:eastAsia="宋体" w:cs="Times New Roman"/>
                <w:color w:val="auto"/>
                <w:highlight w:val="none"/>
                <w:u w:val="none"/>
                <w:lang w:val="en-US" w:eastAsia="zh-CN"/>
              </w:rPr>
              <w:t>）开展环境空间整体设计，整体风格协调美观，主要空间互相渗透，造型主题保持连贯、统一的设计手法形成一致独特的性格特点，得20-30分；</w:t>
            </w:r>
          </w:p>
          <w:p>
            <w:pPr>
              <w:spacing w:line="360" w:lineRule="auto"/>
              <w:rPr>
                <w:rFonts w:hint="eastAsia"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2、总体方案反映了本项目的设计要求（详见《勘察设计任务书》）、基本符合本项目的实际情况，体现工业建筑特色，利用土地资源等现场条件，并能结合业务需求（</w:t>
            </w:r>
            <w:r>
              <w:rPr>
                <w:rFonts w:hint="eastAsia" w:ascii="宋体" w:hAnsi="宋体" w:eastAsia="宋体" w:cs="宋体"/>
                <w:bCs/>
                <w:color w:val="auto"/>
                <w:kern w:val="2"/>
                <w:sz w:val="21"/>
                <w:szCs w:val="21"/>
                <w:highlight w:val="none"/>
                <w:u w:val="none"/>
                <w:lang w:val="en-US" w:eastAsia="zh-CN" w:bidi="ar-SA"/>
              </w:rPr>
              <w:t>同时布置多种类型储能实验室，具体参见可研报告第3章3.1~3.8节</w:t>
            </w:r>
            <w:r>
              <w:rPr>
                <w:rFonts w:hint="eastAsia" w:ascii="Times New Roman" w:hAnsi="Times New Roman" w:eastAsia="宋体" w:cs="Times New Roman"/>
                <w:color w:val="auto"/>
                <w:highlight w:val="none"/>
                <w:u w:val="none"/>
                <w:lang w:val="en-US" w:eastAsia="zh-CN"/>
              </w:rPr>
              <w:t>）开展环境空间整体设计，主要空间有互相渗透，基本采用造型主题保持连贯、统一的设计手法，得10-19分；</w:t>
            </w:r>
          </w:p>
          <w:p>
            <w:pPr>
              <w:spacing w:line="360" w:lineRule="auto"/>
              <w:rPr>
                <w:rFonts w:hint="eastAsia"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3、总体方案未能充分反映本项目的设计要求（详见《勘察设计任务书》），不符合本项目的实际情况，土地资源利用不充分，未能结合业务需求（</w:t>
            </w:r>
            <w:r>
              <w:rPr>
                <w:rFonts w:hint="eastAsia" w:ascii="宋体" w:hAnsi="宋体" w:eastAsia="宋体" w:cs="宋体"/>
                <w:bCs/>
                <w:color w:val="auto"/>
                <w:kern w:val="2"/>
                <w:sz w:val="21"/>
                <w:szCs w:val="21"/>
                <w:highlight w:val="none"/>
                <w:u w:val="none"/>
                <w:lang w:val="en-US" w:eastAsia="zh-CN" w:bidi="ar-SA"/>
              </w:rPr>
              <w:t>同时布置多种类型储能实验室，具体参见可研报告第3章3.1~3.8节</w:t>
            </w:r>
            <w:r>
              <w:rPr>
                <w:rFonts w:hint="eastAsia" w:ascii="Times New Roman" w:hAnsi="Times New Roman" w:eastAsia="宋体" w:cs="Times New Roman"/>
                <w:color w:val="auto"/>
                <w:highlight w:val="none"/>
                <w:u w:val="none"/>
                <w:lang w:val="en-US" w:eastAsia="zh-CN"/>
              </w:rPr>
              <w:t>）开展环境空间整体设计，得1-9分；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default"/>
                <w:b w:val="0"/>
                <w:i w:val="0"/>
                <w:iCs w:val="0"/>
                <w:color w:val="auto"/>
                <w:highlight w:val="none"/>
                <w:u w:val="none"/>
              </w:rPr>
            </w:pPr>
            <w:r>
              <w:rPr>
                <w:rFonts w:hint="eastAsia" w:ascii="Times New Roman" w:hAnsi="Times New Roman" w:eastAsia="宋体" w:cs="Times New Roman"/>
                <w:color w:val="auto"/>
                <w:highlight w:val="none"/>
                <w:u w:val="none"/>
                <w:lang w:val="en-US" w:eastAsia="zh-CN"/>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11</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招标文件第二章 评标办法 附表5 勘察设计方案评分表</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1980"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auto"/>
                <w:kern w:val="2"/>
                <w:sz w:val="21"/>
                <w:szCs w:val="21"/>
                <w:highlight w:val="none"/>
                <w:u w:val="none"/>
                <w:lang w:val="en-US" w:eastAsia="zh-CN" w:bidi="ar-SA"/>
              </w:rPr>
            </w:pPr>
            <w:r>
              <w:rPr>
                <w:b/>
                <w:color w:val="auto"/>
                <w:kern w:val="1"/>
                <w:highlight w:val="none"/>
                <w:u w:val="none"/>
              </w:rPr>
              <w:t>建筑方案设计</w:t>
            </w:r>
            <w:r>
              <w:rPr>
                <w:rFonts w:hint="eastAsia"/>
                <w:b/>
                <w:color w:val="auto"/>
                <w:kern w:val="1"/>
                <w:highlight w:val="none"/>
                <w:u w:val="none"/>
                <w:lang w:eastAsia="zh-CN"/>
              </w:rPr>
              <w:t>：</w:t>
            </w:r>
            <w:r>
              <w:rPr>
                <w:rFonts w:hint="eastAsia" w:ascii="宋体" w:hAnsi="宋体" w:eastAsia="宋体" w:cs="宋体"/>
                <w:bCs/>
                <w:color w:val="auto"/>
                <w:kern w:val="2"/>
                <w:sz w:val="21"/>
                <w:szCs w:val="21"/>
                <w:highlight w:val="none"/>
                <w:u w:val="none"/>
                <w:lang w:val="en-US" w:eastAsia="zh-CN" w:bidi="ar-SA"/>
              </w:rPr>
              <w:t>1、充分考虑现状情况，充分结合业务需求，充分理解本项目对室内空间的要求，合理确定建筑柱网尺寸，合理控制设备及管线高度，满足工艺要求，充分利用现状空间，充分遵循功能性、适用性、美观性原则，符合本项目的实际需求，得20-30分；</w:t>
            </w:r>
          </w:p>
          <w:p>
            <w:pPr>
              <w:spacing w:line="360" w:lineRule="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2、基本考虑现状情况，基本结合业务需求，基本满足本项目对室内空间的要求，利用现状空间，基本遵循功能性、适用性、美观性原则，符合本项目的实际需求，得10-19分；</w:t>
            </w:r>
          </w:p>
          <w:p>
            <w:pPr>
              <w:spacing w:line="360" w:lineRule="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3、较少考虑现状情况，未能结合业务需求，各设施要素与项目业务需求结合不够，未能利用现状空间，功能性、适用性、美观性体现不充分，不能完全满足本项目的实际需求，得1-9分；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Times New Roman" w:hAnsi="Times New Roman" w:eastAsia="宋体" w:cs="Times New Roman"/>
                <w:color w:val="auto"/>
                <w:highlight w:val="none"/>
                <w:u w:val="none"/>
                <w:lang w:val="en-US" w:eastAsia="zh-CN"/>
              </w:rPr>
            </w:pPr>
            <w:r>
              <w:rPr>
                <w:rFonts w:hint="eastAsia" w:ascii="宋体" w:hAnsi="宋体" w:eastAsia="宋体" w:cs="宋体"/>
                <w:bCs/>
                <w:color w:val="auto"/>
                <w:kern w:val="2"/>
                <w:sz w:val="21"/>
                <w:szCs w:val="21"/>
                <w:highlight w:val="none"/>
                <w:u w:val="none"/>
                <w:lang w:val="en-US" w:eastAsia="zh-CN" w:bidi="ar-SA"/>
              </w:rPr>
              <w:t>4、不提供不得分。</w:t>
            </w:r>
          </w:p>
        </w:tc>
        <w:tc>
          <w:tcPr>
            <w:tcW w:w="379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auto"/>
                <w:kern w:val="2"/>
                <w:sz w:val="21"/>
                <w:szCs w:val="21"/>
                <w:highlight w:val="none"/>
                <w:u w:val="none"/>
                <w:lang w:val="en-US" w:eastAsia="zh-CN" w:bidi="ar-SA"/>
              </w:rPr>
            </w:pPr>
            <w:r>
              <w:rPr>
                <w:b/>
                <w:color w:val="auto"/>
                <w:kern w:val="1"/>
                <w:highlight w:val="none"/>
                <w:u w:val="none"/>
              </w:rPr>
              <w:t>建筑方案设计</w:t>
            </w:r>
            <w:r>
              <w:rPr>
                <w:rFonts w:hint="eastAsia"/>
                <w:b/>
                <w:color w:val="auto"/>
                <w:kern w:val="1"/>
                <w:highlight w:val="none"/>
                <w:u w:val="none"/>
                <w:lang w:eastAsia="zh-CN"/>
              </w:rPr>
              <w:t>：</w:t>
            </w:r>
            <w:r>
              <w:rPr>
                <w:rFonts w:hint="eastAsia" w:ascii="宋体" w:hAnsi="宋体" w:eastAsia="宋体" w:cs="宋体"/>
                <w:bCs/>
                <w:color w:val="auto"/>
                <w:kern w:val="2"/>
                <w:sz w:val="21"/>
                <w:szCs w:val="21"/>
                <w:highlight w:val="none"/>
                <w:u w:val="none"/>
                <w:lang w:val="en-US" w:eastAsia="zh-CN" w:bidi="ar-SA"/>
              </w:rPr>
              <w:t>1、充分考虑现状情况，充分结合业务需求（同时布置多种类型储能实验室，具体参见可研报告第3章3.1~3.8节），充分理解本项目对室内空间的要求，合理确定建筑柱网尺寸，合理控制设备及管线高度，满足工艺要求，充分利用现状空间，充分遵循功能性、适用性、美观性原则，符合本项目的实际需求，得20-30分；</w:t>
            </w:r>
          </w:p>
          <w:p>
            <w:pPr>
              <w:spacing w:line="360" w:lineRule="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2、基本考虑现状情况，基本结合业务需求（同时布置多种类型储能实验室，具体参见可研报告第3章3.1~3.8节），基本满足本项目对室内空间的要求，利用现状空间，基本遵循功能性、适用性、美观性原则，符合本项</w:t>
            </w:r>
            <w:bookmarkStart w:id="24" w:name="_GoBack"/>
            <w:bookmarkEnd w:id="24"/>
            <w:r>
              <w:rPr>
                <w:rFonts w:hint="eastAsia" w:ascii="宋体" w:hAnsi="宋体" w:eastAsia="宋体" w:cs="宋体"/>
                <w:bCs/>
                <w:color w:val="auto"/>
                <w:kern w:val="2"/>
                <w:sz w:val="21"/>
                <w:szCs w:val="21"/>
                <w:highlight w:val="none"/>
                <w:u w:val="none"/>
                <w:lang w:val="en-US" w:eastAsia="zh-CN" w:bidi="ar-SA"/>
              </w:rPr>
              <w:t>目的实际需求，得10-19分；</w:t>
            </w:r>
          </w:p>
          <w:p>
            <w:pPr>
              <w:spacing w:line="360" w:lineRule="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3、较少考虑现状情况，未能结合业务需求（同时布置多种类型储能实验室，具体参见可研报告第3章3.1~3.8节），各设施要素与项目业务需求（同时布置多种类型储能实验室，具体参见可研报告第3章3.1~3.8节）结合不够，未能利用现状空间，功能性、适用性、美观性体现不充分，不能完全满足本项目的实际需求，得1-9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Times New Roman" w:hAnsi="Times New Roman" w:eastAsia="宋体" w:cs="Times New Roman"/>
                <w:color w:val="auto"/>
                <w:highlight w:val="none"/>
                <w:u w:val="none"/>
                <w:lang w:val="en-US" w:eastAsia="zh-CN"/>
              </w:rPr>
            </w:pPr>
            <w:r>
              <w:rPr>
                <w:rFonts w:hint="eastAsia" w:ascii="宋体" w:hAnsi="宋体" w:eastAsia="宋体" w:cs="宋体"/>
                <w:bCs/>
                <w:color w:val="auto"/>
                <w:kern w:val="2"/>
                <w:sz w:val="21"/>
                <w:szCs w:val="21"/>
                <w:highlight w:val="none"/>
                <w:u w:val="none"/>
                <w:lang w:val="en-US" w:eastAsia="zh-CN" w:bidi="ar-SA"/>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12</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招标文件第二章 评标办法 附表5 勘察设计方案评分表</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1980"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auto"/>
                <w:kern w:val="2"/>
                <w:sz w:val="21"/>
                <w:szCs w:val="21"/>
                <w:highlight w:val="none"/>
                <w:u w:val="none"/>
                <w:lang w:val="en-US" w:eastAsia="zh-CN" w:bidi="ar-SA"/>
              </w:rPr>
            </w:pPr>
            <w:r>
              <w:rPr>
                <w:b/>
                <w:color w:val="auto"/>
                <w:kern w:val="1"/>
                <w:highlight w:val="none"/>
                <w:u w:val="none"/>
              </w:rPr>
              <w:t>质量、进度保证措施</w:t>
            </w:r>
            <w:r>
              <w:rPr>
                <w:rFonts w:hint="eastAsia"/>
                <w:b/>
                <w:color w:val="auto"/>
                <w:kern w:val="1"/>
                <w:highlight w:val="none"/>
                <w:u w:val="none"/>
                <w:lang w:eastAsia="zh-CN"/>
              </w:rPr>
              <w:t>：</w:t>
            </w:r>
            <w:r>
              <w:rPr>
                <w:rFonts w:hint="eastAsia" w:ascii="宋体" w:hAnsi="宋体" w:eastAsia="宋体" w:cs="宋体"/>
                <w:bCs/>
                <w:color w:val="auto"/>
                <w:kern w:val="2"/>
                <w:sz w:val="21"/>
                <w:szCs w:val="21"/>
                <w:highlight w:val="none"/>
                <w:u w:val="none"/>
                <w:lang w:val="en-US" w:eastAsia="zh-CN" w:bidi="ar-SA"/>
              </w:rPr>
              <w:t>1、项目质量保障措施具体、合理、可行，满足反复修改论证、随时汇报以及短期内提交成果等特殊要求的,得6-10分；</w:t>
            </w:r>
          </w:p>
          <w:p>
            <w:pPr>
              <w:spacing w:line="360" w:lineRule="auto"/>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2、项目质量保障措施较可行，基本满足反复修改论证、随时汇报以及短期内提交成果等特殊要求，得1-5分；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Times New Roman" w:hAnsi="Times New Roman" w:cs="Times New Roman" w:eastAsiaTheme="minorEastAsia"/>
                <w:color w:val="auto"/>
                <w:highlight w:val="none"/>
                <w:u w:val="none"/>
                <w:lang w:val="en-US" w:eastAsia="zh-CN"/>
              </w:rPr>
            </w:pPr>
            <w:r>
              <w:rPr>
                <w:rFonts w:hint="eastAsia" w:ascii="宋体" w:hAnsi="宋体" w:eastAsia="宋体" w:cs="宋体"/>
                <w:bCs/>
                <w:color w:val="auto"/>
                <w:kern w:val="2"/>
                <w:sz w:val="21"/>
                <w:szCs w:val="21"/>
                <w:highlight w:val="none"/>
                <w:u w:val="none"/>
                <w:lang w:val="en-US" w:eastAsia="zh-CN" w:bidi="ar-SA"/>
              </w:rPr>
              <w:t>3、措施不具体，不能满足特殊要求，得0分。</w:t>
            </w:r>
          </w:p>
        </w:tc>
        <w:tc>
          <w:tcPr>
            <w:tcW w:w="1957" w:type="pct"/>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Cs/>
                <w:color w:val="auto"/>
                <w:kern w:val="2"/>
                <w:sz w:val="21"/>
                <w:szCs w:val="21"/>
                <w:highlight w:val="none"/>
                <w:u w:val="none"/>
                <w:lang w:val="en-US" w:eastAsia="zh-CN" w:bidi="ar-SA"/>
              </w:rPr>
            </w:pPr>
            <w:r>
              <w:rPr>
                <w:b/>
                <w:color w:val="auto"/>
                <w:kern w:val="1"/>
                <w:highlight w:val="none"/>
                <w:u w:val="none"/>
              </w:rPr>
              <w:t>质量、进度保证措施</w:t>
            </w:r>
            <w:r>
              <w:rPr>
                <w:rFonts w:hint="eastAsia"/>
                <w:b/>
                <w:color w:val="auto"/>
                <w:kern w:val="1"/>
                <w:highlight w:val="none"/>
                <w:u w:val="none"/>
                <w:lang w:eastAsia="zh-CN"/>
              </w:rPr>
              <w:t>：</w:t>
            </w:r>
            <w:r>
              <w:rPr>
                <w:rFonts w:hint="eastAsia" w:ascii="宋体" w:hAnsi="宋体" w:eastAsia="宋体" w:cs="宋体"/>
                <w:bCs/>
                <w:color w:val="auto"/>
                <w:kern w:val="2"/>
                <w:sz w:val="21"/>
                <w:szCs w:val="21"/>
                <w:highlight w:val="none"/>
                <w:u w:val="none"/>
                <w:lang w:val="en-US" w:eastAsia="zh-CN" w:bidi="ar-SA"/>
              </w:rPr>
              <w:t>1、质量保证措施全面、具体、有针对性，管理流程清晰、责任明确，且有完善的检查与纠错机制；进度保证措施有力，关键路径清晰，有量化资源和动态监控预警机制，得6-10分；</w:t>
            </w:r>
          </w:p>
          <w:p>
            <w:pPr>
              <w:rPr>
                <w:rFonts w:hint="eastAsia" w:ascii="宋体" w:hAnsi="宋体" w:eastAsia="宋体" w:cs="宋体"/>
                <w:bCs/>
                <w:color w:val="auto"/>
                <w:kern w:val="2"/>
                <w:sz w:val="21"/>
                <w:szCs w:val="21"/>
                <w:highlight w:val="none"/>
                <w:u w:val="none"/>
                <w:lang w:val="en-US" w:eastAsia="zh-CN" w:bidi="ar-SA"/>
              </w:rPr>
            </w:pPr>
            <w:r>
              <w:rPr>
                <w:rFonts w:hint="eastAsia" w:ascii="宋体" w:hAnsi="宋体" w:eastAsia="宋体" w:cs="宋体"/>
                <w:bCs/>
                <w:color w:val="auto"/>
                <w:kern w:val="2"/>
                <w:sz w:val="21"/>
                <w:szCs w:val="21"/>
                <w:highlight w:val="none"/>
                <w:u w:val="none"/>
                <w:lang w:val="en-US" w:eastAsia="zh-CN" w:bidi="ar-SA"/>
              </w:rPr>
              <w:t>2、质量保证措施笼统、缺乏针对性，有基本框架但无具体执行细节和责任体系；进度保证措施薄弱，仅有粗线条时间轴，进度风险应对不足，得1-5分；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b w:val="0"/>
                <w:i w:val="0"/>
                <w:iCs w:val="0"/>
                <w:color w:val="auto"/>
                <w:highlight w:val="none"/>
                <w:u w:val="none"/>
              </w:rPr>
            </w:pPr>
            <w:r>
              <w:rPr>
                <w:rFonts w:hint="eastAsia" w:ascii="宋体" w:hAnsi="宋体" w:eastAsia="宋体" w:cs="宋体"/>
                <w:bCs/>
                <w:color w:val="auto"/>
                <w:kern w:val="2"/>
                <w:sz w:val="21"/>
                <w:szCs w:val="21"/>
                <w:highlight w:val="none"/>
                <w:u w:val="none"/>
                <w:lang w:val="en-US" w:eastAsia="zh-CN" w:bidi="ar-SA"/>
              </w:rPr>
              <w:t>3、质量、进度保证措施缺失或完全不可行，得0分。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13</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招标文件第二章 评标办法 附表6 工程总承包实施方案</w:t>
            </w:r>
            <w:bookmarkStart w:id="15" w:name="_Hlk56526379"/>
            <w:r>
              <w:rPr>
                <w:rFonts w:hint="eastAsia" w:ascii="宋体" w:hAnsi="宋体" w:eastAsia="宋体" w:cs="宋体"/>
                <w:b w:val="0"/>
                <w:color w:val="000000"/>
                <w:kern w:val="2"/>
                <w:sz w:val="24"/>
                <w:szCs w:val="24"/>
                <w:highlight w:val="none"/>
                <w:u w:val="none"/>
                <w:shd w:val="clear" w:color="auto" w:fill="auto"/>
                <w:lang w:val="en-US" w:eastAsia="zh-CN" w:bidi="ar"/>
              </w:rPr>
              <w:t>技术部分</w:t>
            </w:r>
            <w:bookmarkEnd w:id="15"/>
            <w:r>
              <w:rPr>
                <w:rFonts w:hint="eastAsia" w:ascii="宋体" w:hAnsi="宋体" w:eastAsia="宋体" w:cs="宋体"/>
                <w:b w:val="0"/>
                <w:color w:val="000000"/>
                <w:kern w:val="2"/>
                <w:sz w:val="24"/>
                <w:szCs w:val="24"/>
                <w:highlight w:val="none"/>
                <w:u w:val="none"/>
                <w:shd w:val="clear" w:color="auto" w:fill="auto"/>
                <w:lang w:val="en-US" w:eastAsia="zh-CN" w:bidi="ar"/>
              </w:rPr>
              <w:t>评分表</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1980" w:type="pct"/>
            <w:tcBorders>
              <w:top w:val="single" w:color="auto" w:sz="4" w:space="0"/>
              <w:left w:val="single" w:color="auto" w:sz="4" w:space="0"/>
              <w:bottom w:val="single" w:color="auto" w:sz="4" w:space="0"/>
              <w:right w:val="single" w:color="auto" w:sz="4" w:space="0"/>
            </w:tcBorders>
            <w:vAlign w:val="center"/>
          </w:tcPr>
          <w:p>
            <w:pPr>
              <w:pStyle w:val="18"/>
              <w:spacing w:line="360" w:lineRule="auto"/>
              <w:jc w:val="left"/>
              <w:rPr>
                <w:rFonts w:hint="eastAsia"/>
                <w:i w:val="0"/>
                <w:iCs w:val="0"/>
                <w:color w:val="auto"/>
                <w:highlight w:val="none"/>
                <w:u w:val="none"/>
              </w:rPr>
            </w:pPr>
            <w:r>
              <w:rPr>
                <w:rFonts w:hint="eastAsia"/>
                <w:i w:val="0"/>
                <w:iCs w:val="0"/>
                <w:color w:val="auto"/>
                <w:highlight w:val="none"/>
                <w:u w:val="none"/>
              </w:rPr>
              <w:t>类似项目业绩（设计方）（</w:t>
            </w:r>
            <w:r>
              <w:rPr>
                <w:rFonts w:hint="eastAsia"/>
                <w:i w:val="0"/>
                <w:iCs w:val="0"/>
                <w:color w:val="auto"/>
                <w:highlight w:val="none"/>
                <w:u w:val="none"/>
                <w:lang w:val="en-US" w:eastAsia="zh-CN"/>
              </w:rPr>
              <w:t>5</w:t>
            </w:r>
            <w:r>
              <w:rPr>
                <w:rFonts w:hint="eastAsia"/>
                <w:i w:val="0"/>
                <w:iCs w:val="0"/>
                <w:color w:val="auto"/>
                <w:highlight w:val="none"/>
                <w:u w:val="none"/>
              </w:rPr>
              <w:t>分）：</w:t>
            </w:r>
          </w:p>
          <w:p>
            <w:pPr>
              <w:pStyle w:val="18"/>
              <w:spacing w:line="360" w:lineRule="auto"/>
              <w:jc w:val="left"/>
              <w:rPr>
                <w:rFonts w:hint="eastAsia"/>
                <w:i w:val="0"/>
                <w:iCs w:val="0"/>
                <w:color w:val="auto"/>
                <w:highlight w:val="none"/>
                <w:u w:val="none"/>
              </w:rPr>
            </w:pPr>
            <w:r>
              <w:rPr>
                <w:rFonts w:hint="eastAsia"/>
                <w:i w:val="0"/>
                <w:iCs w:val="0"/>
                <w:color w:val="auto"/>
                <w:highlight w:val="none"/>
                <w:u w:val="none"/>
              </w:rPr>
              <w:t>投标人（如是联合体投标，指联合体的设计方）:自2020年1月1日至投标截止之日，承接的类似业绩：</w:t>
            </w:r>
          </w:p>
          <w:p>
            <w:pPr>
              <w:pStyle w:val="18"/>
              <w:numPr>
                <w:ilvl w:val="0"/>
                <w:numId w:val="4"/>
              </w:numPr>
              <w:spacing w:line="360" w:lineRule="auto"/>
              <w:jc w:val="left"/>
              <w:rPr>
                <w:rFonts w:hint="eastAsia"/>
                <w:i w:val="0"/>
                <w:iCs w:val="0"/>
                <w:color w:val="auto"/>
                <w:highlight w:val="none"/>
                <w:u w:val="none"/>
              </w:rPr>
            </w:pPr>
            <w:r>
              <w:rPr>
                <w:rFonts w:hint="eastAsia"/>
                <w:i w:val="0"/>
                <w:iCs w:val="0"/>
                <w:color w:val="auto"/>
                <w:highlight w:val="none"/>
                <w:u w:val="none"/>
              </w:rPr>
              <w:t>合同金额1000万元及以上，或项目总建筑面积30000平方米及以上的，每项得1.0分，最多得</w:t>
            </w:r>
            <w:r>
              <w:rPr>
                <w:rFonts w:hint="eastAsia"/>
                <w:i w:val="0"/>
                <w:iCs w:val="0"/>
                <w:color w:val="auto"/>
                <w:highlight w:val="none"/>
                <w:u w:val="none"/>
                <w:lang w:val="en-US" w:eastAsia="zh-CN"/>
              </w:rPr>
              <w:t>5</w:t>
            </w:r>
            <w:r>
              <w:rPr>
                <w:rFonts w:hint="eastAsia"/>
                <w:i w:val="0"/>
                <w:iCs w:val="0"/>
                <w:color w:val="auto"/>
                <w:highlight w:val="none"/>
                <w:u w:val="none"/>
              </w:rPr>
              <w:t>分；</w:t>
            </w:r>
          </w:p>
          <w:p>
            <w:pPr>
              <w:pStyle w:val="18"/>
              <w:numPr>
                <w:ilvl w:val="0"/>
                <w:numId w:val="0"/>
              </w:numPr>
              <w:spacing w:line="360" w:lineRule="auto"/>
              <w:jc w:val="left"/>
              <w:rPr>
                <w:rFonts w:hint="eastAsia"/>
                <w:i w:val="0"/>
                <w:iCs w:val="0"/>
                <w:color w:val="auto"/>
                <w:highlight w:val="none"/>
                <w:u w:val="none"/>
              </w:rPr>
            </w:pPr>
            <w:r>
              <w:rPr>
                <w:rFonts w:hint="eastAsia"/>
                <w:i w:val="0"/>
                <w:iCs w:val="0"/>
                <w:color w:val="auto"/>
                <w:highlight w:val="none"/>
                <w:u w:val="none"/>
              </w:rPr>
              <w:t>（2）合同金额1000万元（不含）以下，且项目总建筑面积30000平方米（不含）以下的，每项得0.5分，最多得</w:t>
            </w:r>
            <w:r>
              <w:rPr>
                <w:rFonts w:hint="eastAsia"/>
                <w:i w:val="0"/>
                <w:iCs w:val="0"/>
                <w:color w:val="auto"/>
                <w:highlight w:val="none"/>
                <w:u w:val="none"/>
                <w:lang w:val="en-US" w:eastAsia="zh-CN"/>
              </w:rPr>
              <w:t>2.5</w:t>
            </w:r>
            <w:r>
              <w:rPr>
                <w:rFonts w:hint="eastAsia"/>
                <w:i w:val="0"/>
                <w:iCs w:val="0"/>
                <w:color w:val="auto"/>
                <w:highlight w:val="none"/>
                <w:u w:val="none"/>
              </w:rPr>
              <w:t>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Cs/>
                <w:color w:val="auto"/>
                <w:kern w:val="2"/>
                <w:sz w:val="21"/>
                <w:szCs w:val="21"/>
                <w:highlight w:val="none"/>
                <w:u w:val="none"/>
                <w:lang w:val="en-US" w:eastAsia="zh-CN" w:bidi="ar-SA"/>
              </w:rPr>
            </w:pPr>
            <w:r>
              <w:rPr>
                <w:rFonts w:hint="eastAsia"/>
                <w:i w:val="0"/>
                <w:iCs w:val="0"/>
                <w:color w:val="auto"/>
                <w:highlight w:val="none"/>
                <w:u w:val="none"/>
              </w:rPr>
              <w:t>注：本项最高得分</w:t>
            </w:r>
            <w:r>
              <w:rPr>
                <w:rFonts w:hint="eastAsia"/>
                <w:i w:val="0"/>
                <w:iCs w:val="0"/>
                <w:color w:val="auto"/>
                <w:highlight w:val="none"/>
                <w:u w:val="none"/>
                <w:lang w:val="en-US" w:eastAsia="zh-CN"/>
              </w:rPr>
              <w:t>5</w:t>
            </w:r>
            <w:r>
              <w:rPr>
                <w:rFonts w:hint="eastAsia"/>
                <w:i w:val="0"/>
                <w:iCs w:val="0"/>
                <w:color w:val="auto"/>
                <w:highlight w:val="none"/>
                <w:u w:val="none"/>
              </w:rPr>
              <w:t>分，即（1）（2）项累计最高得分</w:t>
            </w:r>
            <w:r>
              <w:rPr>
                <w:rFonts w:hint="eastAsia"/>
                <w:i w:val="0"/>
                <w:iCs w:val="0"/>
                <w:color w:val="auto"/>
                <w:highlight w:val="none"/>
                <w:u w:val="none"/>
                <w:lang w:val="en-US" w:eastAsia="zh-CN"/>
              </w:rPr>
              <w:t>5</w:t>
            </w:r>
            <w:r>
              <w:rPr>
                <w:rFonts w:hint="eastAsia"/>
                <w:i w:val="0"/>
                <w:iCs w:val="0"/>
                <w:color w:val="auto"/>
                <w:highlight w:val="none"/>
                <w:u w:val="none"/>
              </w:rPr>
              <w:t>分。不符合条件的业绩不计分。</w:t>
            </w:r>
            <w:r>
              <w:rPr>
                <w:rFonts w:hint="eastAsia"/>
                <w:i w:val="0"/>
                <w:iCs w:val="0"/>
                <w:strike w:val="0"/>
                <w:dstrike w:val="0"/>
                <w:color w:val="auto"/>
                <w:highlight w:val="none"/>
                <w:u w:val="none"/>
              </w:rPr>
              <w:t>①类似业绩是指建筑工程设计业绩；</w:t>
            </w:r>
            <w:r>
              <w:rPr>
                <w:rFonts w:hint="eastAsia"/>
                <w:i w:val="0"/>
                <w:iCs w:val="0"/>
                <w:color w:val="auto"/>
                <w:highlight w:val="none"/>
                <w:u w:val="none"/>
              </w:rPr>
              <w:t>②业绩需提供中标通知书（或免招标的证明）、合同文件扫描件。时间以合同文件签订时间为准，若合同文件无签订时间的，以中标通知书（或免招标的证明）的时间为准。若前述证明材料不能完整反映评审所需信息的，可提交能完整反映评审所需信息的《项目建议书批复文件》或《可行性研究报告批复文件》或《企业投资项目备案证》或《施工图审查合格证书》作为证明材料；③若以上材料均不能完整反映评审所需信息的，可提供项目业主单位出具的证明材料作为补充，否则不予认可；④不提供或提供不完整的不得分。</w:t>
            </w:r>
          </w:p>
        </w:tc>
        <w:tc>
          <w:tcPr>
            <w:tcW w:w="1957" w:type="pct"/>
            <w:tcBorders>
              <w:top w:val="single" w:color="auto" w:sz="4" w:space="0"/>
              <w:left w:val="single" w:color="auto" w:sz="4" w:space="0"/>
              <w:bottom w:val="single" w:color="auto" w:sz="4" w:space="0"/>
              <w:right w:val="single" w:color="auto" w:sz="4" w:space="0"/>
            </w:tcBorders>
            <w:vAlign w:val="center"/>
          </w:tcPr>
          <w:p>
            <w:pPr>
              <w:pStyle w:val="18"/>
              <w:spacing w:line="360" w:lineRule="auto"/>
              <w:jc w:val="left"/>
              <w:rPr>
                <w:rFonts w:hint="eastAsia"/>
                <w:i w:val="0"/>
                <w:iCs w:val="0"/>
                <w:color w:val="auto"/>
                <w:highlight w:val="none"/>
                <w:u w:val="none"/>
              </w:rPr>
            </w:pPr>
            <w:r>
              <w:rPr>
                <w:rFonts w:hint="eastAsia"/>
                <w:i w:val="0"/>
                <w:iCs w:val="0"/>
                <w:color w:val="auto"/>
                <w:highlight w:val="none"/>
                <w:u w:val="none"/>
              </w:rPr>
              <w:t>类似项目业绩（设计方）（</w:t>
            </w:r>
            <w:r>
              <w:rPr>
                <w:rFonts w:hint="eastAsia"/>
                <w:i w:val="0"/>
                <w:iCs w:val="0"/>
                <w:color w:val="auto"/>
                <w:highlight w:val="none"/>
                <w:u w:val="none"/>
                <w:lang w:val="en-US" w:eastAsia="zh-CN"/>
              </w:rPr>
              <w:t>5</w:t>
            </w:r>
            <w:r>
              <w:rPr>
                <w:rFonts w:hint="eastAsia"/>
                <w:i w:val="0"/>
                <w:iCs w:val="0"/>
                <w:color w:val="auto"/>
                <w:highlight w:val="none"/>
                <w:u w:val="none"/>
              </w:rPr>
              <w:t>分）：</w:t>
            </w:r>
          </w:p>
          <w:p>
            <w:pPr>
              <w:pStyle w:val="18"/>
              <w:spacing w:line="360" w:lineRule="auto"/>
              <w:jc w:val="left"/>
              <w:rPr>
                <w:rFonts w:hint="eastAsia"/>
                <w:i w:val="0"/>
                <w:iCs w:val="0"/>
                <w:color w:val="auto"/>
                <w:highlight w:val="none"/>
                <w:u w:val="none"/>
              </w:rPr>
            </w:pPr>
            <w:r>
              <w:rPr>
                <w:rFonts w:hint="eastAsia"/>
                <w:i w:val="0"/>
                <w:iCs w:val="0"/>
                <w:color w:val="auto"/>
                <w:highlight w:val="none"/>
                <w:u w:val="none"/>
              </w:rPr>
              <w:t>投标人（如是联合体投标，指联合体的设计方）:自2020年1月1日至投标截止之日，承接的类似业绩：</w:t>
            </w:r>
          </w:p>
          <w:p>
            <w:pPr>
              <w:pStyle w:val="18"/>
              <w:numPr>
                <w:ilvl w:val="0"/>
                <w:numId w:val="4"/>
              </w:numPr>
              <w:spacing w:line="360" w:lineRule="auto"/>
              <w:jc w:val="left"/>
              <w:rPr>
                <w:rFonts w:hint="eastAsia"/>
                <w:i w:val="0"/>
                <w:iCs w:val="0"/>
                <w:color w:val="auto"/>
                <w:highlight w:val="none"/>
                <w:u w:val="none"/>
              </w:rPr>
            </w:pPr>
            <w:r>
              <w:rPr>
                <w:rFonts w:hint="eastAsia"/>
                <w:i w:val="0"/>
                <w:iCs w:val="0"/>
                <w:color w:val="auto"/>
                <w:highlight w:val="none"/>
                <w:u w:val="none"/>
              </w:rPr>
              <w:t>合同金额1000万元及以上，或项目总建筑面积30000平方米及以上的，每项得1.0分，最多得</w:t>
            </w:r>
            <w:r>
              <w:rPr>
                <w:rFonts w:hint="eastAsia"/>
                <w:i w:val="0"/>
                <w:iCs w:val="0"/>
                <w:color w:val="auto"/>
                <w:highlight w:val="none"/>
                <w:u w:val="none"/>
                <w:lang w:val="en-US" w:eastAsia="zh-CN"/>
              </w:rPr>
              <w:t>5</w:t>
            </w:r>
            <w:r>
              <w:rPr>
                <w:rFonts w:hint="eastAsia"/>
                <w:i w:val="0"/>
                <w:iCs w:val="0"/>
                <w:color w:val="auto"/>
                <w:highlight w:val="none"/>
                <w:u w:val="none"/>
              </w:rPr>
              <w:t>分；</w:t>
            </w:r>
          </w:p>
          <w:p>
            <w:pPr>
              <w:pStyle w:val="18"/>
              <w:numPr>
                <w:ilvl w:val="0"/>
                <w:numId w:val="0"/>
              </w:numPr>
              <w:spacing w:line="360" w:lineRule="auto"/>
              <w:jc w:val="left"/>
              <w:rPr>
                <w:rFonts w:hint="eastAsia"/>
                <w:i w:val="0"/>
                <w:iCs w:val="0"/>
                <w:color w:val="auto"/>
                <w:highlight w:val="none"/>
                <w:u w:val="none"/>
              </w:rPr>
            </w:pPr>
            <w:r>
              <w:rPr>
                <w:rFonts w:hint="eastAsia"/>
                <w:i w:val="0"/>
                <w:iCs w:val="0"/>
                <w:color w:val="auto"/>
                <w:highlight w:val="none"/>
                <w:u w:val="none"/>
              </w:rPr>
              <w:t>（2）合同金额1000万元（不含）以下，且项目总建筑面积30000平方米（不含）以下的，每项得0.5分，最多得</w:t>
            </w:r>
            <w:r>
              <w:rPr>
                <w:rFonts w:hint="eastAsia"/>
                <w:i w:val="0"/>
                <w:iCs w:val="0"/>
                <w:color w:val="auto"/>
                <w:highlight w:val="none"/>
                <w:u w:val="none"/>
                <w:lang w:val="en-US" w:eastAsia="zh-CN"/>
              </w:rPr>
              <w:t>2.5</w:t>
            </w:r>
            <w:r>
              <w:rPr>
                <w:rFonts w:hint="eastAsia"/>
                <w:i w:val="0"/>
                <w:iCs w:val="0"/>
                <w:color w:val="auto"/>
                <w:highlight w:val="none"/>
                <w:u w:val="none"/>
              </w:rPr>
              <w:t>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b w:val="0"/>
                <w:i w:val="0"/>
                <w:iCs w:val="0"/>
                <w:color w:val="auto"/>
                <w:highlight w:val="none"/>
                <w:u w:val="none"/>
              </w:rPr>
            </w:pPr>
            <w:r>
              <w:rPr>
                <w:rFonts w:hint="eastAsia"/>
                <w:i w:val="0"/>
                <w:iCs w:val="0"/>
                <w:color w:val="auto"/>
                <w:highlight w:val="none"/>
                <w:u w:val="none"/>
              </w:rPr>
              <w:t>注：本项最高得分</w:t>
            </w:r>
            <w:r>
              <w:rPr>
                <w:rFonts w:hint="eastAsia"/>
                <w:i w:val="0"/>
                <w:iCs w:val="0"/>
                <w:color w:val="auto"/>
                <w:highlight w:val="none"/>
                <w:u w:val="none"/>
                <w:lang w:val="en-US" w:eastAsia="zh-CN"/>
              </w:rPr>
              <w:t>5</w:t>
            </w:r>
            <w:r>
              <w:rPr>
                <w:rFonts w:hint="eastAsia"/>
                <w:i w:val="0"/>
                <w:iCs w:val="0"/>
                <w:color w:val="auto"/>
                <w:highlight w:val="none"/>
                <w:u w:val="none"/>
              </w:rPr>
              <w:t>分，即（1）（2）项累计最高得分</w:t>
            </w:r>
            <w:r>
              <w:rPr>
                <w:rFonts w:hint="eastAsia"/>
                <w:i w:val="0"/>
                <w:iCs w:val="0"/>
                <w:color w:val="auto"/>
                <w:highlight w:val="none"/>
                <w:u w:val="none"/>
                <w:lang w:val="en-US" w:eastAsia="zh-CN"/>
              </w:rPr>
              <w:t>5</w:t>
            </w:r>
            <w:r>
              <w:rPr>
                <w:rFonts w:hint="eastAsia"/>
                <w:i w:val="0"/>
                <w:iCs w:val="0"/>
                <w:color w:val="auto"/>
                <w:highlight w:val="none"/>
                <w:u w:val="none"/>
              </w:rPr>
              <w:t>分。不符合条件的业绩不计分。</w:t>
            </w:r>
            <w:r>
              <w:rPr>
                <w:rFonts w:hint="eastAsia"/>
                <w:i w:val="0"/>
                <w:iCs w:val="0"/>
                <w:strike w:val="0"/>
                <w:dstrike w:val="0"/>
                <w:color w:val="auto"/>
                <w:highlight w:val="none"/>
                <w:u w:val="none"/>
              </w:rPr>
              <w:t>①类似业绩是指建筑工程设计业绩；</w:t>
            </w:r>
            <w:r>
              <w:rPr>
                <w:rFonts w:hint="eastAsia"/>
                <w:i w:val="0"/>
                <w:iCs w:val="0"/>
                <w:color w:val="auto"/>
                <w:highlight w:val="none"/>
                <w:u w:val="none"/>
              </w:rPr>
              <w:t>②业绩需提供中标通知书（或免招标的证明）、合同文件扫描件。时间以合同文件签订时间为准，若合同文件无签订时间的，以中标通知书（或免招标的证明）的时间为准</w:t>
            </w:r>
            <w:r>
              <w:rPr>
                <w:rFonts w:hint="eastAsia"/>
                <w:i w:val="0"/>
                <w:iCs w:val="0"/>
                <w:color w:val="auto"/>
                <w:highlight w:val="none"/>
                <w:u w:val="none"/>
                <w:lang w:eastAsia="zh-CN"/>
              </w:rPr>
              <w:t>；</w:t>
            </w:r>
            <w:r>
              <w:rPr>
                <w:rFonts w:hint="eastAsia"/>
                <w:i w:val="0"/>
                <w:iCs w:val="0"/>
                <w:color w:val="auto"/>
                <w:highlight w:val="none"/>
                <w:u w:val="none"/>
                <w:lang w:val="en-US" w:eastAsia="zh-CN"/>
              </w:rPr>
              <w:t>面积、金额以合同文件为准</w:t>
            </w:r>
            <w:r>
              <w:rPr>
                <w:rFonts w:hint="eastAsia"/>
                <w:i w:val="0"/>
                <w:iCs w:val="0"/>
                <w:color w:val="auto"/>
                <w:highlight w:val="none"/>
                <w:u w:val="none"/>
              </w:rPr>
              <w:t>。若前述证明材料不能完整反映评审所需信息的，可提交能完整反映评审所需信息的《项目建议书批复文件》或《可行性研究报告批复文件》或《企业投资项目备案证》或《施工图审查合格证书》作为证明材料；③若以上材料均不能完整反映评审所需信息的，可提供项目业主单位出具的证明材料作为补充，否则不予认可；④不提供或提供不完整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14</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招标文件第二章 评标办法 附表6 工程总承包实施方案技术部分评分表</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1980"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default" w:ascii="宋体" w:hAnsi="宋体" w:eastAsia="宋体" w:cs="宋体"/>
                <w:color w:val="auto"/>
                <w:szCs w:val="21"/>
                <w:highlight w:val="none"/>
                <w:u w:val="none"/>
              </w:rPr>
            </w:pPr>
            <w:r>
              <w:rPr>
                <w:rFonts w:hint="default" w:ascii="宋体" w:hAnsi="宋体" w:eastAsia="宋体" w:cs="宋体"/>
                <w:color w:val="auto"/>
                <w:szCs w:val="21"/>
                <w:highlight w:val="none"/>
                <w:u w:val="none"/>
              </w:rPr>
              <w:t>工程获奖（设计方）（5分）：</w:t>
            </w:r>
          </w:p>
          <w:p>
            <w:pPr>
              <w:numPr>
                <w:ilvl w:val="0"/>
                <w:numId w:val="0"/>
              </w:numPr>
              <w:spacing w:line="360" w:lineRule="auto"/>
              <w:rPr>
                <w:rFonts w:hint="default" w:ascii="宋体" w:hAnsi="宋体" w:eastAsia="宋体" w:cs="宋体"/>
                <w:color w:val="auto"/>
                <w:szCs w:val="21"/>
                <w:highlight w:val="none"/>
                <w:u w:val="none"/>
              </w:rPr>
            </w:pPr>
            <w:r>
              <w:rPr>
                <w:rFonts w:hint="default" w:ascii="宋体" w:hAnsi="宋体" w:eastAsia="宋体" w:cs="宋体"/>
                <w:color w:val="auto"/>
                <w:szCs w:val="21"/>
                <w:highlight w:val="none"/>
                <w:u w:val="none"/>
              </w:rPr>
              <w:t>投标人(若为联合体，指联合体设计方）2020年1月1日至投标截止之日，承接的项目设计获奖情况：获得过省级或以上设计奖项的，每项得1分，获得市级（含副省级）设计奖项的，每项得0.5分。本项最多得5分。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i w:val="0"/>
                <w:iCs w:val="0"/>
                <w:color w:val="auto"/>
                <w:highlight w:val="none"/>
                <w:u w:val="none"/>
              </w:rPr>
            </w:pPr>
            <w:r>
              <w:rPr>
                <w:rFonts w:hint="default" w:ascii="宋体" w:hAnsi="宋体" w:eastAsia="宋体" w:cs="宋体"/>
                <w:color w:val="auto"/>
                <w:szCs w:val="21"/>
                <w:highlight w:val="none"/>
                <w:u w:val="none"/>
              </w:rPr>
              <w:t>注：①须提供获奖证书扫描件，并加盖投标人电子印章。②获奖时间以获奖证书颁发时间为准。③国家级奖是指由国务院颁发的国家科学技术奖、住建部颁发的全国优秀工程勘察设计奖、住建部的华夏建设科学技术奖励委员会颁发的华夏建设科学技术奖、中国勘察设计协会颁发的全国优秀工程勘察设计行业奖；省级获奖是指由省级（或直辖市）人民政府颁发的省（或直辖市）科学技术奖、省级（或直辖市）建设行政主管部门或工程勘察设计行业协会颁发的省级（或直辖市）优秀勘察设计奖；市级（含副省级）获奖是指由市级(含副省级)人民政府颁发的“市(含副省级)科学技术奖”、市级(含副省级)建设行政主管部门或工程勘察设计行业协会颁发的优秀工程勘察设计奖。若颁发单位是行业协会，须同时提供该颁发单位在“中国社会组织公共服务平台”网站(https://chinanpo.mca.gov.cn)登记的查询结果截图，否则不予认定；④同一项目获不同奖项按获奖最高等级仅算计一次，不重复计算。</w:t>
            </w:r>
          </w:p>
        </w:tc>
        <w:tc>
          <w:tcPr>
            <w:tcW w:w="1957"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default" w:ascii="宋体" w:hAnsi="宋体" w:eastAsia="宋体" w:cs="宋体"/>
                <w:color w:val="auto"/>
                <w:szCs w:val="21"/>
                <w:highlight w:val="none"/>
                <w:u w:val="none"/>
              </w:rPr>
            </w:pPr>
            <w:r>
              <w:rPr>
                <w:rFonts w:hint="default" w:ascii="宋体" w:hAnsi="宋体" w:eastAsia="宋体" w:cs="宋体"/>
                <w:color w:val="auto"/>
                <w:szCs w:val="21"/>
                <w:highlight w:val="none"/>
                <w:u w:val="none"/>
              </w:rPr>
              <w:t>工程获奖（设计方）（5分）：</w:t>
            </w:r>
          </w:p>
          <w:p>
            <w:pPr>
              <w:numPr>
                <w:ilvl w:val="0"/>
                <w:numId w:val="0"/>
              </w:numPr>
              <w:spacing w:line="360" w:lineRule="auto"/>
              <w:rPr>
                <w:rFonts w:hint="default" w:ascii="宋体" w:hAnsi="宋体" w:eastAsia="宋体" w:cs="宋体"/>
                <w:color w:val="auto"/>
                <w:szCs w:val="21"/>
                <w:highlight w:val="none"/>
                <w:u w:val="none"/>
              </w:rPr>
            </w:pPr>
            <w:r>
              <w:rPr>
                <w:rFonts w:hint="default" w:ascii="宋体" w:hAnsi="宋体" w:eastAsia="宋体" w:cs="宋体"/>
                <w:color w:val="auto"/>
                <w:szCs w:val="21"/>
                <w:highlight w:val="none"/>
                <w:u w:val="none"/>
              </w:rPr>
              <w:t>投标人(若为联合体，指联合体设计方）2020年1月1日至投标截止之日，承接的项目设计获奖情况：获得过省级或以上设计奖项的，每项得1分，获得市级（含副省级）设计奖项的，每项得0.5分。本项最多得5分。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i w:val="0"/>
                <w:iCs w:val="0"/>
                <w:color w:val="auto"/>
                <w:highlight w:val="none"/>
                <w:u w:val="none"/>
              </w:rPr>
            </w:pPr>
            <w:r>
              <w:rPr>
                <w:rFonts w:hint="default" w:ascii="宋体" w:hAnsi="宋体" w:eastAsia="宋体" w:cs="宋体"/>
                <w:color w:val="auto"/>
                <w:szCs w:val="21"/>
                <w:highlight w:val="none"/>
                <w:u w:val="none"/>
              </w:rPr>
              <w:t>注：①须提供获奖证书扫描件，并加盖投标人电子印章。②获奖时间以获奖证书颁发时间为准。③国家级奖是指由国务院颁发的国家科学技术奖、住建部颁发的全国优秀工程勘察设计奖、住建部的华夏建设科学技术奖励委员会颁发的华夏建设科学技术奖、中国勘察设计协会颁发的全国优秀工程勘察设计行业奖；省级获奖是指由省级（或直辖市）人民政府颁发的省（或直辖市）科学技术奖、省级（或直辖市）建设行政主管部门或工程勘察设计行业协会颁发的省级（或直辖市）优秀勘察设计奖；市级（含副省级）获奖是指由市级(含副省级)人民政府颁发的市(含副省级)科学技术奖、市级(含副省级)建设行政主管部门或工程勘察设计行业协会颁发的优秀工程勘察设计奖。若颁发单位是行业协会，须同时提供该颁发单位在“中国社会组织公共服务平台”网站(https://chinanpo.mca.gov.cn)登记的查询结果截图，否则不予认定；④同一项目获不同奖项按获奖最高等级仅算计一次，不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15</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highlight w:val="none"/>
                <w:u w:val="none"/>
                <w:lang w:val="en-US" w:eastAsia="zh-CN"/>
              </w:rPr>
            </w:pPr>
            <w:r>
              <w:rPr>
                <w:rFonts w:hint="eastAsia"/>
                <w:highlight w:val="none"/>
                <w:u w:val="none"/>
                <w:lang w:val="en-US" w:eastAsia="zh-CN"/>
              </w:rPr>
              <w:t>招标文件第二章 评标办法 附表6 工程总承包实施方案技术部分评分表</w:t>
            </w:r>
          </w:p>
          <w:p>
            <w:pPr>
              <w:pStyle w:val="2"/>
              <w:rPr>
                <w:rFonts w:hint="default"/>
                <w:highlight w:val="none"/>
                <w:u w:val="none"/>
                <w:lang w:val="en-US" w:eastAsia="zh-CN"/>
              </w:rPr>
            </w:pPr>
          </w:p>
        </w:tc>
        <w:tc>
          <w:tcPr>
            <w:tcW w:w="1980" w:type="pct"/>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项目管理机构人员配置（14分）：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1、（本项满分5分）投标人拟投入本项目的项目管理机构人员应满足附件《项目管理机构人员配置要求表》要求，全部满足得满分；有1项不满足的扣1分，以此类推，扣完5分为止。</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2、（本项满分3分）《项目管理机构人员配置要求表》中，勘察专业负责人、设计负责人分别按以下标准计算得分：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①具有副高级或以上工程师职称的，得1.5分；</w:t>
            </w:r>
          </w:p>
          <w:p>
            <w:pPr>
              <w:rPr>
                <w:rFonts w:hint="eastAsia"/>
                <w:highlight w:val="none"/>
                <w:u w:val="none"/>
              </w:rPr>
            </w:pPr>
            <w:r>
              <w:rPr>
                <w:rFonts w:hint="eastAsia" w:ascii="Times New Roman" w:hAnsi="Times New Roman" w:eastAsia="宋体" w:cs="Times New Roman"/>
                <w:highlight w:val="none"/>
                <w:u w:val="none"/>
              </w:rPr>
              <w:t>②具有中级工程师职称的，得0.5分；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3、（本项满分2分）《项目管理机构人员配置要求表》中，施工负责人按以下标准计算得分：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①具有建筑工程副高级或以上工程师职称的，得2分；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②具有建筑工程中级工程师职称的，得1分；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注：须提供职称证相应的证书扫描件。未提供相应的证明资料或所提供的证明资料不符合要求的，不予计算得分。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4、（本项满分4分）《项目管理机构人员配置要求表》中，除施工指挥长、项目负责人、勘察负责人、设计负责人、施工负责人及技术负责人以外的其他专业技术人员，分别按以下标准计算得分：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①具有副高级或以上工程师职称的，得0.4分；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②具有中级工程师职称的，得0.2分；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宋体" w:hAnsi="宋体" w:eastAsia="宋体" w:cs="宋体"/>
                <w:color w:val="auto"/>
                <w:szCs w:val="21"/>
                <w:highlight w:val="none"/>
                <w:u w:val="none"/>
              </w:rPr>
            </w:pPr>
            <w:r>
              <w:rPr>
                <w:rFonts w:hint="eastAsia" w:ascii="Times New Roman" w:hAnsi="Times New Roman" w:eastAsia="宋体" w:cs="Times New Roman"/>
                <w:highlight w:val="none"/>
                <w:u w:val="none"/>
              </w:rPr>
              <w:t>注：同一人员按最高资质计分</w:t>
            </w:r>
            <w:r>
              <w:rPr>
                <w:rFonts w:hint="eastAsia" w:ascii="Times New Roman" w:hAnsi="Times New Roman" w:eastAsia="宋体" w:cs="Times New Roman"/>
                <w:highlight w:val="none"/>
                <w:u w:val="none"/>
                <w:lang w:eastAsia="zh-CN"/>
              </w:rPr>
              <w:t>。</w:t>
            </w:r>
            <w:r>
              <w:rPr>
                <w:rFonts w:hint="eastAsia" w:ascii="Times New Roman" w:hAnsi="Times New Roman" w:eastAsia="宋体" w:cs="Times New Roman"/>
                <w:highlight w:val="none"/>
                <w:u w:val="none"/>
              </w:rPr>
              <w:t>须提供上述人员职称证等相应的证书扫描件和截止投标前近一个月（例如：投标截止时间为2025年1月，投标人提供社保缴费记录月份为2024年12月）在本单位或本单位非独立法人的分支机构（不含投标人的子公司、独立法人的分公司）购买社保的缴费记录。未提供相应的证明资料或所提供的证明资料不符合要求的，该人员不予计算得分。</w:t>
            </w:r>
          </w:p>
        </w:tc>
        <w:tc>
          <w:tcPr>
            <w:tcW w:w="1957" w:type="pct"/>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项目管理机构人员配置（14分）：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1、（本项满分5分）投标人拟投入本项目的项目管理机构人员应满足附件《项目管理机构人员配置要求表》要求，全部满足得满分；有1项不满足的扣1分，以此类推，扣完5分为止。</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2、（本项满分3分）《项目管理机构人员配置要求表》中，勘察专业负责人、设计负责人分别按以下标准计算得分：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①具有副高级或以上工程师职称的，得1.5分；</w:t>
            </w:r>
          </w:p>
          <w:p>
            <w:pPr>
              <w:rPr>
                <w:rFonts w:hint="eastAsia"/>
                <w:highlight w:val="none"/>
                <w:u w:val="none"/>
              </w:rPr>
            </w:pPr>
            <w:r>
              <w:rPr>
                <w:rFonts w:hint="eastAsia" w:ascii="Times New Roman" w:hAnsi="Times New Roman" w:eastAsia="宋体" w:cs="Times New Roman"/>
                <w:highlight w:val="none"/>
                <w:u w:val="none"/>
              </w:rPr>
              <w:t>②具有中级工程师职称的，得0.5分；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3、（本项满分2分）《项目管理机构人员配置要求表》中，施工负责人按以下标准计算得分：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①具有建筑工程副高级或以上工程师职称的，得2分；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②具有建筑工程中级工程师职称的，得1分；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注：须提供职称证相应的证书扫描件。未提供相应的证明资料或所提供的证明资料不符合要求的，不予计算得分。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4、（本项满分4分）《项目管理机构人员配置要求表》中，除施工指挥长、项目负责人、勘察负责人、设计负责人、施工负责人及技术负责人以外的其他专业技术人员，分别按以下标准计算得分：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①具有副高级或以上工程师职称的，得0.4分；</w:t>
            </w:r>
          </w:p>
          <w:p>
            <w:pPr>
              <w:rPr>
                <w:rFonts w:hint="eastAsia" w:ascii="Times New Roman" w:hAnsi="Times New Roman" w:eastAsia="宋体" w:cs="Times New Roman"/>
                <w:highlight w:val="none"/>
                <w:u w:val="none"/>
              </w:rPr>
            </w:pPr>
            <w:r>
              <w:rPr>
                <w:rFonts w:hint="eastAsia" w:ascii="Times New Roman" w:hAnsi="Times New Roman" w:eastAsia="宋体" w:cs="Times New Roman"/>
                <w:highlight w:val="none"/>
                <w:u w:val="none"/>
              </w:rPr>
              <w:t>②具有中级工程师职称的，得0.2分；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宋体" w:hAnsi="宋体" w:eastAsia="宋体" w:cs="宋体"/>
                <w:color w:val="auto"/>
                <w:szCs w:val="21"/>
                <w:highlight w:val="none"/>
                <w:u w:val="none"/>
              </w:rPr>
            </w:pPr>
            <w:r>
              <w:rPr>
                <w:rFonts w:hint="eastAsia" w:ascii="Times New Roman" w:hAnsi="Times New Roman" w:eastAsia="宋体" w:cs="Times New Roman"/>
                <w:highlight w:val="none"/>
                <w:u w:val="none"/>
              </w:rPr>
              <w:t>注：同一人员按最高资质计分</w:t>
            </w:r>
            <w:r>
              <w:rPr>
                <w:rFonts w:hint="eastAsia" w:ascii="Times New Roman" w:hAnsi="Times New Roman" w:eastAsia="宋体" w:cs="Times New Roman"/>
                <w:highlight w:val="none"/>
                <w:u w:val="none"/>
                <w:lang w:eastAsia="zh-CN"/>
              </w:rPr>
              <w:t>。</w:t>
            </w:r>
            <w:r>
              <w:rPr>
                <w:rFonts w:hint="eastAsia" w:ascii="Times New Roman" w:hAnsi="Times New Roman" w:eastAsia="宋体" w:cs="Times New Roman"/>
                <w:highlight w:val="none"/>
                <w:u w:val="none"/>
              </w:rPr>
              <w:t>须提供上述人员职称证等相应的证书扫描件和截止投标前近一个月（</w:t>
            </w:r>
            <w:r>
              <w:rPr>
                <w:rFonts w:hint="eastAsia" w:ascii="Times New Roman" w:hAnsi="Times New Roman" w:eastAsia="宋体" w:cs="Times New Roman"/>
                <w:highlight w:val="none"/>
                <w:u w:val="none"/>
                <w:lang w:val="en-US" w:eastAsia="zh-CN"/>
              </w:rPr>
              <w:t>即</w:t>
            </w:r>
            <w:r>
              <w:rPr>
                <w:rFonts w:hint="eastAsia" w:ascii="Times New Roman" w:hAnsi="Times New Roman" w:eastAsia="宋体" w:cs="Times New Roman"/>
                <w:highlight w:val="none"/>
                <w:u w:val="none"/>
              </w:rPr>
              <w:t>202</w:t>
            </w:r>
            <w:r>
              <w:rPr>
                <w:rFonts w:hint="eastAsia" w:ascii="Times New Roman" w:hAnsi="Times New Roman" w:eastAsia="宋体" w:cs="Times New Roman"/>
                <w:highlight w:val="none"/>
                <w:u w:val="none"/>
                <w:lang w:val="en-US" w:eastAsia="zh-CN"/>
              </w:rPr>
              <w:t>5</w:t>
            </w:r>
            <w:r>
              <w:rPr>
                <w:rFonts w:hint="eastAsia" w:ascii="Times New Roman" w:hAnsi="Times New Roman" w:eastAsia="宋体" w:cs="Times New Roman"/>
                <w:highlight w:val="none"/>
                <w:u w:val="none"/>
              </w:rPr>
              <w:t>年</w:t>
            </w:r>
            <w:r>
              <w:rPr>
                <w:rFonts w:hint="eastAsia" w:ascii="Times New Roman" w:hAnsi="Times New Roman" w:eastAsia="宋体" w:cs="Times New Roman"/>
                <w:highlight w:val="none"/>
                <w:u w:val="none"/>
                <w:lang w:val="en-US" w:eastAsia="zh-CN"/>
              </w:rPr>
              <w:t>8</w:t>
            </w:r>
            <w:r>
              <w:rPr>
                <w:rFonts w:hint="eastAsia" w:ascii="Times New Roman" w:hAnsi="Times New Roman" w:eastAsia="宋体" w:cs="Times New Roman"/>
                <w:highlight w:val="none"/>
                <w:u w:val="none"/>
              </w:rPr>
              <w:t>月）在本单位或本单位非独立法人的分支机构（不含投标人的子公司、独立法人的分公司）购买社保的缴费记录。未提供相应的证明资料或所提供的证明资料不符合要求的，该人员不予计算得分。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16</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pStyle w:val="2"/>
              <w:rPr>
                <w:rFonts w:hint="eastAsia" w:hAnsi="宋体" w:cs="宋体"/>
                <w:color w:val="auto"/>
                <w:highlight w:val="none"/>
                <w:lang w:val="en-US" w:eastAsia="zh-CN"/>
              </w:rPr>
            </w:pPr>
            <w:r>
              <w:rPr>
                <w:rFonts w:hint="eastAsia"/>
                <w:highlight w:val="none"/>
                <w:u w:val="none"/>
                <w:lang w:val="en-US" w:eastAsia="zh-CN"/>
              </w:rPr>
              <w:t>第五章</w:t>
            </w:r>
            <w:bookmarkStart w:id="16" w:name="_Toc247527820"/>
            <w:bookmarkStart w:id="17" w:name="_Toc247514233"/>
            <w:bookmarkStart w:id="18" w:name="_Toc152042571"/>
            <w:bookmarkStart w:id="19" w:name="_Toc152045782"/>
            <w:bookmarkStart w:id="20" w:name="_Toc144974851"/>
            <w:bookmarkStart w:id="21" w:name="_Toc30903"/>
            <w:bookmarkStart w:id="22" w:name="_Toc16616"/>
            <w:r>
              <w:rPr>
                <w:rFonts w:hint="eastAsia" w:ascii="宋体" w:hAnsi="宋体" w:cs="宋体"/>
                <w:color w:val="auto"/>
                <w:highlight w:val="none"/>
              </w:rPr>
              <w:t xml:space="preserve"> </w:t>
            </w:r>
            <w:bookmarkEnd w:id="16"/>
            <w:bookmarkEnd w:id="17"/>
            <w:bookmarkEnd w:id="18"/>
            <w:bookmarkEnd w:id="19"/>
            <w:bookmarkEnd w:id="20"/>
            <w:bookmarkStart w:id="23" w:name="_Toc2003"/>
            <w:r>
              <w:rPr>
                <w:rFonts w:hint="eastAsia" w:ascii="宋体" w:hAnsi="宋体" w:cs="宋体"/>
                <w:color w:val="auto"/>
                <w:highlight w:val="none"/>
              </w:rPr>
              <w:t>发包人要求</w:t>
            </w:r>
            <w:bookmarkEnd w:id="21"/>
            <w:bookmarkEnd w:id="22"/>
            <w:bookmarkEnd w:id="23"/>
            <w:r>
              <w:rPr>
                <w:rFonts w:hint="eastAsia" w:hAnsi="宋体" w:cs="宋体"/>
                <w:color w:val="auto"/>
                <w:highlight w:val="none"/>
                <w:lang w:val="en-US" w:eastAsia="zh-CN"/>
              </w:rPr>
              <w:t xml:space="preserve"> 《项目管理机构人员配置要求表》</w:t>
            </w:r>
          </w:p>
          <w:p>
            <w:pPr>
              <w:pStyle w:val="2"/>
              <w:rPr>
                <w:rFonts w:hint="default" w:eastAsiaTheme="minorEastAsia"/>
                <w:highlight w:val="none"/>
                <w:u w:val="none"/>
                <w:lang w:val="en-US" w:eastAsia="zh-CN"/>
              </w:rPr>
            </w:pPr>
          </w:p>
        </w:tc>
        <w:tc>
          <w:tcPr>
            <w:tcW w:w="1980" w:type="pct"/>
            <w:tcBorders>
              <w:top w:val="single" w:color="auto" w:sz="4" w:space="0"/>
              <w:left w:val="single" w:color="auto" w:sz="4" w:space="0"/>
              <w:bottom w:val="single" w:color="auto" w:sz="4" w:space="0"/>
              <w:right w:val="single" w:color="auto" w:sz="4" w:space="0"/>
            </w:tcBorders>
            <w:vAlign w:val="center"/>
          </w:tcPr>
          <w:p>
            <w:pPr>
              <w:spacing w:line="400" w:lineRule="exact"/>
              <w:ind w:firstLine="360"/>
              <w:rPr>
                <w:rFonts w:hint="eastAsia" w:ascii="宋体" w:hAnsi="宋体" w:eastAsia="宋体" w:cs="宋体"/>
                <w:color w:val="auto"/>
                <w:kern w:val="0"/>
                <w:szCs w:val="20"/>
                <w:highlight w:val="none"/>
                <w:lang w:val="zh-CN"/>
              </w:rPr>
            </w:pPr>
            <w:r>
              <w:rPr>
                <w:rFonts w:hint="eastAsia" w:ascii="宋体" w:hAnsi="宋体" w:cs="宋体"/>
                <w:color w:val="auto"/>
                <w:highlight w:val="none"/>
                <w:lang w:val="en-US" w:eastAsia="zh-CN"/>
              </w:rPr>
              <w:t>注：3、投标人应同时提供人员</w:t>
            </w:r>
            <w:r>
              <w:rPr>
                <w:rFonts w:hint="eastAsia" w:ascii="宋体" w:hAnsi="宋体"/>
                <w:bCs/>
                <w:color w:val="auto"/>
                <w:szCs w:val="21"/>
                <w:highlight w:val="none"/>
              </w:rPr>
              <w:t>截止投标前</w:t>
            </w:r>
            <w:r>
              <w:rPr>
                <w:rFonts w:hint="eastAsia" w:ascii="宋体" w:hAnsi="宋体" w:eastAsia="宋体" w:cs="宋体"/>
                <w:color w:val="auto"/>
                <w:kern w:val="0"/>
                <w:szCs w:val="20"/>
                <w:highlight w:val="none"/>
                <w:lang w:val="zh-CN"/>
              </w:rPr>
              <w:t>近一个月（即202</w:t>
            </w:r>
            <w:r>
              <w:rPr>
                <w:rFonts w:hint="eastAsia" w:ascii="宋体" w:hAnsi="宋体" w:eastAsia="宋体" w:cs="宋体"/>
                <w:color w:val="auto"/>
                <w:kern w:val="0"/>
                <w:szCs w:val="20"/>
                <w:highlight w:val="none"/>
              </w:rPr>
              <w:t>4</w:t>
            </w:r>
            <w:r>
              <w:rPr>
                <w:rFonts w:hint="eastAsia" w:ascii="宋体" w:hAnsi="宋体" w:eastAsia="宋体" w:cs="宋体"/>
                <w:color w:val="auto"/>
                <w:kern w:val="0"/>
                <w:szCs w:val="20"/>
                <w:highlight w:val="none"/>
                <w:lang w:val="zh-CN"/>
              </w:rPr>
              <w:t>年</w:t>
            </w:r>
            <w:r>
              <w:rPr>
                <w:rFonts w:hint="eastAsia" w:ascii="宋体" w:hAnsi="宋体" w:eastAsia="宋体" w:cs="宋体"/>
                <w:color w:val="auto"/>
                <w:kern w:val="0"/>
                <w:szCs w:val="20"/>
                <w:highlight w:val="none"/>
                <w:lang w:val="en-US" w:eastAsia="zh-CN"/>
              </w:rPr>
              <w:t>12</w:t>
            </w:r>
            <w:r>
              <w:rPr>
                <w:rFonts w:hint="eastAsia" w:ascii="宋体" w:hAnsi="宋体" w:eastAsia="宋体" w:cs="宋体"/>
                <w:color w:val="auto"/>
                <w:kern w:val="0"/>
                <w:szCs w:val="20"/>
                <w:highlight w:val="none"/>
                <w:lang w:val="zh-CN"/>
              </w:rPr>
              <w:t>月）在</w:t>
            </w:r>
            <w:r>
              <w:rPr>
                <w:rFonts w:hint="eastAsia" w:ascii="宋体" w:hAnsi="宋体" w:eastAsia="宋体" w:cs="Times New Roman"/>
                <w:color w:val="auto"/>
                <w:szCs w:val="21"/>
                <w:highlight w:val="none"/>
              </w:rPr>
              <w:t>本单位或本单位非独立法人的分支机构（不含投标人的子公司）</w:t>
            </w:r>
            <w:r>
              <w:rPr>
                <w:rFonts w:hint="eastAsia" w:ascii="宋体" w:hAnsi="宋体" w:eastAsia="宋体" w:cs="宋体"/>
                <w:color w:val="auto"/>
                <w:kern w:val="0"/>
                <w:szCs w:val="20"/>
                <w:highlight w:val="none"/>
                <w:lang w:val="zh-CN"/>
              </w:rPr>
              <w:t>购买社保的缴费记录。不符合条件或无提交相关资料的不计分。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Times New Roman" w:hAnsi="Times New Roman" w:eastAsia="宋体" w:cs="Times New Roman"/>
                <w:highlight w:val="none"/>
                <w:u w:val="none"/>
              </w:rPr>
            </w:pPr>
          </w:p>
        </w:tc>
        <w:tc>
          <w:tcPr>
            <w:tcW w:w="1957" w:type="pct"/>
            <w:tcBorders>
              <w:top w:val="single" w:color="auto" w:sz="4" w:space="0"/>
              <w:left w:val="single" w:color="auto" w:sz="4" w:space="0"/>
              <w:bottom w:val="single" w:color="auto" w:sz="4" w:space="0"/>
              <w:right w:val="single" w:color="auto" w:sz="4" w:space="0"/>
            </w:tcBorders>
            <w:vAlign w:val="center"/>
          </w:tcPr>
          <w:p>
            <w:pPr>
              <w:spacing w:line="400" w:lineRule="exact"/>
              <w:ind w:firstLine="360"/>
              <w:rPr>
                <w:rFonts w:hint="eastAsia" w:ascii="宋体" w:hAnsi="宋体" w:eastAsia="宋体" w:cs="宋体"/>
                <w:color w:val="auto"/>
                <w:kern w:val="0"/>
                <w:szCs w:val="20"/>
                <w:highlight w:val="none"/>
                <w:lang w:val="zh-CN"/>
              </w:rPr>
            </w:pPr>
            <w:r>
              <w:rPr>
                <w:rFonts w:hint="eastAsia" w:ascii="宋体" w:hAnsi="宋体" w:cs="宋体"/>
                <w:color w:val="auto"/>
                <w:highlight w:val="none"/>
                <w:lang w:val="en-US" w:eastAsia="zh-CN"/>
              </w:rPr>
              <w:t>注：3、投标人应同时提供人员</w:t>
            </w:r>
            <w:r>
              <w:rPr>
                <w:rFonts w:hint="eastAsia" w:ascii="宋体" w:hAnsi="宋体"/>
                <w:bCs/>
                <w:color w:val="auto"/>
                <w:szCs w:val="21"/>
                <w:highlight w:val="none"/>
              </w:rPr>
              <w:t>截止投标前</w:t>
            </w:r>
            <w:r>
              <w:rPr>
                <w:rFonts w:hint="eastAsia" w:ascii="宋体" w:hAnsi="宋体" w:eastAsia="宋体" w:cs="宋体"/>
                <w:color w:val="auto"/>
                <w:kern w:val="0"/>
                <w:szCs w:val="20"/>
                <w:highlight w:val="none"/>
                <w:lang w:val="zh-CN"/>
              </w:rPr>
              <w:t>近一个月（即202</w:t>
            </w:r>
            <w:r>
              <w:rPr>
                <w:rFonts w:hint="eastAsia" w:ascii="宋体" w:hAnsi="宋体" w:eastAsia="宋体" w:cs="宋体"/>
                <w:color w:val="auto"/>
                <w:kern w:val="0"/>
                <w:szCs w:val="20"/>
                <w:highlight w:val="none"/>
                <w:lang w:val="en-US" w:eastAsia="zh-CN"/>
              </w:rPr>
              <w:t>5</w:t>
            </w:r>
            <w:r>
              <w:rPr>
                <w:rFonts w:hint="eastAsia" w:ascii="宋体" w:hAnsi="宋体" w:eastAsia="宋体" w:cs="宋体"/>
                <w:color w:val="auto"/>
                <w:kern w:val="0"/>
                <w:szCs w:val="20"/>
                <w:highlight w:val="none"/>
                <w:lang w:val="zh-CN"/>
              </w:rPr>
              <w:t>年</w:t>
            </w:r>
            <w:r>
              <w:rPr>
                <w:rFonts w:hint="eastAsia" w:ascii="宋体" w:hAnsi="宋体" w:eastAsia="宋体" w:cs="宋体"/>
                <w:color w:val="auto"/>
                <w:kern w:val="0"/>
                <w:szCs w:val="20"/>
                <w:highlight w:val="none"/>
                <w:lang w:val="en-US" w:eastAsia="zh-CN"/>
              </w:rPr>
              <w:t>8</w:t>
            </w:r>
            <w:r>
              <w:rPr>
                <w:rFonts w:hint="eastAsia" w:ascii="宋体" w:hAnsi="宋体" w:eastAsia="宋体" w:cs="宋体"/>
                <w:color w:val="auto"/>
                <w:kern w:val="0"/>
                <w:szCs w:val="20"/>
                <w:highlight w:val="none"/>
                <w:lang w:val="zh-CN"/>
              </w:rPr>
              <w:t>月）在</w:t>
            </w:r>
            <w:r>
              <w:rPr>
                <w:rFonts w:hint="eastAsia" w:ascii="宋体" w:hAnsi="宋体" w:eastAsia="宋体" w:cs="Times New Roman"/>
                <w:color w:val="auto"/>
                <w:szCs w:val="21"/>
                <w:highlight w:val="none"/>
              </w:rPr>
              <w:t>本单位或本单位非独立法人的分支机构（不含投标人的子公司）</w:t>
            </w:r>
            <w:r>
              <w:rPr>
                <w:rFonts w:hint="eastAsia" w:ascii="宋体" w:hAnsi="宋体" w:eastAsia="宋体" w:cs="宋体"/>
                <w:color w:val="auto"/>
                <w:kern w:val="0"/>
                <w:szCs w:val="20"/>
                <w:highlight w:val="none"/>
                <w:lang w:val="zh-CN"/>
              </w:rPr>
              <w:t>购买社保的缴费记录。不符合条件或无提交相关资料的不计分。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Times New Roman" w:hAnsi="Times New Roman" w:eastAsia="宋体" w:cs="Times New Roman"/>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2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17</w:t>
            </w:r>
          </w:p>
        </w:tc>
        <w:tc>
          <w:tcPr>
            <w:tcW w:w="80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招标文件第二章 评标办法 附表6 工程总承包实施方案技术部分评分表</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1980" w:type="pct"/>
            <w:tcBorders>
              <w:top w:val="single" w:color="auto" w:sz="4" w:space="0"/>
              <w:left w:val="single" w:color="auto" w:sz="4" w:space="0"/>
              <w:bottom w:val="single" w:color="auto" w:sz="4" w:space="0"/>
              <w:right w:val="single" w:color="auto" w:sz="4" w:space="0"/>
            </w:tcBorders>
            <w:vAlign w:val="center"/>
          </w:tcPr>
          <w:p>
            <w:pPr>
              <w:pStyle w:val="2"/>
              <w:rPr>
                <w:rFonts w:hint="default" w:ascii="Times New Roman" w:hAnsi="Times New Roman" w:eastAsia="宋体" w:cs="Times New Roman"/>
                <w:color w:val="auto"/>
                <w:kern w:val="0"/>
                <w:szCs w:val="21"/>
                <w:highlight w:val="none"/>
                <w:u w:val="none"/>
              </w:rPr>
            </w:pPr>
            <w:r>
              <w:rPr>
                <w:rFonts w:hint="eastAsia" w:ascii="宋体" w:hAnsi="宋体" w:cs="宋体"/>
                <w:color w:val="auto"/>
                <w:kern w:val="0"/>
                <w:szCs w:val="21"/>
                <w:highlight w:val="none"/>
                <w:u w:val="none"/>
                <w:lang w:val="en-US" w:eastAsia="zh-CN"/>
              </w:rPr>
              <w:t>资源调配能力</w:t>
            </w:r>
            <w:r>
              <w:rPr>
                <w:rFonts w:hint="eastAsia" w:hAnsi="宋体" w:cs="宋体"/>
                <w:color w:val="auto"/>
                <w:kern w:val="0"/>
                <w:szCs w:val="21"/>
                <w:highlight w:val="none"/>
                <w:u w:val="none"/>
                <w:lang w:val="en-US" w:eastAsia="zh-CN"/>
              </w:rPr>
              <w:t>：</w:t>
            </w:r>
            <w:r>
              <w:rPr>
                <w:rFonts w:hint="default" w:ascii="Times New Roman" w:hAnsi="Times New Roman" w:eastAsia="宋体" w:cs="Times New Roman"/>
                <w:color w:val="auto"/>
                <w:kern w:val="0"/>
                <w:szCs w:val="21"/>
                <w:highlight w:val="none"/>
                <w:u w:val="none"/>
              </w:rPr>
              <w:t>投标人（若为联合体投标，指联合体施工方）拟派的施工指挥长按以下标准计算得分：</w:t>
            </w:r>
          </w:p>
          <w:p>
            <w:pPr>
              <w:pStyle w:val="2"/>
              <w:rPr>
                <w:rFonts w:hint="default" w:ascii="Times New Roman" w:hAnsi="Times New Roman" w:eastAsia="宋体" w:cs="Times New Roman"/>
                <w:color w:val="auto"/>
                <w:kern w:val="0"/>
                <w:szCs w:val="21"/>
                <w:highlight w:val="none"/>
                <w:u w:val="none"/>
              </w:rPr>
            </w:pPr>
            <w:r>
              <w:rPr>
                <w:rFonts w:hint="default" w:ascii="Times New Roman" w:hAnsi="Times New Roman" w:eastAsia="宋体" w:cs="Times New Roman"/>
                <w:color w:val="auto"/>
                <w:kern w:val="0"/>
                <w:szCs w:val="21"/>
                <w:highlight w:val="none"/>
                <w:u w:val="none"/>
              </w:rPr>
              <w:t>①具有建筑工程类正高级工程师职称的，得3分；具有建筑工程类副高级工程师职称的，得1.5分。</w:t>
            </w:r>
          </w:p>
          <w:p>
            <w:pPr>
              <w:pStyle w:val="2"/>
              <w:rPr>
                <w:rFonts w:hint="default" w:ascii="Times New Roman" w:hAnsi="Times New Roman" w:eastAsia="宋体" w:cs="Times New Roman"/>
                <w:color w:val="auto"/>
                <w:kern w:val="0"/>
                <w:szCs w:val="21"/>
                <w:highlight w:val="none"/>
                <w:u w:val="none"/>
              </w:rPr>
            </w:pPr>
            <w:r>
              <w:rPr>
                <w:rFonts w:hint="default" w:ascii="Times New Roman" w:hAnsi="Times New Roman" w:eastAsia="宋体" w:cs="Times New Roman"/>
                <w:color w:val="auto"/>
                <w:kern w:val="0"/>
                <w:szCs w:val="21"/>
                <w:highlight w:val="none"/>
                <w:u w:val="none"/>
              </w:rPr>
              <w:t>②由投标人（施工方）安排单位副总或以上级别（直至单位董事长）人员担任项目指挥长的，得3分。</w:t>
            </w:r>
          </w:p>
          <w:p>
            <w:pPr>
              <w:pStyle w:val="2"/>
              <w:rPr>
                <w:rFonts w:hint="eastAsia"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color w:val="auto"/>
                <w:kern w:val="0"/>
                <w:szCs w:val="21"/>
                <w:highlight w:val="none"/>
                <w:u w:val="none"/>
              </w:rPr>
              <w:t>注：本项最多得6分。施工指挥长的职务级别以投标单位（若为联合体投标，指联合体施工方）任职文件为准，至递交投标文件截止时间前，任职时间不得少于3个月（以任职文件落款日期为准）。须提供任职文件及职称证等相应的扫描件和截止投标前近一个月（例如：投标截止时间为2025年9月，投标人提供社保缴费记录月份为2025年8月）在本单位或本单位非独立法人的分支机构（不含投标人的子公司、独立法人的分公司）购买社保的缴费记录。以上资料均需加盖投标人电子印章或在线下盖章完成后扫描上传，不提供或不满足不得分。</w:t>
            </w:r>
          </w:p>
        </w:tc>
        <w:tc>
          <w:tcPr>
            <w:tcW w:w="1957" w:type="pct"/>
            <w:tcBorders>
              <w:top w:val="single" w:color="auto" w:sz="4" w:space="0"/>
              <w:left w:val="single" w:color="auto" w:sz="4" w:space="0"/>
              <w:bottom w:val="single" w:color="auto" w:sz="4" w:space="0"/>
              <w:right w:val="single" w:color="auto" w:sz="4" w:space="0"/>
            </w:tcBorders>
            <w:vAlign w:val="center"/>
          </w:tcPr>
          <w:p>
            <w:pPr>
              <w:pStyle w:val="2"/>
              <w:rPr>
                <w:rFonts w:hint="default" w:ascii="Times New Roman" w:hAnsi="Times New Roman" w:eastAsia="宋体" w:cs="Times New Roman"/>
                <w:color w:val="auto"/>
                <w:kern w:val="0"/>
                <w:szCs w:val="21"/>
                <w:highlight w:val="none"/>
                <w:u w:val="none"/>
              </w:rPr>
            </w:pPr>
            <w:r>
              <w:rPr>
                <w:rFonts w:hint="eastAsia" w:ascii="宋体" w:hAnsi="宋体" w:cs="宋体"/>
                <w:color w:val="auto"/>
                <w:kern w:val="0"/>
                <w:szCs w:val="21"/>
                <w:highlight w:val="none"/>
                <w:u w:val="none"/>
                <w:lang w:val="en-US" w:eastAsia="zh-CN"/>
              </w:rPr>
              <w:t>资源调配能力</w:t>
            </w:r>
            <w:r>
              <w:rPr>
                <w:rFonts w:hint="eastAsia" w:hAnsi="宋体" w:cs="宋体"/>
                <w:color w:val="auto"/>
                <w:kern w:val="0"/>
                <w:szCs w:val="21"/>
                <w:highlight w:val="none"/>
                <w:u w:val="none"/>
                <w:lang w:val="en-US" w:eastAsia="zh-CN"/>
              </w:rPr>
              <w:t>：</w:t>
            </w:r>
            <w:r>
              <w:rPr>
                <w:rFonts w:hint="default" w:ascii="Times New Roman" w:hAnsi="Times New Roman" w:eastAsia="宋体" w:cs="Times New Roman"/>
                <w:color w:val="auto"/>
                <w:kern w:val="0"/>
                <w:szCs w:val="21"/>
                <w:highlight w:val="none"/>
                <w:u w:val="none"/>
              </w:rPr>
              <w:t>投标人（若为联合体投标，指联合体施工方）拟派的施工指挥长按以下标准计算得分：</w:t>
            </w:r>
          </w:p>
          <w:p>
            <w:pPr>
              <w:pStyle w:val="2"/>
              <w:rPr>
                <w:rFonts w:hint="default" w:ascii="Times New Roman" w:hAnsi="Times New Roman" w:eastAsia="宋体" w:cs="Times New Roman"/>
                <w:color w:val="auto"/>
                <w:kern w:val="0"/>
                <w:szCs w:val="21"/>
                <w:highlight w:val="none"/>
                <w:u w:val="none"/>
              </w:rPr>
            </w:pPr>
            <w:r>
              <w:rPr>
                <w:rFonts w:hint="default" w:ascii="Times New Roman" w:hAnsi="Times New Roman" w:eastAsia="宋体" w:cs="Times New Roman"/>
                <w:color w:val="auto"/>
                <w:kern w:val="0"/>
                <w:szCs w:val="21"/>
                <w:highlight w:val="none"/>
                <w:u w:val="none"/>
              </w:rPr>
              <w:t>①具有建筑工程类正高级工程师职称的，得3分；具有建筑工程类副高级工程师职称的，得1.5分。</w:t>
            </w:r>
          </w:p>
          <w:p>
            <w:pPr>
              <w:pStyle w:val="2"/>
              <w:rPr>
                <w:rFonts w:hint="default" w:ascii="Times New Roman" w:hAnsi="Times New Roman" w:eastAsia="宋体" w:cs="Times New Roman"/>
                <w:color w:val="auto"/>
                <w:kern w:val="0"/>
                <w:szCs w:val="21"/>
                <w:highlight w:val="none"/>
                <w:u w:val="none"/>
              </w:rPr>
            </w:pPr>
            <w:r>
              <w:rPr>
                <w:rFonts w:hint="default" w:ascii="Times New Roman" w:hAnsi="Times New Roman" w:eastAsia="宋体" w:cs="Times New Roman"/>
                <w:color w:val="auto"/>
                <w:kern w:val="0"/>
                <w:szCs w:val="21"/>
                <w:highlight w:val="none"/>
                <w:u w:val="none"/>
              </w:rPr>
              <w:t>②由投标人（施工方）安排单位副总或以上级别（直至单位董事长）人员担任项目指挥长的，得3分。</w:t>
            </w:r>
          </w:p>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Times New Roman" w:hAnsi="Times New Roman" w:eastAsia="宋体" w:cs="Times New Roman"/>
                <w:highlight w:val="none"/>
                <w:u w:val="none"/>
              </w:rPr>
            </w:pPr>
            <w:r>
              <w:rPr>
                <w:rFonts w:hint="default" w:ascii="Times New Roman" w:hAnsi="Times New Roman" w:eastAsia="宋体" w:cs="Times New Roman"/>
                <w:color w:val="auto"/>
                <w:kern w:val="0"/>
                <w:szCs w:val="21"/>
                <w:highlight w:val="none"/>
                <w:u w:val="none"/>
              </w:rPr>
              <w:t>注：本项最多得6分。施工指挥长的职务级别以投标单位（若为联合体投标，指联合体施工方）任职文件为准，至递交投标文件截止时间前，任职时间不得少于3个月（以任职文件落款日期为准）。须提供任职文件及职称证等相应的扫描件和截止投标前近一个月（</w:t>
            </w:r>
            <w:r>
              <w:rPr>
                <w:rFonts w:hint="eastAsia" w:ascii="Times New Roman" w:hAnsi="Times New Roman" w:eastAsia="宋体" w:cs="Times New Roman"/>
                <w:color w:val="auto"/>
                <w:kern w:val="0"/>
                <w:szCs w:val="21"/>
                <w:highlight w:val="none"/>
                <w:u w:val="none"/>
                <w:lang w:val="en-US" w:eastAsia="zh-CN"/>
              </w:rPr>
              <w:t>即2025年8月</w:t>
            </w:r>
            <w:r>
              <w:rPr>
                <w:rFonts w:hint="default" w:ascii="Times New Roman" w:hAnsi="Times New Roman" w:eastAsia="宋体" w:cs="Times New Roman"/>
                <w:color w:val="auto"/>
                <w:kern w:val="0"/>
                <w:szCs w:val="21"/>
                <w:highlight w:val="none"/>
                <w:u w:val="none"/>
              </w:rPr>
              <w:t>）在本单位或本单位非独立法人的分支机构（不含投标人的子公司、独立法人的分公司）购买社保的缴费记录。以上资料均需加盖投标人电子印章或在线下盖章完成后扫描上传，不提供或不满足不得分。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8"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18</w:t>
            </w:r>
          </w:p>
        </w:tc>
        <w:tc>
          <w:tcPr>
            <w:tcW w:w="802" w:type="pct"/>
            <w:vMerge w:val="restart"/>
          </w:tcPr>
          <w:p>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r>
              <w:rPr>
                <w:rFonts w:hint="eastAsia" w:ascii="宋体" w:hAnsi="宋体" w:eastAsia="宋体" w:cs="宋体"/>
                <w:b w:val="0"/>
                <w:color w:val="000000"/>
                <w:kern w:val="2"/>
                <w:sz w:val="24"/>
                <w:szCs w:val="24"/>
                <w:highlight w:val="none"/>
                <w:u w:val="none"/>
                <w:shd w:val="clear" w:color="auto" w:fill="auto"/>
                <w:lang w:val="en-US" w:eastAsia="zh-CN" w:bidi="ar"/>
              </w:rPr>
              <w:t>招标文件第七章 投标文件格式</w:t>
            </w:r>
          </w:p>
        </w:tc>
        <w:tc>
          <w:tcPr>
            <w:tcW w:w="0" w:type="auto"/>
            <w:vAlign w:val="center"/>
          </w:tcPr>
          <w:p>
            <w:pPr>
              <w:spacing w:line="360" w:lineRule="auto"/>
              <w:jc w:val="center"/>
              <w:rPr>
                <w:rFonts w:hint="default" w:ascii="Times New Roman" w:hAnsi="Times New Roman" w:eastAsia="宋体" w:cs="Times New Roman"/>
                <w:i w:val="0"/>
                <w:iCs w:val="0"/>
                <w:color w:val="auto"/>
                <w:kern w:val="2"/>
                <w:sz w:val="21"/>
                <w:szCs w:val="24"/>
                <w:highlight w:val="none"/>
                <w:u w:val="none"/>
                <w:lang w:val="en-US" w:eastAsia="zh-CN" w:bidi="ar-SA"/>
              </w:rPr>
            </w:pPr>
            <w:r>
              <w:rPr>
                <w:rFonts w:hint="default" w:ascii="Times New Roman" w:hAnsi="Times New Roman" w:eastAsia="宋体" w:cs="Times New Roman"/>
                <w:i w:val="0"/>
                <w:iCs w:val="0"/>
                <w:color w:val="auto"/>
                <w:kern w:val="2"/>
                <w:sz w:val="21"/>
                <w:szCs w:val="24"/>
                <w:highlight w:val="none"/>
                <w:u w:val="none"/>
                <w:lang w:val="en-US" w:eastAsia="zh-CN" w:bidi="ar-SA"/>
              </w:rPr>
              <w:t>投标承诺书</w:t>
            </w:r>
          </w:p>
        </w:tc>
        <w:tc>
          <w:tcPr>
            <w:tcW w:w="195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eastAsia="宋体" w:cs="Times New Roman"/>
                <w:highlight w:val="none"/>
                <w:u w:val="none"/>
              </w:rPr>
            </w:pPr>
            <w:r>
              <w:rPr>
                <w:rFonts w:hint="eastAsia" w:ascii="Times New Roman" w:hAnsi="Times New Roman" w:eastAsia="宋体" w:cs="Times New Roman"/>
                <w:i w:val="0"/>
                <w:iCs w:val="0"/>
                <w:color w:val="auto"/>
                <w:kern w:val="2"/>
                <w:sz w:val="21"/>
                <w:szCs w:val="24"/>
                <w:highlight w:val="none"/>
                <w:u w:val="none"/>
                <w:lang w:val="en-US" w:eastAsia="zh-CN" w:bidi="ar-SA"/>
              </w:rPr>
              <w:t>删除“（盖单位公章或电子章）”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8"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rPr>
            </w:pPr>
          </w:p>
        </w:tc>
        <w:tc>
          <w:tcPr>
            <w:tcW w:w="802" w:type="pct"/>
            <w:vMerge w:val="continue"/>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0" w:type="auto"/>
            <w:vAlign w:val="center"/>
          </w:tcPr>
          <w:p>
            <w:pPr>
              <w:spacing w:line="360" w:lineRule="auto"/>
              <w:jc w:val="center"/>
              <w:rPr>
                <w:rFonts w:hint="default" w:ascii="Times New Roman" w:hAnsi="Times New Roman" w:eastAsia="宋体" w:cs="Times New Roman"/>
                <w:i w:val="0"/>
                <w:iCs w:val="0"/>
                <w:color w:val="auto"/>
                <w:kern w:val="2"/>
                <w:sz w:val="21"/>
                <w:szCs w:val="24"/>
                <w:highlight w:val="none"/>
                <w:u w:val="none"/>
                <w:lang w:val="en-US" w:eastAsia="zh-CN" w:bidi="ar-SA"/>
              </w:rPr>
            </w:pPr>
            <w:r>
              <w:rPr>
                <w:rFonts w:hint="default" w:ascii="Times New Roman" w:hAnsi="Times New Roman" w:eastAsia="宋体" w:cs="Times New Roman"/>
                <w:i w:val="0"/>
                <w:iCs w:val="0"/>
                <w:color w:val="auto"/>
                <w:kern w:val="2"/>
                <w:sz w:val="21"/>
                <w:szCs w:val="24"/>
                <w:highlight w:val="none"/>
                <w:u w:val="none"/>
                <w:lang w:val="en-US" w:eastAsia="zh-CN" w:bidi="ar-SA"/>
              </w:rPr>
              <w:t>投标人廉洁承诺书</w:t>
            </w:r>
          </w:p>
        </w:tc>
        <w:tc>
          <w:tcPr>
            <w:tcW w:w="195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eastAsia="宋体" w:cs="Times New Roman"/>
                <w:i w:val="0"/>
                <w:iCs w:val="0"/>
                <w:color w:val="auto"/>
                <w:kern w:val="2"/>
                <w:sz w:val="21"/>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8"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rPr>
            </w:pPr>
          </w:p>
        </w:tc>
        <w:tc>
          <w:tcPr>
            <w:tcW w:w="802" w:type="pct"/>
            <w:vMerge w:val="continue"/>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0" w:type="auto"/>
            <w:vAlign w:val="center"/>
          </w:tcPr>
          <w:p>
            <w:pPr>
              <w:spacing w:line="360" w:lineRule="auto"/>
              <w:jc w:val="center"/>
              <w:rPr>
                <w:rFonts w:hint="default" w:ascii="Times New Roman" w:hAnsi="Times New Roman" w:eastAsia="宋体" w:cs="Times New Roman"/>
                <w:i w:val="0"/>
                <w:iCs w:val="0"/>
                <w:color w:val="auto"/>
                <w:kern w:val="2"/>
                <w:sz w:val="21"/>
                <w:szCs w:val="24"/>
                <w:highlight w:val="none"/>
                <w:u w:val="none"/>
                <w:lang w:val="en-US" w:eastAsia="zh-CN" w:bidi="ar-SA"/>
              </w:rPr>
            </w:pPr>
            <w:r>
              <w:rPr>
                <w:rFonts w:hint="default" w:ascii="Times New Roman" w:hAnsi="Times New Roman" w:eastAsia="宋体" w:cs="Times New Roman"/>
                <w:i w:val="0"/>
                <w:iCs w:val="0"/>
                <w:color w:val="auto"/>
                <w:kern w:val="2"/>
                <w:sz w:val="21"/>
                <w:szCs w:val="24"/>
                <w:highlight w:val="none"/>
                <w:u w:val="none"/>
                <w:lang w:val="en-US" w:eastAsia="zh-CN" w:bidi="ar-SA"/>
              </w:rPr>
              <w:t>施工技术承诺书</w:t>
            </w:r>
          </w:p>
        </w:tc>
        <w:tc>
          <w:tcPr>
            <w:tcW w:w="195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eastAsia="宋体" w:cs="Times New Roman"/>
                <w:i w:val="0"/>
                <w:iCs w:val="0"/>
                <w:color w:val="auto"/>
                <w:kern w:val="2"/>
                <w:sz w:val="21"/>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8"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rPr>
            </w:pPr>
          </w:p>
        </w:tc>
        <w:tc>
          <w:tcPr>
            <w:tcW w:w="802" w:type="pct"/>
            <w:vMerge w:val="continue"/>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0" w:type="auto"/>
            <w:vAlign w:val="center"/>
          </w:tcPr>
          <w:p>
            <w:pPr>
              <w:spacing w:line="360" w:lineRule="auto"/>
              <w:jc w:val="center"/>
              <w:rPr>
                <w:rFonts w:hint="default" w:ascii="Times New Roman" w:hAnsi="Times New Roman" w:eastAsia="宋体" w:cs="Times New Roman"/>
                <w:i w:val="0"/>
                <w:iCs w:val="0"/>
                <w:color w:val="auto"/>
                <w:kern w:val="2"/>
                <w:sz w:val="21"/>
                <w:szCs w:val="24"/>
                <w:highlight w:val="none"/>
                <w:u w:val="none"/>
                <w:lang w:val="en-US" w:eastAsia="zh-CN" w:bidi="ar-SA"/>
              </w:rPr>
            </w:pPr>
            <w:r>
              <w:rPr>
                <w:rFonts w:hint="default" w:ascii="Times New Roman" w:hAnsi="Times New Roman" w:eastAsia="宋体" w:cs="Times New Roman"/>
                <w:i w:val="0"/>
                <w:iCs w:val="0"/>
                <w:color w:val="auto"/>
                <w:kern w:val="2"/>
                <w:sz w:val="21"/>
                <w:szCs w:val="24"/>
                <w:highlight w:val="none"/>
                <w:u w:val="none"/>
                <w:lang w:val="en-US" w:eastAsia="zh-CN" w:bidi="ar-SA"/>
              </w:rPr>
              <w:t>交纳招标代理服务费承诺书</w:t>
            </w:r>
          </w:p>
        </w:tc>
        <w:tc>
          <w:tcPr>
            <w:tcW w:w="195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eastAsia="宋体" w:cs="Times New Roman"/>
                <w:i w:val="0"/>
                <w:iCs w:val="0"/>
                <w:color w:val="auto"/>
                <w:kern w:val="2"/>
                <w:sz w:val="21"/>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8"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rPr>
            </w:pPr>
          </w:p>
        </w:tc>
        <w:tc>
          <w:tcPr>
            <w:tcW w:w="802" w:type="pct"/>
            <w:vMerge w:val="continue"/>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0" w:type="auto"/>
            <w:vAlign w:val="center"/>
          </w:tcPr>
          <w:p>
            <w:pPr>
              <w:spacing w:line="360" w:lineRule="auto"/>
              <w:jc w:val="center"/>
              <w:rPr>
                <w:rFonts w:hint="default" w:ascii="Times New Roman" w:hAnsi="Times New Roman" w:eastAsia="宋体" w:cs="Times New Roman"/>
                <w:i w:val="0"/>
                <w:iCs w:val="0"/>
                <w:color w:val="auto"/>
                <w:kern w:val="2"/>
                <w:sz w:val="21"/>
                <w:szCs w:val="24"/>
                <w:highlight w:val="none"/>
                <w:u w:val="none"/>
                <w:lang w:val="en-US" w:eastAsia="zh-CN" w:bidi="ar-SA"/>
              </w:rPr>
            </w:pPr>
            <w:r>
              <w:rPr>
                <w:rFonts w:hint="default" w:ascii="Times New Roman" w:hAnsi="Times New Roman" w:eastAsia="宋体" w:cs="Times New Roman"/>
                <w:i w:val="0"/>
                <w:iCs w:val="0"/>
                <w:color w:val="auto"/>
                <w:kern w:val="2"/>
                <w:sz w:val="21"/>
                <w:szCs w:val="24"/>
                <w:highlight w:val="none"/>
                <w:u w:val="none"/>
                <w:lang w:val="en-US" w:eastAsia="zh-CN" w:bidi="ar-SA"/>
              </w:rPr>
              <w:t xml:space="preserve">投标人廉洁及其他承诺书 </w:t>
            </w:r>
          </w:p>
        </w:tc>
        <w:tc>
          <w:tcPr>
            <w:tcW w:w="195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eastAsia="宋体" w:cs="Times New Roman"/>
                <w:i w:val="0"/>
                <w:iCs w:val="0"/>
                <w:color w:val="auto"/>
                <w:kern w:val="2"/>
                <w:sz w:val="21"/>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8"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rPr>
            </w:pPr>
          </w:p>
        </w:tc>
        <w:tc>
          <w:tcPr>
            <w:tcW w:w="802" w:type="pct"/>
            <w:vMerge w:val="continue"/>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0" w:type="auto"/>
            <w:vAlign w:val="center"/>
          </w:tcPr>
          <w:p>
            <w:pPr>
              <w:spacing w:line="360" w:lineRule="auto"/>
              <w:jc w:val="center"/>
              <w:rPr>
                <w:rFonts w:hint="default" w:ascii="Times New Roman" w:hAnsi="Times New Roman" w:eastAsia="宋体" w:cs="Times New Roman"/>
                <w:i w:val="0"/>
                <w:iCs w:val="0"/>
                <w:color w:val="auto"/>
                <w:kern w:val="2"/>
                <w:sz w:val="21"/>
                <w:szCs w:val="24"/>
                <w:highlight w:val="none"/>
                <w:u w:val="none"/>
                <w:lang w:val="en-US" w:eastAsia="zh-CN" w:bidi="ar-SA"/>
              </w:rPr>
            </w:pPr>
            <w:r>
              <w:rPr>
                <w:rFonts w:hint="default" w:ascii="Times New Roman" w:hAnsi="Times New Roman" w:eastAsia="宋体" w:cs="Times New Roman"/>
                <w:i w:val="0"/>
                <w:iCs w:val="0"/>
                <w:color w:val="auto"/>
                <w:kern w:val="2"/>
                <w:sz w:val="21"/>
                <w:szCs w:val="24"/>
                <w:highlight w:val="none"/>
                <w:u w:val="none"/>
                <w:lang w:val="en-US" w:eastAsia="zh-CN" w:bidi="ar-SA"/>
              </w:rPr>
              <w:t>企业诚信承诺书</w:t>
            </w:r>
          </w:p>
        </w:tc>
        <w:tc>
          <w:tcPr>
            <w:tcW w:w="195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eastAsia="宋体" w:cs="Times New Roman"/>
                <w:i w:val="0"/>
                <w:iCs w:val="0"/>
                <w:color w:val="auto"/>
                <w:kern w:val="2"/>
                <w:sz w:val="21"/>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8"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rPr>
            </w:pPr>
          </w:p>
        </w:tc>
        <w:tc>
          <w:tcPr>
            <w:tcW w:w="802" w:type="pct"/>
            <w:vMerge w:val="continue"/>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0" w:type="auto"/>
            <w:vAlign w:val="center"/>
          </w:tcPr>
          <w:p>
            <w:pPr>
              <w:spacing w:line="360" w:lineRule="auto"/>
              <w:jc w:val="center"/>
              <w:rPr>
                <w:rFonts w:hint="default" w:ascii="Times New Roman" w:hAnsi="Times New Roman" w:eastAsia="宋体" w:cs="Times New Roman"/>
                <w:i w:val="0"/>
                <w:iCs w:val="0"/>
                <w:color w:val="auto"/>
                <w:kern w:val="2"/>
                <w:sz w:val="21"/>
                <w:szCs w:val="24"/>
                <w:highlight w:val="none"/>
                <w:u w:val="none"/>
                <w:lang w:val="en-US" w:eastAsia="zh-CN" w:bidi="ar-SA"/>
              </w:rPr>
            </w:pPr>
            <w:r>
              <w:rPr>
                <w:rFonts w:hint="default" w:ascii="Times New Roman" w:hAnsi="Times New Roman" w:eastAsia="宋体" w:cs="Times New Roman"/>
                <w:i w:val="0"/>
                <w:iCs w:val="0"/>
                <w:color w:val="auto"/>
                <w:kern w:val="2"/>
                <w:sz w:val="21"/>
                <w:szCs w:val="24"/>
                <w:highlight w:val="none"/>
                <w:u w:val="none"/>
                <w:lang w:val="en-US" w:eastAsia="zh-CN" w:bidi="ar-SA"/>
              </w:rPr>
              <w:t>严格执行“管理规范和技术（规范）标准”的承诺函</w:t>
            </w:r>
          </w:p>
        </w:tc>
        <w:tc>
          <w:tcPr>
            <w:tcW w:w="195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eastAsia="宋体" w:cs="Times New Roman"/>
                <w:i w:val="0"/>
                <w:iCs w:val="0"/>
                <w:color w:val="auto"/>
                <w:kern w:val="2"/>
                <w:sz w:val="21"/>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8"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rPr>
            </w:pPr>
          </w:p>
        </w:tc>
        <w:tc>
          <w:tcPr>
            <w:tcW w:w="802" w:type="pct"/>
            <w:vMerge w:val="continue"/>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0" w:type="auto"/>
            <w:vAlign w:val="center"/>
          </w:tcPr>
          <w:p>
            <w:pPr>
              <w:spacing w:line="360" w:lineRule="auto"/>
              <w:jc w:val="center"/>
              <w:rPr>
                <w:rFonts w:hint="default" w:ascii="Times New Roman" w:hAnsi="Times New Roman" w:eastAsia="宋体" w:cs="Times New Roman"/>
                <w:i w:val="0"/>
                <w:iCs w:val="0"/>
                <w:color w:val="auto"/>
                <w:kern w:val="2"/>
                <w:sz w:val="21"/>
                <w:szCs w:val="24"/>
                <w:highlight w:val="none"/>
                <w:u w:val="none"/>
                <w:lang w:val="en-US" w:eastAsia="zh-CN" w:bidi="ar-SA"/>
              </w:rPr>
            </w:pPr>
            <w:r>
              <w:rPr>
                <w:rFonts w:hint="default" w:ascii="Times New Roman" w:hAnsi="Times New Roman" w:eastAsia="宋体" w:cs="Times New Roman"/>
                <w:i w:val="0"/>
                <w:iCs w:val="0"/>
                <w:color w:val="auto"/>
                <w:kern w:val="2"/>
                <w:sz w:val="21"/>
                <w:szCs w:val="24"/>
                <w:highlight w:val="none"/>
                <w:u w:val="none"/>
                <w:lang w:val="en-US" w:eastAsia="zh-CN" w:bidi="ar-SA"/>
              </w:rPr>
              <w:t>对本项目投入人员及资源的承诺书</w:t>
            </w:r>
          </w:p>
        </w:tc>
        <w:tc>
          <w:tcPr>
            <w:tcW w:w="195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eastAsia="宋体" w:cs="Times New Roman"/>
                <w:i w:val="0"/>
                <w:iCs w:val="0"/>
                <w:color w:val="auto"/>
                <w:kern w:val="2"/>
                <w:sz w:val="21"/>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8"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rPr>
            </w:pPr>
          </w:p>
        </w:tc>
        <w:tc>
          <w:tcPr>
            <w:tcW w:w="802" w:type="pct"/>
            <w:vMerge w:val="continue"/>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0" w:type="auto"/>
            <w:vAlign w:val="center"/>
          </w:tcPr>
          <w:p>
            <w:pPr>
              <w:spacing w:line="360" w:lineRule="auto"/>
              <w:jc w:val="center"/>
              <w:rPr>
                <w:rFonts w:hint="default" w:ascii="Times New Roman" w:hAnsi="Times New Roman" w:eastAsia="宋体" w:cs="Times New Roman"/>
                <w:i w:val="0"/>
                <w:iCs w:val="0"/>
                <w:color w:val="auto"/>
                <w:kern w:val="2"/>
                <w:sz w:val="21"/>
                <w:szCs w:val="24"/>
                <w:highlight w:val="none"/>
                <w:u w:val="none"/>
                <w:lang w:val="en-US" w:eastAsia="zh-CN" w:bidi="ar-SA"/>
              </w:rPr>
            </w:pPr>
            <w:r>
              <w:rPr>
                <w:rFonts w:hint="default" w:ascii="Times New Roman" w:hAnsi="Times New Roman" w:eastAsia="宋体" w:cs="Times New Roman"/>
                <w:i w:val="0"/>
                <w:iCs w:val="0"/>
                <w:color w:val="auto"/>
                <w:kern w:val="2"/>
                <w:sz w:val="21"/>
                <w:szCs w:val="24"/>
                <w:highlight w:val="none"/>
                <w:u w:val="none"/>
                <w:lang w:val="en-US" w:eastAsia="zh-CN" w:bidi="ar-SA"/>
              </w:rPr>
              <w:t>履约风险承诺书</w:t>
            </w:r>
          </w:p>
        </w:tc>
        <w:tc>
          <w:tcPr>
            <w:tcW w:w="195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eastAsia="宋体" w:cs="Times New Roman"/>
                <w:i w:val="0"/>
                <w:iCs w:val="0"/>
                <w:color w:val="auto"/>
                <w:kern w:val="2"/>
                <w:sz w:val="21"/>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8"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rPr>
            </w:pPr>
          </w:p>
        </w:tc>
        <w:tc>
          <w:tcPr>
            <w:tcW w:w="802" w:type="pct"/>
            <w:vMerge w:val="continue"/>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0" w:type="auto"/>
            <w:vAlign w:val="center"/>
          </w:tcPr>
          <w:p>
            <w:pPr>
              <w:spacing w:line="360" w:lineRule="auto"/>
              <w:jc w:val="center"/>
              <w:rPr>
                <w:rFonts w:hint="default" w:ascii="Times New Roman" w:hAnsi="Times New Roman" w:eastAsia="宋体" w:cs="Times New Roman"/>
                <w:i w:val="0"/>
                <w:iCs w:val="0"/>
                <w:color w:val="auto"/>
                <w:kern w:val="2"/>
                <w:sz w:val="21"/>
                <w:szCs w:val="24"/>
                <w:highlight w:val="none"/>
                <w:u w:val="none"/>
                <w:lang w:val="en-US" w:eastAsia="zh-CN" w:bidi="ar-SA"/>
              </w:rPr>
            </w:pPr>
            <w:r>
              <w:rPr>
                <w:rFonts w:hint="default" w:ascii="Times New Roman" w:hAnsi="Times New Roman" w:eastAsia="宋体" w:cs="Times New Roman"/>
                <w:i w:val="0"/>
                <w:iCs w:val="0"/>
                <w:color w:val="auto"/>
                <w:kern w:val="2"/>
                <w:sz w:val="21"/>
                <w:szCs w:val="24"/>
                <w:highlight w:val="none"/>
                <w:u w:val="none"/>
                <w:lang w:val="en-US" w:eastAsia="zh-CN" w:bidi="ar-SA"/>
              </w:rPr>
              <w:t>拟投入本项目勘察人员一览表</w:t>
            </w:r>
          </w:p>
        </w:tc>
        <w:tc>
          <w:tcPr>
            <w:tcW w:w="195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eastAsia="宋体" w:cs="Times New Roman"/>
                <w:i w:val="0"/>
                <w:iCs w:val="0"/>
                <w:color w:val="auto"/>
                <w:kern w:val="2"/>
                <w:sz w:val="21"/>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8"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rPr>
            </w:pPr>
          </w:p>
        </w:tc>
        <w:tc>
          <w:tcPr>
            <w:tcW w:w="802" w:type="pct"/>
            <w:vMerge w:val="continue"/>
          </w:tcPr>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000000"/>
                <w:kern w:val="2"/>
                <w:sz w:val="24"/>
                <w:szCs w:val="24"/>
                <w:highlight w:val="none"/>
                <w:u w:val="none"/>
                <w:shd w:val="clear" w:color="auto" w:fill="auto"/>
                <w:lang w:val="en-US" w:eastAsia="zh-CN" w:bidi="ar"/>
              </w:rPr>
            </w:pPr>
          </w:p>
        </w:tc>
        <w:tc>
          <w:tcPr>
            <w:tcW w:w="0" w:type="auto"/>
            <w:vAlign w:val="center"/>
          </w:tcPr>
          <w:p>
            <w:pPr>
              <w:spacing w:line="360" w:lineRule="auto"/>
              <w:jc w:val="center"/>
              <w:rPr>
                <w:rFonts w:hint="default" w:ascii="Times New Roman" w:hAnsi="Times New Roman" w:eastAsia="宋体" w:cs="Times New Roman"/>
                <w:i w:val="0"/>
                <w:iCs w:val="0"/>
                <w:color w:val="auto"/>
                <w:kern w:val="2"/>
                <w:sz w:val="21"/>
                <w:szCs w:val="24"/>
                <w:highlight w:val="none"/>
                <w:u w:val="none"/>
                <w:lang w:val="en-US" w:eastAsia="zh-CN" w:bidi="ar-SA"/>
              </w:rPr>
            </w:pPr>
            <w:r>
              <w:rPr>
                <w:rFonts w:hint="default" w:ascii="Times New Roman" w:hAnsi="Times New Roman" w:eastAsia="宋体" w:cs="Times New Roman"/>
                <w:i w:val="0"/>
                <w:iCs w:val="0"/>
                <w:color w:val="auto"/>
                <w:kern w:val="2"/>
                <w:sz w:val="21"/>
                <w:szCs w:val="24"/>
                <w:highlight w:val="none"/>
                <w:u w:val="none"/>
                <w:lang w:val="en-US" w:eastAsia="zh-CN" w:bidi="ar-SA"/>
              </w:rPr>
              <w:t>危险性较大的分部分项工程清单及超过一定规模的危险性较大的分部分项工程清单</w:t>
            </w:r>
          </w:p>
        </w:tc>
        <w:tc>
          <w:tcPr>
            <w:tcW w:w="195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eastAsia="宋体" w:cs="Times New Roman"/>
                <w:i w:val="0"/>
                <w:iCs w:val="0"/>
                <w:color w:val="auto"/>
                <w:kern w:val="2"/>
                <w:sz w:val="21"/>
                <w:szCs w:val="24"/>
                <w:highlight w:val="none"/>
                <w:u w:val="none"/>
                <w:lang w:val="en-US" w:eastAsia="zh-CN" w:bidi="ar-SA"/>
              </w:rPr>
            </w:pPr>
          </w:p>
        </w:tc>
      </w:tr>
    </w:tbl>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left"/>
        <w:textAlignment w:val="auto"/>
        <w:rPr>
          <w:rFonts w:hint="eastAsia" w:ascii="宋体" w:hAnsi="宋体" w:eastAsia="宋体" w:cs="宋体"/>
          <w:b w:val="0"/>
          <w:color w:val="000000"/>
          <w:kern w:val="2"/>
          <w:sz w:val="24"/>
          <w:szCs w:val="24"/>
          <w:highlight w:val="none"/>
          <w:u w:val="none"/>
          <w:shd w:val="clear" w:fill="FFFFFF"/>
          <w:lang w:eastAsia="zh-CN" w:bidi="ar"/>
        </w:rPr>
      </w:pPr>
    </w:p>
    <w:p>
      <w:pPr>
        <w:pStyle w:val="7"/>
        <w:widowControl/>
        <w:numPr>
          <w:ilvl w:val="0"/>
          <w:numId w:val="3"/>
        </w:numPr>
        <w:spacing w:beforeAutospacing="0" w:afterAutospacing="0" w:line="480" w:lineRule="exact"/>
        <w:ind w:left="0" w:leftChars="0" w:firstLine="0" w:firstLineChars="0"/>
        <w:rPr>
          <w:rFonts w:hint="eastAsia" w:ascii="宋体" w:hAnsi="宋体" w:eastAsia="宋体" w:cs="宋体"/>
          <w:color w:val="000000"/>
          <w:kern w:val="2"/>
          <w:highlight w:val="none"/>
          <w:u w:val="none"/>
          <w:shd w:val="clear" w:color="auto" w:fill="FFFFFF"/>
          <w:lang w:bidi="ar"/>
        </w:rPr>
      </w:pPr>
      <w:r>
        <w:rPr>
          <w:rFonts w:hint="eastAsia" w:ascii="宋体" w:hAnsi="宋体" w:eastAsia="宋体" w:cs="宋体"/>
          <w:color w:val="000000"/>
          <w:kern w:val="2"/>
          <w:highlight w:val="none"/>
          <w:u w:val="none"/>
          <w:shd w:val="clear" w:color="auto" w:fill="FFFFFF"/>
          <w:lang w:bidi="ar"/>
        </w:rPr>
        <w:t>本项目原招标</w:t>
      </w:r>
      <w:r>
        <w:rPr>
          <w:rFonts w:hint="eastAsia" w:ascii="宋体" w:hAnsi="宋体" w:eastAsia="宋体" w:cs="宋体"/>
          <w:color w:val="000000"/>
          <w:kern w:val="2"/>
          <w:highlight w:val="none"/>
          <w:u w:val="none"/>
          <w:shd w:val="clear" w:color="auto" w:fill="FFFFFF"/>
          <w:lang w:val="en-US" w:eastAsia="zh-CN" w:bidi="ar"/>
        </w:rPr>
        <w:t>公告及招标文件格式已更新</w:t>
      </w:r>
      <w:r>
        <w:rPr>
          <w:rFonts w:hint="eastAsia" w:ascii="宋体" w:hAnsi="宋体" w:eastAsia="宋体" w:cs="宋体"/>
          <w:color w:val="000000"/>
          <w:kern w:val="2"/>
          <w:highlight w:val="none"/>
          <w:u w:val="none"/>
          <w:shd w:val="clear" w:color="auto" w:fill="FFFFFF"/>
          <w:lang w:bidi="ar"/>
        </w:rPr>
        <w:t>，以本补充公告附件为准。</w:t>
      </w:r>
      <w:r>
        <w:rPr>
          <w:rFonts w:hint="eastAsia" w:ascii="宋体" w:hAnsi="宋体" w:eastAsia="宋体" w:cs="宋体"/>
          <w:color w:val="000000"/>
          <w:kern w:val="2"/>
          <w:highlight w:val="none"/>
          <w:u w:val="none"/>
          <w:shd w:val="clear" w:color="auto" w:fill="FFFFFF"/>
          <w:lang w:bidi="ar"/>
        </w:rPr>
        <w:br w:type="textWrapping"/>
      </w:r>
      <w:r>
        <w:rPr>
          <w:rFonts w:hint="eastAsia" w:ascii="宋体" w:hAnsi="宋体" w:eastAsia="宋体" w:cs="宋体"/>
          <w:color w:val="000000"/>
          <w:kern w:val="2"/>
          <w:highlight w:val="none"/>
          <w:u w:val="none"/>
          <w:shd w:val="clear" w:color="auto" w:fill="FFFFFF"/>
          <w:lang w:bidi="ar"/>
        </w:rPr>
        <w:t>三、</w:t>
      </w:r>
      <w:r>
        <w:rPr>
          <w:rFonts w:hint="eastAsia" w:ascii="宋体" w:hAnsi="宋体" w:eastAsia="宋体" w:cs="宋体"/>
          <w:color w:val="000000"/>
          <w:kern w:val="2"/>
          <w:highlight w:val="none"/>
          <w:u w:val="none"/>
          <w:shd w:val="clear" w:color="auto" w:fill="FFFFFF"/>
          <w:lang w:val="en-US" w:eastAsia="zh-CN" w:bidi="ar"/>
        </w:rPr>
        <w:t>本项目评标办法有更新，已重新打包电子招标文件（GZZB），请投标人以最新公布的GZZB文件为准编制投标文件。</w:t>
      </w:r>
    </w:p>
    <w:p>
      <w:pPr>
        <w:pStyle w:val="7"/>
        <w:widowControl/>
        <w:numPr>
          <w:ilvl w:val="0"/>
          <w:numId w:val="3"/>
        </w:numPr>
        <w:spacing w:beforeAutospacing="0" w:afterAutospacing="0" w:line="480" w:lineRule="exact"/>
        <w:ind w:left="0" w:leftChars="0" w:firstLine="0" w:firstLineChars="0"/>
        <w:rPr>
          <w:rFonts w:hint="eastAsia" w:ascii="宋体" w:hAnsi="宋体" w:eastAsia="宋体" w:cs="宋体"/>
          <w:b w:val="0"/>
          <w:color w:val="000000"/>
          <w:kern w:val="2"/>
          <w:sz w:val="24"/>
          <w:szCs w:val="24"/>
          <w:highlight w:val="none"/>
          <w:u w:val="none"/>
          <w:shd w:val="clear" w:fill="FFFFFF"/>
          <w:lang w:eastAsia="zh-CN" w:bidi="ar"/>
        </w:rPr>
      </w:pPr>
      <w:r>
        <w:rPr>
          <w:rFonts w:hint="eastAsia" w:ascii="宋体" w:hAnsi="宋体" w:eastAsia="宋体" w:cs="宋体"/>
          <w:color w:val="000000"/>
          <w:kern w:val="2"/>
          <w:highlight w:val="none"/>
          <w:u w:val="none"/>
          <w:shd w:val="clear" w:color="auto" w:fill="FFFFFF"/>
          <w:lang w:bidi="ar"/>
        </w:rPr>
        <w:t>本补充公告为招标公告、招标文件的组成部分，如对同一事项的表述与之前所发出的招标公告、招标文件不符，则以本补充公告为准，其他内容不变。</w:t>
      </w:r>
      <w:r>
        <w:rPr>
          <w:rFonts w:hint="eastAsia" w:ascii="宋体" w:hAnsi="宋体" w:eastAsia="宋体" w:cs="宋体"/>
          <w:color w:val="000000"/>
          <w:kern w:val="2"/>
          <w:highlight w:val="none"/>
          <w:u w:val="none"/>
          <w:shd w:val="clear" w:color="auto" w:fill="FFFFFF"/>
          <w:lang w:bidi="ar"/>
        </w:rPr>
        <w:br w:type="textWrapping"/>
      </w:r>
      <w:r>
        <w:rPr>
          <w:rFonts w:hint="eastAsia" w:ascii="宋体" w:hAnsi="宋体" w:eastAsia="宋体" w:cs="宋体"/>
          <w:color w:val="000000"/>
          <w:kern w:val="2"/>
          <w:highlight w:val="none"/>
          <w:u w:val="none"/>
          <w:shd w:val="clear" w:color="auto" w:fill="FFFFFF"/>
          <w:lang w:bidi="ar"/>
        </w:rPr>
        <w:t>四、本招标项目投标登记时间、递交备用投标文件电子光盘时间、递交电子投标文件截止时间及开标时间、地点等招标日程安排有修改，具体时间和场地安排请各投标人密切留意广州公共资源交易中心公布的本项目的日程安排，投标人可登录广州公共资源交易中心网站首页，点击“交易业务-建设工程”专栏中的“项目查询（日程安排、答疑纪要）”，输入项目编号或项目名称查询最新信息。 </w:t>
      </w:r>
      <w:r>
        <w:rPr>
          <w:rFonts w:hint="eastAsia" w:ascii="宋体" w:hAnsi="宋体" w:eastAsia="宋体" w:cs="宋体"/>
          <w:color w:val="000000"/>
          <w:kern w:val="2"/>
          <w:highlight w:val="none"/>
          <w:u w:val="none"/>
          <w:shd w:val="clear" w:color="auto" w:fill="FFFFFF"/>
          <w:lang w:bidi="ar"/>
        </w:rPr>
        <w:br w:type="textWrapping"/>
      </w:r>
      <w:r>
        <w:rPr>
          <w:rFonts w:hint="eastAsia" w:ascii="宋体" w:hAnsi="宋体" w:eastAsia="宋体" w:cs="宋体"/>
          <w:color w:val="000000"/>
          <w:kern w:val="2"/>
          <w:highlight w:val="none"/>
          <w:u w:val="none"/>
          <w:shd w:val="clear" w:color="auto" w:fill="FFFFFF"/>
          <w:lang w:bidi="ar"/>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right"/>
        <w:textAlignment w:val="auto"/>
        <w:rPr>
          <w:rFonts w:hint="eastAsia" w:ascii="宋体" w:hAnsi="宋体" w:eastAsia="宋体" w:cs="宋体"/>
          <w:b w:val="0"/>
          <w:kern w:val="2"/>
          <w:sz w:val="21"/>
          <w:szCs w:val="21"/>
          <w:highlight w:val="none"/>
          <w:u w:val="none"/>
        </w:rPr>
      </w:pPr>
      <w:r>
        <w:rPr>
          <w:rFonts w:hint="eastAsia" w:ascii="宋体" w:hAnsi="宋体" w:eastAsia="宋体" w:cs="宋体"/>
          <w:b w:val="0"/>
          <w:kern w:val="2"/>
          <w:sz w:val="21"/>
          <w:szCs w:val="21"/>
          <w:highlight w:val="none"/>
          <w:u w:val="none"/>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right"/>
        <w:textAlignment w:val="auto"/>
        <w:rPr>
          <w:rFonts w:hint="eastAsia" w:ascii="宋体" w:hAnsi="宋体" w:eastAsia="宋体" w:cs="宋体"/>
          <w:b w:val="0"/>
          <w:kern w:val="2"/>
          <w:sz w:val="21"/>
          <w:szCs w:val="21"/>
          <w:highlight w:val="none"/>
          <w:u w:val="none"/>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right"/>
        <w:textAlignment w:val="auto"/>
        <w:rPr>
          <w:rFonts w:hint="default" w:ascii="宋体" w:hAnsi="宋体" w:eastAsia="宋体" w:cs="宋体"/>
          <w:b w:val="0"/>
          <w:color w:val="000000"/>
          <w:kern w:val="2"/>
          <w:sz w:val="24"/>
          <w:szCs w:val="24"/>
          <w:highlight w:val="none"/>
          <w:u w:val="none"/>
          <w:shd w:val="clear" w:fill="FFFFFF"/>
          <w:lang w:val="en-US" w:eastAsia="zh-CN" w:bidi="ar"/>
        </w:rPr>
      </w:pPr>
      <w:r>
        <w:rPr>
          <w:rFonts w:hint="eastAsia" w:ascii="宋体" w:hAnsi="宋体" w:eastAsia="宋体" w:cs="宋体"/>
          <w:b w:val="0"/>
          <w:kern w:val="2"/>
          <w:sz w:val="21"/>
          <w:szCs w:val="21"/>
          <w:highlight w:val="none"/>
          <w:u w:val="none"/>
        </w:rPr>
        <w:t xml:space="preserve">  </w:t>
      </w:r>
      <w:r>
        <w:rPr>
          <w:rFonts w:hint="eastAsia" w:ascii="宋体" w:hAnsi="宋体" w:eastAsia="宋体" w:cs="宋体"/>
          <w:b w:val="0"/>
          <w:color w:val="000000"/>
          <w:kern w:val="2"/>
          <w:sz w:val="24"/>
          <w:szCs w:val="24"/>
          <w:highlight w:val="none"/>
          <w:u w:val="none"/>
          <w:shd w:val="clear" w:fill="FFFFFF"/>
          <w:lang w:bidi="ar"/>
        </w:rPr>
        <w:t>招标人：</w:t>
      </w:r>
      <w:r>
        <w:rPr>
          <w:rFonts w:hint="eastAsia" w:ascii="宋体" w:hAnsi="宋体" w:eastAsia="宋体" w:cs="宋体"/>
          <w:color w:val="000000"/>
          <w:kern w:val="2"/>
          <w:highlight w:val="none"/>
          <w:u w:val="none"/>
          <w:shd w:val="clear" w:color="auto" w:fill="FFFFFF"/>
          <w:lang w:val="en-US" w:eastAsia="zh-CN" w:bidi="ar"/>
        </w:rPr>
        <w:t>广东电网有限责任公司广州供电局</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right"/>
        <w:textAlignment w:val="auto"/>
        <w:rPr>
          <w:rFonts w:hint="eastAsia" w:ascii="宋体" w:hAnsi="宋体" w:eastAsia="宋体" w:cs="宋体"/>
          <w:b w:val="0"/>
          <w:color w:val="000000"/>
          <w:kern w:val="2"/>
          <w:sz w:val="24"/>
          <w:szCs w:val="24"/>
          <w:highlight w:val="none"/>
          <w:u w:val="none"/>
          <w:shd w:val="clear" w:fill="FFFFFF"/>
          <w:lang w:bidi="ar"/>
        </w:rPr>
      </w:pPr>
      <w:r>
        <w:rPr>
          <w:rFonts w:hint="eastAsia" w:ascii="宋体" w:hAnsi="宋体" w:eastAsia="宋体" w:cs="宋体"/>
          <w:b w:val="0"/>
          <w:color w:val="000000"/>
          <w:kern w:val="2"/>
          <w:sz w:val="24"/>
          <w:szCs w:val="24"/>
          <w:highlight w:val="none"/>
          <w:u w:val="none"/>
          <w:shd w:val="clear" w:fill="FFFFFF"/>
          <w:lang w:bidi="ar"/>
        </w:rPr>
        <w:t>招标代理机构：南方电网</w:t>
      </w:r>
      <w:r>
        <w:rPr>
          <w:rFonts w:hint="eastAsia" w:ascii="宋体" w:hAnsi="宋体" w:eastAsia="宋体" w:cs="宋体"/>
          <w:b w:val="0"/>
          <w:color w:val="000000"/>
          <w:kern w:val="2"/>
          <w:sz w:val="24"/>
          <w:szCs w:val="24"/>
          <w:highlight w:val="none"/>
          <w:u w:val="none"/>
          <w:shd w:val="clear" w:fill="FFFFFF"/>
          <w:lang w:val="en-US" w:eastAsia="zh-CN" w:bidi="ar"/>
        </w:rPr>
        <w:t>供应链集团有限公司</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right"/>
        <w:textAlignment w:val="auto"/>
        <w:rPr>
          <w:rFonts w:hint="eastAsia" w:ascii="宋体" w:hAnsi="宋体" w:eastAsia="宋体" w:cs="宋体"/>
          <w:b w:val="0"/>
          <w:color w:val="000000"/>
          <w:kern w:val="2"/>
          <w:sz w:val="24"/>
          <w:szCs w:val="24"/>
          <w:highlight w:val="none"/>
          <w:u w:val="none"/>
          <w:shd w:val="clear" w:fill="FFFFFF"/>
          <w:lang w:val="en-US" w:eastAsia="zh-CN" w:bidi="ar"/>
        </w:rPr>
      </w:pPr>
      <w:r>
        <w:rPr>
          <w:rFonts w:hint="eastAsia" w:ascii="宋体" w:hAnsi="宋体" w:eastAsia="宋体" w:cs="宋体"/>
          <w:b w:val="0"/>
          <w:color w:val="000000"/>
          <w:kern w:val="2"/>
          <w:sz w:val="24"/>
          <w:szCs w:val="24"/>
          <w:highlight w:val="none"/>
          <w:u w:val="none"/>
          <w:shd w:val="clear" w:fill="FFFFFF"/>
          <w:lang w:bidi="ar"/>
        </w:rPr>
        <w:t>联系方式：</w:t>
      </w:r>
      <w:r>
        <w:rPr>
          <w:rFonts w:hint="eastAsia" w:ascii="宋体" w:hAnsi="宋体" w:eastAsia="宋体" w:cs="宋体"/>
          <w:b w:val="0"/>
          <w:color w:val="000000"/>
          <w:kern w:val="2"/>
          <w:sz w:val="24"/>
          <w:szCs w:val="24"/>
          <w:highlight w:val="none"/>
          <w:u w:val="none"/>
          <w:shd w:val="clear" w:fill="FFFFFF"/>
          <w:lang w:val="en-US" w:eastAsia="zh-CN" w:bidi="ar"/>
        </w:rPr>
        <w:t>王工，</w:t>
      </w:r>
      <w:r>
        <w:rPr>
          <w:rFonts w:hint="eastAsia" w:ascii="宋体" w:hAnsi="宋体" w:eastAsia="宋体" w:cs="宋体"/>
          <w:b w:val="0"/>
          <w:color w:val="000000"/>
          <w:kern w:val="2"/>
          <w:sz w:val="24"/>
          <w:szCs w:val="24"/>
          <w:highlight w:val="none"/>
          <w:u w:val="none"/>
          <w:shd w:val="clear" w:fill="FFFFFF"/>
          <w:lang w:bidi="ar"/>
        </w:rPr>
        <w:t>020-</w:t>
      </w:r>
      <w:r>
        <w:rPr>
          <w:rFonts w:hint="eastAsia" w:ascii="宋体" w:hAnsi="宋体" w:eastAsia="宋体" w:cs="宋体"/>
          <w:b w:val="0"/>
          <w:color w:val="000000"/>
          <w:kern w:val="2"/>
          <w:sz w:val="24"/>
          <w:szCs w:val="24"/>
          <w:highlight w:val="none"/>
          <w:u w:val="none"/>
          <w:shd w:val="clear" w:fill="FFFFFF"/>
          <w:lang w:val="en-US" w:eastAsia="zh-CN" w:bidi="ar"/>
        </w:rPr>
        <w:t>38121394</w:t>
      </w:r>
    </w:p>
    <w:p>
      <w:pPr>
        <w:jc w:val="right"/>
        <w:rPr>
          <w:rFonts w:hint="default"/>
          <w:sz w:val="32"/>
          <w:szCs w:val="32"/>
          <w:highlight w:val="none"/>
          <w:u w:val="none"/>
          <w:lang w:val="en-US" w:eastAsia="zh-CN"/>
        </w:rPr>
      </w:pPr>
      <w:r>
        <w:rPr>
          <w:rFonts w:hint="eastAsia" w:ascii="宋体" w:hAnsi="宋体" w:eastAsia="宋体" w:cs="宋体"/>
          <w:b w:val="0"/>
          <w:color w:val="000000"/>
          <w:kern w:val="2"/>
          <w:sz w:val="24"/>
          <w:szCs w:val="24"/>
          <w:highlight w:val="none"/>
          <w:u w:val="none"/>
          <w:shd w:val="clear" w:fill="FFFFFF"/>
          <w:lang w:val="en-US" w:eastAsia="zh-CN" w:bidi="ar"/>
        </w:rPr>
        <w:t>邮箱：</w:t>
      </w:r>
      <w:r>
        <w:rPr>
          <w:rFonts w:hint="eastAsia" w:ascii="宋体" w:hAnsi="宋体" w:eastAsia="宋体" w:cs="宋体"/>
          <w:b w:val="0"/>
          <w:color w:val="000000"/>
          <w:kern w:val="2"/>
          <w:sz w:val="24"/>
          <w:szCs w:val="24"/>
          <w:highlight w:val="none"/>
          <w:u w:val="none"/>
          <w:shd w:val="clear" w:fill="FFFFFF"/>
          <w:lang w:bidi="ar"/>
        </w:rPr>
        <w:t>nwwzeb</w:t>
      </w:r>
      <w:r>
        <w:rPr>
          <w:rFonts w:hint="eastAsia" w:ascii="宋体" w:hAnsi="宋体" w:eastAsia="宋体" w:cs="宋体"/>
          <w:b w:val="0"/>
          <w:color w:val="000000"/>
          <w:kern w:val="2"/>
          <w:sz w:val="24"/>
          <w:szCs w:val="24"/>
          <w:highlight w:val="none"/>
          <w:u w:val="none"/>
          <w:shd w:val="clear" w:fill="FFFFFF"/>
          <w:lang w:val="en-US" w:eastAsia="zh-CN" w:bidi="ar"/>
        </w:rPr>
        <w:t>1</w:t>
      </w:r>
      <w:r>
        <w:rPr>
          <w:rFonts w:hint="eastAsia" w:ascii="宋体" w:hAnsi="宋体" w:eastAsia="宋体" w:cs="宋体"/>
          <w:b w:val="0"/>
          <w:color w:val="000000"/>
          <w:kern w:val="2"/>
          <w:sz w:val="24"/>
          <w:szCs w:val="24"/>
          <w:highlight w:val="none"/>
          <w:u w:val="none"/>
          <w:shd w:val="clear" w:fill="FFFFFF"/>
          <w:lang w:bidi="ar"/>
        </w:rPr>
        <w:t>@csg.c</w:t>
      </w:r>
      <w:r>
        <w:rPr>
          <w:rFonts w:hint="eastAsia" w:ascii="宋体" w:hAnsi="宋体" w:eastAsia="宋体" w:cs="宋体"/>
          <w:b w:val="0"/>
          <w:color w:val="000000"/>
          <w:kern w:val="2"/>
          <w:sz w:val="24"/>
          <w:szCs w:val="24"/>
          <w:highlight w:val="none"/>
          <w:u w:val="none"/>
          <w:shd w:val="clear" w:fill="FFFFFF"/>
          <w:lang w:val="en-US" w:eastAsia="zh-CN" w:bidi="ar"/>
        </w:rPr>
        <w:t>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7FD32"/>
    <w:multiLevelType w:val="singleLevel"/>
    <w:tmpl w:val="B157FD32"/>
    <w:lvl w:ilvl="0" w:tentative="0">
      <w:start w:val="1"/>
      <w:numFmt w:val="decimal"/>
      <w:suff w:val="nothing"/>
      <w:lvlText w:val="（%1）"/>
      <w:lvlJc w:val="left"/>
    </w:lvl>
  </w:abstractNum>
  <w:abstractNum w:abstractNumId="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74F9B9C4"/>
    <w:multiLevelType w:val="singleLevel"/>
    <w:tmpl w:val="74F9B9C4"/>
    <w:lvl w:ilvl="0" w:tentative="0">
      <w:start w:val="1"/>
      <w:numFmt w:val="chineseCounting"/>
      <w:suff w:val="nothing"/>
      <w:lvlText w:val="%1、"/>
      <w:lvlJc w:val="left"/>
      <w:rPr>
        <w:rFonts w:hint="eastAsia"/>
      </w:rPr>
    </w:lvl>
  </w:abstractNum>
  <w:num w:numId="1">
    <w:abstractNumId w:val="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14"/>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1"/>
    <w:lvlOverride w:ilvl="0">
      <w:lvl w:ilvl="0" w:tentative="1">
        <w:start w:val="1"/>
        <w:numFmt w:val="decimal"/>
        <w:lvlText w:val="第%1条"/>
        <w:lvlJc w:val="left"/>
        <w:pPr>
          <w:ind w:left="0" w:firstLine="0"/>
        </w:pPr>
      </w:lvl>
    </w:lvlOverride>
    <w:lvlOverride w:ilvl="1">
      <w:lvl w:ilvl="1" w:tentative="1">
        <w:start w:val="1"/>
        <w:numFmt w:val="decimal"/>
        <w:pStyle w:val="15"/>
        <w:lvlText w:val="%1.%2"/>
        <w:lvlJc w:val="left"/>
        <w:pPr>
          <w:ind w:left="1843" w:firstLine="0"/>
        </w:pPr>
      </w:lvl>
    </w:lvlOverride>
    <w:lvlOverride w:ilvl="2">
      <w:lvl w:ilvl="2" w:tentative="1">
        <w:start w:val="1"/>
        <w:numFmt w:val="decimal"/>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D1712"/>
    <w:rsid w:val="004B703C"/>
    <w:rsid w:val="005D3A0C"/>
    <w:rsid w:val="0065377D"/>
    <w:rsid w:val="0085799E"/>
    <w:rsid w:val="008957D6"/>
    <w:rsid w:val="009D236F"/>
    <w:rsid w:val="00D841D8"/>
    <w:rsid w:val="00E77B91"/>
    <w:rsid w:val="010255C8"/>
    <w:rsid w:val="01207BE8"/>
    <w:rsid w:val="012473A5"/>
    <w:rsid w:val="012A1CFC"/>
    <w:rsid w:val="014C1947"/>
    <w:rsid w:val="01564812"/>
    <w:rsid w:val="01673EAA"/>
    <w:rsid w:val="018077C5"/>
    <w:rsid w:val="01F62AF9"/>
    <w:rsid w:val="0229063D"/>
    <w:rsid w:val="02444735"/>
    <w:rsid w:val="02783C00"/>
    <w:rsid w:val="02A85EA0"/>
    <w:rsid w:val="02B21D81"/>
    <w:rsid w:val="02C236D1"/>
    <w:rsid w:val="03057D30"/>
    <w:rsid w:val="030726A4"/>
    <w:rsid w:val="030F7CCD"/>
    <w:rsid w:val="035A2B6C"/>
    <w:rsid w:val="038B5E8B"/>
    <w:rsid w:val="03F46525"/>
    <w:rsid w:val="040249F0"/>
    <w:rsid w:val="04245C2A"/>
    <w:rsid w:val="04471609"/>
    <w:rsid w:val="046679BA"/>
    <w:rsid w:val="046B2CD7"/>
    <w:rsid w:val="04905966"/>
    <w:rsid w:val="049D5BC5"/>
    <w:rsid w:val="04A3451B"/>
    <w:rsid w:val="04AA155A"/>
    <w:rsid w:val="04F06032"/>
    <w:rsid w:val="05073972"/>
    <w:rsid w:val="051147C5"/>
    <w:rsid w:val="059A48CE"/>
    <w:rsid w:val="05E3445B"/>
    <w:rsid w:val="060B2352"/>
    <w:rsid w:val="064A0BCB"/>
    <w:rsid w:val="067142FB"/>
    <w:rsid w:val="0681219E"/>
    <w:rsid w:val="06A70410"/>
    <w:rsid w:val="06FF405D"/>
    <w:rsid w:val="07071870"/>
    <w:rsid w:val="073E163F"/>
    <w:rsid w:val="07584E8F"/>
    <w:rsid w:val="07636F9B"/>
    <w:rsid w:val="077A61B1"/>
    <w:rsid w:val="079A49EE"/>
    <w:rsid w:val="07DD7D1D"/>
    <w:rsid w:val="07E777DE"/>
    <w:rsid w:val="07F31D0C"/>
    <w:rsid w:val="082513D1"/>
    <w:rsid w:val="08417FBB"/>
    <w:rsid w:val="0855459E"/>
    <w:rsid w:val="08962374"/>
    <w:rsid w:val="08E13FBE"/>
    <w:rsid w:val="08F10BE9"/>
    <w:rsid w:val="0903756C"/>
    <w:rsid w:val="09053E48"/>
    <w:rsid w:val="0A044BF5"/>
    <w:rsid w:val="0A181E03"/>
    <w:rsid w:val="0A2471CD"/>
    <w:rsid w:val="0AFD45CB"/>
    <w:rsid w:val="0B7B01E2"/>
    <w:rsid w:val="0B9510B3"/>
    <w:rsid w:val="0B992208"/>
    <w:rsid w:val="0BA166AA"/>
    <w:rsid w:val="0BBB565D"/>
    <w:rsid w:val="0BFF3B6B"/>
    <w:rsid w:val="0C100B7C"/>
    <w:rsid w:val="0C173090"/>
    <w:rsid w:val="0C1738D5"/>
    <w:rsid w:val="0C447F1D"/>
    <w:rsid w:val="0C463573"/>
    <w:rsid w:val="0C5C1DCA"/>
    <w:rsid w:val="0C6D1EB3"/>
    <w:rsid w:val="0C85259A"/>
    <w:rsid w:val="0CA01CD7"/>
    <w:rsid w:val="0CE76B89"/>
    <w:rsid w:val="0D046604"/>
    <w:rsid w:val="0D071C07"/>
    <w:rsid w:val="0D24529B"/>
    <w:rsid w:val="0D396648"/>
    <w:rsid w:val="0D45582E"/>
    <w:rsid w:val="0D50593E"/>
    <w:rsid w:val="0D657B22"/>
    <w:rsid w:val="0E0C6895"/>
    <w:rsid w:val="0EA71BB1"/>
    <w:rsid w:val="0EB1165B"/>
    <w:rsid w:val="0ECC0886"/>
    <w:rsid w:val="0ECD434A"/>
    <w:rsid w:val="0ECD6379"/>
    <w:rsid w:val="0ECE5F88"/>
    <w:rsid w:val="0ED90AC4"/>
    <w:rsid w:val="0F2A5AFB"/>
    <w:rsid w:val="0F4A6F65"/>
    <w:rsid w:val="0F4D0666"/>
    <w:rsid w:val="0F7D729A"/>
    <w:rsid w:val="0F900788"/>
    <w:rsid w:val="0FCD11BA"/>
    <w:rsid w:val="0FE83A60"/>
    <w:rsid w:val="10570A8C"/>
    <w:rsid w:val="106B52E5"/>
    <w:rsid w:val="10DA6609"/>
    <w:rsid w:val="10E116B1"/>
    <w:rsid w:val="10E54506"/>
    <w:rsid w:val="11135799"/>
    <w:rsid w:val="117D3F9D"/>
    <w:rsid w:val="11C17DDA"/>
    <w:rsid w:val="11DB2970"/>
    <w:rsid w:val="11E71961"/>
    <w:rsid w:val="12287B1E"/>
    <w:rsid w:val="123F5C19"/>
    <w:rsid w:val="125C3398"/>
    <w:rsid w:val="127651D9"/>
    <w:rsid w:val="12946B2B"/>
    <w:rsid w:val="12970D86"/>
    <w:rsid w:val="12C27EAD"/>
    <w:rsid w:val="12E56223"/>
    <w:rsid w:val="12FE3F30"/>
    <w:rsid w:val="1329291C"/>
    <w:rsid w:val="13556528"/>
    <w:rsid w:val="13626894"/>
    <w:rsid w:val="139A05F1"/>
    <w:rsid w:val="13AE7C01"/>
    <w:rsid w:val="13D3641C"/>
    <w:rsid w:val="13D4517F"/>
    <w:rsid w:val="13DC1DEE"/>
    <w:rsid w:val="13F5708E"/>
    <w:rsid w:val="14295DB3"/>
    <w:rsid w:val="14415667"/>
    <w:rsid w:val="14825BAA"/>
    <w:rsid w:val="1505489B"/>
    <w:rsid w:val="15643035"/>
    <w:rsid w:val="15C10A88"/>
    <w:rsid w:val="15D00D9C"/>
    <w:rsid w:val="16121F21"/>
    <w:rsid w:val="16540302"/>
    <w:rsid w:val="165C43F5"/>
    <w:rsid w:val="16AB41AC"/>
    <w:rsid w:val="16D84911"/>
    <w:rsid w:val="16FF00A3"/>
    <w:rsid w:val="170567D2"/>
    <w:rsid w:val="17506200"/>
    <w:rsid w:val="175D1990"/>
    <w:rsid w:val="17663A57"/>
    <w:rsid w:val="17755D3F"/>
    <w:rsid w:val="17DE5BF5"/>
    <w:rsid w:val="17E44A81"/>
    <w:rsid w:val="187334F0"/>
    <w:rsid w:val="1883786A"/>
    <w:rsid w:val="193705D9"/>
    <w:rsid w:val="193C4771"/>
    <w:rsid w:val="194E2095"/>
    <w:rsid w:val="195D52E1"/>
    <w:rsid w:val="196E7DED"/>
    <w:rsid w:val="19A04635"/>
    <w:rsid w:val="19B03D24"/>
    <w:rsid w:val="19EC7019"/>
    <w:rsid w:val="1A045466"/>
    <w:rsid w:val="1A4109E6"/>
    <w:rsid w:val="1A78024E"/>
    <w:rsid w:val="1A8876B2"/>
    <w:rsid w:val="1A964AC2"/>
    <w:rsid w:val="1A986BDC"/>
    <w:rsid w:val="1AA32273"/>
    <w:rsid w:val="1AC93C5E"/>
    <w:rsid w:val="1B102C49"/>
    <w:rsid w:val="1B394BB7"/>
    <w:rsid w:val="1B557CB8"/>
    <w:rsid w:val="1B636875"/>
    <w:rsid w:val="1B893E13"/>
    <w:rsid w:val="1BAB11BF"/>
    <w:rsid w:val="1BDA4F6E"/>
    <w:rsid w:val="1BF968F1"/>
    <w:rsid w:val="1C157FFA"/>
    <w:rsid w:val="1C541F4F"/>
    <w:rsid w:val="1C775341"/>
    <w:rsid w:val="1C7E525E"/>
    <w:rsid w:val="1C82245E"/>
    <w:rsid w:val="1CB1114D"/>
    <w:rsid w:val="1D357952"/>
    <w:rsid w:val="1D8A06EF"/>
    <w:rsid w:val="1DA57888"/>
    <w:rsid w:val="1DBA5B6E"/>
    <w:rsid w:val="1DC77517"/>
    <w:rsid w:val="1DF60116"/>
    <w:rsid w:val="1E0E627B"/>
    <w:rsid w:val="1E17212A"/>
    <w:rsid w:val="1E745010"/>
    <w:rsid w:val="1E7C5FAF"/>
    <w:rsid w:val="1EE26154"/>
    <w:rsid w:val="1EED170E"/>
    <w:rsid w:val="1F3969F0"/>
    <w:rsid w:val="1F3E6CE0"/>
    <w:rsid w:val="1F646388"/>
    <w:rsid w:val="1F6A2BB9"/>
    <w:rsid w:val="1F7042BA"/>
    <w:rsid w:val="1F795511"/>
    <w:rsid w:val="1F7E1CCA"/>
    <w:rsid w:val="1FA9534C"/>
    <w:rsid w:val="1FDB0DF7"/>
    <w:rsid w:val="20071728"/>
    <w:rsid w:val="20105E69"/>
    <w:rsid w:val="20162DDF"/>
    <w:rsid w:val="20451F54"/>
    <w:rsid w:val="20572006"/>
    <w:rsid w:val="20752464"/>
    <w:rsid w:val="20811DA0"/>
    <w:rsid w:val="208A2F24"/>
    <w:rsid w:val="209F1F80"/>
    <w:rsid w:val="20BA26C8"/>
    <w:rsid w:val="20CE267E"/>
    <w:rsid w:val="20DA3519"/>
    <w:rsid w:val="216A39D3"/>
    <w:rsid w:val="219452D0"/>
    <w:rsid w:val="21A562D7"/>
    <w:rsid w:val="21C935AB"/>
    <w:rsid w:val="21DE372C"/>
    <w:rsid w:val="21F57FAF"/>
    <w:rsid w:val="222F54A5"/>
    <w:rsid w:val="22663E64"/>
    <w:rsid w:val="227C0A4E"/>
    <w:rsid w:val="22DB32C8"/>
    <w:rsid w:val="23315DDE"/>
    <w:rsid w:val="234B33FA"/>
    <w:rsid w:val="234F5EDB"/>
    <w:rsid w:val="237B621E"/>
    <w:rsid w:val="238E75F8"/>
    <w:rsid w:val="23AC431E"/>
    <w:rsid w:val="23DD54F9"/>
    <w:rsid w:val="240C5924"/>
    <w:rsid w:val="2422177F"/>
    <w:rsid w:val="24345F7D"/>
    <w:rsid w:val="24626155"/>
    <w:rsid w:val="247A333C"/>
    <w:rsid w:val="24B671D0"/>
    <w:rsid w:val="24CE08F9"/>
    <w:rsid w:val="256930A4"/>
    <w:rsid w:val="25A20F86"/>
    <w:rsid w:val="25AB5496"/>
    <w:rsid w:val="25FC52E1"/>
    <w:rsid w:val="26472313"/>
    <w:rsid w:val="264B5748"/>
    <w:rsid w:val="265C42DB"/>
    <w:rsid w:val="2675307B"/>
    <w:rsid w:val="26AF548A"/>
    <w:rsid w:val="26C55BBE"/>
    <w:rsid w:val="26CB054A"/>
    <w:rsid w:val="26DA6131"/>
    <w:rsid w:val="26DE3FD6"/>
    <w:rsid w:val="26EE40F1"/>
    <w:rsid w:val="276005B3"/>
    <w:rsid w:val="27770B62"/>
    <w:rsid w:val="27C4467C"/>
    <w:rsid w:val="27DD2A4C"/>
    <w:rsid w:val="27EB73EB"/>
    <w:rsid w:val="27F735C4"/>
    <w:rsid w:val="2827239F"/>
    <w:rsid w:val="28456461"/>
    <w:rsid w:val="284B02A2"/>
    <w:rsid w:val="287D278C"/>
    <w:rsid w:val="28817725"/>
    <w:rsid w:val="28BE6925"/>
    <w:rsid w:val="28DB7B61"/>
    <w:rsid w:val="28F9022E"/>
    <w:rsid w:val="29485EEA"/>
    <w:rsid w:val="299B6551"/>
    <w:rsid w:val="29E66EF9"/>
    <w:rsid w:val="29EF78AC"/>
    <w:rsid w:val="2A2E571E"/>
    <w:rsid w:val="2AB229BE"/>
    <w:rsid w:val="2AFB4FD5"/>
    <w:rsid w:val="2B2754D4"/>
    <w:rsid w:val="2B382224"/>
    <w:rsid w:val="2B3D09A3"/>
    <w:rsid w:val="2B76770E"/>
    <w:rsid w:val="2BBC4B89"/>
    <w:rsid w:val="2BF6000D"/>
    <w:rsid w:val="2C1E1C2E"/>
    <w:rsid w:val="2C2452E9"/>
    <w:rsid w:val="2C276C23"/>
    <w:rsid w:val="2C29319E"/>
    <w:rsid w:val="2C426226"/>
    <w:rsid w:val="2CEC23CA"/>
    <w:rsid w:val="2D20512E"/>
    <w:rsid w:val="2D41207C"/>
    <w:rsid w:val="2D5356C5"/>
    <w:rsid w:val="2D994BA1"/>
    <w:rsid w:val="2DA13E27"/>
    <w:rsid w:val="2DC47BF9"/>
    <w:rsid w:val="2DD60ADD"/>
    <w:rsid w:val="2DEC7C23"/>
    <w:rsid w:val="2DF74E9A"/>
    <w:rsid w:val="2E040C5E"/>
    <w:rsid w:val="2E0C3A84"/>
    <w:rsid w:val="2E0F1D13"/>
    <w:rsid w:val="2E2C601F"/>
    <w:rsid w:val="2E7D3FCB"/>
    <w:rsid w:val="2E980AB7"/>
    <w:rsid w:val="2EA5518D"/>
    <w:rsid w:val="2EC10457"/>
    <w:rsid w:val="2ED13EFB"/>
    <w:rsid w:val="2EE302E3"/>
    <w:rsid w:val="2F08686A"/>
    <w:rsid w:val="2F4E3518"/>
    <w:rsid w:val="2F613C4E"/>
    <w:rsid w:val="2F644E39"/>
    <w:rsid w:val="2FF24EE8"/>
    <w:rsid w:val="306826C4"/>
    <w:rsid w:val="30976BB0"/>
    <w:rsid w:val="30B27663"/>
    <w:rsid w:val="30B814FD"/>
    <w:rsid w:val="30D93F36"/>
    <w:rsid w:val="30DD3790"/>
    <w:rsid w:val="30EC0E18"/>
    <w:rsid w:val="314903D4"/>
    <w:rsid w:val="31846C68"/>
    <w:rsid w:val="31F05168"/>
    <w:rsid w:val="31F71600"/>
    <w:rsid w:val="31FE733D"/>
    <w:rsid w:val="32011521"/>
    <w:rsid w:val="3204601A"/>
    <w:rsid w:val="322B11B0"/>
    <w:rsid w:val="32431117"/>
    <w:rsid w:val="32454E67"/>
    <w:rsid w:val="32A34B5E"/>
    <w:rsid w:val="32A514B9"/>
    <w:rsid w:val="32B414B2"/>
    <w:rsid w:val="330B5F64"/>
    <w:rsid w:val="330D4632"/>
    <w:rsid w:val="33610381"/>
    <w:rsid w:val="339A669E"/>
    <w:rsid w:val="34053539"/>
    <w:rsid w:val="34331984"/>
    <w:rsid w:val="34577600"/>
    <w:rsid w:val="345C066E"/>
    <w:rsid w:val="345D4A01"/>
    <w:rsid w:val="34D72703"/>
    <w:rsid w:val="35596BAA"/>
    <w:rsid w:val="356C2682"/>
    <w:rsid w:val="35781572"/>
    <w:rsid w:val="35895CBF"/>
    <w:rsid w:val="36132517"/>
    <w:rsid w:val="362664A2"/>
    <w:rsid w:val="364B6903"/>
    <w:rsid w:val="36F07207"/>
    <w:rsid w:val="36F66034"/>
    <w:rsid w:val="37213295"/>
    <w:rsid w:val="373214D9"/>
    <w:rsid w:val="37512860"/>
    <w:rsid w:val="37516C62"/>
    <w:rsid w:val="377946EF"/>
    <w:rsid w:val="377D4649"/>
    <w:rsid w:val="37842224"/>
    <w:rsid w:val="378F6D74"/>
    <w:rsid w:val="37FB2923"/>
    <w:rsid w:val="384B2749"/>
    <w:rsid w:val="387179D2"/>
    <w:rsid w:val="38AB414E"/>
    <w:rsid w:val="390F46B6"/>
    <w:rsid w:val="39196CB1"/>
    <w:rsid w:val="39484DDE"/>
    <w:rsid w:val="397C7318"/>
    <w:rsid w:val="39D5252B"/>
    <w:rsid w:val="39DF3ADA"/>
    <w:rsid w:val="39F0064D"/>
    <w:rsid w:val="39F91CD8"/>
    <w:rsid w:val="3A036B1D"/>
    <w:rsid w:val="3A0E16B8"/>
    <w:rsid w:val="3A12019A"/>
    <w:rsid w:val="3A4B7BC1"/>
    <w:rsid w:val="3A91719E"/>
    <w:rsid w:val="3A965651"/>
    <w:rsid w:val="3AE51883"/>
    <w:rsid w:val="3B975854"/>
    <w:rsid w:val="3BAD3406"/>
    <w:rsid w:val="3BF703F7"/>
    <w:rsid w:val="3BFA27AB"/>
    <w:rsid w:val="3C047DD5"/>
    <w:rsid w:val="3C0C21DC"/>
    <w:rsid w:val="3C3B298B"/>
    <w:rsid w:val="3C7D09E4"/>
    <w:rsid w:val="3C842FDD"/>
    <w:rsid w:val="3C9F0128"/>
    <w:rsid w:val="3CBB7AE1"/>
    <w:rsid w:val="3CDB4922"/>
    <w:rsid w:val="3CDC23A0"/>
    <w:rsid w:val="3D292873"/>
    <w:rsid w:val="3D5507E7"/>
    <w:rsid w:val="3D996CD2"/>
    <w:rsid w:val="3D9C4E9D"/>
    <w:rsid w:val="3D9C64A8"/>
    <w:rsid w:val="3DC70A20"/>
    <w:rsid w:val="3DED14FF"/>
    <w:rsid w:val="3E01670D"/>
    <w:rsid w:val="3E0650A4"/>
    <w:rsid w:val="3E1A0CE6"/>
    <w:rsid w:val="3E4C1D08"/>
    <w:rsid w:val="3E767963"/>
    <w:rsid w:val="3E873E1B"/>
    <w:rsid w:val="3EAF0350"/>
    <w:rsid w:val="3EBE0BF5"/>
    <w:rsid w:val="3ECF1F19"/>
    <w:rsid w:val="3EFE4C4C"/>
    <w:rsid w:val="3F215585"/>
    <w:rsid w:val="3F341C8E"/>
    <w:rsid w:val="3F653BD5"/>
    <w:rsid w:val="3F781FDA"/>
    <w:rsid w:val="3F8A2017"/>
    <w:rsid w:val="3F9C2005"/>
    <w:rsid w:val="3FA01C10"/>
    <w:rsid w:val="3FA633F2"/>
    <w:rsid w:val="3FBD51D2"/>
    <w:rsid w:val="3FC353C7"/>
    <w:rsid w:val="3FC40140"/>
    <w:rsid w:val="3FDE7247"/>
    <w:rsid w:val="40062E66"/>
    <w:rsid w:val="401E17FE"/>
    <w:rsid w:val="406F61A9"/>
    <w:rsid w:val="407027FE"/>
    <w:rsid w:val="4096293D"/>
    <w:rsid w:val="40CD2E83"/>
    <w:rsid w:val="40E67A89"/>
    <w:rsid w:val="41356A83"/>
    <w:rsid w:val="41611852"/>
    <w:rsid w:val="41662DB5"/>
    <w:rsid w:val="41893AC2"/>
    <w:rsid w:val="41EB662C"/>
    <w:rsid w:val="42680218"/>
    <w:rsid w:val="427557A3"/>
    <w:rsid w:val="427E3168"/>
    <w:rsid w:val="42915126"/>
    <w:rsid w:val="42C44697"/>
    <w:rsid w:val="42E06A9F"/>
    <w:rsid w:val="436511F3"/>
    <w:rsid w:val="437C704C"/>
    <w:rsid w:val="439A3ABB"/>
    <w:rsid w:val="43A82265"/>
    <w:rsid w:val="43EA479B"/>
    <w:rsid w:val="444A5C2E"/>
    <w:rsid w:val="44550ABD"/>
    <w:rsid w:val="448D75D0"/>
    <w:rsid w:val="448E6B13"/>
    <w:rsid w:val="449F6992"/>
    <w:rsid w:val="44AB5146"/>
    <w:rsid w:val="44B86DFC"/>
    <w:rsid w:val="44C569B0"/>
    <w:rsid w:val="44C946E0"/>
    <w:rsid w:val="44D50DDE"/>
    <w:rsid w:val="44EF0878"/>
    <w:rsid w:val="45130A35"/>
    <w:rsid w:val="45462E84"/>
    <w:rsid w:val="45525D82"/>
    <w:rsid w:val="45936863"/>
    <w:rsid w:val="45B009DA"/>
    <w:rsid w:val="45B66BD2"/>
    <w:rsid w:val="461F3F76"/>
    <w:rsid w:val="46295220"/>
    <w:rsid w:val="465211A0"/>
    <w:rsid w:val="46603732"/>
    <w:rsid w:val="469F13EA"/>
    <w:rsid w:val="46A803BA"/>
    <w:rsid w:val="47014024"/>
    <w:rsid w:val="470F1B36"/>
    <w:rsid w:val="471C45E8"/>
    <w:rsid w:val="472741BC"/>
    <w:rsid w:val="47346126"/>
    <w:rsid w:val="473502A6"/>
    <w:rsid w:val="47603448"/>
    <w:rsid w:val="476E4BC6"/>
    <w:rsid w:val="479B1AA7"/>
    <w:rsid w:val="47BD1C06"/>
    <w:rsid w:val="48166045"/>
    <w:rsid w:val="488F54CD"/>
    <w:rsid w:val="48B536D6"/>
    <w:rsid w:val="48BD1712"/>
    <w:rsid w:val="48E5498B"/>
    <w:rsid w:val="48E81CE5"/>
    <w:rsid w:val="4993545A"/>
    <w:rsid w:val="4A245841"/>
    <w:rsid w:val="4A4F73F3"/>
    <w:rsid w:val="4A9E61A8"/>
    <w:rsid w:val="4B555F87"/>
    <w:rsid w:val="4B953D87"/>
    <w:rsid w:val="4BBF31F9"/>
    <w:rsid w:val="4BC05FE4"/>
    <w:rsid w:val="4BFA580C"/>
    <w:rsid w:val="4BFD51B0"/>
    <w:rsid w:val="4C001F20"/>
    <w:rsid w:val="4C1D25D5"/>
    <w:rsid w:val="4C1F7163"/>
    <w:rsid w:val="4C3B647C"/>
    <w:rsid w:val="4C837441"/>
    <w:rsid w:val="4CCD74A7"/>
    <w:rsid w:val="4CD23EAB"/>
    <w:rsid w:val="4CDC1DDD"/>
    <w:rsid w:val="4CF3650B"/>
    <w:rsid w:val="4D5160B5"/>
    <w:rsid w:val="4D6F0C10"/>
    <w:rsid w:val="4D846AB7"/>
    <w:rsid w:val="4D920D55"/>
    <w:rsid w:val="4DA92EF7"/>
    <w:rsid w:val="4DBA1CA4"/>
    <w:rsid w:val="4E121E24"/>
    <w:rsid w:val="4E13407E"/>
    <w:rsid w:val="4E3B2DCB"/>
    <w:rsid w:val="4E4A61A2"/>
    <w:rsid w:val="4E56147D"/>
    <w:rsid w:val="4E7707AB"/>
    <w:rsid w:val="4E867384"/>
    <w:rsid w:val="4EDA3F12"/>
    <w:rsid w:val="4EFB2D96"/>
    <w:rsid w:val="4F4C74CB"/>
    <w:rsid w:val="4F7828DC"/>
    <w:rsid w:val="4F8C44AA"/>
    <w:rsid w:val="4FA24634"/>
    <w:rsid w:val="4FED394F"/>
    <w:rsid w:val="5007567D"/>
    <w:rsid w:val="50144451"/>
    <w:rsid w:val="501B4530"/>
    <w:rsid w:val="505303DB"/>
    <w:rsid w:val="50672BA3"/>
    <w:rsid w:val="50845439"/>
    <w:rsid w:val="509F0D2F"/>
    <w:rsid w:val="50C43810"/>
    <w:rsid w:val="511A18E0"/>
    <w:rsid w:val="512E699B"/>
    <w:rsid w:val="5160630A"/>
    <w:rsid w:val="518E6F2F"/>
    <w:rsid w:val="51974EB8"/>
    <w:rsid w:val="51A91F96"/>
    <w:rsid w:val="51B64796"/>
    <w:rsid w:val="523B48CB"/>
    <w:rsid w:val="52613292"/>
    <w:rsid w:val="52626F85"/>
    <w:rsid w:val="52847EEE"/>
    <w:rsid w:val="52DD2E9C"/>
    <w:rsid w:val="52E02133"/>
    <w:rsid w:val="531B5844"/>
    <w:rsid w:val="534865D4"/>
    <w:rsid w:val="534F2009"/>
    <w:rsid w:val="53581FC6"/>
    <w:rsid w:val="53B965E2"/>
    <w:rsid w:val="53C73503"/>
    <w:rsid w:val="54487A83"/>
    <w:rsid w:val="545373A1"/>
    <w:rsid w:val="545D3476"/>
    <w:rsid w:val="548B45A2"/>
    <w:rsid w:val="54910FE6"/>
    <w:rsid w:val="54921840"/>
    <w:rsid w:val="549F0DE6"/>
    <w:rsid w:val="54BA48C1"/>
    <w:rsid w:val="54D4392D"/>
    <w:rsid w:val="54FD2713"/>
    <w:rsid w:val="55187A04"/>
    <w:rsid w:val="555B67B3"/>
    <w:rsid w:val="55A003A5"/>
    <w:rsid w:val="55C573B5"/>
    <w:rsid w:val="55F21E06"/>
    <w:rsid w:val="55FE5AF3"/>
    <w:rsid w:val="55FF4642"/>
    <w:rsid w:val="560770BD"/>
    <w:rsid w:val="56303F57"/>
    <w:rsid w:val="56903C93"/>
    <w:rsid w:val="5691649D"/>
    <w:rsid w:val="56C623CE"/>
    <w:rsid w:val="56CC1E31"/>
    <w:rsid w:val="56EF4D1D"/>
    <w:rsid w:val="56FB39C3"/>
    <w:rsid w:val="57381290"/>
    <w:rsid w:val="576C5963"/>
    <w:rsid w:val="576F17BD"/>
    <w:rsid w:val="57DF4F2F"/>
    <w:rsid w:val="57F626BF"/>
    <w:rsid w:val="58210415"/>
    <w:rsid w:val="582C0B94"/>
    <w:rsid w:val="584522DD"/>
    <w:rsid w:val="587F41E3"/>
    <w:rsid w:val="590E1B67"/>
    <w:rsid w:val="59352A49"/>
    <w:rsid w:val="595E2C9E"/>
    <w:rsid w:val="59951494"/>
    <w:rsid w:val="59AA386C"/>
    <w:rsid w:val="59C248FD"/>
    <w:rsid w:val="59F412DA"/>
    <w:rsid w:val="5A05403C"/>
    <w:rsid w:val="5A734000"/>
    <w:rsid w:val="5AE82A02"/>
    <w:rsid w:val="5B0D30C0"/>
    <w:rsid w:val="5B6D413E"/>
    <w:rsid w:val="5B771768"/>
    <w:rsid w:val="5BE95BA6"/>
    <w:rsid w:val="5C303BE4"/>
    <w:rsid w:val="5C3075D9"/>
    <w:rsid w:val="5C437CE9"/>
    <w:rsid w:val="5C914719"/>
    <w:rsid w:val="5C971C0F"/>
    <w:rsid w:val="5CFC2B97"/>
    <w:rsid w:val="5D173695"/>
    <w:rsid w:val="5D2D77D8"/>
    <w:rsid w:val="5D816D48"/>
    <w:rsid w:val="5E4B3ACA"/>
    <w:rsid w:val="5EA32B5B"/>
    <w:rsid w:val="5F1A07B4"/>
    <w:rsid w:val="5F2A2121"/>
    <w:rsid w:val="5F4B28B1"/>
    <w:rsid w:val="5F56692D"/>
    <w:rsid w:val="5F6A5A7E"/>
    <w:rsid w:val="5F864DD7"/>
    <w:rsid w:val="5F965453"/>
    <w:rsid w:val="5F9C389C"/>
    <w:rsid w:val="5F9F1F71"/>
    <w:rsid w:val="5FDA08F6"/>
    <w:rsid w:val="5FE3224D"/>
    <w:rsid w:val="601A1D38"/>
    <w:rsid w:val="6022446E"/>
    <w:rsid w:val="60353C66"/>
    <w:rsid w:val="605B353C"/>
    <w:rsid w:val="605E2BC7"/>
    <w:rsid w:val="60650797"/>
    <w:rsid w:val="60A23AD0"/>
    <w:rsid w:val="60A87E51"/>
    <w:rsid w:val="60AA51AC"/>
    <w:rsid w:val="60D56DB0"/>
    <w:rsid w:val="611B34A9"/>
    <w:rsid w:val="614E1DBD"/>
    <w:rsid w:val="616D4A47"/>
    <w:rsid w:val="617E0758"/>
    <w:rsid w:val="61B34478"/>
    <w:rsid w:val="61F93D22"/>
    <w:rsid w:val="62242CF6"/>
    <w:rsid w:val="62374DF7"/>
    <w:rsid w:val="628F678D"/>
    <w:rsid w:val="62951886"/>
    <w:rsid w:val="62B350AD"/>
    <w:rsid w:val="62E567A4"/>
    <w:rsid w:val="637B71B5"/>
    <w:rsid w:val="638C5B90"/>
    <w:rsid w:val="63BE044D"/>
    <w:rsid w:val="63E829FC"/>
    <w:rsid w:val="63E86479"/>
    <w:rsid w:val="63FC0398"/>
    <w:rsid w:val="6426678B"/>
    <w:rsid w:val="6450184F"/>
    <w:rsid w:val="64686762"/>
    <w:rsid w:val="64977B52"/>
    <w:rsid w:val="649835BC"/>
    <w:rsid w:val="64B23A9E"/>
    <w:rsid w:val="65061E69"/>
    <w:rsid w:val="65343D73"/>
    <w:rsid w:val="653E64E2"/>
    <w:rsid w:val="656C4A77"/>
    <w:rsid w:val="65766B59"/>
    <w:rsid w:val="658375DA"/>
    <w:rsid w:val="65D02BE1"/>
    <w:rsid w:val="66137C76"/>
    <w:rsid w:val="661D2BAB"/>
    <w:rsid w:val="66567D1E"/>
    <w:rsid w:val="6686504A"/>
    <w:rsid w:val="669B578E"/>
    <w:rsid w:val="67093661"/>
    <w:rsid w:val="67455EE7"/>
    <w:rsid w:val="67EF3906"/>
    <w:rsid w:val="683A0A52"/>
    <w:rsid w:val="68606AC1"/>
    <w:rsid w:val="68632682"/>
    <w:rsid w:val="687479FB"/>
    <w:rsid w:val="68F031B1"/>
    <w:rsid w:val="68F55DEE"/>
    <w:rsid w:val="691101B3"/>
    <w:rsid w:val="693713CE"/>
    <w:rsid w:val="69495945"/>
    <w:rsid w:val="696D1315"/>
    <w:rsid w:val="69BB6C81"/>
    <w:rsid w:val="69F112EC"/>
    <w:rsid w:val="69FE69FF"/>
    <w:rsid w:val="6A3800F3"/>
    <w:rsid w:val="6A577D13"/>
    <w:rsid w:val="6A7C240F"/>
    <w:rsid w:val="6AA442A8"/>
    <w:rsid w:val="6AC464EB"/>
    <w:rsid w:val="6AC77D4E"/>
    <w:rsid w:val="6AD63195"/>
    <w:rsid w:val="6B011631"/>
    <w:rsid w:val="6B377D84"/>
    <w:rsid w:val="6B5672A7"/>
    <w:rsid w:val="6B5742AA"/>
    <w:rsid w:val="6BBD07FA"/>
    <w:rsid w:val="6BBE0166"/>
    <w:rsid w:val="6BD464E2"/>
    <w:rsid w:val="6BE83335"/>
    <w:rsid w:val="6C0E28B4"/>
    <w:rsid w:val="6C135944"/>
    <w:rsid w:val="6C3B2F91"/>
    <w:rsid w:val="6C4C58EE"/>
    <w:rsid w:val="6C947B05"/>
    <w:rsid w:val="6C9E0FA4"/>
    <w:rsid w:val="6CA2271A"/>
    <w:rsid w:val="6CB46CAF"/>
    <w:rsid w:val="6CFD02BD"/>
    <w:rsid w:val="6D555942"/>
    <w:rsid w:val="6D943B58"/>
    <w:rsid w:val="6DAE08C3"/>
    <w:rsid w:val="6DE1309E"/>
    <w:rsid w:val="6E2D6ECA"/>
    <w:rsid w:val="6E7D69ED"/>
    <w:rsid w:val="6E7F18C0"/>
    <w:rsid w:val="6E907D2F"/>
    <w:rsid w:val="6E980379"/>
    <w:rsid w:val="6E9F3B97"/>
    <w:rsid w:val="6EAA6127"/>
    <w:rsid w:val="6EAD6780"/>
    <w:rsid w:val="6EB35D5E"/>
    <w:rsid w:val="6EBD7135"/>
    <w:rsid w:val="6EC303F5"/>
    <w:rsid w:val="6EE736EB"/>
    <w:rsid w:val="6EFE627F"/>
    <w:rsid w:val="6F0546BA"/>
    <w:rsid w:val="6F2E303C"/>
    <w:rsid w:val="6FAE4269"/>
    <w:rsid w:val="6FCB2AA1"/>
    <w:rsid w:val="6FF224E4"/>
    <w:rsid w:val="70176FC8"/>
    <w:rsid w:val="70220774"/>
    <w:rsid w:val="7023160C"/>
    <w:rsid w:val="703107EA"/>
    <w:rsid w:val="709816D7"/>
    <w:rsid w:val="70A441FF"/>
    <w:rsid w:val="70E70700"/>
    <w:rsid w:val="71197404"/>
    <w:rsid w:val="718D1BC6"/>
    <w:rsid w:val="71907689"/>
    <w:rsid w:val="71BB3298"/>
    <w:rsid w:val="720A2877"/>
    <w:rsid w:val="720E122B"/>
    <w:rsid w:val="7215055A"/>
    <w:rsid w:val="72277CC4"/>
    <w:rsid w:val="724B4519"/>
    <w:rsid w:val="727C6836"/>
    <w:rsid w:val="729D7A06"/>
    <w:rsid w:val="72E0345A"/>
    <w:rsid w:val="72FD0E4A"/>
    <w:rsid w:val="72FE2869"/>
    <w:rsid w:val="730068CA"/>
    <w:rsid w:val="734305AF"/>
    <w:rsid w:val="739E1ABD"/>
    <w:rsid w:val="73BA50F9"/>
    <w:rsid w:val="73F03F4D"/>
    <w:rsid w:val="74210AD7"/>
    <w:rsid w:val="74742ACA"/>
    <w:rsid w:val="74AC10BE"/>
    <w:rsid w:val="74B44B4F"/>
    <w:rsid w:val="74BB7A37"/>
    <w:rsid w:val="74CE152A"/>
    <w:rsid w:val="750C34B2"/>
    <w:rsid w:val="752005F4"/>
    <w:rsid w:val="75346F6E"/>
    <w:rsid w:val="754F6867"/>
    <w:rsid w:val="756272C7"/>
    <w:rsid w:val="75906B0E"/>
    <w:rsid w:val="75AB3CCA"/>
    <w:rsid w:val="75BC5BDB"/>
    <w:rsid w:val="75CE4AEC"/>
    <w:rsid w:val="75FE4CB7"/>
    <w:rsid w:val="765012F4"/>
    <w:rsid w:val="766D69B2"/>
    <w:rsid w:val="767E5B5A"/>
    <w:rsid w:val="76855C5A"/>
    <w:rsid w:val="77465FD1"/>
    <w:rsid w:val="775B5693"/>
    <w:rsid w:val="7798036A"/>
    <w:rsid w:val="77B64054"/>
    <w:rsid w:val="77E32A31"/>
    <w:rsid w:val="77F06CD0"/>
    <w:rsid w:val="780940B7"/>
    <w:rsid w:val="781A1226"/>
    <w:rsid w:val="782E0286"/>
    <w:rsid w:val="783F40C8"/>
    <w:rsid w:val="78454F19"/>
    <w:rsid w:val="787D6B1D"/>
    <w:rsid w:val="78C12CD3"/>
    <w:rsid w:val="78EE245E"/>
    <w:rsid w:val="78FD6C08"/>
    <w:rsid w:val="790534EE"/>
    <w:rsid w:val="792A5091"/>
    <w:rsid w:val="792A77DC"/>
    <w:rsid w:val="797B5785"/>
    <w:rsid w:val="799A2430"/>
    <w:rsid w:val="79A91552"/>
    <w:rsid w:val="79D87F7B"/>
    <w:rsid w:val="79EA28AE"/>
    <w:rsid w:val="7A15512F"/>
    <w:rsid w:val="7A2E6219"/>
    <w:rsid w:val="7A517A95"/>
    <w:rsid w:val="7A715FDE"/>
    <w:rsid w:val="7B127B35"/>
    <w:rsid w:val="7B292BBB"/>
    <w:rsid w:val="7B685B05"/>
    <w:rsid w:val="7B7038AF"/>
    <w:rsid w:val="7B7E3943"/>
    <w:rsid w:val="7B9D4006"/>
    <w:rsid w:val="7BD84E80"/>
    <w:rsid w:val="7BE32A4D"/>
    <w:rsid w:val="7C1D18F3"/>
    <w:rsid w:val="7C836C06"/>
    <w:rsid w:val="7C8414E6"/>
    <w:rsid w:val="7C960246"/>
    <w:rsid w:val="7CEA2131"/>
    <w:rsid w:val="7CEE4749"/>
    <w:rsid w:val="7D02293D"/>
    <w:rsid w:val="7D0F7571"/>
    <w:rsid w:val="7D1977FC"/>
    <w:rsid w:val="7D1A1BE6"/>
    <w:rsid w:val="7D261E59"/>
    <w:rsid w:val="7D2B6C02"/>
    <w:rsid w:val="7D350C37"/>
    <w:rsid w:val="7D3753CC"/>
    <w:rsid w:val="7D452DBC"/>
    <w:rsid w:val="7D702D2A"/>
    <w:rsid w:val="7DFF5162"/>
    <w:rsid w:val="7E0312B7"/>
    <w:rsid w:val="7E092389"/>
    <w:rsid w:val="7E7D0240"/>
    <w:rsid w:val="7EA37EF4"/>
    <w:rsid w:val="7EB36B07"/>
    <w:rsid w:val="7ED407BA"/>
    <w:rsid w:val="7EF1333D"/>
    <w:rsid w:val="7F003149"/>
    <w:rsid w:val="7FCB6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360" w:lineRule="auto"/>
      <w:jc w:val="center"/>
      <w:outlineLvl w:val="1"/>
    </w:pPr>
    <w:rPr>
      <w:rFonts w:ascii="宋体" w:hAnsi="宋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theme="minorBidi"/>
      <w:sz w:val="24"/>
    </w:rPr>
  </w:style>
  <w:style w:type="paragraph" w:styleId="4">
    <w:name w:val="Body Text"/>
    <w:basedOn w:val="5"/>
    <w:next w:val="5"/>
    <w:unhideWhenUsed/>
    <w:qFormat/>
    <w:uiPriority w:val="99"/>
  </w:style>
  <w:style w:type="paragraph" w:styleId="5">
    <w:name w:val="Title"/>
    <w:basedOn w:val="1"/>
    <w:next w:val="1"/>
    <w:qFormat/>
    <w:uiPriority w:val="0"/>
    <w:pPr>
      <w:spacing w:line="480" w:lineRule="atLeast"/>
      <w:jc w:val="center"/>
    </w:pPr>
    <w:rPr>
      <w:sz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spacing w:line="312" w:lineRule="auto"/>
      <w:ind w:firstLine="420"/>
    </w:pPr>
  </w:style>
  <w:style w:type="character" w:styleId="11">
    <w:name w:val="FollowedHyperlink"/>
    <w:basedOn w:val="10"/>
    <w:qFormat/>
    <w:uiPriority w:val="0"/>
    <w:rPr>
      <w:color w:val="337AB7"/>
      <w:u w:val="none"/>
    </w:rPr>
  </w:style>
  <w:style w:type="character" w:styleId="12">
    <w:name w:val="Hyperlink"/>
    <w:basedOn w:val="10"/>
    <w:qFormat/>
    <w:uiPriority w:val="0"/>
    <w:rPr>
      <w:color w:val="337AB7"/>
      <w:u w:val="none"/>
    </w:rPr>
  </w:style>
  <w:style w:type="paragraph" w:customStyle="1" w:styleId="13">
    <w:name w:val="样式 宋体 行距: 1.5 倍行距"/>
    <w:basedOn w:val="1"/>
    <w:qFormat/>
    <w:uiPriority w:val="0"/>
    <w:pPr>
      <w:jc w:val="center"/>
    </w:pPr>
    <w:rPr>
      <w:b/>
    </w:rPr>
  </w:style>
  <w:style w:type="paragraph" w:customStyle="1" w:styleId="14">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15">
    <w:name w:val="通用标题3"/>
    <w:next w:val="1"/>
    <w:qFormat/>
    <w:uiPriority w:val="0"/>
    <w:pPr>
      <w:widowControl w:val="0"/>
      <w:numPr>
        <w:ilvl w:val="1"/>
        <w:numId w:val="2"/>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16">
    <w:name w:val="发文落款"/>
    <w:basedOn w:val="17"/>
    <w:qFormat/>
    <w:uiPriority w:val="0"/>
    <w:pPr>
      <w:ind w:left="4094" w:right="607" w:firstLine="0"/>
      <w:jc w:val="center"/>
    </w:pPr>
  </w:style>
  <w:style w:type="paragraph" w:customStyle="1" w:styleId="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8">
    <w:name w:val="正文 New New"/>
    <w:basedOn w:val="1"/>
    <w:qFormat/>
    <w:uiPriority w:val="0"/>
  </w:style>
  <w:style w:type="character" w:customStyle="1" w:styleId="19">
    <w:name w:val="16"/>
    <w:qFormat/>
    <w:uiPriority w:val="0"/>
    <w:rPr>
      <w:rFonts w:hint="eastAsia" w:ascii="宋体" w:hAnsi="宋体" w:eastAsia="宋体"/>
      <w:color w:val="00000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2023-08-23T07:57:00Z</dcterms:created>
  <dc:creator>张容</dc:creator>
  <cp:lastModifiedBy>冯芷晴</cp:lastModifiedBy>
  <dcterms:modified xsi:type="dcterms:W3CDTF">2025-09-05T00:43:37Z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2B3ADC7CF0B247EC907695B4DA84F109</vt:lpwstr>
  </property>
</Properties>
</file>