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2157E">
      <w:pPr>
        <w:spacing w:before="47" w:line="219" w:lineRule="auto"/>
        <w:ind w:left="20"/>
        <w:rPr>
          <w:rFonts w:hint="eastAsia"/>
          <w:color w:val="auto"/>
          <w:sz w:val="24"/>
          <w:szCs w:val="24"/>
          <w:highlight w:val="none"/>
        </w:rPr>
      </w:pPr>
      <w:r>
        <w:rPr>
          <w:rFonts w:hint="eastAsia"/>
          <w:b/>
          <w:bCs/>
          <w:color w:val="auto"/>
          <w:spacing w:val="-9"/>
          <w:sz w:val="24"/>
          <w:szCs w:val="24"/>
          <w:highlight w:val="none"/>
        </w:rPr>
        <w:t>附件1：</w:t>
      </w:r>
      <w:r>
        <w:rPr>
          <w:b/>
          <w:bCs/>
          <w:color w:val="auto"/>
          <w:spacing w:val="-9"/>
          <w:sz w:val="24"/>
          <w:szCs w:val="24"/>
          <w:highlight w:val="none"/>
        </w:rPr>
        <w:t>项目</w:t>
      </w:r>
      <w:r>
        <w:rPr>
          <w:rFonts w:hint="eastAsia"/>
          <w:b/>
          <w:bCs/>
          <w:color w:val="auto"/>
          <w:spacing w:val="-9"/>
          <w:sz w:val="24"/>
          <w:szCs w:val="24"/>
          <w:highlight w:val="none"/>
          <w:lang w:val="en-US" w:eastAsia="zh-CN"/>
        </w:rPr>
        <w:t>工程</w:t>
      </w:r>
      <w:r>
        <w:rPr>
          <w:b/>
          <w:bCs/>
          <w:color w:val="auto"/>
          <w:spacing w:val="-9"/>
          <w:sz w:val="24"/>
          <w:szCs w:val="24"/>
          <w:highlight w:val="none"/>
        </w:rPr>
        <w:t>概况</w:t>
      </w:r>
    </w:p>
    <w:p w14:paraId="683B0BC7">
      <w:pPr>
        <w:spacing w:before="34" w:line="360" w:lineRule="auto"/>
        <w:ind w:left="425"/>
        <w:rPr>
          <w:rFonts w:hint="eastAsia"/>
          <w:b/>
          <w:bCs/>
          <w:color w:val="auto"/>
          <w:spacing w:val="-5"/>
          <w:sz w:val="24"/>
          <w:szCs w:val="24"/>
          <w:highlight w:val="none"/>
        </w:rPr>
      </w:pPr>
    </w:p>
    <w:p w14:paraId="0147357E">
      <w:pPr>
        <w:pStyle w:val="3"/>
        <w:keepNext w:val="0"/>
        <w:keepLines w:val="0"/>
        <w:overflowPunct w:val="0"/>
        <w:spacing w:before="34" w:after="0" w:line="240" w:lineRule="auto"/>
        <w:ind w:left="175" w:firstLine="0"/>
        <w:jc w:val="center"/>
        <w:rPr>
          <w:rFonts w:hint="eastAsia" w:eastAsia="宋体" w:cs="Times New Roman"/>
          <w:bCs w:val="0"/>
          <w:color w:val="auto"/>
          <w:spacing w:val="-4"/>
          <w:sz w:val="28"/>
          <w:szCs w:val="24"/>
          <w:highlight w:val="none"/>
        </w:rPr>
      </w:pPr>
      <w:r>
        <w:rPr>
          <w:rFonts w:hint="eastAsia" w:eastAsia="宋体" w:cs="Times New Roman"/>
          <w:bCs w:val="0"/>
          <w:color w:val="auto"/>
          <w:spacing w:val="-4"/>
          <w:sz w:val="28"/>
          <w:szCs w:val="24"/>
          <w:highlight w:val="none"/>
        </w:rPr>
        <w:t>紫惠高速公路2025年度综合处治养护工程概况</w:t>
      </w:r>
    </w:p>
    <w:p w14:paraId="0839FA13">
      <w:pPr>
        <w:rPr>
          <w:rFonts w:hint="eastAsia"/>
          <w:color w:val="auto"/>
          <w:highlight w:val="none"/>
        </w:rPr>
      </w:pPr>
    </w:p>
    <w:p w14:paraId="5B2D305C">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一、工程项目描述</w:t>
      </w:r>
    </w:p>
    <w:p w14:paraId="3F06EC94">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（一）项目概况</w:t>
      </w:r>
    </w:p>
    <w:p w14:paraId="5F9CD540">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河惠莞高速公路河源紫金至惠州惠阳段（国高网编号 S6，以下简称“紫惠高速”）是省重点建设项目之一,是《广东省高速公路网规划（2013～2030年）》的加密联络线“河源龙川（粤赣界）至广州番禺”的重要组成部分，起于河源市紫金县瓦溪镇，对接河惠莞高速公路龙川至紫金段，并连接汕湛高速公路，路线总体呈东北—西南向，途经紫金县九和、蓝塘、凤安、好义镇，惠州市惠城区横沥镇，终于惠阳区平潭镇，全长约77.409km（K131+268～K208+677），采用设计速度100km/h 的双向六车道技术标准，路基宽为33.5m，路线在广东省河源市、惠州市境内，于202</w:t>
      </w:r>
      <w:r>
        <w:rPr>
          <w:rFonts w:hint="eastAsia" w:cs="Times New Roman"/>
          <w:bCs/>
          <w:color w:val="auto"/>
          <w:spacing w:val="-4"/>
          <w:kern w:val="2"/>
          <w:sz w:val="24"/>
          <w:szCs w:val="20"/>
          <w:highlight w:val="none"/>
          <w:lang w:val="en-US" w:eastAsia="zh-CN"/>
        </w:rPr>
        <w:t>0</w:t>
      </w:r>
      <w:r>
        <w:rPr>
          <w:rFonts w:hint="eastAsia" w:cs="Times New Roman"/>
          <w:bCs/>
          <w:color w:val="auto"/>
          <w:spacing w:val="-4"/>
          <w:kern w:val="2"/>
          <w:sz w:val="24"/>
          <w:szCs w:val="20"/>
          <w:highlight w:val="none"/>
        </w:rPr>
        <w:t>年12月28日建成通车。</w:t>
      </w:r>
    </w:p>
    <w:p w14:paraId="4CEA19B6">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本项目为紫惠高速公路2025年度综合处治养护工程，主要针对设计回溯、旱季大排查及2025年汛期地质灾害排查发现的部分路基边坡、路面、桥涵等病害进行处治</w:t>
      </w:r>
      <w:r>
        <w:rPr>
          <w:rFonts w:hint="eastAsia" w:cs="Times New Roman"/>
          <w:bCs/>
          <w:color w:val="auto"/>
          <w:spacing w:val="-4"/>
          <w:kern w:val="2"/>
          <w:sz w:val="24"/>
          <w:szCs w:val="20"/>
          <w:highlight w:val="none"/>
          <w:lang w:eastAsia="zh"/>
        </w:rPr>
        <w:t>及完善设施</w:t>
      </w:r>
      <w:r>
        <w:rPr>
          <w:rFonts w:hint="eastAsia" w:cs="Times New Roman"/>
          <w:bCs/>
          <w:color w:val="auto"/>
          <w:spacing w:val="-4"/>
          <w:kern w:val="2"/>
          <w:sz w:val="24"/>
          <w:szCs w:val="20"/>
          <w:highlight w:val="none"/>
          <w:lang w:eastAsia="zh-CN"/>
        </w:rPr>
        <w:t>（</w:t>
      </w:r>
      <w:r>
        <w:rPr>
          <w:rFonts w:hint="eastAsia" w:cs="Times New Roman"/>
          <w:bCs/>
          <w:color w:val="auto"/>
          <w:spacing w:val="-4"/>
          <w:kern w:val="2"/>
          <w:sz w:val="24"/>
          <w:szCs w:val="20"/>
          <w:highlight w:val="none"/>
          <w:lang w:val="en-US" w:eastAsia="zh-CN"/>
        </w:rPr>
        <w:t>详见附表</w:t>
      </w:r>
      <w:r>
        <w:rPr>
          <w:rFonts w:hint="eastAsia" w:cs="Times New Roman"/>
          <w:bCs/>
          <w:color w:val="auto"/>
          <w:spacing w:val="-4"/>
          <w:kern w:val="2"/>
          <w:sz w:val="24"/>
          <w:szCs w:val="20"/>
          <w:highlight w:val="none"/>
          <w:lang w:eastAsia="zh-CN"/>
        </w:rPr>
        <w:t>）</w:t>
      </w:r>
      <w:r>
        <w:rPr>
          <w:rFonts w:hint="eastAsia" w:cs="Times New Roman"/>
          <w:bCs/>
          <w:color w:val="auto"/>
          <w:spacing w:val="-4"/>
          <w:kern w:val="2"/>
          <w:sz w:val="24"/>
          <w:szCs w:val="20"/>
          <w:highlight w:val="none"/>
        </w:rPr>
        <w:t>。具体的工作内容及工期以发包人下发的任务通知书为准。</w:t>
      </w:r>
    </w:p>
    <w:p w14:paraId="3C949406">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（二）工程地点</w:t>
      </w:r>
    </w:p>
    <w:p w14:paraId="07BFE7B0">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建设地点位于紫惠高速公路全线，桩号范围：K131+268～K208+677。</w:t>
      </w:r>
    </w:p>
    <w:p w14:paraId="7F4E8FC4">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（三）交通、动力供应及其它服务条件</w:t>
      </w:r>
    </w:p>
    <w:p w14:paraId="3BF07A65">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本项目沿线有国、省道分布，镇、乡、村也基本通公路，运输条件好。能源、通信、医疗条件与服务</w:t>
      </w:r>
      <w:r>
        <w:rPr>
          <w:rFonts w:hint="eastAsia" w:cs="Times New Roman"/>
          <w:bCs/>
          <w:color w:val="auto"/>
          <w:spacing w:val="-4"/>
          <w:kern w:val="2"/>
          <w:sz w:val="24"/>
          <w:szCs w:val="20"/>
          <w:highlight w:val="none"/>
          <w:lang w:eastAsia="zh-CN"/>
        </w:rPr>
        <w:t>设施齐全</w:t>
      </w:r>
      <w:r>
        <w:rPr>
          <w:rFonts w:hint="eastAsia" w:cs="Times New Roman"/>
          <w:bCs/>
          <w:color w:val="auto"/>
          <w:spacing w:val="-4"/>
          <w:kern w:val="2"/>
          <w:sz w:val="24"/>
          <w:szCs w:val="20"/>
          <w:highlight w:val="none"/>
        </w:rPr>
        <w:t>，满足工程建设需要。</w:t>
      </w:r>
    </w:p>
    <w:p w14:paraId="2152D780">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各类施工车辆行驶道路所需缴纳的通行费用等由承包人自行承担，施工所需办公场所由实施单位自行在外进行配置，业主不再提供。</w:t>
      </w:r>
    </w:p>
    <w:p w14:paraId="7B28F617">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2、合同期为</w:t>
      </w:r>
      <w:r>
        <w:rPr>
          <w:rFonts w:hint="eastAsia" w:cs="Times New Roman"/>
          <w:bCs/>
          <w:color w:val="auto"/>
          <w:spacing w:val="-4"/>
          <w:kern w:val="2"/>
          <w:sz w:val="24"/>
          <w:szCs w:val="20"/>
          <w:highlight w:val="none"/>
          <w:lang w:val="en-US" w:eastAsia="zh-CN"/>
        </w:rPr>
        <w:t>180</w:t>
      </w:r>
      <w:r>
        <w:rPr>
          <w:rFonts w:hint="eastAsia" w:cs="Times New Roman"/>
          <w:bCs/>
          <w:color w:val="auto"/>
          <w:spacing w:val="-4"/>
          <w:kern w:val="2"/>
          <w:sz w:val="24"/>
          <w:szCs w:val="20"/>
          <w:highlight w:val="none"/>
        </w:rPr>
        <w:t>日历天。</w:t>
      </w:r>
    </w:p>
    <w:p w14:paraId="0025766B">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二、工程技术标准</w:t>
      </w:r>
    </w:p>
    <w:p w14:paraId="74A0DB8D">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cs="Times New Roman"/>
          <w:bCs/>
          <w:color w:val="auto"/>
          <w:spacing w:val="-4"/>
          <w:kern w:val="2"/>
          <w:sz w:val="24"/>
          <w:szCs w:val="20"/>
          <w:highlight w:val="none"/>
        </w:rPr>
        <w:sectPr>
          <w:footerReference r:id="rId3" w:type="default"/>
          <w:pgSz w:w="11905" w:h="16838"/>
          <w:pgMar w:top="1417" w:right="1417" w:bottom="1417" w:left="1417" w:header="0" w:footer="907" w:gutter="0"/>
          <w:cols w:space="0" w:num="1"/>
        </w:sectPr>
      </w:pPr>
      <w:r>
        <w:rPr>
          <w:rFonts w:hint="eastAsia" w:cs="Times New Roman"/>
          <w:bCs/>
          <w:color w:val="auto"/>
          <w:spacing w:val="-4"/>
          <w:kern w:val="2"/>
          <w:sz w:val="24"/>
          <w:szCs w:val="20"/>
          <w:highlight w:val="none"/>
        </w:rPr>
        <w:t>按照有关规范、指南、施工图设计文件。</w:t>
      </w:r>
    </w:p>
    <w:p w14:paraId="3B4B6F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附表：</w:t>
      </w:r>
    </w:p>
    <w:tbl>
      <w:tblPr>
        <w:tblStyle w:val="8"/>
        <w:tblW w:w="13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617"/>
        <w:gridCol w:w="6857"/>
        <w:gridCol w:w="3951"/>
        <w:gridCol w:w="926"/>
      </w:tblGrid>
      <w:tr w14:paraId="594D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0" w:type="auto"/>
            <w:gridSpan w:val="5"/>
            <w:tcBorders>
              <w:top w:val="nil"/>
              <w:left w:val="nil"/>
              <w:bottom w:val="nil"/>
              <w:right w:val="nil"/>
            </w:tcBorders>
            <w:shd w:val="clear" w:color="auto" w:fill="auto"/>
            <w:noWrap/>
            <w:vAlign w:val="center"/>
          </w:tcPr>
          <w:p w14:paraId="1724F2B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紫惠高速综合处治养护工程主要内容</w:t>
            </w:r>
          </w:p>
        </w:tc>
      </w:tr>
      <w:tr w14:paraId="3390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A5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A7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工点桩号</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5B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基本情况及病害</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7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处治措施</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2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821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7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E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瓦溪互通DK0+146～DK0+529二级路堤边坡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6A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该边坡为二级路堤边坡，最大坡高15.2m，分级坡高8m，边坡坡率从上到下依为1:1.5、1:1.75，一级边坡采用植草防护，二级边坡采用人字形骨架防护；一级平台宽度2m。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主要病害：匝道DK0+390～DK0+405路面纵向裂缝，长度约15m，已封闭未见发展；坡脚集水井一侧砖砌墙下部有剪切裂缝、墙底渗水；二级坡一处急流槽水毁破损，坡面局部掏空</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ED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（1）DK0+360～DK0+420右侧二级坡面增加中空锚杆格梁防护；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（2）坡脚集水井砖砌墙外侧增设混凝土挡墙；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（3）对土路肩及一级平台硬化，并完善排水系统。</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4BD5">
            <w:pPr>
              <w:jc w:val="center"/>
              <w:rPr>
                <w:rFonts w:hint="eastAsia" w:ascii="宋体" w:hAnsi="宋体" w:eastAsia="宋体" w:cs="宋体"/>
                <w:i w:val="0"/>
                <w:iCs w:val="0"/>
                <w:color w:val="000000"/>
                <w:sz w:val="24"/>
                <w:szCs w:val="24"/>
                <w:u w:val="none"/>
              </w:rPr>
            </w:pPr>
          </w:p>
        </w:tc>
      </w:tr>
      <w:tr w14:paraId="5D26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0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惠州方向K5+660～K5+800（营运桩号K203+257～K203+397）三级路堤边坡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D6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该边坡为软基路段高填路堤，最大坡高24m，分级坡高8m。边坡坡率从上到下依为1：1.5，1：1.75，1：2，一级边坡采用植草防护，二、三级边坡采用人字形骨架防护；惠州方向为四级边坡，边坡坡率从上到下依为1：1.5，1：1.75，1：2，1：2，一、四级边坡采用三维网植草防护，二、三级边坡采用人字形骨架植草防护。平台宽度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要病害：紫金方向K5+688～K5+788路面纵向裂缝，长度约90m，2024年5月封闭后，延伸约12m；惠州方向K5+725～K5+755和K5+760～K5+795路面纵向裂缝，长度都约30m，2024年6月封闭后，有轻微发展，坡面局部冲刷水毁；坡脚水沟淤积，排水不畅。</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8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（1）惠州方向K5+660～K5+680和K5+760～K5+800一、二级坡面增加中空锚杆格梁防护，优化锚杆长度；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（2）修复水毁坡面，土路肩、平台及护坡道硬化，并完善排水体系。</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5434">
            <w:pPr>
              <w:jc w:val="center"/>
              <w:rPr>
                <w:rFonts w:hint="eastAsia" w:ascii="宋体" w:hAnsi="宋体" w:eastAsia="宋体" w:cs="宋体"/>
                <w:i w:val="0"/>
                <w:iCs w:val="0"/>
                <w:color w:val="000000"/>
                <w:sz w:val="24"/>
                <w:szCs w:val="24"/>
                <w:u w:val="none"/>
              </w:rPr>
            </w:pPr>
          </w:p>
        </w:tc>
      </w:tr>
      <w:tr w14:paraId="3D55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F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6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紫金方向K6+260～K6+400（营运桩号K202+817～K202+677）三级路堤边坡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C4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该边坡为软基路段高填路堤，最大坡高24.8m，分级坡高8m，边坡坡率从上到下依为1：1.5，1：1.75，1：2，一级边坡采用三维网植草防护，二、三级边坡采用人字形骨架植草防护；一级平台宽度2m，二级平台宽度2m。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主要病害：惠州方向K6+260～K6+305右幅第二车道路面出现纵向裂缝，K6+240、K6+260路面出现横向裂缝；紫金方向一级坡面局部冲刷溜塌。</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2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（1）紫金方向K6+260～K6+400一级坡面增加人字形骨架植草防护；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（2）土路肩、平台及护坡道硬化，并完善排水体系。</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F2FD">
            <w:pPr>
              <w:jc w:val="center"/>
              <w:rPr>
                <w:rFonts w:hint="eastAsia" w:ascii="宋体" w:hAnsi="宋体" w:eastAsia="宋体" w:cs="宋体"/>
                <w:i w:val="0"/>
                <w:iCs w:val="0"/>
                <w:color w:val="000000"/>
                <w:sz w:val="24"/>
                <w:szCs w:val="24"/>
                <w:u w:val="none"/>
              </w:rPr>
            </w:pPr>
          </w:p>
        </w:tc>
      </w:tr>
      <w:tr w14:paraId="1253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F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9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惠州方向K14+300～K14+460（营运桩号K194+617～K194+777）三级路堤边坡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59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该边坡为倒三角型陡坡路堤，惠州方向最大坡高25.3m，分级坡高8m，边坡坡率从上到下依为1：1.5，1：1.75，1：2，采用三维网植草防护。一级平台宽度2m，二级平台宽10m。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主要病害：紫金方向K14+380～K14+390，新增路面纵向裂缝，长度约10m，对应范围为薄填陡坡路堤，惠州方向K14+312～K14+317，新增路面纵向裂缝，长度约5m</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E7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（1）惠州方向K14+300～K14+320和K14+360～K14+400一、二级坡面增加中空锚杆格梁防护，优化锚杆长度；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（2）紫金方向两处洼地、土路肩及平台硬化，惠州方向土路肩、平台及护坡道硬化，并完善排水体系。</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68C">
            <w:pPr>
              <w:jc w:val="center"/>
              <w:rPr>
                <w:rFonts w:hint="eastAsia" w:ascii="宋体" w:hAnsi="宋体" w:eastAsia="宋体" w:cs="宋体"/>
                <w:i w:val="0"/>
                <w:iCs w:val="0"/>
                <w:color w:val="000000"/>
                <w:sz w:val="24"/>
                <w:szCs w:val="24"/>
                <w:u w:val="none"/>
              </w:rPr>
            </w:pPr>
          </w:p>
        </w:tc>
      </w:tr>
      <w:tr w14:paraId="791B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F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7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紫金方向K15+150～K15+350（营运桩号K193+727～K193+927）三级路堤边坡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0F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软基路段高填路堤，惠州方向最大坡高25.3m，分级坡高8m，三级边坡，边坡坡率从上到下依为1：1.5，1：1.75，1：2，一级边坡采用三维网植草防护，二三级边坡采用人字形骨架植草防护。一级平台宽度2m，二级平台宽10m。紫金方向K15+160～K15+230设有衡重式路堤挡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紫金方向K15+150～K15+190路面纵向裂缝，长度约40m，2024年5月封闭，未见明显发展；紫金方向K15+260～K15+290路面纵向裂缝，长度约30m，2024年5月封闭，未见明显发展；惠州方向K15+250～K15+290路面纵向裂缝，长度约35m，2024年5月封闭，未见明显发展；惠州方向K15+340～K15+350路面弧形裂缝，长度约10m，2025年3月调查新增,局部平台水沟、坡脚排水沟下沉积水。</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6F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（1）紫金和惠州方向裂缝路段一级坡面增加中空锚杆格梁防护，优化锚杆长度；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（2）修复破损的水沟，土路肩、平台及护坡道硬化，并完善排水体系。</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D0E">
            <w:pPr>
              <w:jc w:val="center"/>
              <w:rPr>
                <w:rFonts w:hint="eastAsia" w:ascii="宋体" w:hAnsi="宋体" w:eastAsia="宋体" w:cs="宋体"/>
                <w:i w:val="0"/>
                <w:iCs w:val="0"/>
                <w:color w:val="000000"/>
                <w:sz w:val="24"/>
                <w:szCs w:val="24"/>
                <w:u w:val="none"/>
              </w:rPr>
            </w:pPr>
          </w:p>
        </w:tc>
      </w:tr>
      <w:tr w14:paraId="7EBB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6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惠州方向K16+500～K16+700（营运桩号K192+377～K192+577）三级路堤边坡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6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倒三角型陡坡路堤，最大坡高32m，分级坡高8m，边坡坡率从上到下依为1：1.5，1：1.75，1：2，一级边坡采用三维网植草防护，二三级边坡采用人字形骨架植草防护。其中K16+500～K16+600段一级平台宽度10m；K16+600～K16+700，土路肩宽度4m，一级平台宽度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要病害：（1）紫金方向K16+650～K16+660，路面纵向裂缝，长度10m，已封闭未见明显发展；K16+655～K16+685，路面纵向裂缝，长度30m，已封闭未见明显发展；K16+675～K16+695，路面纵向裂缝，长度20m，2025年3月调查时新发现的裂缝。（2）K16+600～K16+700土路肩下沉积水；（3）坡面局部冲刷水毁，平台及坡脚水沟轻微下沉积水</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9C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（1）惠州方向K16+640～K16+680三级坡面增加中空锚杆格梁防护；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（2）下沉积水的平台水沟拆除重建，疏通修复坡脚排水沟，土路肩及平台硬化；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（3）惠州方向K16+640～K16+680排水沟外侧坡面增加仰斜式排水孔。</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A7E">
            <w:pPr>
              <w:jc w:val="center"/>
              <w:rPr>
                <w:rFonts w:hint="eastAsia" w:ascii="宋体" w:hAnsi="宋体" w:eastAsia="宋体" w:cs="宋体"/>
                <w:i w:val="0"/>
                <w:iCs w:val="0"/>
                <w:color w:val="000000"/>
                <w:sz w:val="24"/>
                <w:szCs w:val="24"/>
                <w:u w:val="none"/>
              </w:rPr>
            </w:pPr>
          </w:p>
        </w:tc>
      </w:tr>
      <w:tr w14:paraId="57CF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7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E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惠州方向K19+635～K19+700（营运桩号K189+377～K189+442）二级路堤边坡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2B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薄层贴方陡坡路堤，惠州方向最大坡高16m，分级坡高8m，二级边坡，边坡坡率从上到下依为1：1.5，1：1.75，一级边坡采用三维网植草防护，二级边坡采用人字形骨架植草防护。一级坡脚设置B型护脚墙。平台宽度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主要病害：惠州方向，2024年11月新增路面纵向裂缝，长度约40m。</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F6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（1）惠州方向一级坡面增加中空锚杆格梁防护；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（2）土路肩及平台硬化处理。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727">
            <w:pPr>
              <w:jc w:val="center"/>
              <w:rPr>
                <w:rFonts w:hint="eastAsia" w:ascii="宋体" w:hAnsi="宋体" w:eastAsia="宋体" w:cs="宋体"/>
                <w:i w:val="0"/>
                <w:iCs w:val="0"/>
                <w:color w:val="000000"/>
                <w:sz w:val="24"/>
                <w:szCs w:val="24"/>
                <w:u w:val="none"/>
              </w:rPr>
            </w:pPr>
          </w:p>
        </w:tc>
      </w:tr>
      <w:tr w14:paraId="4A1B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惠州方向K20+900～K21+200（营运桩号K187+877～K188+177）三级路堤边坡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60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富水高填路堤，最大坡高23.6m，分级坡高8m，三级边坡，边坡坡率从上到下依为1：1.5，1：1.75，1：2，一级边坡采用三维网植草防护，二三级边坡采用人字形骨架植草防护。K21+070-K21+105段右侧坡脚（沟谷口段）设有A型护脚墙。平台宽度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主要病害：惠州方向K21+060～K21+125路面纵向裂缝，长度约65m，2024年7月封闭后有发展延伸；K21+140～K21+165路面纵向裂缝，长度25m，2024年7月封闭后有发展延伸。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C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（1）惠州方向紫金端一级边坡坡脚加密仰斜式排水孔；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（2）土路肩及平台进行硬化；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（3）边坡增加位移监测。</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00C4">
            <w:pPr>
              <w:jc w:val="center"/>
              <w:rPr>
                <w:rFonts w:hint="eastAsia" w:ascii="宋体" w:hAnsi="宋体" w:eastAsia="宋体" w:cs="宋体"/>
                <w:i w:val="0"/>
                <w:iCs w:val="0"/>
                <w:color w:val="000000"/>
                <w:sz w:val="24"/>
                <w:szCs w:val="24"/>
                <w:u w:val="none"/>
              </w:rPr>
            </w:pPr>
          </w:p>
        </w:tc>
      </w:tr>
      <w:tr w14:paraId="495D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F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1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惠州方向K21+440～K21+640（营运桩号K187+437～K187+637）三级路堤边坡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D0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三级路堤边坡，惠州方向最大坡高22.3m，分级坡高8m，边坡坡率从上到下依为1：1.5，1：1.75，1：2，一级边坡采用三维网植草防护，二三级边坡采用人字形骨架植草防护。一级平台宽度10m；二级平台宽度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主要病害：惠州方向K21+578～K21+602路面纵向裂缝，长度约24m；K21+600～K21+630路面纵向裂缝，长度约30m，局部平台沟积水。</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5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（1）惠州方向K21+600～K21+640一级坡面增加中空锚杆格梁防护，优化锚杆长度；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（2）积水平台沟拆除重建，土路肩、平台及护坡道进行硬化，并完善排水系统。</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51CB">
            <w:pPr>
              <w:jc w:val="center"/>
              <w:rPr>
                <w:rFonts w:hint="eastAsia" w:ascii="宋体" w:hAnsi="宋体" w:eastAsia="宋体" w:cs="宋体"/>
                <w:i w:val="0"/>
                <w:iCs w:val="0"/>
                <w:color w:val="000000"/>
                <w:sz w:val="24"/>
                <w:szCs w:val="24"/>
                <w:u w:val="none"/>
              </w:rPr>
            </w:pPr>
          </w:p>
        </w:tc>
      </w:tr>
      <w:tr w14:paraId="2DDC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5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F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惠州方向K29+300～K29+530（营运桩号K179+537～K179+777）三级路堤边坡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79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该边坡为软基路段高填路堤，最大坡高21m，分级坡高8m，边坡坡率从上到下依为1：1.5，1：1.75，1：2，一级边坡采用三维网植草防护，二三级边坡采用人字形骨架植草防护。平台宽度2m。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主要病害：惠州方向路面多条纵向裂缝，有不同程度的发展；惠州方向坡脚排水沟淤积；惠州方向盲沟出口排水不畅；紫金方向坡脚排水沟有轻微挤推变形；紫金方向涵洞八字墙处渗水。</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6D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（1）惠州方向K29+490～K29+540一、二级坡面增加中空锚杆格梁防护，优化锚杆长度；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（2）土路肩、平台及护坡道进行硬化，开挖疏通紫金方向涵洞八字墙处盲沟出水口。</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6493">
            <w:pPr>
              <w:jc w:val="center"/>
              <w:rPr>
                <w:rFonts w:hint="eastAsia" w:ascii="宋体" w:hAnsi="宋体" w:eastAsia="宋体" w:cs="宋体"/>
                <w:i w:val="0"/>
                <w:iCs w:val="0"/>
                <w:color w:val="000000"/>
                <w:sz w:val="24"/>
                <w:szCs w:val="24"/>
                <w:u w:val="none"/>
              </w:rPr>
            </w:pPr>
          </w:p>
        </w:tc>
      </w:tr>
      <w:tr w14:paraId="35E5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D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1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双向K36+300～K36+500段（营运桩号K172+577～K172+777）路堤边坡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34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该边坡为软基路段填方路堤，基本为对称填筑，最大坡高16m，分级坡高8m，二级边坡，边坡坡率从上到下依为1：1.5，1：1.75，一级边坡采用三维网植草防护，二级边坡采用人字形骨架植草防护。平台宽度2m。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主要病害：紫金方向路面多条纵向裂缝，有不同程度的发展；紫金方向线外两处凹坑，积水，排水不畅；两侧坡面有不同程度的坡面裸露，平台水沟下沉积水现象。</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C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（1）对该段边坡双向一、二级坡面采用喷锚防护封闭；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（2）重建紫金方向坡脚排水沟，并在外侧和排水沟下部增设碎石盲沟；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（3）填筑紫金方向外侧积水洼地或引排，确保洼地排水畅通；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（4）惠州方向惠州端排水沟外侧坡面增加仰斜式排水孔；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（5）土路肩、平台及护坡道进行硬化。</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E1A0">
            <w:pPr>
              <w:jc w:val="center"/>
              <w:rPr>
                <w:rFonts w:hint="eastAsia" w:ascii="宋体" w:hAnsi="宋体" w:eastAsia="宋体" w:cs="宋体"/>
                <w:i w:val="0"/>
                <w:iCs w:val="0"/>
                <w:color w:val="000000"/>
                <w:sz w:val="24"/>
                <w:szCs w:val="24"/>
                <w:u w:val="none"/>
              </w:rPr>
            </w:pPr>
          </w:p>
        </w:tc>
      </w:tr>
      <w:tr w14:paraId="42AC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7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0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惠州方向K60+600～K61+500(运营桩号K147+744～K148+644)段三级路堤边坡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06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高填斜陡坡路堤，最大坡高19m，分级坡高8m，三级边坡，边坡坡率从上到下依为1：1.5，1：1.75，1:2，一级边坡采用三维网植草防护，二级、三级边坡采用人字形植草防护。一级平台宽度2m，二级平台宽度8m，坡脚设置10m宽4m深浆砌片石改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主要病害：（1）紫金方向K60+744～K60+774第一车道路面存在一条纵向裂缝，已封闭未见发展；惠州方向K61+444～K61+484第二车道路面存在一条纵向裂缝，已封闭未见发展；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（2）坡面及护坡道雨季渗水明显（2024年已设置仰斜式排水孔）。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（3）旱季河床见底后清理河道发现存在基底冒水带泥，局部路段沟底掏蚀明显，沟壁出现变形，中部有横向裂缝</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D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（1）靠路堤坡脚一侧K61+320～K61+500段增设石笼挡土墙，优化石笼挡土墙断面；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（2）因路面裂缝未见明显发展，裂缝范围段不建议采用增设筏板+注浆钢花管处治，改为对裂缝段落一级坡面增设中空锚杆格梁防护。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（3）该段路堤土路肩、平台及护坡道硬化，土路肩增设北斗监测，一级平台设置深层位移监测，紫金方向填平区增设水位监测。</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E914">
            <w:pPr>
              <w:jc w:val="center"/>
              <w:rPr>
                <w:rFonts w:hint="eastAsia" w:ascii="宋体" w:hAnsi="宋体" w:eastAsia="宋体" w:cs="宋体"/>
                <w:i w:val="0"/>
                <w:iCs w:val="0"/>
                <w:color w:val="000000"/>
                <w:sz w:val="24"/>
                <w:szCs w:val="24"/>
                <w:u w:val="none"/>
              </w:rPr>
            </w:pPr>
          </w:p>
        </w:tc>
      </w:tr>
      <w:tr w14:paraId="59D9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8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惠州方向K77+000～K77+080(运营桩号K132+164～K148+ 244)段一级路堤边坡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5E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该边坡为一级全填方路堤，最大坡高9m，边坡坡率从上到下依为1：1.5（0～8m），1：1.75（8～9m），采用三维网植草防护。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1）惠州方向K77+064～K77+104第二车道路面存在一条纵向裂缝。惠州方向K77+052～K77+084第三车道路面存在一条纵向裂缝，2024年雨季未发展。建设期裂缝区域为先后填筑的便道位置。2025年2月回溯再排查发现裂缝惠州侧端头出现约20cm弧形延伸，紫金侧约5m外新增纵缝，路缘石内侧观测的砂浆出现脱开，水沟壁新增坡脚推挤出现的竖向裂缝.（2）桥头段边坡坡率与设计不符。（3）2025年3月补勘未发现基底存在软基，路堤填土内3-6m深钻进漏水。</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99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（1）坡面采用中空注浆锚杆格梁防护，取消坡率不足的桥头段增设支挡结构收坡，改为锚杆格梁防护延伸至桥头；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（2）对护坡道和土路肩进行硬化封闭，并在紫金侧格梁端头增设一条检查踏步。</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2B07">
            <w:pPr>
              <w:jc w:val="center"/>
              <w:rPr>
                <w:rFonts w:hint="eastAsia" w:ascii="宋体" w:hAnsi="宋体" w:eastAsia="宋体" w:cs="宋体"/>
                <w:i w:val="0"/>
                <w:iCs w:val="0"/>
                <w:color w:val="000000"/>
                <w:sz w:val="24"/>
                <w:szCs w:val="24"/>
                <w:u w:val="none"/>
              </w:rPr>
            </w:pPr>
          </w:p>
        </w:tc>
      </w:tr>
      <w:tr w14:paraId="49E4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C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5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紫金方向K71+210～K71+470左侧（营运桩号K137+774～K138+034）路堑边坡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36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坡为五级边坡，最大坡高为44m，分级高度10m，边坡倾向88°。第一、二级坡率为1:1.00，第三至五级坡率为1:1.25；第一、三级采用锚杆格梁加固，四级采用人字形骨架+三维网植草防护；二级平台宽8m，其余各分级平台宽2m。边坡主要由第四系残积粉质粘土和泥盘系砂岩及其风化层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主要病害：第一级坡面存在渗水迹象，坡面局部裸露，存在冲刷痕迹，锚杆格梁底部局部掏空；第二级坡局部出现浅层溜塌；平台及平台排水沟局部开裂。该坡存在顺倾不利结构面组合，易发生楔形破坏。</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B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（1）对二级坡面增设锚杆格梁加固，一级边坡增设仰斜式排水孔；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（2）格梁掏空位置采用植生袋回填复绿或混凝土封闭；</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E5DB">
            <w:pPr>
              <w:jc w:val="center"/>
              <w:rPr>
                <w:rFonts w:hint="eastAsia" w:ascii="宋体" w:hAnsi="宋体" w:eastAsia="宋体" w:cs="宋体"/>
                <w:i w:val="0"/>
                <w:iCs w:val="0"/>
                <w:color w:val="000000"/>
                <w:sz w:val="24"/>
                <w:szCs w:val="24"/>
                <w:u w:val="none"/>
              </w:rPr>
            </w:pPr>
          </w:p>
        </w:tc>
      </w:tr>
      <w:tr w14:paraId="786C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6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6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大岚互通AK0+980～AK1+100右侧路堑边坡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E8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坡为三级边坡，长120m，最大坡高为27.8m，分级高度10m，边坡倾向118°。第一级坡率1:1.00，第二、三级坡率均为1:1.25；一级中部12m采用锚杆格梁加固，两侧采用三维网植草；二、三级采用人字形骨架+三维网植草防护；各级平台宽2m。边坡主要由第四系坡残积粉质粘土和石炭系强风化砂岩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该坡第一级坡面局部裸露，第一、二级平台局部见块石、砂土堆积；排水系统完好，坡面未见渗水迹象。该坡存在历史病害，第一级中部局部溜塌后采用锚杆格梁加固，加固范围长12m。根据周边地质调绘，推断该坡存在顺向不利结构面，倾角约为35°-38°，对边坡稳定存在较大影响。</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F3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第一、二级增设锚杆格梁加固，完善边坡排水系统。</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252">
            <w:pPr>
              <w:jc w:val="center"/>
              <w:rPr>
                <w:rFonts w:hint="eastAsia" w:ascii="宋体" w:hAnsi="宋体" w:eastAsia="宋体" w:cs="宋体"/>
                <w:i w:val="0"/>
                <w:iCs w:val="0"/>
                <w:color w:val="000000"/>
                <w:sz w:val="24"/>
                <w:szCs w:val="24"/>
                <w:u w:val="none"/>
              </w:rPr>
            </w:pPr>
          </w:p>
        </w:tc>
      </w:tr>
      <w:tr w14:paraId="470C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B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8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大岚互通EK0+160～EK0+230右侧路堑边坡</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8A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该坡为二级坡，最大坡高为22.5m，分级坡高10m，边坡倾向118°。第一级坡率1:1.00，第二级坡率1:1.25；第一级采用三维网植草，第二级采用人字形骨架+三维网植草防护；各分级平台宽2m。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该坡第一级坡面局部裸露，可见冲刷痕迹；第一级平台局部见块石、砂土堆积；排水系统完好，坡面未见渗水迹象。根据周边地质调绘，该坡存在顺向不利结构面，结构面倾角约为35°-38°，对边坡稳定存在较大影响。</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1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第一增设锚杆格梁加固，完善边坡排水系统。</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BC87">
            <w:pPr>
              <w:jc w:val="center"/>
              <w:rPr>
                <w:rFonts w:hint="eastAsia" w:ascii="宋体" w:hAnsi="宋体" w:eastAsia="宋体" w:cs="宋体"/>
                <w:i w:val="0"/>
                <w:iCs w:val="0"/>
                <w:color w:val="000000"/>
                <w:sz w:val="24"/>
                <w:szCs w:val="24"/>
                <w:u w:val="none"/>
              </w:rPr>
            </w:pPr>
          </w:p>
        </w:tc>
      </w:tr>
      <w:tr w14:paraId="5B57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A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C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K46+136～K47+942段分离式高填方路堤中间带排水沟及坡脚改渠</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22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46+136～K47+518段分离式高填方路堤中间带排水沟为60×60cm矩形排水沟；（2）坡脚过水渠分2段，自上游往下游第一段ZK47+942～ZK47+670为2.5m深、2m宽的矩形浆砌片石沟，第二段ZK47+670～ZK46+568为6m顶宽、2m深、2m宽的梯形浆砌片石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主要病害：(1)K46+136～K47+518段分离式路基中间带排水沟过水能力不满足25年一遇暴雨强度要求。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(2)渠底部掏蚀严重，水土流失明显，部分段落渠壁损毁严重。</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B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（1）采用加高50cm硬化方式加大分离式高填方路堤中间带排水沟过水断面，提升过水能力；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（2）改渠底部采用混凝土硬化封闭，破损沟壁进行修复。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A08">
            <w:pPr>
              <w:jc w:val="center"/>
              <w:rPr>
                <w:rFonts w:hint="eastAsia" w:ascii="宋体" w:hAnsi="宋体" w:eastAsia="宋体" w:cs="宋体"/>
                <w:i w:val="0"/>
                <w:iCs w:val="0"/>
                <w:color w:val="000000"/>
                <w:sz w:val="24"/>
                <w:szCs w:val="24"/>
                <w:u w:val="none"/>
              </w:rPr>
            </w:pPr>
          </w:p>
        </w:tc>
      </w:tr>
      <w:tr w14:paraId="7AE4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4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B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牛麻坑大桥桥下改沟</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F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牛麻坑桥下改沟位于K65+700处，现状改沟为2m深、2m宽的矩形浆砌片石沟，改沟底部为建设期预埋的D800砼管。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主要病害：改沟为施工期桥下横贯山谷的填土便道保留山谷过水用。改沟底部砼管进口段掏蚀明显，上部改沟沟壁开裂，改沟自身完好，旱季污水，主要缺陷为过洪能力不足。</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5E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（1）改沟两侧顶部增设混凝土护坡硬化；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（2）改沟进口端增设混凝土护面及底板，避免持续冲刷掏蚀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907">
            <w:pPr>
              <w:jc w:val="center"/>
              <w:rPr>
                <w:rFonts w:hint="eastAsia" w:ascii="宋体" w:hAnsi="宋体" w:eastAsia="宋体" w:cs="宋体"/>
                <w:i w:val="0"/>
                <w:iCs w:val="0"/>
                <w:color w:val="000000"/>
                <w:sz w:val="24"/>
                <w:szCs w:val="24"/>
                <w:u w:val="none"/>
              </w:rPr>
            </w:pPr>
          </w:p>
        </w:tc>
      </w:tr>
      <w:tr w14:paraId="39D6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E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涵洞排水设施完善</w:t>
            </w:r>
          </w:p>
        </w:tc>
        <w:tc>
          <w:tcPr>
            <w:tcW w:w="6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03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K9+107（营运桩号K199+970）涵洞、K10+481.5（营运桩号K198+595.5）涵洞、K13+765（营运桩号K195+312）涵洞进出水口存在冲刷，排水体系不完善。</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F4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理顺涵洞进出水口排水体系，进行硬化封闭，增设水沟完善排水体系</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A7B9">
            <w:pPr>
              <w:jc w:val="center"/>
              <w:rPr>
                <w:rFonts w:hint="eastAsia" w:ascii="宋体" w:hAnsi="宋体" w:eastAsia="宋体" w:cs="宋体"/>
                <w:i w:val="0"/>
                <w:iCs w:val="0"/>
                <w:color w:val="000000"/>
                <w:sz w:val="24"/>
                <w:szCs w:val="24"/>
                <w:u w:val="none"/>
              </w:rPr>
            </w:pPr>
          </w:p>
        </w:tc>
      </w:tr>
    </w:tbl>
    <w:p w14:paraId="1F62866A"/>
    <w:p w14:paraId="0CD8C63F">
      <w:pPr>
        <w:pStyle w:val="2"/>
        <w:rPr>
          <w:rFonts w:hint="eastAsia"/>
        </w:rPr>
      </w:pPr>
    </w:p>
    <w:p w14:paraId="6FDA3DE0">
      <w:pPr>
        <w:rPr>
          <w:rFonts w:hint="eastAsia"/>
        </w:rPr>
      </w:pPr>
    </w:p>
    <w:p w14:paraId="6430F7E8">
      <w:pPr>
        <w:pStyle w:val="2"/>
        <w:rPr>
          <w:rFonts w:hint="eastAsia"/>
        </w:rPr>
      </w:pPr>
    </w:p>
    <w:p w14:paraId="0A4D484D">
      <w:pPr>
        <w:rPr>
          <w:rFonts w:hint="eastAsia"/>
        </w:rPr>
      </w:pPr>
    </w:p>
    <w:p w14:paraId="273CFBDE">
      <w:pPr>
        <w:pStyle w:val="2"/>
        <w:rPr>
          <w:rFonts w:hint="eastAsia"/>
        </w:rPr>
      </w:pPr>
    </w:p>
    <w:p w14:paraId="24FDBCB7">
      <w:pPr>
        <w:rPr>
          <w:rFonts w:hint="eastAsia"/>
        </w:rPr>
      </w:pPr>
    </w:p>
    <w:p w14:paraId="42313984">
      <w:pPr>
        <w:pStyle w:val="2"/>
        <w:rPr>
          <w:rFonts w:hint="eastAsia"/>
        </w:rPr>
        <w:sectPr>
          <w:pgSz w:w="16838" w:h="11905" w:orient="landscape"/>
          <w:pgMar w:top="1134" w:right="1417" w:bottom="1020" w:left="1417" w:header="0" w:footer="907" w:gutter="0"/>
          <w:cols w:space="0" w:num="1"/>
        </w:sectPr>
      </w:pPr>
    </w:p>
    <w:p w14:paraId="214242DD">
      <w:pPr>
        <w:spacing w:before="83" w:line="219" w:lineRule="auto"/>
        <w:rPr>
          <w:rFonts w:hint="eastAsia" w:ascii="黑体" w:hAnsi="黑体" w:eastAsia="黑体" w:cs="黑体"/>
          <w:b w:val="0"/>
          <w:bCs w:val="0"/>
          <w:color w:val="auto"/>
          <w:kern w:val="2"/>
          <w:sz w:val="28"/>
          <w:szCs w:val="28"/>
          <w:highlight w:val="none"/>
        </w:rPr>
      </w:pPr>
      <w:r>
        <w:rPr>
          <w:rFonts w:hint="eastAsia" w:ascii="黑体" w:hAnsi="黑体" w:eastAsia="黑体" w:cs="黑体"/>
          <w:b w:val="0"/>
          <w:bCs w:val="0"/>
          <w:color w:val="auto"/>
          <w:spacing w:val="-4"/>
          <w:sz w:val="28"/>
          <w:szCs w:val="28"/>
          <w:highlight w:val="none"/>
        </w:rPr>
        <w:t>附件2:</w:t>
      </w:r>
    </w:p>
    <w:p w14:paraId="1F097789">
      <w:pPr>
        <w:autoSpaceDE/>
        <w:autoSpaceDN/>
        <w:spacing w:line="300" w:lineRule="exact"/>
        <w:jc w:val="center"/>
        <w:rPr>
          <w:rFonts w:hint="eastAsia" w:cs="Times New Roman"/>
          <w:color w:val="auto"/>
          <w:kern w:val="2"/>
          <w:sz w:val="24"/>
          <w:szCs w:val="24"/>
          <w:highlight w:val="none"/>
        </w:rPr>
      </w:pPr>
    </w:p>
    <w:p w14:paraId="767FDE7C">
      <w:pPr>
        <w:autoSpaceDE/>
        <w:autoSpaceDN/>
        <w:spacing w:line="300" w:lineRule="exact"/>
        <w:jc w:val="center"/>
        <w:rPr>
          <w:rFonts w:hint="eastAsia"/>
          <w:color w:val="auto"/>
          <w:highlight w:val="none"/>
        </w:rPr>
      </w:pPr>
      <w:r>
        <w:rPr>
          <w:rFonts w:cs="Times New Roman"/>
          <w:color w:val="auto"/>
          <w:kern w:val="2"/>
          <w:sz w:val="24"/>
          <w:szCs w:val="24"/>
          <w:highlight w:val="none"/>
        </w:rPr>
        <w:t>附录 1  资格审查条件</w:t>
      </w:r>
      <w:r>
        <w:rPr>
          <w:rFonts w:hint="eastAsia" w:cs="Times New Roman"/>
          <w:color w:val="auto"/>
          <w:kern w:val="2"/>
          <w:sz w:val="24"/>
          <w:szCs w:val="24"/>
          <w:highlight w:val="none"/>
        </w:rPr>
        <w:t>（</w:t>
      </w:r>
      <w:r>
        <w:rPr>
          <w:rFonts w:cs="Times New Roman"/>
          <w:color w:val="auto"/>
          <w:kern w:val="2"/>
          <w:sz w:val="24"/>
          <w:szCs w:val="24"/>
          <w:highlight w:val="none"/>
        </w:rPr>
        <w:t>资质最低条件</w:t>
      </w:r>
      <w:r>
        <w:rPr>
          <w:rFonts w:hint="eastAsia" w:cs="Times New Roman"/>
          <w:color w:val="auto"/>
          <w:kern w:val="2"/>
          <w:sz w:val="24"/>
          <w:szCs w:val="24"/>
          <w:highlight w:val="none"/>
        </w:rPr>
        <w:t>）</w:t>
      </w:r>
    </w:p>
    <w:tbl>
      <w:tblPr>
        <w:tblStyle w:val="8"/>
        <w:tblW w:w="89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900"/>
      </w:tblGrid>
      <w:tr w14:paraId="4B39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9" w:hRule="atLeast"/>
          <w:jc w:val="center"/>
        </w:trPr>
        <w:tc>
          <w:tcPr>
            <w:tcW w:w="8900" w:type="dxa"/>
            <w:vAlign w:val="center"/>
          </w:tcPr>
          <w:p w14:paraId="1E83FDCA">
            <w:pPr>
              <w:pStyle w:val="10"/>
              <w:spacing w:before="65" w:line="228" w:lineRule="auto"/>
              <w:ind w:left="118"/>
              <w:jc w:val="center"/>
              <w:rPr>
                <w:rFonts w:hint="eastAsia"/>
                <w:color w:val="auto"/>
                <w:sz w:val="20"/>
                <w:szCs w:val="20"/>
                <w:highlight w:val="none"/>
              </w:rPr>
            </w:pPr>
            <w:r>
              <w:rPr>
                <w:rFonts w:hint="eastAsia"/>
                <w:color w:val="auto"/>
                <w:spacing w:val="-1"/>
                <w:sz w:val="24"/>
                <w:szCs w:val="24"/>
                <w:highlight w:val="none"/>
              </w:rPr>
              <w:t>施工企业资质等级要求</w:t>
            </w:r>
          </w:p>
        </w:tc>
      </w:tr>
      <w:tr w14:paraId="11F23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26" w:hRule="atLeast"/>
          <w:jc w:val="center"/>
        </w:trPr>
        <w:tc>
          <w:tcPr>
            <w:tcW w:w="8900" w:type="dxa"/>
            <w:vAlign w:val="center"/>
          </w:tcPr>
          <w:p w14:paraId="6BDF06D9">
            <w:pPr>
              <w:autoSpaceDE/>
              <w:autoSpaceDN/>
              <w:spacing w:line="400" w:lineRule="exact"/>
              <w:ind w:firstLine="464" w:firstLineChars="200"/>
              <w:rPr>
                <w:rFonts w:hint="eastAsia" w:cs="Times New Roman"/>
                <w:bCs/>
                <w:color w:val="auto"/>
                <w:spacing w:val="-4"/>
                <w:kern w:val="2"/>
                <w:sz w:val="24"/>
                <w:szCs w:val="20"/>
                <w:highlight w:val="none"/>
              </w:rPr>
            </w:pPr>
            <w:r>
              <w:rPr>
                <w:rFonts w:cs="Times New Roman"/>
                <w:bCs/>
                <w:color w:val="auto"/>
                <w:spacing w:val="-4"/>
                <w:kern w:val="2"/>
                <w:sz w:val="24"/>
                <w:szCs w:val="20"/>
                <w:highlight w:val="none"/>
              </w:rPr>
              <w:t>1、投标人必须是在中华人民共和国境内注册的企业法人；</w:t>
            </w:r>
          </w:p>
          <w:p w14:paraId="7CB3DC69">
            <w:pPr>
              <w:autoSpaceDE/>
              <w:autoSpaceDN/>
              <w:spacing w:line="400" w:lineRule="exact"/>
              <w:ind w:firstLine="464" w:firstLineChars="200"/>
              <w:rPr>
                <w:rFonts w:hint="eastAsia" w:cs="Times New Roman"/>
                <w:bCs/>
                <w:color w:val="auto"/>
                <w:spacing w:val="-4"/>
                <w:kern w:val="2"/>
                <w:sz w:val="24"/>
                <w:szCs w:val="20"/>
                <w:highlight w:val="none"/>
              </w:rPr>
            </w:pPr>
            <w:r>
              <w:rPr>
                <w:rFonts w:cs="Times New Roman"/>
                <w:bCs/>
                <w:color w:val="auto"/>
                <w:spacing w:val="-4"/>
                <w:kern w:val="2"/>
                <w:sz w:val="24"/>
                <w:szCs w:val="20"/>
                <w:highlight w:val="none"/>
              </w:rPr>
              <w:t>2、具备以下①②资质之一：</w:t>
            </w:r>
          </w:p>
          <w:p w14:paraId="2349AE51">
            <w:pPr>
              <w:autoSpaceDE/>
              <w:autoSpaceDN/>
              <w:spacing w:line="400" w:lineRule="exact"/>
              <w:ind w:firstLine="464" w:firstLineChars="200"/>
              <w:rPr>
                <w:rFonts w:hint="eastAsia" w:cs="Times New Roman"/>
                <w:bCs/>
                <w:color w:val="auto"/>
                <w:spacing w:val="-4"/>
                <w:kern w:val="2"/>
                <w:sz w:val="24"/>
                <w:szCs w:val="20"/>
                <w:highlight w:val="none"/>
              </w:rPr>
            </w:pPr>
            <w:r>
              <w:rPr>
                <w:rFonts w:cs="Times New Roman"/>
                <w:bCs/>
                <w:color w:val="auto"/>
                <w:spacing w:val="-4"/>
                <w:kern w:val="2"/>
                <w:sz w:val="24"/>
                <w:szCs w:val="20"/>
                <w:highlight w:val="none"/>
              </w:rPr>
              <w:t>①国家住房和城乡建设部核发的公路工程施工总承包一级</w:t>
            </w:r>
            <w:r>
              <w:rPr>
                <w:rFonts w:hint="eastAsia" w:cs="Times New Roman"/>
                <w:bCs/>
                <w:color w:val="auto"/>
                <w:spacing w:val="-4"/>
                <w:kern w:val="2"/>
                <w:sz w:val="24"/>
                <w:szCs w:val="20"/>
                <w:highlight w:val="none"/>
                <w:lang w:val="en-US" w:eastAsia="zh-CN"/>
              </w:rPr>
              <w:t>及以上</w:t>
            </w:r>
            <w:r>
              <w:rPr>
                <w:rFonts w:cs="Times New Roman"/>
                <w:bCs/>
                <w:color w:val="auto"/>
                <w:spacing w:val="-4"/>
                <w:kern w:val="2"/>
                <w:sz w:val="24"/>
                <w:szCs w:val="20"/>
                <w:highlight w:val="none"/>
              </w:rPr>
              <w:t>资质；</w:t>
            </w:r>
          </w:p>
          <w:p w14:paraId="69E6325D">
            <w:pPr>
              <w:autoSpaceDE/>
              <w:autoSpaceDN/>
              <w:spacing w:line="400" w:lineRule="exact"/>
              <w:ind w:firstLine="464" w:firstLineChars="200"/>
              <w:rPr>
                <w:rFonts w:hint="eastAsia" w:cs="Times New Roman"/>
                <w:bCs/>
                <w:color w:val="auto"/>
                <w:spacing w:val="-4"/>
                <w:kern w:val="2"/>
                <w:sz w:val="24"/>
                <w:szCs w:val="20"/>
                <w:highlight w:val="none"/>
              </w:rPr>
            </w:pPr>
            <w:r>
              <w:rPr>
                <w:rFonts w:cs="Times New Roman"/>
                <w:bCs/>
                <w:color w:val="auto"/>
                <w:spacing w:val="-4"/>
                <w:kern w:val="2"/>
                <w:sz w:val="24"/>
                <w:szCs w:val="20"/>
                <w:highlight w:val="none"/>
              </w:rPr>
              <w:t>②具备公路养护作业单位资质证书路基路面养护甲级</w:t>
            </w:r>
            <w:r>
              <w:rPr>
                <w:rFonts w:hint="eastAsia" w:cs="Times New Roman"/>
                <w:bCs/>
                <w:color w:val="auto"/>
                <w:spacing w:val="-4"/>
                <w:kern w:val="2"/>
                <w:sz w:val="24"/>
                <w:szCs w:val="20"/>
                <w:highlight w:val="none"/>
                <w:lang w:eastAsia="zh-CN"/>
              </w:rPr>
              <w:t>、</w:t>
            </w:r>
            <w:r>
              <w:rPr>
                <w:rFonts w:hint="eastAsia" w:cs="Times New Roman"/>
                <w:bCs/>
                <w:color w:val="auto"/>
                <w:spacing w:val="-4"/>
                <w:kern w:val="2"/>
                <w:sz w:val="24"/>
                <w:szCs w:val="20"/>
                <w:highlight w:val="none"/>
              </w:rPr>
              <w:t>桥梁养护甲级</w:t>
            </w:r>
            <w:r>
              <w:rPr>
                <w:rFonts w:hint="eastAsia" w:cs="Times New Roman"/>
                <w:bCs/>
                <w:color w:val="auto"/>
                <w:spacing w:val="-4"/>
                <w:kern w:val="2"/>
                <w:sz w:val="24"/>
                <w:szCs w:val="20"/>
                <w:highlight w:val="none"/>
                <w:lang w:val="en-US" w:eastAsia="zh-CN"/>
              </w:rPr>
              <w:t>两个类别</w:t>
            </w:r>
            <w:r>
              <w:rPr>
                <w:rFonts w:cs="Times New Roman"/>
                <w:bCs/>
                <w:color w:val="auto"/>
                <w:spacing w:val="-4"/>
                <w:kern w:val="2"/>
                <w:sz w:val="24"/>
                <w:szCs w:val="20"/>
                <w:highlight w:val="none"/>
              </w:rPr>
              <w:t>的资质。</w:t>
            </w:r>
          </w:p>
          <w:p w14:paraId="0478D019">
            <w:pPr>
              <w:autoSpaceDE/>
              <w:autoSpaceDN/>
              <w:spacing w:line="400" w:lineRule="exact"/>
              <w:ind w:firstLine="464" w:firstLineChars="200"/>
              <w:rPr>
                <w:rFonts w:hint="eastAsia"/>
                <w:color w:val="auto"/>
                <w:spacing w:val="9"/>
                <w:sz w:val="20"/>
                <w:szCs w:val="20"/>
                <w:highlight w:val="none"/>
              </w:rPr>
            </w:pPr>
            <w:r>
              <w:rPr>
                <w:rFonts w:cs="Times New Roman"/>
                <w:bCs/>
                <w:color w:val="auto"/>
                <w:spacing w:val="-4"/>
                <w:kern w:val="2"/>
                <w:sz w:val="24"/>
                <w:szCs w:val="20"/>
                <w:highlight w:val="none"/>
              </w:rPr>
              <w:t>3、具有有效的营业执照及安全生产许可证。</w:t>
            </w:r>
          </w:p>
        </w:tc>
      </w:tr>
    </w:tbl>
    <w:p w14:paraId="6AEAD162">
      <w:pPr>
        <w:spacing w:line="255" w:lineRule="auto"/>
        <w:ind w:left="657" w:leftChars="95" w:hanging="448" w:hangingChars="200"/>
        <w:rPr>
          <w:rFonts w:hint="eastAsia"/>
          <w:color w:val="auto"/>
          <w:spacing w:val="12"/>
          <w:sz w:val="20"/>
          <w:szCs w:val="20"/>
          <w:highlight w:val="none"/>
        </w:rPr>
      </w:pPr>
      <w:r>
        <w:rPr>
          <w:rFonts w:hint="eastAsia"/>
          <w:color w:val="auto"/>
          <w:spacing w:val="12"/>
          <w:sz w:val="20"/>
          <w:szCs w:val="20"/>
          <w:highlight w:val="none"/>
        </w:rPr>
        <w:t>注:投标人应根据投标文件第二章“投标人须知”第3.5.1项的要求附相关证明材料。</w:t>
      </w:r>
    </w:p>
    <w:p w14:paraId="4C1B6615">
      <w:pPr>
        <w:autoSpaceDE/>
        <w:autoSpaceDN/>
        <w:spacing w:line="300" w:lineRule="exact"/>
        <w:jc w:val="both"/>
        <w:rPr>
          <w:rFonts w:hint="eastAsia" w:cs="Times New Roman"/>
          <w:color w:val="auto"/>
          <w:kern w:val="2"/>
          <w:sz w:val="24"/>
          <w:szCs w:val="24"/>
          <w:highlight w:val="none"/>
        </w:rPr>
      </w:pPr>
    </w:p>
    <w:p w14:paraId="5DD0C37F">
      <w:pPr>
        <w:pStyle w:val="2"/>
        <w:rPr>
          <w:rFonts w:hint="eastAsia"/>
          <w:color w:val="auto"/>
          <w:highlight w:val="none"/>
        </w:rPr>
      </w:pPr>
    </w:p>
    <w:p w14:paraId="1260B519">
      <w:pPr>
        <w:rPr>
          <w:rFonts w:hint="eastAsia"/>
        </w:rPr>
      </w:pPr>
    </w:p>
    <w:p w14:paraId="30EEB01C">
      <w:pPr>
        <w:autoSpaceDE/>
        <w:autoSpaceDN/>
        <w:spacing w:line="300" w:lineRule="exact"/>
        <w:jc w:val="center"/>
        <w:rPr>
          <w:rFonts w:hint="eastAsia" w:cs="Times New Roman"/>
          <w:color w:val="auto"/>
          <w:kern w:val="2"/>
          <w:sz w:val="24"/>
          <w:szCs w:val="24"/>
          <w:highlight w:val="none"/>
        </w:rPr>
      </w:pPr>
      <w:r>
        <w:rPr>
          <w:rFonts w:cs="Times New Roman"/>
          <w:color w:val="auto"/>
          <w:kern w:val="2"/>
          <w:sz w:val="24"/>
          <w:szCs w:val="24"/>
          <w:highlight w:val="none"/>
        </w:rPr>
        <w:t>附录 2  资格审查条件</w:t>
      </w:r>
      <w:r>
        <w:rPr>
          <w:rFonts w:hint="eastAsia" w:cs="Times New Roman"/>
          <w:color w:val="auto"/>
          <w:kern w:val="2"/>
          <w:sz w:val="24"/>
          <w:szCs w:val="24"/>
          <w:highlight w:val="none"/>
        </w:rPr>
        <w:t>（</w:t>
      </w:r>
      <w:r>
        <w:rPr>
          <w:rFonts w:cs="Times New Roman"/>
          <w:color w:val="auto"/>
          <w:kern w:val="2"/>
          <w:sz w:val="24"/>
          <w:szCs w:val="24"/>
          <w:highlight w:val="none"/>
        </w:rPr>
        <w:t>财务最低要求</w:t>
      </w:r>
      <w:r>
        <w:rPr>
          <w:rFonts w:hint="eastAsia" w:cs="Times New Roman"/>
          <w:color w:val="auto"/>
          <w:kern w:val="2"/>
          <w:sz w:val="24"/>
          <w:szCs w:val="24"/>
          <w:highlight w:val="none"/>
        </w:rPr>
        <w:t>）</w:t>
      </w:r>
    </w:p>
    <w:tbl>
      <w:tblPr>
        <w:tblStyle w:val="8"/>
        <w:tblW w:w="88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65"/>
      </w:tblGrid>
      <w:tr w14:paraId="7BEA2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1" w:hRule="atLeast"/>
          <w:jc w:val="center"/>
        </w:trPr>
        <w:tc>
          <w:tcPr>
            <w:tcW w:w="8865" w:type="dxa"/>
            <w:vAlign w:val="center"/>
          </w:tcPr>
          <w:p w14:paraId="64735F15">
            <w:pPr>
              <w:spacing w:line="298" w:lineRule="auto"/>
              <w:jc w:val="center"/>
              <w:rPr>
                <w:rFonts w:hint="eastAsia"/>
                <w:color w:val="auto"/>
                <w:sz w:val="24"/>
                <w:szCs w:val="24"/>
                <w:highlight w:val="none"/>
              </w:rPr>
            </w:pPr>
            <w:r>
              <w:rPr>
                <w:color w:val="auto"/>
                <w:sz w:val="24"/>
                <w:szCs w:val="24"/>
                <w:highlight w:val="none"/>
              </w:rPr>
              <w:t>财务要求</w:t>
            </w:r>
          </w:p>
        </w:tc>
      </w:tr>
      <w:tr w14:paraId="5451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95" w:hRule="atLeast"/>
          <w:jc w:val="center"/>
        </w:trPr>
        <w:tc>
          <w:tcPr>
            <w:tcW w:w="8865" w:type="dxa"/>
            <w:vAlign w:val="center"/>
          </w:tcPr>
          <w:p w14:paraId="14328B00">
            <w:pPr>
              <w:pStyle w:val="10"/>
              <w:spacing w:before="161"/>
              <w:ind w:firstLine="93" w:firstLineChars="37"/>
              <w:rPr>
                <w:rFonts w:hint="eastAsia"/>
                <w:color w:val="auto"/>
                <w:spacing w:val="7"/>
                <w:sz w:val="24"/>
                <w:szCs w:val="24"/>
                <w:highlight w:val="none"/>
              </w:rPr>
            </w:pPr>
            <w:r>
              <w:rPr>
                <w:rFonts w:hint="eastAsia"/>
                <w:color w:val="auto"/>
                <w:spacing w:val="7"/>
                <w:sz w:val="24"/>
                <w:szCs w:val="24"/>
                <w:highlight w:val="none"/>
              </w:rPr>
              <w:t>投标人须同时满足以下财务要求：</w:t>
            </w:r>
          </w:p>
          <w:p w14:paraId="36205659">
            <w:pPr>
              <w:autoSpaceDE/>
              <w:autoSpaceDN/>
              <w:spacing w:line="400" w:lineRule="exact"/>
              <w:ind w:firstLine="464" w:firstLineChars="200"/>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 xml:space="preserve">1、2024 年企业净资产（总资产－总负债）不少于 </w:t>
            </w:r>
            <w:r>
              <w:rPr>
                <w:rFonts w:hint="eastAsia" w:cs="Times New Roman"/>
                <w:bCs/>
                <w:color w:val="auto"/>
                <w:spacing w:val="-4"/>
                <w:kern w:val="2"/>
                <w:sz w:val="24"/>
                <w:szCs w:val="20"/>
                <w:highlight w:val="none"/>
                <w:lang w:val="en-US" w:eastAsia="zh-CN"/>
              </w:rPr>
              <w:t>6</w:t>
            </w:r>
            <w:r>
              <w:rPr>
                <w:rFonts w:hint="eastAsia" w:cs="Times New Roman"/>
                <w:bCs/>
                <w:color w:val="auto"/>
                <w:spacing w:val="-4"/>
                <w:kern w:val="2"/>
                <w:sz w:val="24"/>
                <w:szCs w:val="20"/>
                <w:highlight w:val="none"/>
              </w:rPr>
              <w:t>000 万元人民币；</w:t>
            </w:r>
          </w:p>
          <w:p w14:paraId="5999BDA0">
            <w:pPr>
              <w:autoSpaceDE/>
              <w:autoSpaceDN/>
              <w:spacing w:line="400" w:lineRule="exact"/>
              <w:ind w:firstLine="464" w:firstLineChars="200"/>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 xml:space="preserve">2、2024 年营运资本（流动资产－流动负债）不少于 </w:t>
            </w:r>
            <w:r>
              <w:rPr>
                <w:rFonts w:hint="eastAsia" w:cs="Times New Roman"/>
                <w:bCs/>
                <w:color w:val="auto"/>
                <w:spacing w:val="-4"/>
                <w:kern w:val="2"/>
                <w:sz w:val="24"/>
                <w:szCs w:val="20"/>
                <w:highlight w:val="none"/>
                <w:lang w:val="en-US" w:eastAsia="zh-CN"/>
              </w:rPr>
              <w:t>6</w:t>
            </w:r>
            <w:r>
              <w:rPr>
                <w:rFonts w:hint="eastAsia" w:cs="Times New Roman"/>
                <w:bCs/>
                <w:color w:val="auto"/>
                <w:spacing w:val="-4"/>
                <w:kern w:val="2"/>
                <w:sz w:val="24"/>
                <w:szCs w:val="20"/>
                <w:highlight w:val="none"/>
              </w:rPr>
              <w:t>000 万元人民币；</w:t>
            </w:r>
          </w:p>
          <w:p w14:paraId="0CEF89EC">
            <w:pPr>
              <w:autoSpaceDE/>
              <w:autoSpaceDN/>
              <w:spacing w:line="400" w:lineRule="exact"/>
              <w:ind w:firstLine="464" w:firstLineChars="200"/>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 xml:space="preserve">3、近 3 年（2022 年-2024 年）的平均营业总收入不少于 </w:t>
            </w:r>
            <w:r>
              <w:rPr>
                <w:rFonts w:hint="eastAsia" w:cs="Times New Roman"/>
                <w:bCs/>
                <w:color w:val="auto"/>
                <w:spacing w:val="-4"/>
                <w:kern w:val="2"/>
                <w:sz w:val="24"/>
                <w:szCs w:val="20"/>
                <w:highlight w:val="none"/>
                <w:lang w:val="en-US" w:eastAsia="zh-CN"/>
              </w:rPr>
              <w:t>15</w:t>
            </w:r>
            <w:r>
              <w:rPr>
                <w:rFonts w:hint="eastAsia" w:cs="Times New Roman"/>
                <w:bCs/>
                <w:color w:val="auto"/>
                <w:spacing w:val="-4"/>
                <w:kern w:val="2"/>
                <w:sz w:val="24"/>
                <w:szCs w:val="20"/>
                <w:highlight w:val="none"/>
              </w:rPr>
              <w:t>000 万元人民币；</w:t>
            </w:r>
          </w:p>
          <w:p w14:paraId="26617873">
            <w:pPr>
              <w:autoSpaceDE/>
              <w:autoSpaceDN/>
              <w:spacing w:line="400" w:lineRule="exact"/>
              <w:ind w:firstLine="464" w:firstLineChars="200"/>
              <w:rPr>
                <w:rFonts w:hint="eastAsia"/>
                <w:color w:val="auto"/>
                <w:sz w:val="24"/>
                <w:szCs w:val="24"/>
                <w:highlight w:val="none"/>
              </w:rPr>
            </w:pPr>
            <w:r>
              <w:rPr>
                <w:rFonts w:hint="eastAsia" w:cs="Times New Roman"/>
                <w:bCs/>
                <w:color w:val="auto"/>
                <w:spacing w:val="-4"/>
                <w:kern w:val="2"/>
                <w:sz w:val="24"/>
                <w:szCs w:val="20"/>
                <w:highlight w:val="none"/>
              </w:rPr>
              <w:t>4、近 3 年（2022年-2024 年）至少有两年盈利。</w:t>
            </w:r>
          </w:p>
        </w:tc>
      </w:tr>
    </w:tbl>
    <w:p w14:paraId="61C91570">
      <w:pPr>
        <w:spacing w:line="255" w:lineRule="auto"/>
        <w:ind w:left="627" w:leftChars="285"/>
        <w:rPr>
          <w:rFonts w:hint="eastAsia"/>
          <w:color w:val="auto"/>
          <w:spacing w:val="12"/>
          <w:sz w:val="20"/>
          <w:szCs w:val="20"/>
          <w:highlight w:val="none"/>
        </w:rPr>
      </w:pPr>
      <w:r>
        <w:rPr>
          <w:rFonts w:hint="eastAsia"/>
          <w:color w:val="auto"/>
          <w:spacing w:val="12"/>
          <w:sz w:val="20"/>
          <w:szCs w:val="20"/>
          <w:highlight w:val="none"/>
        </w:rPr>
        <w:t>注：1、投标人应根据招标文件第二章“投标人须知”第3.5.2项的要求附相关证明材料。</w:t>
      </w:r>
    </w:p>
    <w:p w14:paraId="620E7FCA">
      <w:pPr>
        <w:rPr>
          <w:rFonts w:hint="eastAsia"/>
          <w:color w:val="auto"/>
          <w:highlight w:val="none"/>
        </w:rPr>
      </w:pPr>
    </w:p>
    <w:p w14:paraId="3D8FD665">
      <w:pPr>
        <w:rPr>
          <w:rFonts w:hint="eastAsia"/>
          <w:color w:val="auto"/>
          <w:highlight w:val="none"/>
        </w:rPr>
      </w:pPr>
    </w:p>
    <w:p w14:paraId="7CB52E8C">
      <w:pPr>
        <w:pStyle w:val="2"/>
        <w:rPr>
          <w:rFonts w:hint="eastAsia"/>
        </w:rPr>
      </w:pPr>
    </w:p>
    <w:p w14:paraId="19484B3E">
      <w:pPr>
        <w:autoSpaceDE/>
        <w:autoSpaceDN/>
        <w:spacing w:line="300" w:lineRule="exact"/>
        <w:jc w:val="center"/>
        <w:rPr>
          <w:rFonts w:hint="eastAsia" w:cs="Times New Roman"/>
          <w:color w:val="auto"/>
          <w:kern w:val="2"/>
          <w:sz w:val="24"/>
          <w:szCs w:val="24"/>
          <w:highlight w:val="none"/>
        </w:rPr>
      </w:pPr>
      <w:r>
        <w:rPr>
          <w:rFonts w:cs="Times New Roman"/>
          <w:color w:val="auto"/>
          <w:kern w:val="2"/>
          <w:sz w:val="24"/>
          <w:szCs w:val="24"/>
          <w:highlight w:val="none"/>
        </w:rPr>
        <w:t>附录 3 资格审查条件</w:t>
      </w:r>
      <w:r>
        <w:rPr>
          <w:rFonts w:hint="eastAsia" w:cs="Times New Roman"/>
          <w:color w:val="auto"/>
          <w:kern w:val="2"/>
          <w:sz w:val="24"/>
          <w:szCs w:val="24"/>
          <w:highlight w:val="none"/>
        </w:rPr>
        <w:t>（</w:t>
      </w:r>
      <w:r>
        <w:rPr>
          <w:rFonts w:cs="Times New Roman"/>
          <w:color w:val="auto"/>
          <w:kern w:val="2"/>
          <w:sz w:val="24"/>
          <w:szCs w:val="24"/>
          <w:highlight w:val="none"/>
        </w:rPr>
        <w:t>业绩最低要求</w:t>
      </w:r>
      <w:r>
        <w:rPr>
          <w:rFonts w:hint="eastAsia" w:cs="Times New Roman"/>
          <w:color w:val="auto"/>
          <w:kern w:val="2"/>
          <w:sz w:val="24"/>
          <w:szCs w:val="24"/>
          <w:highlight w:val="none"/>
        </w:rPr>
        <w:t>）</w:t>
      </w:r>
    </w:p>
    <w:tbl>
      <w:tblPr>
        <w:tblStyle w:val="8"/>
        <w:tblW w:w="83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356"/>
      </w:tblGrid>
      <w:tr w14:paraId="323B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7" w:hRule="atLeast"/>
          <w:jc w:val="center"/>
        </w:trPr>
        <w:tc>
          <w:tcPr>
            <w:tcW w:w="8356" w:type="dxa"/>
            <w:vAlign w:val="center"/>
          </w:tcPr>
          <w:p w14:paraId="6899C1D5">
            <w:pPr>
              <w:pStyle w:val="10"/>
              <w:spacing w:before="65" w:line="228" w:lineRule="auto"/>
              <w:ind w:left="3696"/>
              <w:rPr>
                <w:rFonts w:hint="eastAsia"/>
                <w:color w:val="auto"/>
                <w:sz w:val="24"/>
                <w:szCs w:val="24"/>
                <w:highlight w:val="none"/>
              </w:rPr>
            </w:pPr>
            <w:r>
              <w:rPr>
                <w:color w:val="auto"/>
                <w:spacing w:val="7"/>
                <w:sz w:val="24"/>
                <w:szCs w:val="24"/>
                <w:highlight w:val="none"/>
              </w:rPr>
              <w:t>业绩要求</w:t>
            </w:r>
          </w:p>
        </w:tc>
      </w:tr>
      <w:tr w14:paraId="6891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44" w:hRule="atLeast"/>
          <w:jc w:val="center"/>
        </w:trPr>
        <w:tc>
          <w:tcPr>
            <w:tcW w:w="8356" w:type="dxa"/>
            <w:vAlign w:val="center"/>
          </w:tcPr>
          <w:p w14:paraId="61FED0E7">
            <w:pPr>
              <w:autoSpaceDE/>
              <w:autoSpaceDN/>
              <w:spacing w:line="400" w:lineRule="exact"/>
              <w:ind w:firstLine="464" w:firstLineChars="200"/>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投标人近五年内，成功独立完成过以下业绩之一:</w:t>
            </w:r>
          </w:p>
          <w:p w14:paraId="510FAC7F">
            <w:pPr>
              <w:autoSpaceDE/>
              <w:autoSpaceDN/>
              <w:spacing w:line="400" w:lineRule="exact"/>
              <w:ind w:firstLine="464" w:firstLineChars="200"/>
              <w:rPr>
                <w:rFonts w:hint="eastAsia" w:cs="Times New Roman"/>
                <w:bCs/>
                <w:color w:val="auto"/>
                <w:spacing w:val="-4"/>
                <w:kern w:val="2"/>
                <w:sz w:val="24"/>
                <w:szCs w:val="20"/>
                <w:highlight w:val="none"/>
              </w:rPr>
            </w:pPr>
            <w:r>
              <w:rPr>
                <w:rFonts w:hint="eastAsia" w:cs="Times New Roman"/>
                <w:bCs/>
                <w:color w:val="auto"/>
                <w:spacing w:val="-4"/>
                <w:kern w:val="2"/>
                <w:sz w:val="24"/>
                <w:szCs w:val="20"/>
                <w:highlight w:val="none"/>
              </w:rPr>
              <w:t>①新建、改（扩）建高速公路施工项目至少</w:t>
            </w:r>
            <w:r>
              <w:rPr>
                <w:rFonts w:hint="eastAsia" w:cs="Times New Roman"/>
                <w:bCs/>
                <w:color w:val="auto"/>
                <w:spacing w:val="-4"/>
                <w:kern w:val="2"/>
                <w:sz w:val="24"/>
                <w:szCs w:val="20"/>
                <w:highlight w:val="none"/>
                <w:lang w:val="en-US" w:eastAsia="zh-CN"/>
              </w:rPr>
              <w:t>2</w:t>
            </w:r>
            <w:r>
              <w:rPr>
                <w:rFonts w:hint="eastAsia" w:cs="Times New Roman"/>
                <w:bCs/>
                <w:color w:val="auto"/>
                <w:spacing w:val="-4"/>
                <w:kern w:val="2"/>
                <w:sz w:val="24"/>
                <w:szCs w:val="20"/>
                <w:highlight w:val="none"/>
              </w:rPr>
              <w:t>个标段（标段内必须同时含路基、桥梁两个类别的施工），且单个标段里程不少于10km；</w:t>
            </w:r>
          </w:p>
          <w:p w14:paraId="66152998">
            <w:pPr>
              <w:autoSpaceDE/>
              <w:autoSpaceDN/>
              <w:spacing w:line="400" w:lineRule="exact"/>
              <w:ind w:firstLine="464" w:firstLineChars="200"/>
              <w:rPr>
                <w:rFonts w:hint="eastAsia"/>
                <w:color w:val="auto"/>
                <w:spacing w:val="12"/>
                <w:sz w:val="24"/>
                <w:szCs w:val="24"/>
                <w:highlight w:val="none"/>
              </w:rPr>
            </w:pPr>
            <w:r>
              <w:rPr>
                <w:rFonts w:hint="eastAsia" w:cs="Times New Roman"/>
                <w:bCs/>
                <w:color w:val="auto"/>
                <w:spacing w:val="-4"/>
                <w:kern w:val="2"/>
                <w:sz w:val="24"/>
                <w:szCs w:val="20"/>
                <w:highlight w:val="none"/>
              </w:rPr>
              <w:t xml:space="preserve">②高速公路养护工程至少 </w:t>
            </w:r>
            <w:r>
              <w:rPr>
                <w:rFonts w:hint="eastAsia" w:cs="Times New Roman"/>
                <w:bCs/>
                <w:color w:val="auto"/>
                <w:spacing w:val="-4"/>
                <w:kern w:val="2"/>
                <w:sz w:val="24"/>
                <w:szCs w:val="20"/>
                <w:highlight w:val="none"/>
                <w:lang w:val="en-US" w:eastAsia="zh-CN"/>
              </w:rPr>
              <w:t>2</w:t>
            </w:r>
            <w:r>
              <w:rPr>
                <w:rFonts w:hint="eastAsia" w:cs="Times New Roman"/>
                <w:bCs/>
                <w:color w:val="auto"/>
                <w:spacing w:val="-4"/>
                <w:kern w:val="2"/>
                <w:sz w:val="24"/>
                <w:szCs w:val="20"/>
                <w:highlight w:val="none"/>
              </w:rPr>
              <w:t>个标段（标段内至少含路基、桥梁其中一个类别的养护工程施工），且单个标段合同价不少于 1000 万元。</w:t>
            </w:r>
          </w:p>
        </w:tc>
      </w:tr>
    </w:tbl>
    <w:p w14:paraId="3FAA0B9B">
      <w:pPr>
        <w:spacing w:line="255" w:lineRule="auto"/>
        <w:ind w:left="657" w:leftChars="95" w:hanging="448" w:hangingChars="200"/>
        <w:rPr>
          <w:rFonts w:hint="eastAsia"/>
          <w:color w:val="auto"/>
          <w:spacing w:val="12"/>
          <w:sz w:val="20"/>
          <w:szCs w:val="20"/>
          <w:highlight w:val="none"/>
        </w:rPr>
      </w:pPr>
      <w:r>
        <w:rPr>
          <w:rFonts w:hint="eastAsia"/>
          <w:color w:val="auto"/>
          <w:spacing w:val="12"/>
          <w:sz w:val="20"/>
          <w:szCs w:val="20"/>
          <w:highlight w:val="none"/>
        </w:rPr>
        <w:t>注：1、本附录所要求的业绩仅限中华人民共和国境内业绩。</w:t>
      </w:r>
    </w:p>
    <w:p w14:paraId="2588BC9B">
      <w:pPr>
        <w:spacing w:line="255" w:lineRule="auto"/>
        <w:ind w:left="627" w:leftChars="285"/>
        <w:rPr>
          <w:rFonts w:hint="eastAsia"/>
          <w:color w:val="auto"/>
          <w:spacing w:val="12"/>
          <w:sz w:val="20"/>
          <w:szCs w:val="20"/>
          <w:highlight w:val="none"/>
        </w:rPr>
      </w:pPr>
      <w:r>
        <w:rPr>
          <w:rFonts w:hint="eastAsia"/>
          <w:color w:val="auto"/>
          <w:spacing w:val="12"/>
          <w:sz w:val="20"/>
          <w:szCs w:val="20"/>
          <w:highlight w:val="none"/>
        </w:rPr>
        <w:t>2、投标人应根据招标文件第二章“投标人须知”第3.5.3项的要求附相关证明材料。</w:t>
      </w:r>
    </w:p>
    <w:p w14:paraId="31CD6B84">
      <w:pPr>
        <w:spacing w:line="255" w:lineRule="auto"/>
        <w:ind w:left="627" w:leftChars="285"/>
        <w:rPr>
          <w:rFonts w:hint="eastAsia"/>
          <w:color w:val="auto"/>
          <w:spacing w:val="12"/>
          <w:sz w:val="20"/>
          <w:szCs w:val="20"/>
          <w:highlight w:val="none"/>
        </w:rPr>
      </w:pPr>
      <w:r>
        <w:rPr>
          <w:rFonts w:hint="eastAsia"/>
          <w:color w:val="auto"/>
          <w:spacing w:val="12"/>
          <w:sz w:val="20"/>
          <w:szCs w:val="20"/>
          <w:highlight w:val="none"/>
        </w:rPr>
        <w:t>3、近五年是指:2020年</w:t>
      </w:r>
      <w:r>
        <w:rPr>
          <w:rFonts w:hint="eastAsia"/>
          <w:color w:val="auto"/>
          <w:spacing w:val="12"/>
          <w:sz w:val="20"/>
          <w:szCs w:val="20"/>
          <w:highlight w:val="none"/>
          <w:lang w:val="en-US" w:eastAsia="zh-CN"/>
        </w:rPr>
        <w:t>7</w:t>
      </w:r>
      <w:r>
        <w:rPr>
          <w:rFonts w:hint="eastAsia"/>
          <w:color w:val="auto"/>
          <w:spacing w:val="12"/>
          <w:sz w:val="20"/>
          <w:szCs w:val="20"/>
          <w:highlight w:val="none"/>
        </w:rPr>
        <w:t>月1日至投标文件递交截止之日止，业绩计算时间以此期间交工验收或一次性竣工验收的时间为准。</w:t>
      </w:r>
    </w:p>
    <w:p w14:paraId="247FD712">
      <w:pPr>
        <w:autoSpaceDE/>
        <w:autoSpaceDN/>
        <w:spacing w:line="300" w:lineRule="exact"/>
        <w:jc w:val="center"/>
        <w:rPr>
          <w:rFonts w:hint="eastAsia" w:cs="Times New Roman"/>
          <w:color w:val="auto"/>
          <w:kern w:val="2"/>
          <w:sz w:val="24"/>
          <w:szCs w:val="24"/>
          <w:highlight w:val="none"/>
        </w:rPr>
      </w:pPr>
    </w:p>
    <w:p w14:paraId="29F5FABF">
      <w:pPr>
        <w:autoSpaceDE/>
        <w:autoSpaceDN/>
        <w:spacing w:line="300" w:lineRule="exact"/>
        <w:jc w:val="center"/>
        <w:rPr>
          <w:rFonts w:hint="eastAsia" w:cs="Times New Roman"/>
          <w:color w:val="auto"/>
          <w:kern w:val="2"/>
          <w:sz w:val="24"/>
          <w:szCs w:val="24"/>
          <w:highlight w:val="none"/>
        </w:rPr>
      </w:pPr>
      <w:r>
        <w:rPr>
          <w:rFonts w:cs="Times New Roman"/>
          <w:color w:val="auto"/>
          <w:kern w:val="2"/>
          <w:sz w:val="24"/>
          <w:szCs w:val="24"/>
          <w:highlight w:val="none"/>
        </w:rPr>
        <w:t>附录 4  资格审查条件</w:t>
      </w:r>
      <w:r>
        <w:rPr>
          <w:rFonts w:hint="eastAsia" w:cs="Times New Roman"/>
          <w:color w:val="auto"/>
          <w:kern w:val="2"/>
          <w:sz w:val="24"/>
          <w:szCs w:val="24"/>
          <w:highlight w:val="none"/>
        </w:rPr>
        <w:t>（</w:t>
      </w:r>
      <w:r>
        <w:rPr>
          <w:rFonts w:cs="Times New Roman"/>
          <w:color w:val="auto"/>
          <w:kern w:val="2"/>
          <w:sz w:val="24"/>
          <w:szCs w:val="24"/>
          <w:highlight w:val="none"/>
        </w:rPr>
        <w:t>信誉最低要求</w:t>
      </w:r>
      <w:r>
        <w:rPr>
          <w:rFonts w:hint="eastAsia" w:cs="Times New Roman"/>
          <w:color w:val="auto"/>
          <w:kern w:val="2"/>
          <w:sz w:val="24"/>
          <w:szCs w:val="24"/>
          <w:highlight w:val="none"/>
        </w:rPr>
        <w:t>）</w:t>
      </w:r>
    </w:p>
    <w:tbl>
      <w:tblPr>
        <w:tblStyle w:val="8"/>
        <w:tblW w:w="86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678"/>
      </w:tblGrid>
      <w:tr w14:paraId="47F7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1" w:hRule="atLeast"/>
          <w:jc w:val="center"/>
        </w:trPr>
        <w:tc>
          <w:tcPr>
            <w:tcW w:w="8678" w:type="dxa"/>
            <w:tcBorders>
              <w:bottom w:val="single" w:color="000000" w:sz="6" w:space="0"/>
            </w:tcBorders>
            <w:vAlign w:val="center"/>
          </w:tcPr>
          <w:p w14:paraId="5E19A246">
            <w:pPr>
              <w:spacing w:line="297" w:lineRule="auto"/>
              <w:jc w:val="center"/>
              <w:rPr>
                <w:rFonts w:hint="eastAsia"/>
                <w:color w:val="auto"/>
                <w:sz w:val="24"/>
                <w:szCs w:val="24"/>
                <w:highlight w:val="none"/>
              </w:rPr>
            </w:pPr>
            <w:r>
              <w:rPr>
                <w:color w:val="auto"/>
                <w:sz w:val="24"/>
                <w:szCs w:val="24"/>
                <w:highlight w:val="none"/>
              </w:rPr>
              <w:t>信誉要求</w:t>
            </w:r>
          </w:p>
        </w:tc>
      </w:tr>
      <w:tr w14:paraId="4C64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4" w:hRule="atLeast"/>
          <w:jc w:val="center"/>
        </w:trPr>
        <w:tc>
          <w:tcPr>
            <w:tcW w:w="8678" w:type="dxa"/>
            <w:tcBorders>
              <w:top w:val="single" w:color="000000" w:sz="6" w:space="0"/>
            </w:tcBorders>
          </w:tcPr>
          <w:p w14:paraId="6B84DB1A">
            <w:pPr>
              <w:adjustRightInd w:val="0"/>
              <w:snapToGrid w:val="0"/>
              <w:spacing w:line="360" w:lineRule="auto"/>
              <w:ind w:firstLine="502"/>
              <w:rPr>
                <w:rFonts w:hint="eastAsia" w:ascii="宋体" w:hAnsi="宋体" w:cs="宋体"/>
                <w:color w:val="auto"/>
                <w:sz w:val="24"/>
                <w:szCs w:val="24"/>
                <w:highlight w:val="none"/>
              </w:rPr>
            </w:pPr>
            <w:r>
              <w:rPr>
                <w:rFonts w:hint="eastAsia" w:ascii="宋体" w:hAnsi="宋体" w:cs="宋体"/>
                <w:color w:val="auto"/>
                <w:sz w:val="24"/>
                <w:szCs w:val="24"/>
                <w:highlight w:val="none"/>
              </w:rPr>
              <w:t>在最新年度广东省公路工程从业单位（施工单位）信用评价（含无最新年度而上一年度有信用评价）中，信用等级未被评为D级；</w:t>
            </w:r>
          </w:p>
          <w:p w14:paraId="5DC2C9C8">
            <w:pPr>
              <w:pStyle w:val="10"/>
              <w:spacing w:before="7" w:line="360" w:lineRule="auto"/>
              <w:ind w:left="44" w:right="77" w:firstLine="537"/>
              <w:rPr>
                <w:rFonts w:hint="eastAsia"/>
                <w:color w:val="auto"/>
                <w:sz w:val="24"/>
                <w:szCs w:val="24"/>
                <w:highlight w:val="none"/>
              </w:rPr>
            </w:pPr>
            <w:r>
              <w:rPr>
                <w:rFonts w:hint="eastAsia" w:ascii="宋体" w:hAnsi="宋体" w:eastAsia="宋体" w:cs="宋体"/>
                <w:color w:val="auto"/>
                <w:sz w:val="24"/>
                <w:szCs w:val="24"/>
                <w:highlight w:val="none"/>
              </w:rPr>
              <w:t>初次进入广东省的投标人，在最新年度的全国公路从业单位（施工单位）信用评价结果中未被评为D级。</w:t>
            </w:r>
          </w:p>
        </w:tc>
      </w:tr>
    </w:tbl>
    <w:p w14:paraId="63116EC5">
      <w:pPr>
        <w:spacing w:line="255" w:lineRule="auto"/>
        <w:ind w:left="657" w:leftChars="95" w:hanging="448" w:hangingChars="200"/>
        <w:rPr>
          <w:rFonts w:hint="eastAsia"/>
          <w:color w:val="auto"/>
          <w:spacing w:val="12"/>
          <w:sz w:val="20"/>
          <w:szCs w:val="20"/>
          <w:highlight w:val="none"/>
        </w:rPr>
      </w:pPr>
      <w:r>
        <w:rPr>
          <w:rFonts w:hint="eastAsia"/>
          <w:color w:val="auto"/>
          <w:spacing w:val="12"/>
          <w:sz w:val="20"/>
          <w:szCs w:val="20"/>
          <w:highlight w:val="none"/>
        </w:rPr>
        <w:t>注：1、信用等级的确定原则遵循投标人须知前附表 10.2 款的规定。</w:t>
      </w:r>
    </w:p>
    <w:p w14:paraId="62F9383C">
      <w:pPr>
        <w:spacing w:line="255" w:lineRule="auto"/>
        <w:ind w:left="627" w:leftChars="285"/>
        <w:rPr>
          <w:rFonts w:hint="eastAsia"/>
          <w:color w:val="auto"/>
          <w:spacing w:val="12"/>
          <w:sz w:val="20"/>
          <w:szCs w:val="20"/>
          <w:highlight w:val="none"/>
        </w:rPr>
      </w:pPr>
      <w:r>
        <w:rPr>
          <w:rFonts w:hint="eastAsia"/>
          <w:color w:val="auto"/>
          <w:spacing w:val="12"/>
          <w:sz w:val="20"/>
          <w:szCs w:val="20"/>
          <w:highlight w:val="none"/>
        </w:rPr>
        <w:t>2、投标人应根据第九章“投标文件格式”中“七、资格审查资料（五）投标人的信誉情况表”填写情况说明。</w:t>
      </w:r>
    </w:p>
    <w:p w14:paraId="62B86978">
      <w:pPr>
        <w:pStyle w:val="2"/>
        <w:ind w:firstLine="0" w:firstLineChars="0"/>
        <w:rPr>
          <w:color w:val="auto"/>
          <w:highlight w:val="none"/>
        </w:rPr>
      </w:pPr>
    </w:p>
    <w:p w14:paraId="28A125E0">
      <w:pPr>
        <w:rPr>
          <w:color w:val="auto"/>
          <w:highlight w:val="none"/>
        </w:rPr>
      </w:pPr>
    </w:p>
    <w:p w14:paraId="546B0B6C">
      <w:pPr>
        <w:pStyle w:val="2"/>
        <w:rPr>
          <w:color w:val="auto"/>
          <w:highlight w:val="none"/>
        </w:rPr>
      </w:pPr>
    </w:p>
    <w:p w14:paraId="74CABEF5">
      <w:pPr>
        <w:rPr>
          <w:color w:val="auto"/>
          <w:highlight w:val="none"/>
        </w:rPr>
      </w:pPr>
    </w:p>
    <w:p w14:paraId="3859B67D">
      <w:pPr>
        <w:pStyle w:val="2"/>
      </w:pPr>
    </w:p>
    <w:p w14:paraId="76339918">
      <w:pPr>
        <w:autoSpaceDE/>
        <w:autoSpaceDN/>
        <w:spacing w:line="300" w:lineRule="exact"/>
        <w:jc w:val="center"/>
        <w:rPr>
          <w:rFonts w:hint="eastAsia" w:cs="Times New Roman"/>
          <w:color w:val="auto"/>
          <w:kern w:val="2"/>
          <w:sz w:val="24"/>
          <w:szCs w:val="24"/>
          <w:highlight w:val="none"/>
        </w:rPr>
      </w:pPr>
      <w:r>
        <w:rPr>
          <w:rFonts w:cs="Times New Roman"/>
          <w:color w:val="auto"/>
          <w:kern w:val="2"/>
          <w:sz w:val="24"/>
          <w:szCs w:val="24"/>
          <w:highlight w:val="none"/>
        </w:rPr>
        <w:t>附录 5  资格审查条件</w:t>
      </w:r>
      <w:r>
        <w:rPr>
          <w:rFonts w:hint="eastAsia" w:cs="Times New Roman"/>
          <w:color w:val="auto"/>
          <w:kern w:val="2"/>
          <w:sz w:val="24"/>
          <w:szCs w:val="24"/>
          <w:highlight w:val="none"/>
        </w:rPr>
        <w:t>（</w:t>
      </w:r>
      <w:r>
        <w:rPr>
          <w:rFonts w:cs="Times New Roman"/>
          <w:color w:val="auto"/>
          <w:kern w:val="2"/>
          <w:sz w:val="24"/>
          <w:szCs w:val="24"/>
          <w:highlight w:val="none"/>
        </w:rPr>
        <w:t>项目经理和项目总工最低要求</w:t>
      </w:r>
      <w:r>
        <w:rPr>
          <w:rFonts w:hint="eastAsia" w:cs="Times New Roman"/>
          <w:color w:val="auto"/>
          <w:kern w:val="2"/>
          <w:sz w:val="24"/>
          <w:szCs w:val="24"/>
          <w:highlight w:val="none"/>
        </w:rPr>
        <w:t>）</w:t>
      </w: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92"/>
        <w:gridCol w:w="5670"/>
        <w:gridCol w:w="1525"/>
      </w:tblGrid>
      <w:tr w14:paraId="194A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3" w:type="dxa"/>
            <w:vAlign w:val="center"/>
          </w:tcPr>
          <w:p w14:paraId="0F691565">
            <w:pPr>
              <w:jc w:val="center"/>
              <w:rPr>
                <w:rFonts w:hint="eastAsia"/>
                <w:color w:val="auto"/>
                <w:sz w:val="24"/>
                <w:szCs w:val="24"/>
                <w:highlight w:val="none"/>
              </w:rPr>
            </w:pPr>
            <w:r>
              <w:rPr>
                <w:rFonts w:hint="eastAsia"/>
                <w:color w:val="auto"/>
                <w:sz w:val="24"/>
                <w:szCs w:val="24"/>
                <w:highlight w:val="none"/>
              </w:rPr>
              <w:t>人员</w:t>
            </w:r>
          </w:p>
        </w:tc>
        <w:tc>
          <w:tcPr>
            <w:tcW w:w="992" w:type="dxa"/>
            <w:vAlign w:val="center"/>
          </w:tcPr>
          <w:p w14:paraId="2626A83A">
            <w:pPr>
              <w:jc w:val="center"/>
              <w:rPr>
                <w:rFonts w:hint="eastAsia"/>
                <w:color w:val="auto"/>
                <w:sz w:val="24"/>
                <w:szCs w:val="24"/>
                <w:highlight w:val="none"/>
              </w:rPr>
            </w:pPr>
            <w:r>
              <w:rPr>
                <w:rFonts w:hint="eastAsia"/>
                <w:color w:val="auto"/>
                <w:sz w:val="24"/>
                <w:szCs w:val="24"/>
                <w:highlight w:val="none"/>
              </w:rPr>
              <w:t>数量</w:t>
            </w:r>
          </w:p>
          <w:p w14:paraId="0FFE21F3">
            <w:pPr>
              <w:jc w:val="center"/>
              <w:rPr>
                <w:rFonts w:hint="eastAsia"/>
                <w:color w:val="auto"/>
                <w:sz w:val="24"/>
                <w:szCs w:val="24"/>
                <w:highlight w:val="none"/>
              </w:rPr>
            </w:pPr>
            <w:r>
              <w:rPr>
                <w:rFonts w:hint="eastAsia"/>
                <w:color w:val="auto"/>
                <w:sz w:val="24"/>
                <w:szCs w:val="24"/>
                <w:highlight w:val="none"/>
              </w:rPr>
              <w:t>（人）</w:t>
            </w:r>
          </w:p>
        </w:tc>
        <w:tc>
          <w:tcPr>
            <w:tcW w:w="5670" w:type="dxa"/>
            <w:vAlign w:val="center"/>
          </w:tcPr>
          <w:p w14:paraId="38655A0E">
            <w:pPr>
              <w:jc w:val="center"/>
              <w:rPr>
                <w:rFonts w:hint="eastAsia"/>
                <w:color w:val="auto"/>
                <w:sz w:val="24"/>
                <w:szCs w:val="24"/>
                <w:highlight w:val="none"/>
              </w:rPr>
            </w:pPr>
            <w:r>
              <w:rPr>
                <w:rFonts w:hint="eastAsia"/>
                <w:color w:val="auto"/>
                <w:sz w:val="24"/>
                <w:szCs w:val="24"/>
                <w:highlight w:val="none"/>
              </w:rPr>
              <w:t>资质要求</w:t>
            </w:r>
          </w:p>
        </w:tc>
        <w:tc>
          <w:tcPr>
            <w:tcW w:w="1525" w:type="dxa"/>
            <w:vAlign w:val="center"/>
          </w:tcPr>
          <w:p w14:paraId="57C291FC">
            <w:pPr>
              <w:jc w:val="center"/>
              <w:rPr>
                <w:rFonts w:hint="eastAsia"/>
                <w:color w:val="auto"/>
                <w:sz w:val="24"/>
                <w:szCs w:val="24"/>
                <w:highlight w:val="none"/>
              </w:rPr>
            </w:pPr>
            <w:r>
              <w:rPr>
                <w:rFonts w:hint="eastAsia"/>
                <w:color w:val="auto"/>
                <w:sz w:val="24"/>
                <w:szCs w:val="24"/>
                <w:highlight w:val="none"/>
              </w:rPr>
              <w:t>在岗要求</w:t>
            </w:r>
          </w:p>
        </w:tc>
      </w:tr>
      <w:tr w14:paraId="1424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813" w:type="dxa"/>
            <w:vAlign w:val="center"/>
          </w:tcPr>
          <w:p w14:paraId="058ACBEC">
            <w:pPr>
              <w:spacing w:line="360" w:lineRule="auto"/>
              <w:jc w:val="center"/>
              <w:rPr>
                <w:rFonts w:hint="eastAsia"/>
                <w:color w:val="auto"/>
                <w:sz w:val="24"/>
                <w:szCs w:val="24"/>
                <w:highlight w:val="none"/>
              </w:rPr>
            </w:pPr>
            <w:r>
              <w:rPr>
                <w:rFonts w:hint="eastAsia"/>
                <w:color w:val="auto"/>
                <w:sz w:val="24"/>
                <w:szCs w:val="24"/>
                <w:highlight w:val="none"/>
              </w:rPr>
              <w:t>项目经理</w:t>
            </w:r>
          </w:p>
        </w:tc>
        <w:tc>
          <w:tcPr>
            <w:tcW w:w="992" w:type="dxa"/>
            <w:vAlign w:val="center"/>
          </w:tcPr>
          <w:p w14:paraId="40AFEE3A">
            <w:pPr>
              <w:spacing w:line="360" w:lineRule="auto"/>
              <w:jc w:val="center"/>
              <w:rPr>
                <w:rFonts w:hint="eastAsia"/>
                <w:color w:val="auto"/>
                <w:sz w:val="24"/>
                <w:szCs w:val="24"/>
                <w:highlight w:val="none"/>
              </w:rPr>
            </w:pPr>
            <w:r>
              <w:rPr>
                <w:rFonts w:hint="eastAsia"/>
                <w:color w:val="auto"/>
                <w:sz w:val="24"/>
                <w:szCs w:val="24"/>
                <w:highlight w:val="none"/>
              </w:rPr>
              <w:t>1</w:t>
            </w:r>
          </w:p>
        </w:tc>
        <w:tc>
          <w:tcPr>
            <w:tcW w:w="5670" w:type="dxa"/>
            <w:vAlign w:val="center"/>
          </w:tcPr>
          <w:p w14:paraId="110DC6AB">
            <w:pPr>
              <w:spacing w:line="360" w:lineRule="auto"/>
              <w:jc w:val="both"/>
              <w:rPr>
                <w:rFonts w:hint="eastAsia" w:cs="Times New Roman"/>
                <w:color w:val="auto"/>
                <w:sz w:val="24"/>
                <w:szCs w:val="24"/>
                <w:highlight w:val="none"/>
              </w:rPr>
            </w:pPr>
            <w:r>
              <w:rPr>
                <w:rFonts w:hint="eastAsia" w:cs="Times New Roman"/>
                <w:color w:val="auto"/>
                <w:kern w:val="2"/>
                <w:sz w:val="24"/>
                <w:szCs w:val="24"/>
                <w:highlight w:val="none"/>
                <w:lang w:bidi="ar"/>
              </w:rPr>
              <w:t>工程师，并持有住房和城乡建设部颁发的公路工程专业一级建造师注册证书，具有交通主管部门颁发的有效安全生产 “三类人员 ”B类证书，担任过2个类似工程项目经理（或项目副经理或项目总工）的岗位工作经验。</w:t>
            </w:r>
          </w:p>
        </w:tc>
        <w:tc>
          <w:tcPr>
            <w:tcW w:w="1525" w:type="dxa"/>
            <w:vMerge w:val="restart"/>
            <w:vAlign w:val="center"/>
          </w:tcPr>
          <w:p w14:paraId="58DD0EAA">
            <w:pPr>
              <w:spacing w:line="360" w:lineRule="auto"/>
              <w:rPr>
                <w:rFonts w:hint="eastAsia"/>
                <w:color w:val="auto"/>
                <w:sz w:val="24"/>
                <w:szCs w:val="24"/>
                <w:highlight w:val="none"/>
              </w:rPr>
            </w:pPr>
            <w:bookmarkStart w:id="0" w:name="OLE_LINK20"/>
            <w:r>
              <w:rPr>
                <w:rFonts w:hint="eastAsia" w:cs="Times New Roman"/>
                <w:color w:val="auto"/>
                <w:sz w:val="24"/>
                <w:szCs w:val="24"/>
                <w:highlight w:val="none"/>
              </w:rPr>
              <w:t>无在岗项目（指目前</w:t>
            </w:r>
            <w:r>
              <w:rPr>
                <w:rFonts w:hint="eastAsia"/>
                <w:color w:val="auto"/>
                <w:sz w:val="24"/>
                <w:szCs w:val="24"/>
                <w:highlight w:val="none"/>
              </w:rPr>
              <w:t>未在其他项目上任职，或虽在其他项目上任职但本项目中标后能够从该项目撤离）</w:t>
            </w:r>
            <w:bookmarkEnd w:id="0"/>
          </w:p>
        </w:tc>
      </w:tr>
      <w:tr w14:paraId="4401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13" w:type="dxa"/>
            <w:vAlign w:val="center"/>
          </w:tcPr>
          <w:p w14:paraId="0273B872">
            <w:pPr>
              <w:spacing w:line="360" w:lineRule="auto"/>
              <w:jc w:val="center"/>
              <w:rPr>
                <w:rFonts w:hint="eastAsia"/>
                <w:color w:val="auto"/>
                <w:sz w:val="24"/>
                <w:szCs w:val="24"/>
                <w:highlight w:val="none"/>
              </w:rPr>
            </w:pPr>
            <w:r>
              <w:rPr>
                <w:rFonts w:hint="eastAsia"/>
                <w:color w:val="auto"/>
                <w:sz w:val="24"/>
                <w:szCs w:val="24"/>
                <w:highlight w:val="none"/>
              </w:rPr>
              <w:t>项目总工</w:t>
            </w:r>
          </w:p>
        </w:tc>
        <w:tc>
          <w:tcPr>
            <w:tcW w:w="992" w:type="dxa"/>
            <w:vAlign w:val="center"/>
          </w:tcPr>
          <w:p w14:paraId="49DDD6EC">
            <w:pPr>
              <w:spacing w:line="360" w:lineRule="auto"/>
              <w:jc w:val="center"/>
              <w:rPr>
                <w:rFonts w:hint="eastAsia"/>
                <w:color w:val="auto"/>
                <w:sz w:val="24"/>
                <w:szCs w:val="24"/>
                <w:highlight w:val="none"/>
              </w:rPr>
            </w:pPr>
            <w:r>
              <w:rPr>
                <w:rFonts w:hint="eastAsia"/>
                <w:color w:val="auto"/>
                <w:sz w:val="24"/>
                <w:szCs w:val="24"/>
                <w:highlight w:val="none"/>
              </w:rPr>
              <w:t>1</w:t>
            </w:r>
          </w:p>
        </w:tc>
        <w:tc>
          <w:tcPr>
            <w:tcW w:w="5670" w:type="dxa"/>
            <w:vAlign w:val="center"/>
          </w:tcPr>
          <w:p w14:paraId="722537BA">
            <w:pPr>
              <w:spacing w:line="360" w:lineRule="auto"/>
              <w:rPr>
                <w:rFonts w:hint="eastAsia" w:cs="Times New Roman"/>
                <w:color w:val="auto"/>
                <w:sz w:val="24"/>
                <w:szCs w:val="24"/>
                <w:highlight w:val="none"/>
              </w:rPr>
            </w:pPr>
            <w:r>
              <w:rPr>
                <w:rFonts w:hint="eastAsia" w:cs="Times New Roman"/>
                <w:color w:val="auto"/>
                <w:kern w:val="2"/>
                <w:sz w:val="24"/>
                <w:szCs w:val="24"/>
                <w:highlight w:val="none"/>
                <w:lang w:val="en-US" w:eastAsia="zh-CN" w:bidi="ar"/>
              </w:rPr>
              <w:t>路桥</w:t>
            </w:r>
            <w:r>
              <w:rPr>
                <w:rFonts w:hint="eastAsia" w:cs="Times New Roman"/>
                <w:color w:val="auto"/>
                <w:kern w:val="2"/>
                <w:sz w:val="24"/>
                <w:szCs w:val="24"/>
                <w:highlight w:val="none"/>
                <w:lang w:bidi="ar"/>
              </w:rPr>
              <w:t>相关</w:t>
            </w:r>
            <w:r>
              <w:rPr>
                <w:rFonts w:hint="eastAsia" w:cs="Times New Roman"/>
                <w:color w:val="auto"/>
                <w:sz w:val="24"/>
                <w:szCs w:val="24"/>
                <w:highlight w:val="none"/>
              </w:rPr>
              <w:t>专业高级工程师，</w:t>
            </w:r>
            <w:r>
              <w:rPr>
                <w:rFonts w:hint="eastAsia" w:cs="Times New Roman"/>
                <w:color w:val="auto"/>
                <w:kern w:val="2"/>
                <w:sz w:val="24"/>
                <w:szCs w:val="24"/>
                <w:highlight w:val="none"/>
                <w:lang w:bidi="ar"/>
              </w:rPr>
              <w:t>担任过2个类似工程项目总工（或项目经理或项目副经理）的岗位工作经验。</w:t>
            </w:r>
          </w:p>
        </w:tc>
        <w:tc>
          <w:tcPr>
            <w:tcW w:w="1525" w:type="dxa"/>
            <w:vMerge w:val="continue"/>
          </w:tcPr>
          <w:p w14:paraId="7D4230ED">
            <w:pPr>
              <w:pStyle w:val="5"/>
              <w:spacing w:line="360" w:lineRule="auto"/>
              <w:ind w:left="440"/>
              <w:rPr>
                <w:rFonts w:hint="eastAsia"/>
                <w:color w:val="auto"/>
                <w:sz w:val="24"/>
                <w:szCs w:val="24"/>
                <w:highlight w:val="none"/>
              </w:rPr>
            </w:pPr>
          </w:p>
        </w:tc>
      </w:tr>
    </w:tbl>
    <w:p w14:paraId="6943092D">
      <w:pPr>
        <w:spacing w:line="255" w:lineRule="auto"/>
        <w:ind w:left="657" w:leftChars="95" w:hanging="448" w:hangingChars="200"/>
        <w:rPr>
          <w:rFonts w:hint="eastAsia"/>
          <w:color w:val="auto"/>
          <w:spacing w:val="12"/>
          <w:sz w:val="20"/>
          <w:szCs w:val="20"/>
          <w:highlight w:val="none"/>
        </w:rPr>
      </w:pPr>
      <w:r>
        <w:rPr>
          <w:rFonts w:hint="eastAsia"/>
          <w:color w:val="auto"/>
          <w:spacing w:val="12"/>
          <w:sz w:val="20"/>
          <w:szCs w:val="20"/>
          <w:highlight w:val="none"/>
        </w:rPr>
        <w:t>注：1、要求的人员建造师注册证书、安全生产“三类人员 ”B类证书均应在投标人所在单位，否则视为无效。</w:t>
      </w:r>
    </w:p>
    <w:p w14:paraId="6EB18DEC">
      <w:pPr>
        <w:spacing w:line="255" w:lineRule="auto"/>
        <w:ind w:left="627" w:leftChars="285"/>
        <w:rPr>
          <w:rFonts w:hint="eastAsia"/>
          <w:color w:val="auto"/>
          <w:spacing w:val="12"/>
          <w:sz w:val="20"/>
          <w:szCs w:val="20"/>
          <w:highlight w:val="none"/>
        </w:rPr>
      </w:pPr>
      <w:r>
        <w:rPr>
          <w:rFonts w:hint="eastAsia"/>
          <w:color w:val="auto"/>
          <w:spacing w:val="12"/>
          <w:sz w:val="20"/>
          <w:szCs w:val="20"/>
          <w:highlight w:val="none"/>
        </w:rPr>
        <w:t>2、附录 5 所要求人员须按第二章“投标人须知”第3.5.5项的要求附有效的证明材料，所有证明材料均须与身份证上的信息一致，否则视为无效证明材料。</w:t>
      </w:r>
    </w:p>
    <w:p w14:paraId="54478382">
      <w:pPr>
        <w:spacing w:line="255" w:lineRule="auto"/>
        <w:ind w:left="627" w:leftChars="285"/>
        <w:rPr>
          <w:rFonts w:hint="eastAsia"/>
          <w:color w:val="auto"/>
          <w:spacing w:val="12"/>
          <w:sz w:val="20"/>
          <w:szCs w:val="20"/>
          <w:highlight w:val="none"/>
        </w:rPr>
      </w:pPr>
      <w:r>
        <w:rPr>
          <w:rFonts w:hint="eastAsia"/>
          <w:color w:val="auto"/>
          <w:spacing w:val="12"/>
          <w:sz w:val="20"/>
          <w:szCs w:val="20"/>
          <w:highlight w:val="none"/>
        </w:rPr>
        <w:t>3、投标人拟派出的项目经理和项目总工应分别在相应的“拟委任的项目经理和项目总工声明”亲笔签名，未在声明亲笔签名确认的，将不通过资格审查。</w:t>
      </w:r>
    </w:p>
    <w:p w14:paraId="30AC9B7E">
      <w:pPr>
        <w:rPr>
          <w:rFonts w:hint="eastAsia"/>
          <w:color w:val="auto"/>
          <w:highlight w:val="none"/>
        </w:rPr>
        <w:sectPr>
          <w:pgSz w:w="11905" w:h="16838"/>
          <w:pgMar w:top="1417" w:right="1020" w:bottom="1417" w:left="1134" w:header="0" w:footer="907" w:gutter="0"/>
          <w:cols w:space="0" w:num="1"/>
        </w:sectPr>
      </w:pPr>
    </w:p>
    <w:p w14:paraId="225DED65">
      <w:pPr>
        <w:autoSpaceDE/>
        <w:autoSpaceDN/>
        <w:spacing w:line="300" w:lineRule="exact"/>
        <w:jc w:val="center"/>
        <w:rPr>
          <w:rFonts w:hint="eastAsia" w:cs="Times New Roman"/>
          <w:color w:val="auto"/>
          <w:kern w:val="2"/>
          <w:sz w:val="24"/>
          <w:szCs w:val="24"/>
          <w:highlight w:val="none"/>
        </w:rPr>
      </w:pPr>
      <w:r>
        <w:rPr>
          <w:rFonts w:cs="Times New Roman"/>
          <w:color w:val="auto"/>
          <w:kern w:val="2"/>
          <w:sz w:val="24"/>
          <w:szCs w:val="24"/>
          <w:highlight w:val="none"/>
        </w:rPr>
        <w:t>附录 6  资格审查条件</w:t>
      </w:r>
      <w:r>
        <w:rPr>
          <w:rFonts w:hint="eastAsia" w:cs="Times New Roman"/>
          <w:color w:val="auto"/>
          <w:kern w:val="2"/>
          <w:sz w:val="24"/>
          <w:szCs w:val="24"/>
          <w:highlight w:val="none"/>
        </w:rPr>
        <w:t>（</w:t>
      </w:r>
      <w:r>
        <w:rPr>
          <w:rFonts w:cs="Times New Roman"/>
          <w:color w:val="auto"/>
          <w:kern w:val="2"/>
          <w:sz w:val="24"/>
          <w:szCs w:val="24"/>
          <w:highlight w:val="none"/>
        </w:rPr>
        <w:t>其他主要管理人员和技术人员最低要求</w:t>
      </w:r>
      <w:r>
        <w:rPr>
          <w:rFonts w:hint="eastAsia" w:cs="Times New Roman"/>
          <w:color w:val="auto"/>
          <w:kern w:val="2"/>
          <w:sz w:val="24"/>
          <w:szCs w:val="24"/>
          <w:highlight w:val="none"/>
        </w:rPr>
        <w:t>）</w:t>
      </w:r>
    </w:p>
    <w:p w14:paraId="5473AE93">
      <w:pPr>
        <w:autoSpaceDE/>
        <w:autoSpaceDN/>
        <w:spacing w:line="300" w:lineRule="exact"/>
        <w:jc w:val="center"/>
        <w:rPr>
          <w:rFonts w:hint="eastAsia" w:cs="Times New Roman"/>
          <w:color w:val="auto"/>
          <w:kern w:val="2"/>
          <w:sz w:val="24"/>
          <w:szCs w:val="24"/>
          <w:highlight w:val="none"/>
        </w:rPr>
      </w:pPr>
    </w:p>
    <w:tbl>
      <w:tblPr>
        <w:tblStyle w:val="8"/>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297"/>
        <w:gridCol w:w="5700"/>
      </w:tblGrid>
      <w:tr w14:paraId="309A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jc w:val="center"/>
        </w:trPr>
        <w:tc>
          <w:tcPr>
            <w:tcW w:w="1780" w:type="dxa"/>
            <w:vAlign w:val="center"/>
          </w:tcPr>
          <w:p w14:paraId="3913D8DB">
            <w:pPr>
              <w:spacing w:line="400" w:lineRule="atLeast"/>
              <w:jc w:val="center"/>
              <w:rPr>
                <w:rFonts w:hint="eastAsia"/>
                <w:color w:val="auto"/>
                <w:sz w:val="24"/>
                <w:szCs w:val="24"/>
                <w:highlight w:val="none"/>
              </w:rPr>
            </w:pPr>
            <w:r>
              <w:rPr>
                <w:rFonts w:hint="eastAsia"/>
                <w:color w:val="auto"/>
                <w:sz w:val="24"/>
                <w:szCs w:val="24"/>
                <w:highlight w:val="none"/>
              </w:rPr>
              <w:t>人  员</w:t>
            </w:r>
          </w:p>
        </w:tc>
        <w:tc>
          <w:tcPr>
            <w:tcW w:w="1297" w:type="dxa"/>
            <w:vAlign w:val="center"/>
          </w:tcPr>
          <w:p w14:paraId="2638B4EF">
            <w:pPr>
              <w:spacing w:line="400" w:lineRule="atLeast"/>
              <w:jc w:val="center"/>
              <w:rPr>
                <w:rFonts w:hint="eastAsia"/>
                <w:color w:val="auto"/>
                <w:sz w:val="24"/>
                <w:szCs w:val="24"/>
                <w:highlight w:val="none"/>
              </w:rPr>
            </w:pPr>
            <w:r>
              <w:rPr>
                <w:rFonts w:hint="eastAsia"/>
                <w:color w:val="auto"/>
                <w:sz w:val="24"/>
                <w:szCs w:val="24"/>
                <w:highlight w:val="none"/>
              </w:rPr>
              <w:t>数  量</w:t>
            </w:r>
          </w:p>
        </w:tc>
        <w:tc>
          <w:tcPr>
            <w:tcW w:w="5700" w:type="dxa"/>
            <w:vAlign w:val="center"/>
          </w:tcPr>
          <w:p w14:paraId="458C5C4E">
            <w:pPr>
              <w:spacing w:line="400" w:lineRule="atLeast"/>
              <w:jc w:val="center"/>
              <w:rPr>
                <w:rFonts w:hint="eastAsia"/>
                <w:color w:val="auto"/>
                <w:sz w:val="24"/>
                <w:szCs w:val="24"/>
                <w:highlight w:val="none"/>
              </w:rPr>
            </w:pPr>
            <w:r>
              <w:rPr>
                <w:rFonts w:hint="eastAsia"/>
                <w:color w:val="auto"/>
                <w:sz w:val="24"/>
                <w:szCs w:val="24"/>
                <w:highlight w:val="none"/>
              </w:rPr>
              <w:t>资 格 要 求</w:t>
            </w:r>
          </w:p>
        </w:tc>
      </w:tr>
      <w:tr w14:paraId="44FA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vAlign w:val="center"/>
          </w:tcPr>
          <w:p w14:paraId="48F52CDC">
            <w:pPr>
              <w:spacing w:line="400" w:lineRule="atLeast"/>
              <w:jc w:val="center"/>
              <w:rPr>
                <w:rFonts w:hint="eastAsia"/>
                <w:color w:val="auto"/>
                <w:sz w:val="24"/>
                <w:szCs w:val="24"/>
                <w:highlight w:val="none"/>
              </w:rPr>
            </w:pPr>
            <w:r>
              <w:rPr>
                <w:rFonts w:hint="eastAsia"/>
                <w:color w:val="auto"/>
                <w:sz w:val="24"/>
                <w:szCs w:val="24"/>
                <w:highlight w:val="none"/>
              </w:rPr>
              <w:t>项目副经理</w:t>
            </w:r>
          </w:p>
        </w:tc>
        <w:tc>
          <w:tcPr>
            <w:tcW w:w="1297" w:type="dxa"/>
            <w:vAlign w:val="center"/>
          </w:tcPr>
          <w:p w14:paraId="17F53D52">
            <w:pPr>
              <w:spacing w:line="400" w:lineRule="atLeast"/>
              <w:jc w:val="center"/>
              <w:rPr>
                <w:rFonts w:hint="eastAsia"/>
                <w:color w:val="auto"/>
                <w:sz w:val="24"/>
                <w:szCs w:val="24"/>
                <w:highlight w:val="none"/>
              </w:rPr>
            </w:pPr>
            <w:r>
              <w:rPr>
                <w:rFonts w:hint="eastAsia"/>
                <w:color w:val="auto"/>
                <w:sz w:val="24"/>
                <w:szCs w:val="24"/>
                <w:highlight w:val="none"/>
              </w:rPr>
              <w:t>1</w:t>
            </w:r>
          </w:p>
        </w:tc>
        <w:tc>
          <w:tcPr>
            <w:tcW w:w="5700" w:type="dxa"/>
            <w:vAlign w:val="center"/>
          </w:tcPr>
          <w:p w14:paraId="7AA38383">
            <w:pPr>
              <w:spacing w:line="400" w:lineRule="atLeast"/>
              <w:rPr>
                <w:rFonts w:hint="eastAsia"/>
                <w:color w:val="auto"/>
                <w:sz w:val="24"/>
                <w:szCs w:val="24"/>
                <w:highlight w:val="none"/>
              </w:rPr>
            </w:pPr>
            <w:r>
              <w:rPr>
                <w:rFonts w:hint="eastAsia"/>
                <w:color w:val="auto"/>
                <w:sz w:val="24"/>
                <w:szCs w:val="24"/>
                <w:highlight w:val="none"/>
              </w:rPr>
              <w:t>具有路桥中级或以上职称，3年以上工作经验且必须从事类似工程施工2年以上。</w:t>
            </w:r>
          </w:p>
        </w:tc>
      </w:tr>
      <w:tr w14:paraId="5F3E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vAlign w:val="center"/>
          </w:tcPr>
          <w:p w14:paraId="06699B70">
            <w:pPr>
              <w:spacing w:line="400" w:lineRule="atLeast"/>
              <w:jc w:val="center"/>
              <w:rPr>
                <w:rFonts w:hint="eastAsia"/>
                <w:color w:val="auto"/>
                <w:sz w:val="24"/>
                <w:szCs w:val="24"/>
                <w:highlight w:val="none"/>
              </w:rPr>
            </w:pPr>
            <w:r>
              <w:rPr>
                <w:rFonts w:hint="eastAsia"/>
                <w:color w:val="auto"/>
                <w:sz w:val="24"/>
                <w:szCs w:val="24"/>
                <w:highlight w:val="none"/>
              </w:rPr>
              <w:t>质检工程师</w:t>
            </w:r>
          </w:p>
        </w:tc>
        <w:tc>
          <w:tcPr>
            <w:tcW w:w="1297" w:type="dxa"/>
            <w:vAlign w:val="center"/>
          </w:tcPr>
          <w:p w14:paraId="5BE715B6">
            <w:pPr>
              <w:spacing w:line="400" w:lineRule="atLeast"/>
              <w:jc w:val="center"/>
              <w:rPr>
                <w:rFonts w:hint="eastAsia"/>
                <w:color w:val="auto"/>
                <w:sz w:val="24"/>
                <w:szCs w:val="24"/>
                <w:highlight w:val="none"/>
              </w:rPr>
            </w:pPr>
            <w:r>
              <w:rPr>
                <w:rFonts w:hint="eastAsia"/>
                <w:color w:val="auto"/>
                <w:sz w:val="24"/>
                <w:szCs w:val="24"/>
                <w:highlight w:val="none"/>
              </w:rPr>
              <w:t>1</w:t>
            </w:r>
          </w:p>
        </w:tc>
        <w:tc>
          <w:tcPr>
            <w:tcW w:w="5700" w:type="dxa"/>
            <w:vAlign w:val="center"/>
          </w:tcPr>
          <w:p w14:paraId="7E0C6FA9">
            <w:pPr>
              <w:spacing w:line="400" w:lineRule="atLeast"/>
              <w:rPr>
                <w:rFonts w:hint="eastAsia"/>
                <w:color w:val="auto"/>
                <w:sz w:val="24"/>
                <w:szCs w:val="24"/>
                <w:highlight w:val="none"/>
              </w:rPr>
            </w:pPr>
            <w:r>
              <w:rPr>
                <w:rFonts w:hint="eastAsia"/>
                <w:color w:val="auto"/>
                <w:sz w:val="24"/>
                <w:szCs w:val="24"/>
                <w:highlight w:val="none"/>
              </w:rPr>
              <w:t>具有路桥中级或以上职称，从事类似工程施工2年以上。</w:t>
            </w:r>
          </w:p>
        </w:tc>
      </w:tr>
      <w:tr w14:paraId="4D14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vAlign w:val="center"/>
          </w:tcPr>
          <w:p w14:paraId="7B73C00C">
            <w:pPr>
              <w:spacing w:line="400" w:lineRule="atLeast"/>
              <w:jc w:val="center"/>
              <w:rPr>
                <w:rFonts w:hint="eastAsia"/>
                <w:color w:val="auto"/>
                <w:sz w:val="24"/>
                <w:szCs w:val="24"/>
                <w:highlight w:val="none"/>
              </w:rPr>
            </w:pPr>
            <w:r>
              <w:rPr>
                <w:rFonts w:hint="eastAsia"/>
                <w:color w:val="auto"/>
                <w:sz w:val="24"/>
                <w:szCs w:val="24"/>
                <w:highlight w:val="none"/>
              </w:rPr>
              <w:t>计划工程师</w:t>
            </w:r>
          </w:p>
        </w:tc>
        <w:tc>
          <w:tcPr>
            <w:tcW w:w="1297" w:type="dxa"/>
            <w:vAlign w:val="center"/>
          </w:tcPr>
          <w:p w14:paraId="30F89E1D">
            <w:pPr>
              <w:spacing w:line="400" w:lineRule="atLeast"/>
              <w:jc w:val="center"/>
              <w:rPr>
                <w:rFonts w:hint="eastAsia"/>
                <w:color w:val="auto"/>
                <w:sz w:val="24"/>
                <w:szCs w:val="24"/>
                <w:highlight w:val="none"/>
              </w:rPr>
            </w:pPr>
            <w:r>
              <w:rPr>
                <w:rFonts w:hint="eastAsia"/>
                <w:color w:val="auto"/>
                <w:sz w:val="24"/>
                <w:szCs w:val="24"/>
                <w:highlight w:val="none"/>
              </w:rPr>
              <w:t>1</w:t>
            </w:r>
          </w:p>
        </w:tc>
        <w:tc>
          <w:tcPr>
            <w:tcW w:w="5700" w:type="dxa"/>
            <w:vAlign w:val="center"/>
          </w:tcPr>
          <w:p w14:paraId="5E452742">
            <w:pPr>
              <w:spacing w:line="400" w:lineRule="atLeast"/>
              <w:rPr>
                <w:rFonts w:hint="eastAsia"/>
                <w:color w:val="auto"/>
                <w:sz w:val="24"/>
                <w:szCs w:val="24"/>
                <w:highlight w:val="none"/>
              </w:rPr>
            </w:pPr>
            <w:r>
              <w:rPr>
                <w:rFonts w:hint="eastAsia"/>
                <w:color w:val="auto"/>
                <w:sz w:val="24"/>
                <w:szCs w:val="24"/>
                <w:highlight w:val="none"/>
              </w:rPr>
              <w:t>具有路桥中级或以上职称，至少有负责类似工程计划工作2年以上经验。</w:t>
            </w:r>
          </w:p>
        </w:tc>
      </w:tr>
      <w:tr w14:paraId="251F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vAlign w:val="center"/>
          </w:tcPr>
          <w:p w14:paraId="5C07467C">
            <w:pPr>
              <w:spacing w:line="400" w:lineRule="atLeast"/>
              <w:jc w:val="center"/>
              <w:rPr>
                <w:rFonts w:hint="eastAsia"/>
                <w:color w:val="auto"/>
                <w:sz w:val="24"/>
                <w:szCs w:val="24"/>
                <w:highlight w:val="none"/>
              </w:rPr>
            </w:pPr>
            <w:r>
              <w:rPr>
                <w:rFonts w:hint="eastAsia"/>
                <w:color w:val="auto"/>
                <w:sz w:val="24"/>
                <w:szCs w:val="24"/>
                <w:highlight w:val="none"/>
              </w:rPr>
              <w:t>路桥工程师</w:t>
            </w:r>
          </w:p>
        </w:tc>
        <w:tc>
          <w:tcPr>
            <w:tcW w:w="1297" w:type="dxa"/>
            <w:vAlign w:val="center"/>
          </w:tcPr>
          <w:p w14:paraId="1F4A7D21">
            <w:pPr>
              <w:spacing w:line="400" w:lineRule="atLeast"/>
              <w:jc w:val="center"/>
              <w:rPr>
                <w:rFonts w:hint="eastAsia"/>
                <w:color w:val="auto"/>
                <w:sz w:val="24"/>
                <w:szCs w:val="24"/>
                <w:highlight w:val="none"/>
              </w:rPr>
            </w:pPr>
            <w:r>
              <w:rPr>
                <w:rFonts w:hint="eastAsia"/>
                <w:color w:val="auto"/>
                <w:sz w:val="24"/>
                <w:szCs w:val="24"/>
                <w:highlight w:val="none"/>
              </w:rPr>
              <w:t>1</w:t>
            </w:r>
          </w:p>
        </w:tc>
        <w:tc>
          <w:tcPr>
            <w:tcW w:w="5700" w:type="dxa"/>
            <w:vAlign w:val="center"/>
          </w:tcPr>
          <w:p w14:paraId="6953BD5F">
            <w:pPr>
              <w:spacing w:line="400" w:lineRule="atLeast"/>
              <w:rPr>
                <w:rFonts w:hint="eastAsia"/>
                <w:color w:val="auto"/>
                <w:sz w:val="24"/>
                <w:szCs w:val="24"/>
                <w:highlight w:val="none"/>
              </w:rPr>
            </w:pPr>
            <w:r>
              <w:rPr>
                <w:rFonts w:hint="eastAsia"/>
                <w:color w:val="auto"/>
                <w:sz w:val="24"/>
                <w:szCs w:val="24"/>
                <w:highlight w:val="none"/>
              </w:rPr>
              <w:t>具有路桥中级或以上职称，必须从事类似工程施工2年以上。</w:t>
            </w:r>
          </w:p>
        </w:tc>
      </w:tr>
      <w:tr w14:paraId="2FE6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vAlign w:val="center"/>
          </w:tcPr>
          <w:p w14:paraId="3F3B9FCF">
            <w:pPr>
              <w:spacing w:line="400" w:lineRule="atLeast"/>
              <w:jc w:val="center"/>
              <w:rPr>
                <w:rFonts w:hint="eastAsia"/>
                <w:color w:val="auto"/>
                <w:sz w:val="24"/>
                <w:szCs w:val="24"/>
                <w:highlight w:val="none"/>
              </w:rPr>
            </w:pPr>
            <w:r>
              <w:rPr>
                <w:rFonts w:hint="eastAsia"/>
                <w:color w:val="auto"/>
                <w:sz w:val="24"/>
                <w:szCs w:val="24"/>
                <w:highlight w:val="none"/>
              </w:rPr>
              <w:t>试验工程师</w:t>
            </w:r>
          </w:p>
        </w:tc>
        <w:tc>
          <w:tcPr>
            <w:tcW w:w="1297" w:type="dxa"/>
            <w:tcBorders>
              <w:top w:val="single" w:color="auto" w:sz="4" w:space="0"/>
              <w:left w:val="single" w:color="auto" w:sz="4" w:space="0"/>
              <w:bottom w:val="single" w:color="auto" w:sz="4" w:space="0"/>
              <w:right w:val="single" w:color="auto" w:sz="4" w:space="0"/>
            </w:tcBorders>
            <w:vAlign w:val="center"/>
          </w:tcPr>
          <w:p w14:paraId="27A47E0A">
            <w:pPr>
              <w:spacing w:line="400" w:lineRule="atLeast"/>
              <w:jc w:val="center"/>
              <w:rPr>
                <w:rFonts w:hint="eastAsia"/>
                <w:color w:val="auto"/>
                <w:sz w:val="24"/>
                <w:szCs w:val="24"/>
                <w:highlight w:val="none"/>
              </w:rPr>
            </w:pPr>
            <w:r>
              <w:rPr>
                <w:rFonts w:hint="eastAsia"/>
                <w:color w:val="auto"/>
                <w:sz w:val="24"/>
                <w:szCs w:val="24"/>
                <w:highlight w:val="none"/>
              </w:rPr>
              <w:t>1</w:t>
            </w:r>
          </w:p>
        </w:tc>
        <w:tc>
          <w:tcPr>
            <w:tcW w:w="5700" w:type="dxa"/>
            <w:tcBorders>
              <w:top w:val="single" w:color="auto" w:sz="4" w:space="0"/>
              <w:left w:val="single" w:color="auto" w:sz="4" w:space="0"/>
              <w:bottom w:val="single" w:color="auto" w:sz="4" w:space="0"/>
              <w:right w:val="single" w:color="auto" w:sz="4" w:space="0"/>
            </w:tcBorders>
          </w:tcPr>
          <w:p w14:paraId="71C642C4">
            <w:pPr>
              <w:spacing w:line="400" w:lineRule="atLeast"/>
              <w:rPr>
                <w:rFonts w:hint="eastAsia"/>
                <w:color w:val="auto"/>
                <w:sz w:val="24"/>
                <w:szCs w:val="24"/>
                <w:highlight w:val="none"/>
              </w:rPr>
            </w:pPr>
            <w:r>
              <w:rPr>
                <w:rFonts w:hint="eastAsia"/>
                <w:color w:val="auto"/>
                <w:sz w:val="24"/>
                <w:szCs w:val="24"/>
                <w:highlight w:val="none"/>
              </w:rPr>
              <w:t>工程师，持有交通运输部基本建设质量监督总站颁发的试验检测资格证书，必须从事类似工程施工2年以上。</w:t>
            </w:r>
          </w:p>
        </w:tc>
      </w:tr>
      <w:tr w14:paraId="021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vAlign w:val="center"/>
          </w:tcPr>
          <w:p w14:paraId="6B1EEEEA">
            <w:pPr>
              <w:spacing w:line="400" w:lineRule="atLeast"/>
              <w:jc w:val="center"/>
              <w:rPr>
                <w:rFonts w:hint="eastAsia"/>
                <w:color w:val="auto"/>
                <w:sz w:val="24"/>
                <w:szCs w:val="24"/>
                <w:highlight w:val="none"/>
              </w:rPr>
            </w:pPr>
            <w:r>
              <w:rPr>
                <w:rFonts w:hint="eastAsia"/>
                <w:color w:val="auto"/>
                <w:sz w:val="24"/>
                <w:szCs w:val="24"/>
                <w:highlight w:val="none"/>
              </w:rPr>
              <w:t>内业资料员</w:t>
            </w:r>
          </w:p>
        </w:tc>
        <w:tc>
          <w:tcPr>
            <w:tcW w:w="1297" w:type="dxa"/>
            <w:tcBorders>
              <w:top w:val="single" w:color="auto" w:sz="4" w:space="0"/>
              <w:left w:val="single" w:color="auto" w:sz="4" w:space="0"/>
              <w:bottom w:val="single" w:color="auto" w:sz="4" w:space="0"/>
              <w:right w:val="single" w:color="auto" w:sz="4" w:space="0"/>
            </w:tcBorders>
            <w:vAlign w:val="center"/>
          </w:tcPr>
          <w:p w14:paraId="6D3005E3">
            <w:pPr>
              <w:spacing w:line="400" w:lineRule="atLeast"/>
              <w:jc w:val="center"/>
              <w:rPr>
                <w:rFonts w:hint="eastAsia"/>
                <w:color w:val="auto"/>
                <w:sz w:val="24"/>
                <w:szCs w:val="24"/>
                <w:highlight w:val="none"/>
              </w:rPr>
            </w:pPr>
            <w:r>
              <w:rPr>
                <w:rFonts w:hint="eastAsia"/>
                <w:color w:val="auto"/>
                <w:sz w:val="24"/>
                <w:szCs w:val="24"/>
                <w:highlight w:val="none"/>
              </w:rPr>
              <w:t>1</w:t>
            </w:r>
          </w:p>
        </w:tc>
        <w:tc>
          <w:tcPr>
            <w:tcW w:w="5700" w:type="dxa"/>
            <w:tcBorders>
              <w:top w:val="single" w:color="auto" w:sz="4" w:space="0"/>
              <w:left w:val="single" w:color="auto" w:sz="4" w:space="0"/>
              <w:bottom w:val="single" w:color="auto" w:sz="4" w:space="0"/>
              <w:right w:val="single" w:color="auto" w:sz="4" w:space="0"/>
            </w:tcBorders>
            <w:vAlign w:val="center"/>
          </w:tcPr>
          <w:p w14:paraId="6DE6077D">
            <w:pPr>
              <w:spacing w:line="400" w:lineRule="atLeast"/>
              <w:rPr>
                <w:rFonts w:hint="eastAsia"/>
                <w:color w:val="auto"/>
                <w:sz w:val="24"/>
                <w:szCs w:val="24"/>
                <w:highlight w:val="none"/>
              </w:rPr>
            </w:pPr>
            <w:r>
              <w:rPr>
                <w:rFonts w:hint="eastAsia"/>
                <w:color w:val="auto"/>
                <w:sz w:val="24"/>
                <w:szCs w:val="24"/>
                <w:highlight w:val="none"/>
              </w:rPr>
              <w:t>具有大专以上学历，至少2年以上类似工作经验。</w:t>
            </w:r>
          </w:p>
        </w:tc>
      </w:tr>
      <w:tr w14:paraId="1818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vAlign w:val="center"/>
          </w:tcPr>
          <w:p w14:paraId="29F0AADA">
            <w:pPr>
              <w:spacing w:line="400" w:lineRule="atLeast"/>
              <w:jc w:val="center"/>
              <w:rPr>
                <w:rFonts w:hint="eastAsia"/>
                <w:color w:val="auto"/>
                <w:sz w:val="24"/>
                <w:szCs w:val="24"/>
                <w:highlight w:val="none"/>
              </w:rPr>
            </w:pPr>
            <w:r>
              <w:rPr>
                <w:rFonts w:hint="eastAsia"/>
                <w:color w:val="auto"/>
                <w:sz w:val="24"/>
                <w:szCs w:val="24"/>
                <w:highlight w:val="none"/>
              </w:rPr>
              <w:t>专职安全生产管理人员</w:t>
            </w:r>
          </w:p>
        </w:tc>
        <w:tc>
          <w:tcPr>
            <w:tcW w:w="1297" w:type="dxa"/>
            <w:tcBorders>
              <w:top w:val="single" w:color="auto" w:sz="4" w:space="0"/>
              <w:left w:val="single" w:color="auto" w:sz="4" w:space="0"/>
              <w:bottom w:val="single" w:color="auto" w:sz="4" w:space="0"/>
              <w:right w:val="single" w:color="auto" w:sz="4" w:space="0"/>
            </w:tcBorders>
            <w:vAlign w:val="center"/>
          </w:tcPr>
          <w:p w14:paraId="192FD3D4">
            <w:pPr>
              <w:spacing w:line="400" w:lineRule="atLeast"/>
              <w:jc w:val="center"/>
              <w:rPr>
                <w:rFonts w:hint="eastAsia"/>
                <w:color w:val="auto"/>
                <w:sz w:val="24"/>
                <w:szCs w:val="24"/>
                <w:highlight w:val="none"/>
              </w:rPr>
            </w:pPr>
            <w:r>
              <w:rPr>
                <w:rFonts w:hint="eastAsia"/>
                <w:color w:val="auto"/>
                <w:sz w:val="24"/>
                <w:szCs w:val="24"/>
                <w:highlight w:val="none"/>
              </w:rPr>
              <w:t>1</w:t>
            </w:r>
          </w:p>
        </w:tc>
        <w:tc>
          <w:tcPr>
            <w:tcW w:w="5700" w:type="dxa"/>
            <w:tcBorders>
              <w:top w:val="single" w:color="auto" w:sz="4" w:space="0"/>
              <w:left w:val="single" w:color="auto" w:sz="4" w:space="0"/>
              <w:bottom w:val="single" w:color="auto" w:sz="4" w:space="0"/>
              <w:right w:val="single" w:color="auto" w:sz="4" w:space="0"/>
            </w:tcBorders>
            <w:vAlign w:val="center"/>
          </w:tcPr>
          <w:p w14:paraId="78CA87BF">
            <w:pPr>
              <w:spacing w:line="400" w:lineRule="atLeast"/>
              <w:rPr>
                <w:rFonts w:hint="eastAsia"/>
                <w:color w:val="auto"/>
                <w:sz w:val="24"/>
                <w:szCs w:val="24"/>
                <w:highlight w:val="none"/>
              </w:rPr>
            </w:pPr>
            <w:r>
              <w:rPr>
                <w:rFonts w:hint="eastAsia"/>
                <w:color w:val="auto"/>
                <w:sz w:val="24"/>
                <w:szCs w:val="24"/>
                <w:highlight w:val="none"/>
              </w:rPr>
              <w:t>具有上级主管部门颁发的有效安全生产“三类人员”C 类证书，累计3年从事类似工程工作经验。 此数量为最低要求。</w:t>
            </w:r>
          </w:p>
        </w:tc>
      </w:tr>
    </w:tbl>
    <w:p w14:paraId="0534BAED">
      <w:pPr>
        <w:spacing w:line="255" w:lineRule="auto"/>
        <w:ind w:left="657" w:leftChars="95" w:hanging="448" w:hangingChars="200"/>
        <w:rPr>
          <w:rFonts w:hint="eastAsia"/>
          <w:color w:val="auto"/>
          <w:spacing w:val="12"/>
          <w:sz w:val="20"/>
          <w:szCs w:val="20"/>
          <w:highlight w:val="none"/>
        </w:rPr>
      </w:pPr>
      <w:r>
        <w:rPr>
          <w:rFonts w:hint="eastAsia"/>
          <w:color w:val="auto"/>
          <w:spacing w:val="12"/>
          <w:sz w:val="20"/>
          <w:szCs w:val="20"/>
          <w:highlight w:val="none"/>
        </w:rPr>
        <w:t>注：1、投标人对附录 6 所要求的人员不需提供具体资料，只须按投标文件格式“（一）投标函”作出承诺，中标人在签订合同后按招标文件要求向发包人提交实际投入的人员名单及资料。</w:t>
      </w:r>
    </w:p>
    <w:p w14:paraId="19DE9E41">
      <w:pPr>
        <w:spacing w:line="255" w:lineRule="auto"/>
        <w:ind w:left="627" w:leftChars="285"/>
        <w:rPr>
          <w:rFonts w:hint="eastAsia"/>
          <w:color w:val="auto"/>
          <w:spacing w:val="12"/>
          <w:sz w:val="20"/>
          <w:szCs w:val="20"/>
          <w:highlight w:val="none"/>
        </w:rPr>
      </w:pPr>
      <w:r>
        <w:rPr>
          <w:rFonts w:hint="eastAsia"/>
          <w:color w:val="auto"/>
          <w:spacing w:val="12"/>
          <w:sz w:val="20"/>
          <w:szCs w:val="20"/>
          <w:highlight w:val="none"/>
        </w:rPr>
        <w:t>2、投标人中标后专职安全生产管理人员的配备应按照交通部《公路水运工程安全生产监督管理办法》（交通部令2017年第25号）的要求执行，根据项目的工期和进度，按规定派驻相应数量的专职安全生产管理人员。</w:t>
      </w:r>
    </w:p>
    <w:p w14:paraId="39A178CE">
      <w:pPr>
        <w:spacing w:line="255" w:lineRule="auto"/>
        <w:ind w:left="627" w:leftChars="285"/>
        <w:rPr>
          <w:rFonts w:hint="eastAsia"/>
          <w:color w:val="auto"/>
          <w:spacing w:val="12"/>
          <w:sz w:val="20"/>
          <w:szCs w:val="20"/>
          <w:highlight w:val="none"/>
        </w:rPr>
      </w:pPr>
      <w:r>
        <w:rPr>
          <w:rFonts w:hint="eastAsia"/>
          <w:color w:val="auto"/>
          <w:spacing w:val="12"/>
          <w:sz w:val="20"/>
          <w:szCs w:val="20"/>
          <w:highlight w:val="none"/>
        </w:rPr>
        <w:t>3、招标人有权根据标段的工程特点、工程量及工程进度情况要求增加相应的人员，由此不存在索赔问题。</w:t>
      </w:r>
    </w:p>
    <w:p w14:paraId="67534DC4">
      <w:pPr>
        <w:pStyle w:val="11"/>
        <w:ind w:firstLine="400"/>
        <w:rPr>
          <w:rFonts w:hint="eastAsia" w:ascii="宋体" w:hAnsi="宋体" w:eastAsia="宋体"/>
          <w:color w:val="auto"/>
          <w:sz w:val="20"/>
          <w:szCs w:val="20"/>
          <w:highlight w:val="none"/>
        </w:rPr>
      </w:pPr>
    </w:p>
    <w:p w14:paraId="61A9EFD0">
      <w:pPr>
        <w:pStyle w:val="11"/>
        <w:ind w:firstLine="400"/>
        <w:rPr>
          <w:rFonts w:hint="eastAsia" w:ascii="宋体" w:hAnsi="宋体" w:eastAsia="宋体"/>
          <w:color w:val="auto"/>
          <w:sz w:val="20"/>
          <w:szCs w:val="20"/>
          <w:highlight w:val="none"/>
        </w:rPr>
        <w:sectPr>
          <w:headerReference r:id="rId4" w:type="default"/>
          <w:footerReference r:id="rId5" w:type="default"/>
          <w:pgSz w:w="11905" w:h="16838"/>
          <w:pgMar w:top="1417" w:right="1417" w:bottom="1417" w:left="1417" w:header="0" w:footer="907" w:gutter="0"/>
          <w:cols w:space="0" w:num="1"/>
        </w:sectPr>
      </w:pPr>
    </w:p>
    <w:p w14:paraId="344110FE">
      <w:pPr>
        <w:autoSpaceDE/>
        <w:autoSpaceDN/>
        <w:spacing w:line="300" w:lineRule="exact"/>
        <w:jc w:val="center"/>
        <w:rPr>
          <w:rFonts w:hint="eastAsia" w:cs="Times New Roman"/>
          <w:color w:val="auto"/>
          <w:kern w:val="2"/>
          <w:sz w:val="24"/>
          <w:szCs w:val="24"/>
          <w:highlight w:val="none"/>
        </w:rPr>
      </w:pPr>
      <w:r>
        <w:rPr>
          <w:rFonts w:cs="Times New Roman"/>
          <w:color w:val="auto"/>
          <w:kern w:val="2"/>
          <w:sz w:val="24"/>
          <w:szCs w:val="24"/>
          <w:highlight w:val="none"/>
        </w:rPr>
        <w:t>附录 7  资格审查条件</w:t>
      </w:r>
      <w:r>
        <w:rPr>
          <w:rFonts w:hint="eastAsia" w:cs="Times New Roman"/>
          <w:color w:val="auto"/>
          <w:kern w:val="2"/>
          <w:sz w:val="24"/>
          <w:szCs w:val="24"/>
          <w:highlight w:val="none"/>
        </w:rPr>
        <w:t>（</w:t>
      </w:r>
      <w:r>
        <w:rPr>
          <w:rFonts w:cs="Times New Roman"/>
          <w:color w:val="auto"/>
          <w:kern w:val="2"/>
          <w:sz w:val="24"/>
          <w:szCs w:val="24"/>
          <w:highlight w:val="none"/>
        </w:rPr>
        <w:t>主要机械设备和试验检测设备最低要求</w:t>
      </w:r>
      <w:r>
        <w:rPr>
          <w:rFonts w:hint="eastAsia" w:cs="Times New Roman"/>
          <w:color w:val="auto"/>
          <w:kern w:val="2"/>
          <w:sz w:val="24"/>
          <w:szCs w:val="24"/>
          <w:highlight w:val="none"/>
        </w:rPr>
        <w:t>）</w:t>
      </w:r>
    </w:p>
    <w:p w14:paraId="2981777B">
      <w:pPr>
        <w:autoSpaceDE/>
        <w:autoSpaceDN/>
        <w:spacing w:line="300" w:lineRule="exact"/>
        <w:jc w:val="center"/>
        <w:rPr>
          <w:rFonts w:hint="eastAsia" w:cs="Times New Roman"/>
          <w:color w:val="auto"/>
          <w:kern w:val="2"/>
          <w:sz w:val="24"/>
          <w:szCs w:val="24"/>
          <w:highlight w:val="none"/>
        </w:rPr>
      </w:pPr>
    </w:p>
    <w:tbl>
      <w:tblPr>
        <w:tblStyle w:val="8"/>
        <w:tblW w:w="87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3"/>
        <w:gridCol w:w="2186"/>
        <w:gridCol w:w="1459"/>
        <w:gridCol w:w="996"/>
        <w:gridCol w:w="1063"/>
        <w:gridCol w:w="1934"/>
      </w:tblGrid>
      <w:tr w14:paraId="727FE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jc w:val="center"/>
        </w:trPr>
        <w:tc>
          <w:tcPr>
            <w:tcW w:w="1093" w:type="dxa"/>
            <w:vAlign w:val="center"/>
          </w:tcPr>
          <w:p w14:paraId="48385EBA">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序号</w:t>
            </w:r>
          </w:p>
        </w:tc>
        <w:tc>
          <w:tcPr>
            <w:tcW w:w="2186" w:type="dxa"/>
            <w:vAlign w:val="center"/>
          </w:tcPr>
          <w:p w14:paraId="20FE15A7">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设备名称</w:t>
            </w:r>
          </w:p>
        </w:tc>
        <w:tc>
          <w:tcPr>
            <w:tcW w:w="1459" w:type="dxa"/>
            <w:vAlign w:val="center"/>
          </w:tcPr>
          <w:p w14:paraId="3135095B">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规格、功率计容量</w:t>
            </w:r>
          </w:p>
        </w:tc>
        <w:tc>
          <w:tcPr>
            <w:tcW w:w="996" w:type="dxa"/>
            <w:vAlign w:val="center"/>
          </w:tcPr>
          <w:p w14:paraId="16E80E18">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单位</w:t>
            </w:r>
          </w:p>
        </w:tc>
        <w:tc>
          <w:tcPr>
            <w:tcW w:w="1063" w:type="dxa"/>
            <w:vAlign w:val="center"/>
          </w:tcPr>
          <w:p w14:paraId="29129E12">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最低数量</w:t>
            </w:r>
          </w:p>
        </w:tc>
        <w:tc>
          <w:tcPr>
            <w:tcW w:w="1934" w:type="dxa"/>
            <w:vAlign w:val="center"/>
          </w:tcPr>
          <w:p w14:paraId="106203EB">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备注</w:t>
            </w:r>
          </w:p>
        </w:tc>
      </w:tr>
      <w:tr w14:paraId="323C8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jc w:val="center"/>
        </w:trPr>
        <w:tc>
          <w:tcPr>
            <w:tcW w:w="1093" w:type="dxa"/>
            <w:vAlign w:val="center"/>
          </w:tcPr>
          <w:p w14:paraId="42C60495">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2186" w:type="dxa"/>
            <w:vAlign w:val="center"/>
          </w:tcPr>
          <w:p w14:paraId="3F553086">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挖掘机</w:t>
            </w:r>
          </w:p>
        </w:tc>
        <w:tc>
          <w:tcPr>
            <w:tcW w:w="1459" w:type="dxa"/>
            <w:vAlign w:val="center"/>
          </w:tcPr>
          <w:p w14:paraId="6CC506A7">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w:t>
            </w:r>
            <w:r>
              <w:rPr>
                <w:color w:val="auto"/>
                <w:spacing w:val="5"/>
                <w:sz w:val="20"/>
                <w:szCs w:val="20"/>
                <w:highlight w:val="none"/>
              </w:rPr>
              <w:t>1.0m</w:t>
            </w:r>
            <w:r>
              <w:rPr>
                <w:rFonts w:hint="eastAsia"/>
                <w:color w:val="auto"/>
                <w:spacing w:val="5"/>
                <w:sz w:val="20"/>
                <w:szCs w:val="20"/>
                <w:highlight w:val="none"/>
              </w:rPr>
              <w:t>³</w:t>
            </w:r>
          </w:p>
        </w:tc>
        <w:tc>
          <w:tcPr>
            <w:tcW w:w="996" w:type="dxa"/>
            <w:vAlign w:val="center"/>
          </w:tcPr>
          <w:p w14:paraId="61F5DD42">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31735CD3">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27D12630">
            <w:pPr>
              <w:pStyle w:val="10"/>
              <w:spacing w:before="65" w:line="228" w:lineRule="auto"/>
              <w:jc w:val="center"/>
              <w:rPr>
                <w:rFonts w:hint="eastAsia"/>
                <w:color w:val="auto"/>
                <w:spacing w:val="5"/>
                <w:sz w:val="20"/>
                <w:szCs w:val="20"/>
                <w:highlight w:val="none"/>
              </w:rPr>
            </w:pPr>
          </w:p>
        </w:tc>
      </w:tr>
      <w:tr w14:paraId="6D952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jc w:val="center"/>
        </w:trPr>
        <w:tc>
          <w:tcPr>
            <w:tcW w:w="1093" w:type="dxa"/>
            <w:vAlign w:val="center"/>
          </w:tcPr>
          <w:p w14:paraId="69ECA6AF">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2</w:t>
            </w:r>
          </w:p>
        </w:tc>
        <w:tc>
          <w:tcPr>
            <w:tcW w:w="2186" w:type="dxa"/>
            <w:vAlign w:val="center"/>
          </w:tcPr>
          <w:p w14:paraId="3B72358A">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炮机</w:t>
            </w:r>
          </w:p>
        </w:tc>
        <w:tc>
          <w:tcPr>
            <w:tcW w:w="1459" w:type="dxa"/>
            <w:vAlign w:val="center"/>
          </w:tcPr>
          <w:p w14:paraId="4F8718F4">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 xml:space="preserve">200 </w:t>
            </w:r>
            <w:r>
              <w:rPr>
                <w:rFonts w:hint="eastAsia"/>
                <w:color w:val="auto"/>
                <w:spacing w:val="5"/>
                <w:sz w:val="20"/>
                <w:szCs w:val="20"/>
                <w:highlight w:val="none"/>
              </w:rPr>
              <w:t>以上</w:t>
            </w:r>
          </w:p>
        </w:tc>
        <w:tc>
          <w:tcPr>
            <w:tcW w:w="996" w:type="dxa"/>
            <w:vAlign w:val="center"/>
          </w:tcPr>
          <w:p w14:paraId="793E8C19">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20AF109F">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3891AEB9">
            <w:pPr>
              <w:pStyle w:val="10"/>
              <w:spacing w:before="65" w:line="228" w:lineRule="auto"/>
              <w:jc w:val="center"/>
              <w:rPr>
                <w:rFonts w:hint="eastAsia"/>
                <w:color w:val="auto"/>
                <w:spacing w:val="5"/>
                <w:sz w:val="20"/>
                <w:szCs w:val="20"/>
                <w:highlight w:val="none"/>
              </w:rPr>
            </w:pPr>
          </w:p>
        </w:tc>
      </w:tr>
      <w:tr w14:paraId="2276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jc w:val="center"/>
        </w:trPr>
        <w:tc>
          <w:tcPr>
            <w:tcW w:w="1093" w:type="dxa"/>
            <w:vAlign w:val="center"/>
          </w:tcPr>
          <w:p w14:paraId="4673F6B2">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3</w:t>
            </w:r>
          </w:p>
        </w:tc>
        <w:tc>
          <w:tcPr>
            <w:tcW w:w="2186" w:type="dxa"/>
            <w:vAlign w:val="center"/>
          </w:tcPr>
          <w:p w14:paraId="5437E531">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装载机</w:t>
            </w:r>
          </w:p>
        </w:tc>
        <w:tc>
          <w:tcPr>
            <w:tcW w:w="1459" w:type="dxa"/>
            <w:vAlign w:val="center"/>
          </w:tcPr>
          <w:p w14:paraId="025EC2AC">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w:t>
            </w:r>
            <w:r>
              <w:rPr>
                <w:color w:val="auto"/>
                <w:spacing w:val="5"/>
                <w:sz w:val="20"/>
                <w:szCs w:val="20"/>
                <w:highlight w:val="none"/>
              </w:rPr>
              <w:t>2m</w:t>
            </w:r>
            <w:r>
              <w:rPr>
                <w:rFonts w:hint="eastAsia"/>
                <w:color w:val="auto"/>
                <w:spacing w:val="5"/>
                <w:sz w:val="20"/>
                <w:szCs w:val="20"/>
                <w:highlight w:val="none"/>
              </w:rPr>
              <w:t>³</w:t>
            </w:r>
          </w:p>
        </w:tc>
        <w:tc>
          <w:tcPr>
            <w:tcW w:w="996" w:type="dxa"/>
            <w:vAlign w:val="center"/>
          </w:tcPr>
          <w:p w14:paraId="76B90EF6">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0476CB66">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25B87BB7">
            <w:pPr>
              <w:pStyle w:val="10"/>
              <w:spacing w:before="65" w:line="228" w:lineRule="auto"/>
              <w:jc w:val="center"/>
              <w:rPr>
                <w:rFonts w:hint="eastAsia"/>
                <w:color w:val="auto"/>
                <w:spacing w:val="5"/>
                <w:sz w:val="20"/>
                <w:szCs w:val="20"/>
                <w:highlight w:val="none"/>
              </w:rPr>
            </w:pPr>
          </w:p>
        </w:tc>
      </w:tr>
      <w:tr w14:paraId="1A446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jc w:val="center"/>
        </w:trPr>
        <w:tc>
          <w:tcPr>
            <w:tcW w:w="1093" w:type="dxa"/>
            <w:vAlign w:val="center"/>
          </w:tcPr>
          <w:p w14:paraId="1E31BB47">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4</w:t>
            </w:r>
          </w:p>
        </w:tc>
        <w:tc>
          <w:tcPr>
            <w:tcW w:w="2186" w:type="dxa"/>
            <w:vAlign w:val="center"/>
          </w:tcPr>
          <w:p w14:paraId="7D6861F7">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拖车</w:t>
            </w:r>
          </w:p>
        </w:tc>
        <w:tc>
          <w:tcPr>
            <w:tcW w:w="1459" w:type="dxa"/>
            <w:vAlign w:val="center"/>
          </w:tcPr>
          <w:p w14:paraId="7CF05265">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 xml:space="preserve">15t </w:t>
            </w:r>
            <w:r>
              <w:rPr>
                <w:rFonts w:hint="eastAsia"/>
                <w:color w:val="auto"/>
                <w:spacing w:val="5"/>
                <w:sz w:val="20"/>
                <w:szCs w:val="20"/>
                <w:highlight w:val="none"/>
              </w:rPr>
              <w:t>以上</w:t>
            </w:r>
          </w:p>
        </w:tc>
        <w:tc>
          <w:tcPr>
            <w:tcW w:w="996" w:type="dxa"/>
            <w:vAlign w:val="center"/>
          </w:tcPr>
          <w:p w14:paraId="287EDBC9">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3D7D88BF">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331FDDA3">
            <w:pPr>
              <w:pStyle w:val="10"/>
              <w:spacing w:before="65" w:line="228" w:lineRule="auto"/>
              <w:jc w:val="center"/>
              <w:rPr>
                <w:rFonts w:hint="eastAsia"/>
                <w:color w:val="auto"/>
                <w:spacing w:val="5"/>
                <w:sz w:val="20"/>
                <w:szCs w:val="20"/>
                <w:highlight w:val="none"/>
              </w:rPr>
            </w:pPr>
          </w:p>
        </w:tc>
      </w:tr>
      <w:tr w14:paraId="03DF2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jc w:val="center"/>
        </w:trPr>
        <w:tc>
          <w:tcPr>
            <w:tcW w:w="1093" w:type="dxa"/>
            <w:vAlign w:val="center"/>
          </w:tcPr>
          <w:p w14:paraId="55F880D9">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5</w:t>
            </w:r>
          </w:p>
        </w:tc>
        <w:tc>
          <w:tcPr>
            <w:tcW w:w="2186" w:type="dxa"/>
            <w:vAlign w:val="center"/>
          </w:tcPr>
          <w:p w14:paraId="0A3ED079">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载重汽车</w:t>
            </w:r>
          </w:p>
        </w:tc>
        <w:tc>
          <w:tcPr>
            <w:tcW w:w="1459" w:type="dxa"/>
            <w:vAlign w:val="center"/>
          </w:tcPr>
          <w:p w14:paraId="2E388FE6">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 xml:space="preserve">15t </w:t>
            </w:r>
            <w:r>
              <w:rPr>
                <w:rFonts w:hint="eastAsia"/>
                <w:color w:val="auto"/>
                <w:spacing w:val="5"/>
                <w:sz w:val="20"/>
                <w:szCs w:val="20"/>
                <w:highlight w:val="none"/>
              </w:rPr>
              <w:t>以上</w:t>
            </w:r>
          </w:p>
        </w:tc>
        <w:tc>
          <w:tcPr>
            <w:tcW w:w="996" w:type="dxa"/>
            <w:vAlign w:val="center"/>
          </w:tcPr>
          <w:p w14:paraId="7A3BB3F1">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7C960A8B">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4</w:t>
            </w:r>
          </w:p>
        </w:tc>
        <w:tc>
          <w:tcPr>
            <w:tcW w:w="1934" w:type="dxa"/>
            <w:vAlign w:val="center"/>
          </w:tcPr>
          <w:p w14:paraId="3631B198">
            <w:pPr>
              <w:pStyle w:val="10"/>
              <w:spacing w:before="65" w:line="228" w:lineRule="auto"/>
              <w:jc w:val="center"/>
              <w:rPr>
                <w:rFonts w:hint="eastAsia"/>
                <w:color w:val="auto"/>
                <w:spacing w:val="5"/>
                <w:sz w:val="20"/>
                <w:szCs w:val="20"/>
                <w:highlight w:val="none"/>
              </w:rPr>
            </w:pPr>
          </w:p>
        </w:tc>
      </w:tr>
      <w:tr w14:paraId="19F5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jc w:val="center"/>
        </w:trPr>
        <w:tc>
          <w:tcPr>
            <w:tcW w:w="1093" w:type="dxa"/>
            <w:vAlign w:val="center"/>
          </w:tcPr>
          <w:p w14:paraId="70AC255F">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6</w:t>
            </w:r>
          </w:p>
        </w:tc>
        <w:tc>
          <w:tcPr>
            <w:tcW w:w="2186" w:type="dxa"/>
            <w:vAlign w:val="center"/>
          </w:tcPr>
          <w:p w14:paraId="5EB04C24">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洒水车</w:t>
            </w:r>
          </w:p>
        </w:tc>
        <w:tc>
          <w:tcPr>
            <w:tcW w:w="1459" w:type="dxa"/>
            <w:vAlign w:val="center"/>
          </w:tcPr>
          <w:p w14:paraId="47080E29">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10m</w:t>
            </w:r>
            <w:r>
              <w:rPr>
                <w:rFonts w:hint="eastAsia"/>
                <w:color w:val="auto"/>
                <w:spacing w:val="5"/>
                <w:sz w:val="20"/>
                <w:szCs w:val="20"/>
                <w:highlight w:val="none"/>
              </w:rPr>
              <w:t>³以上</w:t>
            </w:r>
          </w:p>
        </w:tc>
        <w:tc>
          <w:tcPr>
            <w:tcW w:w="996" w:type="dxa"/>
            <w:vAlign w:val="center"/>
          </w:tcPr>
          <w:p w14:paraId="37338B33">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616D285A">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71D126DB">
            <w:pPr>
              <w:pStyle w:val="10"/>
              <w:spacing w:before="65" w:line="228" w:lineRule="auto"/>
              <w:jc w:val="center"/>
              <w:rPr>
                <w:rFonts w:hint="eastAsia"/>
                <w:color w:val="auto"/>
                <w:spacing w:val="5"/>
                <w:sz w:val="20"/>
                <w:szCs w:val="20"/>
                <w:highlight w:val="none"/>
              </w:rPr>
            </w:pPr>
          </w:p>
        </w:tc>
      </w:tr>
      <w:tr w14:paraId="7E167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jc w:val="center"/>
        </w:trPr>
        <w:tc>
          <w:tcPr>
            <w:tcW w:w="1093" w:type="dxa"/>
            <w:vAlign w:val="center"/>
          </w:tcPr>
          <w:p w14:paraId="19528C62">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7</w:t>
            </w:r>
          </w:p>
        </w:tc>
        <w:tc>
          <w:tcPr>
            <w:tcW w:w="2186" w:type="dxa"/>
            <w:vAlign w:val="center"/>
          </w:tcPr>
          <w:p w14:paraId="67A7232F">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吊车</w:t>
            </w:r>
          </w:p>
        </w:tc>
        <w:tc>
          <w:tcPr>
            <w:tcW w:w="1459" w:type="dxa"/>
            <w:vAlign w:val="center"/>
          </w:tcPr>
          <w:p w14:paraId="242C97E1">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 xml:space="preserve">30t </w:t>
            </w:r>
            <w:r>
              <w:rPr>
                <w:rFonts w:hint="eastAsia"/>
                <w:color w:val="auto"/>
                <w:spacing w:val="5"/>
                <w:sz w:val="20"/>
                <w:szCs w:val="20"/>
                <w:highlight w:val="none"/>
              </w:rPr>
              <w:t>以上</w:t>
            </w:r>
          </w:p>
        </w:tc>
        <w:tc>
          <w:tcPr>
            <w:tcW w:w="996" w:type="dxa"/>
            <w:vAlign w:val="center"/>
          </w:tcPr>
          <w:p w14:paraId="2A02E09E">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4D85EAB4">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11FB0FE3">
            <w:pPr>
              <w:pStyle w:val="10"/>
              <w:spacing w:before="65" w:line="228" w:lineRule="auto"/>
              <w:jc w:val="center"/>
              <w:rPr>
                <w:rFonts w:hint="eastAsia"/>
                <w:color w:val="auto"/>
                <w:spacing w:val="5"/>
                <w:sz w:val="20"/>
                <w:szCs w:val="20"/>
                <w:highlight w:val="none"/>
              </w:rPr>
            </w:pPr>
          </w:p>
        </w:tc>
      </w:tr>
      <w:tr w14:paraId="225E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jc w:val="center"/>
        </w:trPr>
        <w:tc>
          <w:tcPr>
            <w:tcW w:w="1093" w:type="dxa"/>
            <w:vAlign w:val="center"/>
          </w:tcPr>
          <w:p w14:paraId="52EAB97A">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8</w:t>
            </w:r>
          </w:p>
        </w:tc>
        <w:tc>
          <w:tcPr>
            <w:tcW w:w="2186" w:type="dxa"/>
            <w:vAlign w:val="center"/>
          </w:tcPr>
          <w:p w14:paraId="59DFF7CB">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推土机</w:t>
            </w:r>
          </w:p>
        </w:tc>
        <w:tc>
          <w:tcPr>
            <w:tcW w:w="1459" w:type="dxa"/>
            <w:vAlign w:val="center"/>
          </w:tcPr>
          <w:p w14:paraId="69A46B7E">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w:t>
            </w:r>
            <w:r>
              <w:rPr>
                <w:color w:val="auto"/>
                <w:spacing w:val="5"/>
                <w:sz w:val="20"/>
                <w:szCs w:val="20"/>
                <w:highlight w:val="none"/>
              </w:rPr>
              <w:t>235KW</w:t>
            </w:r>
          </w:p>
        </w:tc>
        <w:tc>
          <w:tcPr>
            <w:tcW w:w="996" w:type="dxa"/>
            <w:vAlign w:val="center"/>
          </w:tcPr>
          <w:p w14:paraId="76151B47">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11668823">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27E6F08E">
            <w:pPr>
              <w:pStyle w:val="10"/>
              <w:spacing w:before="65" w:line="228" w:lineRule="auto"/>
              <w:jc w:val="center"/>
              <w:rPr>
                <w:rFonts w:hint="eastAsia"/>
                <w:color w:val="auto"/>
                <w:spacing w:val="5"/>
                <w:sz w:val="20"/>
                <w:szCs w:val="20"/>
                <w:highlight w:val="none"/>
              </w:rPr>
            </w:pPr>
          </w:p>
        </w:tc>
      </w:tr>
      <w:tr w14:paraId="22776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jc w:val="center"/>
        </w:trPr>
        <w:tc>
          <w:tcPr>
            <w:tcW w:w="1093" w:type="dxa"/>
            <w:vAlign w:val="center"/>
          </w:tcPr>
          <w:p w14:paraId="6D191FCC">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9</w:t>
            </w:r>
          </w:p>
        </w:tc>
        <w:tc>
          <w:tcPr>
            <w:tcW w:w="2186" w:type="dxa"/>
            <w:vAlign w:val="center"/>
          </w:tcPr>
          <w:p w14:paraId="5517612F">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混凝土搅拌运输车</w:t>
            </w:r>
          </w:p>
        </w:tc>
        <w:tc>
          <w:tcPr>
            <w:tcW w:w="1459" w:type="dxa"/>
            <w:vAlign w:val="center"/>
          </w:tcPr>
          <w:p w14:paraId="78403DC5">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8m</w:t>
            </w:r>
            <w:r>
              <w:rPr>
                <w:rFonts w:hint="eastAsia"/>
                <w:color w:val="auto"/>
                <w:spacing w:val="5"/>
                <w:sz w:val="20"/>
                <w:szCs w:val="20"/>
                <w:highlight w:val="none"/>
              </w:rPr>
              <w:t>³以上</w:t>
            </w:r>
          </w:p>
        </w:tc>
        <w:tc>
          <w:tcPr>
            <w:tcW w:w="996" w:type="dxa"/>
            <w:vAlign w:val="center"/>
          </w:tcPr>
          <w:p w14:paraId="2B60C9E4">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60A89651">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2</w:t>
            </w:r>
          </w:p>
        </w:tc>
        <w:tc>
          <w:tcPr>
            <w:tcW w:w="1934" w:type="dxa"/>
            <w:vAlign w:val="center"/>
          </w:tcPr>
          <w:p w14:paraId="1165A7D4">
            <w:pPr>
              <w:pStyle w:val="10"/>
              <w:spacing w:before="65" w:line="228" w:lineRule="auto"/>
              <w:jc w:val="center"/>
              <w:rPr>
                <w:rFonts w:hint="eastAsia"/>
                <w:color w:val="auto"/>
                <w:spacing w:val="5"/>
                <w:sz w:val="20"/>
                <w:szCs w:val="20"/>
                <w:highlight w:val="none"/>
              </w:rPr>
            </w:pPr>
          </w:p>
        </w:tc>
      </w:tr>
      <w:tr w14:paraId="4B9ED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jc w:val="center"/>
        </w:trPr>
        <w:tc>
          <w:tcPr>
            <w:tcW w:w="1093" w:type="dxa"/>
            <w:vAlign w:val="center"/>
          </w:tcPr>
          <w:p w14:paraId="640CDF71">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10</w:t>
            </w:r>
          </w:p>
        </w:tc>
        <w:tc>
          <w:tcPr>
            <w:tcW w:w="2186" w:type="dxa"/>
            <w:vAlign w:val="center"/>
          </w:tcPr>
          <w:p w14:paraId="3AA7FC4B">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钻机</w:t>
            </w:r>
          </w:p>
        </w:tc>
        <w:tc>
          <w:tcPr>
            <w:tcW w:w="1459" w:type="dxa"/>
            <w:vAlign w:val="center"/>
          </w:tcPr>
          <w:p w14:paraId="204D7603">
            <w:pPr>
              <w:pStyle w:val="10"/>
              <w:spacing w:before="65" w:line="228" w:lineRule="auto"/>
              <w:jc w:val="center"/>
              <w:rPr>
                <w:rFonts w:hint="eastAsia"/>
                <w:color w:val="auto"/>
                <w:spacing w:val="5"/>
                <w:sz w:val="20"/>
                <w:szCs w:val="20"/>
                <w:highlight w:val="none"/>
              </w:rPr>
            </w:pPr>
          </w:p>
        </w:tc>
        <w:tc>
          <w:tcPr>
            <w:tcW w:w="996" w:type="dxa"/>
            <w:vAlign w:val="center"/>
          </w:tcPr>
          <w:p w14:paraId="584C80B0">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3A998D20">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2</w:t>
            </w:r>
          </w:p>
        </w:tc>
        <w:tc>
          <w:tcPr>
            <w:tcW w:w="1934" w:type="dxa"/>
            <w:vAlign w:val="center"/>
          </w:tcPr>
          <w:p w14:paraId="0762AF76">
            <w:pPr>
              <w:pStyle w:val="10"/>
              <w:spacing w:before="65" w:line="228" w:lineRule="auto"/>
              <w:jc w:val="center"/>
              <w:rPr>
                <w:rFonts w:hint="eastAsia"/>
                <w:color w:val="auto"/>
                <w:spacing w:val="5"/>
                <w:sz w:val="20"/>
                <w:szCs w:val="20"/>
                <w:highlight w:val="none"/>
              </w:rPr>
            </w:pPr>
          </w:p>
        </w:tc>
      </w:tr>
      <w:tr w14:paraId="17E99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jc w:val="center"/>
        </w:trPr>
        <w:tc>
          <w:tcPr>
            <w:tcW w:w="1093" w:type="dxa"/>
            <w:vAlign w:val="center"/>
          </w:tcPr>
          <w:p w14:paraId="5208B01F">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11</w:t>
            </w:r>
          </w:p>
        </w:tc>
        <w:tc>
          <w:tcPr>
            <w:tcW w:w="2186" w:type="dxa"/>
            <w:vAlign w:val="center"/>
          </w:tcPr>
          <w:p w14:paraId="276B0110">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注浆设备</w:t>
            </w:r>
          </w:p>
        </w:tc>
        <w:tc>
          <w:tcPr>
            <w:tcW w:w="1459" w:type="dxa"/>
            <w:vAlign w:val="center"/>
          </w:tcPr>
          <w:p w14:paraId="12552C3D">
            <w:pPr>
              <w:pStyle w:val="10"/>
              <w:spacing w:before="65" w:line="228" w:lineRule="auto"/>
              <w:jc w:val="center"/>
              <w:rPr>
                <w:rFonts w:hint="eastAsia"/>
                <w:color w:val="auto"/>
                <w:spacing w:val="5"/>
                <w:sz w:val="20"/>
                <w:szCs w:val="20"/>
                <w:highlight w:val="none"/>
              </w:rPr>
            </w:pPr>
          </w:p>
        </w:tc>
        <w:tc>
          <w:tcPr>
            <w:tcW w:w="996" w:type="dxa"/>
            <w:vAlign w:val="center"/>
          </w:tcPr>
          <w:p w14:paraId="785985F8">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套</w:t>
            </w:r>
          </w:p>
        </w:tc>
        <w:tc>
          <w:tcPr>
            <w:tcW w:w="1063" w:type="dxa"/>
            <w:vAlign w:val="center"/>
          </w:tcPr>
          <w:p w14:paraId="64B5A8B5">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4AABEA94">
            <w:pPr>
              <w:pStyle w:val="10"/>
              <w:spacing w:before="65" w:line="228" w:lineRule="auto"/>
              <w:jc w:val="center"/>
              <w:rPr>
                <w:rFonts w:hint="eastAsia"/>
                <w:color w:val="auto"/>
                <w:spacing w:val="5"/>
                <w:sz w:val="20"/>
                <w:szCs w:val="20"/>
                <w:highlight w:val="none"/>
              </w:rPr>
            </w:pPr>
          </w:p>
        </w:tc>
      </w:tr>
      <w:tr w14:paraId="3505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jc w:val="center"/>
        </w:trPr>
        <w:tc>
          <w:tcPr>
            <w:tcW w:w="1093" w:type="dxa"/>
            <w:vAlign w:val="center"/>
          </w:tcPr>
          <w:p w14:paraId="0340F791">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12</w:t>
            </w:r>
          </w:p>
        </w:tc>
        <w:tc>
          <w:tcPr>
            <w:tcW w:w="2186" w:type="dxa"/>
            <w:vAlign w:val="center"/>
          </w:tcPr>
          <w:p w14:paraId="66F2D504">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空压机</w:t>
            </w:r>
          </w:p>
        </w:tc>
        <w:tc>
          <w:tcPr>
            <w:tcW w:w="1459" w:type="dxa"/>
            <w:vAlign w:val="center"/>
          </w:tcPr>
          <w:p w14:paraId="4B57C2B5">
            <w:pPr>
              <w:pStyle w:val="10"/>
              <w:spacing w:before="65" w:line="228" w:lineRule="auto"/>
              <w:jc w:val="center"/>
              <w:rPr>
                <w:rFonts w:hint="eastAsia"/>
                <w:color w:val="auto"/>
                <w:spacing w:val="5"/>
                <w:sz w:val="20"/>
                <w:szCs w:val="20"/>
                <w:highlight w:val="none"/>
              </w:rPr>
            </w:pPr>
          </w:p>
        </w:tc>
        <w:tc>
          <w:tcPr>
            <w:tcW w:w="996" w:type="dxa"/>
            <w:vAlign w:val="center"/>
          </w:tcPr>
          <w:p w14:paraId="63C86826">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3EA710CF">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12797CD2">
            <w:pPr>
              <w:pStyle w:val="10"/>
              <w:spacing w:before="65" w:line="228" w:lineRule="auto"/>
              <w:jc w:val="center"/>
              <w:rPr>
                <w:rFonts w:hint="eastAsia"/>
                <w:color w:val="auto"/>
                <w:spacing w:val="5"/>
                <w:sz w:val="20"/>
                <w:szCs w:val="20"/>
                <w:highlight w:val="none"/>
              </w:rPr>
            </w:pPr>
          </w:p>
        </w:tc>
      </w:tr>
      <w:tr w14:paraId="21779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jc w:val="center"/>
        </w:trPr>
        <w:tc>
          <w:tcPr>
            <w:tcW w:w="1093" w:type="dxa"/>
            <w:vAlign w:val="center"/>
          </w:tcPr>
          <w:p w14:paraId="2A3D0630">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13</w:t>
            </w:r>
          </w:p>
        </w:tc>
        <w:tc>
          <w:tcPr>
            <w:tcW w:w="2186" w:type="dxa"/>
            <w:vAlign w:val="center"/>
          </w:tcPr>
          <w:p w14:paraId="616E475F">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灰浆搅拌机</w:t>
            </w:r>
          </w:p>
        </w:tc>
        <w:tc>
          <w:tcPr>
            <w:tcW w:w="1459" w:type="dxa"/>
            <w:vAlign w:val="center"/>
          </w:tcPr>
          <w:p w14:paraId="4F1C90CF">
            <w:pPr>
              <w:pStyle w:val="10"/>
              <w:spacing w:before="65" w:line="228" w:lineRule="auto"/>
              <w:jc w:val="center"/>
              <w:rPr>
                <w:rFonts w:hint="eastAsia"/>
                <w:color w:val="auto"/>
                <w:spacing w:val="5"/>
                <w:sz w:val="20"/>
                <w:szCs w:val="20"/>
                <w:highlight w:val="none"/>
              </w:rPr>
            </w:pPr>
          </w:p>
        </w:tc>
        <w:tc>
          <w:tcPr>
            <w:tcW w:w="996" w:type="dxa"/>
            <w:vAlign w:val="center"/>
          </w:tcPr>
          <w:p w14:paraId="5CA13057">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5CA77261">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24FBA7E1">
            <w:pPr>
              <w:pStyle w:val="10"/>
              <w:spacing w:before="65" w:line="228" w:lineRule="auto"/>
              <w:jc w:val="center"/>
              <w:rPr>
                <w:rFonts w:hint="eastAsia"/>
                <w:color w:val="auto"/>
                <w:spacing w:val="5"/>
                <w:sz w:val="20"/>
                <w:szCs w:val="20"/>
                <w:highlight w:val="none"/>
              </w:rPr>
            </w:pPr>
          </w:p>
        </w:tc>
      </w:tr>
      <w:tr w14:paraId="06A29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jc w:val="center"/>
        </w:trPr>
        <w:tc>
          <w:tcPr>
            <w:tcW w:w="1093" w:type="dxa"/>
            <w:vAlign w:val="center"/>
          </w:tcPr>
          <w:p w14:paraId="33C62F83">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14</w:t>
            </w:r>
          </w:p>
        </w:tc>
        <w:tc>
          <w:tcPr>
            <w:tcW w:w="2186" w:type="dxa"/>
            <w:vAlign w:val="center"/>
          </w:tcPr>
          <w:p w14:paraId="1E520C68">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发电机</w:t>
            </w:r>
          </w:p>
        </w:tc>
        <w:tc>
          <w:tcPr>
            <w:tcW w:w="1459" w:type="dxa"/>
            <w:vAlign w:val="center"/>
          </w:tcPr>
          <w:p w14:paraId="7C05B1A5">
            <w:pPr>
              <w:pStyle w:val="10"/>
              <w:spacing w:before="65" w:line="228" w:lineRule="auto"/>
              <w:jc w:val="center"/>
              <w:rPr>
                <w:rFonts w:hint="eastAsia"/>
                <w:color w:val="auto"/>
                <w:spacing w:val="5"/>
                <w:sz w:val="20"/>
                <w:szCs w:val="20"/>
                <w:highlight w:val="none"/>
              </w:rPr>
            </w:pPr>
          </w:p>
        </w:tc>
        <w:tc>
          <w:tcPr>
            <w:tcW w:w="996" w:type="dxa"/>
            <w:vAlign w:val="center"/>
          </w:tcPr>
          <w:p w14:paraId="40212C6B">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23EEC2EE">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p>
        </w:tc>
        <w:tc>
          <w:tcPr>
            <w:tcW w:w="1934" w:type="dxa"/>
            <w:vAlign w:val="center"/>
          </w:tcPr>
          <w:p w14:paraId="0C5703DF">
            <w:pPr>
              <w:pStyle w:val="10"/>
              <w:spacing w:before="65" w:line="228" w:lineRule="auto"/>
              <w:jc w:val="center"/>
              <w:rPr>
                <w:rFonts w:hint="eastAsia"/>
                <w:color w:val="auto"/>
                <w:spacing w:val="5"/>
                <w:sz w:val="20"/>
                <w:szCs w:val="20"/>
                <w:highlight w:val="none"/>
              </w:rPr>
            </w:pPr>
          </w:p>
        </w:tc>
      </w:tr>
      <w:tr w14:paraId="12DF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jc w:val="center"/>
        </w:trPr>
        <w:tc>
          <w:tcPr>
            <w:tcW w:w="1093" w:type="dxa"/>
            <w:vAlign w:val="center"/>
          </w:tcPr>
          <w:p w14:paraId="1B10A5B6">
            <w:pPr>
              <w:pStyle w:val="10"/>
              <w:spacing w:before="65" w:line="228" w:lineRule="auto"/>
              <w:jc w:val="center"/>
              <w:rPr>
                <w:rFonts w:hint="eastAsia"/>
                <w:color w:val="auto"/>
                <w:spacing w:val="5"/>
                <w:sz w:val="20"/>
                <w:szCs w:val="20"/>
                <w:highlight w:val="none"/>
              </w:rPr>
            </w:pPr>
            <w:r>
              <w:rPr>
                <w:color w:val="auto"/>
                <w:spacing w:val="5"/>
                <w:sz w:val="20"/>
                <w:szCs w:val="20"/>
                <w:highlight w:val="none"/>
              </w:rPr>
              <w:t>1</w:t>
            </w:r>
            <w:r>
              <w:rPr>
                <w:rFonts w:hint="eastAsia"/>
                <w:color w:val="auto"/>
                <w:spacing w:val="5"/>
                <w:sz w:val="20"/>
                <w:szCs w:val="20"/>
                <w:highlight w:val="none"/>
              </w:rPr>
              <w:t>5</w:t>
            </w:r>
          </w:p>
        </w:tc>
        <w:tc>
          <w:tcPr>
            <w:tcW w:w="2186" w:type="dxa"/>
            <w:vAlign w:val="center"/>
          </w:tcPr>
          <w:p w14:paraId="019A0168">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防撞车</w:t>
            </w:r>
          </w:p>
        </w:tc>
        <w:tc>
          <w:tcPr>
            <w:tcW w:w="1459" w:type="dxa"/>
            <w:vAlign w:val="center"/>
          </w:tcPr>
          <w:p w14:paraId="53672CAD">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100型</w:t>
            </w:r>
          </w:p>
        </w:tc>
        <w:tc>
          <w:tcPr>
            <w:tcW w:w="996" w:type="dxa"/>
            <w:vAlign w:val="center"/>
          </w:tcPr>
          <w:p w14:paraId="125BB662">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台</w:t>
            </w:r>
          </w:p>
        </w:tc>
        <w:tc>
          <w:tcPr>
            <w:tcW w:w="1063" w:type="dxa"/>
            <w:vAlign w:val="center"/>
          </w:tcPr>
          <w:p w14:paraId="12902603">
            <w:pPr>
              <w:pStyle w:val="10"/>
              <w:spacing w:before="65" w:line="228" w:lineRule="auto"/>
              <w:jc w:val="center"/>
              <w:rPr>
                <w:rFonts w:hint="eastAsia"/>
                <w:color w:val="auto"/>
                <w:spacing w:val="5"/>
                <w:sz w:val="20"/>
                <w:szCs w:val="20"/>
                <w:highlight w:val="none"/>
              </w:rPr>
            </w:pPr>
            <w:r>
              <w:rPr>
                <w:rFonts w:hint="eastAsia"/>
                <w:color w:val="auto"/>
                <w:spacing w:val="5"/>
                <w:sz w:val="20"/>
                <w:szCs w:val="20"/>
                <w:highlight w:val="none"/>
              </w:rPr>
              <w:t>2</w:t>
            </w:r>
          </w:p>
        </w:tc>
        <w:tc>
          <w:tcPr>
            <w:tcW w:w="1934" w:type="dxa"/>
            <w:vAlign w:val="center"/>
          </w:tcPr>
          <w:p w14:paraId="66479667">
            <w:pPr>
              <w:pStyle w:val="10"/>
              <w:spacing w:before="65" w:line="228" w:lineRule="auto"/>
              <w:jc w:val="center"/>
              <w:rPr>
                <w:rFonts w:hint="eastAsia"/>
                <w:color w:val="auto"/>
                <w:spacing w:val="5"/>
                <w:sz w:val="20"/>
                <w:szCs w:val="20"/>
                <w:highlight w:val="none"/>
              </w:rPr>
            </w:pPr>
          </w:p>
        </w:tc>
      </w:tr>
    </w:tbl>
    <w:p w14:paraId="54E09D9C">
      <w:pPr>
        <w:spacing w:before="108" w:line="227" w:lineRule="auto"/>
        <w:ind w:left="420"/>
        <w:rPr>
          <w:rFonts w:hint="eastAsia"/>
          <w:color w:val="auto"/>
          <w:highlight w:val="none"/>
        </w:rPr>
      </w:pPr>
      <w:r>
        <w:rPr>
          <w:rFonts w:hint="eastAsia"/>
          <w:color w:val="auto"/>
          <w:spacing w:val="8"/>
          <w:highlight w:val="none"/>
        </w:rPr>
        <w:t>注：1、投标人应保证机械设备可以正常使用。</w:t>
      </w:r>
    </w:p>
    <w:p w14:paraId="01A8A2FD">
      <w:pPr>
        <w:spacing w:before="114" w:line="280" w:lineRule="auto"/>
        <w:ind w:left="3" w:right="163" w:firstLine="840"/>
        <w:rPr>
          <w:rFonts w:hint="eastAsia"/>
          <w:color w:val="auto"/>
          <w:highlight w:val="none"/>
        </w:rPr>
      </w:pPr>
      <w:r>
        <w:rPr>
          <w:rFonts w:hint="eastAsia"/>
          <w:color w:val="auto"/>
          <w:spacing w:val="9"/>
          <w:highlight w:val="none"/>
        </w:rPr>
        <w:t>2、招标人有权根据标段的工程特点、工程量及工程进度情况要求增加相应的施工设备，</w:t>
      </w:r>
      <w:r>
        <w:rPr>
          <w:rFonts w:hint="eastAsia"/>
          <w:color w:val="auto"/>
          <w:spacing w:val="8"/>
          <w:highlight w:val="none"/>
        </w:rPr>
        <w:t>投标人不得向招标人要求增加任何相关费用。</w:t>
      </w:r>
    </w:p>
    <w:p w14:paraId="0743DC40">
      <w:pPr>
        <w:spacing w:before="113" w:line="280" w:lineRule="auto"/>
        <w:ind w:right="112" w:firstLine="845"/>
        <w:rPr>
          <w:rFonts w:hint="eastAsia"/>
          <w:color w:val="auto"/>
          <w:highlight w:val="none"/>
        </w:rPr>
      </w:pPr>
      <w:r>
        <w:rPr>
          <w:rFonts w:hint="eastAsia"/>
          <w:color w:val="auto"/>
          <w:spacing w:val="7"/>
          <w:highlight w:val="none"/>
        </w:rPr>
        <w:t>3、投标人须按投标文件格式“（一）投标函”作出承诺，中标人在签订合同</w:t>
      </w:r>
      <w:r>
        <w:rPr>
          <w:rFonts w:hint="eastAsia"/>
          <w:color w:val="auto"/>
          <w:spacing w:val="6"/>
          <w:highlight w:val="none"/>
        </w:rPr>
        <w:t>后按招标文</w:t>
      </w:r>
      <w:r>
        <w:rPr>
          <w:rFonts w:hint="eastAsia"/>
          <w:color w:val="auto"/>
          <w:spacing w:val="9"/>
          <w:highlight w:val="none"/>
        </w:rPr>
        <w:t>件要求向发包人提交实际投入的设备清单及资料。</w:t>
      </w:r>
    </w:p>
    <w:p w14:paraId="4037CFB2">
      <w:pPr>
        <w:spacing w:line="280" w:lineRule="auto"/>
        <w:rPr>
          <w:rFonts w:hint="eastAsia"/>
          <w:color w:val="auto"/>
          <w:sz w:val="20"/>
          <w:szCs w:val="20"/>
          <w:highlight w:val="none"/>
        </w:rPr>
        <w:sectPr>
          <w:pgSz w:w="11905" w:h="16838"/>
          <w:pgMar w:top="1417" w:right="1417" w:bottom="1417" w:left="1417" w:header="0" w:footer="907" w:gutter="0"/>
          <w:cols w:space="0" w:num="1"/>
        </w:sectPr>
      </w:pPr>
    </w:p>
    <w:p w14:paraId="2960C923">
      <w:pPr>
        <w:spacing w:line="400" w:lineRule="atLeast"/>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附件3：</w:t>
      </w:r>
    </w:p>
    <w:p w14:paraId="5C539ADD">
      <w:pPr>
        <w:spacing w:line="400" w:lineRule="atLeast"/>
        <w:jc w:val="center"/>
        <w:rPr>
          <w:rFonts w:hint="eastAsia" w:eastAsia="黑体"/>
          <w:color w:val="auto"/>
          <w:sz w:val="30"/>
          <w:szCs w:val="30"/>
          <w:highlight w:val="none"/>
        </w:rPr>
      </w:pPr>
      <w:r>
        <w:rPr>
          <w:rFonts w:eastAsia="黑体"/>
          <w:color w:val="auto"/>
          <w:sz w:val="30"/>
          <w:szCs w:val="30"/>
          <w:highlight w:val="none"/>
        </w:rPr>
        <w:t>评标办法</w:t>
      </w:r>
      <w:r>
        <w:rPr>
          <w:rFonts w:hint="eastAsia" w:eastAsia="黑体"/>
          <w:color w:val="auto"/>
          <w:sz w:val="30"/>
          <w:szCs w:val="30"/>
          <w:highlight w:val="none"/>
        </w:rPr>
        <w:t>（双信封的综合评分法）</w:t>
      </w:r>
    </w:p>
    <w:p w14:paraId="2CA63E53">
      <w:pPr>
        <w:spacing w:line="400" w:lineRule="atLeast"/>
        <w:jc w:val="center"/>
        <w:rPr>
          <w:rFonts w:hint="eastAsia" w:eastAsia="黑体"/>
          <w:color w:val="auto"/>
          <w:sz w:val="30"/>
          <w:szCs w:val="30"/>
          <w:highlight w:val="none"/>
        </w:rPr>
      </w:pPr>
      <w:r>
        <w:rPr>
          <w:rFonts w:eastAsia="黑体"/>
          <w:color w:val="auto"/>
          <w:sz w:val="30"/>
          <w:szCs w:val="30"/>
          <w:highlight w:val="none"/>
        </w:rPr>
        <w:t>评标办法前附表</w:t>
      </w:r>
    </w:p>
    <w:tbl>
      <w:tblPr>
        <w:tblStyle w:val="8"/>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891"/>
        <w:gridCol w:w="7542"/>
      </w:tblGrid>
      <w:tr w14:paraId="6880F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blHeader/>
          <w:jc w:val="center"/>
        </w:trPr>
        <w:tc>
          <w:tcPr>
            <w:tcW w:w="1632" w:type="dxa"/>
            <w:gridSpan w:val="2"/>
            <w:tcBorders>
              <w:top w:val="single" w:color="auto" w:sz="4" w:space="0"/>
              <w:bottom w:val="single" w:color="auto" w:sz="4" w:space="0"/>
              <w:right w:val="single" w:color="auto" w:sz="4" w:space="0"/>
            </w:tcBorders>
            <w:vAlign w:val="center"/>
          </w:tcPr>
          <w:p w14:paraId="16344941">
            <w:pPr>
              <w:spacing w:line="400" w:lineRule="exact"/>
              <w:jc w:val="center"/>
              <w:rPr>
                <w:rFonts w:hint="eastAsia"/>
                <w:b/>
                <w:color w:val="auto"/>
                <w:sz w:val="21"/>
                <w:szCs w:val="21"/>
                <w:highlight w:val="none"/>
              </w:rPr>
            </w:pPr>
            <w:r>
              <w:rPr>
                <w:rFonts w:hint="eastAsia"/>
                <w:b/>
                <w:color w:val="auto"/>
                <w:sz w:val="21"/>
                <w:szCs w:val="21"/>
                <w:highlight w:val="none"/>
              </w:rPr>
              <w:t>条款号</w:t>
            </w:r>
          </w:p>
        </w:tc>
        <w:tc>
          <w:tcPr>
            <w:tcW w:w="7542" w:type="dxa"/>
            <w:tcBorders>
              <w:top w:val="single" w:color="auto" w:sz="4" w:space="0"/>
              <w:left w:val="single" w:color="auto" w:sz="4" w:space="0"/>
              <w:bottom w:val="single" w:color="auto" w:sz="4" w:space="0"/>
              <w:right w:val="single" w:color="auto" w:sz="4" w:space="0"/>
            </w:tcBorders>
            <w:vAlign w:val="center"/>
          </w:tcPr>
          <w:p w14:paraId="459DACAD">
            <w:pPr>
              <w:spacing w:line="400" w:lineRule="exact"/>
              <w:ind w:right="-73" w:rightChars="-33"/>
              <w:jc w:val="center"/>
              <w:rPr>
                <w:rFonts w:hint="eastAsia"/>
                <w:b/>
                <w:color w:val="auto"/>
                <w:sz w:val="21"/>
                <w:szCs w:val="21"/>
                <w:highlight w:val="none"/>
              </w:rPr>
            </w:pPr>
            <w:r>
              <w:rPr>
                <w:rFonts w:hint="eastAsia"/>
                <w:b/>
                <w:color w:val="auto"/>
                <w:sz w:val="21"/>
                <w:szCs w:val="21"/>
                <w:highlight w:val="none"/>
              </w:rPr>
              <w:t>评审因素与评审标准</w:t>
            </w:r>
          </w:p>
        </w:tc>
      </w:tr>
      <w:tr w14:paraId="61923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41" w:type="dxa"/>
            <w:tcBorders>
              <w:top w:val="single" w:color="auto" w:sz="4" w:space="0"/>
              <w:bottom w:val="single" w:color="auto" w:sz="4" w:space="0"/>
              <w:right w:val="single" w:color="auto" w:sz="4" w:space="0"/>
            </w:tcBorders>
            <w:vAlign w:val="center"/>
          </w:tcPr>
          <w:p w14:paraId="14C0A21A">
            <w:pPr>
              <w:spacing w:line="400" w:lineRule="exact"/>
              <w:jc w:val="center"/>
              <w:rPr>
                <w:rFonts w:hint="eastAsia"/>
                <w:color w:val="auto"/>
                <w:sz w:val="21"/>
                <w:szCs w:val="21"/>
                <w:highlight w:val="none"/>
              </w:rPr>
            </w:pPr>
            <w:r>
              <w:rPr>
                <w:rFonts w:hint="eastAsia"/>
                <w:color w:val="auto"/>
                <w:sz w:val="21"/>
                <w:szCs w:val="21"/>
                <w:highlight w:val="none"/>
              </w:rPr>
              <w:t>1</w:t>
            </w:r>
          </w:p>
        </w:tc>
        <w:tc>
          <w:tcPr>
            <w:tcW w:w="891" w:type="dxa"/>
            <w:tcBorders>
              <w:top w:val="single" w:color="auto" w:sz="4" w:space="0"/>
              <w:bottom w:val="single" w:color="auto" w:sz="4" w:space="0"/>
              <w:right w:val="single" w:color="auto" w:sz="4" w:space="0"/>
            </w:tcBorders>
            <w:vAlign w:val="center"/>
          </w:tcPr>
          <w:p w14:paraId="1EEFB793">
            <w:pPr>
              <w:spacing w:line="400" w:lineRule="exact"/>
              <w:jc w:val="center"/>
              <w:rPr>
                <w:rFonts w:hint="eastAsia"/>
                <w:color w:val="auto"/>
                <w:sz w:val="21"/>
                <w:szCs w:val="21"/>
                <w:highlight w:val="none"/>
              </w:rPr>
            </w:pPr>
            <w:r>
              <w:rPr>
                <w:rFonts w:hint="eastAsia"/>
                <w:color w:val="auto"/>
                <w:sz w:val="21"/>
                <w:szCs w:val="21"/>
                <w:highlight w:val="none"/>
              </w:rPr>
              <w:t>评标办法</w:t>
            </w:r>
          </w:p>
        </w:tc>
        <w:tc>
          <w:tcPr>
            <w:tcW w:w="7542" w:type="dxa"/>
            <w:tcBorders>
              <w:top w:val="single" w:color="auto" w:sz="4" w:space="0"/>
              <w:left w:val="single" w:color="auto" w:sz="4" w:space="0"/>
              <w:right w:val="single" w:color="auto" w:sz="4" w:space="0"/>
            </w:tcBorders>
            <w:vAlign w:val="center"/>
          </w:tcPr>
          <w:p w14:paraId="1123BF40">
            <w:pPr>
              <w:pStyle w:val="6"/>
              <w:spacing w:line="360" w:lineRule="auto"/>
              <w:ind w:right="-73" w:rightChars="-33"/>
              <w:rPr>
                <w:rFonts w:hint="eastAsia" w:hAnsi="宋体"/>
                <w:color w:val="auto"/>
                <w:sz w:val="21"/>
                <w:szCs w:val="21"/>
                <w:highlight w:val="none"/>
              </w:rPr>
            </w:pPr>
            <w:r>
              <w:rPr>
                <w:rFonts w:hint="eastAsia" w:hAnsi="宋体"/>
                <w:color w:val="auto"/>
                <w:sz w:val="21"/>
                <w:szCs w:val="21"/>
                <w:highlight w:val="none"/>
              </w:rPr>
              <w:t>综合评分相等时，评标委员会依次按照以下优先顺序推荐中标候选人：</w:t>
            </w:r>
          </w:p>
          <w:p w14:paraId="3CACDE5A">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(1)</w:t>
            </w:r>
            <w:r>
              <w:rPr>
                <w:rFonts w:hint="eastAsia"/>
                <w:b/>
                <w:bCs/>
                <w:color w:val="auto"/>
                <w:sz w:val="21"/>
                <w:szCs w:val="21"/>
                <w:highlight w:val="none"/>
              </w:rPr>
              <w:t>评标合同单价折扣系数低的优先</w:t>
            </w:r>
            <w:r>
              <w:rPr>
                <w:rFonts w:hint="eastAsia"/>
                <w:color w:val="auto"/>
                <w:sz w:val="21"/>
                <w:szCs w:val="21"/>
                <w:highlight w:val="none"/>
              </w:rPr>
              <w:t>；</w:t>
            </w:r>
          </w:p>
          <w:p w14:paraId="7AE309BC">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(2)按招标文件规定被认定为最新年度广东省公路工程从业单位信用评价等级较高的投标人优先：承诺使用的AA级投标人、不承诺使用的AA级投标人、承诺使用的A级投标人、不承诺使用的A级投标人、B级投标人、未参评且被确定为B级投标人；</w:t>
            </w:r>
          </w:p>
          <w:p w14:paraId="2770491B">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(3)以投标人企业最新年度（2024年）净资产较高的优先；</w:t>
            </w:r>
          </w:p>
          <w:p w14:paraId="22B02269">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(4)评标委员会视投标人情况综合比较，投票确定其名次。</w:t>
            </w:r>
          </w:p>
        </w:tc>
      </w:tr>
      <w:tr w14:paraId="3DEF9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41" w:type="dxa"/>
            <w:tcBorders>
              <w:top w:val="single" w:color="auto" w:sz="4" w:space="0"/>
              <w:bottom w:val="single" w:color="auto" w:sz="4" w:space="0"/>
              <w:right w:val="single" w:color="auto" w:sz="4" w:space="0"/>
            </w:tcBorders>
            <w:vAlign w:val="center"/>
          </w:tcPr>
          <w:p w14:paraId="75EE36D2">
            <w:pPr>
              <w:spacing w:line="400" w:lineRule="exact"/>
              <w:jc w:val="center"/>
              <w:rPr>
                <w:rFonts w:hint="eastAsia"/>
                <w:color w:val="auto"/>
                <w:sz w:val="21"/>
                <w:szCs w:val="21"/>
                <w:highlight w:val="none"/>
              </w:rPr>
            </w:pPr>
            <w:r>
              <w:rPr>
                <w:rFonts w:hint="eastAsia"/>
                <w:color w:val="auto"/>
                <w:sz w:val="21"/>
                <w:szCs w:val="21"/>
                <w:highlight w:val="none"/>
              </w:rPr>
              <w:t>2.1.1</w:t>
            </w:r>
          </w:p>
          <w:p w14:paraId="2DEDCA45">
            <w:pPr>
              <w:spacing w:line="400" w:lineRule="exact"/>
              <w:jc w:val="center"/>
              <w:rPr>
                <w:rFonts w:hint="eastAsia"/>
                <w:color w:val="auto"/>
                <w:sz w:val="21"/>
                <w:szCs w:val="21"/>
                <w:highlight w:val="none"/>
              </w:rPr>
            </w:pPr>
            <w:r>
              <w:rPr>
                <w:rFonts w:hint="eastAsia"/>
                <w:color w:val="auto"/>
                <w:sz w:val="21"/>
                <w:szCs w:val="21"/>
                <w:highlight w:val="none"/>
              </w:rPr>
              <w:t>2.1.3</w:t>
            </w:r>
          </w:p>
        </w:tc>
        <w:tc>
          <w:tcPr>
            <w:tcW w:w="891" w:type="dxa"/>
            <w:tcBorders>
              <w:top w:val="single" w:color="auto" w:sz="4" w:space="0"/>
              <w:bottom w:val="single" w:color="auto" w:sz="4" w:space="0"/>
              <w:right w:val="single" w:color="auto" w:sz="4" w:space="0"/>
            </w:tcBorders>
            <w:vAlign w:val="center"/>
          </w:tcPr>
          <w:p w14:paraId="1540CC9D">
            <w:pPr>
              <w:spacing w:line="400" w:lineRule="exact"/>
              <w:jc w:val="center"/>
              <w:rPr>
                <w:rFonts w:hint="eastAsia"/>
                <w:color w:val="auto"/>
                <w:sz w:val="21"/>
                <w:szCs w:val="21"/>
                <w:highlight w:val="none"/>
              </w:rPr>
            </w:pPr>
            <w:r>
              <w:rPr>
                <w:rFonts w:hint="eastAsia"/>
                <w:color w:val="auto"/>
                <w:sz w:val="21"/>
                <w:szCs w:val="21"/>
                <w:highlight w:val="none"/>
              </w:rPr>
              <w:t>形式评审与响应性评审标准</w:t>
            </w:r>
          </w:p>
        </w:tc>
        <w:tc>
          <w:tcPr>
            <w:tcW w:w="7542" w:type="dxa"/>
            <w:tcBorders>
              <w:top w:val="single" w:color="auto" w:sz="4" w:space="0"/>
              <w:left w:val="single" w:color="auto" w:sz="4" w:space="0"/>
              <w:right w:val="single" w:color="auto" w:sz="4" w:space="0"/>
            </w:tcBorders>
            <w:vAlign w:val="center"/>
          </w:tcPr>
          <w:p w14:paraId="7887A644">
            <w:pPr>
              <w:pStyle w:val="5"/>
              <w:spacing w:after="0" w:line="440" w:lineRule="exact"/>
              <w:ind w:left="0" w:leftChars="0" w:right="-73" w:rightChars="-33" w:firstLine="422" w:firstLineChars="200"/>
              <w:rPr>
                <w:rFonts w:hint="eastAsia"/>
                <w:b/>
                <w:bCs/>
                <w:color w:val="auto"/>
                <w:sz w:val="21"/>
                <w:szCs w:val="21"/>
                <w:highlight w:val="none"/>
              </w:rPr>
            </w:pPr>
            <w:r>
              <w:rPr>
                <w:rFonts w:hint="eastAsia"/>
                <w:b/>
                <w:bCs/>
                <w:color w:val="auto"/>
                <w:sz w:val="21"/>
                <w:szCs w:val="21"/>
                <w:highlight w:val="none"/>
              </w:rPr>
              <w:t>第一个信封（商务及技术文件）评审标准</w:t>
            </w:r>
          </w:p>
          <w:p w14:paraId="449A73CA">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(1)投标文件按照招标文件规定的格式、内容填写，字迹清晰可辨：</w:t>
            </w:r>
          </w:p>
          <w:p w14:paraId="1BB961B5">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a.投标函按招标文件规定填报了项目名称、标段号、补遗书编号（如有）、工期、工程质量要求及安全目标；</w:t>
            </w:r>
          </w:p>
          <w:p w14:paraId="23771DBA">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b.投标函附录的所有数据均符合招标文件规定；</w:t>
            </w:r>
          </w:p>
          <w:p w14:paraId="4A17DA08">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c.投标文件（第一个信封）组成齐全完整，内容均按规定填写。</w:t>
            </w:r>
          </w:p>
          <w:p w14:paraId="414CC176">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(2)投标文件上法定代表人或其授权代理人的签字、投标人的单位章盖章齐全，符合招标文件的规定。</w:t>
            </w:r>
          </w:p>
          <w:p w14:paraId="15A8528E">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(3)投标人按照招标文件的规定提供了投标保证金：</w:t>
            </w:r>
          </w:p>
          <w:p w14:paraId="043E4D3D">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a.投标</w:t>
            </w:r>
            <w:bookmarkStart w:id="1" w:name="OLE_LINK84"/>
            <w:r>
              <w:rPr>
                <w:rFonts w:hint="eastAsia"/>
                <w:color w:val="auto"/>
                <w:sz w:val="21"/>
                <w:szCs w:val="21"/>
                <w:highlight w:val="none"/>
              </w:rPr>
              <w:t>保证</w:t>
            </w:r>
            <w:bookmarkEnd w:id="1"/>
            <w:r>
              <w:rPr>
                <w:rFonts w:hint="eastAsia"/>
                <w:color w:val="auto"/>
                <w:sz w:val="21"/>
                <w:szCs w:val="21"/>
                <w:highlight w:val="none"/>
              </w:rPr>
              <w:t>金额符合招标文件规定的金额，且投标保证金有效期不少于投标有效期；</w:t>
            </w:r>
          </w:p>
          <w:p w14:paraId="74C62D99">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b. 若投标保证金采用现金或支票形式提交，投标人应在投标人须知3.4.1款规定的时间，将投标保证金由投标人的基本账户转入招标人指定账户；</w:t>
            </w:r>
          </w:p>
          <w:p w14:paraId="4B3F2EF9">
            <w:pPr>
              <w:pStyle w:val="5"/>
              <w:spacing w:after="0" w:line="440" w:lineRule="exact"/>
              <w:ind w:left="0" w:leftChars="0" w:right="-73" w:rightChars="-33" w:firstLine="420" w:firstLineChars="200"/>
              <w:rPr>
                <w:rFonts w:hint="eastAsia"/>
                <w:b/>
                <w:color w:val="auto"/>
                <w:sz w:val="21"/>
                <w:szCs w:val="21"/>
                <w:highlight w:val="none"/>
              </w:rPr>
            </w:pPr>
            <w:r>
              <w:rPr>
                <w:rFonts w:hint="eastAsia"/>
                <w:color w:val="auto"/>
                <w:sz w:val="21"/>
                <w:szCs w:val="21"/>
                <w:highlight w:val="none"/>
              </w:rPr>
              <w:t>c.若投标保证金采用银行保函</w:t>
            </w:r>
            <w:r>
              <w:rPr>
                <w:rFonts w:hint="eastAsia"/>
                <w:color w:val="auto"/>
                <w:sz w:val="21"/>
                <w:szCs w:val="21"/>
                <w:highlight w:val="none"/>
                <w:lang w:eastAsia="zh-CN"/>
              </w:rPr>
              <w:t>、保险</w:t>
            </w:r>
            <w:r>
              <w:rPr>
                <w:rFonts w:hint="eastAsia"/>
                <w:color w:val="auto"/>
                <w:sz w:val="21"/>
                <w:szCs w:val="21"/>
                <w:highlight w:val="none"/>
              </w:rPr>
              <w:t>或投标人须知前附表 3.4.1 项规定的其他形式提交，应满足招标文件要求</w:t>
            </w:r>
            <w:r>
              <w:rPr>
                <w:rFonts w:hint="eastAsia"/>
                <w:b/>
                <w:color w:val="auto"/>
                <w:sz w:val="21"/>
                <w:szCs w:val="21"/>
                <w:highlight w:val="none"/>
              </w:rPr>
              <w:t>。</w:t>
            </w:r>
          </w:p>
          <w:p w14:paraId="42B66385">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(4)投标人法定代表人授权委托代理人签署投标文件的，需提交授权委托书，且授权人和被授权人均在授权委托书上签名，未使用印章、签名章或其他电子制版签名代替。</w:t>
            </w:r>
          </w:p>
          <w:p w14:paraId="4B811A1E">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(5)投标人法定代表人若亲自签署投标文件的，提供了法定代表人身份证明，且法定代表人在法定代表人身份证明上签名，未使用印章、签名章或其他电子制版签名代替。</w:t>
            </w:r>
          </w:p>
          <w:p w14:paraId="77CF60AF">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(6)投标人未以联合体形式参与投标。</w:t>
            </w:r>
          </w:p>
          <w:p w14:paraId="1AB22BDC">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(7)同一标段的同一投标人没有提交两个以上不同的投标文件，但招标文件要求提交备选投标的除外。</w:t>
            </w:r>
          </w:p>
          <w:p w14:paraId="652A6D24">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(8)投标文件中不得出现有关投标报价的内容。</w:t>
            </w:r>
          </w:p>
          <w:p w14:paraId="0FC4637A">
            <w:pPr>
              <w:pStyle w:val="5"/>
              <w:spacing w:after="0" w:line="440" w:lineRule="exact"/>
              <w:ind w:left="0" w:leftChars="0" w:right="-73" w:rightChars="-33" w:firstLine="420" w:firstLineChars="200"/>
              <w:rPr>
                <w:rFonts w:hint="eastAsia"/>
                <w:color w:val="auto"/>
                <w:sz w:val="21"/>
                <w:szCs w:val="21"/>
                <w:highlight w:val="none"/>
              </w:rPr>
            </w:pPr>
            <w:bookmarkStart w:id="2" w:name="OLE_LINK76"/>
            <w:r>
              <w:rPr>
                <w:rFonts w:hint="eastAsia"/>
                <w:color w:val="auto"/>
                <w:sz w:val="21"/>
                <w:szCs w:val="21"/>
                <w:highlight w:val="none"/>
              </w:rPr>
              <w:t>(9)</w:t>
            </w:r>
            <w:bookmarkEnd w:id="2"/>
            <w:r>
              <w:rPr>
                <w:rFonts w:hint="eastAsia"/>
                <w:color w:val="auto"/>
                <w:sz w:val="21"/>
                <w:szCs w:val="21"/>
                <w:highlight w:val="none"/>
              </w:rPr>
              <w:t>投标文件载明的招标项目完成期限未超过招标文件规定的时限。</w:t>
            </w:r>
          </w:p>
          <w:p w14:paraId="28647BEC">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(10)投标文件对招标文件的实质性要求和条件作出响应。</w:t>
            </w:r>
          </w:p>
          <w:p w14:paraId="5B9ACF6A">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(11)权利义务符合招标文件规定：</w:t>
            </w:r>
          </w:p>
          <w:p w14:paraId="0C5055CF">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a.投标人应接受招标文件规定的风险划分原则，未提出新的风险划分办法；</w:t>
            </w:r>
          </w:p>
          <w:p w14:paraId="456BB961">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b.投标人未增加发包人的责任范围，或减少投标人义务；</w:t>
            </w:r>
          </w:p>
          <w:p w14:paraId="525A80E8">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c.投标人未提出不同的工程验收、计量、支付办法；</w:t>
            </w:r>
          </w:p>
          <w:p w14:paraId="1FBA254B">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d.投标人对合同纠纷、事故处理办法未提出异议；</w:t>
            </w:r>
          </w:p>
          <w:p w14:paraId="7A44AB3B">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e.投标人在投标活动中无欺诈行为；</w:t>
            </w:r>
          </w:p>
          <w:p w14:paraId="21CE0E51">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f.投标人未对合同条款有重要保留。</w:t>
            </w:r>
          </w:p>
          <w:p w14:paraId="6E68AC57">
            <w:pPr>
              <w:pStyle w:val="5"/>
              <w:spacing w:after="0" w:line="440" w:lineRule="exact"/>
              <w:ind w:left="0" w:leftChars="0" w:right="-73" w:rightChars="-33" w:firstLine="420" w:firstLineChars="200"/>
              <w:rPr>
                <w:rFonts w:hint="eastAsia"/>
                <w:color w:val="auto"/>
                <w:sz w:val="21"/>
                <w:szCs w:val="21"/>
                <w:highlight w:val="none"/>
              </w:rPr>
            </w:pPr>
            <w:bookmarkStart w:id="3" w:name="OLE_LINK77"/>
            <w:r>
              <w:rPr>
                <w:rFonts w:hint="eastAsia"/>
                <w:color w:val="auto"/>
                <w:sz w:val="21"/>
                <w:szCs w:val="21"/>
                <w:highlight w:val="none"/>
              </w:rPr>
              <w:t>（1</w:t>
            </w:r>
            <w:r>
              <w:rPr>
                <w:rFonts w:hint="eastAsia"/>
                <w:color w:val="auto"/>
                <w:sz w:val="21"/>
                <w:szCs w:val="21"/>
                <w:highlight w:val="none"/>
                <w:lang w:val="en-US" w:eastAsia="zh-CN"/>
              </w:rPr>
              <w:t>2</w:t>
            </w:r>
            <w:r>
              <w:rPr>
                <w:rFonts w:hint="eastAsia"/>
                <w:color w:val="auto"/>
                <w:sz w:val="21"/>
                <w:szCs w:val="21"/>
                <w:highlight w:val="none"/>
              </w:rPr>
              <w:t>）</w:t>
            </w:r>
            <w:bookmarkEnd w:id="3"/>
            <w:r>
              <w:rPr>
                <w:rFonts w:hint="eastAsia"/>
                <w:color w:val="auto"/>
                <w:sz w:val="21"/>
                <w:szCs w:val="21"/>
                <w:highlight w:val="none"/>
              </w:rPr>
              <w:t>投标文件正、副本份数符合招标文件第二章“ 投标人须知”第 3.7.4 项规定。</w:t>
            </w:r>
          </w:p>
          <w:p w14:paraId="26E40A29">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3</w:t>
            </w:r>
            <w:r>
              <w:rPr>
                <w:rFonts w:hint="eastAsia"/>
                <w:color w:val="auto"/>
                <w:sz w:val="21"/>
                <w:szCs w:val="21"/>
                <w:highlight w:val="none"/>
              </w:rPr>
              <w:t>）投标文件未附有招标人不能接受的条件。</w:t>
            </w:r>
          </w:p>
        </w:tc>
      </w:tr>
      <w:tr w14:paraId="0D6A5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41" w:type="dxa"/>
            <w:tcBorders>
              <w:top w:val="single" w:color="auto" w:sz="4" w:space="0"/>
              <w:bottom w:val="single" w:color="auto" w:sz="4" w:space="0"/>
              <w:right w:val="single" w:color="auto" w:sz="4" w:space="0"/>
            </w:tcBorders>
            <w:vAlign w:val="center"/>
          </w:tcPr>
          <w:p w14:paraId="006FF4F4">
            <w:pPr>
              <w:spacing w:line="400" w:lineRule="exact"/>
              <w:jc w:val="center"/>
              <w:rPr>
                <w:rFonts w:hint="eastAsia"/>
                <w:color w:val="auto"/>
                <w:sz w:val="21"/>
                <w:szCs w:val="21"/>
                <w:highlight w:val="none"/>
              </w:rPr>
            </w:pPr>
            <w:r>
              <w:rPr>
                <w:rFonts w:hint="eastAsia"/>
                <w:color w:val="auto"/>
                <w:sz w:val="21"/>
                <w:szCs w:val="21"/>
                <w:highlight w:val="none"/>
              </w:rPr>
              <w:t>2.1.1</w:t>
            </w:r>
          </w:p>
          <w:p w14:paraId="607DE7E3">
            <w:pPr>
              <w:spacing w:line="400" w:lineRule="exact"/>
              <w:jc w:val="center"/>
              <w:rPr>
                <w:rFonts w:hint="eastAsia"/>
                <w:color w:val="auto"/>
                <w:sz w:val="21"/>
                <w:szCs w:val="21"/>
                <w:highlight w:val="none"/>
              </w:rPr>
            </w:pPr>
            <w:r>
              <w:rPr>
                <w:rFonts w:hint="eastAsia"/>
                <w:color w:val="auto"/>
                <w:sz w:val="21"/>
                <w:szCs w:val="21"/>
                <w:highlight w:val="none"/>
              </w:rPr>
              <w:t>2.1.3</w:t>
            </w:r>
          </w:p>
        </w:tc>
        <w:tc>
          <w:tcPr>
            <w:tcW w:w="891" w:type="dxa"/>
            <w:tcBorders>
              <w:top w:val="single" w:color="auto" w:sz="4" w:space="0"/>
              <w:bottom w:val="single" w:color="auto" w:sz="4" w:space="0"/>
              <w:right w:val="single" w:color="auto" w:sz="4" w:space="0"/>
            </w:tcBorders>
            <w:vAlign w:val="center"/>
          </w:tcPr>
          <w:p w14:paraId="29A017BB">
            <w:pPr>
              <w:spacing w:line="400" w:lineRule="exact"/>
              <w:jc w:val="center"/>
              <w:rPr>
                <w:rFonts w:hint="eastAsia"/>
                <w:color w:val="auto"/>
                <w:sz w:val="21"/>
                <w:szCs w:val="21"/>
                <w:highlight w:val="none"/>
              </w:rPr>
            </w:pPr>
            <w:r>
              <w:rPr>
                <w:rFonts w:hint="eastAsia"/>
                <w:color w:val="auto"/>
                <w:sz w:val="21"/>
                <w:szCs w:val="21"/>
                <w:highlight w:val="none"/>
              </w:rPr>
              <w:t>形式评审与响应性评审标准</w:t>
            </w:r>
          </w:p>
        </w:tc>
        <w:tc>
          <w:tcPr>
            <w:tcW w:w="7542" w:type="dxa"/>
            <w:tcBorders>
              <w:top w:val="single" w:color="auto" w:sz="4" w:space="0"/>
              <w:left w:val="single" w:color="auto" w:sz="4" w:space="0"/>
              <w:right w:val="single" w:color="auto" w:sz="4" w:space="0"/>
            </w:tcBorders>
            <w:vAlign w:val="center"/>
          </w:tcPr>
          <w:p w14:paraId="516FB94D">
            <w:pPr>
              <w:pStyle w:val="5"/>
              <w:spacing w:after="0" w:line="440" w:lineRule="exact"/>
              <w:ind w:left="0" w:leftChars="0" w:right="-73" w:rightChars="-33" w:firstLine="422" w:firstLineChars="200"/>
              <w:rPr>
                <w:rFonts w:hint="eastAsia"/>
                <w:b/>
                <w:color w:val="auto"/>
                <w:sz w:val="21"/>
                <w:szCs w:val="21"/>
                <w:highlight w:val="none"/>
              </w:rPr>
            </w:pPr>
            <w:r>
              <w:rPr>
                <w:rFonts w:hint="eastAsia"/>
                <w:b/>
                <w:color w:val="auto"/>
                <w:sz w:val="21"/>
                <w:szCs w:val="21"/>
                <w:highlight w:val="none"/>
              </w:rPr>
              <w:t>第二信封（报价文件）评审标准：</w:t>
            </w:r>
          </w:p>
          <w:p w14:paraId="6B99E8D1">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（1）投标文件按照招标文件规定的格式、内容填写，字迹清晰可辨：</w:t>
            </w:r>
          </w:p>
          <w:p w14:paraId="1558A131">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a.投标函按招标文件规定填报了项目名称、标段号、补遗书编号（如有）、投标合同单价折扣系数；</w:t>
            </w:r>
          </w:p>
          <w:p w14:paraId="104F37BE">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b.投标文件（第二信封）组成齐全完整，内容按规定填写。</w:t>
            </w:r>
          </w:p>
          <w:p w14:paraId="4C28469B">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（2）投标文件上法定代表人或其授权代理人的签字、投标人的单位章盖章齐全，符合招标文件规定。</w:t>
            </w:r>
          </w:p>
          <w:p w14:paraId="06FBB439">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（3）投标合同单价折扣系数未超过招标人公布的最高投标合同单价折扣系数、也未超过招标人公布的最高评标合同单价折扣系数，且填写的合同单价折扣系数唯一。</w:t>
            </w:r>
          </w:p>
          <w:p w14:paraId="0A4B4CBD">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 xml:space="preserve">（4）同一标段的同一投标人未提交两个以上不同的投标合同单价折扣系数，但招标文件要求提交备选投标的除外。 </w:t>
            </w:r>
          </w:p>
          <w:p w14:paraId="61423067">
            <w:pPr>
              <w:pStyle w:val="5"/>
              <w:spacing w:after="0" w:line="440" w:lineRule="exact"/>
              <w:ind w:left="0" w:leftChars="0" w:right="-73" w:rightChars="-33" w:firstLine="420" w:firstLineChars="200"/>
              <w:rPr>
                <w:rFonts w:hint="eastAsia"/>
                <w:color w:val="auto"/>
                <w:sz w:val="21"/>
                <w:szCs w:val="21"/>
                <w:highlight w:val="none"/>
              </w:rPr>
            </w:pPr>
            <w:r>
              <w:rPr>
                <w:rFonts w:hint="eastAsia"/>
                <w:color w:val="auto"/>
                <w:sz w:val="21"/>
                <w:szCs w:val="21"/>
                <w:highlight w:val="none"/>
              </w:rPr>
              <w:t>（5）投标文件正、副本份数符合招标文件第二章“投标人须知”第3.7.4 项规定。</w:t>
            </w:r>
          </w:p>
        </w:tc>
      </w:tr>
      <w:tr w14:paraId="1047B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41" w:type="dxa"/>
            <w:tcBorders>
              <w:top w:val="single" w:color="auto" w:sz="4" w:space="0"/>
              <w:right w:val="single" w:color="auto" w:sz="4" w:space="0"/>
            </w:tcBorders>
            <w:vAlign w:val="center"/>
          </w:tcPr>
          <w:p w14:paraId="3FDCDB5C">
            <w:pPr>
              <w:spacing w:line="400" w:lineRule="exact"/>
              <w:jc w:val="center"/>
              <w:rPr>
                <w:rFonts w:hint="eastAsia"/>
                <w:color w:val="auto"/>
                <w:sz w:val="21"/>
                <w:szCs w:val="21"/>
                <w:highlight w:val="none"/>
              </w:rPr>
            </w:pPr>
            <w:r>
              <w:rPr>
                <w:rFonts w:hint="eastAsia"/>
                <w:color w:val="auto"/>
                <w:sz w:val="21"/>
                <w:szCs w:val="21"/>
                <w:highlight w:val="none"/>
              </w:rPr>
              <w:t>2.1.2</w:t>
            </w:r>
          </w:p>
        </w:tc>
        <w:tc>
          <w:tcPr>
            <w:tcW w:w="891" w:type="dxa"/>
            <w:tcBorders>
              <w:top w:val="single" w:color="auto" w:sz="4" w:space="0"/>
              <w:right w:val="single" w:color="auto" w:sz="4" w:space="0"/>
            </w:tcBorders>
            <w:vAlign w:val="center"/>
          </w:tcPr>
          <w:p w14:paraId="3E8899BB">
            <w:pPr>
              <w:spacing w:line="400" w:lineRule="exact"/>
              <w:jc w:val="center"/>
              <w:rPr>
                <w:rFonts w:hint="eastAsia"/>
                <w:color w:val="auto"/>
                <w:sz w:val="21"/>
                <w:szCs w:val="21"/>
                <w:highlight w:val="none"/>
              </w:rPr>
            </w:pPr>
            <w:r>
              <w:rPr>
                <w:rFonts w:hint="eastAsia"/>
                <w:color w:val="auto"/>
                <w:sz w:val="21"/>
                <w:szCs w:val="21"/>
                <w:highlight w:val="none"/>
              </w:rPr>
              <w:t>资格评审标准</w:t>
            </w:r>
          </w:p>
        </w:tc>
        <w:tc>
          <w:tcPr>
            <w:tcW w:w="7542" w:type="dxa"/>
            <w:tcBorders>
              <w:top w:val="single" w:color="auto" w:sz="4" w:space="0"/>
              <w:left w:val="single" w:color="auto" w:sz="4" w:space="0"/>
              <w:bottom w:val="single" w:color="auto" w:sz="4" w:space="0"/>
              <w:right w:val="single" w:color="auto" w:sz="4" w:space="0"/>
            </w:tcBorders>
            <w:vAlign w:val="center"/>
          </w:tcPr>
          <w:p w14:paraId="690C8CFC">
            <w:pPr>
              <w:spacing w:line="400" w:lineRule="exact"/>
              <w:ind w:right="-73" w:rightChars="-33" w:firstLine="390"/>
              <w:rPr>
                <w:rFonts w:hint="eastAsia"/>
                <w:color w:val="auto"/>
                <w:sz w:val="21"/>
                <w:szCs w:val="21"/>
                <w:highlight w:val="none"/>
              </w:rPr>
            </w:pPr>
            <w:r>
              <w:rPr>
                <w:rFonts w:hint="eastAsia"/>
                <w:color w:val="auto"/>
                <w:sz w:val="21"/>
                <w:szCs w:val="21"/>
                <w:highlight w:val="none"/>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7C66DEA6">
            <w:pPr>
              <w:spacing w:line="400" w:lineRule="exact"/>
              <w:ind w:right="-73" w:rightChars="-33" w:firstLine="390"/>
              <w:rPr>
                <w:rFonts w:hint="eastAsia"/>
                <w:color w:val="auto"/>
                <w:sz w:val="21"/>
                <w:szCs w:val="21"/>
                <w:highlight w:val="none"/>
              </w:rPr>
            </w:pPr>
            <w:bookmarkStart w:id="4" w:name="OLE_LINK78"/>
            <w:r>
              <w:rPr>
                <w:rFonts w:hint="eastAsia"/>
                <w:color w:val="auto"/>
                <w:sz w:val="21"/>
                <w:szCs w:val="21"/>
                <w:highlight w:val="none"/>
              </w:rPr>
              <w:t>（2）</w:t>
            </w:r>
            <w:bookmarkEnd w:id="4"/>
            <w:r>
              <w:rPr>
                <w:rFonts w:hint="eastAsia"/>
                <w:color w:val="auto"/>
                <w:sz w:val="21"/>
                <w:szCs w:val="21"/>
                <w:highlight w:val="none"/>
              </w:rPr>
              <w:t>投标人的资质等级符合招标文件规定；</w:t>
            </w:r>
          </w:p>
          <w:p w14:paraId="63280F92">
            <w:pPr>
              <w:spacing w:line="400" w:lineRule="exact"/>
              <w:ind w:right="-73" w:rightChars="-33" w:firstLine="390"/>
              <w:rPr>
                <w:rFonts w:hint="eastAsia"/>
                <w:color w:val="auto"/>
                <w:sz w:val="21"/>
                <w:szCs w:val="21"/>
                <w:highlight w:val="none"/>
              </w:rPr>
            </w:pPr>
            <w:r>
              <w:rPr>
                <w:rFonts w:hint="eastAsia"/>
                <w:color w:val="auto"/>
                <w:sz w:val="21"/>
                <w:szCs w:val="21"/>
                <w:highlight w:val="none"/>
              </w:rPr>
              <w:t>（3）投标人的财务状况符合招标文件规定；</w:t>
            </w:r>
          </w:p>
          <w:p w14:paraId="2187C882">
            <w:pPr>
              <w:spacing w:line="400" w:lineRule="exact"/>
              <w:ind w:right="-73" w:rightChars="-33" w:firstLine="390"/>
              <w:rPr>
                <w:rFonts w:hint="eastAsia"/>
                <w:color w:val="auto"/>
                <w:sz w:val="21"/>
                <w:szCs w:val="21"/>
                <w:highlight w:val="none"/>
              </w:rPr>
            </w:pPr>
            <w:r>
              <w:rPr>
                <w:rFonts w:hint="eastAsia"/>
                <w:color w:val="auto"/>
                <w:sz w:val="21"/>
                <w:szCs w:val="21"/>
                <w:highlight w:val="none"/>
              </w:rPr>
              <w:t>（4）投标人的类似项目业绩符合招标文件规定；</w:t>
            </w:r>
          </w:p>
          <w:p w14:paraId="41A56A61">
            <w:pPr>
              <w:spacing w:line="400" w:lineRule="exact"/>
              <w:ind w:right="-73" w:rightChars="-33" w:firstLine="390"/>
              <w:rPr>
                <w:rFonts w:hint="eastAsia"/>
                <w:color w:val="auto"/>
                <w:sz w:val="21"/>
                <w:szCs w:val="21"/>
                <w:highlight w:val="none"/>
              </w:rPr>
            </w:pPr>
            <w:r>
              <w:rPr>
                <w:rFonts w:hint="eastAsia"/>
                <w:color w:val="auto"/>
                <w:sz w:val="21"/>
                <w:szCs w:val="21"/>
                <w:highlight w:val="none"/>
              </w:rPr>
              <w:t>（5）投标人的信誉符合招标文件规定；</w:t>
            </w:r>
          </w:p>
          <w:p w14:paraId="53242782">
            <w:pPr>
              <w:spacing w:line="400" w:lineRule="exact"/>
              <w:ind w:right="-73" w:rightChars="-33" w:firstLine="390"/>
              <w:rPr>
                <w:rFonts w:hint="eastAsia"/>
                <w:color w:val="auto"/>
                <w:sz w:val="21"/>
                <w:szCs w:val="21"/>
                <w:highlight w:val="none"/>
              </w:rPr>
            </w:pPr>
            <w:r>
              <w:rPr>
                <w:rFonts w:hint="eastAsia"/>
                <w:color w:val="auto"/>
                <w:sz w:val="21"/>
                <w:szCs w:val="21"/>
                <w:highlight w:val="none"/>
              </w:rPr>
              <w:t>（6）投标人的项目经理和项目总工资格、在岗情况符合招标文件规定，并按规定在投标文件中签字确认；</w:t>
            </w:r>
          </w:p>
          <w:p w14:paraId="2E7874E4">
            <w:pPr>
              <w:spacing w:line="400" w:lineRule="exact"/>
              <w:ind w:right="-73" w:rightChars="-33" w:firstLine="390"/>
              <w:rPr>
                <w:rFonts w:hint="eastAsia"/>
                <w:color w:val="auto"/>
                <w:sz w:val="21"/>
                <w:szCs w:val="21"/>
                <w:highlight w:val="none"/>
              </w:rPr>
            </w:pPr>
            <w:r>
              <w:rPr>
                <w:rFonts w:hint="eastAsia"/>
                <w:color w:val="auto"/>
                <w:sz w:val="21"/>
                <w:szCs w:val="21"/>
                <w:highlight w:val="none"/>
              </w:rPr>
              <w:t>（7）</w:t>
            </w:r>
            <w:bookmarkStart w:id="5" w:name="OLE_LINK79"/>
            <w:r>
              <w:rPr>
                <w:rFonts w:hint="eastAsia"/>
                <w:color w:val="auto"/>
                <w:sz w:val="21"/>
                <w:szCs w:val="21"/>
                <w:highlight w:val="none"/>
              </w:rPr>
              <w:t>投标人</w:t>
            </w:r>
            <w:bookmarkEnd w:id="5"/>
            <w:r>
              <w:rPr>
                <w:rFonts w:hint="eastAsia"/>
                <w:color w:val="auto"/>
                <w:sz w:val="21"/>
                <w:szCs w:val="21"/>
                <w:highlight w:val="none"/>
              </w:rPr>
              <w:t>的其他要求符合招标文件规定；</w:t>
            </w:r>
          </w:p>
          <w:p w14:paraId="07A756A3">
            <w:pPr>
              <w:spacing w:line="400" w:lineRule="exact"/>
              <w:ind w:right="-73" w:rightChars="-33" w:firstLine="390"/>
              <w:rPr>
                <w:rFonts w:hint="eastAsia"/>
                <w:color w:val="auto"/>
                <w:sz w:val="21"/>
                <w:szCs w:val="21"/>
                <w:highlight w:val="none"/>
              </w:rPr>
            </w:pPr>
            <w:r>
              <w:rPr>
                <w:rFonts w:hint="eastAsia"/>
                <w:color w:val="auto"/>
                <w:sz w:val="21"/>
                <w:szCs w:val="21"/>
                <w:highlight w:val="none"/>
              </w:rPr>
              <w:t xml:space="preserve">（8）投标人不存在第二章“投标人须知”第1.4.3项或第1.4.4项规定的任何一种情形； </w:t>
            </w:r>
          </w:p>
          <w:p w14:paraId="2CC80C06">
            <w:pPr>
              <w:spacing w:line="400" w:lineRule="exact"/>
              <w:ind w:right="-73" w:rightChars="-33" w:firstLine="390"/>
              <w:rPr>
                <w:rFonts w:hint="eastAsia"/>
                <w:color w:val="auto"/>
                <w:sz w:val="21"/>
                <w:szCs w:val="21"/>
                <w:highlight w:val="none"/>
              </w:rPr>
            </w:pPr>
            <w:r>
              <w:rPr>
                <w:rFonts w:hint="eastAsia"/>
                <w:color w:val="auto"/>
                <w:sz w:val="21"/>
                <w:szCs w:val="21"/>
                <w:highlight w:val="none"/>
              </w:rPr>
              <w:t>（9）投标人符合第二章“投标人须知”第1.4.5项规定。</w:t>
            </w:r>
          </w:p>
        </w:tc>
      </w:tr>
      <w:tr w14:paraId="77E54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41" w:type="dxa"/>
            <w:tcBorders>
              <w:top w:val="single" w:color="auto" w:sz="4" w:space="0"/>
              <w:right w:val="single" w:color="auto" w:sz="4" w:space="0"/>
            </w:tcBorders>
            <w:vAlign w:val="center"/>
          </w:tcPr>
          <w:p w14:paraId="68AD65C4">
            <w:pPr>
              <w:spacing w:line="400" w:lineRule="exact"/>
              <w:jc w:val="center"/>
              <w:rPr>
                <w:rFonts w:hint="eastAsia"/>
                <w:color w:val="auto"/>
                <w:sz w:val="21"/>
                <w:szCs w:val="21"/>
                <w:highlight w:val="none"/>
              </w:rPr>
            </w:pPr>
            <w:r>
              <w:rPr>
                <w:rFonts w:hint="eastAsia"/>
                <w:color w:val="auto"/>
                <w:sz w:val="21"/>
                <w:szCs w:val="21"/>
                <w:highlight w:val="none"/>
              </w:rPr>
              <w:t>2.2.1</w:t>
            </w:r>
          </w:p>
        </w:tc>
        <w:tc>
          <w:tcPr>
            <w:tcW w:w="891" w:type="dxa"/>
            <w:tcBorders>
              <w:top w:val="single" w:color="auto" w:sz="4" w:space="0"/>
              <w:right w:val="single" w:color="auto" w:sz="4" w:space="0"/>
            </w:tcBorders>
            <w:vAlign w:val="center"/>
          </w:tcPr>
          <w:p w14:paraId="2672CF66">
            <w:pPr>
              <w:spacing w:line="400" w:lineRule="exact"/>
              <w:jc w:val="center"/>
              <w:rPr>
                <w:rFonts w:hint="eastAsia"/>
                <w:color w:val="auto"/>
                <w:sz w:val="21"/>
                <w:szCs w:val="21"/>
                <w:highlight w:val="none"/>
              </w:rPr>
            </w:pPr>
            <w:r>
              <w:rPr>
                <w:rFonts w:hint="eastAsia"/>
                <w:color w:val="auto"/>
                <w:sz w:val="21"/>
                <w:szCs w:val="21"/>
                <w:highlight w:val="none"/>
              </w:rPr>
              <w:t>分值构成(总分100分)</w:t>
            </w:r>
          </w:p>
        </w:tc>
        <w:tc>
          <w:tcPr>
            <w:tcW w:w="7542" w:type="dxa"/>
            <w:tcBorders>
              <w:top w:val="single" w:color="auto" w:sz="4" w:space="0"/>
              <w:left w:val="single" w:color="auto" w:sz="4" w:space="0"/>
              <w:bottom w:val="single" w:color="auto" w:sz="4" w:space="0"/>
              <w:right w:val="single" w:color="auto" w:sz="4" w:space="0"/>
            </w:tcBorders>
            <w:vAlign w:val="center"/>
          </w:tcPr>
          <w:p w14:paraId="18757681">
            <w:pPr>
              <w:spacing w:line="400" w:lineRule="exact"/>
              <w:ind w:right="-73" w:rightChars="-33" w:firstLine="390"/>
              <w:rPr>
                <w:rFonts w:hint="eastAsia"/>
                <w:color w:val="auto"/>
                <w:sz w:val="21"/>
                <w:szCs w:val="21"/>
                <w:highlight w:val="none"/>
              </w:rPr>
            </w:pPr>
            <w:r>
              <w:rPr>
                <w:rFonts w:hint="eastAsia"/>
                <w:color w:val="auto"/>
                <w:sz w:val="21"/>
                <w:szCs w:val="21"/>
                <w:highlight w:val="none"/>
              </w:rPr>
              <w:t>第一个信封商务技术文件的分值：</w:t>
            </w:r>
          </w:p>
          <w:p w14:paraId="782A4FE0">
            <w:pPr>
              <w:spacing w:line="400" w:lineRule="exact"/>
              <w:ind w:right="-73" w:rightChars="-33" w:firstLine="390"/>
              <w:rPr>
                <w:rFonts w:hint="eastAsia"/>
                <w:color w:val="auto"/>
                <w:sz w:val="21"/>
                <w:szCs w:val="21"/>
                <w:highlight w:val="none"/>
              </w:rPr>
            </w:pPr>
            <w:r>
              <w:rPr>
                <w:rFonts w:hint="eastAsia"/>
                <w:color w:val="auto"/>
                <w:sz w:val="21"/>
                <w:szCs w:val="21"/>
                <w:highlight w:val="none"/>
              </w:rPr>
              <w:t>施工组织设计</w:t>
            </w:r>
            <w:r>
              <w:rPr>
                <w:rFonts w:hint="eastAsia"/>
                <w:color w:val="auto"/>
                <w:sz w:val="21"/>
                <w:szCs w:val="21"/>
                <w:highlight w:val="none"/>
                <w:lang w:eastAsia="zh-CN"/>
              </w:rPr>
              <w:t>（</w:t>
            </w:r>
            <w:r>
              <w:rPr>
                <w:rFonts w:hint="eastAsia"/>
                <w:color w:val="auto"/>
                <w:sz w:val="21"/>
                <w:szCs w:val="21"/>
                <w:highlight w:val="none"/>
                <w:lang w:val="en-US" w:eastAsia="zh-CN"/>
              </w:rPr>
              <w:t>A）</w:t>
            </w:r>
            <w:r>
              <w:rPr>
                <w:rFonts w:hint="eastAsia"/>
                <w:color w:val="auto"/>
                <w:sz w:val="21"/>
                <w:szCs w:val="21"/>
                <w:highlight w:val="none"/>
              </w:rPr>
              <w:t>：7分</w:t>
            </w:r>
          </w:p>
          <w:p w14:paraId="4318818C">
            <w:pPr>
              <w:spacing w:line="400" w:lineRule="exact"/>
              <w:ind w:right="-73" w:rightChars="-33" w:firstLine="390"/>
              <w:rPr>
                <w:rFonts w:hint="eastAsia"/>
                <w:color w:val="auto"/>
                <w:sz w:val="21"/>
                <w:szCs w:val="21"/>
                <w:highlight w:val="none"/>
              </w:rPr>
            </w:pPr>
            <w:r>
              <w:rPr>
                <w:rFonts w:hint="eastAsia"/>
                <w:color w:val="auto"/>
                <w:sz w:val="21"/>
                <w:szCs w:val="21"/>
                <w:highlight w:val="none"/>
              </w:rPr>
              <w:t>项目管理机构</w:t>
            </w:r>
            <w:r>
              <w:rPr>
                <w:rFonts w:hint="eastAsia"/>
                <w:color w:val="auto"/>
                <w:sz w:val="21"/>
                <w:szCs w:val="21"/>
                <w:highlight w:val="none"/>
                <w:lang w:eastAsia="zh-CN"/>
              </w:rPr>
              <w:t>（</w:t>
            </w:r>
            <w:r>
              <w:rPr>
                <w:rFonts w:hint="eastAsia"/>
                <w:color w:val="auto"/>
                <w:sz w:val="21"/>
                <w:szCs w:val="21"/>
                <w:highlight w:val="none"/>
                <w:lang w:val="en-US" w:eastAsia="zh-CN"/>
              </w:rPr>
              <w:t>B）</w:t>
            </w:r>
            <w:r>
              <w:rPr>
                <w:rFonts w:hint="eastAsia"/>
                <w:color w:val="auto"/>
                <w:sz w:val="21"/>
                <w:szCs w:val="21"/>
                <w:highlight w:val="none"/>
              </w:rPr>
              <w:t>： 0 分</w:t>
            </w:r>
          </w:p>
          <w:p w14:paraId="08720EE9">
            <w:pPr>
              <w:spacing w:line="400" w:lineRule="exact"/>
              <w:ind w:right="-73" w:rightChars="-33" w:firstLine="390"/>
              <w:rPr>
                <w:rFonts w:hint="eastAsia"/>
                <w:color w:val="auto"/>
                <w:sz w:val="21"/>
                <w:szCs w:val="21"/>
                <w:highlight w:val="none"/>
              </w:rPr>
            </w:pPr>
            <w:r>
              <w:rPr>
                <w:rFonts w:hint="eastAsia"/>
                <w:color w:val="auto"/>
                <w:sz w:val="21"/>
                <w:szCs w:val="21"/>
                <w:highlight w:val="none"/>
              </w:rPr>
              <w:t>其它因素</w:t>
            </w:r>
            <w:r>
              <w:rPr>
                <w:rFonts w:hint="eastAsia"/>
                <w:color w:val="auto"/>
                <w:sz w:val="21"/>
                <w:szCs w:val="21"/>
                <w:highlight w:val="none"/>
                <w:lang w:eastAsia="zh-CN"/>
              </w:rPr>
              <w:t>（</w:t>
            </w:r>
            <w:r>
              <w:rPr>
                <w:rFonts w:hint="eastAsia"/>
                <w:color w:val="auto"/>
                <w:sz w:val="21"/>
                <w:szCs w:val="21"/>
                <w:highlight w:val="none"/>
                <w:lang w:val="en-US" w:eastAsia="zh-CN"/>
              </w:rPr>
              <w:t>D）</w:t>
            </w:r>
            <w:r>
              <w:rPr>
                <w:rFonts w:hint="eastAsia"/>
                <w:color w:val="auto"/>
                <w:sz w:val="21"/>
                <w:szCs w:val="21"/>
                <w:highlight w:val="none"/>
              </w:rPr>
              <w:t>：</w:t>
            </w:r>
          </w:p>
          <w:p w14:paraId="502132EF">
            <w:pPr>
              <w:spacing w:line="400" w:lineRule="exact"/>
              <w:ind w:right="-73" w:rightChars="-33" w:firstLine="390"/>
              <w:rPr>
                <w:rFonts w:hint="eastAsia"/>
                <w:color w:val="auto"/>
                <w:sz w:val="21"/>
                <w:szCs w:val="21"/>
                <w:highlight w:val="none"/>
              </w:rPr>
            </w:pPr>
            <w:r>
              <w:rPr>
                <w:rFonts w:hint="eastAsia"/>
                <w:color w:val="auto"/>
                <w:sz w:val="21"/>
                <w:szCs w:val="21"/>
                <w:highlight w:val="none"/>
              </w:rPr>
              <w:t>业    绩：3分</w:t>
            </w:r>
          </w:p>
          <w:p w14:paraId="6FC3496E">
            <w:pPr>
              <w:spacing w:line="400" w:lineRule="exact"/>
              <w:ind w:right="-73" w:rightChars="-33" w:firstLine="390"/>
              <w:rPr>
                <w:rFonts w:hint="eastAsia"/>
                <w:color w:val="auto"/>
                <w:sz w:val="21"/>
                <w:szCs w:val="21"/>
                <w:highlight w:val="none"/>
              </w:rPr>
            </w:pPr>
            <w:r>
              <w:rPr>
                <w:rFonts w:hint="eastAsia"/>
                <w:color w:val="auto"/>
                <w:sz w:val="21"/>
                <w:szCs w:val="21"/>
                <w:highlight w:val="none"/>
              </w:rPr>
              <w:t>履约信誉情况：10 分</w:t>
            </w:r>
          </w:p>
          <w:p w14:paraId="742F3FD7">
            <w:pPr>
              <w:spacing w:line="400" w:lineRule="exact"/>
              <w:ind w:right="-73" w:rightChars="-33" w:firstLine="390"/>
              <w:rPr>
                <w:rFonts w:hint="eastAsia"/>
                <w:color w:val="auto"/>
                <w:sz w:val="21"/>
                <w:szCs w:val="21"/>
                <w:highlight w:val="none"/>
              </w:rPr>
            </w:pPr>
            <w:r>
              <w:rPr>
                <w:rFonts w:hint="eastAsia"/>
                <w:color w:val="auto"/>
                <w:sz w:val="21"/>
                <w:szCs w:val="21"/>
                <w:highlight w:val="none"/>
              </w:rPr>
              <w:t>第二个信封报价（评标价）的分值：</w:t>
            </w:r>
          </w:p>
          <w:p w14:paraId="21D05F77">
            <w:pPr>
              <w:spacing w:line="400" w:lineRule="exact"/>
              <w:ind w:right="-73" w:rightChars="-33" w:firstLine="390"/>
              <w:rPr>
                <w:rFonts w:hint="eastAsia"/>
                <w:color w:val="auto"/>
                <w:sz w:val="21"/>
                <w:szCs w:val="21"/>
                <w:highlight w:val="none"/>
              </w:rPr>
            </w:pPr>
            <w:r>
              <w:rPr>
                <w:rFonts w:hint="eastAsia"/>
                <w:color w:val="auto"/>
                <w:sz w:val="21"/>
                <w:szCs w:val="21"/>
                <w:highlight w:val="none"/>
              </w:rPr>
              <w:t>评标价</w:t>
            </w:r>
            <w:r>
              <w:rPr>
                <w:rFonts w:hint="eastAsia"/>
                <w:color w:val="auto"/>
                <w:sz w:val="21"/>
                <w:szCs w:val="21"/>
                <w:highlight w:val="none"/>
                <w:lang w:eastAsia="zh-CN"/>
              </w:rPr>
              <w:t>（</w:t>
            </w:r>
            <w:r>
              <w:rPr>
                <w:rFonts w:hint="eastAsia"/>
                <w:color w:val="auto"/>
                <w:sz w:val="21"/>
                <w:szCs w:val="21"/>
                <w:highlight w:val="none"/>
                <w:lang w:val="en-US" w:eastAsia="zh-CN"/>
              </w:rPr>
              <w:t>C）</w:t>
            </w:r>
            <w:r>
              <w:rPr>
                <w:rFonts w:hint="eastAsia"/>
                <w:color w:val="auto"/>
                <w:sz w:val="21"/>
                <w:szCs w:val="21"/>
                <w:highlight w:val="none"/>
              </w:rPr>
              <w:t>（即评标合同单价折扣系数）： 80 分</w:t>
            </w:r>
          </w:p>
        </w:tc>
      </w:tr>
      <w:tr w14:paraId="5B387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41" w:type="dxa"/>
            <w:tcBorders>
              <w:top w:val="single" w:color="auto" w:sz="4" w:space="0"/>
              <w:bottom w:val="single" w:color="auto" w:sz="4" w:space="0"/>
              <w:right w:val="single" w:color="auto" w:sz="4" w:space="0"/>
            </w:tcBorders>
            <w:vAlign w:val="center"/>
          </w:tcPr>
          <w:p w14:paraId="2F1CE85F">
            <w:pPr>
              <w:spacing w:line="400" w:lineRule="exact"/>
              <w:jc w:val="center"/>
              <w:rPr>
                <w:rFonts w:hint="eastAsia"/>
                <w:color w:val="auto"/>
                <w:sz w:val="21"/>
                <w:szCs w:val="21"/>
                <w:highlight w:val="none"/>
              </w:rPr>
            </w:pPr>
            <w:r>
              <w:rPr>
                <w:rFonts w:hint="eastAsia"/>
                <w:color w:val="auto"/>
                <w:sz w:val="21"/>
                <w:szCs w:val="21"/>
                <w:highlight w:val="none"/>
              </w:rPr>
              <w:t>2.2.2</w:t>
            </w:r>
          </w:p>
        </w:tc>
        <w:tc>
          <w:tcPr>
            <w:tcW w:w="891" w:type="dxa"/>
            <w:tcBorders>
              <w:top w:val="single" w:color="auto" w:sz="4" w:space="0"/>
              <w:bottom w:val="single" w:color="auto" w:sz="4" w:space="0"/>
              <w:right w:val="single" w:color="auto" w:sz="4" w:space="0"/>
            </w:tcBorders>
            <w:vAlign w:val="center"/>
          </w:tcPr>
          <w:p w14:paraId="4F023D21">
            <w:pPr>
              <w:spacing w:line="400" w:lineRule="exact"/>
              <w:jc w:val="center"/>
              <w:rPr>
                <w:rFonts w:hint="eastAsia"/>
                <w:color w:val="auto"/>
                <w:sz w:val="21"/>
                <w:szCs w:val="21"/>
                <w:highlight w:val="none"/>
              </w:rPr>
            </w:pPr>
            <w:r>
              <w:rPr>
                <w:rFonts w:hint="eastAsia"/>
                <w:color w:val="auto"/>
                <w:sz w:val="21"/>
                <w:szCs w:val="21"/>
                <w:highlight w:val="none"/>
              </w:rPr>
              <w:t>评标价计算方法</w:t>
            </w:r>
          </w:p>
        </w:tc>
        <w:tc>
          <w:tcPr>
            <w:tcW w:w="7542" w:type="dxa"/>
            <w:tcBorders>
              <w:top w:val="single" w:color="auto" w:sz="4" w:space="0"/>
              <w:left w:val="single" w:color="auto" w:sz="4" w:space="0"/>
              <w:bottom w:val="single" w:color="auto" w:sz="4" w:space="0"/>
              <w:right w:val="single" w:color="auto" w:sz="4" w:space="0"/>
            </w:tcBorders>
            <w:vAlign w:val="center"/>
          </w:tcPr>
          <w:p w14:paraId="45A6E334">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评标基准合同单价折扣系数的计算：</w:t>
            </w:r>
          </w:p>
          <w:p w14:paraId="42A29BB2">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在开标现场，招标人将当场计算并宣布评标基准合同单价折扣系数。</w:t>
            </w:r>
          </w:p>
          <w:p w14:paraId="012B9077">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(1)评标合同单价折扣系数的确定：</w:t>
            </w:r>
          </w:p>
          <w:p w14:paraId="61D08926">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评标合同单价折扣系数=投标函投标合同单价折扣系数</w:t>
            </w:r>
          </w:p>
          <w:p w14:paraId="354E5A9A">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最高投标合同单价折扣系数为1.000。</w:t>
            </w:r>
          </w:p>
          <w:p w14:paraId="77CACA85">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(2)最高投标合同单价折扣系数下浮率的确定：</w:t>
            </w:r>
          </w:p>
          <w:p w14:paraId="72575909">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最高投标合同单价折扣系数下浮率在开标前在开标现场采取逐标段摇珠方式确定。摇珠操作办法如下：</w:t>
            </w:r>
          </w:p>
          <w:p w14:paraId="6B42EB36">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在下浮率范围内，以0.1%为一档次增序确定摇珠号码，一共31个球，每个标段各一次性摇出三个球（摇出的珠不放回），摇出3个球对应的下浮率的平均值即为本标段招标的下浮率。</w:t>
            </w:r>
          </w:p>
          <w:p w14:paraId="5960E9BE">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（注：下浮率摇珠浮动范围：3 %～ 6 %（含界值）；摇出三个下浮率的平均值四舍五入取整到0.001％）</w:t>
            </w:r>
          </w:p>
          <w:p w14:paraId="4FA52A69">
            <w:pPr>
              <w:spacing w:line="400" w:lineRule="exact"/>
              <w:ind w:right="-73" w:rightChars="-33" w:firstLine="411" w:firstLineChars="196"/>
              <w:rPr>
                <w:rFonts w:hint="eastAsia"/>
                <w:color w:val="auto"/>
                <w:kern w:val="2"/>
                <w:sz w:val="21"/>
                <w:szCs w:val="21"/>
                <w:highlight w:val="none"/>
              </w:rPr>
            </w:pPr>
            <w:r>
              <w:rPr>
                <w:rFonts w:hint="eastAsia"/>
                <w:color w:val="auto"/>
                <w:kern w:val="2"/>
                <w:sz w:val="21"/>
                <w:szCs w:val="21"/>
                <w:highlight w:val="none"/>
              </w:rPr>
              <w:t xml:space="preserve">(3) </w:t>
            </w:r>
            <w:r>
              <w:rPr>
                <w:rFonts w:hint="eastAsia"/>
                <w:color w:val="auto"/>
                <w:sz w:val="21"/>
                <w:szCs w:val="21"/>
                <w:highlight w:val="none"/>
              </w:rPr>
              <w:t>最高评标合同单价折扣系数</w:t>
            </w:r>
            <w:r>
              <w:rPr>
                <w:rFonts w:hint="eastAsia"/>
                <w:color w:val="auto"/>
                <w:kern w:val="2"/>
                <w:sz w:val="21"/>
                <w:szCs w:val="21"/>
                <w:highlight w:val="none"/>
              </w:rPr>
              <w:t>的确定</w:t>
            </w:r>
            <w:r>
              <w:rPr>
                <w:rFonts w:hint="eastAsia"/>
                <w:color w:val="auto"/>
                <w:sz w:val="21"/>
                <w:szCs w:val="21"/>
                <w:highlight w:val="none"/>
              </w:rPr>
              <w:t>：</w:t>
            </w:r>
          </w:p>
          <w:p w14:paraId="2DA47786">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最高评标合同单价折扣系数＝最高投标合同单价折扣系数×（1-下浮率）。</w:t>
            </w:r>
          </w:p>
          <w:p w14:paraId="1E99C14A">
            <w:pPr>
              <w:spacing w:line="400" w:lineRule="exact"/>
              <w:ind w:right="-73" w:rightChars="-33" w:firstLine="411" w:firstLineChars="196"/>
              <w:rPr>
                <w:rFonts w:hint="eastAsia"/>
                <w:color w:val="auto"/>
                <w:kern w:val="2"/>
                <w:sz w:val="21"/>
                <w:szCs w:val="21"/>
                <w:highlight w:val="none"/>
              </w:rPr>
            </w:pPr>
            <w:r>
              <w:rPr>
                <w:rFonts w:hint="eastAsia"/>
                <w:color w:val="auto"/>
                <w:kern w:val="2"/>
                <w:sz w:val="21"/>
                <w:szCs w:val="21"/>
                <w:highlight w:val="none"/>
              </w:rPr>
              <w:t>(4) 确定有效</w:t>
            </w:r>
            <w:r>
              <w:rPr>
                <w:rFonts w:hint="eastAsia"/>
                <w:color w:val="auto"/>
                <w:sz w:val="21"/>
                <w:szCs w:val="21"/>
                <w:highlight w:val="none"/>
              </w:rPr>
              <w:t>投标合同单价折扣系数</w:t>
            </w:r>
          </w:p>
          <w:p w14:paraId="3F81792E">
            <w:pPr>
              <w:spacing w:line="400" w:lineRule="exact"/>
              <w:ind w:right="-73" w:rightChars="-33" w:firstLine="411" w:firstLineChars="196"/>
              <w:rPr>
                <w:rFonts w:hint="eastAsia"/>
                <w:color w:val="auto"/>
                <w:kern w:val="2"/>
                <w:sz w:val="21"/>
                <w:szCs w:val="21"/>
                <w:highlight w:val="none"/>
              </w:rPr>
            </w:pPr>
            <w:r>
              <w:rPr>
                <w:rFonts w:hint="eastAsia"/>
                <w:color w:val="auto"/>
                <w:kern w:val="2"/>
                <w:sz w:val="21"/>
                <w:szCs w:val="21"/>
                <w:highlight w:val="none"/>
              </w:rPr>
              <w:t>有效</w:t>
            </w:r>
            <w:r>
              <w:rPr>
                <w:rFonts w:hint="eastAsia"/>
                <w:color w:val="auto"/>
                <w:sz w:val="21"/>
                <w:szCs w:val="21"/>
                <w:highlight w:val="none"/>
              </w:rPr>
              <w:t>投标合同单价折扣系数</w:t>
            </w:r>
            <w:r>
              <w:rPr>
                <w:rFonts w:hint="eastAsia"/>
                <w:color w:val="auto"/>
                <w:kern w:val="2"/>
                <w:sz w:val="21"/>
                <w:szCs w:val="21"/>
                <w:highlight w:val="none"/>
              </w:rPr>
              <w:t>范围：有效</w:t>
            </w:r>
            <w:r>
              <w:rPr>
                <w:rFonts w:hint="eastAsia"/>
                <w:color w:val="auto"/>
                <w:sz w:val="21"/>
                <w:szCs w:val="21"/>
                <w:highlight w:val="none"/>
              </w:rPr>
              <w:t>投标合同单价折扣系数</w:t>
            </w:r>
            <w:r>
              <w:rPr>
                <w:rFonts w:hint="eastAsia"/>
                <w:color w:val="auto"/>
                <w:kern w:val="2"/>
                <w:sz w:val="21"/>
                <w:szCs w:val="21"/>
                <w:highlight w:val="none"/>
              </w:rPr>
              <w:t>≤</w:t>
            </w:r>
            <w:r>
              <w:rPr>
                <w:rFonts w:hint="eastAsia"/>
                <w:color w:val="auto"/>
                <w:sz w:val="21"/>
                <w:szCs w:val="21"/>
                <w:highlight w:val="none"/>
              </w:rPr>
              <w:t>最高评标合同单价折扣系数</w:t>
            </w:r>
            <w:r>
              <w:rPr>
                <w:rFonts w:hint="eastAsia"/>
                <w:color w:val="auto"/>
                <w:kern w:val="2"/>
                <w:sz w:val="21"/>
                <w:szCs w:val="21"/>
                <w:highlight w:val="none"/>
              </w:rPr>
              <w:t>的100%。</w:t>
            </w:r>
          </w:p>
          <w:p w14:paraId="1F32DD59">
            <w:pPr>
              <w:spacing w:line="400" w:lineRule="exact"/>
              <w:ind w:right="-73" w:rightChars="-33" w:firstLine="411" w:firstLineChars="196"/>
              <w:rPr>
                <w:rFonts w:hint="eastAsia"/>
                <w:color w:val="auto"/>
                <w:kern w:val="2"/>
                <w:sz w:val="21"/>
                <w:szCs w:val="21"/>
                <w:highlight w:val="none"/>
              </w:rPr>
            </w:pPr>
            <w:r>
              <w:rPr>
                <w:rFonts w:hint="eastAsia"/>
                <w:color w:val="auto"/>
                <w:kern w:val="2"/>
                <w:sz w:val="21"/>
                <w:szCs w:val="21"/>
                <w:highlight w:val="none"/>
              </w:rPr>
              <w:t>若投标人的</w:t>
            </w:r>
            <w:r>
              <w:rPr>
                <w:rFonts w:hint="eastAsia"/>
                <w:color w:val="auto"/>
                <w:sz w:val="21"/>
                <w:szCs w:val="21"/>
                <w:highlight w:val="none"/>
              </w:rPr>
              <w:t>投标合同单价折扣系数</w:t>
            </w:r>
            <w:r>
              <w:rPr>
                <w:rFonts w:hint="eastAsia"/>
                <w:color w:val="auto"/>
                <w:kern w:val="2"/>
                <w:sz w:val="21"/>
                <w:szCs w:val="21"/>
                <w:highlight w:val="none"/>
              </w:rPr>
              <w:t>大于</w:t>
            </w:r>
            <w:r>
              <w:rPr>
                <w:rFonts w:hint="eastAsia"/>
                <w:color w:val="auto"/>
                <w:sz w:val="21"/>
                <w:szCs w:val="21"/>
                <w:highlight w:val="none"/>
              </w:rPr>
              <w:t>最高评标合同单价折扣系数</w:t>
            </w:r>
            <w:r>
              <w:rPr>
                <w:rFonts w:hint="eastAsia"/>
                <w:color w:val="auto"/>
                <w:kern w:val="2"/>
                <w:sz w:val="21"/>
                <w:szCs w:val="21"/>
                <w:highlight w:val="none"/>
              </w:rPr>
              <w:t>，</w:t>
            </w:r>
            <w:r>
              <w:rPr>
                <w:rFonts w:hint="eastAsia"/>
                <w:color w:val="auto"/>
                <w:sz w:val="21"/>
                <w:szCs w:val="21"/>
                <w:highlight w:val="none"/>
              </w:rPr>
              <w:t>则否决其投标</w:t>
            </w:r>
            <w:r>
              <w:rPr>
                <w:rFonts w:hint="eastAsia"/>
                <w:color w:val="auto"/>
                <w:kern w:val="2"/>
                <w:sz w:val="21"/>
                <w:szCs w:val="21"/>
                <w:highlight w:val="none"/>
              </w:rPr>
              <w:t>。</w:t>
            </w:r>
          </w:p>
          <w:p w14:paraId="5D8EDEC4">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（5）评标基准合同单价折扣系数的确定：</w:t>
            </w:r>
          </w:p>
          <w:p w14:paraId="60870177">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评标基准合同单价折扣系数=最高评标合同单价折扣系数</w:t>
            </w:r>
            <w:r>
              <w:rPr>
                <w:rFonts w:hint="eastAsia" w:cs="Times New Roman"/>
                <w:color w:val="auto"/>
                <w:sz w:val="21"/>
                <w:szCs w:val="21"/>
                <w:highlight w:val="none"/>
              </w:rPr>
              <w:t>*0.98</w:t>
            </w:r>
          </w:p>
          <w:p w14:paraId="3E63673C">
            <w:pPr>
              <w:spacing w:line="400" w:lineRule="exact"/>
              <w:ind w:right="-73" w:rightChars="-33" w:firstLine="411" w:firstLineChars="196"/>
              <w:rPr>
                <w:rFonts w:hint="eastAsia"/>
                <w:color w:val="auto"/>
                <w:sz w:val="21"/>
                <w:szCs w:val="21"/>
                <w:highlight w:val="none"/>
              </w:rPr>
            </w:pPr>
            <w:r>
              <w:rPr>
                <w:rFonts w:hint="eastAsia"/>
                <w:color w:val="auto"/>
                <w:sz w:val="21"/>
                <w:szCs w:val="21"/>
                <w:highlight w:val="none"/>
              </w:rPr>
              <w:t>在评标过程中，评标委员会应对招标人计算的评标基准合同单价折扣系数进行复核，存在计算错误的应予以修正并在评标报告中作出说明。除此之外，评标基准合同单价折扣系数在整个评标期间保持不变，不随任何因素发生变化。</w:t>
            </w:r>
          </w:p>
          <w:p w14:paraId="76EE14EC">
            <w:pPr>
              <w:spacing w:line="400" w:lineRule="exact"/>
              <w:ind w:right="-73" w:rightChars="-33" w:firstLine="411" w:firstLineChars="196"/>
              <w:rPr>
                <w:rFonts w:hint="eastAsia"/>
                <w:color w:val="auto"/>
                <w:sz w:val="21"/>
                <w:szCs w:val="21"/>
                <w:highlight w:val="none"/>
              </w:rPr>
            </w:pPr>
            <w:r>
              <w:rPr>
                <w:rFonts w:hint="eastAsia"/>
                <w:bCs/>
                <w:color w:val="auto"/>
                <w:sz w:val="21"/>
                <w:szCs w:val="21"/>
                <w:highlight w:val="none"/>
              </w:rPr>
              <w:t>备注：最高评标合同单价折扣系数、评标基准合同单价折扣系数均四舍五入保留至小数点后三位。</w:t>
            </w:r>
          </w:p>
        </w:tc>
      </w:tr>
      <w:tr w14:paraId="232CC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41" w:type="dxa"/>
            <w:tcBorders>
              <w:top w:val="single" w:color="auto" w:sz="4" w:space="0"/>
              <w:bottom w:val="single" w:color="auto" w:sz="4" w:space="0"/>
              <w:right w:val="single" w:color="auto" w:sz="4" w:space="0"/>
            </w:tcBorders>
            <w:vAlign w:val="center"/>
          </w:tcPr>
          <w:p w14:paraId="7C7AD586">
            <w:pPr>
              <w:spacing w:line="400" w:lineRule="exact"/>
              <w:jc w:val="center"/>
              <w:rPr>
                <w:rFonts w:hint="eastAsia"/>
                <w:color w:val="auto"/>
                <w:sz w:val="21"/>
                <w:szCs w:val="21"/>
                <w:highlight w:val="none"/>
              </w:rPr>
            </w:pPr>
            <w:r>
              <w:rPr>
                <w:rFonts w:hint="eastAsia"/>
                <w:color w:val="auto"/>
                <w:sz w:val="21"/>
                <w:szCs w:val="21"/>
                <w:highlight w:val="none"/>
              </w:rPr>
              <w:t>2.2.3</w:t>
            </w:r>
          </w:p>
        </w:tc>
        <w:tc>
          <w:tcPr>
            <w:tcW w:w="891" w:type="dxa"/>
            <w:tcBorders>
              <w:top w:val="single" w:color="auto" w:sz="4" w:space="0"/>
              <w:bottom w:val="single" w:color="auto" w:sz="4" w:space="0"/>
              <w:right w:val="single" w:color="auto" w:sz="4" w:space="0"/>
            </w:tcBorders>
            <w:vAlign w:val="center"/>
          </w:tcPr>
          <w:p w14:paraId="33A2346C">
            <w:pPr>
              <w:spacing w:line="400" w:lineRule="exact"/>
              <w:jc w:val="center"/>
              <w:rPr>
                <w:rFonts w:hint="eastAsia"/>
                <w:color w:val="auto"/>
                <w:sz w:val="21"/>
                <w:szCs w:val="21"/>
                <w:highlight w:val="none"/>
              </w:rPr>
            </w:pPr>
            <w:bookmarkStart w:id="6" w:name="OLE_LINK80"/>
            <w:r>
              <w:rPr>
                <w:rFonts w:hint="eastAsia"/>
                <w:color w:val="auto"/>
                <w:sz w:val="21"/>
                <w:szCs w:val="21"/>
                <w:highlight w:val="none"/>
              </w:rPr>
              <w:t>评标合同单价折扣系数</w:t>
            </w:r>
            <w:bookmarkEnd w:id="6"/>
            <w:r>
              <w:rPr>
                <w:rFonts w:hint="eastAsia"/>
                <w:color w:val="auto"/>
                <w:sz w:val="21"/>
                <w:szCs w:val="21"/>
                <w:highlight w:val="none"/>
              </w:rPr>
              <w:t>的偏差率计算公式</w:t>
            </w:r>
          </w:p>
        </w:tc>
        <w:tc>
          <w:tcPr>
            <w:tcW w:w="7542" w:type="dxa"/>
            <w:tcBorders>
              <w:top w:val="single" w:color="auto" w:sz="4" w:space="0"/>
              <w:left w:val="single" w:color="auto" w:sz="4" w:space="0"/>
              <w:bottom w:val="single" w:color="auto" w:sz="4" w:space="0"/>
              <w:right w:val="single" w:color="auto" w:sz="4" w:space="0"/>
            </w:tcBorders>
            <w:vAlign w:val="center"/>
          </w:tcPr>
          <w:p w14:paraId="2A040B46">
            <w:pPr>
              <w:pStyle w:val="2"/>
              <w:ind w:right="-73" w:rightChars="-33"/>
              <w:rPr>
                <w:rFonts w:hint="eastAsia" w:ascii="宋体" w:hAnsi="宋体"/>
                <w:color w:val="auto"/>
                <w:sz w:val="21"/>
                <w:szCs w:val="21"/>
                <w:highlight w:val="none"/>
              </w:rPr>
            </w:pPr>
            <w:r>
              <w:rPr>
                <w:rFonts w:hint="eastAsia" w:ascii="宋体" w:hAnsi="宋体"/>
                <w:color w:val="auto"/>
                <w:sz w:val="21"/>
                <w:szCs w:val="21"/>
                <w:highlight w:val="none"/>
              </w:rPr>
              <w:t>偏差率=100% ×(投标合同单价折扣系数－评标基准合同单价折扣系数)/ 评标基准合同单价折扣系数</w:t>
            </w:r>
          </w:p>
        </w:tc>
      </w:tr>
    </w:tbl>
    <w:p w14:paraId="1924AC7D">
      <w:pPr>
        <w:pStyle w:val="11"/>
        <w:rPr>
          <w:color w:val="auto"/>
          <w:highlight w:val="none"/>
        </w:rPr>
      </w:pPr>
      <w:r>
        <w:rPr>
          <w:color w:val="auto"/>
          <w:highlight w:val="none"/>
        </w:rPr>
        <w:br w:type="page"/>
      </w:r>
    </w:p>
    <w:tbl>
      <w:tblPr>
        <w:tblStyle w:val="8"/>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
        <w:gridCol w:w="325"/>
        <w:gridCol w:w="341"/>
        <w:gridCol w:w="234"/>
        <w:gridCol w:w="870"/>
        <w:gridCol w:w="1080"/>
        <w:gridCol w:w="632"/>
        <w:gridCol w:w="5520"/>
      </w:tblGrid>
      <w:tr w14:paraId="1ADE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310" w:type="dxa"/>
            <w:gridSpan w:val="8"/>
            <w:vAlign w:val="center"/>
          </w:tcPr>
          <w:p w14:paraId="3E440035">
            <w:pPr>
              <w:jc w:val="center"/>
              <w:rPr>
                <w:rFonts w:hint="eastAsia"/>
                <w:color w:val="auto"/>
                <w:highlight w:val="none"/>
              </w:rPr>
            </w:pPr>
            <w:r>
              <w:rPr>
                <w:rFonts w:hint="eastAsia"/>
                <w:color w:val="auto"/>
                <w:highlight w:val="none"/>
              </w:rPr>
              <w:t>评分因素与权重分值</w:t>
            </w:r>
          </w:p>
        </w:tc>
        <w:tc>
          <w:tcPr>
            <w:tcW w:w="5520" w:type="dxa"/>
            <w:vMerge w:val="restart"/>
            <w:vAlign w:val="center"/>
          </w:tcPr>
          <w:p w14:paraId="0ED93899">
            <w:pPr>
              <w:jc w:val="center"/>
              <w:rPr>
                <w:rFonts w:hint="eastAsia"/>
                <w:color w:val="auto"/>
                <w:highlight w:val="none"/>
              </w:rPr>
            </w:pPr>
            <w:r>
              <w:rPr>
                <w:rFonts w:hint="eastAsia"/>
                <w:color w:val="auto"/>
                <w:highlight w:val="none"/>
              </w:rPr>
              <w:t>评分标准</w:t>
            </w:r>
          </w:p>
        </w:tc>
      </w:tr>
      <w:tr w14:paraId="6192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6" w:type="dxa"/>
            <w:vAlign w:val="center"/>
          </w:tcPr>
          <w:p w14:paraId="3A25B7BA">
            <w:pPr>
              <w:jc w:val="center"/>
              <w:rPr>
                <w:rFonts w:hint="eastAsia"/>
                <w:color w:val="auto"/>
                <w:highlight w:val="none"/>
              </w:rPr>
            </w:pPr>
            <w:r>
              <w:rPr>
                <w:rFonts w:hint="eastAsia"/>
                <w:color w:val="auto"/>
                <w:highlight w:val="none"/>
              </w:rPr>
              <w:t>条款号</w:t>
            </w:r>
          </w:p>
        </w:tc>
        <w:tc>
          <w:tcPr>
            <w:tcW w:w="688" w:type="dxa"/>
            <w:gridSpan w:val="3"/>
            <w:vAlign w:val="center"/>
          </w:tcPr>
          <w:p w14:paraId="7B42E447">
            <w:pPr>
              <w:jc w:val="center"/>
              <w:rPr>
                <w:rFonts w:hint="eastAsia"/>
                <w:color w:val="auto"/>
                <w:highlight w:val="none"/>
              </w:rPr>
            </w:pPr>
            <w:r>
              <w:rPr>
                <w:rFonts w:hint="eastAsia"/>
                <w:color w:val="auto"/>
                <w:highlight w:val="none"/>
              </w:rPr>
              <w:t>评分</w:t>
            </w:r>
          </w:p>
          <w:p w14:paraId="1685F9EE">
            <w:pPr>
              <w:jc w:val="center"/>
              <w:rPr>
                <w:rFonts w:hint="eastAsia"/>
                <w:color w:val="auto"/>
                <w:highlight w:val="none"/>
              </w:rPr>
            </w:pPr>
            <w:r>
              <w:rPr>
                <w:rFonts w:hint="eastAsia"/>
                <w:color w:val="auto"/>
                <w:highlight w:val="none"/>
              </w:rPr>
              <w:t>因素</w:t>
            </w:r>
          </w:p>
        </w:tc>
        <w:tc>
          <w:tcPr>
            <w:tcW w:w="1104" w:type="dxa"/>
            <w:gridSpan w:val="2"/>
            <w:vAlign w:val="center"/>
          </w:tcPr>
          <w:p w14:paraId="63359C9E">
            <w:pPr>
              <w:jc w:val="center"/>
              <w:rPr>
                <w:rFonts w:hint="eastAsia"/>
                <w:color w:val="auto"/>
                <w:highlight w:val="none"/>
              </w:rPr>
            </w:pPr>
            <w:r>
              <w:rPr>
                <w:rFonts w:hint="eastAsia"/>
                <w:color w:val="auto"/>
                <w:highlight w:val="none"/>
              </w:rPr>
              <w:t>评分因素权重分值</w:t>
            </w:r>
          </w:p>
        </w:tc>
        <w:tc>
          <w:tcPr>
            <w:tcW w:w="1080" w:type="dxa"/>
            <w:vAlign w:val="center"/>
          </w:tcPr>
          <w:p w14:paraId="7EB64EB1">
            <w:pPr>
              <w:ind w:right="-95" w:rightChars="-43"/>
              <w:jc w:val="center"/>
              <w:rPr>
                <w:rFonts w:hint="eastAsia"/>
                <w:color w:val="auto"/>
                <w:highlight w:val="none"/>
              </w:rPr>
            </w:pPr>
            <w:r>
              <w:rPr>
                <w:rFonts w:hint="eastAsia"/>
                <w:color w:val="auto"/>
                <w:highlight w:val="none"/>
              </w:rPr>
              <w:t>各评分因素细分项</w:t>
            </w:r>
          </w:p>
        </w:tc>
        <w:tc>
          <w:tcPr>
            <w:tcW w:w="632" w:type="dxa"/>
            <w:vAlign w:val="center"/>
          </w:tcPr>
          <w:p w14:paraId="0A065A36">
            <w:pPr>
              <w:jc w:val="center"/>
              <w:rPr>
                <w:rFonts w:hint="eastAsia"/>
                <w:color w:val="auto"/>
                <w:highlight w:val="none"/>
              </w:rPr>
            </w:pPr>
            <w:r>
              <w:rPr>
                <w:rFonts w:hint="eastAsia"/>
                <w:color w:val="auto"/>
                <w:highlight w:val="none"/>
              </w:rPr>
              <w:t>分值</w:t>
            </w:r>
          </w:p>
        </w:tc>
        <w:tc>
          <w:tcPr>
            <w:tcW w:w="5520" w:type="dxa"/>
            <w:vMerge w:val="continue"/>
            <w:vAlign w:val="center"/>
          </w:tcPr>
          <w:p w14:paraId="29E152BA">
            <w:pPr>
              <w:jc w:val="center"/>
              <w:rPr>
                <w:rFonts w:hint="eastAsia"/>
                <w:color w:val="auto"/>
                <w:highlight w:val="none"/>
              </w:rPr>
            </w:pPr>
          </w:p>
        </w:tc>
      </w:tr>
      <w:tr w14:paraId="51F0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54491AD2">
            <w:pPr>
              <w:jc w:val="center"/>
              <w:rPr>
                <w:rFonts w:hint="eastAsia"/>
                <w:color w:val="auto"/>
                <w:highlight w:val="none"/>
              </w:rPr>
            </w:pPr>
            <w:r>
              <w:rPr>
                <w:rFonts w:hint="eastAsia"/>
                <w:color w:val="auto"/>
                <w:highlight w:val="none"/>
              </w:rPr>
              <w:t>2.2.4（1）</w:t>
            </w:r>
          </w:p>
        </w:tc>
        <w:tc>
          <w:tcPr>
            <w:tcW w:w="688" w:type="dxa"/>
            <w:gridSpan w:val="3"/>
            <w:vMerge w:val="restart"/>
            <w:vAlign w:val="center"/>
          </w:tcPr>
          <w:p w14:paraId="6F7F0A92">
            <w:pPr>
              <w:jc w:val="center"/>
              <w:rPr>
                <w:rFonts w:hint="eastAsia"/>
                <w:color w:val="auto"/>
                <w:highlight w:val="none"/>
              </w:rPr>
            </w:pPr>
            <w:r>
              <w:rPr>
                <w:rFonts w:cs="Times New Roman"/>
                <w:color w:val="auto"/>
                <w:highlight w:val="none"/>
              </w:rPr>
              <w:t>施工组织设计</w:t>
            </w:r>
          </w:p>
        </w:tc>
        <w:tc>
          <w:tcPr>
            <w:tcW w:w="1104" w:type="dxa"/>
            <w:gridSpan w:val="2"/>
            <w:vMerge w:val="restart"/>
            <w:vAlign w:val="center"/>
          </w:tcPr>
          <w:p w14:paraId="28CA08F3">
            <w:pPr>
              <w:jc w:val="center"/>
              <w:rPr>
                <w:rFonts w:hint="eastAsia"/>
                <w:color w:val="auto"/>
                <w:highlight w:val="none"/>
              </w:rPr>
            </w:pPr>
            <w:r>
              <w:rPr>
                <w:rFonts w:hint="eastAsia"/>
                <w:color w:val="auto"/>
                <w:highlight w:val="none"/>
              </w:rPr>
              <w:t>7分</w:t>
            </w:r>
          </w:p>
        </w:tc>
        <w:tc>
          <w:tcPr>
            <w:tcW w:w="1080" w:type="dxa"/>
            <w:vAlign w:val="center"/>
          </w:tcPr>
          <w:p w14:paraId="17386A61">
            <w:pPr>
              <w:ind w:right="-95" w:rightChars="-43"/>
              <w:rPr>
                <w:rFonts w:hint="eastAsia"/>
                <w:color w:val="auto"/>
                <w:highlight w:val="none"/>
                <w:lang w:bidi="ar"/>
              </w:rPr>
            </w:pPr>
            <w:r>
              <w:rPr>
                <w:color w:val="auto"/>
                <w:kern w:val="2"/>
                <w:highlight w:val="none"/>
                <w:lang w:bidi="ar"/>
              </w:rPr>
              <w:t>总体施工 组织布置及规划</w:t>
            </w:r>
          </w:p>
        </w:tc>
        <w:tc>
          <w:tcPr>
            <w:tcW w:w="632" w:type="dxa"/>
            <w:vAlign w:val="center"/>
          </w:tcPr>
          <w:p w14:paraId="73A41207">
            <w:pPr>
              <w:jc w:val="center"/>
              <w:rPr>
                <w:rFonts w:hint="eastAsia"/>
                <w:color w:val="auto"/>
                <w:highlight w:val="none"/>
              </w:rPr>
            </w:pPr>
            <w:r>
              <w:rPr>
                <w:rFonts w:hint="eastAsia"/>
                <w:color w:val="auto"/>
                <w:highlight w:val="none"/>
              </w:rPr>
              <w:t>2分</w:t>
            </w:r>
          </w:p>
        </w:tc>
        <w:tc>
          <w:tcPr>
            <w:tcW w:w="5520" w:type="dxa"/>
            <w:vAlign w:val="center"/>
          </w:tcPr>
          <w:p w14:paraId="09C6CDE7">
            <w:pPr>
              <w:spacing w:line="400" w:lineRule="exact"/>
              <w:ind w:firstLine="440" w:firstLineChars="200"/>
              <w:rPr>
                <w:rFonts w:hint="eastAsia" w:cs="Times New Roman"/>
                <w:color w:val="auto"/>
                <w:kern w:val="2"/>
                <w:highlight w:val="none"/>
                <w:lang w:bidi="ar"/>
              </w:rPr>
            </w:pPr>
            <w:r>
              <w:rPr>
                <w:rFonts w:cs="Times New Roman"/>
                <w:color w:val="auto"/>
                <w:kern w:val="2"/>
                <w:highlight w:val="none"/>
                <w:lang w:bidi="ar"/>
              </w:rPr>
              <w:t>（1）对项目的基本情况了解全面、准确，施工总体布置规划、施工进度计划科学合理、可操作性强，按《广东省公路工程施工标准化指南》及《广东省高速公路工程施工安全标准化指南》《公路工程施工安全防护设施技术指南》</w:t>
            </w:r>
            <w:r>
              <w:rPr>
                <w:rFonts w:hint="eastAsia" w:cs="Times New Roman"/>
                <w:color w:val="auto"/>
                <w:kern w:val="2"/>
                <w:highlight w:val="none"/>
                <w:lang w:bidi="ar"/>
              </w:rPr>
              <w:t>、</w:t>
            </w:r>
            <w:r>
              <w:rPr>
                <w:rFonts w:cs="Times New Roman"/>
                <w:color w:val="auto"/>
                <w:kern w:val="2"/>
                <w:highlight w:val="none"/>
                <w:lang w:bidi="ar"/>
              </w:rPr>
              <w:t>《公路养护技术</w:t>
            </w:r>
            <w:r>
              <w:rPr>
                <w:rFonts w:hint="eastAsia" w:cs="Times New Roman"/>
                <w:color w:val="auto"/>
                <w:kern w:val="2"/>
                <w:highlight w:val="none"/>
                <w:lang w:bidi="ar"/>
              </w:rPr>
              <w:t>标准</w:t>
            </w:r>
            <w:r>
              <w:rPr>
                <w:rFonts w:cs="Times New Roman"/>
                <w:color w:val="auto"/>
                <w:kern w:val="2"/>
                <w:highlight w:val="none"/>
                <w:lang w:bidi="ar"/>
              </w:rPr>
              <w:t>》、《广东省交通运输厅关于全面加强公路边坡工程施工质量管理的通知》</w:t>
            </w:r>
            <w:r>
              <w:rPr>
                <w:rFonts w:hint="eastAsia" w:cs="Times New Roman"/>
                <w:color w:val="auto"/>
                <w:kern w:val="2"/>
                <w:highlight w:val="none"/>
                <w:lang w:bidi="ar"/>
              </w:rPr>
              <w:t>等</w:t>
            </w:r>
            <w:r>
              <w:rPr>
                <w:rFonts w:cs="Times New Roman"/>
                <w:color w:val="auto"/>
                <w:kern w:val="2"/>
                <w:highlight w:val="none"/>
                <w:lang w:bidi="ar"/>
              </w:rPr>
              <w:t>广东省交通运输厅对边坡工程质量管理的相关规定的要求</w:t>
            </w:r>
            <w:r>
              <w:rPr>
                <w:rFonts w:hint="eastAsia" w:cs="Times New Roman"/>
                <w:color w:val="auto"/>
                <w:kern w:val="2"/>
                <w:highlight w:val="none"/>
                <w:lang w:bidi="ar"/>
              </w:rPr>
              <w:t>编制</w:t>
            </w:r>
            <w:r>
              <w:rPr>
                <w:rFonts w:cs="Times New Roman"/>
                <w:color w:val="auto"/>
                <w:kern w:val="2"/>
                <w:highlight w:val="none"/>
                <w:lang w:bidi="ar"/>
              </w:rPr>
              <w:t>，</w:t>
            </w:r>
            <w:r>
              <w:rPr>
                <w:rFonts w:hint="eastAsia" w:cs="Times New Roman"/>
                <w:color w:val="auto"/>
                <w:kern w:val="2"/>
                <w:highlight w:val="none"/>
                <w:lang w:bidi="ar"/>
              </w:rPr>
              <w:t>工期保障措施得利，</w:t>
            </w:r>
            <w:r>
              <w:rPr>
                <w:rFonts w:cs="Times New Roman"/>
                <w:color w:val="auto"/>
                <w:kern w:val="2"/>
                <w:highlight w:val="none"/>
                <w:lang w:bidi="ar"/>
              </w:rPr>
              <w:t>得1.6-2分；</w:t>
            </w:r>
          </w:p>
          <w:p w14:paraId="40F3A957">
            <w:pPr>
              <w:spacing w:line="400" w:lineRule="exact"/>
              <w:ind w:firstLine="440" w:firstLineChars="200"/>
              <w:rPr>
                <w:rFonts w:hint="eastAsia" w:cs="Times New Roman"/>
                <w:color w:val="auto"/>
                <w:kern w:val="2"/>
                <w:highlight w:val="none"/>
                <w:lang w:bidi="ar"/>
              </w:rPr>
            </w:pPr>
            <w:r>
              <w:rPr>
                <w:rFonts w:cs="Times New Roman"/>
                <w:color w:val="auto"/>
                <w:kern w:val="2"/>
                <w:highlight w:val="none"/>
                <w:lang w:bidi="ar"/>
              </w:rPr>
              <w:t>（2）满足工程建设需要，施工总体布置规划、施工进度计划基本可行，得 1.2-1.6分；</w:t>
            </w:r>
          </w:p>
          <w:p w14:paraId="3925C7FD">
            <w:pPr>
              <w:spacing w:line="400" w:lineRule="exact"/>
              <w:ind w:firstLine="440" w:firstLineChars="200"/>
              <w:rPr>
                <w:rFonts w:hint="eastAsia" w:cs="Times New Roman"/>
                <w:color w:val="auto"/>
                <w:kern w:val="2"/>
                <w:highlight w:val="none"/>
                <w:lang w:bidi="ar"/>
              </w:rPr>
            </w:pPr>
            <w:r>
              <w:rPr>
                <w:rFonts w:cs="Times New Roman"/>
                <w:color w:val="auto"/>
                <w:kern w:val="2"/>
                <w:highlight w:val="none"/>
                <w:lang w:bidi="ar"/>
              </w:rPr>
              <w:t>（3）一般但不被评定为不响应的，得1.2分。</w:t>
            </w:r>
          </w:p>
        </w:tc>
      </w:tr>
      <w:tr w14:paraId="06C8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jc w:val="center"/>
        </w:trPr>
        <w:tc>
          <w:tcPr>
            <w:tcW w:w="806" w:type="dxa"/>
            <w:vMerge w:val="continue"/>
            <w:vAlign w:val="center"/>
          </w:tcPr>
          <w:p w14:paraId="1F18E031">
            <w:pPr>
              <w:jc w:val="center"/>
              <w:rPr>
                <w:rFonts w:hint="eastAsia"/>
                <w:color w:val="auto"/>
                <w:highlight w:val="none"/>
              </w:rPr>
            </w:pPr>
          </w:p>
        </w:tc>
        <w:tc>
          <w:tcPr>
            <w:tcW w:w="688" w:type="dxa"/>
            <w:gridSpan w:val="3"/>
            <w:vMerge w:val="continue"/>
            <w:vAlign w:val="center"/>
          </w:tcPr>
          <w:p w14:paraId="14894C8C">
            <w:pPr>
              <w:jc w:val="center"/>
              <w:rPr>
                <w:rFonts w:hint="eastAsia"/>
                <w:color w:val="auto"/>
                <w:highlight w:val="none"/>
              </w:rPr>
            </w:pPr>
          </w:p>
        </w:tc>
        <w:tc>
          <w:tcPr>
            <w:tcW w:w="1104" w:type="dxa"/>
            <w:gridSpan w:val="2"/>
            <w:vMerge w:val="continue"/>
            <w:vAlign w:val="center"/>
          </w:tcPr>
          <w:p w14:paraId="7691AF79">
            <w:pPr>
              <w:jc w:val="center"/>
              <w:rPr>
                <w:rFonts w:hint="eastAsia"/>
                <w:color w:val="auto"/>
                <w:highlight w:val="none"/>
              </w:rPr>
            </w:pPr>
          </w:p>
        </w:tc>
        <w:tc>
          <w:tcPr>
            <w:tcW w:w="1080" w:type="dxa"/>
            <w:vAlign w:val="center"/>
          </w:tcPr>
          <w:p w14:paraId="2E0B359D">
            <w:pPr>
              <w:ind w:right="-95" w:rightChars="-43"/>
              <w:rPr>
                <w:rFonts w:hint="eastAsia"/>
                <w:color w:val="auto"/>
                <w:spacing w:val="20"/>
                <w:highlight w:val="none"/>
              </w:rPr>
            </w:pPr>
            <w:r>
              <w:rPr>
                <w:rFonts w:hint="eastAsia"/>
                <w:color w:val="auto"/>
                <w:highlight w:val="none"/>
              </w:rPr>
              <w:t>重点、难点和关键工程的施工方案与技术措施</w:t>
            </w:r>
          </w:p>
        </w:tc>
        <w:tc>
          <w:tcPr>
            <w:tcW w:w="632" w:type="dxa"/>
            <w:vAlign w:val="center"/>
          </w:tcPr>
          <w:p w14:paraId="43322041">
            <w:pPr>
              <w:jc w:val="center"/>
              <w:rPr>
                <w:rFonts w:hint="eastAsia"/>
                <w:color w:val="auto"/>
                <w:highlight w:val="none"/>
              </w:rPr>
            </w:pPr>
            <w:r>
              <w:rPr>
                <w:rFonts w:hint="eastAsia"/>
                <w:color w:val="auto"/>
                <w:highlight w:val="none"/>
              </w:rPr>
              <w:t>2分</w:t>
            </w:r>
          </w:p>
        </w:tc>
        <w:tc>
          <w:tcPr>
            <w:tcW w:w="5520" w:type="dxa"/>
            <w:vAlign w:val="center"/>
          </w:tcPr>
          <w:p w14:paraId="6B20C594">
            <w:pPr>
              <w:spacing w:line="400" w:lineRule="exact"/>
              <w:ind w:firstLine="440" w:firstLineChars="200"/>
              <w:rPr>
                <w:rFonts w:hint="eastAsia" w:cs="Times New Roman"/>
                <w:color w:val="auto"/>
                <w:kern w:val="2"/>
                <w:highlight w:val="none"/>
                <w:lang w:bidi="ar"/>
              </w:rPr>
            </w:pPr>
            <w:r>
              <w:rPr>
                <w:rFonts w:hint="eastAsia" w:cs="Times New Roman"/>
                <w:color w:val="auto"/>
                <w:kern w:val="2"/>
                <w:highlight w:val="none"/>
                <w:lang w:bidi="ar"/>
              </w:rPr>
              <w:t>（1）对项目重点、难点和关键工程认识分析透彻，能充分发挥自身优势，制定的施工方案与技术措施针对性和可操作性强，重点突出的，按《广东省公路工程施工标准化指南》 及《广东省高速公路工程施工安全标准化指南》《公路工程施工安全防护设施技术指南》执行，得1.6-2分；</w:t>
            </w:r>
          </w:p>
          <w:p w14:paraId="76622866">
            <w:pPr>
              <w:spacing w:line="400" w:lineRule="exact"/>
              <w:ind w:firstLine="440" w:firstLineChars="200"/>
              <w:rPr>
                <w:rFonts w:hint="eastAsia" w:cs="Times New Roman"/>
                <w:color w:val="auto"/>
                <w:kern w:val="2"/>
                <w:highlight w:val="none"/>
                <w:lang w:bidi="ar"/>
              </w:rPr>
            </w:pPr>
            <w:r>
              <w:rPr>
                <w:rFonts w:hint="eastAsia" w:cs="Times New Roman"/>
                <w:color w:val="auto"/>
                <w:kern w:val="2"/>
                <w:highlight w:val="none"/>
                <w:lang w:bidi="ar"/>
              </w:rPr>
              <w:t>（2）对项目重点、难点和关键工程认识基本到位，施工方案与技术措施基本可行，重点较为突出的，得1.2-1.6 分；</w:t>
            </w:r>
          </w:p>
          <w:p w14:paraId="33BBBD14">
            <w:pPr>
              <w:spacing w:line="400" w:lineRule="exact"/>
              <w:ind w:firstLine="440" w:firstLineChars="200"/>
              <w:rPr>
                <w:rFonts w:hint="eastAsia" w:cs="Times New Roman"/>
                <w:color w:val="auto"/>
                <w:kern w:val="2"/>
                <w:highlight w:val="none"/>
                <w:lang w:bidi="ar"/>
              </w:rPr>
            </w:pPr>
            <w:r>
              <w:rPr>
                <w:rFonts w:hint="eastAsia" w:cs="Times New Roman"/>
                <w:color w:val="auto"/>
                <w:kern w:val="2"/>
                <w:highlight w:val="none"/>
                <w:lang w:bidi="ar"/>
              </w:rPr>
              <w:t>（3）一般但不被评定为不响应的， 得1.2分。</w:t>
            </w:r>
          </w:p>
        </w:tc>
      </w:tr>
      <w:tr w14:paraId="6665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jc w:val="center"/>
        </w:trPr>
        <w:tc>
          <w:tcPr>
            <w:tcW w:w="806" w:type="dxa"/>
            <w:vMerge w:val="continue"/>
            <w:vAlign w:val="center"/>
          </w:tcPr>
          <w:p w14:paraId="21A0E344">
            <w:pPr>
              <w:jc w:val="center"/>
              <w:rPr>
                <w:rFonts w:hint="eastAsia"/>
                <w:color w:val="auto"/>
                <w:highlight w:val="none"/>
              </w:rPr>
            </w:pPr>
          </w:p>
        </w:tc>
        <w:tc>
          <w:tcPr>
            <w:tcW w:w="688" w:type="dxa"/>
            <w:gridSpan w:val="3"/>
            <w:vMerge w:val="continue"/>
            <w:vAlign w:val="center"/>
          </w:tcPr>
          <w:p w14:paraId="611ADFB4">
            <w:pPr>
              <w:jc w:val="center"/>
              <w:rPr>
                <w:rFonts w:hint="eastAsia"/>
                <w:color w:val="auto"/>
                <w:highlight w:val="none"/>
              </w:rPr>
            </w:pPr>
          </w:p>
        </w:tc>
        <w:tc>
          <w:tcPr>
            <w:tcW w:w="1104" w:type="dxa"/>
            <w:gridSpan w:val="2"/>
            <w:vMerge w:val="continue"/>
            <w:vAlign w:val="center"/>
          </w:tcPr>
          <w:p w14:paraId="7BF8B612">
            <w:pPr>
              <w:jc w:val="center"/>
              <w:rPr>
                <w:rFonts w:hint="eastAsia"/>
                <w:color w:val="auto"/>
                <w:highlight w:val="none"/>
              </w:rPr>
            </w:pPr>
          </w:p>
        </w:tc>
        <w:tc>
          <w:tcPr>
            <w:tcW w:w="1080" w:type="dxa"/>
            <w:vAlign w:val="center"/>
          </w:tcPr>
          <w:p w14:paraId="46F8AE45">
            <w:pPr>
              <w:ind w:right="-95" w:rightChars="-43"/>
              <w:rPr>
                <w:rFonts w:hint="eastAsia"/>
                <w:color w:val="auto"/>
                <w:highlight w:val="none"/>
                <w:lang w:bidi="ar"/>
              </w:rPr>
            </w:pPr>
            <w:r>
              <w:rPr>
                <w:color w:val="auto"/>
                <w:kern w:val="2"/>
                <w:highlight w:val="none"/>
                <w:lang w:bidi="ar"/>
              </w:rPr>
              <w:t xml:space="preserve">工期、质 </w:t>
            </w:r>
          </w:p>
          <w:p w14:paraId="2D47D905">
            <w:pPr>
              <w:ind w:right="-95" w:rightChars="-43"/>
              <w:rPr>
                <w:rFonts w:hint="eastAsia"/>
                <w:color w:val="auto"/>
                <w:highlight w:val="none"/>
                <w:lang w:bidi="ar"/>
              </w:rPr>
            </w:pPr>
            <w:r>
              <w:rPr>
                <w:color w:val="auto"/>
                <w:kern w:val="2"/>
                <w:highlight w:val="none"/>
                <w:lang w:bidi="ar"/>
              </w:rPr>
              <w:t xml:space="preserve">量、安全 </w:t>
            </w:r>
          </w:p>
          <w:p w14:paraId="44FEE5B8">
            <w:pPr>
              <w:ind w:right="-95" w:rightChars="-43"/>
              <w:rPr>
                <w:rFonts w:hint="eastAsia"/>
                <w:color w:val="auto"/>
                <w:highlight w:val="none"/>
                <w:lang w:bidi="ar"/>
              </w:rPr>
            </w:pPr>
            <w:r>
              <w:rPr>
                <w:color w:val="auto"/>
                <w:kern w:val="2"/>
                <w:highlight w:val="none"/>
                <w:lang w:bidi="ar"/>
              </w:rPr>
              <w:t xml:space="preserve">环保水保 </w:t>
            </w:r>
          </w:p>
          <w:p w14:paraId="6B86B12B">
            <w:pPr>
              <w:ind w:right="-95" w:rightChars="-43"/>
              <w:rPr>
                <w:rFonts w:hint="eastAsia"/>
                <w:color w:val="auto"/>
                <w:highlight w:val="none"/>
                <w:lang w:bidi="ar"/>
              </w:rPr>
            </w:pPr>
            <w:r>
              <w:rPr>
                <w:color w:val="auto"/>
                <w:kern w:val="2"/>
                <w:highlight w:val="none"/>
                <w:lang w:bidi="ar"/>
              </w:rPr>
              <w:t xml:space="preserve">、文明施 </w:t>
            </w:r>
          </w:p>
          <w:p w14:paraId="0ED47E7F">
            <w:pPr>
              <w:ind w:right="-95" w:rightChars="-43"/>
              <w:rPr>
                <w:rFonts w:hint="eastAsia"/>
                <w:color w:val="auto"/>
                <w:highlight w:val="none"/>
                <w:lang w:bidi="ar"/>
              </w:rPr>
            </w:pPr>
            <w:r>
              <w:rPr>
                <w:color w:val="auto"/>
                <w:kern w:val="2"/>
                <w:highlight w:val="none"/>
                <w:lang w:bidi="ar"/>
              </w:rPr>
              <w:t xml:space="preserve">工保证措 </w:t>
            </w:r>
          </w:p>
          <w:p w14:paraId="35F77611">
            <w:pPr>
              <w:ind w:right="-95" w:rightChars="-43"/>
              <w:rPr>
                <w:rFonts w:hint="eastAsia"/>
                <w:b/>
                <w:bCs/>
                <w:color w:val="auto"/>
                <w:highlight w:val="none"/>
              </w:rPr>
            </w:pPr>
            <w:r>
              <w:rPr>
                <w:color w:val="auto"/>
                <w:kern w:val="2"/>
                <w:highlight w:val="none"/>
                <w:lang w:bidi="ar"/>
              </w:rPr>
              <w:t>施</w:t>
            </w:r>
          </w:p>
        </w:tc>
        <w:tc>
          <w:tcPr>
            <w:tcW w:w="632" w:type="dxa"/>
            <w:vAlign w:val="center"/>
          </w:tcPr>
          <w:p w14:paraId="7983DB04">
            <w:pPr>
              <w:tabs>
                <w:tab w:val="left" w:pos="1260"/>
              </w:tabs>
              <w:jc w:val="center"/>
              <w:rPr>
                <w:rFonts w:hint="eastAsia"/>
                <w:b/>
                <w:bCs/>
                <w:color w:val="auto"/>
                <w:highlight w:val="none"/>
              </w:rPr>
            </w:pPr>
            <w:r>
              <w:rPr>
                <w:rFonts w:hint="eastAsia"/>
                <w:color w:val="auto"/>
                <w:highlight w:val="none"/>
              </w:rPr>
              <w:t>3分</w:t>
            </w:r>
          </w:p>
        </w:tc>
        <w:tc>
          <w:tcPr>
            <w:tcW w:w="5520" w:type="dxa"/>
            <w:vAlign w:val="center"/>
          </w:tcPr>
          <w:p w14:paraId="69D31C34">
            <w:pPr>
              <w:spacing w:line="400" w:lineRule="exact"/>
              <w:ind w:firstLine="440" w:firstLineChars="200"/>
              <w:rPr>
                <w:rFonts w:hint="eastAsia"/>
                <w:color w:val="auto"/>
                <w:highlight w:val="none"/>
                <w:lang w:bidi="ar"/>
              </w:rPr>
            </w:pPr>
            <w:r>
              <w:rPr>
                <w:rFonts w:cs="Times New Roman"/>
                <w:color w:val="auto"/>
                <w:kern w:val="2"/>
                <w:highlight w:val="none"/>
                <w:lang w:bidi="ar"/>
              </w:rPr>
              <w:t>（1）能够准确预判分析工期、质量、安全、环保、水保、文明施工目标实现的主要影响因素，拟采取预防保证措施针对性强、科学有效，重点突出的，按《广东省公路</w:t>
            </w:r>
            <w:r>
              <w:rPr>
                <w:color w:val="auto"/>
                <w:highlight w:val="none"/>
                <w:lang w:bidi="ar"/>
              </w:rPr>
              <w:t>工程施工标准化</w:t>
            </w:r>
            <w:r>
              <w:rPr>
                <w:rFonts w:cs="Times New Roman"/>
                <w:color w:val="auto"/>
                <w:kern w:val="2"/>
                <w:highlight w:val="none"/>
                <w:lang w:bidi="ar"/>
              </w:rPr>
              <w:t>指南》及《广东省高速公路工程施工安全标准化指南》《公路工程施工安全防护设施技术指南》执行，得2.4-3分；</w:t>
            </w:r>
          </w:p>
          <w:p w14:paraId="42335579">
            <w:pPr>
              <w:spacing w:line="400" w:lineRule="exact"/>
              <w:ind w:firstLine="440" w:firstLineChars="200"/>
              <w:rPr>
                <w:rFonts w:hint="eastAsia"/>
                <w:color w:val="auto"/>
                <w:highlight w:val="none"/>
                <w:lang w:bidi="ar"/>
              </w:rPr>
            </w:pPr>
            <w:r>
              <w:rPr>
                <w:rFonts w:cs="Times New Roman"/>
                <w:color w:val="auto"/>
                <w:kern w:val="2"/>
                <w:highlight w:val="none"/>
                <w:lang w:bidi="ar"/>
              </w:rPr>
              <w:t>（2）对工期、质量、安全、环保、水保等风险有一定认识，预防保证措施基本可行，重点较为突出的，得1.8-2.4分；</w:t>
            </w:r>
          </w:p>
          <w:p w14:paraId="16F2F505">
            <w:pPr>
              <w:spacing w:line="400" w:lineRule="exact"/>
              <w:ind w:firstLine="440" w:firstLineChars="200"/>
              <w:rPr>
                <w:rFonts w:hint="eastAsia"/>
                <w:color w:val="auto"/>
                <w:highlight w:val="none"/>
              </w:rPr>
            </w:pPr>
            <w:r>
              <w:rPr>
                <w:rFonts w:cs="Times New Roman"/>
                <w:color w:val="auto"/>
                <w:kern w:val="2"/>
                <w:highlight w:val="none"/>
                <w:lang w:bidi="ar"/>
              </w:rPr>
              <w:t>（3）一般但不被评定为不响应的</w:t>
            </w:r>
            <w:r>
              <w:rPr>
                <w:rFonts w:hint="eastAsia" w:cs="Times New Roman"/>
                <w:color w:val="auto"/>
                <w:kern w:val="2"/>
                <w:highlight w:val="none"/>
                <w:lang w:bidi="ar"/>
              </w:rPr>
              <w:t>，</w:t>
            </w:r>
            <w:r>
              <w:rPr>
                <w:rFonts w:cs="Times New Roman"/>
                <w:color w:val="auto"/>
                <w:kern w:val="2"/>
                <w:highlight w:val="none"/>
                <w:lang w:bidi="ar"/>
              </w:rPr>
              <w:t xml:space="preserve"> 得1.8分。</w:t>
            </w:r>
          </w:p>
        </w:tc>
      </w:tr>
      <w:tr w14:paraId="6186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598" w:type="dxa"/>
            <w:gridSpan w:val="6"/>
            <w:vAlign w:val="center"/>
          </w:tcPr>
          <w:p w14:paraId="111F36FF">
            <w:pPr>
              <w:jc w:val="center"/>
              <w:rPr>
                <w:rFonts w:hint="eastAsia"/>
                <w:color w:val="auto"/>
                <w:highlight w:val="none"/>
              </w:rPr>
            </w:pPr>
            <w:r>
              <w:rPr>
                <w:rFonts w:hint="eastAsia"/>
                <w:color w:val="auto"/>
                <w:highlight w:val="none"/>
              </w:rPr>
              <w:t>条款号</w:t>
            </w:r>
          </w:p>
        </w:tc>
        <w:tc>
          <w:tcPr>
            <w:tcW w:w="7232" w:type="dxa"/>
            <w:gridSpan w:val="3"/>
            <w:vAlign w:val="center"/>
          </w:tcPr>
          <w:p w14:paraId="3FD17345">
            <w:pPr>
              <w:jc w:val="center"/>
              <w:rPr>
                <w:rFonts w:hint="eastAsia"/>
                <w:color w:val="auto"/>
                <w:highlight w:val="none"/>
              </w:rPr>
            </w:pPr>
            <w:r>
              <w:rPr>
                <w:rFonts w:hint="eastAsia"/>
                <w:color w:val="auto"/>
                <w:highlight w:val="none"/>
              </w:rPr>
              <w:t>评审因素与评审标准</w:t>
            </w:r>
          </w:p>
        </w:tc>
      </w:tr>
      <w:tr w14:paraId="6D0C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828" w:type="dxa"/>
            <w:gridSpan w:val="2"/>
            <w:vAlign w:val="center"/>
          </w:tcPr>
          <w:p w14:paraId="10B982DA">
            <w:pPr>
              <w:jc w:val="center"/>
              <w:rPr>
                <w:rFonts w:hint="eastAsia"/>
                <w:color w:val="auto"/>
                <w:highlight w:val="none"/>
              </w:rPr>
            </w:pPr>
            <w:bookmarkStart w:id="7" w:name="OLE_LINK69"/>
            <w:r>
              <w:rPr>
                <w:rFonts w:hint="eastAsia"/>
                <w:color w:val="auto"/>
                <w:highlight w:val="none"/>
              </w:rPr>
              <w:t>2.2.4（3）</w:t>
            </w:r>
            <w:bookmarkEnd w:id="7"/>
          </w:p>
        </w:tc>
        <w:tc>
          <w:tcPr>
            <w:tcW w:w="900" w:type="dxa"/>
            <w:gridSpan w:val="3"/>
            <w:vAlign w:val="center"/>
          </w:tcPr>
          <w:p w14:paraId="450CF198">
            <w:pPr>
              <w:jc w:val="center"/>
              <w:rPr>
                <w:rFonts w:hint="eastAsia"/>
                <w:color w:val="auto"/>
                <w:highlight w:val="none"/>
              </w:rPr>
            </w:pPr>
            <w:bookmarkStart w:id="8" w:name="OLE_LINK81"/>
            <w:r>
              <w:rPr>
                <w:color w:val="auto"/>
                <w:highlight w:val="none"/>
              </w:rPr>
              <w:t>评标合同单价折扣系数</w:t>
            </w:r>
            <w:bookmarkEnd w:id="8"/>
            <w:r>
              <w:rPr>
                <w:rFonts w:hint="eastAsia"/>
                <w:color w:val="auto"/>
                <w:highlight w:val="none"/>
              </w:rPr>
              <w:t>得分</w:t>
            </w:r>
          </w:p>
        </w:tc>
        <w:tc>
          <w:tcPr>
            <w:tcW w:w="870" w:type="dxa"/>
            <w:vAlign w:val="center"/>
          </w:tcPr>
          <w:p w14:paraId="6E3FFC79">
            <w:pPr>
              <w:jc w:val="center"/>
              <w:rPr>
                <w:rFonts w:hint="eastAsia"/>
                <w:color w:val="auto"/>
                <w:highlight w:val="none"/>
              </w:rPr>
            </w:pPr>
            <w:r>
              <w:rPr>
                <w:rFonts w:hint="eastAsia"/>
                <w:color w:val="auto"/>
                <w:highlight w:val="none"/>
              </w:rPr>
              <w:t>80分</w:t>
            </w:r>
          </w:p>
        </w:tc>
        <w:tc>
          <w:tcPr>
            <w:tcW w:w="7232" w:type="dxa"/>
            <w:gridSpan w:val="3"/>
            <w:vAlign w:val="center"/>
          </w:tcPr>
          <w:p w14:paraId="5329C658">
            <w:pPr>
              <w:spacing w:line="360" w:lineRule="auto"/>
              <w:rPr>
                <w:rFonts w:hint="eastAsia"/>
                <w:color w:val="auto"/>
                <w:highlight w:val="none"/>
              </w:rPr>
            </w:pPr>
            <w:r>
              <w:rPr>
                <w:rFonts w:hint="eastAsia"/>
                <w:color w:val="auto"/>
                <w:highlight w:val="none"/>
              </w:rPr>
              <w:t>评标价得分计算公式示例：</w:t>
            </w:r>
          </w:p>
          <w:p w14:paraId="5A776DBC">
            <w:pPr>
              <w:spacing w:line="360" w:lineRule="auto"/>
              <w:ind w:firstLine="440" w:firstLineChars="200"/>
              <w:rPr>
                <w:rFonts w:hint="eastAsia"/>
                <w:color w:val="auto"/>
                <w:highlight w:val="none"/>
              </w:rPr>
            </w:pPr>
            <w:r>
              <w:rPr>
                <w:rFonts w:hint="eastAsia"/>
                <w:color w:val="auto"/>
                <w:highlight w:val="none"/>
              </w:rPr>
              <w:t>(1)如果投标人的评标合同单价折扣系数＞评标基准合同单价折扣系数，则评标合同单价折扣系数得分＝80-偏差率×100×1.5；</w:t>
            </w:r>
          </w:p>
          <w:p w14:paraId="63F03653">
            <w:pPr>
              <w:spacing w:line="360" w:lineRule="auto"/>
              <w:ind w:firstLine="440" w:firstLineChars="200"/>
              <w:rPr>
                <w:rFonts w:hint="eastAsia"/>
                <w:color w:val="auto"/>
                <w:highlight w:val="none"/>
              </w:rPr>
            </w:pPr>
            <w:r>
              <w:rPr>
                <w:rFonts w:hint="eastAsia"/>
                <w:color w:val="auto"/>
                <w:highlight w:val="none"/>
              </w:rPr>
              <w:t>(2)如果投标人的评标合同单价折扣系数≤评标基准合同单价折扣系数，则评标合同单价折扣系数得分＝80+偏差率×100×0.5</w:t>
            </w:r>
            <w:bookmarkStart w:id="9" w:name="OLE_LINK70"/>
            <w:r>
              <w:rPr>
                <w:rFonts w:hint="eastAsia"/>
                <w:color w:val="auto"/>
                <w:highlight w:val="none"/>
              </w:rPr>
              <w:t>。</w:t>
            </w:r>
            <w:bookmarkEnd w:id="9"/>
          </w:p>
          <w:p w14:paraId="3D31F2FC">
            <w:pPr>
              <w:spacing w:line="360" w:lineRule="auto"/>
              <w:rPr>
                <w:rFonts w:hint="eastAsia"/>
                <w:color w:val="auto"/>
                <w:highlight w:val="none"/>
              </w:rPr>
            </w:pPr>
            <w:r>
              <w:rPr>
                <w:rFonts w:hint="eastAsia"/>
                <w:color w:val="auto"/>
                <w:highlight w:val="none"/>
              </w:rPr>
              <w:t>备注：</w:t>
            </w:r>
            <w:r>
              <w:rPr>
                <w:color w:val="auto"/>
                <w:highlight w:val="none"/>
              </w:rPr>
              <w:t>评标合同单价折扣系数</w:t>
            </w:r>
            <w:r>
              <w:rPr>
                <w:rFonts w:hint="eastAsia"/>
                <w:color w:val="auto"/>
                <w:highlight w:val="none"/>
              </w:rPr>
              <w:t>得分分值四舍五入至小数点后四位。</w:t>
            </w:r>
          </w:p>
        </w:tc>
      </w:tr>
      <w:tr w14:paraId="4C8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jc w:val="center"/>
        </w:trPr>
        <w:tc>
          <w:tcPr>
            <w:tcW w:w="828" w:type="dxa"/>
            <w:gridSpan w:val="2"/>
            <w:vAlign w:val="center"/>
          </w:tcPr>
          <w:p w14:paraId="777869EB">
            <w:pPr>
              <w:jc w:val="center"/>
              <w:rPr>
                <w:rFonts w:hint="eastAsia"/>
                <w:color w:val="auto"/>
                <w:highlight w:val="none"/>
              </w:rPr>
            </w:pPr>
            <w:r>
              <w:rPr>
                <w:rFonts w:hint="eastAsia"/>
                <w:color w:val="auto"/>
                <w:highlight w:val="none"/>
              </w:rPr>
              <w:t>2.2.4（4）</w:t>
            </w:r>
          </w:p>
        </w:tc>
        <w:tc>
          <w:tcPr>
            <w:tcW w:w="900" w:type="dxa"/>
            <w:gridSpan w:val="3"/>
            <w:vAlign w:val="center"/>
          </w:tcPr>
          <w:p w14:paraId="2A239E4C">
            <w:pPr>
              <w:jc w:val="center"/>
              <w:rPr>
                <w:rFonts w:hint="eastAsia"/>
                <w:color w:val="auto"/>
                <w:highlight w:val="none"/>
              </w:rPr>
            </w:pPr>
            <w:r>
              <w:rPr>
                <w:rFonts w:hint="eastAsia"/>
                <w:color w:val="auto"/>
                <w:highlight w:val="none"/>
              </w:rPr>
              <w:t>业绩</w:t>
            </w:r>
          </w:p>
        </w:tc>
        <w:tc>
          <w:tcPr>
            <w:tcW w:w="870" w:type="dxa"/>
            <w:vAlign w:val="center"/>
          </w:tcPr>
          <w:p w14:paraId="2C483D6A">
            <w:pPr>
              <w:jc w:val="center"/>
              <w:rPr>
                <w:rFonts w:hint="eastAsia"/>
                <w:color w:val="auto"/>
                <w:highlight w:val="none"/>
              </w:rPr>
            </w:pPr>
            <w:r>
              <w:rPr>
                <w:rFonts w:hint="eastAsia"/>
                <w:color w:val="auto"/>
                <w:highlight w:val="none"/>
              </w:rPr>
              <w:t>3分</w:t>
            </w:r>
          </w:p>
        </w:tc>
        <w:tc>
          <w:tcPr>
            <w:tcW w:w="7232" w:type="dxa"/>
            <w:gridSpan w:val="3"/>
            <w:vAlign w:val="center"/>
          </w:tcPr>
          <w:p w14:paraId="59684D07">
            <w:pPr>
              <w:spacing w:line="400" w:lineRule="atLeast"/>
              <w:rPr>
                <w:rFonts w:hint="eastAsia"/>
                <w:color w:val="auto"/>
                <w:highlight w:val="none"/>
              </w:rPr>
            </w:pPr>
            <w:r>
              <w:rPr>
                <w:rFonts w:hint="eastAsia"/>
                <w:color w:val="auto"/>
                <w:highlight w:val="none"/>
              </w:rPr>
              <w:t>满足资格审查条件（业绩最低要求）得</w:t>
            </w:r>
            <w:r>
              <w:rPr>
                <w:rStyle w:val="12"/>
                <w:rFonts w:ascii="宋体" w:eastAsia="宋体" w:cs="Times New Roman"/>
                <w:color w:val="auto"/>
                <w:sz w:val="21"/>
                <w:szCs w:val="21"/>
                <w:highlight w:val="none"/>
              </w:rPr>
              <w:t>1.8</w:t>
            </w:r>
            <w:r>
              <w:rPr>
                <w:color w:val="auto"/>
                <w:highlight w:val="none"/>
                <w:lang w:val="zh-CN"/>
              </w:rPr>
              <w:t>分。在此基础上</w:t>
            </w:r>
            <w:r>
              <w:rPr>
                <w:rFonts w:hint="eastAsia"/>
                <w:color w:val="auto"/>
                <w:highlight w:val="none"/>
                <w:lang w:val="zh-CN"/>
              </w:rPr>
              <w:t>，</w:t>
            </w:r>
            <w:r>
              <w:rPr>
                <w:rFonts w:hint="eastAsia"/>
                <w:color w:val="auto"/>
                <w:highlight w:val="none"/>
              </w:rPr>
              <w:t>近五年内，成功完成以下类似工程：</w:t>
            </w:r>
          </w:p>
          <w:p w14:paraId="0788B952">
            <w:pPr>
              <w:spacing w:line="360" w:lineRule="auto"/>
              <w:ind w:firstLine="440" w:firstLineChars="200"/>
              <w:rPr>
                <w:rFonts w:hint="eastAsia"/>
                <w:color w:val="auto"/>
                <w:highlight w:val="none"/>
              </w:rPr>
            </w:pPr>
            <w:r>
              <w:rPr>
                <w:rFonts w:hint="eastAsia"/>
                <w:color w:val="auto"/>
                <w:highlight w:val="none"/>
              </w:rPr>
              <w:t>①每增加新建、改(扩)建高速公路施工项目1个标段</w:t>
            </w:r>
            <w:r>
              <w:rPr>
                <w:rFonts w:hint="eastAsia"/>
                <w:color w:val="auto"/>
                <w:highlight w:val="none"/>
                <w:lang w:bidi="ar"/>
              </w:rPr>
              <w:t>（标段内必须</w:t>
            </w:r>
            <w:r>
              <w:rPr>
                <w:rFonts w:hint="eastAsia"/>
                <w:color w:val="auto"/>
                <w:highlight w:val="none"/>
                <w:lang w:val="en-US" w:eastAsia="zh-CN" w:bidi="ar"/>
              </w:rPr>
              <w:t>同时</w:t>
            </w:r>
            <w:r>
              <w:rPr>
                <w:rFonts w:hint="eastAsia"/>
                <w:color w:val="auto"/>
                <w:highlight w:val="none"/>
                <w:lang w:bidi="ar"/>
              </w:rPr>
              <w:t>含路基</w:t>
            </w:r>
            <w:r>
              <w:rPr>
                <w:rFonts w:hint="eastAsia"/>
                <w:color w:val="auto"/>
                <w:highlight w:val="none"/>
                <w:lang w:eastAsia="zh-CN" w:bidi="ar"/>
              </w:rPr>
              <w:t>、</w:t>
            </w:r>
            <w:r>
              <w:rPr>
                <w:rFonts w:hint="eastAsia"/>
                <w:color w:val="auto"/>
                <w:highlight w:val="none"/>
                <w:lang w:val="en-US" w:eastAsia="zh-CN" w:bidi="ar"/>
              </w:rPr>
              <w:t>桥梁</w:t>
            </w:r>
            <w:r>
              <w:rPr>
                <w:rFonts w:hint="eastAsia"/>
                <w:color w:val="auto"/>
                <w:highlight w:val="none"/>
                <w:lang w:bidi="ar"/>
              </w:rPr>
              <w:t>类别的施工）</w:t>
            </w:r>
            <w:r>
              <w:rPr>
                <w:rFonts w:hint="eastAsia"/>
                <w:color w:val="auto"/>
                <w:highlight w:val="none"/>
              </w:rPr>
              <w:t>，里程不少于10km，加0.</w:t>
            </w:r>
            <w:r>
              <w:rPr>
                <w:rFonts w:hint="eastAsia"/>
                <w:color w:val="auto"/>
                <w:highlight w:val="none"/>
                <w:lang w:val="en-US" w:eastAsia="zh-CN"/>
              </w:rPr>
              <w:t>4</w:t>
            </w:r>
            <w:r>
              <w:rPr>
                <w:rFonts w:hint="eastAsia"/>
                <w:color w:val="auto"/>
                <w:highlight w:val="none"/>
              </w:rPr>
              <w:t>分；</w:t>
            </w:r>
          </w:p>
          <w:p w14:paraId="3EE2D189">
            <w:pPr>
              <w:spacing w:line="360" w:lineRule="auto"/>
              <w:ind w:firstLine="440" w:firstLineChars="200"/>
              <w:rPr>
                <w:rFonts w:hint="eastAsia"/>
                <w:color w:val="auto"/>
                <w:highlight w:val="none"/>
              </w:rPr>
            </w:pPr>
            <w:r>
              <w:rPr>
                <w:rFonts w:hint="eastAsia"/>
                <w:color w:val="auto"/>
                <w:highlight w:val="none"/>
              </w:rPr>
              <w:t>②每增加1项合同额不少于1000万元的营运</w:t>
            </w:r>
            <w:r>
              <w:rPr>
                <w:rFonts w:hint="eastAsia"/>
                <w:color w:val="auto"/>
                <w:highlight w:val="none"/>
                <w:lang w:bidi="ar"/>
              </w:rPr>
              <w:t>高速公路养护工程（至少含路基</w:t>
            </w:r>
            <w:r>
              <w:rPr>
                <w:rFonts w:hint="eastAsia"/>
                <w:color w:val="auto"/>
                <w:highlight w:val="none"/>
                <w:lang w:eastAsia="zh-CN" w:bidi="ar"/>
              </w:rPr>
              <w:t>、</w:t>
            </w:r>
            <w:r>
              <w:rPr>
                <w:rFonts w:hint="eastAsia"/>
                <w:color w:val="auto"/>
                <w:highlight w:val="none"/>
                <w:lang w:val="en-US" w:eastAsia="zh-CN" w:bidi="ar"/>
              </w:rPr>
              <w:t>桥梁其中一个</w:t>
            </w:r>
            <w:r>
              <w:rPr>
                <w:rFonts w:hint="eastAsia"/>
                <w:color w:val="auto"/>
                <w:highlight w:val="none"/>
                <w:lang w:bidi="ar"/>
              </w:rPr>
              <w:t>类别的养护工程施工）</w:t>
            </w:r>
            <w:r>
              <w:rPr>
                <w:rFonts w:hint="eastAsia"/>
                <w:color w:val="auto"/>
                <w:highlight w:val="none"/>
              </w:rPr>
              <w:t>，加0.</w:t>
            </w:r>
            <w:r>
              <w:rPr>
                <w:rFonts w:hint="eastAsia"/>
                <w:color w:val="auto"/>
                <w:highlight w:val="none"/>
                <w:lang w:val="en-US" w:eastAsia="zh-CN"/>
              </w:rPr>
              <w:t>4</w:t>
            </w:r>
            <w:r>
              <w:rPr>
                <w:rFonts w:hint="eastAsia"/>
                <w:color w:val="auto"/>
                <w:highlight w:val="none"/>
              </w:rPr>
              <w:t>分；</w:t>
            </w:r>
          </w:p>
          <w:p w14:paraId="1E4BBF9E">
            <w:pPr>
              <w:spacing w:line="360" w:lineRule="auto"/>
              <w:rPr>
                <w:rFonts w:hint="eastAsia"/>
                <w:color w:val="auto"/>
                <w:highlight w:val="none"/>
              </w:rPr>
            </w:pPr>
            <w:r>
              <w:rPr>
                <w:rFonts w:hint="eastAsia"/>
                <w:color w:val="auto"/>
                <w:highlight w:val="none"/>
              </w:rPr>
              <w:t>注：资格审查业绩不参与加分项评审；本次加分最高不超过1.2分。</w:t>
            </w:r>
          </w:p>
        </w:tc>
      </w:tr>
      <w:tr w14:paraId="28BD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5" w:hRule="atLeast"/>
          <w:jc w:val="center"/>
        </w:trPr>
        <w:tc>
          <w:tcPr>
            <w:tcW w:w="828" w:type="dxa"/>
            <w:gridSpan w:val="2"/>
            <w:vAlign w:val="center"/>
          </w:tcPr>
          <w:p w14:paraId="3319F0FC">
            <w:pPr>
              <w:jc w:val="center"/>
              <w:rPr>
                <w:rFonts w:hint="eastAsia"/>
                <w:color w:val="auto"/>
                <w:highlight w:val="none"/>
              </w:rPr>
            </w:pPr>
            <w:r>
              <w:rPr>
                <w:rFonts w:hint="eastAsia"/>
                <w:color w:val="auto"/>
                <w:highlight w:val="none"/>
              </w:rPr>
              <w:t>2.2.4（5）</w:t>
            </w:r>
          </w:p>
        </w:tc>
        <w:tc>
          <w:tcPr>
            <w:tcW w:w="900" w:type="dxa"/>
            <w:gridSpan w:val="3"/>
            <w:vAlign w:val="center"/>
          </w:tcPr>
          <w:p w14:paraId="13C2BA9A">
            <w:pPr>
              <w:jc w:val="center"/>
              <w:rPr>
                <w:rFonts w:hint="eastAsia"/>
                <w:color w:val="auto"/>
                <w:highlight w:val="none"/>
              </w:rPr>
            </w:pPr>
            <w:r>
              <w:rPr>
                <w:rFonts w:hint="eastAsia"/>
                <w:color w:val="auto"/>
                <w:highlight w:val="none"/>
              </w:rPr>
              <w:t>履约</w:t>
            </w:r>
          </w:p>
          <w:p w14:paraId="7BF97B1A">
            <w:pPr>
              <w:jc w:val="center"/>
              <w:rPr>
                <w:rFonts w:hint="eastAsia"/>
                <w:color w:val="auto"/>
                <w:highlight w:val="none"/>
              </w:rPr>
            </w:pPr>
            <w:r>
              <w:rPr>
                <w:rFonts w:hint="eastAsia"/>
                <w:color w:val="auto"/>
                <w:highlight w:val="none"/>
              </w:rPr>
              <w:t>信誉</w:t>
            </w:r>
          </w:p>
        </w:tc>
        <w:tc>
          <w:tcPr>
            <w:tcW w:w="870" w:type="dxa"/>
            <w:vAlign w:val="center"/>
          </w:tcPr>
          <w:p w14:paraId="4DB256F9">
            <w:pPr>
              <w:jc w:val="center"/>
              <w:rPr>
                <w:rFonts w:hint="eastAsia"/>
                <w:color w:val="auto"/>
                <w:highlight w:val="none"/>
              </w:rPr>
            </w:pPr>
            <w:r>
              <w:rPr>
                <w:rFonts w:hint="eastAsia"/>
                <w:color w:val="auto"/>
                <w:highlight w:val="none"/>
              </w:rPr>
              <w:t>10分</w:t>
            </w:r>
          </w:p>
        </w:tc>
        <w:tc>
          <w:tcPr>
            <w:tcW w:w="7232" w:type="dxa"/>
            <w:gridSpan w:val="3"/>
            <w:vAlign w:val="center"/>
          </w:tcPr>
          <w:p w14:paraId="28461CEB">
            <w:pPr>
              <w:pStyle w:val="6"/>
              <w:tabs>
                <w:tab w:val="left" w:pos="312"/>
              </w:tabs>
              <w:spacing w:line="360" w:lineRule="auto"/>
              <w:rPr>
                <w:rFonts w:hint="eastAsia" w:hAnsi="宋体"/>
                <w:color w:val="auto"/>
                <w:szCs w:val="21"/>
                <w:highlight w:val="none"/>
              </w:rPr>
            </w:pPr>
            <w:r>
              <w:rPr>
                <w:rFonts w:hint="eastAsia" w:hAnsi="宋体"/>
                <w:color w:val="auto"/>
                <w:szCs w:val="21"/>
                <w:highlight w:val="none"/>
              </w:rPr>
              <w:t>1</w:t>
            </w:r>
            <w:r>
              <w:rPr>
                <w:rFonts w:hAnsi="宋体"/>
                <w:color w:val="auto"/>
                <w:szCs w:val="21"/>
                <w:highlight w:val="none"/>
              </w:rPr>
              <w:t>.</w:t>
            </w:r>
            <w:r>
              <w:rPr>
                <w:rFonts w:hint="eastAsia" w:hAnsi="宋体"/>
                <w:color w:val="auto"/>
                <w:szCs w:val="21"/>
                <w:highlight w:val="none"/>
              </w:rPr>
              <w:t>信用等级分值(5分)</w:t>
            </w:r>
          </w:p>
          <w:p w14:paraId="37CCF047">
            <w:pPr>
              <w:spacing w:line="360" w:lineRule="auto"/>
              <w:ind w:firstLine="440" w:firstLineChars="200"/>
              <w:rPr>
                <w:rFonts w:hint="eastAsia"/>
                <w:color w:val="auto"/>
                <w:highlight w:val="none"/>
              </w:rPr>
            </w:pPr>
            <w:r>
              <w:rPr>
                <w:rFonts w:hint="eastAsia"/>
                <w:color w:val="auto"/>
                <w:highlight w:val="none"/>
              </w:rPr>
              <w:t>AA、A、B、C 级单位的信用等级分得分分别为5.00、4.75、4.45、3.65 分。</w:t>
            </w:r>
          </w:p>
          <w:p w14:paraId="180363EA">
            <w:pPr>
              <w:pStyle w:val="6"/>
              <w:spacing w:line="360" w:lineRule="auto"/>
              <w:rPr>
                <w:rFonts w:hint="eastAsia" w:hAnsi="宋体"/>
                <w:color w:val="auto"/>
                <w:szCs w:val="21"/>
                <w:highlight w:val="none"/>
              </w:rPr>
            </w:pPr>
            <w:r>
              <w:rPr>
                <w:rFonts w:hint="eastAsia" w:hAnsi="宋体"/>
                <w:color w:val="auto"/>
                <w:szCs w:val="21"/>
                <w:highlight w:val="none"/>
              </w:rPr>
              <w:t>注:信用等级的确定原则遵循投标人须知前附表10.2款的规定。</w:t>
            </w:r>
          </w:p>
          <w:p w14:paraId="60BFE282">
            <w:pPr>
              <w:pStyle w:val="6"/>
              <w:spacing w:line="360" w:lineRule="auto"/>
              <w:rPr>
                <w:rFonts w:hint="eastAsia" w:hAnsi="宋体"/>
                <w:color w:val="auto"/>
                <w:szCs w:val="21"/>
                <w:highlight w:val="none"/>
              </w:rPr>
            </w:pPr>
            <w:r>
              <w:rPr>
                <w:rFonts w:hint="eastAsia" w:hAnsi="宋体"/>
                <w:color w:val="auto"/>
                <w:szCs w:val="21"/>
                <w:highlight w:val="none"/>
              </w:rPr>
              <w:t>2.履约情况（5分）</w:t>
            </w:r>
          </w:p>
          <w:p w14:paraId="53FC8EF5">
            <w:pPr>
              <w:pStyle w:val="6"/>
              <w:spacing w:line="360" w:lineRule="auto"/>
              <w:rPr>
                <w:rFonts w:hint="eastAsia" w:hAnsi="宋体"/>
                <w:color w:val="auto"/>
                <w:szCs w:val="21"/>
                <w:highlight w:val="none"/>
              </w:rPr>
            </w:pPr>
            <w:r>
              <w:rPr>
                <w:rFonts w:hint="eastAsia" w:hAnsi="宋体"/>
                <w:color w:val="auto"/>
                <w:szCs w:val="21"/>
                <w:highlight w:val="none"/>
              </w:rPr>
              <w:t>若没出现下述情形得满分；</w:t>
            </w:r>
          </w:p>
          <w:p w14:paraId="12DA13C0">
            <w:pPr>
              <w:spacing w:line="360" w:lineRule="auto"/>
              <w:ind w:firstLine="440" w:firstLineChars="200"/>
              <w:rPr>
                <w:rFonts w:hint="eastAsia"/>
                <w:color w:val="auto"/>
                <w:highlight w:val="none"/>
              </w:rPr>
            </w:pPr>
            <w:r>
              <w:rPr>
                <w:rFonts w:hint="eastAsia"/>
                <w:color w:val="auto"/>
                <w:highlight w:val="none"/>
              </w:rPr>
              <w:t>投标文件递交截止日前1年内，投标人因公路工程</w:t>
            </w:r>
            <w:r>
              <w:rPr>
                <w:rFonts w:hint="eastAsia"/>
                <w:color w:val="auto"/>
                <w:highlight w:val="none"/>
                <w:lang w:eastAsia="zh-CN"/>
              </w:rPr>
              <w:t>（含附属设施）</w:t>
            </w:r>
            <w:r>
              <w:rPr>
                <w:rFonts w:hint="eastAsia"/>
                <w:color w:val="auto"/>
                <w:highlight w:val="none"/>
              </w:rPr>
              <w:t>质量、安全、履约或招标投标问题等原因被：</w:t>
            </w:r>
          </w:p>
          <w:p w14:paraId="68A61DE8">
            <w:pPr>
              <w:spacing w:line="360" w:lineRule="auto"/>
              <w:ind w:firstLine="440" w:firstLineChars="200"/>
              <w:rPr>
                <w:rFonts w:hint="eastAsia"/>
                <w:color w:val="auto"/>
                <w:highlight w:val="none"/>
              </w:rPr>
            </w:pPr>
            <w:r>
              <w:rPr>
                <w:rFonts w:hint="eastAsia"/>
                <w:color w:val="auto"/>
                <w:highlight w:val="none"/>
              </w:rPr>
              <w:t>（1）交通运输部行政处罚的，扣5 分/次；</w:t>
            </w:r>
          </w:p>
          <w:p w14:paraId="2EFBF9EA">
            <w:pPr>
              <w:spacing w:line="360" w:lineRule="auto"/>
              <w:ind w:firstLine="440" w:firstLineChars="200"/>
              <w:rPr>
                <w:rFonts w:hint="eastAsia"/>
                <w:color w:val="auto"/>
                <w:highlight w:val="none"/>
              </w:rPr>
            </w:pPr>
            <w:r>
              <w:rPr>
                <w:rFonts w:hint="eastAsia"/>
                <w:color w:val="auto"/>
                <w:highlight w:val="none"/>
              </w:rPr>
              <w:t>（2）广东省交通运输厅行政处罚的，扣3 分/次；</w:t>
            </w:r>
          </w:p>
          <w:p w14:paraId="17B8D250">
            <w:pPr>
              <w:spacing w:line="360" w:lineRule="auto"/>
              <w:ind w:firstLine="440" w:firstLineChars="200"/>
              <w:rPr>
                <w:rFonts w:hint="eastAsia"/>
                <w:color w:val="auto"/>
                <w:highlight w:val="none"/>
              </w:rPr>
            </w:pPr>
            <w:bookmarkStart w:id="10" w:name="OLE_LINK71"/>
            <w:r>
              <w:rPr>
                <w:rFonts w:hint="eastAsia"/>
                <w:color w:val="auto"/>
                <w:highlight w:val="none"/>
              </w:rPr>
              <w:t>（3）</w:t>
            </w:r>
            <w:bookmarkEnd w:id="10"/>
            <w:r>
              <w:rPr>
                <w:rFonts w:hint="eastAsia"/>
                <w:color w:val="auto"/>
                <w:highlight w:val="none"/>
              </w:rPr>
              <w:t>广东省交通运输厅正式约谈的，扣</w:t>
            </w:r>
            <w:bookmarkStart w:id="11" w:name="OLE_LINK72"/>
            <w:r>
              <w:rPr>
                <w:rFonts w:hint="eastAsia"/>
                <w:color w:val="auto"/>
                <w:highlight w:val="none"/>
              </w:rPr>
              <w:t>0.1分/</w:t>
            </w:r>
            <w:bookmarkEnd w:id="11"/>
            <w:r>
              <w:rPr>
                <w:rFonts w:hint="eastAsia"/>
                <w:color w:val="auto"/>
                <w:highlight w:val="none"/>
                <w:lang w:val="en-US" w:eastAsia="zh-CN"/>
              </w:rPr>
              <w:t>次</w:t>
            </w:r>
            <w:r>
              <w:rPr>
                <w:rFonts w:hint="eastAsia"/>
                <w:color w:val="auto"/>
                <w:highlight w:val="none"/>
              </w:rPr>
              <w:t>；</w:t>
            </w:r>
          </w:p>
          <w:p w14:paraId="61B54C33">
            <w:pPr>
              <w:spacing w:line="360" w:lineRule="auto"/>
              <w:rPr>
                <w:rFonts w:hint="eastAsia"/>
                <w:color w:val="auto"/>
                <w:highlight w:val="none"/>
              </w:rPr>
            </w:pPr>
            <w:r>
              <w:rPr>
                <w:rFonts w:hint="eastAsia"/>
                <w:color w:val="auto"/>
                <w:highlight w:val="none"/>
              </w:rPr>
              <w:t>注:同一事项同时被多个部门行政处罚或正式约谈只按最高的扣分计算1次。如果扣完本项分值，可以从总分中扣。</w:t>
            </w:r>
          </w:p>
        </w:tc>
      </w:tr>
      <w:tr w14:paraId="248A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830" w:type="dxa"/>
            <w:gridSpan w:val="9"/>
            <w:vAlign w:val="center"/>
          </w:tcPr>
          <w:p w14:paraId="7216BF93">
            <w:pPr>
              <w:rPr>
                <w:rFonts w:hint="eastAsia"/>
                <w:color w:val="auto"/>
                <w:highlight w:val="none"/>
              </w:rPr>
            </w:pPr>
            <w:r>
              <w:rPr>
                <w:rFonts w:hint="eastAsia"/>
                <w:color w:val="auto"/>
                <w:highlight w:val="none"/>
              </w:rPr>
              <w:t>需要补充的其他内容：</w:t>
            </w:r>
          </w:p>
        </w:tc>
      </w:tr>
      <w:tr w14:paraId="453E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53" w:type="dxa"/>
            <w:gridSpan w:val="3"/>
            <w:vAlign w:val="center"/>
          </w:tcPr>
          <w:p w14:paraId="6D7BF269">
            <w:pPr>
              <w:rPr>
                <w:rFonts w:hint="eastAsia"/>
                <w:color w:val="auto"/>
                <w:highlight w:val="none"/>
              </w:rPr>
            </w:pPr>
            <w:r>
              <w:rPr>
                <w:rFonts w:hint="eastAsia"/>
                <w:color w:val="auto"/>
                <w:highlight w:val="none"/>
              </w:rPr>
              <w:t>条款号</w:t>
            </w:r>
          </w:p>
        </w:tc>
        <w:tc>
          <w:tcPr>
            <w:tcW w:w="8677" w:type="dxa"/>
            <w:gridSpan w:val="6"/>
            <w:vAlign w:val="center"/>
          </w:tcPr>
          <w:p w14:paraId="7351277C">
            <w:pPr>
              <w:jc w:val="center"/>
              <w:rPr>
                <w:rFonts w:hint="eastAsia"/>
                <w:color w:val="auto"/>
                <w:highlight w:val="none"/>
              </w:rPr>
            </w:pPr>
            <w:r>
              <w:rPr>
                <w:rFonts w:hint="eastAsia"/>
                <w:color w:val="auto"/>
                <w:highlight w:val="none"/>
              </w:rPr>
              <w:t>补充或修改的内容</w:t>
            </w:r>
          </w:p>
        </w:tc>
      </w:tr>
      <w:tr w14:paraId="375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53" w:type="dxa"/>
            <w:gridSpan w:val="3"/>
            <w:vAlign w:val="center"/>
          </w:tcPr>
          <w:p w14:paraId="409FBEF3">
            <w:pPr>
              <w:ind w:firstLine="440" w:firstLineChars="200"/>
              <w:rPr>
                <w:rFonts w:hint="eastAsia"/>
                <w:color w:val="auto"/>
                <w:highlight w:val="none"/>
              </w:rPr>
            </w:pPr>
            <w:r>
              <w:rPr>
                <w:rFonts w:hint="eastAsia"/>
                <w:color w:val="auto"/>
                <w:highlight w:val="none"/>
              </w:rPr>
              <w:t>1</w:t>
            </w:r>
          </w:p>
        </w:tc>
        <w:tc>
          <w:tcPr>
            <w:tcW w:w="8677" w:type="dxa"/>
            <w:gridSpan w:val="6"/>
            <w:vAlign w:val="center"/>
          </w:tcPr>
          <w:p w14:paraId="34981E75">
            <w:pPr>
              <w:spacing w:line="360" w:lineRule="auto"/>
              <w:ind w:firstLine="442" w:firstLineChars="200"/>
              <w:rPr>
                <w:rFonts w:hint="eastAsia"/>
                <w:b/>
                <w:color w:val="auto"/>
                <w:highlight w:val="none"/>
              </w:rPr>
            </w:pPr>
            <w:r>
              <w:rPr>
                <w:rFonts w:hint="eastAsia"/>
                <w:b/>
                <w:color w:val="auto"/>
                <w:highlight w:val="none"/>
              </w:rPr>
              <w:t>将评标办法范本原文第1条“评标方法”改为“评标方法、组织及工作程序”，并且原文内容修改如下：</w:t>
            </w:r>
          </w:p>
          <w:p w14:paraId="7BE79F4F">
            <w:pPr>
              <w:spacing w:line="360" w:lineRule="auto"/>
              <w:rPr>
                <w:rFonts w:hint="eastAsia"/>
                <w:b/>
                <w:color w:val="auto"/>
                <w:highlight w:val="none"/>
              </w:rPr>
            </w:pPr>
            <w:r>
              <w:rPr>
                <w:rFonts w:hint="eastAsia"/>
                <w:b/>
                <w:color w:val="auto"/>
                <w:highlight w:val="none"/>
              </w:rPr>
              <w:t>1.评标方法、组织及工作程序</w:t>
            </w:r>
          </w:p>
          <w:p w14:paraId="28E682FB">
            <w:pPr>
              <w:spacing w:line="360" w:lineRule="auto"/>
              <w:rPr>
                <w:rFonts w:hint="eastAsia"/>
                <w:b/>
                <w:color w:val="auto"/>
                <w:highlight w:val="none"/>
              </w:rPr>
            </w:pPr>
            <w:r>
              <w:rPr>
                <w:rFonts w:hint="eastAsia"/>
                <w:b/>
                <w:color w:val="auto"/>
                <w:highlight w:val="none"/>
              </w:rPr>
              <w:t>1.1评标方法</w:t>
            </w:r>
          </w:p>
          <w:p w14:paraId="3B02741A">
            <w:pPr>
              <w:spacing w:line="360" w:lineRule="auto"/>
              <w:ind w:firstLine="440" w:firstLineChars="200"/>
              <w:rPr>
                <w:rFonts w:hint="eastAsia"/>
                <w:color w:val="auto"/>
                <w:highlight w:val="none"/>
              </w:rPr>
            </w:pPr>
            <w:r>
              <w:rPr>
                <w:rFonts w:hint="eastAsia"/>
                <w:color w:val="auto"/>
                <w:highlight w:val="none"/>
              </w:rPr>
              <w:t>本次评标采用双信封综合评分法。评标委员会对满足招标文件实质性要求的投标文件，按照本章第2.2款规定的评分标准进行打分，并按得分由高到低顺序推荐中标候选人。综合评分相等时，评标委员会应按照评标办法前附表规定的优先次序推荐中标候选人。</w:t>
            </w:r>
          </w:p>
          <w:p w14:paraId="1C8832FD">
            <w:pPr>
              <w:spacing w:line="360" w:lineRule="auto"/>
              <w:rPr>
                <w:rFonts w:hint="eastAsia"/>
                <w:b/>
                <w:color w:val="auto"/>
                <w:highlight w:val="none"/>
              </w:rPr>
            </w:pPr>
            <w:r>
              <w:rPr>
                <w:rFonts w:hint="eastAsia"/>
                <w:b/>
                <w:color w:val="auto"/>
                <w:highlight w:val="none"/>
              </w:rPr>
              <w:t>1.2评标组织</w:t>
            </w:r>
          </w:p>
          <w:p w14:paraId="10AF0BE3">
            <w:pPr>
              <w:spacing w:line="360" w:lineRule="auto"/>
              <w:rPr>
                <w:rFonts w:hint="eastAsia"/>
                <w:b/>
                <w:color w:val="auto"/>
                <w:highlight w:val="none"/>
              </w:rPr>
            </w:pPr>
            <w:r>
              <w:rPr>
                <w:rFonts w:hint="eastAsia"/>
                <w:b/>
                <w:color w:val="auto"/>
                <w:highlight w:val="none"/>
              </w:rPr>
              <w:t>1.2.1协助工作组</w:t>
            </w:r>
          </w:p>
          <w:p w14:paraId="0A4B771F">
            <w:pPr>
              <w:spacing w:line="360" w:lineRule="auto"/>
              <w:ind w:firstLine="440" w:firstLineChars="200"/>
              <w:rPr>
                <w:rFonts w:hint="eastAsia"/>
                <w:color w:val="auto"/>
                <w:highlight w:val="none"/>
              </w:rPr>
            </w:pPr>
            <w:r>
              <w:rPr>
                <w:rFonts w:hint="eastAsia"/>
                <w:color w:val="auto"/>
                <w:highlight w:val="none"/>
              </w:rPr>
              <w:t>招标人可在评标工作开始前成立协助工作组，选派熟悉招标工作、政治素质高的人员组成，协助评标委员会工作。协助工作组人员的具体数量由招标人视评标工作量确定。</w:t>
            </w:r>
          </w:p>
          <w:p w14:paraId="6297C8A6">
            <w:pPr>
              <w:spacing w:line="360" w:lineRule="auto"/>
              <w:ind w:firstLine="440" w:firstLineChars="200"/>
              <w:rPr>
                <w:rFonts w:hint="eastAsia"/>
                <w:color w:val="auto"/>
                <w:highlight w:val="none"/>
              </w:rPr>
            </w:pPr>
            <w:r>
              <w:rPr>
                <w:rFonts w:hint="eastAsia"/>
                <w:color w:val="auto"/>
                <w:highlight w:val="none"/>
              </w:rPr>
              <w:t>招标人可以协助评标委员会开展下列工作并提供相关信息：</w:t>
            </w:r>
          </w:p>
          <w:p w14:paraId="7E74B323">
            <w:pPr>
              <w:spacing w:line="360" w:lineRule="auto"/>
              <w:ind w:firstLine="44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）根据招标文件，编制评标使用的相应表格；</w:t>
            </w:r>
          </w:p>
          <w:p w14:paraId="078FC559">
            <w:pPr>
              <w:spacing w:line="360" w:lineRule="auto"/>
              <w:ind w:firstLine="440" w:firstLineChars="200"/>
              <w:rPr>
                <w:rFonts w:hint="eastAsia"/>
                <w:color w:val="auto"/>
                <w:highlight w:val="none"/>
              </w:rPr>
            </w:pPr>
            <w:r>
              <w:rPr>
                <w:rFonts w:hint="eastAsia"/>
                <w:color w:val="auto"/>
                <w:highlight w:val="none"/>
              </w:rPr>
              <w:t>（2）以评标标准和方法为依据，列出投标文件相对于招标文件的所有偏差，并进行归类汇总；</w:t>
            </w:r>
          </w:p>
          <w:p w14:paraId="7C8FC567">
            <w:pPr>
              <w:spacing w:line="360" w:lineRule="auto"/>
              <w:ind w:firstLine="440" w:firstLineChars="200"/>
              <w:rPr>
                <w:rFonts w:hint="eastAsia"/>
                <w:color w:val="auto"/>
                <w:highlight w:val="none"/>
              </w:rPr>
            </w:pPr>
            <w:r>
              <w:rPr>
                <w:rFonts w:hint="eastAsia"/>
                <w:color w:val="auto"/>
                <w:highlight w:val="none"/>
              </w:rPr>
              <w:t>（3）查询公路建设市场信用信息管理系统， 对投标人的资质、业绩、主要人员资历和目前在岗情况、信用等级进行核实。</w:t>
            </w:r>
          </w:p>
          <w:p w14:paraId="5355A280">
            <w:pPr>
              <w:spacing w:line="360" w:lineRule="auto"/>
              <w:ind w:firstLine="440" w:firstLineChars="200"/>
              <w:rPr>
                <w:rFonts w:hint="eastAsia"/>
                <w:color w:val="auto"/>
                <w:highlight w:val="none"/>
              </w:rPr>
            </w:pPr>
            <w:r>
              <w:rPr>
                <w:rFonts w:hint="eastAsia"/>
                <w:color w:val="auto"/>
                <w:highlight w:val="none"/>
              </w:rPr>
              <w:t>招标人不得对投标文件作出任何评价，不得故意遗漏或者片面摘录，不得在评标委员会对所有偏差定性之前透露存有偏差的投标人名称。</w:t>
            </w:r>
          </w:p>
          <w:p w14:paraId="434F7D84">
            <w:pPr>
              <w:spacing w:line="360" w:lineRule="auto"/>
              <w:rPr>
                <w:rFonts w:hint="eastAsia"/>
                <w:b/>
                <w:color w:val="auto"/>
                <w:highlight w:val="none"/>
              </w:rPr>
            </w:pPr>
            <w:r>
              <w:rPr>
                <w:rFonts w:hint="eastAsia"/>
                <w:b/>
                <w:color w:val="auto"/>
                <w:highlight w:val="none"/>
              </w:rPr>
              <w:t>1.2.2评标委员会组建</w:t>
            </w:r>
          </w:p>
          <w:p w14:paraId="0DB50EA5">
            <w:pPr>
              <w:spacing w:line="360" w:lineRule="auto"/>
              <w:ind w:firstLine="440" w:firstLineChars="200"/>
              <w:rPr>
                <w:rFonts w:hint="eastAsia"/>
                <w:color w:val="auto"/>
                <w:highlight w:val="none"/>
              </w:rPr>
            </w:pPr>
            <w:r>
              <w:rPr>
                <w:rFonts w:hint="eastAsia"/>
                <w:color w:val="auto"/>
                <w:highlight w:val="none"/>
              </w:rPr>
              <w:t>评标委员会由招标人按国家、 广东省等的有关规定依法组建。</w:t>
            </w:r>
            <w:r>
              <w:rPr>
                <w:color w:val="auto"/>
                <w:highlight w:val="none"/>
              </w:rPr>
              <w:t>评标委员会的主要工作内容包括：</w:t>
            </w:r>
          </w:p>
          <w:p w14:paraId="6C21546E">
            <w:pPr>
              <w:spacing w:line="360" w:lineRule="auto"/>
              <w:ind w:firstLine="338" w:firstLineChars="154"/>
              <w:rPr>
                <w:rFonts w:hint="eastAsia"/>
                <w:color w:val="auto"/>
                <w:highlight w:val="none"/>
              </w:rPr>
            </w:pPr>
            <w:r>
              <w:rPr>
                <w:rFonts w:hint="eastAsia"/>
                <w:color w:val="auto"/>
                <w:highlight w:val="none"/>
              </w:rPr>
              <w:t>（1）评标委员会开始评标工作之前，首先听取招标人、协助工作组关于工程情况和辅助工作的说明，并认真研读招标文件，获取评标所需的重要信息和数据；</w:t>
            </w:r>
          </w:p>
          <w:p w14:paraId="379B479E">
            <w:pPr>
              <w:spacing w:line="360" w:lineRule="auto"/>
              <w:ind w:firstLine="338" w:firstLineChars="154"/>
              <w:rPr>
                <w:rFonts w:hint="eastAsia"/>
                <w:color w:val="auto"/>
                <w:highlight w:val="none"/>
              </w:rPr>
            </w:pPr>
            <w:r>
              <w:rPr>
                <w:rFonts w:hint="eastAsia"/>
                <w:color w:val="auto"/>
                <w:highlight w:val="none"/>
              </w:rPr>
              <w:t>（2）对协助工作组提供的评标工作用表和评标内容进行核查；</w:t>
            </w:r>
          </w:p>
          <w:p w14:paraId="151DC047">
            <w:pPr>
              <w:spacing w:line="360" w:lineRule="auto"/>
              <w:ind w:firstLine="330" w:firstLineChars="150"/>
              <w:rPr>
                <w:rFonts w:hint="eastAsia"/>
                <w:color w:val="auto"/>
                <w:highlight w:val="none"/>
              </w:rPr>
            </w:pPr>
            <w:r>
              <w:rPr>
                <w:rFonts w:hint="eastAsia"/>
                <w:color w:val="auto"/>
                <w:highlight w:val="none"/>
              </w:rPr>
              <w:t>（3）按照以下</w:t>
            </w:r>
            <w:r>
              <w:rPr>
                <w:color w:val="auto"/>
                <w:highlight w:val="none"/>
              </w:rPr>
              <w:t xml:space="preserve">1.3 </w:t>
            </w:r>
            <w:r>
              <w:rPr>
                <w:rFonts w:hint="eastAsia"/>
                <w:color w:val="auto"/>
                <w:highlight w:val="none"/>
              </w:rPr>
              <w:t>款程序进行各项评审工作。</w:t>
            </w:r>
          </w:p>
          <w:p w14:paraId="24D8F176">
            <w:pPr>
              <w:spacing w:line="360" w:lineRule="auto"/>
              <w:rPr>
                <w:rFonts w:hint="eastAsia"/>
                <w:b/>
                <w:color w:val="auto"/>
                <w:highlight w:val="none"/>
              </w:rPr>
            </w:pPr>
            <w:r>
              <w:rPr>
                <w:rFonts w:hint="eastAsia"/>
                <w:b/>
                <w:color w:val="auto"/>
                <w:highlight w:val="none"/>
              </w:rPr>
              <w:t>1.3评审工作程序</w:t>
            </w:r>
          </w:p>
          <w:p w14:paraId="327852F6">
            <w:pPr>
              <w:spacing w:line="360" w:lineRule="auto"/>
              <w:rPr>
                <w:rFonts w:hint="eastAsia"/>
                <w:color w:val="auto"/>
                <w:highlight w:val="none"/>
              </w:rPr>
            </w:pPr>
            <w:r>
              <w:rPr>
                <w:rFonts w:hint="eastAsia"/>
                <w:color w:val="auto"/>
                <w:highlight w:val="none"/>
              </w:rPr>
              <w:t>（一）第一信封（商务文件和技术文件）：</w:t>
            </w:r>
          </w:p>
          <w:p w14:paraId="4747E914">
            <w:pPr>
              <w:spacing w:line="360" w:lineRule="auto"/>
              <w:ind w:firstLine="338" w:firstLineChars="154"/>
              <w:rPr>
                <w:rFonts w:hint="eastAsia"/>
                <w:color w:val="auto"/>
                <w:highlight w:val="none"/>
              </w:rPr>
            </w:pPr>
            <w:r>
              <w:rPr>
                <w:rFonts w:hint="eastAsia"/>
                <w:color w:val="auto"/>
                <w:highlight w:val="none"/>
              </w:rPr>
              <w:t>（1）初步评审，包括形式评审与响应性评审、资格评审（适用于资格后审）；</w:t>
            </w:r>
          </w:p>
          <w:p w14:paraId="152EAFF0">
            <w:pPr>
              <w:spacing w:line="360" w:lineRule="auto"/>
              <w:ind w:firstLine="338" w:firstLineChars="154"/>
              <w:rPr>
                <w:rFonts w:hint="eastAsia"/>
                <w:color w:val="auto"/>
                <w:highlight w:val="none"/>
              </w:rPr>
            </w:pPr>
            <w:r>
              <w:rPr>
                <w:rFonts w:hint="eastAsia"/>
                <w:color w:val="auto"/>
                <w:highlight w:val="none"/>
              </w:rPr>
              <w:t>（2）详细评审（评审打分）：评标委员会首先对通过初步评审的投标文件第一个信封（商务及技术文件）进行详细评审，对投标人的施工组织设计、主要人员、其他因素等分别评审打分。</w:t>
            </w:r>
          </w:p>
          <w:p w14:paraId="1C39748D">
            <w:pPr>
              <w:spacing w:line="360" w:lineRule="auto"/>
              <w:rPr>
                <w:rFonts w:hint="eastAsia"/>
                <w:color w:val="auto"/>
                <w:highlight w:val="none"/>
              </w:rPr>
            </w:pPr>
            <w:r>
              <w:rPr>
                <w:rFonts w:hint="eastAsia"/>
                <w:color w:val="auto"/>
                <w:highlight w:val="none"/>
              </w:rPr>
              <w:t>（二）第二信封（报价文件）：</w:t>
            </w:r>
          </w:p>
          <w:p w14:paraId="5E5DB96A">
            <w:pPr>
              <w:spacing w:line="360" w:lineRule="auto"/>
              <w:ind w:firstLine="220" w:firstLineChars="100"/>
              <w:rPr>
                <w:rFonts w:hint="eastAsia"/>
                <w:color w:val="auto"/>
                <w:highlight w:val="none"/>
              </w:rPr>
            </w:pPr>
            <w:r>
              <w:rPr>
                <w:rFonts w:hint="eastAsia"/>
                <w:color w:val="auto"/>
                <w:highlight w:val="none"/>
              </w:rPr>
              <w:t>1、初步评审：</w:t>
            </w:r>
          </w:p>
          <w:p w14:paraId="7948D7C4">
            <w:pPr>
              <w:spacing w:line="360" w:lineRule="auto"/>
              <w:ind w:firstLine="220" w:firstLineChars="100"/>
              <w:rPr>
                <w:rFonts w:hint="eastAsia"/>
                <w:color w:val="auto"/>
                <w:highlight w:val="none"/>
              </w:rPr>
            </w:pPr>
            <w:r>
              <w:rPr>
                <w:rFonts w:hint="eastAsia"/>
                <w:color w:val="auto"/>
                <w:highlight w:val="none"/>
              </w:rPr>
              <w:t>（1）只有投标文件第一个信封通过详细评审的投标人才能继续参加第二信封报价文件的形式评审与响应性评审。</w:t>
            </w:r>
          </w:p>
          <w:p w14:paraId="1EF5EDD5">
            <w:pPr>
              <w:spacing w:line="360" w:lineRule="auto"/>
              <w:ind w:firstLine="220" w:firstLineChars="100"/>
              <w:rPr>
                <w:rFonts w:hint="eastAsia"/>
                <w:color w:val="auto"/>
                <w:highlight w:val="none"/>
              </w:rPr>
            </w:pPr>
            <w:r>
              <w:rPr>
                <w:rFonts w:hint="eastAsia"/>
                <w:color w:val="auto"/>
                <w:highlight w:val="none"/>
              </w:rPr>
              <w:t>2、详细评审：计算</w:t>
            </w:r>
            <w:r>
              <w:rPr>
                <w:rFonts w:hint="eastAsia"/>
                <w:bCs/>
                <w:color w:val="auto"/>
                <w:highlight w:val="none"/>
              </w:rPr>
              <w:t>评标基准合同单价折扣系数、评标合同单价折扣系数</w:t>
            </w:r>
            <w:r>
              <w:rPr>
                <w:rFonts w:hint="eastAsia"/>
                <w:color w:val="auto"/>
                <w:highlight w:val="none"/>
              </w:rPr>
              <w:t>得分及综合得分；</w:t>
            </w:r>
          </w:p>
          <w:p w14:paraId="57DF90D8">
            <w:pPr>
              <w:spacing w:line="360" w:lineRule="auto"/>
              <w:ind w:firstLine="231" w:firstLineChars="105"/>
              <w:rPr>
                <w:rFonts w:hint="eastAsia"/>
                <w:color w:val="auto"/>
                <w:highlight w:val="none"/>
              </w:rPr>
            </w:pPr>
            <w:r>
              <w:rPr>
                <w:rFonts w:hint="eastAsia"/>
                <w:color w:val="auto"/>
                <w:highlight w:val="none"/>
              </w:rPr>
              <w:t>（三）投标文件相关信息的核查。</w:t>
            </w:r>
          </w:p>
          <w:p w14:paraId="0FD50C77">
            <w:pPr>
              <w:spacing w:line="360" w:lineRule="auto"/>
              <w:ind w:firstLine="231" w:firstLineChars="105"/>
              <w:rPr>
                <w:rFonts w:hint="eastAsia"/>
                <w:color w:val="auto"/>
                <w:highlight w:val="none"/>
              </w:rPr>
            </w:pPr>
            <w:r>
              <w:rPr>
                <w:rFonts w:hint="eastAsia"/>
                <w:color w:val="auto"/>
                <w:highlight w:val="none"/>
              </w:rPr>
              <w:t>（四）投标文件的澄清和</w:t>
            </w:r>
            <w:bookmarkStart w:id="12" w:name="OLE_LINK22"/>
            <w:r>
              <w:rPr>
                <w:rFonts w:hint="eastAsia"/>
                <w:color w:val="auto"/>
                <w:highlight w:val="none"/>
              </w:rPr>
              <w:t>说</w:t>
            </w:r>
            <w:bookmarkEnd w:id="12"/>
            <w:r>
              <w:rPr>
                <w:rFonts w:hint="eastAsia"/>
                <w:color w:val="auto"/>
                <w:highlight w:val="none"/>
              </w:rPr>
              <w:t>明</w:t>
            </w:r>
            <w:r>
              <w:rPr>
                <w:color w:val="auto"/>
                <w:highlight w:val="none"/>
              </w:rPr>
              <w:t>(</w:t>
            </w:r>
            <w:r>
              <w:rPr>
                <w:rFonts w:hint="eastAsia"/>
                <w:color w:val="auto"/>
                <w:highlight w:val="none"/>
              </w:rPr>
              <w:t>如有</w:t>
            </w:r>
            <w:r>
              <w:rPr>
                <w:color w:val="auto"/>
                <w:highlight w:val="none"/>
              </w:rPr>
              <w:t>)</w:t>
            </w:r>
          </w:p>
          <w:p w14:paraId="6E6A2FF5">
            <w:pPr>
              <w:pStyle w:val="2"/>
              <w:ind w:firstLine="220" w:firstLineChars="100"/>
              <w:rPr>
                <w:rFonts w:hint="eastAsia" w:ascii="宋体" w:hAnsi="宋体"/>
                <w:color w:val="auto"/>
                <w:highlight w:val="none"/>
              </w:rPr>
            </w:pPr>
            <w:r>
              <w:rPr>
                <w:rFonts w:hint="eastAsia" w:ascii="宋体" w:hAnsi="宋体"/>
                <w:color w:val="auto"/>
                <w:kern w:val="2"/>
                <w:highlight w:val="none"/>
              </w:rPr>
              <w:t>（五）按评标办法规定推荐中标候选人，编写评标报告。</w:t>
            </w:r>
          </w:p>
        </w:tc>
      </w:tr>
      <w:tr w14:paraId="5E02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53" w:type="dxa"/>
            <w:gridSpan w:val="3"/>
            <w:vAlign w:val="center"/>
          </w:tcPr>
          <w:p w14:paraId="145B2F45">
            <w:pPr>
              <w:ind w:firstLine="440" w:firstLineChars="200"/>
              <w:rPr>
                <w:rFonts w:hint="eastAsia"/>
                <w:color w:val="auto"/>
                <w:highlight w:val="none"/>
              </w:rPr>
            </w:pPr>
            <w:r>
              <w:rPr>
                <w:rFonts w:hint="eastAsia" w:cs="仿宋"/>
                <w:color w:val="auto"/>
                <w:highlight w:val="none"/>
              </w:rPr>
              <w:t>2.2</w:t>
            </w:r>
          </w:p>
        </w:tc>
        <w:tc>
          <w:tcPr>
            <w:tcW w:w="8677" w:type="dxa"/>
            <w:gridSpan w:val="6"/>
            <w:vAlign w:val="center"/>
          </w:tcPr>
          <w:p w14:paraId="1213375D">
            <w:pPr>
              <w:spacing w:line="360" w:lineRule="exact"/>
              <w:rPr>
                <w:rFonts w:hint="eastAsia" w:cs="仿宋"/>
                <w:color w:val="auto"/>
                <w:highlight w:val="none"/>
              </w:rPr>
            </w:pPr>
            <w:r>
              <w:rPr>
                <w:rFonts w:hint="eastAsia" w:cs="仿宋"/>
                <w:color w:val="auto"/>
                <w:highlight w:val="none"/>
              </w:rPr>
              <w:t>2.2.1（3）评标价修改为：评标合同单价折扣系数</w:t>
            </w:r>
          </w:p>
          <w:p w14:paraId="0DA9C082">
            <w:pPr>
              <w:spacing w:line="360" w:lineRule="exact"/>
              <w:rPr>
                <w:rFonts w:hint="eastAsia" w:cs="仿宋"/>
                <w:color w:val="auto"/>
                <w:highlight w:val="none"/>
              </w:rPr>
            </w:pPr>
            <w:r>
              <w:rPr>
                <w:rFonts w:hint="eastAsia" w:cs="仿宋"/>
                <w:color w:val="auto"/>
                <w:highlight w:val="none"/>
              </w:rPr>
              <w:t>2.2.2评标基准价修改为：评标基准合同单价折扣系数</w:t>
            </w:r>
          </w:p>
          <w:p w14:paraId="084FEFAA">
            <w:pPr>
              <w:spacing w:line="360" w:lineRule="exact"/>
              <w:rPr>
                <w:rFonts w:hint="eastAsia" w:cs="仿宋"/>
                <w:color w:val="auto"/>
                <w:highlight w:val="none"/>
              </w:rPr>
            </w:pPr>
            <w:r>
              <w:rPr>
                <w:rFonts w:hint="eastAsia" w:cs="仿宋"/>
                <w:color w:val="auto"/>
                <w:highlight w:val="none"/>
              </w:rPr>
              <w:t>2.2.3评标价修改为：评标合同单价折扣系数</w:t>
            </w:r>
          </w:p>
          <w:p w14:paraId="732D7469">
            <w:pPr>
              <w:spacing w:line="360" w:lineRule="exact"/>
              <w:rPr>
                <w:rFonts w:hint="eastAsia"/>
                <w:color w:val="auto"/>
                <w:highlight w:val="none"/>
              </w:rPr>
            </w:pPr>
            <w:r>
              <w:rPr>
                <w:rFonts w:hint="eastAsia" w:cs="仿宋"/>
                <w:color w:val="auto"/>
                <w:highlight w:val="none"/>
              </w:rPr>
              <w:t>2.2.4评标价修改为：评标合同单价折扣系数</w:t>
            </w:r>
          </w:p>
        </w:tc>
      </w:tr>
      <w:tr w14:paraId="5DE7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53" w:type="dxa"/>
            <w:gridSpan w:val="3"/>
            <w:shd w:val="clear"/>
            <w:vAlign w:val="center"/>
          </w:tcPr>
          <w:p w14:paraId="0D7DCE04">
            <w:pPr>
              <w:ind w:firstLine="0" w:firstLineChars="0"/>
              <w:jc w:val="center"/>
              <w:rPr>
                <w:rFonts w:hint="eastAsia" w:ascii="宋体" w:hAnsi="宋体" w:eastAsia="宋体" w:cs="仿宋"/>
                <w:color w:val="auto"/>
                <w:sz w:val="22"/>
                <w:szCs w:val="22"/>
                <w:highlight w:val="none"/>
                <w:lang w:val="en-US" w:eastAsia="zh-CN" w:bidi="ar-SA"/>
              </w:rPr>
            </w:pPr>
            <w:r>
              <w:rPr>
                <w:rFonts w:hint="eastAsia" w:cs="仿宋"/>
                <w:color w:val="auto"/>
                <w:highlight w:val="none"/>
                <w:lang w:val="en-US" w:eastAsia="zh-CN"/>
              </w:rPr>
              <w:t>3.2.2</w:t>
            </w:r>
          </w:p>
        </w:tc>
        <w:tc>
          <w:tcPr>
            <w:tcW w:w="8677" w:type="dxa"/>
            <w:gridSpan w:val="6"/>
            <w:shd w:val="clear"/>
            <w:vAlign w:val="center"/>
          </w:tcPr>
          <w:p w14:paraId="2577045F">
            <w:pPr>
              <w:spacing w:line="360" w:lineRule="exact"/>
              <w:ind w:left="0" w:leftChars="0" w:right="0" w:rightChars="0"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将评标办法原文第3.2.2项修改如下：</w:t>
            </w:r>
          </w:p>
          <w:p w14:paraId="0A3F63E1">
            <w:pPr>
              <w:spacing w:line="360" w:lineRule="exact"/>
              <w:ind w:firstLine="220" w:firstLineChars="100"/>
              <w:rPr>
                <w:rFonts w:hint="eastAsia" w:ascii="宋体" w:hAnsi="宋体" w:eastAsia="宋体" w:cs="仿宋"/>
                <w:color w:val="auto"/>
                <w:sz w:val="22"/>
                <w:szCs w:val="22"/>
                <w:highlight w:val="none"/>
                <w:lang w:val="en-US" w:eastAsia="zh-CN" w:bidi="ar-SA"/>
              </w:rPr>
            </w:pPr>
            <w:r>
              <w:rPr>
                <w:rFonts w:hint="eastAsia" w:ascii="宋体" w:hAnsi="宋体" w:cs="宋体"/>
                <w:color w:val="auto"/>
                <w:sz w:val="22"/>
                <w:szCs w:val="22"/>
                <w:highlight w:val="none"/>
              </w:rPr>
              <w:t>投标人的商务和技术得分分值计算保留小数点后三位，小数点后第四位“四舍五入”。</w:t>
            </w:r>
          </w:p>
        </w:tc>
      </w:tr>
      <w:tr w14:paraId="26FC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153" w:type="dxa"/>
            <w:gridSpan w:val="3"/>
            <w:vAlign w:val="center"/>
          </w:tcPr>
          <w:p w14:paraId="6601EB80">
            <w:pPr>
              <w:jc w:val="center"/>
              <w:rPr>
                <w:rFonts w:hint="eastAsia"/>
                <w:color w:val="auto"/>
                <w:highlight w:val="none"/>
              </w:rPr>
            </w:pPr>
            <w:r>
              <w:rPr>
                <w:rFonts w:hint="eastAsia"/>
                <w:color w:val="auto"/>
                <w:highlight w:val="none"/>
              </w:rPr>
              <w:t>3.2.3</w:t>
            </w:r>
          </w:p>
        </w:tc>
        <w:tc>
          <w:tcPr>
            <w:tcW w:w="8677" w:type="dxa"/>
            <w:gridSpan w:val="6"/>
            <w:vAlign w:val="center"/>
          </w:tcPr>
          <w:p w14:paraId="13218621">
            <w:pPr>
              <w:spacing w:line="360" w:lineRule="exact"/>
              <w:ind w:firstLine="220" w:firstLineChars="100"/>
              <w:rPr>
                <w:rFonts w:hint="eastAsia"/>
                <w:color w:val="auto"/>
                <w:highlight w:val="none"/>
              </w:rPr>
            </w:pPr>
            <w:r>
              <w:rPr>
                <w:rFonts w:hint="eastAsia"/>
                <w:color w:val="auto"/>
                <w:highlight w:val="none"/>
              </w:rPr>
              <w:t>将评标办法范本原文第3.2.3项细化如下:</w:t>
            </w:r>
          </w:p>
          <w:p w14:paraId="6022E28F">
            <w:pPr>
              <w:spacing w:line="360" w:lineRule="exact"/>
              <w:ind w:firstLine="220" w:firstLineChars="100"/>
              <w:rPr>
                <w:rFonts w:hint="eastAsia"/>
                <w:color w:val="auto"/>
                <w:highlight w:val="none"/>
              </w:rPr>
            </w:pPr>
            <w:r>
              <w:rPr>
                <w:rFonts w:hint="eastAsia"/>
                <w:color w:val="auto"/>
                <w:highlight w:val="none"/>
              </w:rPr>
              <w:t>投标人的商务和技术得分=A+B+D</w:t>
            </w:r>
          </w:p>
          <w:p w14:paraId="1A07658C">
            <w:pPr>
              <w:spacing w:line="360" w:lineRule="exact"/>
              <w:ind w:firstLine="220" w:firstLineChars="100"/>
              <w:rPr>
                <w:rFonts w:hint="eastAsia"/>
                <w:color w:val="auto"/>
                <w:highlight w:val="none"/>
              </w:rPr>
            </w:pPr>
            <w:r>
              <w:rPr>
                <w:rFonts w:hint="eastAsia"/>
                <w:color w:val="auto"/>
                <w:highlight w:val="none"/>
              </w:rPr>
              <w:t>除评标价、技术能力、履约信誉得分外，投标文件各评分因素细分项得分均不应低于其权重分的60%，评分低于权重分值60%的，评标委员会成员应当在评标报告中作出说明。</w:t>
            </w:r>
          </w:p>
          <w:p w14:paraId="4F95A9F6">
            <w:pPr>
              <w:spacing w:line="360" w:lineRule="exact"/>
              <w:ind w:firstLine="220" w:firstLineChars="100"/>
              <w:rPr>
                <w:rFonts w:hint="eastAsia"/>
                <w:color w:val="auto"/>
                <w:highlight w:val="none"/>
              </w:rPr>
            </w:pPr>
            <w:r>
              <w:rPr>
                <w:rFonts w:hint="eastAsia"/>
                <w:color w:val="auto"/>
                <w:highlight w:val="none"/>
              </w:rPr>
              <w:t>（1）评标委员会成员总数为5人时， 对各评分因素细分项计算算术平均值的和为投标人的最终技术得分， 平均值计算四舍五入保留小数点后三位。</w:t>
            </w:r>
          </w:p>
          <w:p w14:paraId="15878A6E">
            <w:pPr>
              <w:spacing w:line="360" w:lineRule="exact"/>
              <w:ind w:firstLine="220" w:firstLineChars="100"/>
              <w:rPr>
                <w:rFonts w:hint="eastAsia"/>
                <w:color w:val="auto"/>
                <w:highlight w:val="none"/>
              </w:rPr>
            </w:pPr>
            <w:r>
              <w:rPr>
                <w:rFonts w:hint="eastAsia"/>
                <w:color w:val="auto"/>
                <w:highlight w:val="none"/>
              </w:rPr>
              <w:t>（2）评标委员会成员总数为7人时， 对各评分因素细分项中取消一个最高、一个最低分后计算算术平均值的和为投标人的最终技术得分，平均值计算四舍五入保留小数点后三位。</w:t>
            </w:r>
          </w:p>
          <w:p w14:paraId="7113F398">
            <w:pPr>
              <w:spacing w:line="360" w:lineRule="exact"/>
              <w:ind w:firstLine="220" w:firstLineChars="100"/>
              <w:rPr>
                <w:rFonts w:hint="eastAsia"/>
                <w:color w:val="auto"/>
                <w:highlight w:val="none"/>
              </w:rPr>
            </w:pPr>
            <w:r>
              <w:rPr>
                <w:rFonts w:hint="eastAsia"/>
                <w:color w:val="auto"/>
                <w:highlight w:val="none"/>
              </w:rPr>
              <w:t>（3）评标委员会人数为9人时，首先在评委技术评分中，采用取消同一评委对同一标段各投标人评分总分的差值最大的1名评委评分分值(</w:t>
            </w:r>
            <w:bookmarkStart w:id="27" w:name="_GoBack"/>
            <w:bookmarkEnd w:id="27"/>
            <w:r>
              <w:rPr>
                <w:rFonts w:hint="eastAsia"/>
                <w:color w:val="auto"/>
                <w:highlight w:val="none"/>
              </w:rPr>
              <w:t>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2372E0E9">
            <w:pPr>
              <w:spacing w:line="360" w:lineRule="exact"/>
              <w:ind w:firstLine="220" w:firstLineChars="100"/>
              <w:rPr>
                <w:rFonts w:hint="eastAsia"/>
                <w:color w:val="auto"/>
                <w:highlight w:val="none"/>
              </w:rPr>
            </w:pPr>
            <w:r>
              <w:rPr>
                <w:rFonts w:hint="eastAsia"/>
                <w:color w:val="auto"/>
                <w:highlight w:val="none"/>
              </w:rPr>
              <w:t>取消其中1名评委所有评分的办法(依次按照以下流程):(1)对比上述出现技术评分总分差值最大值相等的评委的次分差值(次分差值=某一评委技术评分总分的最高分一该评委技术评分总分的次低分)，取消次分差值最大的评委所有评分；(2)如次分差值仍相同，则按随机抽取的方式选定取消1名评委评分。示例:同一评委对5名投标人技术评分总分分别为:6.65(最高分)、5.88、5.11、4.90(次低分)、4.55(最低分)，则其最大差值为2.1、次大差值为6.65-4.90=1.75)。</w:t>
            </w:r>
          </w:p>
        </w:tc>
      </w:tr>
      <w:tr w14:paraId="640A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153" w:type="dxa"/>
            <w:gridSpan w:val="3"/>
            <w:vAlign w:val="center"/>
          </w:tcPr>
          <w:p w14:paraId="2DA4272A">
            <w:pPr>
              <w:spacing w:line="360" w:lineRule="exact"/>
              <w:jc w:val="center"/>
              <w:rPr>
                <w:rFonts w:hint="eastAsia"/>
                <w:color w:val="auto"/>
                <w:highlight w:val="none"/>
              </w:rPr>
            </w:pPr>
            <w:r>
              <w:rPr>
                <w:rFonts w:hint="eastAsia"/>
                <w:bCs/>
                <w:color w:val="auto"/>
                <w:highlight w:val="none"/>
              </w:rPr>
              <w:t>3.4</w:t>
            </w:r>
          </w:p>
        </w:tc>
        <w:tc>
          <w:tcPr>
            <w:tcW w:w="8677" w:type="dxa"/>
            <w:gridSpan w:val="6"/>
            <w:vAlign w:val="center"/>
          </w:tcPr>
          <w:p w14:paraId="7BFEA0DE">
            <w:pPr>
              <w:spacing w:line="360" w:lineRule="exact"/>
              <w:ind w:firstLine="440" w:firstLineChars="200"/>
              <w:rPr>
                <w:rFonts w:hint="eastAsia"/>
                <w:color w:val="auto"/>
                <w:highlight w:val="none"/>
              </w:rPr>
            </w:pPr>
            <w:r>
              <w:rPr>
                <w:rFonts w:hint="eastAsia"/>
                <w:color w:val="auto"/>
                <w:highlight w:val="none"/>
              </w:rPr>
              <w:t>本项目招标采用</w:t>
            </w:r>
            <w:r>
              <w:rPr>
                <w:rFonts w:hint="eastAsia"/>
                <w:b/>
                <w:bCs/>
                <w:color w:val="auto"/>
                <w:highlight w:val="none"/>
              </w:rPr>
              <w:t>投标合同单价折扣系数</w:t>
            </w:r>
            <w:r>
              <w:rPr>
                <w:rFonts w:hint="eastAsia"/>
                <w:color w:val="auto"/>
                <w:highlight w:val="none"/>
              </w:rPr>
              <w:t>的方式进行报价，第 3.4.2 项至第 3.4.5 项内容不适用，无须按照本章第 3.4.2 项和第 3.4.3 项的规定对投标报价进行修正。</w:t>
            </w:r>
          </w:p>
        </w:tc>
      </w:tr>
      <w:tr w14:paraId="2949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153" w:type="dxa"/>
            <w:gridSpan w:val="3"/>
            <w:vAlign w:val="center"/>
          </w:tcPr>
          <w:p w14:paraId="7E4F3740">
            <w:pPr>
              <w:spacing w:line="360" w:lineRule="exact"/>
              <w:jc w:val="center"/>
              <w:rPr>
                <w:rFonts w:hint="eastAsia"/>
                <w:bCs/>
                <w:color w:val="auto"/>
                <w:highlight w:val="none"/>
              </w:rPr>
            </w:pPr>
            <w:r>
              <w:rPr>
                <w:rFonts w:hint="eastAsia"/>
                <w:bCs/>
                <w:color w:val="auto"/>
                <w:highlight w:val="none"/>
              </w:rPr>
              <w:t>3.5.1</w:t>
            </w:r>
          </w:p>
        </w:tc>
        <w:tc>
          <w:tcPr>
            <w:tcW w:w="8677" w:type="dxa"/>
            <w:gridSpan w:val="6"/>
            <w:vAlign w:val="center"/>
          </w:tcPr>
          <w:p w14:paraId="5C0D9611">
            <w:pPr>
              <w:spacing w:line="360" w:lineRule="exact"/>
              <w:ind w:firstLine="440" w:firstLineChars="200"/>
              <w:rPr>
                <w:rFonts w:hint="eastAsia"/>
                <w:color w:val="auto"/>
                <w:highlight w:val="none"/>
              </w:rPr>
            </w:pPr>
            <w:r>
              <w:rPr>
                <w:rFonts w:hint="eastAsia"/>
                <w:color w:val="auto"/>
                <w:highlight w:val="none"/>
              </w:rPr>
              <w:t>将评标办法范本原文第3.5.1项修改如下：</w:t>
            </w:r>
          </w:p>
          <w:p w14:paraId="209470CA">
            <w:pPr>
              <w:spacing w:line="360" w:lineRule="exact"/>
              <w:ind w:firstLine="440" w:firstLineChars="200"/>
              <w:rPr>
                <w:rFonts w:hint="eastAsia"/>
                <w:color w:val="auto"/>
                <w:highlight w:val="none"/>
              </w:rPr>
            </w:pPr>
            <w:r>
              <w:rPr>
                <w:rFonts w:hint="eastAsia"/>
                <w:color w:val="auto"/>
                <w:highlight w:val="none"/>
              </w:rPr>
              <w:t>评标委员会按本章第2.2.4(3)规定的评审因素和分值对投标报价计算出得分C。</w:t>
            </w:r>
          </w:p>
          <w:p w14:paraId="4F571289">
            <w:pPr>
              <w:spacing w:line="360" w:lineRule="exact"/>
              <w:ind w:firstLine="440" w:firstLineChars="200"/>
              <w:rPr>
                <w:rFonts w:hint="eastAsia"/>
                <w:color w:val="auto"/>
                <w:highlight w:val="none"/>
              </w:rPr>
            </w:pPr>
            <w:r>
              <w:rPr>
                <w:rFonts w:hint="eastAsia"/>
                <w:color w:val="auto"/>
                <w:highlight w:val="none"/>
              </w:rPr>
              <w:t>投标报价得分分值四舍五入至小数点后四位。</w:t>
            </w:r>
          </w:p>
        </w:tc>
      </w:tr>
      <w:tr w14:paraId="112B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153" w:type="dxa"/>
            <w:gridSpan w:val="3"/>
            <w:vAlign w:val="center"/>
          </w:tcPr>
          <w:p w14:paraId="139AEBDC">
            <w:pPr>
              <w:spacing w:line="360" w:lineRule="exact"/>
              <w:jc w:val="center"/>
              <w:rPr>
                <w:rFonts w:hint="eastAsia"/>
                <w:bCs/>
                <w:color w:val="auto"/>
                <w:highlight w:val="none"/>
              </w:rPr>
            </w:pPr>
            <w:r>
              <w:rPr>
                <w:rFonts w:hint="eastAsia"/>
                <w:bCs/>
                <w:color w:val="auto"/>
                <w:highlight w:val="none"/>
              </w:rPr>
              <w:t>3.5.2</w:t>
            </w:r>
          </w:p>
        </w:tc>
        <w:tc>
          <w:tcPr>
            <w:tcW w:w="8677" w:type="dxa"/>
            <w:gridSpan w:val="6"/>
            <w:vAlign w:val="center"/>
          </w:tcPr>
          <w:p w14:paraId="17E3D21E">
            <w:pPr>
              <w:spacing w:line="360" w:lineRule="exact"/>
              <w:ind w:firstLine="440" w:firstLineChars="200"/>
              <w:rPr>
                <w:rFonts w:hint="eastAsia"/>
                <w:color w:val="auto"/>
                <w:highlight w:val="none"/>
              </w:rPr>
            </w:pPr>
            <w:r>
              <w:rPr>
                <w:rFonts w:hint="eastAsia"/>
                <w:color w:val="auto"/>
                <w:highlight w:val="none"/>
              </w:rPr>
              <w:t>将评标办法原文第3.5.2项细化如下：</w:t>
            </w:r>
          </w:p>
          <w:p w14:paraId="206873EB">
            <w:pPr>
              <w:spacing w:line="360" w:lineRule="exact"/>
              <w:ind w:firstLine="440" w:firstLineChars="200"/>
              <w:rPr>
                <w:rFonts w:hint="eastAsia"/>
                <w:color w:val="auto"/>
                <w:highlight w:val="none"/>
              </w:rPr>
            </w:pPr>
            <w:r>
              <w:rPr>
                <w:rFonts w:hint="eastAsia"/>
                <w:color w:val="auto"/>
                <w:highlight w:val="none"/>
              </w:rPr>
              <w:t>投标人综合得分=投标人的商务和技术得分+C。（计算保留小数点后四位，小数点后第五位“四舍五入”）</w:t>
            </w:r>
          </w:p>
        </w:tc>
      </w:tr>
      <w:tr w14:paraId="0346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153" w:type="dxa"/>
            <w:gridSpan w:val="3"/>
            <w:vAlign w:val="center"/>
          </w:tcPr>
          <w:p w14:paraId="194339E5">
            <w:pPr>
              <w:spacing w:line="360" w:lineRule="exact"/>
              <w:jc w:val="center"/>
              <w:rPr>
                <w:rFonts w:hint="eastAsia"/>
                <w:bCs/>
                <w:color w:val="auto"/>
                <w:highlight w:val="none"/>
              </w:rPr>
            </w:pPr>
            <w:r>
              <w:rPr>
                <w:rFonts w:hint="eastAsia"/>
                <w:bCs/>
                <w:color w:val="auto"/>
                <w:highlight w:val="none"/>
              </w:rPr>
              <w:t>3.6</w:t>
            </w:r>
          </w:p>
        </w:tc>
        <w:tc>
          <w:tcPr>
            <w:tcW w:w="8677" w:type="dxa"/>
            <w:gridSpan w:val="6"/>
            <w:vAlign w:val="center"/>
          </w:tcPr>
          <w:p w14:paraId="2592012D">
            <w:pPr>
              <w:spacing w:line="360" w:lineRule="exact"/>
              <w:ind w:firstLine="440" w:firstLineChars="200"/>
              <w:rPr>
                <w:rFonts w:hint="eastAsia"/>
                <w:color w:val="auto"/>
                <w:highlight w:val="none"/>
              </w:rPr>
            </w:pPr>
            <w:r>
              <w:rPr>
                <w:rFonts w:hint="eastAsia"/>
                <w:color w:val="auto"/>
                <w:highlight w:val="none"/>
              </w:rPr>
              <w:t>3.6.2项（2）目末增加以下条款：</w:t>
            </w:r>
          </w:p>
          <w:p w14:paraId="203580C6">
            <w:pPr>
              <w:spacing w:line="360" w:lineRule="exact"/>
              <w:ind w:firstLine="440" w:firstLineChars="200"/>
              <w:rPr>
                <w:rFonts w:hint="eastAsia"/>
                <w:color w:val="auto"/>
                <w:highlight w:val="none"/>
              </w:rPr>
            </w:pPr>
            <w:r>
              <w:rPr>
                <w:rFonts w:hint="eastAsia"/>
                <w:color w:val="auto"/>
                <w:highlight w:val="none"/>
              </w:rPr>
              <w:t>g.当一家以上投标人评标价相同时，若各投标人工程量清单细目单价也相同，视为串标（一个标段仅一工作细目报价的除外）。</w:t>
            </w:r>
          </w:p>
          <w:p w14:paraId="0A6BF77E">
            <w:pPr>
              <w:spacing w:line="360" w:lineRule="exact"/>
              <w:ind w:firstLine="440" w:firstLineChars="200"/>
              <w:rPr>
                <w:rFonts w:hint="eastAsia"/>
                <w:color w:val="auto"/>
                <w:highlight w:val="none"/>
              </w:rPr>
            </w:pPr>
            <w:r>
              <w:rPr>
                <w:rFonts w:hint="eastAsia"/>
                <w:color w:val="auto"/>
                <w:highlight w:val="none"/>
              </w:rPr>
              <w:t>h.广东省实施《中华人民共和国招标投标法》办法第十六条规定的情形。</w:t>
            </w:r>
          </w:p>
          <w:p w14:paraId="3BF39E22">
            <w:pPr>
              <w:spacing w:line="360" w:lineRule="exact"/>
              <w:ind w:firstLine="440" w:firstLineChars="200"/>
              <w:rPr>
                <w:rFonts w:hint="eastAsia"/>
                <w:color w:val="auto"/>
                <w:highlight w:val="none"/>
              </w:rPr>
            </w:pPr>
            <w:r>
              <w:rPr>
                <w:rFonts w:hint="eastAsia"/>
                <w:color w:val="auto"/>
                <w:highlight w:val="none"/>
              </w:rPr>
              <w:t>增加3.6.3项：</w:t>
            </w:r>
          </w:p>
          <w:p w14:paraId="496983F8">
            <w:pPr>
              <w:spacing w:line="360" w:lineRule="exact"/>
              <w:ind w:firstLine="440" w:firstLineChars="200"/>
              <w:rPr>
                <w:rFonts w:hint="eastAsia"/>
                <w:color w:val="auto"/>
                <w:highlight w:val="none"/>
              </w:rPr>
            </w:pPr>
            <w:r>
              <w:rPr>
                <w:rFonts w:hint="eastAsia"/>
                <w:color w:val="auto"/>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10D5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53" w:type="dxa"/>
            <w:gridSpan w:val="3"/>
            <w:vAlign w:val="center"/>
          </w:tcPr>
          <w:p w14:paraId="3DA2160A">
            <w:pPr>
              <w:jc w:val="center"/>
              <w:rPr>
                <w:rFonts w:hint="eastAsia"/>
                <w:color w:val="auto"/>
                <w:highlight w:val="none"/>
              </w:rPr>
            </w:pPr>
            <w:r>
              <w:rPr>
                <w:rFonts w:hint="eastAsia"/>
                <w:color w:val="auto"/>
                <w:highlight w:val="none"/>
              </w:rPr>
              <w:t>3.7.1</w:t>
            </w:r>
          </w:p>
        </w:tc>
        <w:tc>
          <w:tcPr>
            <w:tcW w:w="8677" w:type="dxa"/>
            <w:gridSpan w:val="6"/>
            <w:vAlign w:val="center"/>
          </w:tcPr>
          <w:p w14:paraId="6DF4D8FE">
            <w:pPr>
              <w:tabs>
                <w:tab w:val="left" w:pos="858"/>
              </w:tabs>
              <w:spacing w:line="360" w:lineRule="exact"/>
              <w:ind w:firstLine="220" w:firstLineChars="100"/>
              <w:rPr>
                <w:rFonts w:hint="eastAsia"/>
                <w:color w:val="auto"/>
                <w:highlight w:val="none"/>
              </w:rPr>
            </w:pPr>
            <w:r>
              <w:rPr>
                <w:rFonts w:hint="eastAsia"/>
                <w:color w:val="auto"/>
                <w:highlight w:val="none"/>
              </w:rPr>
              <w:t xml:space="preserve">将评标办法范本原文第3.7.1项修改为:            </w:t>
            </w:r>
          </w:p>
          <w:p w14:paraId="6252F00C">
            <w:pPr>
              <w:tabs>
                <w:tab w:val="left" w:pos="858"/>
              </w:tabs>
              <w:spacing w:line="360" w:lineRule="exact"/>
              <w:ind w:firstLine="220" w:firstLineChars="100"/>
              <w:rPr>
                <w:rFonts w:hint="eastAsia"/>
                <w:color w:val="auto"/>
                <w:highlight w:val="none"/>
              </w:rPr>
            </w:pPr>
            <w:r>
              <w:rPr>
                <w:rFonts w:hint="eastAsia"/>
                <w:color w:val="auto"/>
                <w:highlight w:val="none"/>
              </w:rPr>
              <w:t xml:space="preserve">    3.7.1在评标过程中，评标委员会可以书面形式要求投标人对所提交投标文件中含义不明确的内容、明显文字或计算错误进行书面澄清或说明，或者对细微偏差进行补正。评标委员会不接受投标人主动提出的澄清、说明。投标人不按评标委员会要求澄清或说明的，评标委员会应否决其投标。</w:t>
            </w:r>
          </w:p>
        </w:tc>
      </w:tr>
      <w:tr w14:paraId="692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53" w:type="dxa"/>
            <w:gridSpan w:val="3"/>
            <w:vAlign w:val="center"/>
          </w:tcPr>
          <w:p w14:paraId="17B05C20">
            <w:pPr>
              <w:jc w:val="center"/>
              <w:rPr>
                <w:rFonts w:hint="eastAsia"/>
                <w:color w:val="auto"/>
                <w:highlight w:val="none"/>
              </w:rPr>
            </w:pPr>
            <w:r>
              <w:rPr>
                <w:rFonts w:hint="eastAsia"/>
                <w:color w:val="auto"/>
                <w:highlight w:val="none"/>
              </w:rPr>
              <w:t>3.9</w:t>
            </w:r>
          </w:p>
        </w:tc>
        <w:tc>
          <w:tcPr>
            <w:tcW w:w="8677" w:type="dxa"/>
            <w:gridSpan w:val="6"/>
            <w:vAlign w:val="center"/>
          </w:tcPr>
          <w:p w14:paraId="6BA75015">
            <w:pPr>
              <w:tabs>
                <w:tab w:val="left" w:pos="858"/>
              </w:tabs>
              <w:spacing w:line="360" w:lineRule="auto"/>
              <w:ind w:firstLine="440" w:firstLineChars="200"/>
              <w:rPr>
                <w:rFonts w:hint="eastAsia"/>
                <w:color w:val="auto"/>
                <w:highlight w:val="none"/>
              </w:rPr>
            </w:pPr>
            <w:r>
              <w:rPr>
                <w:rFonts w:hint="eastAsia"/>
                <w:color w:val="auto"/>
                <w:highlight w:val="none"/>
              </w:rPr>
              <w:t>评标办法范本原文第3.9款增加3.9.3-3.9.8项：</w:t>
            </w:r>
          </w:p>
          <w:p w14:paraId="7CE1E268">
            <w:pPr>
              <w:tabs>
                <w:tab w:val="left" w:pos="858"/>
              </w:tabs>
              <w:spacing w:line="360" w:lineRule="auto"/>
              <w:ind w:firstLine="440" w:firstLineChars="200"/>
              <w:rPr>
                <w:rFonts w:hint="eastAsia"/>
                <w:color w:val="auto"/>
                <w:highlight w:val="none"/>
              </w:rPr>
            </w:pPr>
            <w:r>
              <w:rPr>
                <w:rFonts w:hint="eastAsia"/>
                <w:color w:val="auto"/>
                <w:highlight w:val="none"/>
              </w:rPr>
              <w:t>3.9.3推荐中标候选人方式：（1）已被推荐为某一标段的第一中标候选人，自动失去其在本次招标中其他标段的中标候选人资格。（2）按投标合同单价折扣系数由低到高的顺序依次选定各标段中标候选人，如果出现投标人在多个标段都排名第一，将确定该投标人为投标合同单价折扣系数较低的标段为第一中标候选人，同时该投标人自动失去在本次招标中其他标段的中标候选人资格，其他标段的综合排名名次高者自动上升为中标候选人，以此类推。</w:t>
            </w:r>
          </w:p>
          <w:p w14:paraId="7B086C7C">
            <w:pPr>
              <w:tabs>
                <w:tab w:val="left" w:pos="858"/>
              </w:tabs>
              <w:spacing w:line="360" w:lineRule="auto"/>
              <w:ind w:firstLine="440" w:firstLineChars="200"/>
              <w:rPr>
                <w:rFonts w:hint="eastAsia"/>
                <w:color w:val="auto"/>
                <w:highlight w:val="none"/>
              </w:rPr>
            </w:pPr>
            <w:r>
              <w:rPr>
                <w:rFonts w:hint="eastAsia"/>
                <w:color w:val="auto"/>
                <w:highlight w:val="none"/>
              </w:rPr>
              <w:t>3.9.4通过第一信封商务和技术文件评审的投标人少于3个的，评标委员会可以否决全部投标；未否决全部投标的，评标委员会应当在评标报告中阐述理由，招标人应当按照招标文件规定的程序进行第二信封报价文件开标，但评标委员会在进行报价文件评审时仍有权否决全部投标:评标委员会未在报价文件评审时否决全部投标的，应当在评标报告中阐述理由并推荐中标候选人。</w:t>
            </w:r>
          </w:p>
          <w:p w14:paraId="18306FEB">
            <w:pPr>
              <w:tabs>
                <w:tab w:val="left" w:pos="858"/>
              </w:tabs>
              <w:spacing w:line="360" w:lineRule="auto"/>
              <w:ind w:firstLine="440" w:firstLineChars="200"/>
              <w:rPr>
                <w:rFonts w:hint="eastAsia"/>
                <w:color w:val="auto"/>
                <w:highlight w:val="none"/>
              </w:rPr>
            </w:pPr>
            <w:r>
              <w:rPr>
                <w:rFonts w:hint="eastAsia"/>
                <w:color w:val="auto"/>
                <w:highlight w:val="none"/>
              </w:rPr>
              <w:t>3.9.5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36103FA9">
            <w:pPr>
              <w:tabs>
                <w:tab w:val="left" w:pos="858"/>
              </w:tabs>
              <w:spacing w:line="360" w:lineRule="auto"/>
              <w:ind w:firstLine="440" w:firstLineChars="200"/>
              <w:rPr>
                <w:rFonts w:hint="eastAsia"/>
                <w:color w:val="auto"/>
                <w:highlight w:val="none"/>
              </w:rPr>
            </w:pPr>
            <w:r>
              <w:rPr>
                <w:rFonts w:hint="eastAsia"/>
                <w:color w:val="auto"/>
                <w:highlight w:val="none"/>
              </w:rPr>
              <w:t>3.9.6如果发生无法确定推荐中标候选人的其它意外情况，评标委员会可建议招标人重新招标。</w:t>
            </w:r>
          </w:p>
          <w:p w14:paraId="1EB65333">
            <w:pPr>
              <w:tabs>
                <w:tab w:val="left" w:pos="858"/>
              </w:tabs>
              <w:spacing w:line="360" w:lineRule="auto"/>
              <w:ind w:firstLine="440" w:firstLineChars="200"/>
              <w:rPr>
                <w:rFonts w:hint="eastAsia"/>
                <w:color w:val="auto"/>
                <w:highlight w:val="none"/>
              </w:rPr>
            </w:pPr>
            <w:r>
              <w:rPr>
                <w:rFonts w:hint="eastAsia"/>
                <w:color w:val="auto"/>
                <w:highlight w:val="none"/>
              </w:rPr>
              <w:t>3.9.7本招标文件规定的否决投标条款包含在以下条款：</w:t>
            </w:r>
          </w:p>
          <w:p w14:paraId="15971CE3">
            <w:pPr>
              <w:tabs>
                <w:tab w:val="left" w:pos="858"/>
              </w:tabs>
              <w:spacing w:line="360" w:lineRule="auto"/>
              <w:ind w:firstLine="440" w:firstLineChars="200"/>
              <w:rPr>
                <w:rFonts w:hint="eastAsia"/>
                <w:color w:val="auto"/>
                <w:highlight w:val="none"/>
              </w:rPr>
            </w:pPr>
            <w:r>
              <w:rPr>
                <w:rFonts w:hint="eastAsia"/>
                <w:color w:val="auto"/>
                <w:highlight w:val="none"/>
              </w:rPr>
              <w:t>（1）招标公告第3点投标人资格要求；</w:t>
            </w:r>
          </w:p>
          <w:p w14:paraId="384D20DA">
            <w:pPr>
              <w:tabs>
                <w:tab w:val="left" w:pos="858"/>
              </w:tabs>
              <w:spacing w:line="360" w:lineRule="auto"/>
              <w:ind w:firstLine="440" w:firstLineChars="200"/>
              <w:rPr>
                <w:rFonts w:hint="eastAsia"/>
                <w:color w:val="auto"/>
                <w:highlight w:val="none"/>
              </w:rPr>
            </w:pPr>
            <w:r>
              <w:rPr>
                <w:rFonts w:hint="eastAsia"/>
                <w:color w:val="auto"/>
                <w:highlight w:val="none"/>
              </w:rPr>
              <w:t>（2）投标人须知1.4.3项、1.4.4项、1.4.5项、1.11.1项、1.12.2项、3.4.2项、3.5.11项、3.6.1项；</w:t>
            </w:r>
          </w:p>
          <w:p w14:paraId="7EAEE2EF">
            <w:pPr>
              <w:tabs>
                <w:tab w:val="left" w:pos="858"/>
              </w:tabs>
              <w:spacing w:line="360" w:lineRule="auto"/>
              <w:ind w:firstLine="440" w:firstLineChars="200"/>
              <w:rPr>
                <w:rFonts w:hint="eastAsia"/>
                <w:color w:val="auto"/>
                <w:highlight w:val="none"/>
              </w:rPr>
            </w:pPr>
            <w:r>
              <w:rPr>
                <w:rFonts w:hint="eastAsia"/>
                <w:color w:val="auto"/>
                <w:highlight w:val="none"/>
              </w:rPr>
              <w:t>（3）本评标办法的否决条款。</w:t>
            </w:r>
          </w:p>
          <w:p w14:paraId="21AD5E96">
            <w:pPr>
              <w:tabs>
                <w:tab w:val="left" w:pos="858"/>
              </w:tabs>
              <w:spacing w:line="360" w:lineRule="auto"/>
              <w:ind w:firstLine="440" w:firstLineChars="200"/>
              <w:rPr>
                <w:rFonts w:hint="eastAsia"/>
                <w:color w:val="auto"/>
                <w:highlight w:val="none"/>
              </w:rPr>
            </w:pPr>
            <w:r>
              <w:rPr>
                <w:rFonts w:hint="eastAsia"/>
                <w:color w:val="auto"/>
                <w:highlight w:val="none"/>
              </w:rPr>
              <w:t>（4）法律、法规及招标文件等规定的其他否决投标的情形。</w:t>
            </w:r>
          </w:p>
          <w:p w14:paraId="6100673A">
            <w:pPr>
              <w:tabs>
                <w:tab w:val="left" w:pos="858"/>
              </w:tabs>
              <w:spacing w:line="360" w:lineRule="auto"/>
              <w:ind w:firstLine="440" w:firstLineChars="200"/>
              <w:rPr>
                <w:rFonts w:hint="eastAsia"/>
                <w:color w:val="auto"/>
                <w:highlight w:val="none"/>
              </w:rPr>
            </w:pPr>
            <w:r>
              <w:rPr>
                <w:rFonts w:hint="eastAsia"/>
                <w:color w:val="auto"/>
                <w:highlight w:val="none"/>
              </w:rPr>
              <w:t>3.9.8如果推荐的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038CC3B">
            <w:pPr>
              <w:tabs>
                <w:tab w:val="left" w:pos="858"/>
              </w:tabs>
              <w:spacing w:line="360" w:lineRule="auto"/>
              <w:ind w:firstLine="440" w:firstLineChars="200"/>
              <w:rPr>
                <w:rFonts w:hint="eastAsia"/>
                <w:color w:val="auto"/>
                <w:highlight w:val="none"/>
              </w:rPr>
            </w:pPr>
            <w:r>
              <w:rPr>
                <w:rFonts w:hint="eastAsia"/>
                <w:color w:val="auto"/>
                <w:highlight w:val="none"/>
              </w:rPr>
              <w:t>3.9.9如果推荐的中标候选人因公示被投诉并查证属实存在造假行为的，按否决其投标处理，且没收其投标保证金；如果开标后至中标通知书发出前，中标候选人发生失信行为导致信用等级被省交通运输厅直接降为D级，或被省交通运输厅(包括转发交通运输部)通报批评而取消投标资格，则取消其中标资格，按否决其投标处理；</w:t>
            </w:r>
          </w:p>
          <w:p w14:paraId="4862EB23">
            <w:pPr>
              <w:tabs>
                <w:tab w:val="left" w:pos="858"/>
              </w:tabs>
              <w:spacing w:line="360" w:lineRule="auto"/>
              <w:ind w:firstLine="440" w:firstLineChars="200"/>
              <w:rPr>
                <w:rFonts w:hint="eastAsia"/>
                <w:color w:val="auto"/>
                <w:highlight w:val="none"/>
              </w:rPr>
            </w:pPr>
            <w:r>
              <w:rPr>
                <w:rFonts w:hint="eastAsia"/>
                <w:color w:val="auto"/>
                <w:highlight w:val="none"/>
              </w:rPr>
              <w:t>发生以上情况时，招标人按推荐中标候选人排名顺序依次确定中标人，或重新组织招标。</w:t>
            </w:r>
          </w:p>
        </w:tc>
      </w:tr>
    </w:tbl>
    <w:p w14:paraId="78B07450">
      <w:pPr>
        <w:rPr>
          <w:rFonts w:hint="eastAsia"/>
          <w:color w:val="auto"/>
          <w:spacing w:val="-6"/>
          <w:sz w:val="28"/>
          <w:szCs w:val="24"/>
          <w:highlight w:val="none"/>
        </w:rPr>
      </w:pPr>
      <w:r>
        <w:rPr>
          <w:rFonts w:hint="eastAsia"/>
          <w:color w:val="auto"/>
          <w:spacing w:val="-6"/>
          <w:sz w:val="28"/>
          <w:szCs w:val="24"/>
          <w:highlight w:val="none"/>
        </w:rPr>
        <w:br w:type="page"/>
      </w:r>
    </w:p>
    <w:p w14:paraId="13490475">
      <w:pPr>
        <w:spacing w:before="300" w:after="300" w:line="360" w:lineRule="exact"/>
        <w:rPr>
          <w:rFonts w:hint="eastAsia"/>
          <w:b/>
          <w:color w:val="auto"/>
          <w:kern w:val="44"/>
          <w:sz w:val="28"/>
          <w:szCs w:val="28"/>
          <w:highlight w:val="none"/>
        </w:rPr>
      </w:pPr>
      <w:bookmarkStart w:id="13" w:name="_Toc27008"/>
      <w:r>
        <w:rPr>
          <w:rFonts w:hint="eastAsia"/>
          <w:b/>
          <w:color w:val="auto"/>
          <w:kern w:val="44"/>
          <w:sz w:val="28"/>
          <w:szCs w:val="28"/>
          <w:highlight w:val="none"/>
        </w:rPr>
        <w:t>1. 评标方法</w:t>
      </w:r>
      <w:bookmarkEnd w:id="13"/>
    </w:p>
    <w:p w14:paraId="3C62361B">
      <w:pPr>
        <w:overflowPunct w:val="0"/>
        <w:spacing w:line="360" w:lineRule="exact"/>
        <w:ind w:firstLine="440" w:firstLineChars="200"/>
        <w:rPr>
          <w:rFonts w:hint="eastAsia"/>
          <w:color w:val="auto"/>
          <w:highlight w:val="none"/>
        </w:rPr>
      </w:pPr>
      <w:r>
        <w:rPr>
          <w:rFonts w:hint="eastAsia"/>
          <w:color w:val="auto"/>
          <w:highlight w:val="none"/>
        </w:rPr>
        <w:t>本次评标采用综合评分法。评标委员会对满足招标文件实质性要求的投标文件，按照本章第</w:t>
      </w:r>
      <w:r>
        <w:rPr>
          <w:color w:val="auto"/>
          <w:highlight w:val="none"/>
        </w:rPr>
        <w:t xml:space="preserve"> 2.2 </w:t>
      </w:r>
      <w:r>
        <w:rPr>
          <w:rFonts w:hint="eastAsia"/>
          <w:color w:val="auto"/>
          <w:highlight w:val="non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5678F48E">
      <w:pPr>
        <w:spacing w:before="300" w:after="300" w:line="360" w:lineRule="exact"/>
        <w:rPr>
          <w:rFonts w:hint="eastAsia"/>
          <w:b/>
          <w:color w:val="auto"/>
          <w:kern w:val="44"/>
          <w:sz w:val="28"/>
          <w:szCs w:val="28"/>
          <w:highlight w:val="none"/>
        </w:rPr>
      </w:pPr>
      <w:bookmarkStart w:id="14" w:name="_Toc21315"/>
      <w:r>
        <w:rPr>
          <w:b/>
          <w:color w:val="auto"/>
          <w:kern w:val="44"/>
          <w:sz w:val="28"/>
          <w:szCs w:val="28"/>
          <w:highlight w:val="none"/>
        </w:rPr>
        <w:t>2. 评审标准</w:t>
      </w:r>
      <w:bookmarkEnd w:id="14"/>
    </w:p>
    <w:p w14:paraId="63BF74F2">
      <w:pPr>
        <w:spacing w:before="300" w:after="300" w:line="360" w:lineRule="exact"/>
        <w:rPr>
          <w:rFonts w:hint="eastAsia"/>
          <w:b/>
          <w:color w:val="auto"/>
          <w:kern w:val="44"/>
          <w:sz w:val="24"/>
          <w:highlight w:val="none"/>
        </w:rPr>
      </w:pPr>
      <w:bookmarkStart w:id="15" w:name="_Toc4728"/>
      <w:r>
        <w:rPr>
          <w:b/>
          <w:color w:val="auto"/>
          <w:kern w:val="44"/>
          <w:sz w:val="24"/>
          <w:highlight w:val="none"/>
        </w:rPr>
        <w:t>2.1 初步评审标准</w:t>
      </w:r>
      <w:bookmarkEnd w:id="15"/>
    </w:p>
    <w:p w14:paraId="523DE1AE">
      <w:pPr>
        <w:overflowPunct w:val="0"/>
        <w:spacing w:line="360" w:lineRule="exact"/>
        <w:ind w:firstLine="440" w:firstLineChars="200"/>
        <w:rPr>
          <w:rFonts w:hint="eastAsia"/>
          <w:color w:val="auto"/>
          <w:highlight w:val="none"/>
        </w:rPr>
      </w:pPr>
      <w:r>
        <w:rPr>
          <w:color w:val="auto"/>
          <w:highlight w:val="none"/>
        </w:rPr>
        <w:t>2.1.1 形式评审标准：见评标办法前附表。</w:t>
      </w:r>
    </w:p>
    <w:p w14:paraId="3EA2F80A">
      <w:pPr>
        <w:overflowPunct w:val="0"/>
        <w:spacing w:line="360" w:lineRule="exact"/>
        <w:ind w:firstLine="440" w:firstLineChars="200"/>
        <w:rPr>
          <w:rFonts w:hint="eastAsia"/>
          <w:color w:val="auto"/>
          <w:highlight w:val="none"/>
        </w:rPr>
      </w:pPr>
      <w:r>
        <w:rPr>
          <w:color w:val="auto"/>
          <w:highlight w:val="none"/>
        </w:rPr>
        <w:t>2.1.2 资格评审标准：见评标办法前附表</w:t>
      </w:r>
      <w:r>
        <w:rPr>
          <w:rFonts w:hint="eastAsia"/>
          <w:color w:val="auto"/>
          <w:highlight w:val="none"/>
        </w:rPr>
        <w:t>及</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投标人须知</w:t>
      </w:r>
      <w:r>
        <w:rPr>
          <w:color w:val="auto"/>
          <w:highlight w:val="none"/>
        </w:rPr>
        <w:t>”</w:t>
      </w:r>
      <w:r>
        <w:rPr>
          <w:rFonts w:hint="eastAsia"/>
          <w:color w:val="auto"/>
          <w:highlight w:val="none"/>
        </w:rPr>
        <w:t>附录的资格</w:t>
      </w:r>
      <w:r>
        <w:rPr>
          <w:color w:val="auto"/>
          <w:highlight w:val="none"/>
        </w:rPr>
        <w:t>审查</w:t>
      </w:r>
      <w:r>
        <w:rPr>
          <w:rFonts w:hint="eastAsia"/>
          <w:color w:val="auto"/>
          <w:highlight w:val="none"/>
        </w:rPr>
        <w:t>条件</w:t>
      </w:r>
      <w:r>
        <w:rPr>
          <w:color w:val="auto"/>
          <w:highlight w:val="none"/>
        </w:rPr>
        <w:t>标准。</w:t>
      </w:r>
    </w:p>
    <w:p w14:paraId="73EF1EC8">
      <w:pPr>
        <w:overflowPunct w:val="0"/>
        <w:spacing w:line="360" w:lineRule="exact"/>
        <w:ind w:firstLine="440" w:firstLineChars="200"/>
        <w:rPr>
          <w:rFonts w:hint="eastAsia"/>
          <w:color w:val="auto"/>
          <w:highlight w:val="none"/>
        </w:rPr>
      </w:pPr>
      <w:r>
        <w:rPr>
          <w:color w:val="auto"/>
          <w:highlight w:val="none"/>
        </w:rPr>
        <w:t>2.1.3 响应性评审标准：见评标办法前附表。</w:t>
      </w:r>
    </w:p>
    <w:p w14:paraId="1BCD63EA">
      <w:pPr>
        <w:spacing w:before="300" w:after="300" w:line="360" w:lineRule="exact"/>
        <w:rPr>
          <w:rFonts w:hint="eastAsia"/>
          <w:b/>
          <w:color w:val="auto"/>
          <w:kern w:val="44"/>
          <w:sz w:val="24"/>
          <w:highlight w:val="none"/>
        </w:rPr>
      </w:pPr>
      <w:bookmarkStart w:id="16" w:name="_Toc22408"/>
      <w:r>
        <w:rPr>
          <w:b/>
          <w:color w:val="auto"/>
          <w:kern w:val="44"/>
          <w:sz w:val="24"/>
          <w:highlight w:val="none"/>
        </w:rPr>
        <w:t>2.2 分值构成与评分标准</w:t>
      </w:r>
      <w:bookmarkEnd w:id="16"/>
    </w:p>
    <w:p w14:paraId="466DE44D">
      <w:pPr>
        <w:overflowPunct w:val="0"/>
        <w:spacing w:line="360" w:lineRule="exact"/>
        <w:ind w:firstLine="442" w:firstLineChars="200"/>
        <w:rPr>
          <w:rFonts w:hint="eastAsia"/>
          <w:b/>
          <w:color w:val="auto"/>
          <w:highlight w:val="none"/>
        </w:rPr>
      </w:pPr>
      <w:r>
        <w:rPr>
          <w:b/>
          <w:color w:val="auto"/>
          <w:highlight w:val="none"/>
        </w:rPr>
        <w:t>2.2.1 分值构成</w:t>
      </w:r>
    </w:p>
    <w:p w14:paraId="4856B294">
      <w:pPr>
        <w:overflowPunct w:val="0"/>
        <w:spacing w:line="360" w:lineRule="exact"/>
        <w:ind w:firstLine="440" w:firstLineChars="200"/>
        <w:rPr>
          <w:rFonts w:hint="eastAsia"/>
          <w:color w:val="auto"/>
          <w:highlight w:val="none"/>
        </w:rPr>
      </w:pPr>
      <w:r>
        <w:rPr>
          <w:color w:val="auto"/>
          <w:highlight w:val="none"/>
        </w:rPr>
        <w:t>（1）施工组织设计：见评标办法前附表；</w:t>
      </w:r>
    </w:p>
    <w:p w14:paraId="31862B3E">
      <w:pPr>
        <w:overflowPunct w:val="0"/>
        <w:spacing w:line="360" w:lineRule="exact"/>
        <w:ind w:firstLine="440" w:firstLineChars="200"/>
        <w:rPr>
          <w:rFonts w:hint="eastAsia"/>
          <w:color w:val="auto"/>
          <w:highlight w:val="none"/>
        </w:rPr>
      </w:pPr>
      <w:r>
        <w:rPr>
          <w:color w:val="auto"/>
          <w:highlight w:val="none"/>
        </w:rPr>
        <w:t>（2）项目管理机构：见评标办法前附表；</w:t>
      </w:r>
    </w:p>
    <w:p w14:paraId="3D5CDCB9">
      <w:pPr>
        <w:overflowPunct w:val="0"/>
        <w:spacing w:line="360" w:lineRule="exact"/>
        <w:ind w:firstLine="440" w:firstLineChars="200"/>
        <w:rPr>
          <w:rFonts w:hint="eastAsia"/>
          <w:color w:val="auto"/>
          <w:highlight w:val="none"/>
        </w:rPr>
      </w:pPr>
      <w:r>
        <w:rPr>
          <w:color w:val="auto"/>
          <w:highlight w:val="none"/>
        </w:rPr>
        <w:t>（3）</w:t>
      </w:r>
      <w:r>
        <w:rPr>
          <w:rFonts w:hint="eastAsia"/>
          <w:color w:val="auto"/>
          <w:highlight w:val="none"/>
        </w:rPr>
        <w:t>评标价</w:t>
      </w:r>
      <w:r>
        <w:rPr>
          <w:color w:val="auto"/>
          <w:highlight w:val="none"/>
        </w:rPr>
        <w:t>：见评标办法前附表；</w:t>
      </w:r>
    </w:p>
    <w:p w14:paraId="47DA83DA">
      <w:pPr>
        <w:overflowPunct w:val="0"/>
        <w:spacing w:line="360" w:lineRule="exact"/>
        <w:ind w:firstLine="440" w:firstLineChars="200"/>
        <w:rPr>
          <w:rFonts w:hint="eastAsia"/>
          <w:color w:val="auto"/>
          <w:highlight w:val="none"/>
        </w:rPr>
      </w:pPr>
      <w:r>
        <w:rPr>
          <w:color w:val="auto"/>
          <w:highlight w:val="none"/>
        </w:rPr>
        <w:t>（4）其他评分因素：见评标办法前附表。</w:t>
      </w:r>
    </w:p>
    <w:p w14:paraId="5AFC7A1D">
      <w:pPr>
        <w:overflowPunct w:val="0"/>
        <w:spacing w:line="360" w:lineRule="exact"/>
        <w:ind w:firstLine="442" w:firstLineChars="200"/>
        <w:rPr>
          <w:rFonts w:hint="eastAsia"/>
          <w:b/>
          <w:color w:val="auto"/>
          <w:highlight w:val="none"/>
        </w:rPr>
      </w:pPr>
      <w:r>
        <w:rPr>
          <w:b/>
          <w:color w:val="auto"/>
          <w:highlight w:val="none"/>
        </w:rPr>
        <w:t>2.2.2  评标基准价计算</w:t>
      </w:r>
    </w:p>
    <w:p w14:paraId="3E4C45D3">
      <w:pPr>
        <w:overflowPunct w:val="0"/>
        <w:spacing w:line="360" w:lineRule="exact"/>
        <w:ind w:firstLine="440" w:firstLineChars="200"/>
        <w:rPr>
          <w:rFonts w:hint="eastAsia"/>
          <w:color w:val="auto"/>
          <w:highlight w:val="none"/>
        </w:rPr>
      </w:pPr>
      <w:r>
        <w:rPr>
          <w:color w:val="auto"/>
          <w:highlight w:val="none"/>
        </w:rPr>
        <w:t>评标基准价计算方法：见评标办法前附表。</w:t>
      </w:r>
    </w:p>
    <w:p w14:paraId="5E20171D">
      <w:pPr>
        <w:overflowPunct w:val="0"/>
        <w:spacing w:line="360" w:lineRule="exact"/>
        <w:ind w:firstLine="442" w:firstLineChars="200"/>
        <w:rPr>
          <w:rFonts w:hint="eastAsia"/>
          <w:b/>
          <w:color w:val="auto"/>
          <w:highlight w:val="none"/>
        </w:rPr>
      </w:pPr>
      <w:r>
        <w:rPr>
          <w:b/>
          <w:color w:val="auto"/>
          <w:highlight w:val="none"/>
        </w:rPr>
        <w:t xml:space="preserve">2.2.3  </w:t>
      </w:r>
      <w:r>
        <w:rPr>
          <w:rFonts w:hint="eastAsia"/>
          <w:b/>
          <w:color w:val="auto"/>
          <w:highlight w:val="none"/>
        </w:rPr>
        <w:t>评标价</w:t>
      </w:r>
      <w:r>
        <w:rPr>
          <w:b/>
          <w:color w:val="auto"/>
          <w:highlight w:val="none"/>
        </w:rPr>
        <w:t>的偏差率计算</w:t>
      </w:r>
    </w:p>
    <w:p w14:paraId="677688B0">
      <w:pPr>
        <w:overflowPunct w:val="0"/>
        <w:spacing w:line="360" w:lineRule="exact"/>
        <w:ind w:firstLine="440" w:firstLineChars="200"/>
        <w:rPr>
          <w:rFonts w:hint="eastAsia"/>
          <w:color w:val="auto"/>
          <w:highlight w:val="none"/>
        </w:rPr>
      </w:pPr>
      <w:r>
        <w:rPr>
          <w:rFonts w:hint="eastAsia"/>
          <w:color w:val="auto"/>
          <w:highlight w:val="none"/>
        </w:rPr>
        <w:t>评标价</w:t>
      </w:r>
      <w:r>
        <w:rPr>
          <w:color w:val="auto"/>
          <w:highlight w:val="none"/>
        </w:rPr>
        <w:t>的偏差率计算公式：见评标办法前附表。</w:t>
      </w:r>
    </w:p>
    <w:p w14:paraId="5A45F7DA">
      <w:pPr>
        <w:overflowPunct w:val="0"/>
        <w:spacing w:line="360" w:lineRule="exact"/>
        <w:ind w:firstLine="442" w:firstLineChars="200"/>
        <w:rPr>
          <w:rFonts w:hint="eastAsia"/>
          <w:b/>
          <w:color w:val="auto"/>
          <w:highlight w:val="none"/>
        </w:rPr>
      </w:pPr>
      <w:r>
        <w:rPr>
          <w:b/>
          <w:color w:val="auto"/>
          <w:highlight w:val="none"/>
        </w:rPr>
        <w:t>2.2.4  评分标准</w:t>
      </w:r>
    </w:p>
    <w:p w14:paraId="5583FBBA">
      <w:pPr>
        <w:overflowPunct w:val="0"/>
        <w:spacing w:line="360" w:lineRule="exact"/>
        <w:ind w:firstLine="440" w:firstLineChars="200"/>
        <w:rPr>
          <w:rFonts w:hint="eastAsia"/>
          <w:color w:val="auto"/>
          <w:highlight w:val="none"/>
        </w:rPr>
      </w:pPr>
      <w:r>
        <w:rPr>
          <w:color w:val="auto"/>
          <w:highlight w:val="none"/>
        </w:rPr>
        <w:t>（1）施工组织设计评分标准：见评标办法前附表；</w:t>
      </w:r>
    </w:p>
    <w:p w14:paraId="10C04448">
      <w:pPr>
        <w:overflowPunct w:val="0"/>
        <w:spacing w:line="360" w:lineRule="exact"/>
        <w:ind w:firstLine="440" w:firstLineChars="200"/>
        <w:rPr>
          <w:rFonts w:hint="eastAsia"/>
          <w:color w:val="auto"/>
          <w:highlight w:val="none"/>
        </w:rPr>
      </w:pPr>
      <w:r>
        <w:rPr>
          <w:color w:val="auto"/>
          <w:highlight w:val="none"/>
        </w:rPr>
        <w:t>（2）项目管理机构评分标准：见评标办法前附表；</w:t>
      </w:r>
    </w:p>
    <w:p w14:paraId="2B6B96B4">
      <w:pPr>
        <w:overflowPunct w:val="0"/>
        <w:spacing w:line="360" w:lineRule="exact"/>
        <w:ind w:firstLine="440" w:firstLineChars="200"/>
        <w:rPr>
          <w:rFonts w:hint="eastAsia"/>
          <w:color w:val="auto"/>
          <w:highlight w:val="none"/>
        </w:rPr>
      </w:pPr>
      <w:r>
        <w:rPr>
          <w:color w:val="auto"/>
          <w:highlight w:val="none"/>
        </w:rPr>
        <w:t>（3）</w:t>
      </w:r>
      <w:r>
        <w:rPr>
          <w:rFonts w:hint="eastAsia"/>
          <w:color w:val="auto"/>
          <w:highlight w:val="none"/>
        </w:rPr>
        <w:t>评标价</w:t>
      </w:r>
      <w:r>
        <w:rPr>
          <w:color w:val="auto"/>
          <w:highlight w:val="none"/>
        </w:rPr>
        <w:t>评分标准：见评标办法前附表；</w:t>
      </w:r>
    </w:p>
    <w:p w14:paraId="7182FF0E">
      <w:pPr>
        <w:overflowPunct w:val="0"/>
        <w:spacing w:line="360" w:lineRule="exact"/>
        <w:ind w:firstLine="440" w:firstLineChars="200"/>
        <w:rPr>
          <w:rFonts w:hint="eastAsia"/>
          <w:color w:val="auto"/>
          <w:highlight w:val="none"/>
        </w:rPr>
      </w:pPr>
      <w:r>
        <w:rPr>
          <w:color w:val="auto"/>
          <w:highlight w:val="none"/>
        </w:rPr>
        <w:t>（4）其他因素评分标准：见评标办法前附表。</w:t>
      </w:r>
    </w:p>
    <w:p w14:paraId="4A5E6494">
      <w:pPr>
        <w:spacing w:before="300" w:after="300" w:line="360" w:lineRule="exact"/>
        <w:rPr>
          <w:rFonts w:hint="eastAsia"/>
          <w:b/>
          <w:color w:val="auto"/>
          <w:kern w:val="44"/>
          <w:sz w:val="28"/>
          <w:szCs w:val="28"/>
          <w:highlight w:val="none"/>
        </w:rPr>
      </w:pPr>
      <w:bookmarkStart w:id="17" w:name="_Toc22461"/>
      <w:r>
        <w:rPr>
          <w:b/>
          <w:color w:val="auto"/>
          <w:kern w:val="44"/>
          <w:sz w:val="28"/>
          <w:szCs w:val="28"/>
          <w:highlight w:val="none"/>
        </w:rPr>
        <w:t>3. 评标程序</w:t>
      </w:r>
      <w:bookmarkEnd w:id="17"/>
    </w:p>
    <w:p w14:paraId="3FBE97F0">
      <w:pPr>
        <w:spacing w:before="300" w:after="300" w:line="360" w:lineRule="exact"/>
        <w:rPr>
          <w:rFonts w:hint="eastAsia"/>
          <w:b/>
          <w:color w:val="auto"/>
          <w:kern w:val="44"/>
          <w:sz w:val="24"/>
          <w:highlight w:val="none"/>
        </w:rPr>
      </w:pPr>
      <w:bookmarkStart w:id="18" w:name="_Toc8870"/>
      <w:r>
        <w:rPr>
          <w:b/>
          <w:color w:val="auto"/>
          <w:kern w:val="44"/>
          <w:sz w:val="24"/>
          <w:highlight w:val="none"/>
        </w:rPr>
        <w:t xml:space="preserve">3.1 </w:t>
      </w:r>
      <w:r>
        <w:rPr>
          <w:rFonts w:hint="eastAsia"/>
          <w:b/>
          <w:color w:val="auto"/>
          <w:kern w:val="44"/>
          <w:sz w:val="24"/>
          <w:highlight w:val="none"/>
        </w:rPr>
        <w:t>第一个信封</w:t>
      </w:r>
      <w:r>
        <w:rPr>
          <w:b/>
          <w:color w:val="auto"/>
          <w:kern w:val="44"/>
          <w:sz w:val="24"/>
          <w:highlight w:val="none"/>
        </w:rPr>
        <w:t>初步评审</w:t>
      </w:r>
      <w:bookmarkEnd w:id="18"/>
    </w:p>
    <w:p w14:paraId="211B3CF5">
      <w:pPr>
        <w:overflowPunct w:val="0"/>
        <w:spacing w:line="360" w:lineRule="exact"/>
        <w:ind w:firstLine="440" w:firstLineChars="200"/>
        <w:rPr>
          <w:rFonts w:hint="eastAsia"/>
          <w:color w:val="auto"/>
          <w:highlight w:val="none"/>
        </w:rPr>
      </w:pPr>
      <w:r>
        <w:rPr>
          <w:rFonts w:hint="eastAsia"/>
          <w:color w:val="auto"/>
          <w:highlight w:val="none"/>
        </w:rPr>
        <w:t>3.1.1 评标委员会可以要求投标人提交第二章“投标人须知”第</w:t>
      </w:r>
      <w:r>
        <w:rPr>
          <w:color w:val="auto"/>
          <w:highlight w:val="none"/>
        </w:rPr>
        <w:t xml:space="preserve"> 3.5.1 </w:t>
      </w:r>
      <w:r>
        <w:rPr>
          <w:rFonts w:hint="eastAsia"/>
          <w:color w:val="auto"/>
          <w:highlight w:val="none"/>
        </w:rPr>
        <w:t>项至第</w:t>
      </w:r>
      <w:r>
        <w:rPr>
          <w:color w:val="auto"/>
          <w:highlight w:val="none"/>
        </w:rPr>
        <w:t xml:space="preserve"> 3.5.6 </w:t>
      </w:r>
      <w:r>
        <w:rPr>
          <w:rFonts w:hint="eastAsia"/>
          <w:color w:val="auto"/>
          <w:highlight w:val="none"/>
        </w:rPr>
        <w:t>项规定的有关证明和证件的原件，以便核验。评标委员会依据本章第</w:t>
      </w:r>
      <w:r>
        <w:rPr>
          <w:color w:val="auto"/>
          <w:highlight w:val="none"/>
        </w:rPr>
        <w:t xml:space="preserve"> 2.1 </w:t>
      </w:r>
      <w:r>
        <w:rPr>
          <w:rFonts w:hint="eastAsia"/>
          <w:color w:val="auto"/>
          <w:highlight w:val="none"/>
        </w:rPr>
        <w:t>款规定的标准对投标文件第一个信封（商务及技术文件）进行初步评审。有一项不符合评审标准的，评标委员会应否决其投标。（适用于未进行资格预审的）</w:t>
      </w:r>
    </w:p>
    <w:p w14:paraId="5559B6FB">
      <w:pPr>
        <w:spacing w:before="300" w:after="300" w:line="360" w:lineRule="exact"/>
        <w:rPr>
          <w:rFonts w:hint="eastAsia"/>
          <w:b/>
          <w:color w:val="auto"/>
          <w:kern w:val="44"/>
          <w:sz w:val="24"/>
          <w:highlight w:val="none"/>
        </w:rPr>
      </w:pPr>
      <w:bookmarkStart w:id="19" w:name="_Toc29250"/>
      <w:r>
        <w:rPr>
          <w:rFonts w:hint="eastAsia"/>
          <w:b/>
          <w:color w:val="auto"/>
          <w:kern w:val="44"/>
          <w:sz w:val="24"/>
          <w:highlight w:val="none"/>
        </w:rPr>
        <w:t>3.2 第一个信封详细评审</w:t>
      </w:r>
      <w:bookmarkEnd w:id="19"/>
    </w:p>
    <w:p w14:paraId="5888D18B">
      <w:pPr>
        <w:overflowPunct w:val="0"/>
        <w:spacing w:line="360" w:lineRule="exact"/>
        <w:ind w:firstLine="440" w:firstLineChars="200"/>
        <w:rPr>
          <w:rFonts w:hint="eastAsia"/>
          <w:color w:val="auto"/>
          <w:highlight w:val="none"/>
        </w:rPr>
      </w:pPr>
      <w:r>
        <w:rPr>
          <w:rFonts w:hint="eastAsia"/>
          <w:color w:val="auto"/>
          <w:highlight w:val="none"/>
        </w:rPr>
        <w:t>3.2.1 评标委员会按本章第</w:t>
      </w:r>
      <w:r>
        <w:rPr>
          <w:color w:val="auto"/>
          <w:highlight w:val="none"/>
        </w:rPr>
        <w:t xml:space="preserve"> 2.2 </w:t>
      </w:r>
      <w:r>
        <w:rPr>
          <w:rFonts w:hint="eastAsia"/>
          <w:color w:val="auto"/>
          <w:highlight w:val="none"/>
        </w:rPr>
        <w:t>款规定的量化因素和分值进行打分，并计算出各投标人的商务和技术得分。</w:t>
      </w:r>
    </w:p>
    <w:p w14:paraId="403B06D5">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）按本章第</w:t>
      </w:r>
      <w:r>
        <w:rPr>
          <w:color w:val="auto"/>
          <w:highlight w:val="none"/>
        </w:rPr>
        <w:t xml:space="preserve"> 2.2.4 </w:t>
      </w:r>
      <w:r>
        <w:rPr>
          <w:rFonts w:hint="eastAsia"/>
          <w:color w:val="auto"/>
          <w:highlight w:val="none"/>
        </w:rPr>
        <w:t>项（</w:t>
      </w:r>
      <w:r>
        <w:rPr>
          <w:color w:val="auto"/>
          <w:highlight w:val="none"/>
        </w:rPr>
        <w:t>1</w:t>
      </w:r>
      <w:r>
        <w:rPr>
          <w:rFonts w:hint="eastAsia"/>
          <w:color w:val="auto"/>
          <w:highlight w:val="none"/>
        </w:rPr>
        <w:t>）目规定的评审因素和分值对施工组织设计部分计算出得分</w:t>
      </w:r>
      <w:r>
        <w:rPr>
          <w:color w:val="auto"/>
          <w:highlight w:val="none"/>
        </w:rPr>
        <w:t xml:space="preserve"> A</w:t>
      </w:r>
      <w:r>
        <w:rPr>
          <w:rFonts w:hint="eastAsia"/>
          <w:color w:val="auto"/>
          <w:highlight w:val="none"/>
        </w:rPr>
        <w:t>；</w:t>
      </w:r>
    </w:p>
    <w:p w14:paraId="4ADCFC20">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）按本章第</w:t>
      </w:r>
      <w:r>
        <w:rPr>
          <w:color w:val="auto"/>
          <w:highlight w:val="none"/>
        </w:rPr>
        <w:t xml:space="preserve"> 2.2.4 </w:t>
      </w:r>
      <w:r>
        <w:rPr>
          <w:rFonts w:hint="eastAsia"/>
          <w:color w:val="auto"/>
          <w:highlight w:val="none"/>
        </w:rPr>
        <w:t>项（</w:t>
      </w:r>
      <w:r>
        <w:rPr>
          <w:color w:val="auto"/>
          <w:highlight w:val="none"/>
        </w:rPr>
        <w:t>2</w:t>
      </w:r>
      <w:r>
        <w:rPr>
          <w:rFonts w:hint="eastAsia"/>
          <w:color w:val="auto"/>
          <w:highlight w:val="none"/>
        </w:rPr>
        <w:t>）目规定的评审因素和分值对主要人员部分计算出得分</w:t>
      </w:r>
      <w:r>
        <w:rPr>
          <w:color w:val="auto"/>
          <w:highlight w:val="none"/>
        </w:rPr>
        <w:t xml:space="preserve"> B</w:t>
      </w:r>
      <w:r>
        <w:rPr>
          <w:rFonts w:hint="eastAsia"/>
          <w:color w:val="auto"/>
          <w:highlight w:val="none"/>
        </w:rPr>
        <w:t>；</w:t>
      </w:r>
    </w:p>
    <w:p w14:paraId="59F329F5">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）按本章第</w:t>
      </w:r>
      <w:r>
        <w:rPr>
          <w:color w:val="auto"/>
          <w:highlight w:val="none"/>
        </w:rPr>
        <w:t xml:space="preserve"> 2.2.4 </w:t>
      </w:r>
      <w:r>
        <w:rPr>
          <w:rFonts w:hint="eastAsia"/>
          <w:color w:val="auto"/>
          <w:highlight w:val="none"/>
        </w:rPr>
        <w:t>项（</w:t>
      </w:r>
      <w:r>
        <w:rPr>
          <w:color w:val="auto"/>
          <w:highlight w:val="none"/>
        </w:rPr>
        <w:t>4</w:t>
      </w:r>
      <w:r>
        <w:rPr>
          <w:rFonts w:hint="eastAsia"/>
          <w:color w:val="auto"/>
          <w:highlight w:val="none"/>
        </w:rPr>
        <w:t>）目规定的评审因素和分值对其他部分计算出得分</w:t>
      </w:r>
      <w:r>
        <w:rPr>
          <w:color w:val="auto"/>
          <w:highlight w:val="none"/>
        </w:rPr>
        <w:t xml:space="preserve"> D</w:t>
      </w:r>
      <w:r>
        <w:rPr>
          <w:rFonts w:hint="eastAsia"/>
          <w:color w:val="auto"/>
          <w:highlight w:val="none"/>
        </w:rPr>
        <w:t>。</w:t>
      </w:r>
    </w:p>
    <w:p w14:paraId="4BC5204F">
      <w:pPr>
        <w:overflowPunct w:val="0"/>
        <w:spacing w:line="360" w:lineRule="exact"/>
        <w:ind w:firstLine="440" w:firstLineChars="200"/>
        <w:rPr>
          <w:rFonts w:hint="eastAsia"/>
          <w:color w:val="auto"/>
          <w:highlight w:val="none"/>
        </w:rPr>
      </w:pPr>
      <w:r>
        <w:rPr>
          <w:rFonts w:hint="eastAsia"/>
          <w:color w:val="auto"/>
          <w:highlight w:val="none"/>
        </w:rPr>
        <w:t>3.2.2 投标人的商务和技术得分分值计算保留小数点后两位，小数点后第三位“四舍五入”。</w:t>
      </w:r>
    </w:p>
    <w:p w14:paraId="3122FF66">
      <w:pPr>
        <w:overflowPunct w:val="0"/>
        <w:spacing w:line="360" w:lineRule="exact"/>
        <w:ind w:firstLine="440" w:firstLineChars="200"/>
        <w:rPr>
          <w:rFonts w:hint="eastAsia"/>
          <w:color w:val="auto"/>
          <w:highlight w:val="none"/>
        </w:rPr>
      </w:pPr>
      <w:r>
        <w:rPr>
          <w:rFonts w:hint="eastAsia"/>
          <w:color w:val="auto"/>
          <w:highlight w:val="none"/>
        </w:rPr>
        <w:t>3.2.3 投标人的商务和技术得分</w:t>
      </w:r>
      <w:r>
        <w:rPr>
          <w:color w:val="auto"/>
          <w:highlight w:val="none"/>
        </w:rPr>
        <w:t>=A+B+D</w:t>
      </w:r>
      <w:r>
        <w:rPr>
          <w:rFonts w:hint="eastAsia"/>
          <w:color w:val="auto"/>
          <w:highlight w:val="none"/>
        </w:rPr>
        <w:t>。</w:t>
      </w:r>
    </w:p>
    <w:p w14:paraId="63553CD0">
      <w:pPr>
        <w:spacing w:before="300" w:after="300" w:line="360" w:lineRule="exact"/>
        <w:rPr>
          <w:rFonts w:hint="eastAsia"/>
          <w:b/>
          <w:color w:val="auto"/>
          <w:kern w:val="44"/>
          <w:sz w:val="24"/>
          <w:highlight w:val="none"/>
        </w:rPr>
      </w:pPr>
      <w:bookmarkStart w:id="20" w:name="_Toc31125"/>
      <w:r>
        <w:rPr>
          <w:rFonts w:hint="eastAsia"/>
          <w:b/>
          <w:color w:val="auto"/>
          <w:kern w:val="44"/>
          <w:sz w:val="24"/>
          <w:highlight w:val="none"/>
        </w:rPr>
        <w:t>3.3 第二个信封开标</w:t>
      </w:r>
      <w:bookmarkEnd w:id="20"/>
    </w:p>
    <w:p w14:paraId="623A3A32">
      <w:pPr>
        <w:overflowPunct w:val="0"/>
        <w:spacing w:line="360" w:lineRule="exact"/>
        <w:ind w:firstLine="440" w:firstLineChars="200"/>
        <w:rPr>
          <w:rFonts w:hint="eastAsia"/>
          <w:color w:val="auto"/>
          <w:highlight w:val="none"/>
        </w:rPr>
      </w:pPr>
      <w:r>
        <w:rPr>
          <w:rFonts w:hint="eastAsia"/>
          <w:color w:val="auto"/>
          <w:highlight w:val="none"/>
        </w:rPr>
        <w:t>第一个信封（商务及技术文件）评审结束后，招标人将按照第二章“投标人须知”</w:t>
      </w:r>
      <w:r>
        <w:rPr>
          <w:color w:val="auto"/>
          <w:highlight w:val="none"/>
        </w:rPr>
        <w:t xml:space="preserve"> </w:t>
      </w:r>
      <w:r>
        <w:rPr>
          <w:rFonts w:hint="eastAsia"/>
          <w:color w:val="auto"/>
          <w:highlight w:val="none"/>
        </w:rPr>
        <w:t>第</w:t>
      </w:r>
      <w:r>
        <w:rPr>
          <w:color w:val="auto"/>
          <w:highlight w:val="none"/>
        </w:rPr>
        <w:t xml:space="preserve"> 5.1 </w:t>
      </w:r>
      <w:r>
        <w:rPr>
          <w:rFonts w:hint="eastAsia"/>
          <w:color w:val="auto"/>
          <w:highlight w:val="none"/>
        </w:rPr>
        <w:t>款规定的时间和地点对通过投标文件第一个信封（商务及技术文件）评审的投标文件第二个信封（报价文件）进行开标。</w:t>
      </w:r>
    </w:p>
    <w:p w14:paraId="18CF69D0">
      <w:pPr>
        <w:spacing w:before="300" w:after="300" w:line="360" w:lineRule="exact"/>
        <w:rPr>
          <w:rFonts w:hint="eastAsia"/>
          <w:b/>
          <w:color w:val="auto"/>
          <w:kern w:val="44"/>
          <w:sz w:val="24"/>
          <w:highlight w:val="none"/>
        </w:rPr>
      </w:pPr>
      <w:bookmarkStart w:id="21" w:name="_Toc11157"/>
      <w:r>
        <w:rPr>
          <w:rFonts w:hint="eastAsia"/>
          <w:b/>
          <w:color w:val="auto"/>
          <w:kern w:val="44"/>
          <w:sz w:val="24"/>
          <w:highlight w:val="none"/>
        </w:rPr>
        <w:t>3.4 第二个信封初步评审</w:t>
      </w:r>
      <w:bookmarkEnd w:id="21"/>
    </w:p>
    <w:p w14:paraId="208613C4">
      <w:pPr>
        <w:overflowPunct w:val="0"/>
        <w:spacing w:line="360" w:lineRule="exact"/>
        <w:ind w:firstLine="440" w:firstLineChars="200"/>
        <w:rPr>
          <w:rFonts w:hint="eastAsia"/>
          <w:color w:val="auto"/>
          <w:highlight w:val="none"/>
        </w:rPr>
      </w:pPr>
      <w:r>
        <w:rPr>
          <w:rFonts w:hint="eastAsia"/>
          <w:color w:val="auto"/>
          <w:highlight w:val="none"/>
        </w:rPr>
        <w:t>3.4.1 评标委员会依据本章第</w:t>
      </w:r>
      <w:r>
        <w:rPr>
          <w:color w:val="auto"/>
          <w:highlight w:val="none"/>
        </w:rPr>
        <w:t xml:space="preserve"> 2.1.1 </w:t>
      </w:r>
      <w:r>
        <w:rPr>
          <w:rFonts w:hint="eastAsia"/>
          <w:color w:val="auto"/>
          <w:highlight w:val="none"/>
        </w:rPr>
        <w:t>项、第</w:t>
      </w:r>
      <w:r>
        <w:rPr>
          <w:color w:val="auto"/>
          <w:highlight w:val="none"/>
        </w:rPr>
        <w:t xml:space="preserve"> 2.1.3 </w:t>
      </w:r>
      <w:r>
        <w:rPr>
          <w:rFonts w:hint="eastAsia"/>
          <w:color w:val="auto"/>
          <w:highlight w:val="none"/>
        </w:rPr>
        <w:t>项规定的评审标准对投标文件第二个信封（报价文件）进行初步评审。有一项不符合评审标准的，评标委员会应否决其投标。</w:t>
      </w:r>
    </w:p>
    <w:p w14:paraId="4C7263BC">
      <w:pPr>
        <w:overflowPunct w:val="0"/>
        <w:spacing w:line="360" w:lineRule="exact"/>
        <w:ind w:firstLine="440" w:firstLineChars="200"/>
        <w:rPr>
          <w:rFonts w:hint="eastAsia"/>
          <w:color w:val="auto"/>
          <w:highlight w:val="none"/>
        </w:rPr>
      </w:pPr>
      <w:r>
        <w:rPr>
          <w:rFonts w:hint="eastAsia"/>
          <w:color w:val="auto"/>
          <w:highlight w:val="none"/>
        </w:rPr>
        <w:t>3.4.2 投标报价有算术错误的，评标委员会按以下原则对投标报价进行修正，修正的价格经投标人书面确认后具有约束力。投标人不接受修正价格的，评标委员会应否决其投标。</w:t>
      </w:r>
    </w:p>
    <w:p w14:paraId="7C54CBA2">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）投标文件中的大写金额与小写金额不一致的，以大写金额为准；</w:t>
      </w:r>
    </w:p>
    <w:p w14:paraId="6968843A">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）总价金额与依据单价计算出的结果不一致的，以单价金额为准修正总价，但单价金额小数点有明显错误的除外；</w:t>
      </w:r>
    </w:p>
    <w:p w14:paraId="367AFCD7">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）当单价与数量相乘不等于合价时，以单价计算为准，如果单价有明显的小数点位置差错，应以标出的合价为准，同时对单价予以修正；</w:t>
      </w:r>
    </w:p>
    <w:p w14:paraId="1CC75F5B">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4</w:t>
      </w:r>
      <w:r>
        <w:rPr>
          <w:rFonts w:hint="eastAsia"/>
          <w:color w:val="auto"/>
          <w:highlight w:val="none"/>
        </w:rPr>
        <w:t>）当各子目的合价累计不等于总价时，应以各子目合价累计数为准，修正总价。</w:t>
      </w:r>
    </w:p>
    <w:p w14:paraId="71DB07CB">
      <w:pPr>
        <w:overflowPunct w:val="0"/>
        <w:spacing w:line="360" w:lineRule="exact"/>
        <w:ind w:firstLine="440" w:firstLineChars="200"/>
        <w:rPr>
          <w:rFonts w:hint="eastAsia"/>
          <w:color w:val="auto"/>
          <w:highlight w:val="none"/>
        </w:rPr>
      </w:pPr>
      <w:r>
        <w:rPr>
          <w:rFonts w:hint="eastAsia"/>
          <w:color w:val="auto"/>
          <w:highlight w:val="none"/>
        </w:rPr>
        <w:t>3.4.3 工程量清单中的投标报价有其他错误的，评标委员会按以下原则对投标报价进行修正，修正的价格经投标人书面确认后具有约束力。投标人不接受修正价格的，评标委员会应否决其投标。</w:t>
      </w:r>
    </w:p>
    <w:p w14:paraId="2C941FF0">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60D648D">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6D2C492A">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）当单价与数量的乘积与合价（金额）虽然一致，但投标人修改了该子目的工程数量，则其合价按招标人给定的工程数量乘以投标人所报单价予以修正。</w:t>
      </w:r>
    </w:p>
    <w:p w14:paraId="7DF74EFC">
      <w:pPr>
        <w:overflowPunct w:val="0"/>
        <w:spacing w:line="360" w:lineRule="exact"/>
        <w:ind w:firstLine="440" w:firstLineChars="200"/>
        <w:rPr>
          <w:rFonts w:hint="eastAsia"/>
          <w:color w:val="auto"/>
          <w:highlight w:val="none"/>
        </w:rPr>
      </w:pPr>
      <w:r>
        <w:rPr>
          <w:rFonts w:hint="eastAsia"/>
          <w:color w:val="auto"/>
          <w:highlight w:val="none"/>
        </w:rPr>
        <w:t>3.4.4 修正后的最终投标报价若超过最高投标限价（如有），评标委员会应否决其投标。</w:t>
      </w:r>
    </w:p>
    <w:p w14:paraId="10EC7075">
      <w:pPr>
        <w:overflowPunct w:val="0"/>
        <w:spacing w:line="360" w:lineRule="exact"/>
        <w:ind w:firstLine="440" w:firstLineChars="200"/>
        <w:rPr>
          <w:rFonts w:hint="eastAsia"/>
          <w:color w:val="auto"/>
          <w:highlight w:val="none"/>
        </w:rPr>
      </w:pPr>
      <w:r>
        <w:rPr>
          <w:rFonts w:hint="eastAsia"/>
          <w:color w:val="auto"/>
          <w:highlight w:val="none"/>
        </w:rPr>
        <w:t>3.4.5 修正后的最终投标报价仅作为签订合同的一个依据，不参与评标价得分的计算。</w:t>
      </w:r>
    </w:p>
    <w:p w14:paraId="647CA5A1">
      <w:pPr>
        <w:spacing w:before="300" w:after="300" w:line="360" w:lineRule="exact"/>
        <w:rPr>
          <w:rFonts w:hint="eastAsia"/>
          <w:b/>
          <w:color w:val="auto"/>
          <w:kern w:val="44"/>
          <w:sz w:val="24"/>
          <w:highlight w:val="none"/>
        </w:rPr>
      </w:pPr>
      <w:bookmarkStart w:id="22" w:name="_Toc32349"/>
      <w:r>
        <w:rPr>
          <w:rFonts w:hint="eastAsia"/>
          <w:b/>
          <w:color w:val="auto"/>
          <w:kern w:val="44"/>
          <w:sz w:val="24"/>
          <w:highlight w:val="none"/>
        </w:rPr>
        <w:t>3.5 第二个信封详细评审</w:t>
      </w:r>
      <w:bookmarkEnd w:id="22"/>
    </w:p>
    <w:p w14:paraId="0628F35D">
      <w:pPr>
        <w:overflowPunct w:val="0"/>
        <w:spacing w:line="360" w:lineRule="exact"/>
        <w:ind w:firstLine="440" w:firstLineChars="200"/>
        <w:rPr>
          <w:rFonts w:hint="eastAsia"/>
          <w:color w:val="auto"/>
          <w:highlight w:val="none"/>
        </w:rPr>
      </w:pPr>
      <w:r>
        <w:rPr>
          <w:rFonts w:hint="eastAsia"/>
          <w:color w:val="auto"/>
          <w:highlight w:val="none"/>
        </w:rPr>
        <w:t>3.5.1 评标委员会按本章第</w:t>
      </w:r>
      <w:r>
        <w:rPr>
          <w:color w:val="auto"/>
          <w:highlight w:val="none"/>
        </w:rPr>
        <w:t xml:space="preserve"> 2.2.4</w:t>
      </w:r>
      <w:r>
        <w:rPr>
          <w:rFonts w:hint="eastAsia"/>
          <w:color w:val="auto"/>
          <w:highlight w:val="none"/>
        </w:rPr>
        <w:t>（</w:t>
      </w:r>
      <w:r>
        <w:rPr>
          <w:color w:val="auto"/>
          <w:highlight w:val="none"/>
        </w:rPr>
        <w:t>3</w:t>
      </w:r>
      <w:r>
        <w:rPr>
          <w:rFonts w:hint="eastAsia"/>
          <w:color w:val="auto"/>
          <w:highlight w:val="none"/>
        </w:rPr>
        <w:t>）目规定的评审因素和分值对评标价计算出得分</w:t>
      </w:r>
      <w:r>
        <w:rPr>
          <w:color w:val="auto"/>
          <w:highlight w:val="none"/>
        </w:rPr>
        <w:t xml:space="preserve"> C</w:t>
      </w:r>
      <w:r>
        <w:rPr>
          <w:rFonts w:hint="eastAsia"/>
          <w:color w:val="auto"/>
          <w:highlight w:val="none"/>
        </w:rPr>
        <w:t>。评标价得分分值计算保留小数点后两位，小数点后第三位“四舍五入”。</w:t>
      </w:r>
    </w:p>
    <w:p w14:paraId="1C727EB7">
      <w:pPr>
        <w:overflowPunct w:val="0"/>
        <w:spacing w:line="360" w:lineRule="exact"/>
        <w:ind w:firstLine="440" w:firstLineChars="200"/>
        <w:rPr>
          <w:rFonts w:hint="eastAsia"/>
          <w:color w:val="auto"/>
          <w:highlight w:val="none"/>
        </w:rPr>
      </w:pPr>
      <w:r>
        <w:rPr>
          <w:rFonts w:hint="eastAsia"/>
          <w:color w:val="auto"/>
          <w:highlight w:val="none"/>
        </w:rPr>
        <w:t>3.5.2 投标人综合得分</w:t>
      </w:r>
      <w:r>
        <w:rPr>
          <w:color w:val="auto"/>
          <w:highlight w:val="none"/>
        </w:rPr>
        <w:t>=</w:t>
      </w:r>
      <w:r>
        <w:rPr>
          <w:rFonts w:hint="eastAsia"/>
          <w:color w:val="auto"/>
          <w:highlight w:val="none"/>
        </w:rPr>
        <w:t>投标人的商务和技术得分</w:t>
      </w:r>
      <w:r>
        <w:rPr>
          <w:color w:val="auto"/>
          <w:highlight w:val="none"/>
        </w:rPr>
        <w:t>+C</w:t>
      </w:r>
      <w:r>
        <w:rPr>
          <w:rFonts w:hint="eastAsia"/>
          <w:color w:val="auto"/>
          <w:highlight w:val="none"/>
        </w:rPr>
        <w:t>。</w:t>
      </w:r>
    </w:p>
    <w:p w14:paraId="0755B436">
      <w:pPr>
        <w:overflowPunct w:val="0"/>
        <w:spacing w:line="360" w:lineRule="exact"/>
        <w:ind w:firstLine="440" w:firstLineChars="200"/>
        <w:rPr>
          <w:rFonts w:hint="eastAsia"/>
          <w:color w:val="auto"/>
          <w:highlight w:val="none"/>
        </w:rPr>
      </w:pPr>
      <w:r>
        <w:rPr>
          <w:rFonts w:hint="eastAsia"/>
          <w:color w:val="auto"/>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69F287C7">
      <w:pPr>
        <w:spacing w:before="300" w:after="300" w:line="360" w:lineRule="exact"/>
        <w:rPr>
          <w:rFonts w:hint="eastAsia"/>
          <w:b/>
          <w:color w:val="auto"/>
          <w:kern w:val="44"/>
          <w:sz w:val="24"/>
          <w:highlight w:val="none"/>
        </w:rPr>
      </w:pPr>
      <w:bookmarkStart w:id="23" w:name="_Toc18849"/>
      <w:r>
        <w:rPr>
          <w:rFonts w:hint="eastAsia"/>
          <w:b/>
          <w:color w:val="auto"/>
          <w:kern w:val="44"/>
          <w:sz w:val="24"/>
          <w:highlight w:val="none"/>
        </w:rPr>
        <w:t>3.6 投标文件相关信息的核查</w:t>
      </w:r>
      <w:bookmarkEnd w:id="23"/>
    </w:p>
    <w:p w14:paraId="6B78064D">
      <w:pPr>
        <w:overflowPunct w:val="0"/>
        <w:spacing w:line="360" w:lineRule="exact"/>
        <w:ind w:firstLine="440" w:firstLineChars="200"/>
        <w:rPr>
          <w:rFonts w:hint="eastAsia"/>
          <w:color w:val="auto"/>
          <w:highlight w:val="none"/>
        </w:rPr>
      </w:pPr>
      <w:r>
        <w:rPr>
          <w:rFonts w:hint="eastAsia"/>
          <w:color w:val="auto"/>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1967DFF1">
      <w:pPr>
        <w:overflowPunct w:val="0"/>
        <w:spacing w:line="360" w:lineRule="exact"/>
        <w:ind w:firstLine="440" w:firstLineChars="200"/>
        <w:rPr>
          <w:rFonts w:hint="eastAsia"/>
          <w:color w:val="auto"/>
          <w:highlight w:val="none"/>
        </w:rPr>
      </w:pPr>
      <w:r>
        <w:rPr>
          <w:rFonts w:hint="eastAsia"/>
          <w:color w:val="auto"/>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695EFC76">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）有下列情形之一的，属于投标人相互串通投标：</w:t>
      </w:r>
    </w:p>
    <w:p w14:paraId="27BAFD17">
      <w:pPr>
        <w:overflowPunct w:val="0"/>
        <w:spacing w:line="360" w:lineRule="exact"/>
        <w:ind w:firstLine="440" w:firstLineChars="200"/>
        <w:rPr>
          <w:rFonts w:hint="eastAsia"/>
          <w:color w:val="auto"/>
          <w:highlight w:val="none"/>
        </w:rPr>
      </w:pPr>
      <w:r>
        <w:rPr>
          <w:color w:val="auto"/>
          <w:highlight w:val="none"/>
        </w:rPr>
        <w:t>a.</w:t>
      </w:r>
      <w:r>
        <w:rPr>
          <w:rFonts w:hint="eastAsia"/>
          <w:color w:val="auto"/>
          <w:highlight w:val="none"/>
        </w:rPr>
        <w:t>投标人之间协商投标报价等投标文件的实质性内容；</w:t>
      </w:r>
    </w:p>
    <w:p w14:paraId="30018522">
      <w:pPr>
        <w:overflowPunct w:val="0"/>
        <w:spacing w:line="360" w:lineRule="exact"/>
        <w:ind w:firstLine="440" w:firstLineChars="200"/>
        <w:rPr>
          <w:rFonts w:hint="eastAsia"/>
          <w:color w:val="auto"/>
          <w:highlight w:val="none"/>
        </w:rPr>
      </w:pPr>
      <w:r>
        <w:rPr>
          <w:color w:val="auto"/>
          <w:highlight w:val="none"/>
        </w:rPr>
        <w:t>b.</w:t>
      </w:r>
      <w:r>
        <w:rPr>
          <w:rFonts w:hint="eastAsia"/>
          <w:color w:val="auto"/>
          <w:highlight w:val="none"/>
        </w:rPr>
        <w:t>投标人之间约定中标人；</w:t>
      </w:r>
    </w:p>
    <w:p w14:paraId="711D1EA1">
      <w:pPr>
        <w:overflowPunct w:val="0"/>
        <w:spacing w:line="360" w:lineRule="exact"/>
        <w:ind w:firstLine="440" w:firstLineChars="200"/>
        <w:rPr>
          <w:rFonts w:hint="eastAsia"/>
          <w:color w:val="auto"/>
          <w:highlight w:val="none"/>
        </w:rPr>
      </w:pPr>
      <w:r>
        <w:rPr>
          <w:color w:val="auto"/>
          <w:highlight w:val="none"/>
        </w:rPr>
        <w:t>c.</w:t>
      </w:r>
      <w:r>
        <w:rPr>
          <w:rFonts w:hint="eastAsia"/>
          <w:color w:val="auto"/>
          <w:highlight w:val="none"/>
        </w:rPr>
        <w:t>投标人之间约定部分投标人放弃投标或中标；</w:t>
      </w:r>
    </w:p>
    <w:p w14:paraId="7AF3CAFD">
      <w:pPr>
        <w:overflowPunct w:val="0"/>
        <w:spacing w:line="360" w:lineRule="exact"/>
        <w:ind w:firstLine="440" w:firstLineChars="200"/>
        <w:rPr>
          <w:rFonts w:hint="eastAsia"/>
          <w:color w:val="auto"/>
          <w:highlight w:val="none"/>
        </w:rPr>
      </w:pPr>
      <w:r>
        <w:rPr>
          <w:color w:val="auto"/>
          <w:highlight w:val="none"/>
        </w:rPr>
        <w:t>d.</w:t>
      </w:r>
      <w:r>
        <w:rPr>
          <w:rFonts w:hint="eastAsia"/>
          <w:color w:val="auto"/>
          <w:highlight w:val="none"/>
        </w:rPr>
        <w:t>属于同一集团、协会、商会等组织成员的投标人按照该组织要求协同投标；</w:t>
      </w:r>
    </w:p>
    <w:p w14:paraId="028FB7A9">
      <w:pPr>
        <w:overflowPunct w:val="0"/>
        <w:spacing w:line="360" w:lineRule="exact"/>
        <w:ind w:firstLine="440" w:firstLineChars="200"/>
        <w:rPr>
          <w:rFonts w:hint="eastAsia"/>
          <w:color w:val="auto"/>
          <w:highlight w:val="none"/>
        </w:rPr>
      </w:pPr>
      <w:r>
        <w:rPr>
          <w:color w:val="auto"/>
          <w:highlight w:val="none"/>
        </w:rPr>
        <w:t>e.</w:t>
      </w:r>
      <w:r>
        <w:rPr>
          <w:rFonts w:hint="eastAsia"/>
          <w:color w:val="auto"/>
          <w:highlight w:val="none"/>
        </w:rPr>
        <w:t>投标人之间为谋取中标或排斥特定投标人而采取的其他联合行动。</w:t>
      </w:r>
    </w:p>
    <w:p w14:paraId="17ECCEF2">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）有下列情形之一的，视为投标人相互串通投标：</w:t>
      </w:r>
    </w:p>
    <w:p w14:paraId="24FB6905">
      <w:pPr>
        <w:overflowPunct w:val="0"/>
        <w:spacing w:line="360" w:lineRule="exact"/>
        <w:ind w:firstLine="440" w:firstLineChars="200"/>
        <w:rPr>
          <w:rFonts w:hint="eastAsia"/>
          <w:color w:val="auto"/>
          <w:highlight w:val="none"/>
        </w:rPr>
      </w:pPr>
      <w:r>
        <w:rPr>
          <w:color w:val="auto"/>
          <w:highlight w:val="none"/>
        </w:rPr>
        <w:t>a.</w:t>
      </w:r>
      <w:r>
        <w:rPr>
          <w:rFonts w:hint="eastAsia"/>
          <w:color w:val="auto"/>
          <w:highlight w:val="none"/>
        </w:rPr>
        <w:t>不同投标人的投标文件由同一单位或个人编制；</w:t>
      </w:r>
    </w:p>
    <w:p w14:paraId="2D5FE428">
      <w:pPr>
        <w:overflowPunct w:val="0"/>
        <w:spacing w:line="360" w:lineRule="exact"/>
        <w:ind w:firstLine="440" w:firstLineChars="200"/>
        <w:rPr>
          <w:rFonts w:hint="eastAsia"/>
          <w:color w:val="auto"/>
          <w:highlight w:val="none"/>
        </w:rPr>
      </w:pPr>
      <w:r>
        <w:rPr>
          <w:color w:val="auto"/>
          <w:highlight w:val="none"/>
        </w:rPr>
        <w:t>b.</w:t>
      </w:r>
      <w:r>
        <w:rPr>
          <w:rFonts w:hint="eastAsia"/>
          <w:color w:val="auto"/>
          <w:highlight w:val="none"/>
        </w:rPr>
        <w:t>不同投标人委托同一单位或个人办理投标事宜；</w:t>
      </w:r>
    </w:p>
    <w:p w14:paraId="5C1A3BC2">
      <w:pPr>
        <w:overflowPunct w:val="0"/>
        <w:spacing w:line="360" w:lineRule="exact"/>
        <w:ind w:firstLine="440" w:firstLineChars="200"/>
        <w:rPr>
          <w:rFonts w:hint="eastAsia"/>
          <w:color w:val="auto"/>
          <w:highlight w:val="none"/>
        </w:rPr>
      </w:pPr>
      <w:r>
        <w:rPr>
          <w:color w:val="auto"/>
          <w:highlight w:val="none"/>
        </w:rPr>
        <w:t>c.</w:t>
      </w:r>
      <w:r>
        <w:rPr>
          <w:rFonts w:hint="eastAsia"/>
          <w:color w:val="auto"/>
          <w:highlight w:val="none"/>
        </w:rPr>
        <w:t>不同投标人的投标文件载明的项目管理成员为同一人；</w:t>
      </w:r>
    </w:p>
    <w:p w14:paraId="0DF603F3">
      <w:pPr>
        <w:overflowPunct w:val="0"/>
        <w:spacing w:line="360" w:lineRule="exact"/>
        <w:ind w:firstLine="440" w:firstLineChars="200"/>
        <w:rPr>
          <w:rFonts w:hint="eastAsia"/>
          <w:color w:val="auto"/>
          <w:highlight w:val="none"/>
        </w:rPr>
      </w:pPr>
      <w:r>
        <w:rPr>
          <w:color w:val="auto"/>
          <w:highlight w:val="none"/>
        </w:rPr>
        <w:t>d.</w:t>
      </w:r>
      <w:r>
        <w:rPr>
          <w:rFonts w:hint="eastAsia"/>
          <w:color w:val="auto"/>
          <w:highlight w:val="none"/>
        </w:rPr>
        <w:t>不同投标人的投标文件异常一致或投标报价呈规律性差异；</w:t>
      </w:r>
    </w:p>
    <w:p w14:paraId="6BE0E6BF">
      <w:pPr>
        <w:overflowPunct w:val="0"/>
        <w:spacing w:line="360" w:lineRule="exact"/>
        <w:ind w:firstLine="440" w:firstLineChars="200"/>
        <w:rPr>
          <w:rFonts w:hint="eastAsia"/>
          <w:color w:val="auto"/>
          <w:highlight w:val="none"/>
        </w:rPr>
      </w:pPr>
      <w:r>
        <w:rPr>
          <w:color w:val="auto"/>
          <w:highlight w:val="none"/>
        </w:rPr>
        <w:t>e.</w:t>
      </w:r>
      <w:r>
        <w:rPr>
          <w:rFonts w:hint="eastAsia"/>
          <w:color w:val="auto"/>
          <w:highlight w:val="none"/>
        </w:rPr>
        <w:t>不同投标人的投标文件相互混装；</w:t>
      </w:r>
    </w:p>
    <w:p w14:paraId="4AB03C4D">
      <w:pPr>
        <w:overflowPunct w:val="0"/>
        <w:spacing w:line="360" w:lineRule="exact"/>
        <w:ind w:firstLine="440" w:firstLineChars="200"/>
        <w:rPr>
          <w:rFonts w:hint="eastAsia"/>
          <w:color w:val="auto"/>
          <w:highlight w:val="none"/>
        </w:rPr>
      </w:pPr>
      <w:r>
        <w:rPr>
          <w:color w:val="auto"/>
          <w:highlight w:val="none"/>
        </w:rPr>
        <w:t>f.</w:t>
      </w:r>
      <w:r>
        <w:rPr>
          <w:rFonts w:hint="eastAsia"/>
          <w:color w:val="auto"/>
          <w:highlight w:val="none"/>
        </w:rPr>
        <w:t>不同投标人的投标保证金从同一单位或个人的账户转出。</w:t>
      </w:r>
    </w:p>
    <w:p w14:paraId="231BCE8D">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）有下列情形之一的，属于招标人与投标人串通投标：</w:t>
      </w:r>
    </w:p>
    <w:p w14:paraId="57071090">
      <w:pPr>
        <w:overflowPunct w:val="0"/>
        <w:spacing w:line="360" w:lineRule="exact"/>
        <w:ind w:firstLine="440" w:firstLineChars="200"/>
        <w:rPr>
          <w:rFonts w:hint="eastAsia"/>
          <w:color w:val="auto"/>
          <w:highlight w:val="none"/>
        </w:rPr>
      </w:pPr>
      <w:r>
        <w:rPr>
          <w:color w:val="auto"/>
          <w:highlight w:val="none"/>
        </w:rPr>
        <w:t>a.</w:t>
      </w:r>
      <w:r>
        <w:rPr>
          <w:rFonts w:hint="eastAsia"/>
          <w:color w:val="auto"/>
          <w:highlight w:val="none"/>
        </w:rPr>
        <w:t>招标人在开标前开启投标文件并将有关信息泄露给其他投标人；</w:t>
      </w:r>
    </w:p>
    <w:p w14:paraId="232B0E3B">
      <w:pPr>
        <w:overflowPunct w:val="0"/>
        <w:spacing w:line="360" w:lineRule="exact"/>
        <w:ind w:firstLine="440" w:firstLineChars="200"/>
        <w:rPr>
          <w:rFonts w:hint="eastAsia"/>
          <w:color w:val="auto"/>
          <w:highlight w:val="none"/>
        </w:rPr>
      </w:pPr>
      <w:r>
        <w:rPr>
          <w:color w:val="auto"/>
          <w:highlight w:val="none"/>
        </w:rPr>
        <w:t>b.</w:t>
      </w:r>
      <w:r>
        <w:rPr>
          <w:rFonts w:hint="eastAsia"/>
          <w:color w:val="auto"/>
          <w:highlight w:val="none"/>
        </w:rPr>
        <w:t>招标人直接或间接向投标人泄露标底、评标委员会成员等信息；</w:t>
      </w:r>
    </w:p>
    <w:p w14:paraId="6D324467">
      <w:pPr>
        <w:overflowPunct w:val="0"/>
        <w:spacing w:line="360" w:lineRule="exact"/>
        <w:ind w:firstLine="440" w:firstLineChars="200"/>
        <w:rPr>
          <w:rFonts w:hint="eastAsia"/>
          <w:color w:val="auto"/>
          <w:highlight w:val="none"/>
        </w:rPr>
      </w:pPr>
      <w:r>
        <w:rPr>
          <w:color w:val="auto"/>
          <w:highlight w:val="none"/>
        </w:rPr>
        <w:t>c.</w:t>
      </w:r>
      <w:r>
        <w:rPr>
          <w:rFonts w:hint="eastAsia"/>
          <w:color w:val="auto"/>
          <w:highlight w:val="none"/>
        </w:rPr>
        <w:t>招标人明示或暗示投标人压低或抬高投标报价；</w:t>
      </w:r>
    </w:p>
    <w:p w14:paraId="244D02D9">
      <w:pPr>
        <w:overflowPunct w:val="0"/>
        <w:spacing w:line="360" w:lineRule="exact"/>
        <w:ind w:firstLine="440" w:firstLineChars="200"/>
        <w:rPr>
          <w:rFonts w:hint="eastAsia"/>
          <w:color w:val="auto"/>
          <w:highlight w:val="none"/>
        </w:rPr>
      </w:pPr>
      <w:r>
        <w:rPr>
          <w:color w:val="auto"/>
          <w:highlight w:val="none"/>
        </w:rPr>
        <w:t>d.</w:t>
      </w:r>
      <w:r>
        <w:rPr>
          <w:rFonts w:hint="eastAsia"/>
          <w:color w:val="auto"/>
          <w:highlight w:val="none"/>
        </w:rPr>
        <w:t>招标人授意投标人撤换、修改投标文件；</w:t>
      </w:r>
    </w:p>
    <w:p w14:paraId="39821F67">
      <w:pPr>
        <w:overflowPunct w:val="0"/>
        <w:spacing w:line="360" w:lineRule="exact"/>
        <w:ind w:firstLine="440" w:firstLineChars="200"/>
        <w:rPr>
          <w:rFonts w:hint="eastAsia"/>
          <w:color w:val="auto"/>
          <w:highlight w:val="none"/>
        </w:rPr>
      </w:pPr>
      <w:r>
        <w:rPr>
          <w:color w:val="auto"/>
          <w:highlight w:val="none"/>
        </w:rPr>
        <w:t>e.</w:t>
      </w:r>
      <w:r>
        <w:rPr>
          <w:rFonts w:hint="eastAsia"/>
          <w:color w:val="auto"/>
          <w:highlight w:val="none"/>
        </w:rPr>
        <w:t>招标人明示或暗示投标人为特定投标人中标提供方便；</w:t>
      </w:r>
    </w:p>
    <w:p w14:paraId="0D9611B6">
      <w:pPr>
        <w:overflowPunct w:val="0"/>
        <w:spacing w:line="360" w:lineRule="exact"/>
        <w:ind w:firstLine="440" w:firstLineChars="200"/>
        <w:rPr>
          <w:rFonts w:hint="eastAsia"/>
          <w:color w:val="auto"/>
          <w:highlight w:val="none"/>
        </w:rPr>
      </w:pPr>
      <w:r>
        <w:rPr>
          <w:color w:val="auto"/>
          <w:highlight w:val="none"/>
        </w:rPr>
        <w:t>f.</w:t>
      </w:r>
      <w:r>
        <w:rPr>
          <w:rFonts w:hint="eastAsia"/>
          <w:color w:val="auto"/>
          <w:highlight w:val="none"/>
        </w:rPr>
        <w:t>招标人与投标人为谋求特定投标人中标而采取的其他串通行为。</w:t>
      </w:r>
    </w:p>
    <w:p w14:paraId="6D4BECC3">
      <w:pPr>
        <w:overflowPunct w:val="0"/>
        <w:spacing w:line="360" w:lineRule="exact"/>
        <w:ind w:firstLine="440" w:firstLineChars="200"/>
        <w:rPr>
          <w:rFonts w:hint="eastAsia"/>
          <w:color w:val="auto"/>
          <w:highlight w:val="none"/>
        </w:rPr>
      </w:pPr>
      <w:r>
        <w:rPr>
          <w:rFonts w:hint="eastAsia"/>
          <w:color w:val="auto"/>
          <w:highlight w:val="none"/>
        </w:rPr>
        <w:t>（</w:t>
      </w:r>
      <w:r>
        <w:rPr>
          <w:color w:val="auto"/>
          <w:highlight w:val="none"/>
        </w:rPr>
        <w:t>4</w:t>
      </w:r>
      <w:r>
        <w:rPr>
          <w:rFonts w:hint="eastAsia"/>
          <w:color w:val="auto"/>
          <w:highlight w:val="none"/>
        </w:rPr>
        <w:t>）投标人有下列情形之一的，属于弄虚作假的行为：</w:t>
      </w:r>
    </w:p>
    <w:p w14:paraId="44C0B469">
      <w:pPr>
        <w:overflowPunct w:val="0"/>
        <w:spacing w:line="360" w:lineRule="exact"/>
        <w:ind w:firstLine="440" w:firstLineChars="200"/>
        <w:rPr>
          <w:rFonts w:hint="eastAsia"/>
          <w:color w:val="auto"/>
          <w:highlight w:val="none"/>
        </w:rPr>
      </w:pPr>
      <w:r>
        <w:rPr>
          <w:color w:val="auto"/>
          <w:highlight w:val="none"/>
        </w:rPr>
        <w:t>a.</w:t>
      </w:r>
      <w:r>
        <w:rPr>
          <w:rFonts w:hint="eastAsia"/>
          <w:color w:val="auto"/>
          <w:highlight w:val="none"/>
        </w:rPr>
        <w:t>使用通过受让或租借等方式获取的资格、资质证书投标；</w:t>
      </w:r>
    </w:p>
    <w:p w14:paraId="41B64637">
      <w:pPr>
        <w:overflowPunct w:val="0"/>
        <w:spacing w:line="360" w:lineRule="exact"/>
        <w:ind w:firstLine="440" w:firstLineChars="200"/>
        <w:rPr>
          <w:rFonts w:hint="eastAsia"/>
          <w:color w:val="auto"/>
          <w:highlight w:val="none"/>
        </w:rPr>
      </w:pPr>
      <w:r>
        <w:rPr>
          <w:color w:val="auto"/>
          <w:highlight w:val="none"/>
        </w:rPr>
        <w:t>b.</w:t>
      </w:r>
      <w:r>
        <w:rPr>
          <w:rFonts w:hint="eastAsia"/>
          <w:color w:val="auto"/>
          <w:highlight w:val="none"/>
        </w:rPr>
        <w:t>使用伪造、变造的许可证件；</w:t>
      </w:r>
    </w:p>
    <w:p w14:paraId="1C968D7F">
      <w:pPr>
        <w:overflowPunct w:val="0"/>
        <w:spacing w:line="360" w:lineRule="exact"/>
        <w:ind w:firstLine="440" w:firstLineChars="200"/>
        <w:rPr>
          <w:rFonts w:hint="eastAsia"/>
          <w:color w:val="auto"/>
          <w:highlight w:val="none"/>
        </w:rPr>
      </w:pPr>
      <w:r>
        <w:rPr>
          <w:color w:val="auto"/>
          <w:highlight w:val="none"/>
        </w:rPr>
        <w:t>c.</w:t>
      </w:r>
      <w:r>
        <w:rPr>
          <w:rFonts w:hint="eastAsia"/>
          <w:color w:val="auto"/>
          <w:highlight w:val="none"/>
        </w:rPr>
        <w:t>提供虚假的财务状况或业绩；</w:t>
      </w:r>
    </w:p>
    <w:p w14:paraId="22EE1991">
      <w:pPr>
        <w:overflowPunct w:val="0"/>
        <w:spacing w:line="360" w:lineRule="exact"/>
        <w:ind w:firstLine="440" w:firstLineChars="200"/>
        <w:rPr>
          <w:rFonts w:hint="eastAsia"/>
          <w:color w:val="auto"/>
          <w:highlight w:val="none"/>
        </w:rPr>
      </w:pPr>
      <w:r>
        <w:rPr>
          <w:color w:val="auto"/>
          <w:highlight w:val="none"/>
        </w:rPr>
        <w:t>d.</w:t>
      </w:r>
      <w:r>
        <w:rPr>
          <w:rFonts w:hint="eastAsia"/>
          <w:color w:val="auto"/>
          <w:highlight w:val="none"/>
        </w:rPr>
        <w:t>提供虚假的项目负责人或主要技术人员简历、劳动关系证明；</w:t>
      </w:r>
    </w:p>
    <w:p w14:paraId="330930EC">
      <w:pPr>
        <w:overflowPunct w:val="0"/>
        <w:spacing w:line="360" w:lineRule="exact"/>
        <w:ind w:firstLine="440" w:firstLineChars="200"/>
        <w:rPr>
          <w:rFonts w:hint="eastAsia"/>
          <w:color w:val="auto"/>
          <w:highlight w:val="none"/>
        </w:rPr>
      </w:pPr>
      <w:r>
        <w:rPr>
          <w:color w:val="auto"/>
          <w:highlight w:val="none"/>
        </w:rPr>
        <w:t>e.</w:t>
      </w:r>
      <w:r>
        <w:rPr>
          <w:rFonts w:hint="eastAsia"/>
          <w:color w:val="auto"/>
          <w:highlight w:val="none"/>
        </w:rPr>
        <w:t>提供虚假的信用状况；</w:t>
      </w:r>
    </w:p>
    <w:p w14:paraId="1174349C">
      <w:pPr>
        <w:overflowPunct w:val="0"/>
        <w:spacing w:line="360" w:lineRule="exact"/>
        <w:ind w:firstLine="440" w:firstLineChars="200"/>
        <w:rPr>
          <w:rFonts w:hint="eastAsia"/>
          <w:color w:val="auto"/>
          <w:highlight w:val="none"/>
        </w:rPr>
      </w:pPr>
      <w:r>
        <w:rPr>
          <w:color w:val="auto"/>
          <w:highlight w:val="none"/>
        </w:rPr>
        <w:t>f.</w:t>
      </w:r>
      <w:r>
        <w:rPr>
          <w:rFonts w:hint="eastAsia"/>
          <w:color w:val="auto"/>
          <w:highlight w:val="none"/>
        </w:rPr>
        <w:t>其他弄虚作假的行为。</w:t>
      </w:r>
    </w:p>
    <w:p w14:paraId="60D89EDA">
      <w:pPr>
        <w:spacing w:before="300" w:after="300" w:line="360" w:lineRule="exact"/>
        <w:rPr>
          <w:rFonts w:hint="eastAsia"/>
          <w:b/>
          <w:color w:val="auto"/>
          <w:kern w:val="44"/>
          <w:sz w:val="24"/>
          <w:highlight w:val="none"/>
        </w:rPr>
      </w:pPr>
      <w:bookmarkStart w:id="24" w:name="_Toc25392"/>
      <w:r>
        <w:rPr>
          <w:rFonts w:hint="eastAsia"/>
          <w:b/>
          <w:color w:val="auto"/>
          <w:kern w:val="44"/>
          <w:sz w:val="24"/>
          <w:highlight w:val="none"/>
        </w:rPr>
        <w:t>3.7 投标文件的澄清和说明</w:t>
      </w:r>
      <w:bookmarkEnd w:id="24"/>
    </w:p>
    <w:p w14:paraId="24382926">
      <w:pPr>
        <w:overflowPunct w:val="0"/>
        <w:spacing w:line="360" w:lineRule="exact"/>
        <w:ind w:firstLine="440" w:firstLineChars="200"/>
        <w:rPr>
          <w:rFonts w:hint="eastAsia"/>
          <w:color w:val="auto"/>
          <w:highlight w:val="none"/>
        </w:rPr>
      </w:pPr>
      <w:r>
        <w:rPr>
          <w:rFonts w:hint="eastAsia"/>
          <w:color w:val="auto"/>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68A82B5">
      <w:pPr>
        <w:overflowPunct w:val="0"/>
        <w:spacing w:line="360" w:lineRule="exact"/>
        <w:ind w:firstLine="440" w:firstLineChars="200"/>
        <w:rPr>
          <w:rFonts w:hint="eastAsia"/>
          <w:color w:val="auto"/>
          <w:highlight w:val="none"/>
        </w:rPr>
      </w:pPr>
      <w:r>
        <w:rPr>
          <w:rFonts w:hint="eastAsia"/>
          <w:color w:val="auto"/>
          <w:highlight w:val="none"/>
        </w:rPr>
        <w:t>3.7.2 澄清和说明不得超出投标文件的范围或改变投标文件的实质性内容（算术性错误的修正除外）。投标人的书面澄清、说明属于投标文件的组成部分。</w:t>
      </w:r>
    </w:p>
    <w:p w14:paraId="3B3CBF1D">
      <w:pPr>
        <w:overflowPunct w:val="0"/>
        <w:spacing w:line="360" w:lineRule="exact"/>
        <w:ind w:firstLine="440" w:firstLineChars="200"/>
        <w:rPr>
          <w:rFonts w:hint="eastAsia"/>
          <w:color w:val="auto"/>
          <w:highlight w:val="none"/>
        </w:rPr>
      </w:pPr>
      <w:r>
        <w:rPr>
          <w:rFonts w:hint="eastAsia"/>
          <w:color w:val="auto"/>
          <w:highlight w:val="none"/>
        </w:rPr>
        <w:t>3.7.3 评标委员会不得暗示或诱导投标人作出澄清、说明，对投标人提交的澄清、说明有疑问的，可以要求投标人进一步澄清或说明，直至满足评标委员会的要求。</w:t>
      </w:r>
    </w:p>
    <w:p w14:paraId="3A9BCFD6">
      <w:pPr>
        <w:overflowPunct w:val="0"/>
        <w:spacing w:line="360" w:lineRule="exact"/>
        <w:ind w:firstLine="440" w:firstLineChars="200"/>
        <w:rPr>
          <w:rFonts w:hint="eastAsia"/>
          <w:color w:val="auto"/>
          <w:highlight w:val="none"/>
        </w:rPr>
      </w:pPr>
      <w:r>
        <w:rPr>
          <w:rFonts w:hint="eastAsia"/>
          <w:color w:val="auto"/>
          <w:highlight w:val="none"/>
        </w:rPr>
        <w:t>3.7.4 凡超出招标文件规定的或给发包人带来未曾要求的利益的变化、偏差或其他因素在评标时不予考虑。</w:t>
      </w:r>
    </w:p>
    <w:p w14:paraId="132EFEED">
      <w:pPr>
        <w:spacing w:before="300" w:after="300" w:line="360" w:lineRule="exact"/>
        <w:rPr>
          <w:rFonts w:hint="eastAsia"/>
          <w:b/>
          <w:color w:val="auto"/>
          <w:kern w:val="44"/>
          <w:sz w:val="24"/>
          <w:highlight w:val="none"/>
        </w:rPr>
      </w:pPr>
      <w:bookmarkStart w:id="25" w:name="_Toc4574"/>
      <w:r>
        <w:rPr>
          <w:rFonts w:hint="eastAsia"/>
          <w:b/>
          <w:color w:val="auto"/>
          <w:kern w:val="44"/>
          <w:sz w:val="24"/>
          <w:highlight w:val="none"/>
        </w:rPr>
        <w:t>3.8 不得否决投标的情形</w:t>
      </w:r>
      <w:bookmarkEnd w:id="25"/>
    </w:p>
    <w:p w14:paraId="70AF2BF6">
      <w:pPr>
        <w:overflowPunct w:val="0"/>
        <w:spacing w:line="360" w:lineRule="exact"/>
        <w:ind w:firstLine="440" w:firstLineChars="200"/>
        <w:rPr>
          <w:rFonts w:hint="eastAsia"/>
          <w:color w:val="auto"/>
          <w:highlight w:val="none"/>
        </w:rPr>
      </w:pPr>
      <w:r>
        <w:rPr>
          <w:rFonts w:hint="eastAsia"/>
          <w:color w:val="auto"/>
          <w:highlight w:val="none"/>
        </w:rPr>
        <w:t>投标文件存在第二章“投标人须知”第</w:t>
      </w:r>
      <w:r>
        <w:rPr>
          <w:color w:val="auto"/>
          <w:highlight w:val="none"/>
        </w:rPr>
        <w:t xml:space="preserve"> 1.12.3 </w:t>
      </w:r>
      <w:r>
        <w:rPr>
          <w:rFonts w:hint="eastAsia"/>
          <w:color w:val="auto"/>
          <w:highlight w:val="none"/>
        </w:rPr>
        <w:t>项所列情形的，均视为细微偏差，评标委员会不得否决投标人的投标，应按照第二章“投标人须知”第</w:t>
      </w:r>
      <w:r>
        <w:rPr>
          <w:color w:val="auto"/>
          <w:highlight w:val="none"/>
        </w:rPr>
        <w:t xml:space="preserve"> 1.12.4  </w:t>
      </w:r>
      <w:r>
        <w:rPr>
          <w:rFonts w:hint="eastAsia"/>
          <w:color w:val="auto"/>
          <w:highlight w:val="none"/>
        </w:rPr>
        <w:t>项规定的原则处理。</w:t>
      </w:r>
    </w:p>
    <w:p w14:paraId="1996116C">
      <w:pPr>
        <w:spacing w:before="300" w:after="300" w:line="360" w:lineRule="exact"/>
        <w:rPr>
          <w:rFonts w:hint="eastAsia"/>
          <w:b/>
          <w:color w:val="auto"/>
          <w:kern w:val="44"/>
          <w:sz w:val="24"/>
          <w:highlight w:val="none"/>
        </w:rPr>
      </w:pPr>
      <w:bookmarkStart w:id="26" w:name="_Toc2934"/>
      <w:r>
        <w:rPr>
          <w:rFonts w:hint="eastAsia"/>
          <w:b/>
          <w:color w:val="auto"/>
          <w:kern w:val="44"/>
          <w:sz w:val="24"/>
          <w:highlight w:val="none"/>
        </w:rPr>
        <w:t>3.9 评标结果</w:t>
      </w:r>
      <w:bookmarkEnd w:id="26"/>
    </w:p>
    <w:p w14:paraId="5C7548E2">
      <w:pPr>
        <w:overflowPunct w:val="0"/>
        <w:spacing w:line="360" w:lineRule="exact"/>
        <w:ind w:firstLine="440" w:firstLineChars="200"/>
        <w:rPr>
          <w:rFonts w:hint="eastAsia"/>
          <w:color w:val="auto"/>
          <w:highlight w:val="none"/>
        </w:rPr>
      </w:pPr>
      <w:r>
        <w:rPr>
          <w:rFonts w:hint="eastAsia"/>
          <w:color w:val="auto"/>
          <w:highlight w:val="none"/>
        </w:rPr>
        <w:t>3.9.1 除第二章“投标人须知”前附表授权直接确定中标人外，评标委员会按照得分由高到低的顺序推荐中标候选人，并标明排序。</w:t>
      </w:r>
    </w:p>
    <w:p w14:paraId="23C7896D">
      <w:pPr>
        <w:spacing w:line="440" w:lineRule="exact"/>
        <w:ind w:firstLine="390"/>
        <w:rPr>
          <w:rFonts w:hint="eastAsia"/>
          <w:color w:val="auto"/>
          <w:highlight w:val="none"/>
        </w:rPr>
      </w:pPr>
      <w:r>
        <w:rPr>
          <w:rFonts w:hint="eastAsia"/>
          <w:color w:val="auto"/>
          <w:highlight w:val="none"/>
        </w:rPr>
        <w:t>3.9.2 评标委员会完成评标后，应向招标人提交书面评标报告。</w:t>
      </w:r>
    </w:p>
    <w:p w14:paraId="061D991B"/>
    <w:p w14:paraId="4DD782E9">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宋体"/>
    <w:panose1 w:val="00000000000000000000"/>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E7AD">
    <w:pPr>
      <w:spacing w:line="173" w:lineRule="auto"/>
      <w:ind w:left="4143"/>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9F6D6">
                          <w:pPr>
                            <w:pStyle w:val="7"/>
                            <w:rPr>
                              <w:rFonts w:hint="eastAsia"/>
                            </w:rP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2319F6D6">
                    <w:pPr>
                      <w:pStyle w:val="7"/>
                      <w:rPr>
                        <w:rFonts w:hint="eastAsia"/>
                      </w:rPr>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3753">
    <w:pPr>
      <w:pStyle w:val="4"/>
      <w:overflowPunct w:val="0"/>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B39CD">
                          <w:pPr>
                            <w:pStyle w:val="7"/>
                            <w:rPr>
                              <w:rFonts w:hint="eastAsia"/>
                            </w:rPr>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51AB39CD">
                    <w:pPr>
                      <w:pStyle w:val="7"/>
                      <w:rPr>
                        <w:rFonts w:hint="eastAsia"/>
                      </w:rPr>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0FED">
    <w:pPr>
      <w:pStyle w:val="4"/>
      <w:overflowPunct w:val="0"/>
      <w:spacing w:line="14" w:lineRule="auto"/>
      <w:rPr>
        <w:rFonts w:hint="eastAsia"/>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21ADF"/>
    <w:rsid w:val="00EF2C0F"/>
    <w:rsid w:val="11E53CBD"/>
    <w:rsid w:val="12132038"/>
    <w:rsid w:val="4FA21ADF"/>
    <w:rsid w:val="580D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6"/>
    <w:basedOn w:val="1"/>
    <w:next w:val="1"/>
    <w:qFormat/>
    <w:uiPriority w:val="0"/>
    <w:pPr>
      <w:keepNext/>
      <w:keepLines/>
      <w:tabs>
        <w:tab w:val="left" w:pos="1440"/>
      </w:tabs>
      <w:spacing w:before="240" w:after="64" w:line="317" w:lineRule="auto"/>
      <w:ind w:left="1152" w:hanging="1152"/>
      <w:outlineLvl w:val="5"/>
    </w:pPr>
    <w:rPr>
      <w:rFonts w:eastAsia="黑体"/>
      <w:b/>
      <w:bCs/>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cs="黑体"/>
    </w:rPr>
  </w:style>
  <w:style w:type="paragraph" w:styleId="4">
    <w:name w:val="Body Text"/>
    <w:basedOn w:val="1"/>
    <w:next w:val="1"/>
    <w:qFormat/>
    <w:uiPriority w:val="1"/>
    <w:pPr>
      <w:ind w:left="482" w:firstLine="479"/>
    </w:pPr>
    <w:rPr>
      <w:sz w:val="24"/>
      <w:szCs w:val="24"/>
    </w:rPr>
  </w:style>
  <w:style w:type="paragraph" w:styleId="5">
    <w:name w:val="Body Text Indent"/>
    <w:basedOn w:val="4"/>
    <w:next w:val="1"/>
    <w:qFormat/>
    <w:uiPriority w:val="0"/>
    <w:pPr>
      <w:spacing w:after="120"/>
      <w:ind w:left="420" w:leftChars="200"/>
    </w:pPr>
  </w:style>
  <w:style w:type="paragraph" w:styleId="6">
    <w:name w:val="Plain Text"/>
    <w:basedOn w:val="1"/>
    <w:qFormat/>
    <w:uiPriority w:val="0"/>
    <w:pPr>
      <w:autoSpaceDE/>
      <w:autoSpaceDN/>
      <w:jc w:val="both"/>
    </w:pPr>
    <w:rPr>
      <w:rFonts w:hAnsi="Courier New" w:cs="Times New Roman"/>
      <w:kern w:val="2"/>
      <w:szCs w:val="20"/>
    </w:rPr>
  </w:style>
  <w:style w:type="paragraph" w:styleId="7">
    <w:name w:val="footer"/>
    <w:basedOn w:val="1"/>
    <w:qFormat/>
    <w:uiPriority w:val="0"/>
    <w:pPr>
      <w:tabs>
        <w:tab w:val="center" w:pos="4153"/>
        <w:tab w:val="right" w:pos="8306"/>
      </w:tabs>
      <w:snapToGrid w:val="0"/>
    </w:pPr>
    <w:rPr>
      <w:sz w:val="18"/>
    </w:rPr>
  </w:style>
  <w:style w:type="paragraph" w:customStyle="1" w:styleId="10">
    <w:name w:val="Table Text"/>
    <w:basedOn w:val="1"/>
    <w:semiHidden/>
    <w:qFormat/>
    <w:uiPriority w:val="0"/>
    <w:rPr>
      <w:sz w:val="18"/>
      <w:szCs w:val="18"/>
    </w:rPr>
  </w:style>
  <w:style w:type="paragraph" w:customStyle="1" w:styleId="11">
    <w:name w:val="NavPane"/>
    <w:basedOn w:val="1"/>
    <w:qFormat/>
    <w:uiPriority w:val="0"/>
    <w:pPr>
      <w:spacing w:line="360" w:lineRule="auto"/>
      <w:ind w:firstLine="560" w:firstLineChars="200"/>
      <w:jc w:val="both"/>
    </w:pPr>
    <w:rPr>
      <w:rFonts w:ascii="Heiti SC Light" w:hAnsi="Calibri" w:eastAsia="Heiti SC Light"/>
      <w:kern w:val="2"/>
      <w:sz w:val="28"/>
      <w:szCs w:val="24"/>
    </w:rPr>
  </w:style>
  <w:style w:type="character" w:customStyle="1" w:styleId="12">
    <w:name w:val="正文文本 (2) + 10 pt37"/>
    <w:qFormat/>
    <w:uiPriority w:val="0"/>
    <w:rPr>
      <w:rFonts w:ascii="MingLiU" w:eastAsia="MingLiU" w:cs="MingLiU"/>
      <w:spacing w:val="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634</Words>
  <Characters>702</Characters>
  <Lines>0</Lines>
  <Paragraphs>0</Paragraphs>
  <TotalTime>0</TotalTime>
  <ScaleCrop>false</ScaleCrop>
  <LinksUpToDate>false</LinksUpToDate>
  <CharactersWithSpaces>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2025-09-02T08:11:00Z</dcterms:created>
  <dc:creator>姚涛</dc:creator>
  <cp:lastModifiedBy>钟飞香</cp:lastModifiedBy>
  <dcterms:modified xsi:type="dcterms:W3CDTF">2025-09-05T01:48:44Z</dcterms:modified>
  <cp:revision>1</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2052-12.1.0.21915</vt:lpwstr>
  </op:property>
  <op:property fmtid="{D5CDD505-2E9C-101B-9397-08002B2CF9AE}" pid="3" name="ICV">
    <vt:lpwstr>6310E08ED8894A1891E0D1BBAFF16939_13</vt:lpwstr>
  </op:property>
  <op:property fmtid="{D5CDD505-2E9C-101B-9397-08002B2CF9AE}" pid="4" name="_IPGFID">
    <vt:lpwstr>[DocID]=89BFE50A-D401-4EC0-B4AC-0181842A4285</vt:lpwstr>
  </op:property>
  <op:property fmtid="{D5CDD505-2E9C-101B-9397-08002B2CF9AE}" pid="5" name="_IPGFLOW_P-B8EA_E-1_FP-1_SP-1_CV-6DC4011E_CN-B10E45FA">
    <vt:lpwstr>34RbPSCe+oAeBR13At+4y4TxURQCvN0NenSCWlu5Jl6KEH/TY7huEGMRHx0vhtHGcdOuDFVQwuqZWUHPSqtmkjRcCY1cxUHbePazZJn8sZIAFpDCc+Dhm1d+FA90QCrsR5KnXr9wO7Pd7e+zEBdyZ+sW6PwJVxeb2JYgw+84dP42GG0uYeOhWnmTJf4yeOY81RTg7bUhqe0rVI8HM0zwqei+p/HM1h88iiQNF8uU5XgS72152n9axAqdO59suq7</vt:lpwstr>
  </op:property>
  <op:property fmtid="{D5CDD505-2E9C-101B-9397-08002B2CF9AE}" pid="6" name="_IPGFLOW_P-B8EA_E-1_FP-1_SP-2_CV-7F0BA111_CN-283E205F">
    <vt:lpwstr>8IQ0Pa3U6QzP2rxgU1R+7vRtkIw2sIJf9Okt6AsuiZi5ZZDaMy1N+mszMuPT+345SjjUDHfIOg3Gn4Gi4fXPejZR7hnBMafF2S+IPjhJleQV/NBKPCUIEvl4N+SjgUE1J</vt:lpwstr>
  </op:property>
  <op:property fmtid="{D5CDD505-2E9C-101B-9397-08002B2CF9AE}" pid="7" name="_IPGFLOW_P-B8EA_E-0_FP-1_CV-1748F583_CN-58B8D614">
    <vt:lpwstr>DPSPMK|3|384|2|0</vt:lpwstr>
  </op:property>
  <op:property fmtid="{D5CDD505-2E9C-101B-9397-08002B2CF9AE}" pid="8" name="_IPGFLOW_P-B8EA_E-1_FP-2_SP-1_CV-37E7A2E3_CN-7CE1D4DC">
    <vt:lpwstr>34RbPSCe+oAeBR13At+4y0gHg+IsEG3ZwOT4IJTK/pmxuX79T0mfyO8bY8FKdgrJ8nSdTaEapmTRa21neIo8T6fVlJvTWTIU5ME68rFQ+LSk/wzDCrzMDq69L+mcfQe3MdLaIFXsSwFWlpECdcCo9J0P2ELmAE6A10g0Zl0paQhORgZxAa8VfG8LpcYRQZJx8cZ8iER2lcdFevXcG+IOHvSrcURULdwFQw/SdNl9mRPFbtYYIjY/GCDYB7bFQrq</vt:lpwstr>
  </op:property>
  <op:property fmtid="{D5CDD505-2E9C-101B-9397-08002B2CF9AE}" pid="9" name="_IPGFLOW_P-B8EA_E-1_FP-2_SP-2_CV-D3C8E647_CN-7EDAC361">
    <vt:lpwstr>PGu/XdEzG7B0kKAEFJ4s+I72MdrTRFpQ7nZYR9u9SzweU5etqsbCoWbhYln7Z8TklNUvMVTLaKYWv9KFVv1BaXBEkuFB5MQrgKaypHF/CyhCaOFwelvIfqXQVS/n5IjhB</vt:lpwstr>
  </op:property>
  <op:property fmtid="{D5CDD505-2E9C-101B-9397-08002B2CF9AE}" pid="10" name="_IPGFLOW_P-B8EA_E-0_FP-2_CV-1748F583_CN-E572BADA">
    <vt:lpwstr>DPSPMK|3|384|2|0</vt:lpwstr>
  </op:property>
  <op:property fmtid="{D5CDD505-2E9C-101B-9397-08002B2CF9AE}" pid="11" name="KSOTemplateDocerSaveRecord">
    <vt:lpwstr>eyJoZGlkIjoiOTc3ZDJiNjdiODdiMTM3MTQyMGZiZDEzMDc0OTIwODQiLCJ1c2VySWQiOiIxNzMzMTEzOTM1In0=</vt:lpwstr>
  </op:property>
  <op:property fmtid="{D5CDD505-2E9C-101B-9397-08002B2CF9AE}" pid="12" name="_IPGFLOW_P-B8EA_E-1_FP-3_SP-1_CV-54327AFD_CN-8C008E9E">
    <vt:lpwstr>34RbPSCe+oAeBR13At+4y/6oBjKLjMwvE8VqIjdwEQn8SiI32aBQe8cspcV9MT15E1wt1Oq9qJJGLhldT6q9VZdnmbMtLkXtsgPF6dZwHfo75sYbsDtcW96kz4GtmkPFQBsAFiJ0jKbXzbQF576cDgFI1nEWrFy5guDuG2lglpYrj2BoicziH55VH6nLh33pRgNTHUepB7L74wpHLUbc1ws6xZWE7N8kEvMUt0sNgtEd2ByfSf2Q1KsrB1kRtT2</vt:lpwstr>
  </op:property>
  <op:property fmtid="{D5CDD505-2E9C-101B-9397-08002B2CF9AE}" pid="13" name="_IPGFLOW_P-B8EA_E-1_FP-3_SP-2_CV-EEC055BE_CN-4CFD0B6B">
    <vt:lpwstr>K9MJSnBa/gE1+tZ2z5yp9749tM8xJ1+RXfwJTZtruKbDZfyeW8yYZsr3Xu8QJde6UaWsu2bZoMOyJJx65Tys7IsHvuS+O0gWFdFLlivTpf5axwhS8/3Xa2u1WGLrk1U01</vt:lpwstr>
  </op:property>
  <op:property fmtid="{D5CDD505-2E9C-101B-9397-08002B2CF9AE}" pid="14" name="_IPGFLOW_P-B8EA_E-0_FP-3_CV-1748F583_CN-38E4635F">
    <vt:lpwstr>DPSPMK|3|384|2|0</vt:lpwstr>
  </op:property>
  <op:property fmtid="{D5CDD505-2E9C-101B-9397-08002B2CF9AE}" pid="15" name="_IPGFLOW_P-B8EA_E-0_CV-8E99CE07_CN-FC2809F2">
    <vt:lpwstr>DPFPMK|3|50|4|0</vt:lpwstr>
  </op:property>
  <op:property fmtid="{D5CDD505-2E9C-101B-9397-08002B2CF9AE}" pid="16" name="_IPGFLOW_P-B8EA_E-1_FP-4_SP-1_CV-DF0878E1_CN-EA653B56">
    <vt:lpwstr>34RbPSCe+oAeBR13At+4yxxlGvs1g33v00MlkgfcGHPm9PFbqlEBOqS2BOl8w3+wjySrvexJOxb8q/t50bU/drDNtbbW7pLpmxA5A6Nb4+K7PmUIfvjr7myK+iTZXI09qj0qZ1RNE88+6/3IKXOOL91XV68ULAm672h9sEPorg7WSO8RMDnHiAe7BcUDanPWBo6sVsT5J9MCdM33b/TiJL58STRNZvizD5nyvPeALfXAhh0fqGaZmsvRSQVTRGl</vt:lpwstr>
  </op:property>
  <op:property fmtid="{D5CDD505-2E9C-101B-9397-08002B2CF9AE}" pid="17" name="_IPGFLOW_P-B8EA_E-1_FP-4_SP-2_CV-86B0F56A_CN-B9EEEBC4">
    <vt:lpwstr>USaO7GDsEmYKmZpI60xEkRdLKmxEHjpG2xOL/EtWnQIlr0KdMgfOa4LIGhgfeE65sIWdQdGqWZrFTmTlKc6HTmGd5BwZtLTURSpQB1Yxy7UKv5+SeXffytinomKW/6+FJyqn8hR+OuCX2ICCce/WOTcfJODhC+/rXuUuFWPrZO9UsbI4jDMDpmS055SfUzcOdyYSVB/cYOOdj9WNpNc/ntNWW8JvPXrSevcIKmy3U30F/X4mPbLo6w4VclECM3c</vt:lpwstr>
  </op:property>
  <op:property fmtid="{D5CDD505-2E9C-101B-9397-08002B2CF9AE}" pid="18" name="_IPGFLOW_P-B8EA_E-1_FP-4_SP-3_CV-CE8F8F1D_CN-76952D17">
    <vt:lpwstr>m9</vt:lpwstr>
  </op:property>
  <op:property fmtid="{D5CDD505-2E9C-101B-9397-08002B2CF9AE}" pid="19" name="_IPGFLOW_P-B8EA_E-0_FP-4_CV-DD150EE6_CN-24A40163">
    <vt:lpwstr>DPSPMK|3|512|3|0</vt:lpwstr>
  </op:property>
  <op:property fmtid="{D5CDD505-2E9C-101B-9397-08002B2CF9AE}" pid="20" name="_IPGLAB_P-B8EA_E-1_CV-D81B023E_CN-4CA1DACB">
    <vt:lpwstr>34RbPSCe+oAeBR13At+4y1nc/XEqYCixj2cQQT946sIz+IillnaJbz1Zour+lM2OEy4RmjB+kGdXMvfZ65rY7e/kw01/bO2jzUZqJTbc4Zg=</vt:lpwstr>
  </op:property>
</op:Properties>
</file>