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7AC8E5">
      <w:pPr>
        <w:ind w:firstLine="1446" w:firstLineChars="300"/>
        <w:rPr>
          <w:rFonts w:ascii="宋体" w:hAnsi="宋体" w:cs="宋体"/>
          <w:b/>
          <w:sz w:val="48"/>
          <w:szCs w:val="48"/>
        </w:rPr>
      </w:pPr>
    </w:p>
    <w:p w14:paraId="74D42C7F">
      <w:pPr>
        <w:pStyle w:val="20"/>
        <w:ind w:firstLine="400"/>
        <w:rPr>
          <w:rFonts w:hint="default"/>
        </w:rPr>
      </w:pPr>
    </w:p>
    <w:p w14:paraId="5FA386E2">
      <w:pPr>
        <w:ind w:firstLine="1446" w:firstLineChars="300"/>
        <w:rPr>
          <w:rFonts w:ascii="宋体" w:hAnsi="宋体" w:cs="宋体"/>
          <w:b/>
          <w:sz w:val="48"/>
          <w:szCs w:val="48"/>
        </w:rPr>
      </w:pPr>
    </w:p>
    <w:p w14:paraId="264A2CFD">
      <w:pPr>
        <w:jc w:val="center"/>
        <w:rPr>
          <w:rFonts w:ascii="宋体" w:hAnsi="宋体"/>
          <w:sz w:val="28"/>
          <w:szCs w:val="28"/>
        </w:rPr>
      </w:pPr>
      <w:r>
        <w:rPr>
          <w:rFonts w:hint="eastAsia" w:ascii="宋体" w:hAnsi="宋体" w:cs="宋体"/>
          <w:b/>
          <w:bCs/>
          <w:sz w:val="52"/>
          <w:szCs w:val="52"/>
        </w:rPr>
        <w:t>番禺区石碁水厂扩建工程施工监理</w:t>
      </w:r>
    </w:p>
    <w:p w14:paraId="703735EB">
      <w:pPr>
        <w:rPr>
          <w:rFonts w:ascii="宋体" w:hAnsi="宋体"/>
          <w:sz w:val="28"/>
          <w:szCs w:val="28"/>
        </w:rPr>
      </w:pPr>
    </w:p>
    <w:p w14:paraId="243D2A7A">
      <w:pPr>
        <w:rPr>
          <w:rFonts w:ascii="宋体" w:hAnsi="宋体"/>
          <w:sz w:val="28"/>
          <w:szCs w:val="28"/>
        </w:rPr>
      </w:pPr>
    </w:p>
    <w:p w14:paraId="6F9E408F">
      <w:pPr>
        <w:rPr>
          <w:rFonts w:ascii="宋体" w:hAnsi="宋体"/>
          <w:sz w:val="28"/>
          <w:szCs w:val="28"/>
        </w:rPr>
      </w:pPr>
    </w:p>
    <w:p w14:paraId="56494628">
      <w:pPr>
        <w:rPr>
          <w:rFonts w:ascii="宋体" w:hAnsi="宋体"/>
          <w:sz w:val="28"/>
          <w:szCs w:val="28"/>
        </w:rPr>
      </w:pPr>
    </w:p>
    <w:p w14:paraId="3784E492">
      <w:pPr>
        <w:rPr>
          <w:rFonts w:ascii="宋体" w:hAnsi="宋体"/>
          <w:sz w:val="28"/>
          <w:szCs w:val="28"/>
        </w:rPr>
      </w:pPr>
    </w:p>
    <w:p w14:paraId="7B29B207">
      <w:pPr>
        <w:pStyle w:val="20"/>
        <w:ind w:firstLine="400"/>
        <w:rPr>
          <w:rFonts w:hint="default"/>
        </w:rPr>
      </w:pPr>
    </w:p>
    <w:p w14:paraId="0396A139">
      <w:pPr>
        <w:pStyle w:val="20"/>
        <w:ind w:firstLine="400"/>
        <w:rPr>
          <w:rFonts w:hint="default"/>
        </w:rPr>
      </w:pPr>
    </w:p>
    <w:p w14:paraId="0FAE72AD">
      <w:pPr>
        <w:pStyle w:val="20"/>
        <w:ind w:firstLine="400"/>
        <w:rPr>
          <w:rFonts w:hint="default"/>
        </w:rPr>
      </w:pPr>
    </w:p>
    <w:p w14:paraId="59FAD971">
      <w:pPr>
        <w:jc w:val="center"/>
        <w:rPr>
          <w:rFonts w:ascii="宋体" w:hAnsi="宋体"/>
          <w:b/>
          <w:sz w:val="84"/>
          <w:szCs w:val="84"/>
        </w:rPr>
      </w:pPr>
      <w:r>
        <w:rPr>
          <w:rFonts w:hint="eastAsia" w:ascii="宋体" w:hAnsi="宋体"/>
          <w:b/>
          <w:sz w:val="84"/>
          <w:szCs w:val="84"/>
        </w:rPr>
        <w:t>招标文件</w:t>
      </w:r>
    </w:p>
    <w:p w14:paraId="2592E616">
      <w:pPr>
        <w:rPr>
          <w:rFonts w:ascii="宋体" w:hAnsi="宋体"/>
          <w:sz w:val="28"/>
          <w:szCs w:val="28"/>
        </w:rPr>
      </w:pPr>
    </w:p>
    <w:p w14:paraId="581C490B">
      <w:pPr>
        <w:rPr>
          <w:rFonts w:ascii="宋体" w:hAnsi="宋体"/>
          <w:sz w:val="28"/>
          <w:szCs w:val="28"/>
        </w:rPr>
      </w:pPr>
    </w:p>
    <w:p w14:paraId="6051766A">
      <w:pPr>
        <w:rPr>
          <w:rFonts w:ascii="宋体" w:hAnsi="宋体"/>
          <w:sz w:val="28"/>
          <w:szCs w:val="28"/>
        </w:rPr>
      </w:pPr>
    </w:p>
    <w:p w14:paraId="630A82D2">
      <w:pPr>
        <w:rPr>
          <w:rFonts w:ascii="宋体" w:hAnsi="宋体"/>
          <w:sz w:val="28"/>
          <w:szCs w:val="28"/>
        </w:rPr>
      </w:pPr>
    </w:p>
    <w:p w14:paraId="75F3D1F2">
      <w:pPr>
        <w:pStyle w:val="20"/>
        <w:ind w:firstLine="400"/>
        <w:rPr>
          <w:rFonts w:hint="default"/>
        </w:rPr>
      </w:pPr>
    </w:p>
    <w:p w14:paraId="0DAF5AF7">
      <w:pPr>
        <w:rPr>
          <w:rFonts w:ascii="宋体" w:hAnsi="宋体"/>
          <w:sz w:val="28"/>
          <w:szCs w:val="28"/>
        </w:rPr>
      </w:pPr>
    </w:p>
    <w:p w14:paraId="4D378D43">
      <w:pPr>
        <w:rPr>
          <w:rFonts w:ascii="宋体" w:hAnsi="宋体"/>
          <w:sz w:val="28"/>
          <w:szCs w:val="28"/>
        </w:rPr>
      </w:pPr>
    </w:p>
    <w:p w14:paraId="682EA668">
      <w:pPr>
        <w:spacing w:line="480" w:lineRule="auto"/>
        <w:rPr>
          <w:rFonts w:ascii="宋体" w:hAnsi="宋体"/>
          <w:sz w:val="28"/>
          <w:szCs w:val="28"/>
        </w:rPr>
      </w:pPr>
    </w:p>
    <w:p w14:paraId="0326747A">
      <w:pPr>
        <w:spacing w:line="360" w:lineRule="auto"/>
        <w:ind w:firstLine="900" w:firstLineChars="300"/>
        <w:rPr>
          <w:rFonts w:ascii="宋体" w:hAnsi="宋体" w:cs="宋体"/>
          <w:sz w:val="30"/>
          <w:u w:val="single"/>
        </w:rPr>
      </w:pPr>
      <w:r>
        <w:rPr>
          <w:rFonts w:hint="eastAsia" w:ascii="宋体" w:hAnsi="宋体" w:cs="宋体"/>
          <w:sz w:val="30"/>
        </w:rPr>
        <w:t>招  标 单 位：</w:t>
      </w:r>
      <w:r>
        <w:rPr>
          <w:rFonts w:hint="eastAsia" w:ascii="宋体" w:hAnsi="宋体" w:cs="宋体"/>
          <w:sz w:val="30"/>
          <w:u w:val="single"/>
        </w:rPr>
        <w:t>广州市番禺石碁自来水有限公司</w:t>
      </w:r>
    </w:p>
    <w:p w14:paraId="0A3873B4">
      <w:pPr>
        <w:spacing w:line="360" w:lineRule="auto"/>
        <w:ind w:firstLine="945"/>
        <w:rPr>
          <w:rFonts w:ascii="宋体" w:hAnsi="宋体" w:cs="宋体"/>
          <w:sz w:val="30"/>
          <w:u w:val="single"/>
        </w:rPr>
      </w:pPr>
      <w:r>
        <w:rPr>
          <w:rFonts w:hint="eastAsia" w:ascii="宋体" w:hAnsi="宋体" w:cs="宋体"/>
          <w:sz w:val="30"/>
        </w:rPr>
        <w:t>招标代理单位：</w:t>
      </w:r>
      <w:r>
        <w:rPr>
          <w:rFonts w:hint="eastAsia" w:ascii="宋体" w:hAnsi="宋体" w:cs="宋体"/>
          <w:sz w:val="30"/>
          <w:u w:val="single"/>
        </w:rPr>
        <w:t>广州桥润招采造价咨询有限公司</w:t>
      </w:r>
    </w:p>
    <w:p w14:paraId="3BB8CCCA">
      <w:pPr>
        <w:pStyle w:val="18"/>
        <w:spacing w:line="480" w:lineRule="auto"/>
        <w:ind w:firstLine="960" w:firstLineChars="300"/>
        <w:rPr>
          <w:rFonts w:cs="宋体"/>
          <w:b/>
          <w:sz w:val="32"/>
          <w:u w:val="none"/>
        </w:rPr>
      </w:pPr>
      <w:r>
        <w:rPr>
          <w:rFonts w:hint="eastAsia" w:cs="宋体"/>
          <w:sz w:val="32"/>
          <w:u w:val="none"/>
        </w:rPr>
        <w:t>日       期：</w:t>
      </w:r>
      <w:r>
        <w:rPr>
          <w:rFonts w:hint="eastAsia" w:cs="宋体"/>
          <w:sz w:val="32"/>
        </w:rPr>
        <w:t>2025年</w:t>
      </w:r>
      <w:r>
        <w:rPr>
          <w:rFonts w:hint="eastAsia" w:cs="宋体"/>
          <w:sz w:val="32"/>
          <w:lang w:val="en-US" w:eastAsia="zh-CN"/>
        </w:rPr>
        <w:t>9</w:t>
      </w:r>
      <w:r>
        <w:rPr>
          <w:rFonts w:hint="eastAsia" w:cs="宋体"/>
          <w:sz w:val="32"/>
        </w:rPr>
        <w:t>月</w:t>
      </w:r>
    </w:p>
    <w:p w14:paraId="75A10AE5">
      <w:pPr>
        <w:spacing w:line="480" w:lineRule="auto"/>
        <w:jc w:val="center"/>
        <w:rPr>
          <w:rFonts w:ascii="宋体" w:hAnsi="宋体"/>
          <w:b/>
          <w:sz w:val="32"/>
          <w:szCs w:val="32"/>
        </w:rPr>
        <w:sectPr>
          <w:footerReference r:id="rId3" w:type="default"/>
          <w:pgSz w:w="11907" w:h="16840"/>
          <w:pgMar w:top="1134" w:right="1134" w:bottom="1134" w:left="1134" w:header="720" w:footer="720" w:gutter="0"/>
          <w:pgNumType w:start="0"/>
          <w:cols w:space="720" w:num="1"/>
          <w:docGrid w:linePitch="312" w:charSpace="0"/>
        </w:sectPr>
      </w:pPr>
    </w:p>
    <w:sdt>
      <w:sdtPr>
        <w:rPr>
          <w:rFonts w:hint="eastAsia" w:ascii="宋体" w:hAnsi="宋体" w:cs="宋体"/>
          <w:sz w:val="21"/>
        </w:rPr>
        <w:id w:val="147452449"/>
        <w:docPartObj>
          <w:docPartGallery w:val="Table of Contents"/>
          <w:docPartUnique/>
        </w:docPartObj>
      </w:sdtPr>
      <w:sdtEndPr>
        <w:rPr>
          <w:rFonts w:hint="eastAsia" w:ascii="宋体" w:hAnsi="宋体" w:cs="宋体"/>
          <w:sz w:val="21"/>
        </w:rPr>
      </w:sdtEndPr>
      <w:sdtContent>
        <w:p w14:paraId="38656D6E">
          <w:pPr>
            <w:jc w:val="center"/>
            <w:rPr>
              <w:rFonts w:ascii="宋体" w:hAnsi="宋体" w:cs="宋体"/>
              <w:b/>
              <w:bCs/>
              <w:sz w:val="30"/>
              <w:szCs w:val="30"/>
            </w:rPr>
          </w:pPr>
          <w:r>
            <w:rPr>
              <w:rFonts w:hint="eastAsia" w:ascii="宋体" w:hAnsi="宋体" w:cs="宋体"/>
              <w:b/>
              <w:bCs/>
              <w:sz w:val="30"/>
              <w:szCs w:val="30"/>
            </w:rPr>
            <w:t>目 录</w:t>
          </w:r>
        </w:p>
        <w:p w14:paraId="56E0FE9E">
          <w:pPr>
            <w:pStyle w:val="16"/>
            <w:tabs>
              <w:tab w:val="right" w:leader="dot" w:pos="9071"/>
            </w:tabs>
            <w:spacing w:line="360" w:lineRule="auto"/>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fldChar w:fldCharType="begin"/>
          </w:r>
          <w:r>
            <w:instrText xml:space="preserve"> HYPERLINK \l "_Toc1556" </w:instrText>
          </w:r>
          <w:r>
            <w:fldChar w:fldCharType="separate"/>
          </w:r>
          <w:r>
            <w:rPr>
              <w:rFonts w:hint="eastAsia"/>
              <w:b/>
              <w:bCs/>
            </w:rPr>
            <w:t>第一卷</w:t>
          </w:r>
          <w:r>
            <w:rPr>
              <w:b/>
              <w:bCs/>
            </w:rPr>
            <w:tab/>
          </w:r>
          <w:r>
            <w:rPr>
              <w:b/>
              <w:bCs/>
            </w:rPr>
            <w:fldChar w:fldCharType="begin"/>
          </w:r>
          <w:r>
            <w:rPr>
              <w:b/>
              <w:bCs/>
            </w:rPr>
            <w:instrText xml:space="preserve"> PAGEREF _Toc1556 \h </w:instrText>
          </w:r>
          <w:r>
            <w:rPr>
              <w:b/>
              <w:bCs/>
            </w:rPr>
            <w:fldChar w:fldCharType="separate"/>
          </w:r>
          <w:r>
            <w:rPr>
              <w:b/>
              <w:bCs/>
            </w:rPr>
            <w:t>2</w:t>
          </w:r>
          <w:r>
            <w:rPr>
              <w:b/>
              <w:bCs/>
            </w:rPr>
            <w:fldChar w:fldCharType="end"/>
          </w:r>
          <w:r>
            <w:rPr>
              <w:b/>
              <w:bCs/>
            </w:rPr>
            <w:fldChar w:fldCharType="end"/>
          </w:r>
        </w:p>
        <w:p w14:paraId="1A992F87">
          <w:pPr>
            <w:pStyle w:val="17"/>
            <w:tabs>
              <w:tab w:val="right" w:leader="dot" w:pos="9071"/>
            </w:tabs>
            <w:spacing w:line="360" w:lineRule="auto"/>
            <w:ind w:left="480"/>
          </w:pPr>
          <w:r>
            <w:fldChar w:fldCharType="begin"/>
          </w:r>
          <w:r>
            <w:instrText xml:space="preserve"> HYPERLINK \l "_Toc29772" </w:instrText>
          </w:r>
          <w:r>
            <w:fldChar w:fldCharType="separate"/>
          </w:r>
          <w:r>
            <w:rPr>
              <w:rFonts w:cs="宋体"/>
            </w:rPr>
            <w:t>第一章 招标公告</w:t>
          </w:r>
          <w:r>
            <w:tab/>
          </w:r>
          <w:r>
            <w:fldChar w:fldCharType="begin"/>
          </w:r>
          <w:r>
            <w:instrText xml:space="preserve"> PAGEREF _Toc29772 \h </w:instrText>
          </w:r>
          <w:r>
            <w:fldChar w:fldCharType="separate"/>
          </w:r>
          <w:r>
            <w:t>3</w:t>
          </w:r>
          <w:r>
            <w:fldChar w:fldCharType="end"/>
          </w:r>
          <w:r>
            <w:fldChar w:fldCharType="end"/>
          </w:r>
        </w:p>
        <w:p w14:paraId="1C11E518">
          <w:pPr>
            <w:pStyle w:val="17"/>
            <w:tabs>
              <w:tab w:val="right" w:leader="dot" w:pos="9071"/>
            </w:tabs>
            <w:spacing w:line="360" w:lineRule="auto"/>
            <w:ind w:left="480"/>
          </w:pPr>
          <w:r>
            <w:fldChar w:fldCharType="begin"/>
          </w:r>
          <w:r>
            <w:instrText xml:space="preserve"> HYPERLINK \l "_Toc15097" </w:instrText>
          </w:r>
          <w:r>
            <w:fldChar w:fldCharType="separate"/>
          </w:r>
          <w:r>
            <w:rPr>
              <w:rFonts w:cs="宋体"/>
            </w:rPr>
            <w:t>第二章 投标人须知</w:t>
          </w:r>
          <w:r>
            <w:tab/>
          </w:r>
          <w:r>
            <w:fldChar w:fldCharType="begin"/>
          </w:r>
          <w:r>
            <w:instrText xml:space="preserve"> PAGEREF _Toc15097 \h </w:instrText>
          </w:r>
          <w:r>
            <w:fldChar w:fldCharType="separate"/>
          </w:r>
          <w:r>
            <w:t>4</w:t>
          </w:r>
          <w:r>
            <w:fldChar w:fldCharType="end"/>
          </w:r>
          <w:r>
            <w:fldChar w:fldCharType="end"/>
          </w:r>
        </w:p>
        <w:p w14:paraId="1D67DE6E">
          <w:pPr>
            <w:pStyle w:val="17"/>
            <w:tabs>
              <w:tab w:val="right" w:leader="dot" w:pos="9071"/>
            </w:tabs>
            <w:spacing w:line="360" w:lineRule="auto"/>
            <w:ind w:left="480"/>
          </w:pPr>
          <w:r>
            <w:fldChar w:fldCharType="begin"/>
          </w:r>
          <w:r>
            <w:instrText xml:space="preserve"> HYPERLINK \l "_Toc23003" </w:instrText>
          </w:r>
          <w:r>
            <w:fldChar w:fldCharType="separate"/>
          </w:r>
          <w:r>
            <w:rPr>
              <w:rFonts w:cs="宋体"/>
            </w:rPr>
            <w:t>第三章 评标办法（综合评估法）</w:t>
          </w:r>
          <w:r>
            <w:tab/>
          </w:r>
          <w:r>
            <w:fldChar w:fldCharType="begin"/>
          </w:r>
          <w:r>
            <w:instrText xml:space="preserve"> PAGEREF _Toc23003 \h </w:instrText>
          </w:r>
          <w:r>
            <w:fldChar w:fldCharType="separate"/>
          </w:r>
          <w:r>
            <w:t>28</w:t>
          </w:r>
          <w:r>
            <w:fldChar w:fldCharType="end"/>
          </w:r>
          <w:r>
            <w:fldChar w:fldCharType="end"/>
          </w:r>
        </w:p>
        <w:p w14:paraId="53C505B3">
          <w:pPr>
            <w:pStyle w:val="17"/>
            <w:tabs>
              <w:tab w:val="right" w:leader="dot" w:pos="9071"/>
            </w:tabs>
            <w:spacing w:line="360" w:lineRule="auto"/>
            <w:ind w:left="480"/>
          </w:pPr>
          <w:r>
            <w:fldChar w:fldCharType="begin"/>
          </w:r>
          <w:r>
            <w:instrText xml:space="preserve"> HYPERLINK \l "_Toc14321" </w:instrText>
          </w:r>
          <w:r>
            <w:fldChar w:fldCharType="separate"/>
          </w:r>
          <w:r>
            <w:rPr>
              <w:rFonts w:cs="宋体"/>
            </w:rPr>
            <w:t>第四章 合同条款及格式</w:t>
          </w:r>
          <w:r>
            <w:tab/>
          </w:r>
          <w:r>
            <w:fldChar w:fldCharType="begin"/>
          </w:r>
          <w:r>
            <w:instrText xml:space="preserve"> PAGEREF _Toc14321 \h </w:instrText>
          </w:r>
          <w:r>
            <w:fldChar w:fldCharType="separate"/>
          </w:r>
          <w:r>
            <w:t>37</w:t>
          </w:r>
          <w:r>
            <w:fldChar w:fldCharType="end"/>
          </w:r>
          <w:r>
            <w:fldChar w:fldCharType="end"/>
          </w:r>
        </w:p>
        <w:p w14:paraId="6B5BA4FB">
          <w:pPr>
            <w:pStyle w:val="16"/>
            <w:tabs>
              <w:tab w:val="right" w:leader="dot" w:pos="9071"/>
            </w:tabs>
            <w:spacing w:line="360" w:lineRule="auto"/>
            <w:rPr>
              <w:b/>
              <w:bCs/>
            </w:rPr>
          </w:pPr>
          <w:r>
            <w:fldChar w:fldCharType="begin"/>
          </w:r>
          <w:r>
            <w:instrText xml:space="preserve"> HYPERLINK \l "_Toc2872" </w:instrText>
          </w:r>
          <w:r>
            <w:fldChar w:fldCharType="separate"/>
          </w:r>
          <w:r>
            <w:rPr>
              <w:rFonts w:hint="eastAsia"/>
              <w:b/>
              <w:bCs/>
            </w:rPr>
            <w:t>第二卷</w:t>
          </w:r>
          <w:r>
            <w:rPr>
              <w:b/>
              <w:bCs/>
            </w:rPr>
            <w:tab/>
          </w:r>
          <w:r>
            <w:rPr>
              <w:b/>
              <w:bCs/>
            </w:rPr>
            <w:fldChar w:fldCharType="begin"/>
          </w:r>
          <w:r>
            <w:rPr>
              <w:b/>
              <w:bCs/>
            </w:rPr>
            <w:instrText xml:space="preserve"> PAGEREF _Toc2872 \h </w:instrText>
          </w:r>
          <w:r>
            <w:rPr>
              <w:b/>
              <w:bCs/>
            </w:rPr>
            <w:fldChar w:fldCharType="separate"/>
          </w:r>
          <w:r>
            <w:rPr>
              <w:b/>
              <w:bCs/>
            </w:rPr>
            <w:t>38</w:t>
          </w:r>
          <w:r>
            <w:rPr>
              <w:b/>
              <w:bCs/>
            </w:rPr>
            <w:fldChar w:fldCharType="end"/>
          </w:r>
          <w:r>
            <w:rPr>
              <w:b/>
              <w:bCs/>
            </w:rPr>
            <w:fldChar w:fldCharType="end"/>
          </w:r>
        </w:p>
        <w:p w14:paraId="6AB4E387">
          <w:pPr>
            <w:pStyle w:val="17"/>
            <w:tabs>
              <w:tab w:val="right" w:leader="dot" w:pos="9071"/>
            </w:tabs>
            <w:spacing w:line="360" w:lineRule="auto"/>
            <w:ind w:left="480"/>
          </w:pPr>
          <w:r>
            <w:fldChar w:fldCharType="begin"/>
          </w:r>
          <w:r>
            <w:instrText xml:space="preserve"> HYPERLINK \l "_Toc23118" </w:instrText>
          </w:r>
          <w:r>
            <w:fldChar w:fldCharType="separate"/>
          </w:r>
          <w:r>
            <w:t>第五章 委托人要求</w:t>
          </w:r>
          <w:r>
            <w:tab/>
          </w:r>
          <w:r>
            <w:fldChar w:fldCharType="begin"/>
          </w:r>
          <w:r>
            <w:instrText xml:space="preserve"> PAGEREF _Toc23118 \h </w:instrText>
          </w:r>
          <w:r>
            <w:fldChar w:fldCharType="separate"/>
          </w:r>
          <w:r>
            <w:t>39</w:t>
          </w:r>
          <w:r>
            <w:fldChar w:fldCharType="end"/>
          </w:r>
          <w:r>
            <w:fldChar w:fldCharType="end"/>
          </w:r>
        </w:p>
        <w:p w14:paraId="0F480B95">
          <w:pPr>
            <w:pStyle w:val="16"/>
            <w:tabs>
              <w:tab w:val="right" w:leader="dot" w:pos="9071"/>
            </w:tabs>
            <w:spacing w:line="360" w:lineRule="auto"/>
            <w:rPr>
              <w:b/>
              <w:bCs/>
            </w:rPr>
          </w:pPr>
          <w:r>
            <w:fldChar w:fldCharType="begin"/>
          </w:r>
          <w:r>
            <w:instrText xml:space="preserve"> HYPERLINK \l "_Toc12210" </w:instrText>
          </w:r>
          <w:r>
            <w:fldChar w:fldCharType="separate"/>
          </w:r>
          <w:r>
            <w:rPr>
              <w:rFonts w:hint="eastAsia"/>
              <w:b/>
              <w:bCs/>
            </w:rPr>
            <w:t>第三卷</w:t>
          </w:r>
          <w:r>
            <w:rPr>
              <w:b/>
              <w:bCs/>
            </w:rPr>
            <w:tab/>
          </w:r>
          <w:r>
            <w:rPr>
              <w:b/>
              <w:bCs/>
            </w:rPr>
            <w:fldChar w:fldCharType="begin"/>
          </w:r>
          <w:r>
            <w:rPr>
              <w:b/>
              <w:bCs/>
            </w:rPr>
            <w:instrText xml:space="preserve"> PAGEREF _Toc12210 \h </w:instrText>
          </w:r>
          <w:r>
            <w:rPr>
              <w:b/>
              <w:bCs/>
            </w:rPr>
            <w:fldChar w:fldCharType="separate"/>
          </w:r>
          <w:r>
            <w:rPr>
              <w:b/>
              <w:bCs/>
            </w:rPr>
            <w:t>45</w:t>
          </w:r>
          <w:r>
            <w:rPr>
              <w:b/>
              <w:bCs/>
            </w:rPr>
            <w:fldChar w:fldCharType="end"/>
          </w:r>
          <w:r>
            <w:rPr>
              <w:b/>
              <w:bCs/>
            </w:rPr>
            <w:fldChar w:fldCharType="end"/>
          </w:r>
        </w:p>
        <w:p w14:paraId="18CDFD91">
          <w:pPr>
            <w:pStyle w:val="17"/>
            <w:tabs>
              <w:tab w:val="right" w:leader="dot" w:pos="9071"/>
            </w:tabs>
            <w:spacing w:line="360" w:lineRule="auto"/>
            <w:ind w:left="480"/>
          </w:pPr>
          <w:r>
            <w:fldChar w:fldCharType="begin"/>
          </w:r>
          <w:r>
            <w:instrText xml:space="preserve"> HYPERLINK \l "_Toc26661" </w:instrText>
          </w:r>
          <w:r>
            <w:fldChar w:fldCharType="separate"/>
          </w:r>
          <w:r>
            <w:t>第六章 投标文件格式</w:t>
          </w:r>
          <w:r>
            <w:tab/>
          </w:r>
          <w:r>
            <w:fldChar w:fldCharType="begin"/>
          </w:r>
          <w:r>
            <w:instrText xml:space="preserve"> PAGEREF _Toc26661 \h </w:instrText>
          </w:r>
          <w:r>
            <w:fldChar w:fldCharType="separate"/>
          </w:r>
          <w:r>
            <w:t>46</w:t>
          </w:r>
          <w:r>
            <w:fldChar w:fldCharType="end"/>
          </w:r>
          <w:r>
            <w:fldChar w:fldCharType="end"/>
          </w:r>
        </w:p>
        <w:p w14:paraId="4161B6FE">
          <w:pPr>
            <w:pStyle w:val="17"/>
            <w:tabs>
              <w:tab w:val="right" w:leader="dot" w:pos="9071"/>
            </w:tabs>
            <w:spacing w:line="360" w:lineRule="auto"/>
            <w:ind w:left="480"/>
          </w:pPr>
          <w:r>
            <w:fldChar w:fldCharType="begin"/>
          </w:r>
          <w:r>
            <w:instrText xml:space="preserve"> HYPERLINK \l "_Toc17258" </w:instrText>
          </w:r>
          <w:r>
            <w:fldChar w:fldCharType="separate"/>
          </w:r>
          <w:r>
            <w:t>第七章 投标人须知前附表规定的其他资料。</w:t>
          </w:r>
          <w:r>
            <w:tab/>
          </w:r>
          <w:r>
            <w:fldChar w:fldCharType="begin"/>
          </w:r>
          <w:r>
            <w:instrText xml:space="preserve"> PAGEREF _Toc17258 \h </w:instrText>
          </w:r>
          <w:r>
            <w:fldChar w:fldCharType="separate"/>
          </w:r>
          <w:r>
            <w:t>65</w:t>
          </w:r>
          <w:r>
            <w:fldChar w:fldCharType="end"/>
          </w:r>
          <w:r>
            <w:fldChar w:fldCharType="end"/>
          </w:r>
        </w:p>
        <w:p w14:paraId="32CFB678">
          <w:pPr>
            <w:pStyle w:val="11"/>
            <w:tabs>
              <w:tab w:val="right" w:leader="dot" w:pos="9071"/>
            </w:tabs>
            <w:spacing w:line="360" w:lineRule="auto"/>
            <w:ind w:left="0" w:leftChars="0"/>
          </w:pPr>
        </w:p>
        <w:p w14:paraId="583BDA00">
          <w:pPr>
            <w:pStyle w:val="10"/>
            <w:tabs>
              <w:tab w:val="right" w:leader="dot" w:pos="8714"/>
            </w:tabs>
            <w:kinsoku w:val="0"/>
            <w:overflowPunct w:val="0"/>
            <w:spacing w:line="360" w:lineRule="auto"/>
            <w:ind w:left="0"/>
            <w:jc w:val="center"/>
            <w:rPr>
              <w:rFonts w:cs="宋体"/>
              <w:sz w:val="24"/>
            </w:rPr>
          </w:pPr>
          <w:r>
            <w:rPr>
              <w:rFonts w:hint="eastAsia" w:cs="宋体"/>
              <w:sz w:val="24"/>
            </w:rPr>
            <w:fldChar w:fldCharType="end"/>
          </w:r>
        </w:p>
      </w:sdtContent>
    </w:sdt>
    <w:p w14:paraId="75E41513">
      <w:pPr>
        <w:pStyle w:val="39"/>
        <w:tabs>
          <w:tab w:val="right" w:leader="dot" w:pos="9071"/>
        </w:tabs>
        <w:spacing w:line="360" w:lineRule="auto"/>
        <w:ind w:left="720" w:leftChars="300"/>
        <w:rPr>
          <w:rFonts w:ascii="宋体" w:hAnsi="宋体" w:cs="宋体"/>
          <w:sz w:val="24"/>
          <w:szCs w:val="24"/>
        </w:rPr>
      </w:pPr>
    </w:p>
    <w:p w14:paraId="051B0127">
      <w:pPr>
        <w:pStyle w:val="10"/>
        <w:tabs>
          <w:tab w:val="right" w:leader="dot" w:pos="8714"/>
        </w:tabs>
        <w:kinsoku w:val="0"/>
        <w:overflowPunct w:val="0"/>
        <w:spacing w:line="288" w:lineRule="exact"/>
        <w:ind w:left="0" w:firstLine="420"/>
        <w:jc w:val="center"/>
        <w:rPr>
          <w:rFonts w:hAnsi="Calibri"/>
        </w:rPr>
        <w:sectPr>
          <w:pgSz w:w="11905" w:h="16838"/>
          <w:pgMar w:top="1417" w:right="1417" w:bottom="1417" w:left="1417" w:header="720" w:footer="720" w:gutter="0"/>
          <w:cols w:space="720" w:num="1"/>
        </w:sectPr>
      </w:pPr>
    </w:p>
    <w:p w14:paraId="5ED9EC94">
      <w:pPr>
        <w:pStyle w:val="10"/>
        <w:kinsoku w:val="0"/>
        <w:overflowPunct w:val="0"/>
        <w:ind w:left="0" w:firstLine="880"/>
        <w:rPr>
          <w:rFonts w:ascii="Calibri" w:hAnsi="Calibri" w:eastAsia="Calibri"/>
          <w:sz w:val="44"/>
        </w:rPr>
      </w:pPr>
    </w:p>
    <w:p w14:paraId="7329701B">
      <w:pPr>
        <w:pStyle w:val="2"/>
        <w:spacing w:before="4800" w:beforeLines="2000"/>
        <w:rPr>
          <w:rFonts w:hint="default"/>
          <w:sz w:val="52"/>
          <w:szCs w:val="52"/>
        </w:rPr>
      </w:pPr>
      <w:bookmarkStart w:id="0" w:name="bookmark0"/>
      <w:bookmarkEnd w:id="0"/>
      <w:bookmarkStart w:id="1" w:name="_Toc1556"/>
      <w:r>
        <w:rPr>
          <w:sz w:val="52"/>
          <w:szCs w:val="52"/>
        </w:rPr>
        <w:t>第一卷</w:t>
      </w:r>
      <w:bookmarkEnd w:id="1"/>
    </w:p>
    <w:p w14:paraId="731E1DD8">
      <w:pPr>
        <w:pStyle w:val="10"/>
        <w:kinsoku w:val="0"/>
        <w:overflowPunct w:val="0"/>
        <w:ind w:left="0" w:firstLine="880"/>
        <w:rPr>
          <w:sz w:val="44"/>
        </w:rPr>
        <w:sectPr>
          <w:footerReference r:id="rId4" w:type="default"/>
          <w:pgSz w:w="11905" w:h="16838"/>
          <w:pgMar w:top="1417" w:right="1417" w:bottom="1417" w:left="1417" w:header="720" w:footer="720" w:gutter="0"/>
          <w:cols w:space="720" w:num="1"/>
        </w:sectPr>
      </w:pPr>
    </w:p>
    <w:p w14:paraId="239953A1">
      <w:pPr>
        <w:pStyle w:val="3"/>
        <w:numPr>
          <w:ilvl w:val="0"/>
          <w:numId w:val="1"/>
        </w:numPr>
        <w:rPr>
          <w:rFonts w:cs="宋体"/>
          <w:sz w:val="44"/>
        </w:rPr>
      </w:pPr>
      <w:bookmarkStart w:id="2" w:name="bookmark1"/>
      <w:bookmarkEnd w:id="2"/>
      <w:bookmarkStart w:id="3" w:name="_Toc29772"/>
      <w:r>
        <w:rPr>
          <w:rFonts w:cs="宋体"/>
          <w:sz w:val="44"/>
        </w:rPr>
        <w:t>招标公告</w:t>
      </w:r>
      <w:bookmarkEnd w:id="3"/>
    </w:p>
    <w:p w14:paraId="0EC59488">
      <w:pPr>
        <w:pStyle w:val="3"/>
        <w:rPr>
          <w:sz w:val="24"/>
        </w:rPr>
        <w:sectPr>
          <w:pgSz w:w="11905" w:h="16838"/>
          <w:pgMar w:top="1417" w:right="1417" w:bottom="1417" w:left="1417" w:header="720" w:footer="720" w:gutter="0"/>
          <w:cols w:space="720" w:num="1"/>
        </w:sectPr>
      </w:pPr>
      <w:r>
        <w:rPr>
          <w:rFonts w:hint="eastAsia"/>
          <w:b/>
          <w:u w:val="single"/>
        </w:rPr>
        <w:t>（另册）</w:t>
      </w:r>
    </w:p>
    <w:p w14:paraId="14E74CB3">
      <w:pPr>
        <w:pStyle w:val="3"/>
        <w:rPr>
          <w:rFonts w:ascii="Microsoft JhengHei" w:hAnsi="Microsoft JhengHei" w:eastAsia="Microsoft JhengHei"/>
          <w:sz w:val="57"/>
        </w:rPr>
      </w:pPr>
      <w:bookmarkStart w:id="4" w:name="bookmark9"/>
      <w:bookmarkEnd w:id="4"/>
      <w:bookmarkStart w:id="5" w:name="bookmark18"/>
      <w:bookmarkEnd w:id="5"/>
      <w:bookmarkStart w:id="6" w:name="_Toc15097"/>
      <w:r>
        <w:rPr>
          <w:rFonts w:cs="宋体"/>
          <w:sz w:val="44"/>
        </w:rPr>
        <w:t>第二章 投标人须知</w:t>
      </w:r>
      <w:bookmarkEnd w:id="6"/>
    </w:p>
    <w:p w14:paraId="75C6C48F">
      <w:pPr>
        <w:pStyle w:val="4"/>
        <w:kinsoku w:val="0"/>
        <w:overflowPunct w:val="0"/>
        <w:spacing w:before="120" w:after="120"/>
        <w:ind w:left="220"/>
        <w:jc w:val="center"/>
        <w:rPr>
          <w:rFonts w:ascii="Microsoft JhengHei" w:hAnsi="Microsoft JhengHei" w:eastAsia="Microsoft JhengHei"/>
          <w:b w:val="0"/>
          <w:sz w:val="20"/>
        </w:rPr>
      </w:pPr>
      <w:bookmarkStart w:id="7" w:name="bookmark19"/>
      <w:bookmarkEnd w:id="7"/>
      <w:bookmarkStart w:id="8" w:name="_Toc6280"/>
      <w:r>
        <w:rPr>
          <w:sz w:val="32"/>
        </w:rPr>
        <w:t>投标人须知前附表</w:t>
      </w:r>
      <w:bookmarkEnd w:id="8"/>
    </w:p>
    <w:tbl>
      <w:tblPr>
        <w:tblStyle w:val="22"/>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551"/>
      </w:tblGrid>
      <w:tr w14:paraId="40E1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3F18252">
            <w:pPr>
              <w:pStyle w:val="28"/>
              <w:kinsoku w:val="0"/>
              <w:overflowPunct w:val="0"/>
              <w:spacing w:before="41"/>
              <w:jc w:val="center"/>
              <w:rPr>
                <w:sz w:val="21"/>
                <w:highlight w:val="none"/>
              </w:rPr>
            </w:pPr>
            <w:r>
              <w:rPr>
                <w:rFonts w:ascii="宋体" w:hAnsi="宋体" w:cs="宋体"/>
                <w:b/>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1EC1667">
            <w:pPr>
              <w:pStyle w:val="28"/>
              <w:kinsoku w:val="0"/>
              <w:overflowPunct w:val="0"/>
              <w:spacing w:before="41"/>
              <w:jc w:val="center"/>
              <w:rPr>
                <w:sz w:val="21"/>
                <w:highlight w:val="none"/>
              </w:rPr>
            </w:pPr>
            <w:r>
              <w:rPr>
                <w:rFonts w:ascii="宋体" w:hAnsi="宋体" w:cs="宋体"/>
                <w:b/>
                <w:sz w:val="21"/>
                <w:szCs w:val="21"/>
                <w:highlight w:val="none"/>
              </w:rPr>
              <w:t>条款名称</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ED55C3C">
            <w:pPr>
              <w:pStyle w:val="28"/>
              <w:kinsoku w:val="0"/>
              <w:overflowPunct w:val="0"/>
              <w:spacing w:before="41"/>
              <w:jc w:val="center"/>
              <w:rPr>
                <w:sz w:val="21"/>
                <w:highlight w:val="none"/>
              </w:rPr>
            </w:pPr>
            <w:r>
              <w:rPr>
                <w:rFonts w:ascii="宋体" w:hAnsi="宋体" w:cs="宋体"/>
                <w:b/>
                <w:sz w:val="21"/>
                <w:szCs w:val="21"/>
                <w:highlight w:val="none"/>
              </w:rPr>
              <w:t>编列内容</w:t>
            </w:r>
          </w:p>
        </w:tc>
      </w:tr>
      <w:tr w14:paraId="6A8A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1F991BD">
            <w:pPr>
              <w:pStyle w:val="28"/>
              <w:kinsoku w:val="0"/>
              <w:overflowPunct w:val="0"/>
              <w:jc w:val="center"/>
              <w:rPr>
                <w:sz w:val="21"/>
                <w:highlight w:val="none"/>
              </w:rPr>
            </w:pPr>
            <w:r>
              <w:rPr>
                <w:rFonts w:hint="eastAsia" w:eastAsia="Times New Roman"/>
                <w:sz w:val="21"/>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C3EE7B0">
            <w:pPr>
              <w:pStyle w:val="28"/>
              <w:kinsoku w:val="0"/>
              <w:overflowPunct w:val="0"/>
              <w:spacing w:line="360" w:lineRule="auto"/>
              <w:jc w:val="both"/>
              <w:rPr>
                <w:sz w:val="21"/>
                <w:highlight w:val="none"/>
              </w:rPr>
            </w:pPr>
            <w:r>
              <w:rPr>
                <w:rFonts w:ascii="宋体" w:hAnsi="宋体"/>
                <w:sz w:val="21"/>
                <w:highlight w:val="none"/>
              </w:rPr>
              <w:t>招标人</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070FE04">
            <w:pPr>
              <w:rPr>
                <w:rFonts w:ascii="宋体" w:hAnsi="宋体" w:cs="宋体"/>
                <w:highlight w:val="none"/>
              </w:rPr>
            </w:pPr>
            <w:r>
              <w:rPr>
                <w:rFonts w:hint="eastAsia" w:ascii="宋体" w:hAnsi="宋体" w:cs="宋体"/>
                <w:highlight w:val="none"/>
              </w:rPr>
              <w:t>名称：</w:t>
            </w:r>
            <w:r>
              <w:rPr>
                <w:rFonts w:hint="eastAsia" w:ascii="宋体" w:hAnsi="宋体" w:cs="宋体"/>
                <w:highlight w:val="none"/>
                <w:u w:val="single"/>
              </w:rPr>
              <w:t>广州市番禺石碁自来水有限公司</w:t>
            </w:r>
          </w:p>
          <w:p w14:paraId="15BB463B">
            <w:pPr>
              <w:rPr>
                <w:rFonts w:ascii="宋体" w:hAnsi="宋体" w:cs="宋体"/>
                <w:highlight w:val="none"/>
              </w:rPr>
            </w:pPr>
            <w:r>
              <w:rPr>
                <w:rFonts w:hint="eastAsia" w:ascii="宋体" w:hAnsi="宋体" w:cs="宋体"/>
                <w:highlight w:val="none"/>
              </w:rPr>
              <w:t>地址：</w:t>
            </w:r>
            <w:r>
              <w:rPr>
                <w:rFonts w:hint="eastAsia" w:ascii="宋体" w:hAnsi="宋体" w:cs="宋体"/>
                <w:szCs w:val="21"/>
                <w:highlight w:val="none"/>
                <w:u w:val="single"/>
              </w:rPr>
              <w:t>广州市番禺区大龙街市莲路沙涌村段36号</w:t>
            </w:r>
            <w:r>
              <w:rPr>
                <w:rFonts w:hint="eastAsia" w:ascii="宋体" w:hAnsi="宋体"/>
                <w:highlight w:val="none"/>
                <w:u w:val="single"/>
              </w:rPr>
              <w:t xml:space="preserve"> </w:t>
            </w:r>
          </w:p>
          <w:p w14:paraId="2F0960E8">
            <w:pPr>
              <w:rPr>
                <w:rFonts w:ascii="宋体" w:hAnsi="宋体" w:cs="宋体"/>
                <w:highlight w:val="none"/>
              </w:rPr>
            </w:pPr>
            <w:r>
              <w:rPr>
                <w:rFonts w:hint="eastAsia" w:ascii="宋体" w:hAnsi="宋体" w:cs="宋体"/>
                <w:highlight w:val="none"/>
              </w:rPr>
              <w:t>联系人：</w:t>
            </w:r>
            <w:r>
              <w:rPr>
                <w:rFonts w:hint="eastAsia" w:ascii="宋体" w:hAnsi="宋体"/>
                <w:highlight w:val="none"/>
                <w:u w:val="single"/>
              </w:rPr>
              <w:t>卢小姐</w:t>
            </w:r>
          </w:p>
          <w:p w14:paraId="115386EE">
            <w:pPr>
              <w:pStyle w:val="28"/>
              <w:kinsoku w:val="0"/>
              <w:overflowPunct w:val="0"/>
              <w:adjustRightInd/>
              <w:spacing w:line="360" w:lineRule="auto"/>
              <w:jc w:val="both"/>
              <w:rPr>
                <w:sz w:val="21"/>
                <w:highlight w:val="none"/>
              </w:rPr>
            </w:pPr>
            <w:r>
              <w:rPr>
                <w:rFonts w:hint="eastAsia" w:ascii="宋体" w:hAnsi="宋体" w:cs="宋体"/>
                <w:highlight w:val="none"/>
              </w:rPr>
              <w:t>电话：</w:t>
            </w:r>
            <w:r>
              <w:rPr>
                <w:rFonts w:hint="eastAsia" w:ascii="宋体" w:hAnsi="宋体" w:cs="宋体"/>
                <w:highlight w:val="none"/>
                <w:u w:val="single"/>
              </w:rPr>
              <w:t>020-84852992</w:t>
            </w:r>
          </w:p>
        </w:tc>
      </w:tr>
      <w:tr w14:paraId="1F45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71EED20">
            <w:pPr>
              <w:pStyle w:val="28"/>
              <w:kinsoku w:val="0"/>
              <w:overflowPunct w:val="0"/>
              <w:jc w:val="center"/>
              <w:rPr>
                <w:sz w:val="21"/>
                <w:highlight w:val="none"/>
              </w:rPr>
            </w:pPr>
            <w:r>
              <w:rPr>
                <w:rFonts w:hint="eastAsia" w:eastAsia="Times New Roman"/>
                <w:sz w:val="21"/>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43A61BC">
            <w:pPr>
              <w:pStyle w:val="28"/>
              <w:kinsoku w:val="0"/>
              <w:overflowPunct w:val="0"/>
              <w:jc w:val="both"/>
              <w:rPr>
                <w:sz w:val="21"/>
                <w:highlight w:val="none"/>
              </w:rPr>
            </w:pPr>
            <w:r>
              <w:rPr>
                <w:rFonts w:ascii="宋体" w:hAnsi="宋体"/>
                <w:sz w:val="21"/>
                <w:highlight w:val="none"/>
              </w:rPr>
              <w:t>招标代理机构</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55F1232">
            <w:pPr>
              <w:rPr>
                <w:rFonts w:ascii="宋体" w:hAnsi="宋体" w:cs="宋体"/>
                <w:highlight w:val="none"/>
              </w:rPr>
            </w:pPr>
            <w:r>
              <w:rPr>
                <w:rFonts w:hint="eastAsia" w:ascii="宋体" w:hAnsi="宋体" w:cs="宋体"/>
                <w:highlight w:val="none"/>
              </w:rPr>
              <w:t>名称：</w:t>
            </w:r>
            <w:r>
              <w:rPr>
                <w:rFonts w:hint="eastAsia" w:ascii="宋体" w:hAnsi="宋体" w:cs="宋体"/>
                <w:highlight w:val="none"/>
                <w:u w:val="single"/>
              </w:rPr>
              <w:t>广州桥润招采造价咨询有限公司</w:t>
            </w:r>
          </w:p>
          <w:p w14:paraId="130DF9AB">
            <w:pPr>
              <w:rPr>
                <w:rFonts w:ascii="宋体" w:hAnsi="宋体" w:cs="宋体"/>
                <w:highlight w:val="none"/>
              </w:rPr>
            </w:pPr>
            <w:r>
              <w:rPr>
                <w:rFonts w:hint="eastAsia" w:ascii="宋体" w:hAnsi="宋体" w:cs="宋体"/>
                <w:highlight w:val="none"/>
              </w:rPr>
              <w:t>地址：</w:t>
            </w:r>
            <w:r>
              <w:rPr>
                <w:rFonts w:hint="eastAsia" w:ascii="宋体" w:hAnsi="宋体" w:cs="宋体"/>
                <w:highlight w:val="none"/>
                <w:u w:val="single"/>
              </w:rPr>
              <w:t>广州市番禺区天保路5号</w:t>
            </w:r>
          </w:p>
          <w:p w14:paraId="18058CDC">
            <w:pPr>
              <w:rPr>
                <w:rFonts w:ascii="宋体" w:hAnsi="宋体" w:cs="宋体"/>
                <w:highlight w:val="none"/>
              </w:rPr>
            </w:pPr>
            <w:r>
              <w:rPr>
                <w:rFonts w:hint="eastAsia" w:ascii="宋体" w:hAnsi="宋体" w:cs="宋体"/>
                <w:highlight w:val="none"/>
              </w:rPr>
              <w:t>联系人：</w:t>
            </w:r>
            <w:r>
              <w:rPr>
                <w:rFonts w:hint="eastAsia" w:ascii="宋体" w:hAnsi="宋体" w:cs="宋体"/>
                <w:highlight w:val="none"/>
                <w:u w:val="single"/>
              </w:rPr>
              <w:t>彭工</w:t>
            </w:r>
          </w:p>
          <w:p w14:paraId="09A58DEF">
            <w:pPr>
              <w:jc w:val="both"/>
              <w:rPr>
                <w:sz w:val="21"/>
                <w:highlight w:val="none"/>
              </w:rPr>
            </w:pPr>
            <w:r>
              <w:rPr>
                <w:rFonts w:hint="eastAsia" w:ascii="宋体" w:hAnsi="宋体" w:cs="宋体"/>
                <w:highlight w:val="none"/>
              </w:rPr>
              <w:t>电话：</w:t>
            </w:r>
            <w:r>
              <w:rPr>
                <w:rFonts w:hint="eastAsia" w:ascii="宋体" w:hAnsi="宋体" w:cs="宋体"/>
                <w:highlight w:val="none"/>
                <w:u w:val="single"/>
              </w:rPr>
              <w:t xml:space="preserve">020-84880027 </w:t>
            </w:r>
          </w:p>
        </w:tc>
      </w:tr>
      <w:tr w14:paraId="02AC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63242B2">
            <w:pPr>
              <w:pStyle w:val="28"/>
              <w:kinsoku w:val="0"/>
              <w:overflowPunct w:val="0"/>
              <w:jc w:val="center"/>
              <w:rPr>
                <w:sz w:val="21"/>
                <w:highlight w:val="none"/>
              </w:rPr>
            </w:pPr>
            <w:r>
              <w:rPr>
                <w:rFonts w:hint="eastAsia" w:eastAsia="Times New Roman"/>
                <w:sz w:val="21"/>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DB6EC0B">
            <w:pPr>
              <w:pStyle w:val="28"/>
              <w:kinsoku w:val="0"/>
              <w:overflowPunct w:val="0"/>
              <w:jc w:val="both"/>
              <w:rPr>
                <w:sz w:val="21"/>
                <w:highlight w:val="none"/>
              </w:rPr>
            </w:pPr>
            <w:r>
              <w:rPr>
                <w:rFonts w:ascii="宋体" w:hAnsi="宋体"/>
                <w:sz w:val="21"/>
                <w:highlight w:val="none"/>
              </w:rPr>
              <w:t>招标项目名称</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071F0DE3">
            <w:pPr>
              <w:jc w:val="both"/>
              <w:rPr>
                <w:sz w:val="21"/>
                <w:highlight w:val="none"/>
              </w:rPr>
            </w:pPr>
            <w:r>
              <w:rPr>
                <w:rFonts w:hint="eastAsia" w:ascii="宋体" w:hAnsi="宋体"/>
                <w:szCs w:val="21"/>
                <w:highlight w:val="none"/>
                <w:u w:val="single"/>
              </w:rPr>
              <w:t>番禺区石碁水厂扩建工程施工监理</w:t>
            </w:r>
          </w:p>
        </w:tc>
      </w:tr>
      <w:tr w14:paraId="475F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8EB8FA0">
            <w:pPr>
              <w:pStyle w:val="28"/>
              <w:kinsoku w:val="0"/>
              <w:overflowPunct w:val="0"/>
              <w:jc w:val="center"/>
              <w:rPr>
                <w:sz w:val="21"/>
                <w:highlight w:val="none"/>
              </w:rPr>
            </w:pPr>
            <w:r>
              <w:rPr>
                <w:rFonts w:hint="eastAsia" w:eastAsia="Times New Roman"/>
                <w:sz w:val="21"/>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0160D0A">
            <w:pPr>
              <w:pStyle w:val="28"/>
              <w:kinsoku w:val="0"/>
              <w:overflowPunct w:val="0"/>
              <w:jc w:val="both"/>
              <w:rPr>
                <w:sz w:val="21"/>
                <w:highlight w:val="none"/>
              </w:rPr>
            </w:pPr>
            <w:r>
              <w:rPr>
                <w:rFonts w:ascii="宋体" w:hAnsi="宋体"/>
                <w:sz w:val="21"/>
                <w:highlight w:val="none"/>
              </w:rPr>
              <w:t>项目建设地点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1A2BF3A">
            <w:pPr>
              <w:spacing w:line="360" w:lineRule="auto"/>
              <w:rPr>
                <w:sz w:val="21"/>
                <w:highlight w:val="none"/>
              </w:rPr>
            </w:pPr>
            <w:r>
              <w:rPr>
                <w:rFonts w:hint="eastAsia" w:ascii="宋体" w:hAnsi="宋体"/>
                <w:szCs w:val="21"/>
                <w:highlight w:val="none"/>
                <w:u w:val="single"/>
              </w:rPr>
              <w:t>详见招标公告。</w:t>
            </w:r>
          </w:p>
        </w:tc>
      </w:tr>
      <w:tr w14:paraId="290A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CBE9E0F">
            <w:pPr>
              <w:pStyle w:val="28"/>
              <w:kinsoku w:val="0"/>
              <w:overflowPunct w:val="0"/>
              <w:jc w:val="center"/>
              <w:rPr>
                <w:sz w:val="21"/>
                <w:highlight w:val="none"/>
              </w:rPr>
            </w:pPr>
            <w:r>
              <w:rPr>
                <w:rFonts w:hint="eastAsia" w:eastAsia="Times New Roman"/>
                <w:sz w:val="21"/>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BC8A32D">
            <w:pPr>
              <w:pStyle w:val="28"/>
              <w:kinsoku w:val="0"/>
              <w:overflowPunct w:val="0"/>
              <w:jc w:val="both"/>
              <w:rPr>
                <w:sz w:val="21"/>
                <w:highlight w:val="none"/>
              </w:rPr>
            </w:pPr>
            <w:r>
              <w:rPr>
                <w:rFonts w:ascii="宋体" w:hAnsi="宋体"/>
                <w:sz w:val="21"/>
                <w:highlight w:val="none"/>
              </w:rPr>
              <w:t>项目建设规模</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8F4A4F8">
            <w:pPr>
              <w:spacing w:line="360" w:lineRule="auto"/>
              <w:rPr>
                <w:sz w:val="21"/>
                <w:highlight w:val="none"/>
              </w:rPr>
            </w:pPr>
            <w:r>
              <w:rPr>
                <w:rFonts w:hint="eastAsia" w:ascii="宋体" w:hAnsi="宋体"/>
                <w:szCs w:val="21"/>
                <w:highlight w:val="none"/>
                <w:u w:val="single"/>
              </w:rPr>
              <w:t>详见招标公告。</w:t>
            </w:r>
          </w:p>
        </w:tc>
      </w:tr>
      <w:tr w14:paraId="62DE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0D0E2AE">
            <w:pPr>
              <w:pStyle w:val="28"/>
              <w:kinsoku w:val="0"/>
              <w:overflowPunct w:val="0"/>
              <w:jc w:val="center"/>
              <w:rPr>
                <w:sz w:val="21"/>
                <w:highlight w:val="none"/>
              </w:rPr>
            </w:pPr>
            <w:r>
              <w:rPr>
                <w:rFonts w:hint="eastAsia" w:eastAsia="Times New Roman"/>
                <w:sz w:val="21"/>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E945431">
            <w:pPr>
              <w:pStyle w:val="28"/>
              <w:kinsoku w:val="0"/>
              <w:overflowPunct w:val="0"/>
              <w:jc w:val="both"/>
              <w:rPr>
                <w:sz w:val="21"/>
                <w:highlight w:val="none"/>
              </w:rPr>
            </w:pPr>
            <w:r>
              <w:rPr>
                <w:rFonts w:ascii="宋体" w:hAnsi="宋体"/>
                <w:sz w:val="21"/>
                <w:highlight w:val="none"/>
              </w:rPr>
              <w:t>工程项目施工预计开工日期和建设周期</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81E5284">
            <w:pPr>
              <w:snapToGrid w:val="0"/>
              <w:rPr>
                <w:rFonts w:ascii="宋体" w:hAnsi="宋体" w:cs="宋体"/>
                <w:sz w:val="21"/>
                <w:szCs w:val="21"/>
                <w:highlight w:val="none"/>
              </w:rPr>
            </w:pPr>
            <w:r>
              <w:rPr>
                <w:rFonts w:hint="eastAsia" w:ascii="宋体" w:hAnsi="宋体" w:cs="宋体"/>
                <w:sz w:val="21"/>
                <w:szCs w:val="21"/>
                <w:highlight w:val="none"/>
              </w:rPr>
              <w:t>工程项目施工预计开工日期：开工时间以委托人通知为准</w:t>
            </w:r>
          </w:p>
          <w:p w14:paraId="1CD1EE28">
            <w:pPr>
              <w:snapToGrid w:val="0"/>
              <w:rPr>
                <w:rFonts w:ascii="宋体" w:hAnsi="宋体" w:cs="宋体"/>
                <w:sz w:val="21"/>
                <w:szCs w:val="21"/>
                <w:highlight w:val="none"/>
              </w:rPr>
            </w:pPr>
            <w:r>
              <w:rPr>
                <w:rFonts w:hint="eastAsia" w:ascii="宋体" w:hAnsi="宋体" w:cs="宋体"/>
                <w:sz w:val="21"/>
                <w:szCs w:val="21"/>
                <w:highlight w:val="none"/>
              </w:rPr>
              <w:t>施工准备阶段：从中标通知书发出、委托人通知监理人员进场之日起至委托人下达开工令或开工报告审批之日为止；</w:t>
            </w:r>
          </w:p>
          <w:p w14:paraId="706FD5F6">
            <w:pPr>
              <w:snapToGrid w:val="0"/>
              <w:rPr>
                <w:rFonts w:ascii="宋体" w:hAnsi="宋体" w:cs="宋体"/>
                <w:sz w:val="21"/>
                <w:szCs w:val="21"/>
                <w:highlight w:val="none"/>
              </w:rPr>
            </w:pPr>
            <w:r>
              <w:rPr>
                <w:rFonts w:hint="eastAsia" w:ascii="宋体" w:hAnsi="宋体" w:cs="宋体"/>
                <w:sz w:val="21"/>
                <w:szCs w:val="21"/>
                <w:highlight w:val="none"/>
              </w:rPr>
              <w:t>施工阶段：从委托人下达开工令或开工报告审批之日起至施工项目全部完工并办理竣工验收、竣工结算、备案管理为止；</w:t>
            </w:r>
          </w:p>
          <w:p w14:paraId="36A50C71">
            <w:pPr>
              <w:snapToGrid w:val="0"/>
              <w:rPr>
                <w:rFonts w:ascii="宋体" w:hAnsi="宋体" w:cs="宋体"/>
                <w:sz w:val="21"/>
                <w:szCs w:val="21"/>
                <w:highlight w:val="none"/>
              </w:rPr>
            </w:pPr>
            <w:r>
              <w:rPr>
                <w:rFonts w:hint="eastAsia" w:ascii="宋体" w:hAnsi="宋体" w:cs="宋体"/>
                <w:sz w:val="21"/>
                <w:szCs w:val="21"/>
                <w:highlight w:val="none"/>
              </w:rPr>
              <w:t>竣工结算阶段：从工程竣工验收完成开始至竣工结算完成为止；</w:t>
            </w:r>
          </w:p>
          <w:p w14:paraId="192C0582">
            <w:pPr>
              <w:snapToGrid w:val="0"/>
              <w:rPr>
                <w:sz w:val="21"/>
                <w:szCs w:val="21"/>
                <w:highlight w:val="none"/>
              </w:rPr>
            </w:pPr>
            <w:r>
              <w:rPr>
                <w:rFonts w:hint="eastAsia" w:ascii="宋体" w:hAnsi="宋体" w:cs="宋体"/>
                <w:sz w:val="21"/>
                <w:szCs w:val="21"/>
                <w:highlight w:val="none"/>
              </w:rPr>
              <w:t>工程缺陷责任期阶段：从工程竣工验收合格、备案管理完成之日起到合同约定的期限。</w:t>
            </w:r>
          </w:p>
        </w:tc>
      </w:tr>
      <w:tr w14:paraId="195A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A47251E">
            <w:pPr>
              <w:pStyle w:val="28"/>
              <w:kinsoku w:val="0"/>
              <w:overflowPunct w:val="0"/>
              <w:jc w:val="center"/>
              <w:rPr>
                <w:sz w:val="21"/>
                <w:highlight w:val="none"/>
              </w:rPr>
            </w:pPr>
            <w:r>
              <w:rPr>
                <w:rFonts w:hint="eastAsia" w:eastAsia="Times New Roman"/>
                <w:sz w:val="21"/>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781495B">
            <w:pPr>
              <w:pStyle w:val="28"/>
              <w:kinsoku w:val="0"/>
              <w:overflowPunct w:val="0"/>
              <w:jc w:val="both"/>
              <w:rPr>
                <w:sz w:val="21"/>
                <w:highlight w:val="none"/>
              </w:rPr>
            </w:pPr>
            <w:r>
              <w:rPr>
                <w:rFonts w:ascii="宋体" w:hAnsi="宋体"/>
                <w:sz w:val="21"/>
                <w:highlight w:val="none"/>
              </w:rPr>
              <w:t>建筑安装工程费</w:t>
            </w:r>
            <w:r>
              <w:rPr>
                <w:rFonts w:hint="eastAsia" w:eastAsia="Times New Roman"/>
                <w:sz w:val="21"/>
                <w:highlight w:val="none"/>
              </w:rPr>
              <w:t>/</w:t>
            </w:r>
            <w:r>
              <w:rPr>
                <w:rFonts w:ascii="宋体" w:hAnsi="宋体"/>
                <w:sz w:val="21"/>
                <w:highlight w:val="none"/>
              </w:rPr>
              <w:t>工程概算</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8ABB10E">
            <w:pPr>
              <w:spacing w:line="360" w:lineRule="auto"/>
              <w:rPr>
                <w:sz w:val="21"/>
                <w:szCs w:val="21"/>
                <w:highlight w:val="none"/>
              </w:rPr>
            </w:pPr>
            <w:r>
              <w:rPr>
                <w:rFonts w:hint="eastAsia" w:ascii="宋体" w:hAnsi="宋体"/>
                <w:sz w:val="21"/>
                <w:szCs w:val="21"/>
                <w:highlight w:val="none"/>
                <w:u w:val="single"/>
              </w:rPr>
              <w:t>详见招标公告。</w:t>
            </w:r>
          </w:p>
        </w:tc>
      </w:tr>
      <w:tr w14:paraId="4E67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E612DFA">
            <w:pPr>
              <w:pStyle w:val="28"/>
              <w:kinsoku w:val="0"/>
              <w:overflowPunct w:val="0"/>
              <w:jc w:val="center"/>
              <w:rPr>
                <w:sz w:val="21"/>
                <w:highlight w:val="none"/>
              </w:rPr>
            </w:pPr>
            <w:r>
              <w:rPr>
                <w:rFonts w:hint="eastAsia" w:eastAsia="Times New Roman"/>
                <w:sz w:val="21"/>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61969A1">
            <w:pPr>
              <w:pStyle w:val="28"/>
              <w:kinsoku w:val="0"/>
              <w:overflowPunct w:val="0"/>
              <w:jc w:val="both"/>
              <w:rPr>
                <w:sz w:val="21"/>
                <w:highlight w:val="none"/>
              </w:rPr>
            </w:pPr>
            <w:r>
              <w:rPr>
                <w:rFonts w:ascii="宋体" w:hAnsi="宋体"/>
                <w:sz w:val="21"/>
                <w:highlight w:val="none"/>
              </w:rPr>
              <w:t>资金来源及比例</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A476B3B">
            <w:pPr>
              <w:spacing w:line="360" w:lineRule="auto"/>
              <w:rPr>
                <w:sz w:val="21"/>
                <w:szCs w:val="21"/>
                <w:highlight w:val="none"/>
              </w:rPr>
            </w:pPr>
            <w:r>
              <w:rPr>
                <w:rFonts w:hint="eastAsia" w:ascii="宋体" w:hAnsi="宋体"/>
                <w:sz w:val="21"/>
                <w:szCs w:val="21"/>
                <w:highlight w:val="none"/>
                <w:u w:val="single"/>
              </w:rPr>
              <w:t>详见招标公告。</w:t>
            </w:r>
          </w:p>
        </w:tc>
      </w:tr>
      <w:tr w14:paraId="2E2A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E81A56D">
            <w:pPr>
              <w:pStyle w:val="28"/>
              <w:kinsoku w:val="0"/>
              <w:overflowPunct w:val="0"/>
              <w:jc w:val="center"/>
              <w:rPr>
                <w:sz w:val="21"/>
                <w:highlight w:val="none"/>
              </w:rPr>
            </w:pPr>
            <w:r>
              <w:rPr>
                <w:rFonts w:hint="eastAsia" w:eastAsia="Times New Roman"/>
                <w:sz w:val="21"/>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1E0EDE1">
            <w:pPr>
              <w:pStyle w:val="28"/>
              <w:kinsoku w:val="0"/>
              <w:overflowPunct w:val="0"/>
              <w:jc w:val="both"/>
              <w:rPr>
                <w:sz w:val="21"/>
                <w:highlight w:val="none"/>
              </w:rPr>
            </w:pPr>
            <w:r>
              <w:rPr>
                <w:rFonts w:ascii="宋体" w:hAnsi="宋体"/>
                <w:sz w:val="21"/>
                <w:highlight w:val="none"/>
              </w:rPr>
              <w:t>资金落实情况</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D0BD6FA">
            <w:pPr>
              <w:spacing w:line="360" w:lineRule="auto"/>
              <w:rPr>
                <w:sz w:val="21"/>
                <w:szCs w:val="21"/>
                <w:highlight w:val="none"/>
              </w:rPr>
            </w:pPr>
            <w:r>
              <w:rPr>
                <w:rFonts w:hint="eastAsia" w:ascii="宋体" w:hAnsi="宋体"/>
                <w:sz w:val="21"/>
                <w:szCs w:val="21"/>
                <w:highlight w:val="none"/>
                <w:u w:val="single"/>
              </w:rPr>
              <w:t>已落实。</w:t>
            </w:r>
          </w:p>
        </w:tc>
      </w:tr>
      <w:tr w14:paraId="0987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D25F033">
            <w:pPr>
              <w:pStyle w:val="28"/>
              <w:kinsoku w:val="0"/>
              <w:overflowPunct w:val="0"/>
              <w:jc w:val="center"/>
              <w:rPr>
                <w:sz w:val="21"/>
                <w:highlight w:val="none"/>
              </w:rPr>
            </w:pPr>
            <w:r>
              <w:rPr>
                <w:rFonts w:hint="eastAsia" w:eastAsia="Times New Roman"/>
                <w:sz w:val="21"/>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269BFE3">
            <w:pPr>
              <w:pStyle w:val="28"/>
              <w:kinsoku w:val="0"/>
              <w:overflowPunct w:val="0"/>
              <w:jc w:val="both"/>
              <w:rPr>
                <w:sz w:val="21"/>
                <w:highlight w:val="none"/>
              </w:rPr>
            </w:pPr>
            <w:r>
              <w:rPr>
                <w:rFonts w:ascii="宋体" w:hAnsi="宋体"/>
                <w:sz w:val="21"/>
                <w:highlight w:val="none"/>
              </w:rPr>
              <w:t>招标范围</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6AB1310">
            <w:pPr>
              <w:spacing w:line="360" w:lineRule="auto"/>
              <w:rPr>
                <w:sz w:val="21"/>
                <w:szCs w:val="21"/>
                <w:highlight w:val="none"/>
              </w:rPr>
            </w:pPr>
            <w:r>
              <w:rPr>
                <w:rFonts w:hint="eastAsia" w:ascii="宋体" w:hAnsi="宋体"/>
                <w:sz w:val="21"/>
                <w:szCs w:val="21"/>
                <w:highlight w:val="none"/>
                <w:u w:val="single"/>
              </w:rPr>
              <w:t>详见招标公告。</w:t>
            </w:r>
          </w:p>
        </w:tc>
      </w:tr>
      <w:tr w14:paraId="7944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763023D">
            <w:pPr>
              <w:pStyle w:val="28"/>
              <w:kinsoku w:val="0"/>
              <w:overflowPunct w:val="0"/>
              <w:jc w:val="center"/>
              <w:rPr>
                <w:sz w:val="21"/>
                <w:highlight w:val="none"/>
              </w:rPr>
            </w:pPr>
            <w:r>
              <w:rPr>
                <w:rFonts w:hint="eastAsia" w:eastAsia="Times New Roman"/>
                <w:sz w:val="21"/>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8F0AA05">
            <w:pPr>
              <w:pStyle w:val="28"/>
              <w:kinsoku w:val="0"/>
              <w:overflowPunct w:val="0"/>
              <w:jc w:val="both"/>
              <w:rPr>
                <w:sz w:val="21"/>
                <w:highlight w:val="none"/>
              </w:rPr>
            </w:pPr>
            <w:r>
              <w:rPr>
                <w:rFonts w:ascii="宋体" w:hAnsi="宋体"/>
                <w:sz w:val="21"/>
                <w:highlight w:val="none"/>
              </w:rPr>
              <w:t>监理服务期限</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AFBC156">
            <w:pPr>
              <w:spacing w:line="360" w:lineRule="auto"/>
              <w:jc w:val="both"/>
              <w:rPr>
                <w:rFonts w:ascii="宋体" w:hAnsi="宋体"/>
                <w:sz w:val="21"/>
                <w:szCs w:val="18"/>
                <w:highlight w:val="none"/>
                <w:u w:val="single"/>
              </w:rPr>
            </w:pPr>
            <w:r>
              <w:rPr>
                <w:rFonts w:hint="eastAsia" w:ascii="宋体" w:hAnsi="宋体" w:cs="宋体"/>
                <w:sz w:val="21"/>
                <w:szCs w:val="18"/>
                <w:highlight w:val="none"/>
              </w:rPr>
              <w:t>监理服务期暂定为</w:t>
            </w:r>
            <w:r>
              <w:rPr>
                <w:rFonts w:hint="eastAsia" w:ascii="宋体" w:hAnsi="宋体" w:cs="宋体"/>
                <w:sz w:val="21"/>
                <w:szCs w:val="18"/>
                <w:highlight w:val="none"/>
                <w:u w:val="single"/>
              </w:rPr>
              <w:t>自中标通知书发放之日起至缺陷责任期满为止</w:t>
            </w:r>
            <w:r>
              <w:rPr>
                <w:rFonts w:hint="eastAsia" w:ascii="宋体" w:hAnsi="宋体" w:cs="宋体"/>
                <w:sz w:val="21"/>
                <w:szCs w:val="18"/>
                <w:highlight w:val="none"/>
              </w:rPr>
              <w:t>。包括工程施工准备阶段、工程施工阶段、工程竣工结算期及缺陷责任期。</w:t>
            </w:r>
          </w:p>
        </w:tc>
      </w:tr>
      <w:tr w14:paraId="0DFD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DAA2A66">
            <w:pPr>
              <w:pStyle w:val="28"/>
              <w:kinsoku w:val="0"/>
              <w:overflowPunct w:val="0"/>
              <w:jc w:val="center"/>
              <w:rPr>
                <w:sz w:val="21"/>
                <w:highlight w:val="none"/>
              </w:rPr>
            </w:pPr>
            <w:r>
              <w:rPr>
                <w:rFonts w:hint="eastAsia" w:eastAsia="Times New Roman"/>
                <w:sz w:val="21"/>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D2935CF">
            <w:pPr>
              <w:pStyle w:val="28"/>
              <w:kinsoku w:val="0"/>
              <w:overflowPunct w:val="0"/>
              <w:jc w:val="both"/>
              <w:rPr>
                <w:sz w:val="21"/>
                <w:highlight w:val="none"/>
              </w:rPr>
            </w:pPr>
            <w:r>
              <w:rPr>
                <w:rFonts w:ascii="宋体" w:hAnsi="宋体"/>
                <w:sz w:val="21"/>
                <w:highlight w:val="none"/>
              </w:rPr>
              <w:t>质量标准</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16D81C7D">
            <w:pPr>
              <w:jc w:val="both"/>
              <w:rPr>
                <w:sz w:val="21"/>
                <w:highlight w:val="none"/>
              </w:rPr>
            </w:pPr>
            <w:r>
              <w:rPr>
                <w:rFonts w:hint="eastAsia" w:ascii="宋体" w:hAnsi="宋体"/>
                <w:sz w:val="21"/>
                <w:szCs w:val="18"/>
                <w:highlight w:val="none"/>
                <w:u w:val="single"/>
              </w:rPr>
              <w:t>合格。</w:t>
            </w:r>
          </w:p>
        </w:tc>
      </w:tr>
      <w:tr w14:paraId="5283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1BA6415">
            <w:pPr>
              <w:pStyle w:val="28"/>
              <w:kinsoku w:val="0"/>
              <w:overflowPunct w:val="0"/>
              <w:jc w:val="center"/>
              <w:rPr>
                <w:sz w:val="21"/>
                <w:highlight w:val="none"/>
              </w:rPr>
            </w:pPr>
            <w:r>
              <w:rPr>
                <w:rFonts w:hint="eastAsia" w:eastAsia="Times New Roman"/>
                <w:sz w:val="21"/>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A158E94">
            <w:pPr>
              <w:pStyle w:val="28"/>
              <w:kinsoku w:val="0"/>
              <w:overflowPunct w:val="0"/>
              <w:jc w:val="both"/>
              <w:rPr>
                <w:sz w:val="21"/>
                <w:highlight w:val="none"/>
              </w:rPr>
            </w:pPr>
            <w:r>
              <w:rPr>
                <w:rFonts w:ascii="宋体" w:hAnsi="宋体"/>
                <w:sz w:val="21"/>
                <w:highlight w:val="none"/>
              </w:rPr>
              <w:t>投标人资质条件、能力、信誉</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AAA29FA">
            <w:pPr>
              <w:pStyle w:val="28"/>
              <w:kinsoku w:val="0"/>
              <w:overflowPunct w:val="0"/>
              <w:jc w:val="both"/>
              <w:rPr>
                <w:rFonts w:ascii="宋体" w:hAnsi="宋体"/>
                <w:sz w:val="21"/>
                <w:highlight w:val="none"/>
              </w:rPr>
            </w:pPr>
            <w:r>
              <w:rPr>
                <w:rFonts w:ascii="宋体" w:hAnsi="宋体"/>
                <w:sz w:val="21"/>
                <w:highlight w:val="none"/>
              </w:rPr>
              <w:t>详见本项目招标公告。</w:t>
            </w:r>
          </w:p>
        </w:tc>
      </w:tr>
      <w:tr w14:paraId="0BBA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D783A61">
            <w:pPr>
              <w:pStyle w:val="28"/>
              <w:kinsoku w:val="0"/>
              <w:overflowPunct w:val="0"/>
              <w:jc w:val="center"/>
              <w:rPr>
                <w:sz w:val="21"/>
                <w:highlight w:val="none"/>
              </w:rPr>
            </w:pPr>
            <w:r>
              <w:rPr>
                <w:rFonts w:hint="eastAsia" w:eastAsia="Times New Roman"/>
                <w:sz w:val="21"/>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20EB3BC">
            <w:pPr>
              <w:pStyle w:val="28"/>
              <w:kinsoku w:val="0"/>
              <w:overflowPunct w:val="0"/>
              <w:jc w:val="both"/>
              <w:rPr>
                <w:sz w:val="21"/>
                <w:highlight w:val="none"/>
              </w:rPr>
            </w:pPr>
            <w:r>
              <w:rPr>
                <w:rFonts w:ascii="宋体" w:hAnsi="宋体"/>
                <w:sz w:val="21"/>
                <w:highlight w:val="none"/>
              </w:rPr>
              <w:t>是否接受联合体投标</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D1D27F2">
            <w:pPr>
              <w:pStyle w:val="28"/>
              <w:kinsoku w:val="0"/>
              <w:overflowPunct w:val="0"/>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不接受</w:t>
            </w:r>
          </w:p>
          <w:p w14:paraId="499D78F0">
            <w:pPr>
              <w:pStyle w:val="28"/>
              <w:kinsoku w:val="0"/>
              <w:overflowPunct w:val="0"/>
              <w:jc w:val="both"/>
              <w:rPr>
                <w:sz w:val="21"/>
                <w:highlight w:val="none"/>
              </w:rPr>
            </w:pPr>
            <w:r>
              <w:rPr>
                <w:rFonts w:hint="eastAsia" w:eastAsia="Times New Roman"/>
                <w:sz w:val="21"/>
                <w:highlight w:val="none"/>
              </w:rPr>
              <w:sym w:font="Wingdings 2" w:char="00A3"/>
            </w:r>
            <w:r>
              <w:rPr>
                <w:rFonts w:ascii="宋体" w:hAnsi="宋体"/>
                <w:sz w:val="21"/>
                <w:highlight w:val="none"/>
              </w:rPr>
              <w:t>接受，应满足下列要求：</w:t>
            </w:r>
          </w:p>
        </w:tc>
      </w:tr>
      <w:tr w14:paraId="76B5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D64242B">
            <w:pPr>
              <w:pStyle w:val="28"/>
              <w:kinsoku w:val="0"/>
              <w:overflowPunct w:val="0"/>
              <w:jc w:val="center"/>
              <w:rPr>
                <w:rFonts w:ascii="宋体" w:hAnsi="宋体" w:cs="宋体"/>
                <w:b/>
                <w:sz w:val="21"/>
                <w:szCs w:val="21"/>
                <w:highlight w:val="none"/>
              </w:rPr>
            </w:pPr>
            <w:r>
              <w:rPr>
                <w:rFonts w:hint="eastAsia" w:eastAsia="Times New Roman"/>
                <w:sz w:val="21"/>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3146397">
            <w:pPr>
              <w:pStyle w:val="28"/>
              <w:kinsoku w:val="0"/>
              <w:overflowPunct w:val="0"/>
              <w:jc w:val="both"/>
              <w:rPr>
                <w:rFonts w:ascii="宋体" w:hAnsi="宋体" w:cs="宋体"/>
                <w:b/>
                <w:sz w:val="21"/>
                <w:szCs w:val="21"/>
                <w:highlight w:val="none"/>
              </w:rPr>
            </w:pPr>
            <w:r>
              <w:rPr>
                <w:rFonts w:ascii="宋体" w:hAnsi="宋体"/>
                <w:sz w:val="21"/>
                <w:highlight w:val="none"/>
              </w:rPr>
              <w:t>投标人不得存在的其他情形</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43A102F">
            <w:pPr>
              <w:jc w:val="both"/>
              <w:rPr>
                <w:rFonts w:ascii="宋体" w:hAnsi="宋体" w:cs="宋体"/>
                <w:b/>
                <w:sz w:val="21"/>
                <w:szCs w:val="21"/>
                <w:highlight w:val="none"/>
              </w:rPr>
            </w:pPr>
            <w:r>
              <w:rPr>
                <w:rFonts w:hint="eastAsia" w:ascii="宋体" w:hAnsi="宋体"/>
                <w:szCs w:val="21"/>
                <w:highlight w:val="none"/>
                <w:u w:val="single"/>
              </w:rPr>
              <w:t xml:space="preserve"> /  </w:t>
            </w:r>
          </w:p>
        </w:tc>
      </w:tr>
      <w:tr w14:paraId="0D03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11E967B">
            <w:pPr>
              <w:pStyle w:val="28"/>
              <w:kinsoku w:val="0"/>
              <w:overflowPunct w:val="0"/>
              <w:jc w:val="center"/>
              <w:rPr>
                <w:rFonts w:ascii="宋体" w:hAnsi="宋体" w:cs="宋体"/>
                <w:b/>
                <w:sz w:val="21"/>
                <w:szCs w:val="21"/>
                <w:highlight w:val="none"/>
              </w:rPr>
            </w:pPr>
            <w:r>
              <w:rPr>
                <w:rFonts w:hint="eastAsia" w:eastAsia="Times New Roman"/>
                <w:sz w:val="21"/>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52BF86B">
            <w:pPr>
              <w:pStyle w:val="28"/>
              <w:kinsoku w:val="0"/>
              <w:overflowPunct w:val="0"/>
              <w:jc w:val="both"/>
              <w:rPr>
                <w:rFonts w:ascii="宋体" w:hAnsi="宋体" w:cs="宋体"/>
                <w:b/>
                <w:sz w:val="21"/>
                <w:szCs w:val="21"/>
                <w:highlight w:val="none"/>
              </w:rPr>
            </w:pPr>
            <w:r>
              <w:rPr>
                <w:rFonts w:ascii="宋体" w:hAnsi="宋体"/>
                <w:sz w:val="21"/>
                <w:highlight w:val="none"/>
              </w:rPr>
              <w:t>踏勘现场</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1AC0543">
            <w:pPr>
              <w:rPr>
                <w:sz w:val="21"/>
                <w:highlight w:val="none"/>
              </w:rPr>
            </w:pPr>
            <w:r>
              <w:rPr>
                <w:rFonts w:ascii="宋体"/>
                <w:sz w:val="21"/>
                <w:highlight w:val="none"/>
              </w:rPr>
              <w:t>招标人不集中组织，由投标人自行踏勘；</w:t>
            </w:r>
          </w:p>
          <w:p w14:paraId="1F12C9A7">
            <w:pPr>
              <w:rPr>
                <w:sz w:val="21"/>
                <w:highlight w:val="none"/>
              </w:rPr>
            </w:pPr>
            <w:r>
              <w:rPr>
                <w:rFonts w:ascii="宋体"/>
                <w:sz w:val="21"/>
                <w:highlight w:val="none"/>
              </w:rPr>
              <w:t>时间：自_</w:t>
            </w:r>
            <w:r>
              <w:rPr>
                <w:rFonts w:hint="eastAsia" w:ascii="宋体"/>
                <w:sz w:val="21"/>
                <w:highlight w:val="none"/>
              </w:rPr>
              <w:t>/</w:t>
            </w:r>
            <w:r>
              <w:rPr>
                <w:rFonts w:ascii="宋体"/>
                <w:sz w:val="21"/>
                <w:highlight w:val="none"/>
              </w:rPr>
              <w:t>年</w:t>
            </w:r>
            <w:r>
              <w:rPr>
                <w:sz w:val="21"/>
                <w:highlight w:val="none"/>
              </w:rPr>
              <w:t>_</w:t>
            </w:r>
            <w:r>
              <w:rPr>
                <w:rFonts w:hint="eastAsia"/>
                <w:sz w:val="21"/>
                <w:highlight w:val="none"/>
              </w:rPr>
              <w:t>/</w:t>
            </w:r>
            <w:r>
              <w:rPr>
                <w:rFonts w:ascii="宋体"/>
                <w:sz w:val="21"/>
                <w:highlight w:val="none"/>
              </w:rPr>
              <w:t>月</w:t>
            </w:r>
            <w:r>
              <w:rPr>
                <w:rFonts w:hint="eastAsia"/>
                <w:sz w:val="21"/>
                <w:highlight w:val="none"/>
              </w:rPr>
              <w:t>/</w:t>
            </w:r>
            <w:r>
              <w:rPr>
                <w:rFonts w:ascii="宋体"/>
                <w:sz w:val="21"/>
                <w:highlight w:val="none"/>
              </w:rPr>
              <w:t>日起具备现场踏勘条件；</w:t>
            </w:r>
          </w:p>
          <w:p w14:paraId="7837CD34">
            <w:pPr>
              <w:pStyle w:val="28"/>
              <w:kinsoku w:val="0"/>
              <w:overflowPunct w:val="0"/>
              <w:jc w:val="both"/>
              <w:rPr>
                <w:rFonts w:ascii="宋体" w:hAnsi="宋体" w:cs="宋体"/>
                <w:b/>
                <w:sz w:val="21"/>
                <w:szCs w:val="21"/>
                <w:highlight w:val="none"/>
              </w:rPr>
            </w:pPr>
            <w:r>
              <w:rPr>
                <w:rFonts w:ascii="宋体"/>
                <w:sz w:val="21"/>
                <w:highlight w:val="none"/>
              </w:rPr>
              <w:t>现场详细地点：</w:t>
            </w:r>
            <w:r>
              <w:rPr>
                <w:sz w:val="21"/>
                <w:highlight w:val="none"/>
              </w:rPr>
              <w:t>__</w:t>
            </w:r>
            <w:r>
              <w:rPr>
                <w:rFonts w:hint="eastAsia"/>
                <w:sz w:val="21"/>
                <w:highlight w:val="none"/>
              </w:rPr>
              <w:t>/</w:t>
            </w:r>
            <w:r>
              <w:rPr>
                <w:sz w:val="21"/>
                <w:highlight w:val="none"/>
              </w:rPr>
              <w:t>__</w:t>
            </w:r>
            <w:r>
              <w:rPr>
                <w:rFonts w:ascii="宋体"/>
                <w:sz w:val="21"/>
                <w:highlight w:val="none"/>
              </w:rPr>
              <w:t>；</w:t>
            </w:r>
          </w:p>
        </w:tc>
      </w:tr>
      <w:tr w14:paraId="18A2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tcPr>
          <w:p w14:paraId="39568D27">
            <w:pPr>
              <w:spacing w:line="283" w:lineRule="auto"/>
              <w:rPr>
                <w:rFonts w:ascii="Arial"/>
                <w:sz w:val="21"/>
                <w:highlight w:val="none"/>
              </w:rPr>
            </w:pPr>
          </w:p>
          <w:p w14:paraId="57EBD2E6">
            <w:pPr>
              <w:spacing w:line="284" w:lineRule="auto"/>
              <w:rPr>
                <w:rFonts w:ascii="Arial"/>
                <w:sz w:val="21"/>
                <w:highlight w:val="none"/>
              </w:rPr>
            </w:pPr>
          </w:p>
          <w:p w14:paraId="7A35F19C">
            <w:pPr>
              <w:spacing w:before="60" w:line="186" w:lineRule="auto"/>
              <w:jc w:val="center"/>
              <w:rPr>
                <w:rFonts w:eastAsia="Times New Roman"/>
                <w:sz w:val="21"/>
                <w:szCs w:val="21"/>
                <w:highlight w:val="none"/>
              </w:rPr>
            </w:pPr>
            <w:r>
              <w:rPr>
                <w:rFonts w:hint="eastAsia" w:eastAsia="Times New Roman"/>
                <w:spacing w:val="-5"/>
                <w:sz w:val="21"/>
                <w:szCs w:val="21"/>
                <w:highlight w:val="none"/>
              </w:rPr>
              <w:t>1</w:t>
            </w:r>
            <w:r>
              <w:rPr>
                <w:rFonts w:hint="eastAsia" w:eastAsia="Times New Roman"/>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tcPr>
          <w:p w14:paraId="508239EE">
            <w:pPr>
              <w:spacing w:line="260" w:lineRule="auto"/>
              <w:rPr>
                <w:rFonts w:ascii="Arial"/>
                <w:sz w:val="21"/>
                <w:highlight w:val="none"/>
              </w:rPr>
            </w:pPr>
          </w:p>
          <w:p w14:paraId="36450406">
            <w:pPr>
              <w:spacing w:line="260" w:lineRule="auto"/>
              <w:rPr>
                <w:rFonts w:ascii="Arial"/>
                <w:sz w:val="21"/>
                <w:highlight w:val="none"/>
              </w:rPr>
            </w:pPr>
          </w:p>
          <w:p w14:paraId="22C46C89">
            <w:pPr>
              <w:spacing w:before="68" w:line="217" w:lineRule="auto"/>
              <w:rPr>
                <w:rFonts w:ascii="宋体" w:hAnsi="宋体" w:cs="宋体"/>
                <w:sz w:val="21"/>
                <w:szCs w:val="21"/>
                <w:highlight w:val="none"/>
              </w:rPr>
            </w:pPr>
            <w:r>
              <w:rPr>
                <w:rFonts w:ascii="宋体" w:hAnsi="宋体"/>
                <w:sz w:val="21"/>
                <w:szCs w:val="21"/>
                <w:highlight w:val="none"/>
              </w:rPr>
              <w:t>投标预备会</w:t>
            </w:r>
          </w:p>
        </w:tc>
        <w:tc>
          <w:tcPr>
            <w:tcW w:w="5551" w:type="dxa"/>
            <w:tcBorders>
              <w:top w:val="single" w:color="auto" w:sz="4" w:space="0"/>
              <w:left w:val="single" w:color="auto" w:sz="4" w:space="0"/>
              <w:bottom w:val="single" w:color="auto" w:sz="4" w:space="0"/>
              <w:right w:val="single" w:color="auto" w:sz="4" w:space="0"/>
              <w:tl2br w:val="nil"/>
              <w:tr2bl w:val="nil"/>
            </w:tcBorders>
          </w:tcPr>
          <w:p w14:paraId="0F431C4D">
            <w:pPr>
              <w:pStyle w:val="9"/>
              <w:spacing w:before="48" w:beforeLines="20" w:after="48" w:afterLines="20"/>
              <w:ind w:left="48" w:leftChars="20" w:right="48" w:rightChars="20"/>
              <w:rPr>
                <w:rFonts w:hint="default" w:ascii="宋体" w:hAnsi="宋体" w:eastAsia="宋体" w:cs="宋体"/>
                <w:sz w:val="21"/>
                <w:szCs w:val="21"/>
                <w:highlight w:val="none"/>
              </w:rPr>
            </w:pPr>
            <w:r>
              <w:rPr>
                <w:rFonts w:hint="default" w:ascii="宋体" w:hAnsi="宋体" w:eastAsia="宋体" w:cs="宋体"/>
                <w:sz w:val="21"/>
                <w:szCs w:val="21"/>
                <w:highlight w:val="none"/>
              </w:rPr>
              <w:t>☑不召开</w:t>
            </w:r>
          </w:p>
          <w:p w14:paraId="3CB58ABD">
            <w:pPr>
              <w:spacing w:before="48" w:beforeLines="20" w:after="48" w:afterLines="20"/>
              <w:ind w:left="48" w:leftChars="20" w:right="48" w:rightChars="20"/>
              <w:rPr>
                <w:rFonts w:ascii="宋体" w:hAnsi="宋体" w:cs="宋体"/>
                <w:sz w:val="21"/>
                <w:szCs w:val="21"/>
                <w:highlight w:val="none"/>
              </w:rPr>
            </w:pPr>
            <w:r>
              <w:rPr>
                <w:rFonts w:ascii="宋体" w:hAnsi="宋体" w:cs="宋体"/>
                <w:sz w:val="21"/>
                <w:szCs w:val="21"/>
                <w:highlight w:val="none"/>
              </w:rPr>
              <w:sym w:font="Wingdings 2" w:char="00A3"/>
            </w:r>
            <w:r>
              <w:rPr>
                <w:rFonts w:ascii="宋体" w:hAnsi="宋体" w:cs="宋体"/>
                <w:sz w:val="21"/>
                <w:szCs w:val="21"/>
                <w:highlight w:val="none"/>
              </w:rPr>
              <w:t>召开，召开时间：</w:t>
            </w:r>
          </w:p>
          <w:p w14:paraId="3853255B">
            <w:pPr>
              <w:spacing w:before="173"/>
              <w:ind w:right="50" w:firstLine="840" w:firstLineChars="400"/>
              <w:rPr>
                <w:rFonts w:ascii="宋体" w:hAnsi="宋体"/>
                <w:sz w:val="21"/>
                <w:highlight w:val="none"/>
              </w:rPr>
            </w:pPr>
            <w:r>
              <w:rPr>
                <w:rFonts w:ascii="宋体" w:hAnsi="宋体" w:cs="宋体"/>
                <w:sz w:val="21"/>
                <w:szCs w:val="21"/>
                <w:highlight w:val="none"/>
              </w:rPr>
              <w:t>召开地点：</w:t>
            </w:r>
          </w:p>
        </w:tc>
      </w:tr>
      <w:tr w14:paraId="41AD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EA4B50C">
            <w:pPr>
              <w:spacing w:before="60" w:line="186" w:lineRule="auto"/>
              <w:jc w:val="center"/>
              <w:rPr>
                <w:rFonts w:eastAsia="Times New Roman"/>
                <w:spacing w:val="-5"/>
                <w:sz w:val="21"/>
                <w:szCs w:val="21"/>
                <w:highlight w:val="none"/>
              </w:rPr>
            </w:pPr>
            <w:r>
              <w:rPr>
                <w:rFonts w:hint="eastAsia" w:eastAsia="Times New Roman"/>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7ED287B">
            <w:pPr>
              <w:spacing w:before="68" w:line="217" w:lineRule="auto"/>
              <w:rPr>
                <w:rFonts w:ascii="宋体" w:hAnsi="宋体" w:cs="宋体"/>
                <w:spacing w:val="-2"/>
                <w:sz w:val="21"/>
                <w:szCs w:val="21"/>
                <w:highlight w:val="none"/>
              </w:rPr>
            </w:pPr>
            <w:r>
              <w:rPr>
                <w:rFonts w:ascii="宋体" w:hAnsi="宋体" w:cs="宋体"/>
                <w:sz w:val="21"/>
                <w:szCs w:val="21"/>
                <w:highlight w:val="none"/>
              </w:rPr>
              <w:t>投标人在投标预备会前提出问题</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46882DA">
            <w:pPr>
              <w:autoSpaceDE/>
              <w:autoSpaceDN/>
              <w:adjustRightInd/>
              <w:spacing w:before="48" w:beforeLines="20" w:after="48" w:afterLines="20"/>
              <w:ind w:left="48" w:leftChars="20" w:right="48" w:rightChars="20"/>
              <w:rPr>
                <w:rFonts w:ascii="宋体" w:hAnsi="宋体" w:cs="宋体"/>
                <w:sz w:val="21"/>
                <w:szCs w:val="21"/>
                <w:highlight w:val="none"/>
              </w:rPr>
            </w:pPr>
            <w:r>
              <w:rPr>
                <w:rFonts w:ascii="宋体" w:hAnsi="宋体" w:cs="宋体"/>
                <w:sz w:val="21"/>
                <w:szCs w:val="21"/>
                <w:highlight w:val="none"/>
              </w:rPr>
              <w:t>时间： /</w:t>
            </w:r>
          </w:p>
        </w:tc>
      </w:tr>
      <w:tr w14:paraId="236C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0DA3EDF">
            <w:pPr>
              <w:pStyle w:val="28"/>
              <w:kinsoku w:val="0"/>
              <w:overflowPunct w:val="0"/>
              <w:jc w:val="center"/>
              <w:rPr>
                <w:rFonts w:eastAsia="Times New Roman"/>
                <w:sz w:val="21"/>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F3B91AF">
            <w:pPr>
              <w:pStyle w:val="28"/>
              <w:kinsoku w:val="0"/>
              <w:overflowPunct w:val="0"/>
              <w:jc w:val="both"/>
              <w:rPr>
                <w:rFonts w:ascii="宋体" w:hAnsi="宋体"/>
                <w:sz w:val="21"/>
                <w:highlight w:val="none"/>
              </w:rPr>
            </w:pP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81ECE21">
            <w:pPr>
              <w:autoSpaceDE/>
              <w:autoSpaceDN/>
              <w:adjustRightInd/>
              <w:spacing w:before="48" w:beforeLines="20" w:after="48" w:afterLines="20"/>
              <w:ind w:left="48" w:leftChars="20" w:right="48" w:rightChars="20"/>
              <w:rPr>
                <w:rFonts w:ascii="宋体" w:hAnsi="宋体" w:cs="宋体"/>
                <w:sz w:val="21"/>
                <w:szCs w:val="21"/>
                <w:highlight w:val="none"/>
              </w:rPr>
            </w:pPr>
            <w:r>
              <w:rPr>
                <w:rFonts w:ascii="宋体" w:hAnsi="宋体" w:cs="宋体"/>
                <w:sz w:val="21"/>
                <w:szCs w:val="21"/>
                <w:highlight w:val="none"/>
              </w:rPr>
              <w:t>形式： /</w:t>
            </w:r>
          </w:p>
        </w:tc>
      </w:tr>
      <w:tr w14:paraId="16ED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3ED8E7D">
            <w:pPr>
              <w:spacing w:before="48" w:beforeLines="20" w:after="48" w:afterLines="20"/>
              <w:ind w:left="48" w:leftChars="20" w:right="48" w:rightChars="20"/>
              <w:jc w:val="center"/>
              <w:rPr>
                <w:rFonts w:ascii="Arial" w:hAnsi="宋体" w:cs="宋体"/>
                <w:snapToGrid w:val="0"/>
                <w:sz w:val="21"/>
                <w:szCs w:val="21"/>
                <w:highlight w:val="none"/>
              </w:rPr>
            </w:pPr>
            <w:r>
              <w:rPr>
                <w:rFonts w:hint="eastAsia" w:eastAsia="Times New Roman"/>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B4B5AE1">
            <w:pPr>
              <w:spacing w:before="48" w:beforeLines="20" w:after="48" w:afterLines="20"/>
              <w:ind w:left="48" w:leftChars="20" w:right="48" w:rightChars="20"/>
              <w:rPr>
                <w:rFonts w:ascii="宋体" w:hAnsi="宋体" w:cs="宋体"/>
                <w:snapToGrid w:val="0"/>
                <w:sz w:val="21"/>
                <w:szCs w:val="21"/>
                <w:highlight w:val="none"/>
              </w:rPr>
            </w:pPr>
            <w:r>
              <w:rPr>
                <w:rFonts w:ascii="宋体" w:hAnsi="宋体" w:cs="宋体"/>
                <w:sz w:val="21"/>
                <w:szCs w:val="21"/>
                <w:highlight w:val="none"/>
              </w:rPr>
              <w:t>招标文件澄清发出的形式</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BD4E41E">
            <w:pPr>
              <w:autoSpaceDE/>
              <w:autoSpaceDN/>
              <w:adjustRightInd/>
              <w:spacing w:before="48" w:beforeLines="20" w:after="48" w:afterLines="20"/>
              <w:ind w:left="48" w:leftChars="20" w:right="48" w:rightChars="20" w:firstLine="420" w:firstLineChars="200"/>
              <w:rPr>
                <w:rFonts w:ascii="宋体" w:hAnsi="宋体" w:cs="宋体"/>
                <w:sz w:val="21"/>
                <w:szCs w:val="21"/>
                <w:highlight w:val="none"/>
              </w:rPr>
            </w:pPr>
            <w:r>
              <w:rPr>
                <w:rFonts w:ascii="宋体" w:hAnsi="宋体" w:cs="宋体"/>
                <w:sz w:val="21"/>
                <w:szCs w:val="21"/>
                <w:highlight w:val="none"/>
              </w:rPr>
              <w:t>/</w:t>
            </w:r>
          </w:p>
        </w:tc>
      </w:tr>
      <w:tr w14:paraId="1D01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2E9D91A">
            <w:pPr>
              <w:pStyle w:val="28"/>
              <w:kinsoku w:val="0"/>
              <w:overflowPunct w:val="0"/>
              <w:jc w:val="center"/>
              <w:rPr>
                <w:rFonts w:ascii="宋体" w:hAnsi="宋体" w:cs="宋体"/>
                <w:b/>
                <w:sz w:val="21"/>
                <w:szCs w:val="21"/>
                <w:highlight w:val="none"/>
              </w:rPr>
            </w:pPr>
            <w:r>
              <w:rPr>
                <w:rFonts w:hint="eastAsia" w:eastAsia="Times New Roman"/>
                <w:sz w:val="21"/>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DF31431">
            <w:pPr>
              <w:pStyle w:val="28"/>
              <w:kinsoku w:val="0"/>
              <w:overflowPunct w:val="0"/>
              <w:jc w:val="both"/>
              <w:rPr>
                <w:rFonts w:ascii="宋体" w:hAnsi="宋体" w:cs="宋体"/>
                <w:b/>
                <w:sz w:val="21"/>
                <w:szCs w:val="21"/>
                <w:highlight w:val="none"/>
              </w:rPr>
            </w:pPr>
            <w:r>
              <w:rPr>
                <w:rFonts w:ascii="宋体" w:hAnsi="宋体"/>
                <w:sz w:val="21"/>
                <w:highlight w:val="none"/>
              </w:rPr>
              <w:t>实质性要求和条件</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98A947B">
            <w:pPr>
              <w:ind w:firstLine="420" w:firstLineChars="200"/>
              <w:jc w:val="both"/>
              <w:rPr>
                <w:rFonts w:ascii="宋体" w:hAnsi="宋体" w:cs="宋体"/>
                <w:b/>
                <w:sz w:val="21"/>
                <w:szCs w:val="21"/>
                <w:highlight w:val="none"/>
              </w:rPr>
            </w:pPr>
            <w:r>
              <w:rPr>
                <w:rFonts w:ascii="宋体" w:hAnsi="宋体" w:cs="宋体"/>
                <w:sz w:val="21"/>
                <w:szCs w:val="21"/>
                <w:highlight w:val="none"/>
              </w:rPr>
              <w:t>/</w:t>
            </w:r>
          </w:p>
        </w:tc>
      </w:tr>
      <w:tr w14:paraId="5811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C68940E">
            <w:pPr>
              <w:pStyle w:val="28"/>
              <w:kinsoku w:val="0"/>
              <w:overflowPunct w:val="0"/>
              <w:jc w:val="center"/>
              <w:rPr>
                <w:rFonts w:ascii="宋体" w:hAnsi="宋体" w:cs="宋体"/>
                <w:b/>
                <w:sz w:val="21"/>
                <w:szCs w:val="21"/>
                <w:highlight w:val="none"/>
              </w:rPr>
            </w:pPr>
            <w:r>
              <w:rPr>
                <w:rFonts w:hint="eastAsia" w:eastAsia="Times New Roman"/>
                <w:sz w:val="21"/>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EBA8F5C">
            <w:pPr>
              <w:pStyle w:val="28"/>
              <w:kinsoku w:val="0"/>
              <w:overflowPunct w:val="0"/>
              <w:jc w:val="both"/>
              <w:rPr>
                <w:rFonts w:ascii="宋体" w:hAnsi="宋体" w:cs="宋体"/>
                <w:b/>
                <w:sz w:val="21"/>
                <w:szCs w:val="21"/>
                <w:highlight w:val="none"/>
              </w:rPr>
            </w:pPr>
            <w:r>
              <w:rPr>
                <w:rFonts w:ascii="宋体" w:hAnsi="宋体"/>
                <w:sz w:val="21"/>
                <w:highlight w:val="none"/>
              </w:rPr>
              <w:t>偏差</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1539B450">
            <w:pPr>
              <w:pStyle w:val="28"/>
              <w:kinsoku w:val="0"/>
              <w:overflowPunct w:val="0"/>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不允许</w:t>
            </w:r>
          </w:p>
          <w:p w14:paraId="37D166DB">
            <w:pPr>
              <w:pStyle w:val="28"/>
              <w:kinsoku w:val="0"/>
              <w:overflowPunct w:val="0"/>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允许，偏差范围：</w:t>
            </w:r>
          </w:p>
          <w:p w14:paraId="5AC20DC5">
            <w:pPr>
              <w:pStyle w:val="28"/>
              <w:kinsoku w:val="0"/>
              <w:overflowPunct w:val="0"/>
              <w:jc w:val="both"/>
              <w:rPr>
                <w:rFonts w:ascii="宋体" w:hAnsi="宋体" w:cs="宋体"/>
                <w:b/>
                <w:sz w:val="21"/>
                <w:szCs w:val="21"/>
                <w:highlight w:val="none"/>
              </w:rPr>
            </w:pPr>
            <w:r>
              <w:rPr>
                <w:rFonts w:ascii="宋体" w:hAnsi="宋体"/>
                <w:sz w:val="21"/>
                <w:highlight w:val="none"/>
              </w:rPr>
              <w:t>偏差幅度：</w:t>
            </w:r>
          </w:p>
        </w:tc>
      </w:tr>
      <w:tr w14:paraId="384F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5BE63D6">
            <w:pPr>
              <w:pStyle w:val="28"/>
              <w:kinsoku w:val="0"/>
              <w:overflowPunct w:val="0"/>
              <w:jc w:val="center"/>
              <w:rPr>
                <w:rFonts w:ascii="宋体" w:hAnsi="宋体" w:cs="宋体"/>
                <w:b/>
                <w:sz w:val="21"/>
                <w:szCs w:val="21"/>
                <w:highlight w:val="none"/>
              </w:rPr>
            </w:pPr>
            <w:r>
              <w:rPr>
                <w:rFonts w:hint="eastAsia" w:eastAsia="Times New Roman"/>
                <w:sz w:val="21"/>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4969F4D">
            <w:pPr>
              <w:pStyle w:val="28"/>
              <w:kinsoku w:val="0"/>
              <w:overflowPunct w:val="0"/>
              <w:jc w:val="both"/>
              <w:rPr>
                <w:rFonts w:ascii="宋体" w:hAnsi="宋体" w:cs="宋体"/>
                <w:b/>
                <w:sz w:val="21"/>
                <w:szCs w:val="21"/>
                <w:highlight w:val="none"/>
              </w:rPr>
            </w:pPr>
            <w:r>
              <w:rPr>
                <w:rFonts w:ascii="宋体" w:hAnsi="宋体"/>
                <w:sz w:val="21"/>
                <w:highlight w:val="none"/>
              </w:rPr>
              <w:t>构成招标文件的其他资料</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7629795">
            <w:pPr>
              <w:jc w:val="both"/>
              <w:rPr>
                <w:rFonts w:ascii="宋体" w:hAnsi="宋体" w:cs="宋体"/>
                <w:b/>
                <w:sz w:val="21"/>
                <w:szCs w:val="21"/>
                <w:highlight w:val="none"/>
              </w:rPr>
            </w:pPr>
            <w:r>
              <w:rPr>
                <w:rFonts w:hint="eastAsia" w:ascii="宋体" w:hAnsi="宋体"/>
                <w:szCs w:val="21"/>
                <w:highlight w:val="none"/>
                <w:u w:val="single"/>
              </w:rPr>
              <w:t xml:space="preserve">  /  </w:t>
            </w:r>
          </w:p>
        </w:tc>
      </w:tr>
      <w:tr w14:paraId="3F7F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5152932">
            <w:pPr>
              <w:spacing w:before="60" w:line="186" w:lineRule="auto"/>
              <w:jc w:val="center"/>
              <w:rPr>
                <w:rFonts w:eastAsia="Times New Roman"/>
                <w:sz w:val="21"/>
                <w:highlight w:val="none"/>
              </w:rPr>
            </w:pPr>
            <w:r>
              <w:rPr>
                <w:rFonts w:hint="eastAsia" w:eastAsia="Times New Roman"/>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A2DE790">
            <w:pPr>
              <w:spacing w:line="272" w:lineRule="auto"/>
              <w:jc w:val="center"/>
              <w:rPr>
                <w:sz w:val="21"/>
                <w:highlight w:val="none"/>
              </w:rPr>
            </w:pPr>
          </w:p>
          <w:p w14:paraId="690C62D5">
            <w:pPr>
              <w:spacing w:before="69" w:line="220" w:lineRule="auto"/>
              <w:jc w:val="center"/>
              <w:rPr>
                <w:sz w:val="21"/>
                <w:highlight w:val="none"/>
              </w:rPr>
            </w:pPr>
            <w:r>
              <w:rPr>
                <w:rFonts w:ascii="宋体"/>
                <w:sz w:val="21"/>
                <w:highlight w:val="none"/>
              </w:rPr>
              <w:t>招标答疑</w:t>
            </w:r>
          </w:p>
          <w:p w14:paraId="43D047A3">
            <w:pPr>
              <w:jc w:val="center"/>
              <w:rPr>
                <w:sz w:val="21"/>
                <w:highlight w:val="none"/>
              </w:rPr>
            </w:pPr>
          </w:p>
          <w:p w14:paraId="5A221DDD">
            <w:pPr>
              <w:tabs>
                <w:tab w:val="left" w:pos="1103"/>
              </w:tabs>
              <w:jc w:val="center"/>
              <w:rPr>
                <w:rFonts w:ascii="宋体" w:hAnsi="宋体"/>
                <w:sz w:val="21"/>
                <w:highlight w:val="none"/>
              </w:rPr>
            </w:pPr>
          </w:p>
        </w:tc>
        <w:tc>
          <w:tcPr>
            <w:tcW w:w="5551" w:type="dxa"/>
            <w:tcBorders>
              <w:top w:val="single" w:color="auto" w:sz="4" w:space="0"/>
              <w:left w:val="single" w:color="auto" w:sz="4" w:space="0"/>
              <w:bottom w:val="single" w:color="auto" w:sz="4" w:space="0"/>
              <w:right w:val="single" w:color="auto" w:sz="4" w:space="0"/>
              <w:tl2br w:val="nil"/>
              <w:tr2bl w:val="nil"/>
            </w:tcBorders>
          </w:tcPr>
          <w:p w14:paraId="44F54481">
            <w:pPr>
              <w:spacing w:before="120" w:beforeLines="50"/>
              <w:rPr>
                <w:rFonts w:ascii="宋体" w:hAnsi="宋体" w:cs="宋体"/>
                <w:sz w:val="21"/>
                <w:szCs w:val="21"/>
                <w:highlight w:val="none"/>
              </w:rPr>
            </w:pPr>
            <w:r>
              <w:rPr>
                <w:rFonts w:ascii="宋体" w:hAnsi="宋体" w:cs="宋体"/>
                <w:sz w:val="21"/>
                <w:szCs w:val="21"/>
                <w:highlight w:val="none"/>
              </w:rPr>
              <w:t>形式及时间：</w:t>
            </w:r>
          </w:p>
          <w:p w14:paraId="108E14C5">
            <w:pPr>
              <w:spacing w:before="120" w:beforeLines="50"/>
              <w:rPr>
                <w:rFonts w:ascii="宋体" w:hAnsi="宋体" w:cs="宋体"/>
                <w:sz w:val="21"/>
                <w:szCs w:val="21"/>
                <w:highlight w:val="none"/>
              </w:rPr>
            </w:pPr>
            <w:r>
              <w:rPr>
                <w:rFonts w:ascii="宋体" w:hAnsi="宋体" w:cs="宋体"/>
                <w:sz w:val="21"/>
                <w:szCs w:val="21"/>
                <w:highlight w:val="none"/>
              </w:rPr>
              <w:t>招标答疑采用网上答疑方式进行。投标人若对招标文件有疑问的，可在规定的时间内通过广州交易集团有限公司（广州公共资源交易中心）数字交易平台无记名或匿名提交。</w:t>
            </w:r>
          </w:p>
          <w:p w14:paraId="4694867C">
            <w:pPr>
              <w:spacing w:before="120" w:beforeLines="50"/>
              <w:rPr>
                <w:rFonts w:ascii="宋体" w:hAnsi="宋体" w:cs="宋体"/>
                <w:sz w:val="21"/>
                <w:szCs w:val="21"/>
                <w:highlight w:val="none"/>
              </w:rPr>
            </w:pPr>
            <w:r>
              <w:rPr>
                <w:rFonts w:ascii="宋体" w:hAnsi="宋体" w:cs="宋体"/>
                <w:sz w:val="21"/>
                <w:szCs w:val="21"/>
                <w:highlight w:val="none"/>
              </w:rPr>
              <w:t>投标人停止提出答疑问题时间以广州交易集团有限公司（广州公共资源交易中心）网站公布的时间为准。招标人应在投标截止时间15日前解答投标人对招标文件提出的疑问，形成答疑纪要，在广州交易集团有限公司（广州公共资源交易中心）网站发布。</w:t>
            </w:r>
          </w:p>
          <w:p w14:paraId="69856850">
            <w:pPr>
              <w:spacing w:before="120" w:beforeLines="50"/>
              <w:rPr>
                <w:rFonts w:ascii="宋体" w:hAnsi="宋体" w:cs="宋体"/>
                <w:b/>
                <w:sz w:val="21"/>
                <w:szCs w:val="21"/>
                <w:highlight w:val="none"/>
              </w:rPr>
            </w:pPr>
            <w:r>
              <w:rPr>
                <w:rFonts w:ascii="宋体" w:hAnsi="宋体" w:cs="宋体"/>
                <w:sz w:val="21"/>
                <w:szCs w:val="21"/>
                <w:highlight w:val="none"/>
              </w:rPr>
              <w:t>具体要求：操作详见广州交易集团有限公司（广州公共资源交易中心）网站指引。提问一律不得署名。</w:t>
            </w:r>
          </w:p>
        </w:tc>
      </w:tr>
      <w:tr w14:paraId="0A12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F1F6071">
            <w:pPr>
              <w:spacing w:before="209" w:line="186" w:lineRule="auto"/>
              <w:jc w:val="center"/>
              <w:rPr>
                <w:rFonts w:eastAsia="Times New Roman"/>
                <w:sz w:val="21"/>
                <w:highlight w:val="none"/>
              </w:rPr>
            </w:pPr>
            <w:r>
              <w:rPr>
                <w:rFonts w:hint="eastAsia" w:eastAsia="Times New Roman"/>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9241EED">
            <w:pPr>
              <w:spacing w:before="170" w:line="220" w:lineRule="auto"/>
              <w:jc w:val="center"/>
              <w:rPr>
                <w:rFonts w:ascii="宋体" w:hAnsi="宋体"/>
                <w:sz w:val="21"/>
                <w:highlight w:val="none"/>
              </w:rPr>
            </w:pPr>
            <w:r>
              <w:rPr>
                <w:rFonts w:ascii="宋体" w:hAnsi="宋体" w:cs="宋体"/>
                <w:spacing w:val="-1"/>
                <w:sz w:val="21"/>
                <w:szCs w:val="21"/>
                <w:highlight w:val="none"/>
              </w:rPr>
              <w:t>招标文件的澄清和修改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1681FC2E">
            <w:pPr>
              <w:jc w:val="both"/>
              <w:rPr>
                <w:rFonts w:ascii="宋体" w:hAnsi="宋体" w:cs="宋体"/>
                <w:b/>
                <w:sz w:val="21"/>
                <w:szCs w:val="21"/>
                <w:highlight w:val="none"/>
              </w:rPr>
            </w:pPr>
            <w:r>
              <w:rPr>
                <w:rFonts w:ascii="宋体" w:hAnsi="宋体" w:cs="宋体"/>
                <w:bCs/>
                <w:sz w:val="21"/>
                <w:szCs w:val="21"/>
                <w:highlight w:val="none"/>
              </w:rPr>
              <w:t>在广州交易集团有限公司（广州公共资源交易中心）网站通过项目答疑专区网上公开发布。</w:t>
            </w:r>
          </w:p>
        </w:tc>
      </w:tr>
      <w:tr w14:paraId="65DB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69DC045">
            <w:pPr>
              <w:pStyle w:val="28"/>
              <w:kinsoku w:val="0"/>
              <w:overflowPunct w:val="0"/>
              <w:jc w:val="center"/>
              <w:rPr>
                <w:rFonts w:ascii="宋体" w:hAnsi="宋体" w:cs="宋体"/>
                <w:b/>
                <w:sz w:val="21"/>
                <w:szCs w:val="21"/>
                <w:highlight w:val="none"/>
              </w:rPr>
            </w:pPr>
            <w:r>
              <w:rPr>
                <w:rFonts w:hint="eastAsia" w:eastAsia="Times New Roman"/>
                <w:sz w:val="21"/>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7FB8842">
            <w:pPr>
              <w:pStyle w:val="28"/>
              <w:kinsoku w:val="0"/>
              <w:overflowPunct w:val="0"/>
              <w:jc w:val="both"/>
              <w:rPr>
                <w:rFonts w:ascii="宋体" w:hAnsi="宋体" w:cs="宋体"/>
                <w:b/>
                <w:sz w:val="21"/>
                <w:szCs w:val="21"/>
                <w:highlight w:val="none"/>
              </w:rPr>
            </w:pPr>
            <w:r>
              <w:rPr>
                <w:rFonts w:ascii="宋体" w:hAnsi="宋体"/>
                <w:sz w:val="21"/>
                <w:highlight w:val="none"/>
              </w:rPr>
              <w:t>构成投标文件的其他资料</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40DE683">
            <w:pPr>
              <w:spacing w:line="360" w:lineRule="auto"/>
              <w:rPr>
                <w:rFonts w:ascii="宋体" w:hAnsi="宋体" w:cs="宋体"/>
                <w:b/>
                <w:sz w:val="18"/>
                <w:szCs w:val="18"/>
                <w:highlight w:val="none"/>
              </w:rPr>
            </w:pPr>
            <w:r>
              <w:rPr>
                <w:rFonts w:hint="eastAsia" w:ascii="宋体" w:hAnsi="宋体"/>
                <w:sz w:val="21"/>
                <w:szCs w:val="18"/>
                <w:highlight w:val="none"/>
                <w:u w:val="single"/>
              </w:rPr>
              <w:t>满足本项目评审要求的其他资料。</w:t>
            </w:r>
          </w:p>
        </w:tc>
      </w:tr>
      <w:tr w14:paraId="6840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0D86F43">
            <w:pPr>
              <w:pStyle w:val="28"/>
              <w:kinsoku w:val="0"/>
              <w:overflowPunct w:val="0"/>
              <w:jc w:val="center"/>
              <w:rPr>
                <w:rFonts w:ascii="宋体" w:hAnsi="宋体" w:cs="宋体"/>
                <w:b/>
                <w:sz w:val="21"/>
                <w:szCs w:val="21"/>
                <w:highlight w:val="none"/>
              </w:rPr>
            </w:pPr>
            <w:r>
              <w:rPr>
                <w:rFonts w:hint="eastAsia" w:eastAsia="Times New Roman"/>
                <w:sz w:val="21"/>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04A25DA">
            <w:pPr>
              <w:pStyle w:val="28"/>
              <w:kinsoku w:val="0"/>
              <w:overflowPunct w:val="0"/>
              <w:jc w:val="both"/>
              <w:rPr>
                <w:rFonts w:ascii="宋体" w:hAnsi="宋体" w:cs="宋体"/>
                <w:b/>
                <w:sz w:val="21"/>
                <w:szCs w:val="21"/>
                <w:highlight w:val="none"/>
              </w:rPr>
            </w:pPr>
            <w:r>
              <w:rPr>
                <w:rFonts w:ascii="宋体" w:hAnsi="宋体"/>
                <w:sz w:val="21"/>
                <w:highlight w:val="none"/>
              </w:rPr>
              <w:t>增值税税金的计算方法</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752DC3A">
            <w:pPr>
              <w:spacing w:line="360" w:lineRule="auto"/>
              <w:rPr>
                <w:rFonts w:ascii="宋体" w:hAnsi="宋体" w:cs="宋体"/>
                <w:b/>
                <w:sz w:val="18"/>
                <w:szCs w:val="18"/>
                <w:highlight w:val="none"/>
              </w:rPr>
            </w:pPr>
            <w:r>
              <w:rPr>
                <w:rFonts w:hint="eastAsia" w:ascii="宋体" w:hAnsi="宋体"/>
                <w:sz w:val="21"/>
                <w:szCs w:val="18"/>
                <w:highlight w:val="none"/>
                <w:u w:val="single"/>
              </w:rPr>
              <w:t>一般计税方法。</w:t>
            </w:r>
          </w:p>
        </w:tc>
      </w:tr>
      <w:tr w14:paraId="1A20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A668440">
            <w:pPr>
              <w:pStyle w:val="28"/>
              <w:kinsoku w:val="0"/>
              <w:overflowPunct w:val="0"/>
              <w:jc w:val="center"/>
              <w:rPr>
                <w:rFonts w:ascii="宋体" w:hAnsi="宋体" w:cs="宋体"/>
                <w:b/>
                <w:sz w:val="21"/>
                <w:szCs w:val="21"/>
                <w:highlight w:val="none"/>
              </w:rPr>
            </w:pPr>
            <w:r>
              <w:rPr>
                <w:rFonts w:hint="eastAsia" w:eastAsia="Times New Roman"/>
                <w:sz w:val="21"/>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C6197CF">
            <w:pPr>
              <w:pStyle w:val="28"/>
              <w:kinsoku w:val="0"/>
              <w:overflowPunct w:val="0"/>
              <w:jc w:val="both"/>
              <w:rPr>
                <w:rFonts w:ascii="宋体" w:hAnsi="宋体" w:cs="宋体"/>
                <w:b/>
                <w:sz w:val="21"/>
                <w:szCs w:val="21"/>
                <w:highlight w:val="none"/>
              </w:rPr>
            </w:pPr>
            <w:r>
              <w:rPr>
                <w:rFonts w:ascii="宋体" w:hAnsi="宋体"/>
                <w:sz w:val="21"/>
                <w:highlight w:val="none"/>
              </w:rPr>
              <w:t>报价方式</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D795911">
            <w:pPr>
              <w:rPr>
                <w:rFonts w:ascii="宋体" w:hAnsi="宋体" w:cs="宋体"/>
                <w:b/>
                <w:sz w:val="18"/>
                <w:szCs w:val="18"/>
                <w:highlight w:val="none"/>
              </w:rPr>
            </w:pPr>
            <w:r>
              <w:rPr>
                <w:rFonts w:hint="eastAsia" w:ascii="宋体" w:hAnsi="宋体" w:cs="宋体"/>
                <w:sz w:val="21"/>
                <w:szCs w:val="21"/>
                <w:highlight w:val="none"/>
                <w:u w:val="single"/>
              </w:rPr>
              <w:t>自行报价（以“元”为单位，精确到小数位后2位，第三位四舍五入）。</w:t>
            </w:r>
          </w:p>
        </w:tc>
      </w:tr>
      <w:tr w14:paraId="5C55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FF6EE98">
            <w:pPr>
              <w:pStyle w:val="28"/>
              <w:kinsoku w:val="0"/>
              <w:overflowPunct w:val="0"/>
              <w:jc w:val="center"/>
              <w:rPr>
                <w:rFonts w:eastAsia="Times New Roman"/>
                <w:sz w:val="21"/>
                <w:highlight w:val="none"/>
              </w:rPr>
            </w:pPr>
          </w:p>
          <w:p w14:paraId="6DE466DC">
            <w:pPr>
              <w:pStyle w:val="28"/>
              <w:kinsoku w:val="0"/>
              <w:overflowPunct w:val="0"/>
              <w:jc w:val="center"/>
              <w:rPr>
                <w:rFonts w:ascii="宋体" w:hAnsi="宋体" w:cs="宋体"/>
                <w:b/>
                <w:sz w:val="21"/>
                <w:szCs w:val="21"/>
                <w:highlight w:val="none"/>
              </w:rPr>
            </w:pPr>
            <w:r>
              <w:rPr>
                <w:rFonts w:hint="eastAsia" w:eastAsia="Times New Roman"/>
                <w:sz w:val="21"/>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77E794D">
            <w:pPr>
              <w:pStyle w:val="28"/>
              <w:kinsoku w:val="0"/>
              <w:overflowPunct w:val="0"/>
              <w:jc w:val="both"/>
              <w:rPr>
                <w:rFonts w:ascii="宋体" w:hAnsi="宋体" w:cs="宋体"/>
                <w:b/>
                <w:sz w:val="21"/>
                <w:szCs w:val="21"/>
                <w:highlight w:val="none"/>
              </w:rPr>
            </w:pPr>
            <w:r>
              <w:rPr>
                <w:rFonts w:ascii="宋体" w:hAnsi="宋体"/>
                <w:sz w:val="21"/>
                <w:highlight w:val="none"/>
              </w:rPr>
              <w:t>最高投标限价</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6445294">
            <w:pPr>
              <w:pStyle w:val="28"/>
              <w:kinsoku w:val="0"/>
              <w:overflowPunct w:val="0"/>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无</w:t>
            </w:r>
          </w:p>
          <w:p w14:paraId="300C0DC5">
            <w:pPr>
              <w:pStyle w:val="28"/>
              <w:kinsoku w:val="0"/>
              <w:overflowPunct w:val="0"/>
              <w:jc w:val="both"/>
              <w:rPr>
                <w:rFonts w:ascii="宋体" w:hAnsi="宋体" w:cs="宋体"/>
                <w:b/>
                <w:sz w:val="21"/>
                <w:szCs w:val="21"/>
                <w:highlight w:val="none"/>
              </w:rPr>
            </w:pPr>
            <w:r>
              <w:rPr>
                <w:rFonts w:hint="eastAsia" w:eastAsia="Times New Roman"/>
                <w:sz w:val="21"/>
                <w:highlight w:val="none"/>
              </w:rPr>
              <w:sym w:font="Wingdings 2" w:char="0052"/>
            </w:r>
            <w:r>
              <w:rPr>
                <w:rFonts w:ascii="宋体" w:hAnsi="宋体"/>
                <w:sz w:val="21"/>
                <w:highlight w:val="none"/>
              </w:rPr>
              <w:t>有，</w:t>
            </w:r>
            <w:r>
              <w:rPr>
                <w:rFonts w:hint="eastAsia" w:ascii="宋体" w:hAnsi="宋体"/>
                <w:sz w:val="21"/>
                <w:highlight w:val="none"/>
              </w:rPr>
              <w:t>详</w:t>
            </w:r>
            <w:r>
              <w:rPr>
                <w:rFonts w:hint="eastAsia" w:ascii="宋体" w:hAnsi="宋体"/>
                <w:sz w:val="21"/>
                <w:highlight w:val="none"/>
                <w:u w:val="single"/>
              </w:rPr>
              <w:t>见</w:t>
            </w:r>
            <w:r>
              <w:rPr>
                <w:rFonts w:hint="eastAsia" w:ascii="宋体" w:hAnsi="宋体"/>
                <w:sz w:val="21"/>
                <w:highlight w:val="none"/>
              </w:rPr>
              <w:t>招标公告</w:t>
            </w:r>
            <w:r>
              <w:rPr>
                <w:rFonts w:ascii="宋体" w:hAnsi="宋体"/>
                <w:sz w:val="21"/>
                <w:highlight w:val="none"/>
              </w:rPr>
              <w:t>。</w:t>
            </w:r>
          </w:p>
        </w:tc>
      </w:tr>
      <w:tr w14:paraId="6927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0EE8034">
            <w:pPr>
              <w:pStyle w:val="28"/>
              <w:kinsoku w:val="0"/>
              <w:overflowPunct w:val="0"/>
              <w:jc w:val="center"/>
              <w:rPr>
                <w:rFonts w:eastAsia="Times New Roman"/>
                <w:sz w:val="21"/>
                <w:highlight w:val="none"/>
              </w:rPr>
            </w:pPr>
            <w:r>
              <w:rPr>
                <w:rFonts w:hint="eastAsia" w:eastAsia="Times New Roman"/>
                <w:sz w:val="21"/>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7A0ABC6">
            <w:pPr>
              <w:pStyle w:val="28"/>
              <w:kinsoku w:val="0"/>
              <w:overflowPunct w:val="0"/>
              <w:jc w:val="both"/>
              <w:rPr>
                <w:rFonts w:ascii="宋体" w:hAnsi="宋体"/>
                <w:sz w:val="21"/>
                <w:highlight w:val="none"/>
              </w:rPr>
            </w:pPr>
            <w:r>
              <w:rPr>
                <w:rFonts w:ascii="宋体" w:hAnsi="宋体"/>
                <w:sz w:val="21"/>
                <w:highlight w:val="none"/>
              </w:rPr>
              <w:t>投标报价的其他要求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C7D4F8E">
            <w:pPr>
              <w:jc w:val="both"/>
              <w:rPr>
                <w:rFonts w:eastAsia="Times New Roman"/>
                <w:sz w:val="21"/>
                <w:highlight w:val="none"/>
                <w:u w:val="single"/>
              </w:rPr>
            </w:pPr>
            <w:r>
              <w:rPr>
                <w:rFonts w:hint="eastAsia" w:eastAsia="Times New Roman"/>
                <w:sz w:val="21"/>
                <w:highlight w:val="none"/>
                <w:u w:val="single"/>
              </w:rPr>
              <w:t>（1）投标报价是投标人在本次招标监理服务期内完成本项目的监理工作所需的费用。 投标人应按招标文件中投标函要求填写。</w:t>
            </w:r>
          </w:p>
          <w:p w14:paraId="11AF94F9">
            <w:pPr>
              <w:jc w:val="both"/>
              <w:rPr>
                <w:rFonts w:eastAsia="Times New Roman"/>
                <w:sz w:val="21"/>
                <w:highlight w:val="none"/>
              </w:rPr>
            </w:pPr>
            <w:r>
              <w:rPr>
                <w:rFonts w:hint="eastAsia" w:eastAsia="Times New Roman"/>
                <w:sz w:val="21"/>
                <w:highlight w:val="none"/>
                <w:u w:val="single"/>
              </w:rPr>
              <w:t>（2）除非合同另有规定，投标报价应已包括但不限于监理设备、劳务、管理、交通、维护、保险、利润、税金、政策性文件规定及合同包含的所有风险、责任等各项所有费用。</w:t>
            </w:r>
          </w:p>
        </w:tc>
      </w:tr>
      <w:tr w14:paraId="40B7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8E9B134">
            <w:pPr>
              <w:pStyle w:val="28"/>
              <w:kinsoku w:val="0"/>
              <w:overflowPunct w:val="0"/>
              <w:jc w:val="center"/>
              <w:rPr>
                <w:rFonts w:eastAsia="Times New Roman"/>
                <w:sz w:val="21"/>
                <w:highlight w:val="none"/>
              </w:rPr>
            </w:pPr>
            <w:r>
              <w:rPr>
                <w:rFonts w:hint="eastAsia" w:eastAsia="Times New Roman"/>
                <w:sz w:val="21"/>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572A6BD">
            <w:pPr>
              <w:pStyle w:val="28"/>
              <w:kinsoku w:val="0"/>
              <w:overflowPunct w:val="0"/>
              <w:jc w:val="both"/>
              <w:rPr>
                <w:rFonts w:ascii="宋体" w:hAnsi="宋体"/>
                <w:sz w:val="21"/>
                <w:highlight w:val="none"/>
              </w:rPr>
            </w:pPr>
            <w:r>
              <w:rPr>
                <w:rFonts w:ascii="宋体" w:hAnsi="宋体"/>
                <w:sz w:val="21"/>
                <w:highlight w:val="none"/>
              </w:rPr>
              <w:t>投标有效期</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EA1D0A4">
            <w:pPr>
              <w:jc w:val="both"/>
              <w:rPr>
                <w:rFonts w:eastAsia="Times New Roman"/>
                <w:sz w:val="21"/>
                <w:highlight w:val="none"/>
              </w:rPr>
            </w:pPr>
            <w:r>
              <w:rPr>
                <w:rFonts w:hint="eastAsia"/>
                <w:sz w:val="21"/>
                <w:highlight w:val="none"/>
              </w:rPr>
              <w:t>90</w:t>
            </w:r>
            <w:r>
              <w:rPr>
                <w:rFonts w:ascii="宋体"/>
                <w:sz w:val="21"/>
                <w:highlight w:val="none"/>
              </w:rPr>
              <w:t>日历天（从投标截止之日计起）</w:t>
            </w:r>
          </w:p>
        </w:tc>
      </w:tr>
      <w:tr w14:paraId="1199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1121114">
            <w:pPr>
              <w:pStyle w:val="28"/>
              <w:kinsoku w:val="0"/>
              <w:overflowPunct w:val="0"/>
              <w:jc w:val="center"/>
              <w:rPr>
                <w:rFonts w:eastAsia="Times New Roman"/>
                <w:sz w:val="21"/>
                <w:highlight w:val="none"/>
              </w:rPr>
            </w:pPr>
            <w:r>
              <w:rPr>
                <w:rFonts w:hint="eastAsia" w:eastAsia="Times New Roman"/>
                <w:sz w:val="21"/>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8D83DCD">
            <w:pPr>
              <w:pStyle w:val="28"/>
              <w:kinsoku w:val="0"/>
              <w:overflowPunct w:val="0"/>
              <w:jc w:val="both"/>
              <w:rPr>
                <w:rFonts w:ascii="宋体" w:hAnsi="宋体"/>
                <w:sz w:val="21"/>
                <w:highlight w:val="none"/>
              </w:rPr>
            </w:pPr>
            <w:r>
              <w:rPr>
                <w:rFonts w:ascii="宋体" w:hAnsi="宋体"/>
                <w:sz w:val="21"/>
                <w:highlight w:val="none"/>
              </w:rPr>
              <w:t>投标保证金</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471B7E9">
            <w:pPr>
              <w:spacing w:line="440" w:lineRule="exact"/>
              <w:rPr>
                <w:rFonts w:ascii="宋体" w:hAnsi="宋体"/>
                <w:sz w:val="21"/>
                <w:szCs w:val="21"/>
                <w:highlight w:val="none"/>
              </w:rPr>
            </w:pPr>
            <w:r>
              <w:rPr>
                <w:rFonts w:hint="eastAsia" w:ascii="宋体" w:hAnsi="宋体"/>
                <w:sz w:val="21"/>
                <w:szCs w:val="21"/>
                <w:highlight w:val="none"/>
              </w:rPr>
              <w:t>是否要求投标人递交投标保证金：</w:t>
            </w:r>
          </w:p>
          <w:p w14:paraId="512BEC6F">
            <w:pPr>
              <w:spacing w:line="440" w:lineRule="exact"/>
              <w:rPr>
                <w:rFonts w:ascii="宋体" w:hAnsi="宋体"/>
                <w:sz w:val="21"/>
                <w:szCs w:val="21"/>
                <w:highlight w:val="none"/>
              </w:rPr>
            </w:pPr>
            <w:r>
              <w:rPr>
                <w:rFonts w:hint="eastAsia" w:ascii="宋体" w:hAnsi="宋体"/>
                <w:sz w:val="21"/>
                <w:szCs w:val="21"/>
                <w:highlight w:val="none"/>
              </w:rPr>
              <w:sym w:font="Wingdings 2" w:char="00A3"/>
            </w:r>
            <w:r>
              <w:rPr>
                <w:rFonts w:hint="eastAsia" w:ascii="宋体" w:hAnsi="宋体"/>
                <w:sz w:val="21"/>
                <w:szCs w:val="21"/>
                <w:highlight w:val="none"/>
              </w:rPr>
              <w:t>要求，投标保证金的形式：</w:t>
            </w:r>
            <w:r>
              <w:rPr>
                <w:rFonts w:hint="eastAsia" w:ascii="宋体" w:hAnsi="宋体"/>
                <w:sz w:val="21"/>
                <w:szCs w:val="21"/>
                <w:highlight w:val="none"/>
                <w:u w:val="single"/>
              </w:rPr>
              <w:t>/</w:t>
            </w:r>
            <w:r>
              <w:rPr>
                <w:rFonts w:hint="eastAsia" w:ascii="宋体" w:hAnsi="宋体"/>
                <w:sz w:val="21"/>
                <w:szCs w:val="21"/>
                <w:highlight w:val="none"/>
              </w:rPr>
              <w:t>。</w:t>
            </w:r>
          </w:p>
          <w:p w14:paraId="7C4FEF8A">
            <w:pPr>
              <w:spacing w:line="440" w:lineRule="exact"/>
              <w:rPr>
                <w:rFonts w:ascii="宋体" w:hAnsi="宋体"/>
                <w:sz w:val="21"/>
                <w:szCs w:val="21"/>
                <w:highlight w:val="none"/>
              </w:rPr>
            </w:pPr>
            <w:r>
              <w:rPr>
                <w:rFonts w:hint="eastAsia" w:ascii="宋体" w:hAnsi="宋体"/>
                <w:sz w:val="21"/>
                <w:szCs w:val="21"/>
                <w:highlight w:val="none"/>
              </w:rPr>
              <w:t>投标保证金的金额：</w:t>
            </w:r>
            <w:r>
              <w:rPr>
                <w:rFonts w:hint="eastAsia" w:ascii="宋体" w:hAnsi="宋体"/>
                <w:sz w:val="21"/>
                <w:szCs w:val="21"/>
                <w:highlight w:val="none"/>
                <w:u w:val="single"/>
              </w:rPr>
              <w:t>/</w:t>
            </w:r>
            <w:r>
              <w:rPr>
                <w:rFonts w:hint="eastAsia" w:ascii="宋体" w:hAnsi="宋体"/>
                <w:sz w:val="21"/>
                <w:szCs w:val="21"/>
                <w:highlight w:val="none"/>
              </w:rPr>
              <w:t>。</w:t>
            </w:r>
          </w:p>
          <w:p w14:paraId="26FCDE7E">
            <w:pPr>
              <w:spacing w:line="440" w:lineRule="exact"/>
              <w:rPr>
                <w:rFonts w:ascii="宋体" w:hAnsi="宋体"/>
                <w:sz w:val="21"/>
                <w:szCs w:val="21"/>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 EQ \o\ac(</w:instrText>
            </w:r>
            <w:r>
              <w:rPr>
                <w:rFonts w:hint="eastAsia" w:ascii="宋体" w:hAnsi="宋体"/>
                <w:position w:val="-4"/>
                <w:sz w:val="31"/>
                <w:szCs w:val="21"/>
                <w:highlight w:val="none"/>
              </w:rPr>
              <w:instrText xml:space="preserve">□</w:instrText>
            </w:r>
            <w:r>
              <w:rPr>
                <w:rFonts w:hint="eastAsia" w:ascii="宋体" w:hAnsi="宋体"/>
                <w:sz w:val="21"/>
                <w:szCs w:val="21"/>
                <w:highlight w:val="none"/>
              </w:rPr>
              <w:instrText xml:space="preserve">,√)</w:instrText>
            </w:r>
            <w:r>
              <w:rPr>
                <w:rFonts w:hint="eastAsia" w:ascii="宋体" w:hAnsi="宋体"/>
                <w:sz w:val="21"/>
                <w:szCs w:val="21"/>
                <w:highlight w:val="none"/>
              </w:rPr>
              <w:fldChar w:fldCharType="end"/>
            </w:r>
            <w:r>
              <w:rPr>
                <w:rFonts w:hint="eastAsia" w:ascii="宋体" w:hAnsi="宋体"/>
                <w:sz w:val="21"/>
                <w:szCs w:val="21"/>
                <w:highlight w:val="none"/>
              </w:rPr>
              <w:t>不要求</w:t>
            </w:r>
          </w:p>
          <w:p w14:paraId="0BB001AF">
            <w:pPr>
              <w:pStyle w:val="10"/>
              <w:ind w:left="0" w:firstLine="420"/>
              <w:rPr>
                <w:szCs w:val="21"/>
                <w:highlight w:val="none"/>
              </w:rPr>
            </w:pPr>
            <w:r>
              <w:rPr>
                <w:rFonts w:hint="eastAsia"/>
                <w:szCs w:val="21"/>
                <w:highlight w:val="none"/>
              </w:rPr>
              <w:t>1.本项目免收投标保证金，具体规定如下：提供《关于投标保证金的承诺》（详见第六章投标文件格式）。</w:t>
            </w:r>
          </w:p>
          <w:p w14:paraId="67388D7B">
            <w:pPr>
              <w:pStyle w:val="10"/>
              <w:ind w:left="0" w:firstLine="420"/>
              <w:rPr>
                <w:szCs w:val="21"/>
                <w:highlight w:val="none"/>
              </w:rPr>
            </w:pPr>
            <w:r>
              <w:rPr>
                <w:rFonts w:hint="eastAsia"/>
                <w:szCs w:val="21"/>
                <w:highlight w:val="none"/>
              </w:rPr>
              <w:t>2.对于投标人已提供《关于投标保证金的承诺》，若投标人存在3.4.3条款所列情形，该投标人应在发现存在3.4.3条款所列情形之日起5个工作日内补交人民币10万元投标保证金；若未按要求补交投标保证金1.本项目免收投标保证金，具体规定如下：提供《关于投标保证金的承诺》（详见第六章投标文件格式）。</w:t>
            </w:r>
          </w:p>
          <w:p w14:paraId="6150C63E">
            <w:pPr>
              <w:pStyle w:val="28"/>
              <w:kinsoku w:val="0"/>
              <w:overflowPunct w:val="0"/>
              <w:jc w:val="both"/>
              <w:rPr>
                <w:rFonts w:eastAsia="Times New Roman"/>
                <w:sz w:val="21"/>
                <w:highlight w:val="none"/>
              </w:rPr>
            </w:pPr>
          </w:p>
        </w:tc>
      </w:tr>
      <w:tr w14:paraId="24E2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8A23EA3">
            <w:pPr>
              <w:pStyle w:val="28"/>
              <w:kinsoku w:val="0"/>
              <w:overflowPunct w:val="0"/>
              <w:jc w:val="center"/>
              <w:rPr>
                <w:rFonts w:eastAsia="Times New Roman"/>
                <w:sz w:val="21"/>
                <w:highlight w:val="none"/>
              </w:rPr>
            </w:pPr>
            <w:r>
              <w:rPr>
                <w:rFonts w:hint="eastAsia" w:eastAsia="Times New Roman"/>
                <w:sz w:val="21"/>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A4832F2">
            <w:pPr>
              <w:pStyle w:val="28"/>
              <w:kinsoku w:val="0"/>
              <w:overflowPunct w:val="0"/>
              <w:jc w:val="both"/>
              <w:rPr>
                <w:rFonts w:ascii="宋体" w:hAnsi="宋体"/>
                <w:sz w:val="21"/>
                <w:highlight w:val="none"/>
              </w:rPr>
            </w:pPr>
            <w:r>
              <w:rPr>
                <w:rFonts w:ascii="宋体" w:hAnsi="宋体"/>
                <w:sz w:val="21"/>
                <w:highlight w:val="none"/>
              </w:rPr>
              <w:t>资格审查资料的特殊要求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10EF030F">
            <w:pPr>
              <w:pStyle w:val="28"/>
              <w:kinsoku w:val="0"/>
              <w:overflowPunct w:val="0"/>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无</w:t>
            </w:r>
          </w:p>
          <w:p w14:paraId="7AA3748C">
            <w:pPr>
              <w:pStyle w:val="28"/>
              <w:kinsoku w:val="0"/>
              <w:overflowPunct w:val="0"/>
              <w:jc w:val="both"/>
              <w:rPr>
                <w:rFonts w:eastAsia="Times New Roman"/>
                <w:sz w:val="21"/>
                <w:highlight w:val="none"/>
              </w:rPr>
            </w:pPr>
            <w:r>
              <w:rPr>
                <w:rFonts w:hint="eastAsia" w:eastAsia="Times New Roman"/>
                <w:sz w:val="21"/>
                <w:highlight w:val="none"/>
              </w:rPr>
              <w:sym w:font="Wingdings 2" w:char="00A3"/>
            </w:r>
            <w:r>
              <w:rPr>
                <w:rFonts w:ascii="宋体" w:hAnsi="宋体"/>
                <w:sz w:val="21"/>
                <w:highlight w:val="none"/>
              </w:rPr>
              <w:t>有，具体要求：</w:t>
            </w:r>
          </w:p>
        </w:tc>
      </w:tr>
      <w:tr w14:paraId="132F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65A7649">
            <w:pPr>
              <w:pStyle w:val="28"/>
              <w:kinsoku w:val="0"/>
              <w:overflowPunct w:val="0"/>
              <w:jc w:val="center"/>
              <w:rPr>
                <w:rFonts w:eastAsia="Times New Roman"/>
                <w:strike/>
                <w:sz w:val="21"/>
                <w:highlight w:val="none"/>
              </w:rPr>
            </w:pPr>
            <w:r>
              <w:rPr>
                <w:rFonts w:hint="eastAsia" w:eastAsia="Times New Roman"/>
                <w:strike/>
                <w:sz w:val="21"/>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04813A8">
            <w:pPr>
              <w:pStyle w:val="28"/>
              <w:kinsoku w:val="0"/>
              <w:overflowPunct w:val="0"/>
              <w:jc w:val="both"/>
              <w:rPr>
                <w:rFonts w:ascii="宋体" w:hAnsi="宋体"/>
                <w:strike/>
                <w:sz w:val="21"/>
                <w:highlight w:val="none"/>
              </w:rPr>
            </w:pPr>
            <w:r>
              <w:rPr>
                <w:rFonts w:ascii="宋体" w:hAnsi="宋体"/>
                <w:strike/>
                <w:sz w:val="21"/>
                <w:highlight w:val="none"/>
              </w:rPr>
              <w:t>近年完成的类似项目情况的时间要求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FDBBF74">
            <w:pPr>
              <w:pStyle w:val="28"/>
              <w:tabs>
                <w:tab w:val="left" w:pos="799"/>
                <w:tab w:val="left" w:pos="1569"/>
                <w:tab w:val="left" w:pos="2340"/>
              </w:tabs>
              <w:kinsoku w:val="0"/>
              <w:overflowPunct w:val="0"/>
              <w:jc w:val="both"/>
              <w:rPr>
                <w:rFonts w:ascii="宋体"/>
                <w:strike/>
                <w:sz w:val="21"/>
                <w:highlight w:val="none"/>
              </w:rPr>
            </w:pPr>
            <w:r>
              <w:rPr>
                <w:rFonts w:hint="eastAsia" w:eastAsia="Times New Roman"/>
                <w:strike/>
                <w:sz w:val="21"/>
                <w:highlight w:val="none"/>
                <w:u w:val="single"/>
              </w:rPr>
              <w:t xml:space="preserve"> </w:t>
            </w:r>
            <w:r>
              <w:rPr>
                <w:rFonts w:hint="eastAsia" w:eastAsia="Times New Roman"/>
                <w:strike/>
                <w:sz w:val="21"/>
                <w:highlight w:val="none"/>
                <w:u w:val="single"/>
              </w:rPr>
              <w:tab/>
            </w:r>
            <w:r>
              <w:rPr>
                <w:rFonts w:ascii="宋体" w:hAnsi="宋体"/>
                <w:strike/>
                <w:sz w:val="21"/>
                <w:highlight w:val="none"/>
              </w:rPr>
              <w:t>年</w:t>
            </w:r>
            <w:r>
              <w:rPr>
                <w:rFonts w:hint="eastAsia" w:eastAsia="Times New Roman"/>
                <w:strike/>
                <w:sz w:val="21"/>
                <w:highlight w:val="none"/>
                <w:u w:val="single"/>
              </w:rPr>
              <w:tab/>
            </w:r>
            <w:r>
              <w:rPr>
                <w:rFonts w:ascii="宋体" w:hAnsi="宋体"/>
                <w:strike/>
                <w:sz w:val="21"/>
                <w:highlight w:val="none"/>
              </w:rPr>
              <w:t>月</w:t>
            </w:r>
            <w:r>
              <w:rPr>
                <w:rFonts w:hint="eastAsia" w:eastAsia="Times New Roman"/>
                <w:strike/>
                <w:sz w:val="21"/>
                <w:highlight w:val="none"/>
                <w:u w:val="single"/>
              </w:rPr>
              <w:tab/>
            </w:r>
            <w:r>
              <w:rPr>
                <w:rFonts w:ascii="宋体" w:hAnsi="宋体"/>
                <w:strike/>
                <w:sz w:val="21"/>
                <w:highlight w:val="none"/>
              </w:rPr>
              <w:t>日至今</w:t>
            </w:r>
          </w:p>
        </w:tc>
      </w:tr>
      <w:tr w14:paraId="1B02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95AAB3E">
            <w:pPr>
              <w:pStyle w:val="28"/>
              <w:kinsoku w:val="0"/>
              <w:overflowPunct w:val="0"/>
              <w:jc w:val="center"/>
              <w:rPr>
                <w:rFonts w:eastAsia="Times New Roman"/>
                <w:sz w:val="21"/>
                <w:highlight w:val="none"/>
              </w:rPr>
            </w:pPr>
            <w:r>
              <w:rPr>
                <w:rFonts w:hint="eastAsia" w:eastAsia="Times New Roman"/>
                <w:sz w:val="21"/>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4434A35">
            <w:pPr>
              <w:pStyle w:val="28"/>
              <w:kinsoku w:val="0"/>
              <w:overflowPunct w:val="0"/>
              <w:jc w:val="both"/>
              <w:rPr>
                <w:rFonts w:ascii="宋体" w:hAnsi="宋体"/>
                <w:sz w:val="21"/>
                <w:highlight w:val="none"/>
              </w:rPr>
            </w:pPr>
            <w:r>
              <w:rPr>
                <w:rFonts w:ascii="宋体" w:hAnsi="宋体"/>
                <w:sz w:val="21"/>
                <w:highlight w:val="none"/>
              </w:rPr>
              <w:t>是否允许递交备选投标方案</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2DE6D75">
            <w:pPr>
              <w:pStyle w:val="28"/>
              <w:kinsoku w:val="0"/>
              <w:overflowPunct w:val="0"/>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不允许</w:t>
            </w:r>
          </w:p>
          <w:p w14:paraId="03874EB8">
            <w:pPr>
              <w:pStyle w:val="28"/>
              <w:kinsoku w:val="0"/>
              <w:overflowPunct w:val="0"/>
              <w:jc w:val="both"/>
              <w:rPr>
                <w:rFonts w:eastAsia="Times New Roman"/>
                <w:sz w:val="21"/>
                <w:highlight w:val="none"/>
              </w:rPr>
            </w:pPr>
            <w:r>
              <w:rPr>
                <w:rFonts w:hint="eastAsia" w:eastAsia="Times New Roman"/>
                <w:sz w:val="21"/>
                <w:highlight w:val="none"/>
              </w:rPr>
              <w:sym w:font="Wingdings 2" w:char="00A3"/>
            </w:r>
            <w:r>
              <w:rPr>
                <w:rFonts w:ascii="宋体" w:hAnsi="宋体"/>
                <w:sz w:val="21"/>
                <w:highlight w:val="none"/>
              </w:rPr>
              <w:t>允许</w:t>
            </w:r>
          </w:p>
        </w:tc>
      </w:tr>
      <w:tr w14:paraId="1278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466C801">
            <w:pPr>
              <w:pStyle w:val="28"/>
              <w:kinsoku w:val="0"/>
              <w:overflowPunct w:val="0"/>
              <w:jc w:val="center"/>
              <w:rPr>
                <w:rFonts w:eastAsia="Times New Roman"/>
                <w:sz w:val="21"/>
                <w:highlight w:val="none"/>
              </w:rPr>
            </w:pPr>
            <w:r>
              <w:rPr>
                <w:rFonts w:hint="eastAsia" w:eastAsia="Times New Roman"/>
                <w:sz w:val="21"/>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AC337D1">
            <w:pPr>
              <w:pStyle w:val="28"/>
              <w:kinsoku w:val="0"/>
              <w:overflowPunct w:val="0"/>
              <w:jc w:val="both"/>
              <w:rPr>
                <w:rFonts w:ascii="宋体" w:hAnsi="宋体"/>
                <w:sz w:val="21"/>
                <w:highlight w:val="none"/>
              </w:rPr>
            </w:pPr>
            <w:r>
              <w:rPr>
                <w:rFonts w:ascii="宋体" w:hAnsi="宋体"/>
                <w:sz w:val="21"/>
                <w:highlight w:val="none"/>
              </w:rPr>
              <w:t>投标文件签字或盖章要求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B99FCDA">
            <w:pPr>
              <w:jc w:val="both"/>
              <w:rPr>
                <w:rFonts w:eastAsia="Times New Roman"/>
                <w:sz w:val="21"/>
                <w:highlight w:val="none"/>
              </w:rPr>
            </w:pPr>
            <w:r>
              <w:rPr>
                <w:rFonts w:ascii="宋体" w:hAnsi="宋体"/>
                <w:sz w:val="21"/>
                <w:highlight w:val="none"/>
              </w:rPr>
              <w:t>投标文件格式规定需个人签字的，应签字或签章后扫描上传</w:t>
            </w:r>
            <w:r>
              <w:rPr>
                <w:rFonts w:hint="eastAsia"/>
                <w:kern w:val="2"/>
                <w:sz w:val="21"/>
                <w:szCs w:val="21"/>
                <w:highlight w:val="none"/>
              </w:rPr>
              <w:t>（</w:t>
            </w:r>
            <w:r>
              <w:rPr>
                <w:rFonts w:ascii="Calibri" w:hAnsi="Calibri"/>
                <w:kern w:val="2"/>
                <w:sz w:val="21"/>
                <w:highlight w:val="none"/>
              </w:rPr>
              <w:t>可靠的电子签名与手写签名或者盖章具有同等的法律效力</w:t>
            </w:r>
            <w:r>
              <w:rPr>
                <w:rFonts w:hint="eastAsia"/>
                <w:kern w:val="2"/>
                <w:sz w:val="21"/>
                <w:szCs w:val="21"/>
                <w:highlight w:val="none"/>
              </w:rPr>
              <w:t>）</w:t>
            </w:r>
            <w:r>
              <w:rPr>
                <w:rFonts w:ascii="宋体" w:hAnsi="宋体"/>
                <w:sz w:val="21"/>
                <w:highlight w:val="none"/>
              </w:rPr>
              <w:t>。投标文件格式规定盖单位公章的页面必须盖单位公章（公章与电子公章具有相同法律效力）</w:t>
            </w:r>
          </w:p>
        </w:tc>
      </w:tr>
      <w:tr w14:paraId="6C1C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DC61D9D">
            <w:pPr>
              <w:pStyle w:val="28"/>
              <w:kinsoku w:val="0"/>
              <w:overflowPunct w:val="0"/>
              <w:jc w:val="center"/>
              <w:rPr>
                <w:rFonts w:eastAsia="Times New Roman"/>
                <w:sz w:val="21"/>
                <w:highlight w:val="none"/>
              </w:rPr>
            </w:pPr>
            <w:r>
              <w:rPr>
                <w:rFonts w:hint="eastAsia" w:eastAsia="Times New Roman"/>
                <w:sz w:val="21"/>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0646EFB">
            <w:pPr>
              <w:pStyle w:val="28"/>
              <w:kinsoku w:val="0"/>
              <w:overflowPunct w:val="0"/>
              <w:jc w:val="both"/>
              <w:rPr>
                <w:rFonts w:ascii="宋体" w:hAnsi="宋体"/>
                <w:sz w:val="21"/>
                <w:highlight w:val="none"/>
              </w:rPr>
            </w:pPr>
            <w:r>
              <w:rPr>
                <w:rFonts w:ascii="宋体" w:hAnsi="宋体"/>
                <w:sz w:val="21"/>
                <w:highlight w:val="none"/>
              </w:rPr>
              <w:t>投标截止时间</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DC339D2">
            <w:pPr>
              <w:spacing w:before="48" w:beforeLines="20" w:after="48" w:afterLines="20"/>
              <w:ind w:left="48" w:leftChars="20" w:right="48" w:rightChars="20"/>
              <w:rPr>
                <w:rFonts w:eastAsia="Times New Roman"/>
                <w:sz w:val="21"/>
                <w:highlight w:val="none"/>
              </w:rPr>
            </w:pPr>
            <w:r>
              <w:rPr>
                <w:rFonts w:ascii="宋体"/>
                <w:sz w:val="21"/>
                <w:highlight w:val="none"/>
              </w:rPr>
              <w:t>投标截止时间：</w:t>
            </w:r>
            <w:r>
              <w:rPr>
                <w:rFonts w:ascii="宋体"/>
                <w:sz w:val="21"/>
                <w:highlight w:val="none"/>
                <w:u w:val="single"/>
              </w:rPr>
              <w:t xml:space="preserve">       年     月      日     时   分</w:t>
            </w:r>
            <w:r>
              <w:rPr>
                <w:rFonts w:ascii="宋体"/>
                <w:sz w:val="21"/>
                <w:highlight w:val="none"/>
              </w:rPr>
              <w:t>（北京时间）</w:t>
            </w:r>
          </w:p>
        </w:tc>
      </w:tr>
      <w:tr w14:paraId="4BCC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F81B555">
            <w:pPr>
              <w:pStyle w:val="28"/>
              <w:kinsoku w:val="0"/>
              <w:overflowPunct w:val="0"/>
              <w:jc w:val="center"/>
              <w:rPr>
                <w:rFonts w:eastAsia="Times New Roman"/>
                <w:sz w:val="21"/>
                <w:highlight w:val="none"/>
              </w:rPr>
            </w:pPr>
            <w:r>
              <w:rPr>
                <w:rFonts w:hint="eastAsia" w:eastAsia="Times New Roman"/>
                <w:sz w:val="21"/>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00530CF">
            <w:pPr>
              <w:pStyle w:val="28"/>
              <w:kinsoku w:val="0"/>
              <w:overflowPunct w:val="0"/>
              <w:jc w:val="both"/>
              <w:rPr>
                <w:rFonts w:ascii="宋体" w:hAnsi="宋体"/>
                <w:sz w:val="21"/>
                <w:highlight w:val="none"/>
              </w:rPr>
            </w:pPr>
            <w:r>
              <w:rPr>
                <w:rFonts w:ascii="宋体" w:hAnsi="宋体"/>
                <w:sz w:val="21"/>
                <w:highlight w:val="none"/>
              </w:rPr>
              <w:t>开标时间和地点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AAF4BF8">
            <w:pPr>
              <w:spacing w:before="120" w:beforeLines="50"/>
              <w:rPr>
                <w:sz w:val="21"/>
                <w:highlight w:val="none"/>
              </w:rPr>
            </w:pPr>
            <w:r>
              <w:rPr>
                <w:sz w:val="21"/>
                <w:highlight w:val="none"/>
              </w:rPr>
              <w:t>1</w:t>
            </w:r>
            <w:r>
              <w:rPr>
                <w:rFonts w:ascii="宋体"/>
                <w:sz w:val="21"/>
                <w:highlight w:val="none"/>
              </w:rPr>
              <w:t>、开标时间</w:t>
            </w:r>
            <w:r>
              <w:rPr>
                <w:rFonts w:ascii="宋体"/>
                <w:sz w:val="21"/>
                <w:szCs w:val="21"/>
                <w:highlight w:val="none"/>
              </w:rPr>
              <w:t>：同投标截止时间</w:t>
            </w:r>
          </w:p>
          <w:p w14:paraId="07CE69DE">
            <w:pPr>
              <w:spacing w:before="120" w:beforeLines="50" w:line="360" w:lineRule="auto"/>
              <w:contextualSpacing/>
              <w:rPr>
                <w:sz w:val="21"/>
                <w:szCs w:val="18"/>
                <w:highlight w:val="none"/>
              </w:rPr>
            </w:pPr>
            <w:r>
              <w:rPr>
                <w:rFonts w:ascii="宋体" w:hAnsi="宋体" w:cs="宋体"/>
                <w:sz w:val="21"/>
                <w:szCs w:val="21"/>
                <w:highlight w:val="none"/>
              </w:rPr>
              <w:t>2、开标地点：</w:t>
            </w:r>
            <w:r>
              <w:rPr>
                <w:rFonts w:hint="eastAsia" w:ascii="宋体" w:hAnsi="宋体"/>
                <w:sz w:val="21"/>
                <w:szCs w:val="18"/>
                <w:highlight w:val="none"/>
                <w:u w:val="single"/>
              </w:rPr>
              <w:t>本项目具体的招投标活动日程安排及场地安排以广州交易集团有限公司（广州公共资源交易中心）网站公布的为准。</w:t>
            </w:r>
          </w:p>
          <w:p w14:paraId="75051A31">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4、提交投标文件光盘备用</w:t>
            </w:r>
          </w:p>
          <w:p w14:paraId="67070D93">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3B190DF8">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5、补救方案</w:t>
            </w:r>
          </w:p>
          <w:p w14:paraId="62F2B499">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（1）投标文件解密失败的补救方案：</w:t>
            </w:r>
          </w:p>
          <w:p w14:paraId="1E1E6200">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9BFFAAD">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（2）评标时突发情况的补救方案</w:t>
            </w:r>
          </w:p>
          <w:p w14:paraId="6CD4ACBE">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若遇不可抗力发生（指网络瘫痪、服务器损坏、交易系统故障短期无法恢复等因素），由评标委员会开启投标人递交的全部投标文件光盘，并按光盘内容进行评审。</w:t>
            </w:r>
          </w:p>
          <w:p w14:paraId="5818E0D7">
            <w:pPr>
              <w:spacing w:before="120" w:beforeLines="50"/>
              <w:contextualSpacing/>
              <w:rPr>
                <w:rFonts w:ascii="Calibri" w:hAnsi="Calibri"/>
                <w:kern w:val="2"/>
                <w:sz w:val="21"/>
                <w:szCs w:val="21"/>
                <w:highlight w:val="none"/>
              </w:rPr>
            </w:pPr>
            <w:r>
              <w:rPr>
                <w:rFonts w:hint="eastAsia" w:ascii="宋体" w:hAnsi="宋体" w:cs="宋体"/>
                <w:sz w:val="21"/>
                <w:szCs w:val="21"/>
                <w:highlight w:val="none"/>
              </w:rPr>
              <w:t>（3）除发生上述情况外，开标评标均以投标人通过交易平台网上递交的电子投标文件为准。</w:t>
            </w:r>
          </w:p>
          <w:p w14:paraId="51A60DCA">
            <w:pPr>
              <w:spacing w:before="120" w:beforeLines="50"/>
              <w:contextualSpacing/>
              <w:rPr>
                <w:sz w:val="21"/>
                <w:szCs w:val="21"/>
                <w:highlight w:val="none"/>
              </w:rPr>
            </w:pPr>
            <w:r>
              <w:rPr>
                <w:rFonts w:hint="eastAsia" w:ascii="Calibri" w:hAnsi="Calibri"/>
                <w:kern w:val="2"/>
                <w:sz w:val="21"/>
                <w:szCs w:val="21"/>
                <w:highlight w:val="none"/>
              </w:rPr>
              <w:t>开标时，投标人代表有权参加现场开标或在线开标，也可以自主决定不参加开标</w:t>
            </w:r>
            <w:r>
              <w:rPr>
                <w:rFonts w:hint="eastAsia"/>
                <w:kern w:val="2"/>
                <w:sz w:val="21"/>
                <w:szCs w:val="21"/>
                <w:highlight w:val="none"/>
              </w:rPr>
              <w:t>，</w:t>
            </w:r>
            <w:r>
              <w:rPr>
                <w:rFonts w:hint="eastAsia"/>
                <w:sz w:val="21"/>
                <w:szCs w:val="21"/>
                <w:highlight w:val="none"/>
              </w:rPr>
              <w:t>投标人选择参加在线开标的，具体按照交易平台相关指南进行操作。</w:t>
            </w:r>
          </w:p>
          <w:p w14:paraId="619DD885">
            <w:pPr>
              <w:spacing w:before="174"/>
              <w:rPr>
                <w:rFonts w:eastAsia="Times New Roman"/>
                <w:sz w:val="21"/>
                <w:highlight w:val="none"/>
              </w:rPr>
            </w:pPr>
            <w:r>
              <w:rPr>
                <w:rFonts w:hint="eastAsia"/>
                <w:sz w:val="21"/>
                <w:szCs w:val="21"/>
                <w:highlight w:val="none"/>
              </w:rPr>
              <w:t>6、上述时间及地点是否有改变，请密切留意补充公告或招标答疑纪要的相关信息。</w:t>
            </w:r>
          </w:p>
        </w:tc>
      </w:tr>
      <w:tr w14:paraId="4A67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8F9252D">
            <w:pPr>
              <w:pStyle w:val="28"/>
              <w:kinsoku w:val="0"/>
              <w:overflowPunct w:val="0"/>
              <w:jc w:val="center"/>
              <w:rPr>
                <w:rFonts w:eastAsia="Times New Roman"/>
                <w:sz w:val="21"/>
                <w:highlight w:val="none"/>
              </w:rPr>
            </w:pPr>
            <w:r>
              <w:rPr>
                <w:rFonts w:hint="eastAsia" w:eastAsia="Times New Roman"/>
                <w:sz w:val="21"/>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845C0DC">
            <w:pPr>
              <w:pStyle w:val="28"/>
              <w:kinsoku w:val="0"/>
              <w:overflowPunct w:val="0"/>
              <w:jc w:val="both"/>
              <w:rPr>
                <w:rFonts w:ascii="宋体" w:hAnsi="宋体"/>
                <w:sz w:val="21"/>
                <w:highlight w:val="none"/>
              </w:rPr>
            </w:pPr>
            <w:r>
              <w:rPr>
                <w:rFonts w:ascii="宋体" w:hAnsi="宋体"/>
                <w:sz w:val="21"/>
                <w:highlight w:val="none"/>
              </w:rPr>
              <w:t>评标委员会的组建</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098DE98F">
            <w:pPr>
              <w:pStyle w:val="28"/>
              <w:tabs>
                <w:tab w:val="left" w:pos="2309"/>
                <w:tab w:val="left" w:pos="3826"/>
              </w:tabs>
              <w:kinsoku w:val="0"/>
              <w:overflowPunct w:val="0"/>
              <w:spacing w:line="440" w:lineRule="atLeast"/>
              <w:jc w:val="both"/>
              <w:rPr>
                <w:rFonts w:eastAsia="Times New Roman"/>
                <w:sz w:val="21"/>
                <w:highlight w:val="none"/>
              </w:rPr>
            </w:pPr>
            <w:r>
              <w:rPr>
                <w:rFonts w:hint="eastAsia" w:eastAsia="Times New Roman"/>
                <w:sz w:val="21"/>
                <w:highlight w:val="none"/>
              </w:rPr>
              <w:t xml:space="preserve">评标委员会构成： </w:t>
            </w:r>
            <w:r>
              <w:rPr>
                <w:rFonts w:hint="eastAsia" w:eastAsia="宋体"/>
                <w:sz w:val="21"/>
                <w:highlight w:val="none"/>
                <w:lang w:val="en-US" w:eastAsia="zh-CN"/>
              </w:rPr>
              <w:t>7</w:t>
            </w:r>
            <w:r>
              <w:rPr>
                <w:rFonts w:hint="eastAsia" w:eastAsia="Times New Roman"/>
                <w:sz w:val="21"/>
                <w:highlight w:val="none"/>
              </w:rPr>
              <w:t>人</w:t>
            </w:r>
          </w:p>
          <w:p w14:paraId="681FF796">
            <w:pPr>
              <w:pStyle w:val="28"/>
              <w:tabs>
                <w:tab w:val="left" w:pos="2309"/>
                <w:tab w:val="left" w:pos="3826"/>
              </w:tabs>
              <w:kinsoku w:val="0"/>
              <w:overflowPunct w:val="0"/>
              <w:spacing w:line="440" w:lineRule="atLeast"/>
              <w:jc w:val="both"/>
              <w:rPr>
                <w:rFonts w:eastAsia="Times New Roman"/>
                <w:sz w:val="21"/>
                <w:highlight w:val="none"/>
              </w:rPr>
            </w:pPr>
            <w:r>
              <w:rPr>
                <w:rFonts w:hint="eastAsia" w:eastAsia="Times New Roman"/>
                <w:sz w:val="21"/>
                <w:highlight w:val="none"/>
              </w:rPr>
              <w:t xml:space="preserve">其中招标人代表 </w:t>
            </w:r>
            <w:r>
              <w:rPr>
                <w:rFonts w:hint="eastAsia"/>
                <w:sz w:val="21"/>
                <w:highlight w:val="none"/>
                <w:lang w:val="en-US" w:eastAsia="zh-CN"/>
              </w:rPr>
              <w:t>2</w:t>
            </w:r>
            <w:r>
              <w:rPr>
                <w:rFonts w:hint="eastAsia" w:eastAsia="Times New Roman"/>
                <w:sz w:val="21"/>
                <w:highlight w:val="none"/>
              </w:rPr>
              <w:t>人，专家</w:t>
            </w:r>
            <w:r>
              <w:rPr>
                <w:rFonts w:hint="eastAsia" w:eastAsia="宋体"/>
                <w:sz w:val="21"/>
                <w:highlight w:val="none"/>
                <w:lang w:val="en-US" w:eastAsia="zh-CN"/>
              </w:rPr>
              <w:t>5</w:t>
            </w:r>
            <w:r>
              <w:rPr>
                <w:rFonts w:hint="eastAsia" w:eastAsia="Times New Roman"/>
                <w:sz w:val="21"/>
                <w:highlight w:val="none"/>
              </w:rPr>
              <w:t>人；</w:t>
            </w:r>
          </w:p>
          <w:p w14:paraId="23DB68B7">
            <w:pPr>
              <w:pStyle w:val="28"/>
              <w:tabs>
                <w:tab w:val="left" w:pos="2309"/>
                <w:tab w:val="left" w:pos="3826"/>
              </w:tabs>
              <w:kinsoku w:val="0"/>
              <w:overflowPunct w:val="0"/>
              <w:spacing w:line="440" w:lineRule="atLeast"/>
              <w:jc w:val="both"/>
              <w:rPr>
                <w:rFonts w:eastAsia="Times New Roman"/>
                <w:sz w:val="21"/>
                <w:highlight w:val="none"/>
              </w:rPr>
            </w:pPr>
            <w:r>
              <w:rPr>
                <w:rFonts w:hint="eastAsia" w:eastAsia="Times New Roman"/>
                <w:sz w:val="21"/>
                <w:highlight w:val="none"/>
              </w:rPr>
              <w:t>评标专家确定方式：除招标人代表外，其余专家均从广东省综合评标评审专家库中随机抽取。</w:t>
            </w:r>
          </w:p>
        </w:tc>
      </w:tr>
      <w:tr w14:paraId="033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E1DEE24">
            <w:pPr>
              <w:pStyle w:val="28"/>
              <w:kinsoku w:val="0"/>
              <w:overflowPunct w:val="0"/>
              <w:jc w:val="center"/>
              <w:rPr>
                <w:rFonts w:eastAsia="Times New Roman"/>
                <w:sz w:val="21"/>
                <w:highlight w:val="none"/>
              </w:rPr>
            </w:pPr>
            <w:r>
              <w:rPr>
                <w:rFonts w:hint="eastAsia" w:eastAsia="Times New Roman"/>
                <w:sz w:val="21"/>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F26462B">
            <w:pPr>
              <w:pStyle w:val="28"/>
              <w:kinsoku w:val="0"/>
              <w:overflowPunct w:val="0"/>
              <w:jc w:val="both"/>
              <w:rPr>
                <w:rFonts w:ascii="宋体" w:hAnsi="宋体"/>
                <w:sz w:val="21"/>
                <w:highlight w:val="none"/>
              </w:rPr>
            </w:pPr>
            <w:r>
              <w:rPr>
                <w:rFonts w:ascii="宋体" w:hAnsi="宋体"/>
                <w:sz w:val="21"/>
                <w:highlight w:val="none"/>
              </w:rPr>
              <w:t>评标委员会推荐中标候选人的人数</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0C214A7">
            <w:pPr>
              <w:jc w:val="both"/>
              <w:rPr>
                <w:rFonts w:eastAsia="Times New Roman"/>
                <w:sz w:val="21"/>
                <w:highlight w:val="none"/>
              </w:rPr>
            </w:pPr>
            <w:r>
              <w:rPr>
                <w:rFonts w:hint="eastAsia" w:ascii="宋体" w:hAnsi="宋体"/>
                <w:sz w:val="21"/>
                <w:szCs w:val="18"/>
                <w:highlight w:val="none"/>
                <w:u w:val="single"/>
              </w:rPr>
              <w:t>推荐中标候选人的人数：3人。</w:t>
            </w:r>
          </w:p>
        </w:tc>
      </w:tr>
      <w:tr w14:paraId="4ED2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493162C">
            <w:pPr>
              <w:pStyle w:val="28"/>
              <w:kinsoku w:val="0"/>
              <w:overflowPunct w:val="0"/>
              <w:jc w:val="center"/>
              <w:rPr>
                <w:rFonts w:eastAsia="Times New Roman"/>
                <w:sz w:val="21"/>
                <w:highlight w:val="none"/>
              </w:rPr>
            </w:pPr>
            <w:r>
              <w:rPr>
                <w:rFonts w:hint="eastAsia" w:eastAsia="Times New Roman"/>
                <w:sz w:val="21"/>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B884D87">
            <w:pPr>
              <w:pStyle w:val="28"/>
              <w:kinsoku w:val="0"/>
              <w:overflowPunct w:val="0"/>
              <w:jc w:val="both"/>
              <w:rPr>
                <w:rFonts w:ascii="宋体" w:hAnsi="宋体"/>
                <w:sz w:val="21"/>
                <w:highlight w:val="none"/>
              </w:rPr>
            </w:pPr>
            <w:r>
              <w:rPr>
                <w:rFonts w:ascii="宋体" w:hAnsi="宋体"/>
                <w:sz w:val="21"/>
                <w:highlight w:val="none"/>
              </w:rPr>
              <w:t>中标候选人公示媒介及期限</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B3DE062">
            <w:pPr>
              <w:spacing w:before="171"/>
              <w:ind w:left="40"/>
              <w:rPr>
                <w:rFonts w:ascii="宋体" w:hAnsi="宋体" w:cs="宋体"/>
                <w:sz w:val="21"/>
                <w:szCs w:val="21"/>
                <w:highlight w:val="none"/>
              </w:rPr>
            </w:pPr>
            <w:r>
              <w:rPr>
                <w:rFonts w:ascii="宋体" w:hAnsi="宋体" w:cs="宋体"/>
                <w:spacing w:val="-11"/>
                <w:sz w:val="21"/>
                <w:szCs w:val="21"/>
                <w:highlight w:val="none"/>
              </w:rPr>
              <w:t>公</w:t>
            </w:r>
            <w:r>
              <w:rPr>
                <w:rFonts w:ascii="宋体" w:hAnsi="宋体" w:cs="宋体"/>
                <w:spacing w:val="-10"/>
                <w:sz w:val="21"/>
                <w:szCs w:val="21"/>
                <w:highlight w:val="none"/>
              </w:rPr>
              <w:t>示媒介：</w:t>
            </w:r>
            <w:r>
              <w:rPr>
                <w:rFonts w:hint="eastAsia" w:ascii="宋体" w:hAnsi="宋体" w:cs="宋体"/>
                <w:sz w:val="21"/>
                <w:szCs w:val="21"/>
                <w:highlight w:val="none"/>
                <w:lang w:val="zh-CN"/>
              </w:rPr>
              <w:t>广州交易集团有限公司（广州公共资源交易中心）</w:t>
            </w:r>
            <w:r>
              <w:rPr>
                <w:rFonts w:ascii="宋体" w:hAnsi="宋体" w:cs="宋体"/>
                <w:sz w:val="21"/>
                <w:szCs w:val="21"/>
                <w:highlight w:val="none"/>
                <w:lang w:val="zh-CN"/>
              </w:rPr>
              <w:t>网和广东省招标投标监管网</w:t>
            </w:r>
          </w:p>
          <w:p w14:paraId="1D3693B9">
            <w:pPr>
              <w:pStyle w:val="28"/>
              <w:tabs>
                <w:tab w:val="left" w:pos="2100"/>
              </w:tabs>
              <w:kinsoku w:val="0"/>
              <w:overflowPunct w:val="0"/>
              <w:jc w:val="both"/>
              <w:rPr>
                <w:rFonts w:eastAsia="Times New Roman"/>
                <w:sz w:val="21"/>
                <w:highlight w:val="none"/>
              </w:rPr>
            </w:pPr>
            <w:r>
              <w:rPr>
                <w:rFonts w:ascii="宋体" w:hAnsi="宋体" w:cs="宋体"/>
                <w:spacing w:val="-8"/>
                <w:sz w:val="21"/>
                <w:szCs w:val="21"/>
                <w:highlight w:val="none"/>
              </w:rPr>
              <w:t>公示期</w:t>
            </w:r>
            <w:r>
              <w:rPr>
                <w:rFonts w:ascii="宋体" w:hAnsi="宋体" w:cs="宋体"/>
                <w:spacing w:val="-4"/>
                <w:sz w:val="21"/>
                <w:szCs w:val="21"/>
                <w:highlight w:val="none"/>
              </w:rPr>
              <w:t>限：</w:t>
            </w:r>
            <w:r>
              <w:rPr>
                <w:rFonts w:ascii="宋体" w:hAnsi="宋体" w:cs="宋体"/>
                <w:spacing w:val="-4"/>
                <w:sz w:val="21"/>
                <w:szCs w:val="21"/>
                <w:highlight w:val="none"/>
                <w:u w:val="single"/>
              </w:rPr>
              <w:t>不少于3</w:t>
            </w:r>
            <w:r>
              <w:rPr>
                <w:rFonts w:ascii="宋体" w:hAnsi="宋体" w:cs="宋体"/>
                <w:spacing w:val="-4"/>
                <w:sz w:val="21"/>
                <w:szCs w:val="21"/>
                <w:highlight w:val="none"/>
              </w:rPr>
              <w:t>日</w:t>
            </w:r>
            <w:r>
              <w:rPr>
                <w:rFonts w:ascii="宋体" w:hAnsi="宋体" w:cs="宋体"/>
                <w:spacing w:val="-5"/>
                <w:sz w:val="21"/>
                <w:szCs w:val="21"/>
                <w:highlight w:val="none"/>
              </w:rPr>
              <w:t>（最后一天应为工作日）</w:t>
            </w:r>
          </w:p>
        </w:tc>
      </w:tr>
      <w:tr w14:paraId="2C1A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61508E6">
            <w:pPr>
              <w:pStyle w:val="28"/>
              <w:kinsoku w:val="0"/>
              <w:overflowPunct w:val="0"/>
              <w:jc w:val="center"/>
              <w:rPr>
                <w:rFonts w:eastAsia="Times New Roman"/>
                <w:sz w:val="21"/>
                <w:highlight w:val="none"/>
              </w:rPr>
            </w:pPr>
            <w:r>
              <w:rPr>
                <w:rFonts w:hint="eastAsia" w:eastAsia="Times New Roman"/>
                <w:sz w:val="21"/>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751271C">
            <w:pPr>
              <w:pStyle w:val="28"/>
              <w:kinsoku w:val="0"/>
              <w:overflowPunct w:val="0"/>
              <w:jc w:val="both"/>
              <w:rPr>
                <w:rFonts w:ascii="宋体" w:hAnsi="宋体"/>
                <w:sz w:val="21"/>
                <w:highlight w:val="none"/>
              </w:rPr>
            </w:pPr>
            <w:r>
              <w:rPr>
                <w:rFonts w:ascii="宋体" w:hAnsi="宋体"/>
                <w:sz w:val="21"/>
                <w:highlight w:val="none"/>
              </w:rPr>
              <w:t>是否授权评标委员会确定中标人</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10740514">
            <w:pPr>
              <w:pStyle w:val="28"/>
              <w:kinsoku w:val="0"/>
              <w:overflowPunct w:val="0"/>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是</w:t>
            </w:r>
          </w:p>
          <w:p w14:paraId="7378EF46">
            <w:pPr>
              <w:pStyle w:val="28"/>
              <w:kinsoku w:val="0"/>
              <w:overflowPunct w:val="0"/>
              <w:jc w:val="both"/>
              <w:rPr>
                <w:rFonts w:eastAsia="Times New Roman"/>
                <w:sz w:val="21"/>
                <w:highlight w:val="none"/>
              </w:rPr>
            </w:pPr>
            <w:r>
              <w:rPr>
                <w:rFonts w:hint="eastAsia" w:eastAsia="Times New Roman"/>
                <w:sz w:val="21"/>
                <w:highlight w:val="none"/>
              </w:rPr>
              <w:sym w:font="Wingdings 2" w:char="0052"/>
            </w:r>
            <w:r>
              <w:rPr>
                <w:rFonts w:ascii="宋体" w:hAnsi="宋体"/>
                <w:sz w:val="21"/>
                <w:highlight w:val="none"/>
              </w:rPr>
              <w:t>否</w:t>
            </w:r>
          </w:p>
        </w:tc>
      </w:tr>
      <w:tr w14:paraId="3356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5D4DA0D">
            <w:pPr>
              <w:pStyle w:val="28"/>
              <w:kinsoku w:val="0"/>
              <w:overflowPunct w:val="0"/>
              <w:jc w:val="center"/>
              <w:rPr>
                <w:rFonts w:eastAsia="Times New Roman"/>
                <w:sz w:val="21"/>
                <w:highlight w:val="none"/>
              </w:rPr>
            </w:pPr>
            <w:r>
              <w:rPr>
                <w:rFonts w:hint="eastAsia" w:eastAsia="Times New Roman"/>
                <w:sz w:val="21"/>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0772C31">
            <w:pPr>
              <w:pStyle w:val="28"/>
              <w:kinsoku w:val="0"/>
              <w:overflowPunct w:val="0"/>
              <w:jc w:val="both"/>
              <w:rPr>
                <w:rFonts w:ascii="宋体" w:hAnsi="宋体"/>
                <w:sz w:val="21"/>
                <w:highlight w:val="none"/>
              </w:rPr>
            </w:pPr>
            <w:r>
              <w:rPr>
                <w:rFonts w:ascii="宋体" w:hAnsi="宋体"/>
                <w:sz w:val="21"/>
                <w:highlight w:val="none"/>
              </w:rPr>
              <w:t>履约保证金</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25ACAA5">
            <w:pPr>
              <w:pStyle w:val="28"/>
              <w:kinsoku w:val="0"/>
              <w:overflowPunct w:val="0"/>
              <w:spacing w:line="360" w:lineRule="auto"/>
              <w:jc w:val="both"/>
              <w:rPr>
                <w:rFonts w:ascii="宋体" w:hAnsi="宋体"/>
                <w:sz w:val="21"/>
                <w:highlight w:val="none"/>
              </w:rPr>
            </w:pPr>
            <w:r>
              <w:rPr>
                <w:rFonts w:ascii="宋体" w:hAnsi="宋体"/>
                <w:sz w:val="21"/>
                <w:highlight w:val="none"/>
              </w:rPr>
              <w:t>是否要求中标人提交履约保证金：</w:t>
            </w:r>
          </w:p>
          <w:p w14:paraId="15150FA5">
            <w:pPr>
              <w:pStyle w:val="28"/>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不要求</w:t>
            </w:r>
          </w:p>
          <w:p w14:paraId="7A257295">
            <w:pPr>
              <w:pStyle w:val="28"/>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要求，履约保证金的形式：</w:t>
            </w:r>
            <w:r>
              <w:rPr>
                <w:rFonts w:hint="eastAsia" w:ascii="宋体" w:hAnsi="宋体"/>
                <w:sz w:val="21"/>
                <w:highlight w:val="none"/>
              </w:rPr>
              <w:t>/</w:t>
            </w:r>
          </w:p>
          <w:p w14:paraId="3E26C96D">
            <w:pPr>
              <w:pStyle w:val="28"/>
              <w:kinsoku w:val="0"/>
              <w:overflowPunct w:val="0"/>
              <w:spacing w:line="360" w:lineRule="auto"/>
              <w:ind w:firstLine="840" w:firstLineChars="400"/>
              <w:jc w:val="both"/>
              <w:rPr>
                <w:rFonts w:ascii="宋体" w:hAnsi="宋体"/>
                <w:sz w:val="21"/>
                <w:highlight w:val="none"/>
              </w:rPr>
            </w:pPr>
            <w:r>
              <w:rPr>
                <w:rFonts w:ascii="宋体" w:hAnsi="宋体"/>
                <w:sz w:val="21"/>
                <w:highlight w:val="none"/>
              </w:rPr>
              <w:t>履约保证金的金额：</w:t>
            </w:r>
            <w:r>
              <w:rPr>
                <w:rFonts w:hint="eastAsia" w:ascii="宋体" w:hAnsi="宋体"/>
                <w:sz w:val="21"/>
                <w:highlight w:val="none"/>
              </w:rPr>
              <w:t>/</w:t>
            </w:r>
          </w:p>
          <w:p w14:paraId="4157DED6">
            <w:pPr>
              <w:pStyle w:val="28"/>
              <w:kinsoku w:val="0"/>
              <w:overflowPunct w:val="0"/>
              <w:jc w:val="both"/>
              <w:rPr>
                <w:rFonts w:eastAsia="Times New Roman"/>
                <w:sz w:val="21"/>
                <w:highlight w:val="none"/>
              </w:rPr>
            </w:pPr>
          </w:p>
        </w:tc>
      </w:tr>
      <w:tr w14:paraId="0C8C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6A269B1">
            <w:pPr>
              <w:pStyle w:val="28"/>
              <w:kinsoku w:val="0"/>
              <w:overflowPunct w:val="0"/>
              <w:jc w:val="center"/>
              <w:rPr>
                <w:rFonts w:eastAsia="Times New Roman"/>
                <w:sz w:val="21"/>
                <w:highlight w:val="none"/>
              </w:rPr>
            </w:pPr>
            <w:r>
              <w:rPr>
                <w:rFonts w:hint="eastAsia" w:eastAsia="Times New Roman"/>
                <w:sz w:val="21"/>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623FBB8">
            <w:pPr>
              <w:pStyle w:val="28"/>
              <w:kinsoku w:val="0"/>
              <w:overflowPunct w:val="0"/>
              <w:jc w:val="both"/>
              <w:rPr>
                <w:rFonts w:ascii="宋体" w:hAnsi="宋体"/>
                <w:sz w:val="21"/>
                <w:highlight w:val="none"/>
              </w:rPr>
            </w:pPr>
            <w:r>
              <w:rPr>
                <w:rFonts w:ascii="宋体" w:hAnsi="宋体"/>
                <w:sz w:val="21"/>
                <w:highlight w:val="none"/>
              </w:rPr>
              <w:t>需要补充的其他内容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76C7468">
            <w:pPr>
              <w:jc w:val="both"/>
              <w:rPr>
                <w:sz w:val="21"/>
                <w:highlight w:val="none"/>
              </w:rPr>
            </w:pPr>
            <w:r>
              <w:rPr>
                <w:rFonts w:hint="eastAsia"/>
                <w:sz w:val="21"/>
                <w:highlight w:val="none"/>
              </w:rPr>
              <w:t>/</w:t>
            </w:r>
          </w:p>
        </w:tc>
      </w:tr>
      <w:tr w14:paraId="6438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79D409B">
            <w:pPr>
              <w:spacing w:line="360" w:lineRule="auto"/>
              <w:jc w:val="center"/>
              <w:rPr>
                <w:rFonts w:eastAsia="Times New Roman"/>
                <w:sz w:val="18"/>
                <w:szCs w:val="21"/>
                <w:highlight w:val="none"/>
              </w:rPr>
            </w:pPr>
            <w:r>
              <w:rPr>
                <w:rFonts w:hint="eastAsia" w:ascii="宋体" w:hAnsi="宋体"/>
                <w:sz w:val="21"/>
                <w:szCs w:val="18"/>
                <w:highlight w:val="none"/>
                <w:u w:val="single"/>
              </w:rPr>
              <w:t>10.1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764A807">
            <w:pPr>
              <w:spacing w:line="360" w:lineRule="auto"/>
              <w:jc w:val="center"/>
              <w:rPr>
                <w:rFonts w:ascii="宋体" w:hAnsi="宋体"/>
                <w:sz w:val="18"/>
                <w:szCs w:val="21"/>
                <w:highlight w:val="none"/>
              </w:rPr>
            </w:pPr>
            <w:r>
              <w:rPr>
                <w:rFonts w:hint="eastAsia" w:ascii="宋体" w:hAnsi="宋体"/>
                <w:sz w:val="21"/>
                <w:szCs w:val="18"/>
                <w:highlight w:val="none"/>
                <w:u w:val="single"/>
              </w:rPr>
              <w:t>招标失败的情形</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60C2C21">
            <w:pPr>
              <w:spacing w:line="360" w:lineRule="auto"/>
              <w:rPr>
                <w:rFonts w:eastAsia="Times New Roman"/>
                <w:sz w:val="18"/>
                <w:szCs w:val="21"/>
                <w:highlight w:val="none"/>
              </w:rPr>
            </w:pPr>
            <w:r>
              <w:rPr>
                <w:rFonts w:hint="eastAsia" w:ascii="宋体" w:hAnsi="宋体"/>
                <w:sz w:val="21"/>
                <w:szCs w:val="18"/>
                <w:highlight w:val="none"/>
                <w:u w:val="single"/>
              </w:rPr>
              <w:t>本项目采用资格后审，</w:t>
            </w:r>
            <w:r>
              <w:rPr>
                <w:rFonts w:hint="eastAsia" w:ascii="宋体" w:hAnsi="宋体" w:cs="宋体"/>
                <w:sz w:val="21"/>
                <w:szCs w:val="20"/>
                <w:highlight w:val="none"/>
                <w:u w:val="single"/>
              </w:rPr>
              <w:t>投标登记或</w:t>
            </w:r>
            <w:r>
              <w:rPr>
                <w:rFonts w:hint="eastAsia" w:ascii="宋体" w:hAnsi="宋体"/>
                <w:sz w:val="21"/>
                <w:szCs w:val="18"/>
                <w:highlight w:val="none"/>
                <w:u w:val="single"/>
              </w:rPr>
              <w:t>满足资格审查合格条件的投标人不足3名、或经评审有效的投标单位不足3名时为该标段招标失败。招标人分析招标失败原因，修正招标方案后，重新组织招标。</w:t>
            </w:r>
          </w:p>
        </w:tc>
      </w:tr>
      <w:tr w14:paraId="46EA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E4B0421">
            <w:pPr>
              <w:spacing w:line="360" w:lineRule="auto"/>
              <w:jc w:val="center"/>
              <w:rPr>
                <w:rFonts w:eastAsia="Times New Roman"/>
                <w:sz w:val="18"/>
                <w:szCs w:val="21"/>
                <w:highlight w:val="none"/>
              </w:rPr>
            </w:pPr>
            <w:r>
              <w:rPr>
                <w:rFonts w:hint="eastAsia" w:ascii="宋体" w:hAnsi="宋体"/>
                <w:sz w:val="21"/>
                <w:szCs w:val="18"/>
                <w:highlight w:val="none"/>
                <w:u w:val="single"/>
              </w:rPr>
              <w:t>10.2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973C1AC">
            <w:pPr>
              <w:spacing w:line="360" w:lineRule="auto"/>
              <w:jc w:val="center"/>
              <w:rPr>
                <w:rFonts w:ascii="宋体" w:hAnsi="宋体"/>
                <w:sz w:val="18"/>
                <w:szCs w:val="21"/>
                <w:highlight w:val="none"/>
              </w:rPr>
            </w:pPr>
            <w:r>
              <w:rPr>
                <w:rFonts w:hint="eastAsia" w:ascii="宋体" w:hAnsi="宋体"/>
                <w:sz w:val="21"/>
                <w:szCs w:val="18"/>
                <w:highlight w:val="none"/>
                <w:u w:val="single"/>
              </w:rPr>
              <w:t>交易服务费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160E4843">
            <w:pPr>
              <w:spacing w:line="360" w:lineRule="auto"/>
              <w:rPr>
                <w:rFonts w:eastAsia="Times New Roman"/>
                <w:sz w:val="18"/>
                <w:szCs w:val="21"/>
                <w:highlight w:val="none"/>
              </w:rPr>
            </w:pPr>
            <w:r>
              <w:rPr>
                <w:rFonts w:hint="eastAsia" w:ascii="宋体" w:hAnsi="宋体"/>
                <w:sz w:val="21"/>
                <w:szCs w:val="18"/>
                <w:highlight w:val="none"/>
                <w:u w:val="single"/>
              </w:rPr>
              <w:t>中标人按《广州市发展改革委转发省发展改革委关于规范公共资源交易服务收费及有关问题的通知》（穗发改〔2017〕811号）文件的规定，向广州交易集团有限公司代缴交易服务费，交易服务费的金额为中标总金额的0.9‰，其费用包含在中标人投标报价中，招标人不另行支付。</w:t>
            </w:r>
          </w:p>
        </w:tc>
      </w:tr>
      <w:tr w14:paraId="1162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C7D4186">
            <w:pPr>
              <w:spacing w:line="360" w:lineRule="auto"/>
              <w:jc w:val="center"/>
              <w:rPr>
                <w:rFonts w:eastAsia="Times New Roman"/>
                <w:sz w:val="18"/>
                <w:szCs w:val="21"/>
                <w:highlight w:val="none"/>
              </w:rPr>
            </w:pPr>
            <w:r>
              <w:rPr>
                <w:rFonts w:hint="eastAsia" w:ascii="宋体" w:hAnsi="宋体"/>
                <w:sz w:val="21"/>
                <w:szCs w:val="18"/>
                <w:highlight w:val="none"/>
                <w:u w:val="single"/>
              </w:rPr>
              <w:t>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43CDF85">
            <w:pPr>
              <w:spacing w:line="360" w:lineRule="auto"/>
              <w:jc w:val="center"/>
              <w:rPr>
                <w:rFonts w:ascii="宋体" w:hAnsi="宋体"/>
                <w:sz w:val="18"/>
                <w:szCs w:val="21"/>
                <w:highlight w:val="none"/>
              </w:rPr>
            </w:pPr>
            <w:r>
              <w:rPr>
                <w:rFonts w:hint="eastAsia" w:ascii="宋体" w:hAnsi="宋体"/>
                <w:sz w:val="21"/>
                <w:szCs w:val="18"/>
                <w:highlight w:val="none"/>
                <w:u w:val="single"/>
              </w:rPr>
              <w:t>其他要求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6F9FE4D">
            <w:pPr>
              <w:spacing w:line="360" w:lineRule="auto"/>
              <w:rPr>
                <w:rFonts w:eastAsia="Times New Roman"/>
                <w:sz w:val="18"/>
                <w:szCs w:val="21"/>
                <w:highlight w:val="none"/>
              </w:rPr>
            </w:pPr>
            <w:r>
              <w:rPr>
                <w:rFonts w:hint="eastAsia" w:ascii="宋体" w:hAnsi="宋体"/>
                <w:sz w:val="21"/>
                <w:szCs w:val="18"/>
                <w:highlight w:val="none"/>
                <w:u w:val="single"/>
              </w:rPr>
              <w:t>各投标人递交投标资料参与投标，均视为接受及认同招标合同及招标人（业主单位）制发的各项相关建设管理办法。如中标人不按合同履约及未遵守招标人（业主单位）制发的各项相关建设管理办法，招标人（业主单位）有权依据相关管理办法要求中标人承担相应责任，中标人应无条件接受。</w:t>
            </w:r>
          </w:p>
        </w:tc>
      </w:tr>
      <w:tr w14:paraId="316F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5358495">
            <w:pPr>
              <w:spacing w:line="360" w:lineRule="auto"/>
              <w:jc w:val="center"/>
              <w:rPr>
                <w:rFonts w:eastAsia="Times New Roman"/>
                <w:sz w:val="18"/>
                <w:szCs w:val="21"/>
                <w:highlight w:val="none"/>
              </w:rPr>
            </w:pPr>
            <w:r>
              <w:rPr>
                <w:rFonts w:hint="eastAsia" w:ascii="宋体" w:hAnsi="宋体"/>
                <w:sz w:val="21"/>
                <w:szCs w:val="18"/>
                <w:highlight w:val="none"/>
                <w:u w:val="single"/>
              </w:rPr>
              <w:t>10.4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023EFE5">
            <w:pPr>
              <w:spacing w:line="360" w:lineRule="auto"/>
              <w:jc w:val="center"/>
              <w:rPr>
                <w:rFonts w:ascii="宋体" w:hAnsi="宋体"/>
                <w:sz w:val="18"/>
                <w:szCs w:val="21"/>
                <w:highlight w:val="none"/>
              </w:rPr>
            </w:pPr>
            <w:r>
              <w:rPr>
                <w:rFonts w:hint="eastAsia" w:ascii="宋体" w:hAnsi="宋体"/>
                <w:sz w:val="21"/>
                <w:szCs w:val="18"/>
                <w:highlight w:val="none"/>
                <w:u w:val="single"/>
              </w:rPr>
              <w:t>投标文件公开</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174B1F2">
            <w:pPr>
              <w:spacing w:line="360" w:lineRule="auto"/>
              <w:rPr>
                <w:rFonts w:eastAsia="Times New Roman"/>
                <w:sz w:val="18"/>
                <w:szCs w:val="21"/>
                <w:highlight w:val="none"/>
              </w:rPr>
            </w:pPr>
            <w:r>
              <w:rPr>
                <w:rFonts w:hint="eastAsia" w:ascii="宋体" w:hAnsi="宋体"/>
                <w:sz w:val="21"/>
                <w:szCs w:val="18"/>
                <w:highlight w:val="none"/>
                <w:u w:val="single"/>
              </w:rPr>
              <w:t>在产生中标候选人后，招标人将中标候选人的投标文件商务部分的电子版（方案等涉及商业秘密的内容除外）在广州交易集团有限公司（广州公共资源交易中心）、广东省招标投标监管网网站公开。</w:t>
            </w:r>
          </w:p>
        </w:tc>
      </w:tr>
      <w:tr w14:paraId="6EAE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574523D">
            <w:pPr>
              <w:spacing w:line="360" w:lineRule="auto"/>
              <w:jc w:val="center"/>
              <w:rPr>
                <w:rFonts w:eastAsia="Times New Roman"/>
                <w:sz w:val="18"/>
                <w:szCs w:val="21"/>
                <w:highlight w:val="none"/>
              </w:rPr>
            </w:pPr>
            <w:r>
              <w:rPr>
                <w:rFonts w:hint="eastAsia" w:ascii="宋体" w:hAnsi="宋体"/>
                <w:sz w:val="21"/>
                <w:szCs w:val="18"/>
                <w:highlight w:val="none"/>
                <w:u w:val="single"/>
              </w:rPr>
              <w:t>10.5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1F601F0">
            <w:pPr>
              <w:spacing w:line="360" w:lineRule="auto"/>
              <w:jc w:val="center"/>
              <w:rPr>
                <w:rFonts w:ascii="宋体" w:hAnsi="宋体"/>
                <w:sz w:val="18"/>
                <w:szCs w:val="21"/>
                <w:highlight w:val="none"/>
              </w:rPr>
            </w:pPr>
            <w:r>
              <w:rPr>
                <w:rFonts w:hint="eastAsia" w:ascii="宋体" w:hAnsi="宋体"/>
                <w:sz w:val="21"/>
                <w:szCs w:val="18"/>
                <w:highlight w:val="none"/>
                <w:u w:val="single"/>
              </w:rPr>
              <w:t>补交纸质投标文件</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A6DB81C">
            <w:pPr>
              <w:spacing w:line="360" w:lineRule="auto"/>
              <w:rPr>
                <w:rFonts w:ascii="宋体" w:hAnsi="宋体"/>
                <w:sz w:val="21"/>
                <w:szCs w:val="18"/>
                <w:highlight w:val="none"/>
                <w:u w:val="single"/>
              </w:rPr>
            </w:pPr>
            <w:r>
              <w:rPr>
                <w:rFonts w:hint="eastAsia" w:ascii="宋体" w:hAnsi="宋体"/>
                <w:sz w:val="21"/>
                <w:szCs w:val="18"/>
                <w:highlight w:val="none"/>
                <w:u w:val="single"/>
              </w:rPr>
              <w:t>中标单位领取中标通知书时，补送一正三副与交易平台网上递交的电子投标文件一致的书面投标文件（加盖公章）及一份与书面投标文件一致的用“Microsoft Word ”或“PDF”格式制作的电子文件（光盘）给招标人，相关费用由投标人支付。</w:t>
            </w:r>
          </w:p>
        </w:tc>
      </w:tr>
    </w:tbl>
    <w:p w14:paraId="7EDCADE6"/>
    <w:p w14:paraId="731CEC7A">
      <w:pPr>
        <w:pStyle w:val="4"/>
        <w:spacing w:before="120" w:after="120"/>
        <w:rPr>
          <w:rFonts w:cs="宋体"/>
        </w:rPr>
        <w:sectPr>
          <w:footerReference r:id="rId5" w:type="default"/>
          <w:pgSz w:w="11905" w:h="16838"/>
          <w:pgMar w:top="1417" w:right="1417" w:bottom="1417" w:left="1417" w:header="992" w:footer="992" w:gutter="0"/>
          <w:cols w:space="720" w:num="1"/>
        </w:sectPr>
      </w:pPr>
      <w:bookmarkStart w:id="9" w:name="bookmark20"/>
      <w:bookmarkEnd w:id="9"/>
    </w:p>
    <w:p w14:paraId="41B7FEFD">
      <w:pPr>
        <w:pStyle w:val="4"/>
        <w:spacing w:before="120" w:after="120"/>
        <w:jc w:val="center"/>
        <w:rPr>
          <w:sz w:val="32"/>
        </w:rPr>
      </w:pPr>
      <w:bookmarkStart w:id="10" w:name="_Toc17451623"/>
      <w:bookmarkStart w:id="11" w:name="_Toc17454922"/>
      <w:bookmarkStart w:id="12" w:name="_Toc17452664"/>
      <w:bookmarkStart w:id="13" w:name="_Toc26588"/>
      <w:bookmarkStart w:id="14" w:name="_Toc262229161"/>
      <w:bookmarkStart w:id="15" w:name="_Toc17451578"/>
      <w:bookmarkStart w:id="16" w:name="_Toc17556931"/>
      <w:bookmarkStart w:id="17" w:name="_Toc17556876"/>
      <w:bookmarkStart w:id="18" w:name="_Toc17454871"/>
      <w:bookmarkStart w:id="19" w:name="_Toc17451101"/>
      <w:r>
        <w:rPr>
          <w:sz w:val="32"/>
        </w:rPr>
        <w:t>投标须知修改表</w:t>
      </w:r>
      <w:bookmarkEnd w:id="10"/>
      <w:bookmarkEnd w:id="11"/>
      <w:bookmarkEnd w:id="12"/>
      <w:bookmarkEnd w:id="13"/>
      <w:bookmarkEnd w:id="14"/>
      <w:bookmarkEnd w:id="15"/>
      <w:bookmarkEnd w:id="16"/>
      <w:bookmarkEnd w:id="17"/>
      <w:bookmarkEnd w:id="18"/>
      <w:bookmarkEnd w:id="19"/>
    </w:p>
    <w:p w14:paraId="463709BA">
      <w:pPr>
        <w:pStyle w:val="20"/>
        <w:spacing w:line="360" w:lineRule="auto"/>
        <w:ind w:firstLine="482"/>
        <w:rPr>
          <w:rFonts w:hint="default" w:ascii="宋体" w:hAnsi="宋体" w:eastAsia="宋体"/>
          <w:b/>
          <w:sz w:val="24"/>
        </w:rPr>
      </w:pPr>
      <w:r>
        <w:rPr>
          <w:rFonts w:hint="default" w:ascii="宋体" w:hAnsi="宋体" w:eastAsia="宋体"/>
          <w:b/>
          <w:sz w:val="24"/>
        </w:rPr>
        <w:t>本投标须知使用</w:t>
      </w:r>
      <w:r>
        <w:rPr>
          <w:rFonts w:ascii="宋体" w:hAnsi="宋体" w:eastAsia="宋体"/>
          <w:b/>
          <w:sz w:val="24"/>
        </w:rPr>
        <w:t>SWZB2024-05</w:t>
      </w:r>
      <w:r>
        <w:rPr>
          <w:rFonts w:hint="default" w:ascii="宋体" w:hAnsi="宋体" w:eastAsia="宋体"/>
          <w:b/>
          <w:sz w:val="24"/>
        </w:rPr>
        <w:t>招标文件范本的投标须知通用条款，与该通用条款不同之处，均在本表中列明，并以现文为准，原文不再有效。</w:t>
      </w:r>
    </w:p>
    <w:p w14:paraId="15B29075">
      <w:pPr>
        <w:spacing w:line="480" w:lineRule="auto"/>
        <w:ind w:firstLine="537" w:firstLineChars="224"/>
        <w:rPr>
          <w:rFonts w:ascii="宋体" w:hAnsi="宋体"/>
        </w:rPr>
      </w:pPr>
      <w:r>
        <w:rPr>
          <w:rFonts w:ascii="宋体" w:hAnsi="宋体"/>
        </w:rPr>
        <w:t>条款号：3.4  投标保证金             修改类型：修改</w:t>
      </w:r>
    </w:p>
    <w:p w14:paraId="6057BBB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原文：3.4.1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07DAEEF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3.4.2 开标时投标人没有按要求提交投标保证金的，其投标文件将被否决。</w:t>
      </w:r>
    </w:p>
    <w:p w14:paraId="7A8C1BC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3.4.3 中标候选人以外的投标人的投标保证金将尽快退还，最迟不超过中标通知书发出之日起五日内；中标人和其他中标候选人的投标保证金，在书面合同订立之日起五日内予以退还。</w:t>
      </w:r>
    </w:p>
    <w:p w14:paraId="6FEE98E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3.4.4 有下列情形之一的，投标保证金将不予退还：</w:t>
      </w:r>
    </w:p>
    <w:p w14:paraId="43EDEEA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w:t>
      </w:r>
      <w:r>
        <w:rPr>
          <w:rFonts w:hint="eastAsia"/>
          <w:sz w:val="24"/>
        </w:rPr>
        <w:t>1</w:t>
      </w:r>
      <w:r>
        <w:rPr>
          <w:sz w:val="24"/>
        </w:rPr>
        <w:t>) 投标人在规定的投标有效期内撤销其投标文件；</w:t>
      </w:r>
    </w:p>
    <w:p w14:paraId="01454F63">
      <w:pPr>
        <w:spacing w:line="480" w:lineRule="auto"/>
        <w:ind w:firstLine="480" w:firstLineChars="200"/>
        <w:rPr>
          <w:rFonts w:ascii="宋体" w:hAnsi="宋体"/>
        </w:rPr>
      </w:pPr>
      <w:r>
        <w:rPr>
          <w:rFonts w:ascii="宋体" w:hAnsi="宋体"/>
        </w:rPr>
        <w:t xml:space="preserve">(2) </w:t>
      </w:r>
      <w:r>
        <w:t>中标人在收到中标通知书后，无正当理由不与招标人订立合同，在签订合同时向招标 人提出附加条件，或者不按照招标文件要求提交履约保证金。</w:t>
      </w:r>
    </w:p>
    <w:p w14:paraId="7A0632C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现文：3.4.1本项目免收投标保证金，投标人提供《关于投标保证金的承诺》（详见投标文件格式）。</w:t>
      </w:r>
    </w:p>
    <w:p w14:paraId="17B084D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3.4.2对于投标人已提供《关于投标保证金的承诺》，若投标人存在3.4.</w:t>
      </w:r>
      <w:r>
        <w:rPr>
          <w:rFonts w:hint="eastAsia"/>
          <w:sz w:val="24"/>
        </w:rPr>
        <w:t>3</w:t>
      </w:r>
      <w:r>
        <w:rPr>
          <w:sz w:val="24"/>
        </w:rPr>
        <w:t>条款所列情形，该投标人应在发现存在3.4.</w:t>
      </w:r>
      <w:r>
        <w:rPr>
          <w:rFonts w:hint="eastAsia"/>
          <w:sz w:val="24"/>
        </w:rPr>
        <w:t>3</w:t>
      </w:r>
      <w:r>
        <w:rPr>
          <w:sz w:val="24"/>
        </w:rPr>
        <w:t>条款所列情形之日起5个工作日内按投标人须知前附表第3.4.1项所述金额补交投标保证金。若未按要求补交投标保证金的将暂停其参与招标人后续工程投标，直至完成补交手续为止。</w:t>
      </w:r>
    </w:p>
    <w:p w14:paraId="14D781A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w:t>
      </w:r>
      <w:r>
        <w:rPr>
          <w:rFonts w:hint="eastAsia"/>
          <w:sz w:val="24"/>
        </w:rPr>
        <w:t>3</w:t>
      </w:r>
      <w:r>
        <w:rPr>
          <w:sz w:val="24"/>
        </w:rPr>
        <w:t>如有下列情况之一的，招标人可以不予退还投标保证金（是否退还投标保证金由招标人在招标文件中规定）：</w:t>
      </w:r>
    </w:p>
    <w:p w14:paraId="3F3490E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w:t>
      </w:r>
      <w:r>
        <w:rPr>
          <w:rFonts w:hint="eastAsia"/>
          <w:sz w:val="24"/>
        </w:rPr>
        <w:t>3</w:t>
      </w:r>
      <w:r>
        <w:rPr>
          <w:sz w:val="24"/>
        </w:rPr>
        <w:t>.1因投标人原因造成投标文件未解密的；</w:t>
      </w:r>
    </w:p>
    <w:p w14:paraId="315C77B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w:t>
      </w:r>
      <w:r>
        <w:rPr>
          <w:rFonts w:hint="eastAsia"/>
          <w:sz w:val="24"/>
        </w:rPr>
        <w:t>3</w:t>
      </w:r>
      <w:r>
        <w:rPr>
          <w:sz w:val="24"/>
        </w:rPr>
        <w:t>.2投标人在投标有效期内撤销投标文件；</w:t>
      </w:r>
    </w:p>
    <w:p w14:paraId="0F85F73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w:t>
      </w:r>
      <w:r>
        <w:rPr>
          <w:rFonts w:hint="eastAsia"/>
          <w:sz w:val="24"/>
        </w:rPr>
        <w:t>3</w:t>
      </w:r>
      <w:r>
        <w:rPr>
          <w:sz w:val="24"/>
        </w:rPr>
        <w:t>.3中标人未能在规定期限内按要求提交履约担保；</w:t>
      </w:r>
    </w:p>
    <w:p w14:paraId="5520FF1F">
      <w:pPr>
        <w:pBdr>
          <w:bottom w:val="single" w:color="auto" w:sz="6" w:space="1"/>
        </w:pBdr>
        <w:spacing w:line="480" w:lineRule="auto"/>
        <w:ind w:firstLine="537" w:firstLineChars="224"/>
        <w:rPr>
          <w:rFonts w:ascii="宋体" w:hAnsi="宋体"/>
        </w:rPr>
      </w:pPr>
      <w:r>
        <w:t>3.4.</w:t>
      </w:r>
      <w:r>
        <w:rPr>
          <w:rFonts w:hint="eastAsia"/>
        </w:rPr>
        <w:t>3</w:t>
      </w:r>
      <w:r>
        <w:t>.4中标人未能在规定期限内签署合同协议。</w:t>
      </w:r>
    </w:p>
    <w:p w14:paraId="031A051F">
      <w:pPr>
        <w:spacing w:line="480" w:lineRule="auto"/>
        <w:ind w:firstLine="537" w:firstLineChars="224"/>
        <w:rPr>
          <w:rFonts w:ascii="宋体" w:hAnsi="宋体"/>
        </w:rPr>
      </w:pPr>
      <w:r>
        <w:rPr>
          <w:rFonts w:ascii="宋体" w:hAnsi="宋体"/>
        </w:rPr>
        <w:t>条款号：</w:t>
      </w:r>
      <w:r>
        <w:rPr>
          <w:rFonts w:ascii="宋体" w:hAnsi="宋体" w:cs="宋体"/>
        </w:rPr>
        <w:t>3.5 资格审查资料</w:t>
      </w:r>
      <w:r>
        <w:rPr>
          <w:rFonts w:ascii="宋体" w:hAnsi="宋体"/>
        </w:rPr>
        <w:t xml:space="preserve">             修改类型：修改</w:t>
      </w:r>
    </w:p>
    <w:p w14:paraId="6F8ABD8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原文：除投标人须知前附表另有规定外，投标人应按下列规定提供资格审查资料，以证明其满足本章第 1.4 款规定的资质、财务、业绩、信誉等要求。</w:t>
      </w:r>
    </w:p>
    <w:p w14:paraId="114FF00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3.5.1 “投标人基本情况表”应附投标人营业执照、投标人监理资质证书副本等材料的扫描件。</w:t>
      </w:r>
    </w:p>
    <w:p w14:paraId="1645860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3.5.2 “近年完成的类似监理项目情况表”应附中标通知书和（或）合同协议书、委托人出具的证明文件；具体时间要求见投标人须知前附表，每张表格只填写一个项目，并标明序号。</w:t>
      </w:r>
    </w:p>
    <w:p w14:paraId="737EA81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w:t>
      </w:r>
      <w:r>
        <w:rPr>
          <w:rFonts w:hint="eastAsia"/>
          <w:sz w:val="24"/>
        </w:rPr>
        <w:t>（注：以上人员社保要求：具有离投标截止时间最近的至少1   个月在本单位缴纳的社保证明文件</w:t>
      </w:r>
      <w:r>
        <w:rPr>
          <w:rFonts w:hint="eastAsia"/>
          <w:sz w:val="24"/>
          <w:lang w:eastAsia="zh-CN"/>
        </w:rPr>
        <w:t>，</w:t>
      </w:r>
      <w:r>
        <w:rPr>
          <w:rFonts w:hint="eastAsia" w:ascii="宋体" w:hAnsi="宋体" w:eastAsia="宋体" w:cs="宋体"/>
          <w:color w:val="auto"/>
          <w:sz w:val="24"/>
          <w:highlight w:val="none"/>
          <w:u w:val="single"/>
        </w:rPr>
        <w:t>退休返聘人员需提供退休及返聘证明。</w:t>
      </w:r>
      <w:r>
        <w:rPr>
          <w:rFonts w:hint="eastAsia"/>
          <w:sz w:val="24"/>
        </w:rPr>
        <w:t>）</w:t>
      </w:r>
    </w:p>
    <w:p w14:paraId="6D853A91">
      <w:pPr>
        <w:spacing w:line="480" w:lineRule="auto"/>
        <w:ind w:firstLine="537" w:firstLineChars="224"/>
        <w:rPr>
          <w:rFonts w:ascii="宋体" w:hAnsi="宋体"/>
        </w:rPr>
      </w:pPr>
      <w:r>
        <w:t>3.5.4 投标人须知前附表规定接受联合体投标的，本章第3.5.1 项至第3.5.3项规定的表格和资料应包括联合体各方相关情况。</w:t>
      </w:r>
    </w:p>
    <w:p w14:paraId="64B0037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rPr>
        <w:t>现文：</w:t>
      </w:r>
      <w:r>
        <w:rPr>
          <w:sz w:val="24"/>
          <w:u w:val="single"/>
        </w:rPr>
        <w:t>投标人参加投标的意思表达清楚，投标人代表被授权有效；（按招标文件第六章所附格式内容要求签署的《投标函》）。</w:t>
      </w:r>
    </w:p>
    <w:p w14:paraId="53BAC9F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3.5.2 法定代表人证明书、授权委托书。</w:t>
      </w:r>
    </w:p>
    <w:p w14:paraId="5F317E2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3.5.3 营业执照或事业单位法人证书等。</w:t>
      </w:r>
    </w:p>
    <w:p w14:paraId="018BC41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3.5.4 监理资质证书。</w:t>
      </w:r>
    </w:p>
    <w:p w14:paraId="7B0D4EA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3.5.5 总监理工程师资料。</w:t>
      </w:r>
    </w:p>
    <w:p w14:paraId="11D55D4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trike/>
          <w:sz w:val="24"/>
          <w:u w:val="single"/>
        </w:rPr>
        <w:t>3.5.6 类似工程业绩资料。</w:t>
      </w:r>
    </w:p>
    <w:p w14:paraId="36B04D0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3.5.7 投标人须在广州交易集团有限公司(广州公共资源交易中心)办理企业信息登记及拟担任本工程总监理工程师须是本企业信息登记中的在册人员，提供证明文件或网上查询结果打印页面。</w:t>
      </w:r>
    </w:p>
    <w:p w14:paraId="3F55BDF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3.5.8 投标人声明。</w:t>
      </w:r>
    </w:p>
    <w:p w14:paraId="582D0361">
      <w:pPr>
        <w:pBdr>
          <w:bottom w:val="single" w:color="auto" w:sz="6" w:space="1"/>
        </w:pBdr>
        <w:spacing w:line="480" w:lineRule="auto"/>
        <w:ind w:firstLine="537" w:firstLineChars="224"/>
        <w:rPr>
          <w:rFonts w:ascii="宋体" w:hAnsi="宋体"/>
        </w:rPr>
      </w:pPr>
      <w:r>
        <w:rPr>
          <w:u w:val="single"/>
        </w:rPr>
        <w:t>3.5.9其他满足投标人资格要求的证明材料（如有）</w:t>
      </w:r>
    </w:p>
    <w:p w14:paraId="51CF73D8">
      <w:pPr>
        <w:spacing w:line="480" w:lineRule="auto"/>
        <w:ind w:firstLine="537" w:firstLineChars="224"/>
        <w:rPr>
          <w:rFonts w:ascii="宋体" w:hAnsi="宋体"/>
        </w:rPr>
      </w:pPr>
      <w:r>
        <w:rPr>
          <w:rFonts w:ascii="宋体" w:hAnsi="宋体"/>
        </w:rPr>
        <w:t>条款号：</w:t>
      </w:r>
      <w:r>
        <w:rPr>
          <w:rFonts w:ascii="宋体" w:hAnsi="宋体" w:cs="宋体"/>
        </w:rPr>
        <w:t>7.6 履约保证金</w:t>
      </w:r>
      <w:r>
        <w:rPr>
          <w:rFonts w:ascii="宋体" w:hAnsi="宋体"/>
        </w:rPr>
        <w:t xml:space="preserve">            修改类型：</w:t>
      </w:r>
      <w:r>
        <w:rPr>
          <w:rFonts w:hint="eastAsia" w:ascii="宋体" w:hAnsi="宋体"/>
        </w:rPr>
        <w:t>修改</w:t>
      </w:r>
    </w:p>
    <w:p w14:paraId="61B3CF1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原文：7.6.1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spacing w:val="-2"/>
          <w:sz w:val="24"/>
        </w:rPr>
        <w:t>主办方</w:t>
      </w:r>
      <w:r>
        <w:rPr>
          <w:sz w:val="24"/>
        </w:rPr>
        <w:t>的名义提交。</w:t>
      </w:r>
    </w:p>
    <w:p w14:paraId="1D83D090">
      <w:pPr>
        <w:pBdr>
          <w:bottom w:val="single" w:color="auto" w:sz="6" w:space="1"/>
        </w:pBdr>
        <w:spacing w:line="480" w:lineRule="auto"/>
        <w:ind w:firstLine="537" w:firstLineChars="224"/>
      </w:pPr>
      <w:r>
        <w:t>7.6.2 中标人不能按本章第 7.6.1 项要求提交履约保证金的，视为放弃中标，其投标保证金不予退还，给招标人造成的损失超过投标保证金数额的，中标人还应当对超过部分予以赔偿</w:t>
      </w:r>
    </w:p>
    <w:p w14:paraId="58BCD244">
      <w:pPr>
        <w:pBdr>
          <w:bottom w:val="single" w:color="auto" w:sz="6" w:space="1"/>
        </w:pBdr>
        <w:spacing w:line="480" w:lineRule="auto"/>
        <w:ind w:firstLine="537" w:firstLineChars="224"/>
      </w:pPr>
      <w:r>
        <w:rPr>
          <w:rFonts w:hint="eastAsia"/>
        </w:rPr>
        <w:t>现文：本项目不要求递交履约保证金</w:t>
      </w:r>
    </w:p>
    <w:p w14:paraId="548CFFCE">
      <w:pPr>
        <w:spacing w:line="360" w:lineRule="auto"/>
        <w:rPr>
          <w:rFonts w:ascii="宋体" w:hAnsi="宋体"/>
        </w:rPr>
      </w:pPr>
      <w:r>
        <w:rPr>
          <w:rFonts w:ascii="宋体" w:hAnsi="宋体"/>
        </w:rPr>
        <w:t>注：以上修改，仅限于本范本中有可供选择条款的情形。</w:t>
      </w:r>
    </w:p>
    <w:p w14:paraId="4CBFD184">
      <w:pPr>
        <w:spacing w:line="360" w:lineRule="auto"/>
        <w:rPr>
          <w:rFonts w:ascii="宋体" w:hAnsi="宋体"/>
        </w:rPr>
      </w:pPr>
      <w:r>
        <w:rPr>
          <w:rFonts w:ascii="宋体" w:hAnsi="宋体"/>
        </w:rPr>
        <w:t>（以下无正文）</w:t>
      </w:r>
    </w:p>
    <w:p w14:paraId="303A9D91">
      <w:pPr>
        <w:pStyle w:val="4"/>
        <w:spacing w:before="120" w:after="120"/>
        <w:rPr>
          <w:rFonts w:cs="宋体"/>
        </w:rPr>
        <w:sectPr>
          <w:pgSz w:w="11905" w:h="16838"/>
          <w:pgMar w:top="1417" w:right="1417" w:bottom="1417" w:left="1417" w:header="992" w:footer="992" w:gutter="0"/>
          <w:cols w:space="720" w:num="1"/>
        </w:sectPr>
      </w:pPr>
    </w:p>
    <w:p w14:paraId="1C8911B3">
      <w:pPr>
        <w:pStyle w:val="4"/>
        <w:spacing w:before="120" w:after="120"/>
        <w:rPr>
          <w:rFonts w:cs="宋体"/>
          <w:b w:val="0"/>
        </w:rPr>
      </w:pPr>
      <w:bookmarkStart w:id="20" w:name="_Toc28936"/>
      <w:r>
        <w:rPr>
          <w:rFonts w:cs="宋体"/>
        </w:rPr>
        <w:t>1.总则</w:t>
      </w:r>
      <w:bookmarkEnd w:id="20"/>
    </w:p>
    <w:p w14:paraId="4B9FDC6D">
      <w:pPr>
        <w:spacing w:line="360" w:lineRule="auto"/>
        <w:ind w:firstLine="240" w:firstLineChars="100"/>
        <w:rPr>
          <w:rFonts w:ascii="宋体" w:hAnsi="宋体" w:cs="宋体"/>
        </w:rPr>
      </w:pPr>
      <w:bookmarkStart w:id="21" w:name="bookmark21"/>
      <w:bookmarkEnd w:id="21"/>
      <w:r>
        <w:rPr>
          <w:rFonts w:ascii="宋体" w:hAnsi="宋体" w:cs="宋体"/>
        </w:rPr>
        <w:t>1.1 招标项目概况</w:t>
      </w:r>
    </w:p>
    <w:p w14:paraId="185BA88C">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1.1.1 根据《中华人民共和国招标投标法》、《中华人民共和国招标投标法实施条例》等有关法律、法规和规章的规定，本招标项目已具备招标条件，现对监理进行招标。</w:t>
      </w:r>
    </w:p>
    <w:p w14:paraId="1AB80E25">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1.1.2 招标人：见投标人须知前附表。</w:t>
      </w:r>
    </w:p>
    <w:p w14:paraId="4F17D243">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1.1.3 招标代理机构：见投标人须知前附表。</w:t>
      </w:r>
    </w:p>
    <w:p w14:paraId="22C2E226">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1.1.4 招标项目名称：见投标人须知前附表。</w:t>
      </w:r>
    </w:p>
    <w:p w14:paraId="469BDFBC">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1.1.5 项目建设地点：见投标人须知前附表。</w:t>
      </w:r>
    </w:p>
    <w:p w14:paraId="770D68B3">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1.1.6 项目建设规模：见投标人须知前附表。</w:t>
      </w:r>
    </w:p>
    <w:p w14:paraId="2F75C42E">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1.1.7 工程项目施工预计开工日期和建设周期：见投标人须知前附表。</w:t>
      </w:r>
    </w:p>
    <w:p w14:paraId="6D49548D">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1.1.8 建筑安装工程费/工程概算：见投标人须知前附表。</w:t>
      </w:r>
    </w:p>
    <w:p w14:paraId="2D76FF23">
      <w:pPr>
        <w:spacing w:line="360" w:lineRule="auto"/>
        <w:ind w:firstLine="240" w:firstLineChars="100"/>
        <w:rPr>
          <w:rFonts w:ascii="宋体" w:hAnsi="宋体" w:cs="宋体"/>
        </w:rPr>
      </w:pPr>
      <w:bookmarkStart w:id="22" w:name="bookmark22"/>
      <w:bookmarkEnd w:id="22"/>
      <w:r>
        <w:rPr>
          <w:rFonts w:ascii="宋体" w:hAnsi="宋体" w:cs="宋体"/>
        </w:rPr>
        <w:t>1.2 招标项目的资金来源和落实情况</w:t>
      </w:r>
    </w:p>
    <w:p w14:paraId="2136A7D0">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1.2.1 资金来源及比例：见投标人须知前附表。</w:t>
      </w:r>
    </w:p>
    <w:p w14:paraId="7B8827F9">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1.2.2 资金落实情况：见投标人须知前附表。</w:t>
      </w:r>
    </w:p>
    <w:p w14:paraId="1043A533">
      <w:pPr>
        <w:spacing w:line="360" w:lineRule="auto"/>
        <w:ind w:firstLine="240" w:firstLineChars="100"/>
        <w:rPr>
          <w:rFonts w:ascii="宋体" w:hAnsi="宋体" w:cs="宋体"/>
        </w:rPr>
      </w:pPr>
      <w:bookmarkStart w:id="23" w:name="bookmark23"/>
      <w:bookmarkEnd w:id="23"/>
      <w:r>
        <w:rPr>
          <w:rFonts w:ascii="宋体" w:hAnsi="宋体" w:cs="宋体"/>
        </w:rPr>
        <w:t>1.3 招标范围、监理服务期限和质量标准</w:t>
      </w:r>
    </w:p>
    <w:p w14:paraId="3CBE14E0">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1.3.1 招标范围：见投标人须知前附表。</w:t>
      </w:r>
    </w:p>
    <w:p w14:paraId="737E671F">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1.3.2 监理服务期限：见投标人须知前附表。</w:t>
      </w:r>
    </w:p>
    <w:p w14:paraId="11026BE0">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1.3.3 质量标准：见投标人须知前附表。</w:t>
      </w:r>
    </w:p>
    <w:p w14:paraId="492ED3F5">
      <w:pPr>
        <w:spacing w:line="360" w:lineRule="auto"/>
        <w:ind w:firstLine="240" w:firstLineChars="100"/>
        <w:rPr>
          <w:rFonts w:ascii="宋体" w:hAnsi="宋体" w:cs="宋体"/>
        </w:rPr>
      </w:pPr>
      <w:bookmarkStart w:id="24" w:name="bookmark24"/>
      <w:bookmarkEnd w:id="24"/>
      <w:r>
        <w:rPr>
          <w:rFonts w:ascii="宋体" w:hAnsi="宋体" w:cs="宋体"/>
        </w:rPr>
        <w:t>1.4 投标人资格要求</w:t>
      </w:r>
    </w:p>
    <w:p w14:paraId="6392F6CF">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1.4.1 投标人应具备承担本招标项目资质条件、能力和信誉：</w:t>
      </w:r>
    </w:p>
    <w:p w14:paraId="0B524CC7">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（1）资质要求：见投标人须知前附表；</w:t>
      </w:r>
    </w:p>
    <w:p w14:paraId="46A1E5EF">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（2）财务要求：见投标人须知前附表；</w:t>
      </w:r>
    </w:p>
    <w:p w14:paraId="6897C22F">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（3）业绩要求：见投标人须知前附表；</w:t>
      </w:r>
    </w:p>
    <w:p w14:paraId="7C7BC72F">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（4）信誉要求：见投标人须知前附表；</w:t>
      </w:r>
    </w:p>
    <w:p w14:paraId="70FDF158">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（5）总监理工程师的资格要求：应当具备工程注册监理工程师执业资格，具体要求见投标人须知前附表；</w:t>
      </w:r>
    </w:p>
    <w:p w14:paraId="13CC4443">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（6）其他主要人员要求：见投标人须知前附表。</w:t>
      </w:r>
    </w:p>
    <w:p w14:paraId="1E1B318C">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（7）试验检测仪器设备要求：见投标人须知前附表。</w:t>
      </w:r>
    </w:p>
    <w:p w14:paraId="6FBC86E9">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sz w:val="24"/>
        </w:rPr>
      </w:pPr>
      <w:r>
        <w:rPr>
          <w:sz w:val="24"/>
        </w:rPr>
        <w:t>（8）其他要求：见投标人须知前附表。需要提交的相关证明材料见本章第 3.5 款的规定。</w:t>
      </w:r>
    </w:p>
    <w:p w14:paraId="420484C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rPr>
      </w:pPr>
      <w:r>
        <w:rPr>
          <w:strike/>
          <w:sz w:val="24"/>
        </w:rPr>
        <w:t>1.4.2 投标人须知前附表规定接受联合体投标的，联合体除应符合本章第 1.4.1 项和投标人须知前附表的要求外，还应遵守以下规定：</w:t>
      </w:r>
    </w:p>
    <w:p w14:paraId="740CCD0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rPr>
      </w:pPr>
      <w:r>
        <w:rPr>
          <w:strike/>
          <w:sz w:val="24"/>
        </w:rPr>
        <w:t>（1）联合体各方应按招标文件提供的格式签订联合体协议书，明确联合体</w:t>
      </w:r>
      <w:r>
        <w:rPr>
          <w:strike/>
          <w:spacing w:val="-2"/>
          <w:sz w:val="24"/>
        </w:rPr>
        <w:t>主办方</w:t>
      </w:r>
      <w:r>
        <w:rPr>
          <w:strike/>
          <w:sz w:val="24"/>
        </w:rPr>
        <w:t>和各方权利义务，并承诺就中标项目向招标人承担连带责任；</w:t>
      </w:r>
    </w:p>
    <w:p w14:paraId="439DD96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rPr>
      </w:pPr>
      <w:r>
        <w:rPr>
          <w:strike/>
          <w:sz w:val="24"/>
        </w:rPr>
        <w:t>（2）由同一专业的单位组成的联合体，按照资质等级较低的单位确定资质等级；</w:t>
      </w:r>
    </w:p>
    <w:p w14:paraId="4354820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rPr>
      </w:pPr>
      <w:r>
        <w:rPr>
          <w:strike/>
          <w:sz w:val="24"/>
        </w:rPr>
        <w:t>（3）联合体各方不得再以自己名义单独或参加其他联合体在本招标项目中投标，否则各相关投标均无效。</w:t>
      </w:r>
    </w:p>
    <w:p w14:paraId="6188F91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1.4.3 投标人不得存在下列情形之一：</w:t>
      </w:r>
    </w:p>
    <w:p w14:paraId="025422C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（1）为招标人不具有独立法人资格的附属机构（单位）；</w:t>
      </w:r>
    </w:p>
    <w:p w14:paraId="02ABB11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（2）与招标人存在利害关系且可能影响招标公正性；</w:t>
      </w:r>
    </w:p>
    <w:p w14:paraId="541E0D1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（3）与本招标项目的其他投标人为同一个单位负责人；</w:t>
      </w:r>
    </w:p>
    <w:p w14:paraId="750C828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（4）与本招标项目的其他投标人存在控股、管理关系；</w:t>
      </w:r>
    </w:p>
    <w:p w14:paraId="577B9BE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（5）为本招标项目的代建人；</w:t>
      </w:r>
    </w:p>
    <w:p w14:paraId="141E336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（6）为本招标项目的招标代理机构；</w:t>
      </w:r>
    </w:p>
    <w:p w14:paraId="2EFE3BF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（7）与本招标项目的代建人或招标代理机构同为一个法定代表人；</w:t>
      </w:r>
    </w:p>
    <w:p w14:paraId="7126422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（8）与本招标项目的代建人或招标代理机构存在控股或参股关系；</w:t>
      </w:r>
    </w:p>
    <w:p w14:paraId="52EE2B5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（9）与本招标项目的检测机构、建设</w:t>
      </w:r>
      <w:r>
        <w:rPr>
          <w:rFonts w:hint="eastAsia"/>
          <w:sz w:val="24"/>
        </w:rPr>
        <w:t>、施工</w:t>
      </w:r>
      <w:r>
        <w:rPr>
          <w:sz w:val="24"/>
        </w:rPr>
        <w:t>单位以及建筑材料、建筑构配件和设备供应商有隶属关系或者其他利害关系有隶属关系或者其他利害关系；</w:t>
      </w:r>
    </w:p>
    <w:p w14:paraId="5915F1B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w:t>
      </w:r>
      <w:r>
        <w:rPr>
          <w:rFonts w:hint="eastAsia"/>
          <w:sz w:val="24"/>
        </w:rPr>
        <w:t>0</w:t>
      </w:r>
      <w:r>
        <w:rPr>
          <w:sz w:val="24"/>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116CC3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w:t>
      </w:r>
      <w:r>
        <w:rPr>
          <w:rFonts w:hint="eastAsia"/>
          <w:sz w:val="24"/>
        </w:rPr>
        <w:t>1</w:t>
      </w:r>
      <w:r>
        <w:rPr>
          <w:sz w:val="24"/>
        </w:rPr>
        <w:t>）被责令停产停业、暂扣或者吊销许可证、暂扣或者吊销执照的（本项事实应当以根据《中华人民共和国行政处罚法》依法作出并已经生效的行政处罚决定为认定依据。）；</w:t>
      </w:r>
    </w:p>
    <w:p w14:paraId="2189451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w:t>
      </w:r>
      <w:r>
        <w:rPr>
          <w:rFonts w:hint="eastAsia"/>
          <w:sz w:val="24"/>
        </w:rPr>
        <w:t>2</w:t>
      </w:r>
      <w:r>
        <w:rPr>
          <w:sz w:val="24"/>
        </w:rPr>
        <w:t>）进入清算程序，或被宣布破产，或其他丧失履约能力的情形；</w:t>
      </w:r>
    </w:p>
    <w:p w14:paraId="31EA5F6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w:t>
      </w:r>
      <w:r>
        <w:rPr>
          <w:rFonts w:hint="eastAsia"/>
          <w:sz w:val="24"/>
        </w:rPr>
        <w:t>3</w:t>
      </w:r>
      <w:r>
        <w:rPr>
          <w:sz w:val="24"/>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1DA411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w:t>
      </w:r>
      <w:r>
        <w:rPr>
          <w:rFonts w:hint="eastAsia"/>
          <w:sz w:val="24"/>
        </w:rPr>
        <w:t>4</w:t>
      </w:r>
      <w:r>
        <w:rPr>
          <w:sz w:val="24"/>
        </w:rPr>
        <w:t>）法律法规规定的其他情形。</w:t>
      </w:r>
    </w:p>
    <w:p w14:paraId="22AC6064">
      <w:pPr>
        <w:spacing w:line="360" w:lineRule="auto"/>
        <w:ind w:firstLine="240" w:firstLineChars="100"/>
        <w:rPr>
          <w:rFonts w:ascii="宋体" w:hAnsi="宋体" w:cs="宋体"/>
        </w:rPr>
      </w:pPr>
      <w:bookmarkStart w:id="25" w:name="bookmark25"/>
      <w:bookmarkEnd w:id="25"/>
      <w:r>
        <w:rPr>
          <w:rFonts w:ascii="宋体" w:hAnsi="宋体" w:cs="宋体"/>
        </w:rPr>
        <w:t>1.5 费用承担</w:t>
      </w:r>
    </w:p>
    <w:p w14:paraId="4CC595A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投标人准备和参加投标活动发生的费用自理。</w:t>
      </w:r>
    </w:p>
    <w:p w14:paraId="4F8EB752">
      <w:pPr>
        <w:spacing w:line="360" w:lineRule="auto"/>
        <w:ind w:firstLine="240" w:firstLineChars="100"/>
        <w:rPr>
          <w:rFonts w:ascii="宋体" w:hAnsi="宋体" w:cs="宋体"/>
        </w:rPr>
      </w:pPr>
      <w:bookmarkStart w:id="26" w:name="bookmark26"/>
      <w:bookmarkEnd w:id="26"/>
      <w:r>
        <w:rPr>
          <w:rFonts w:ascii="宋体" w:hAnsi="宋体" w:cs="宋体"/>
        </w:rPr>
        <w:t>1.6 保密</w:t>
      </w:r>
    </w:p>
    <w:p w14:paraId="43741F5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参与招标投标活动的各方应对招标文件和投标文件中的商业和技术等秘密保密，否则应承 担相应的法律责任。</w:t>
      </w:r>
    </w:p>
    <w:p w14:paraId="6771CE22">
      <w:pPr>
        <w:spacing w:line="360" w:lineRule="auto"/>
        <w:ind w:firstLine="240" w:firstLineChars="100"/>
        <w:rPr>
          <w:rFonts w:ascii="宋体" w:hAnsi="宋体" w:cs="宋体"/>
        </w:rPr>
      </w:pPr>
      <w:bookmarkStart w:id="27" w:name="bookmark27"/>
      <w:bookmarkEnd w:id="27"/>
      <w:r>
        <w:rPr>
          <w:rFonts w:ascii="宋体" w:hAnsi="宋体" w:cs="宋体"/>
        </w:rPr>
        <w:t>1.7 语言文字</w:t>
      </w:r>
    </w:p>
    <w:p w14:paraId="2CADC46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招标投标文件使用的语言文字为中文。专用术语使用外文的，应附有中文注释。</w:t>
      </w:r>
    </w:p>
    <w:p w14:paraId="2AF6BD23">
      <w:pPr>
        <w:spacing w:line="360" w:lineRule="auto"/>
        <w:ind w:firstLine="240" w:firstLineChars="100"/>
        <w:rPr>
          <w:rFonts w:ascii="宋体" w:hAnsi="宋体" w:cs="宋体"/>
        </w:rPr>
      </w:pPr>
      <w:bookmarkStart w:id="28" w:name="bookmark28"/>
      <w:bookmarkEnd w:id="28"/>
      <w:r>
        <w:rPr>
          <w:rFonts w:ascii="宋体" w:hAnsi="宋体" w:cs="宋体"/>
        </w:rPr>
        <w:t>1.8 计量单位</w:t>
      </w:r>
    </w:p>
    <w:p w14:paraId="646740B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所有计量均采用中华人民共和国法定计量单位。</w:t>
      </w:r>
    </w:p>
    <w:p w14:paraId="08576C8A">
      <w:pPr>
        <w:spacing w:line="360" w:lineRule="auto"/>
        <w:ind w:firstLine="240" w:firstLineChars="100"/>
        <w:rPr>
          <w:rFonts w:ascii="宋体" w:hAnsi="宋体" w:cs="宋体"/>
        </w:rPr>
      </w:pPr>
      <w:bookmarkStart w:id="29" w:name="bookmark29"/>
      <w:bookmarkEnd w:id="29"/>
      <w:r>
        <w:rPr>
          <w:rFonts w:ascii="宋体" w:hAnsi="宋体" w:cs="宋体"/>
        </w:rPr>
        <w:t>1.9 踏勘现场</w:t>
      </w:r>
    </w:p>
    <w:p w14:paraId="01C1CED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1.9.1 投标人须知前附表规定组织踏勘现场的，招标人按投标人须知前附表规定的时间、地 点组织投标人踏勘项目现场。部分投标人未按时参加踏勘现场的，不影响踏勘现场的正常进行。</w:t>
      </w:r>
    </w:p>
    <w:p w14:paraId="7171D22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1.9.2 投标人踏勘现场发生的费用自理。</w:t>
      </w:r>
    </w:p>
    <w:p w14:paraId="6478F29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1.9.3 除招标人的原因外，投标人自行负责在踏勘现场中所发生的人员伤亡和财产损失。</w:t>
      </w:r>
    </w:p>
    <w:p w14:paraId="33E7A81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1.9.4 招标人在踏勘现场中介绍的工程场地和相关的周边环境情况，供投标人在编制投标文 件时参考，招标人不对投标人据此作出的判断和决策负责。</w:t>
      </w:r>
    </w:p>
    <w:p w14:paraId="3DA6D7E3">
      <w:pPr>
        <w:spacing w:line="360" w:lineRule="auto"/>
        <w:ind w:firstLine="240" w:firstLineChars="100"/>
        <w:rPr>
          <w:rFonts w:ascii="宋体" w:hAnsi="宋体" w:cs="宋体"/>
        </w:rPr>
      </w:pPr>
      <w:bookmarkStart w:id="30" w:name="bookmark30"/>
      <w:bookmarkEnd w:id="30"/>
      <w:r>
        <w:rPr>
          <w:rFonts w:ascii="宋体" w:hAnsi="宋体" w:cs="宋体"/>
        </w:rPr>
        <w:t>1.10 投标预备会</w:t>
      </w:r>
    </w:p>
    <w:p w14:paraId="15F13C8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rPr>
      </w:pPr>
      <w:r>
        <w:rPr>
          <w:sz w:val="24"/>
        </w:rPr>
        <w:t>1.10.1 投标人须知前附表规定召开投标预备会的，招标人按投标人须知前附表规定的时间和地点召开投标预备会，澄清投标人提出的问题。</w:t>
      </w:r>
    </w:p>
    <w:p w14:paraId="081DAA6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rPr>
      </w:pPr>
      <w:r>
        <w:rPr>
          <w:sz w:val="24"/>
        </w:rPr>
        <w:t>1.10.2 投标人应按投标人须知前附表规定的时间和形式将提出的问题送达招标人，以便招标人在会议期间澄清。</w:t>
      </w:r>
    </w:p>
    <w:p w14:paraId="3784D09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rPr>
      </w:pPr>
      <w:r>
        <w:rPr>
          <w:sz w:val="24"/>
        </w:rPr>
        <w:t>1.10.3 投标预备会后，招标人将对投标人所提问题的澄清，以投标人须知前附表规定的形式通知所有潜在投标人。该澄清内容为招标文件的组成部分。</w:t>
      </w:r>
    </w:p>
    <w:p w14:paraId="0295591A">
      <w:pPr>
        <w:spacing w:line="360" w:lineRule="auto"/>
        <w:ind w:firstLine="240" w:firstLineChars="100"/>
        <w:rPr>
          <w:rFonts w:ascii="宋体" w:hAnsi="宋体" w:cs="宋体"/>
        </w:rPr>
      </w:pPr>
      <w:bookmarkStart w:id="31" w:name="bookmark31"/>
      <w:bookmarkEnd w:id="31"/>
      <w:r>
        <w:rPr>
          <w:rFonts w:ascii="宋体" w:hAnsi="宋体" w:cs="宋体"/>
        </w:rPr>
        <w:t>1.11 分包</w:t>
      </w:r>
    </w:p>
    <w:p w14:paraId="1F2BEEF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本项目严禁分包。</w:t>
      </w:r>
    </w:p>
    <w:p w14:paraId="187962D7">
      <w:pPr>
        <w:spacing w:line="360" w:lineRule="auto"/>
        <w:ind w:firstLine="240" w:firstLineChars="100"/>
        <w:rPr>
          <w:rFonts w:ascii="宋体" w:hAnsi="宋体" w:cs="宋体"/>
        </w:rPr>
      </w:pPr>
      <w:bookmarkStart w:id="32" w:name="bookmark32"/>
      <w:bookmarkEnd w:id="32"/>
      <w:r>
        <w:rPr>
          <w:rFonts w:ascii="宋体" w:hAnsi="宋体" w:cs="宋体"/>
        </w:rPr>
        <w:t>1.12 响应和偏差</w:t>
      </w:r>
    </w:p>
    <w:p w14:paraId="300FA98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1.12.1 投标文件应当对招标文件的实质性要求和条件作出满足性或更有利于招标人的响应，否则，投标人的投标将被否决。实质性要求和条件见投标人须知前附表。</w:t>
      </w:r>
    </w:p>
    <w:p w14:paraId="1D1B0FC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1.12.2 投标人应根据招标文件的要求提供投标监理大纲等内容以对招标文件作出响应。</w:t>
      </w:r>
    </w:p>
    <w:p w14:paraId="445A0AB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1.12.3 投标人须知前附表允许投标文件偏离招标文件某些要求的，偏差应当符合招标文件规定的偏差范围和幅度。</w:t>
      </w:r>
    </w:p>
    <w:p w14:paraId="67F941F4">
      <w:pPr>
        <w:pStyle w:val="4"/>
        <w:spacing w:before="120" w:after="120"/>
        <w:rPr>
          <w:rFonts w:cs="宋体"/>
        </w:rPr>
      </w:pPr>
      <w:bookmarkStart w:id="33" w:name="bookmark33"/>
      <w:bookmarkEnd w:id="33"/>
      <w:bookmarkStart w:id="34" w:name="_Toc8823"/>
      <w:r>
        <w:rPr>
          <w:rFonts w:cs="宋体"/>
        </w:rPr>
        <w:t>2.招标文件</w:t>
      </w:r>
      <w:bookmarkEnd w:id="34"/>
    </w:p>
    <w:p w14:paraId="3E2DF21D">
      <w:pPr>
        <w:spacing w:line="360" w:lineRule="auto"/>
        <w:ind w:firstLine="240" w:firstLineChars="100"/>
        <w:rPr>
          <w:rFonts w:ascii="宋体" w:hAnsi="宋体" w:cs="宋体"/>
        </w:rPr>
      </w:pPr>
      <w:bookmarkStart w:id="35" w:name="bookmark34"/>
      <w:bookmarkEnd w:id="35"/>
      <w:r>
        <w:rPr>
          <w:rFonts w:hint="eastAsia" w:ascii="宋体" w:hAnsi="宋体" w:cs="宋体"/>
        </w:rPr>
        <w:t>2.1 招标文件的组成</w:t>
      </w:r>
    </w:p>
    <w:p w14:paraId="6AE9B86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本招标文件包括：</w:t>
      </w:r>
    </w:p>
    <w:p w14:paraId="6F2D8FF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（1）招标公告；</w:t>
      </w:r>
    </w:p>
    <w:p w14:paraId="249B7E9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（2）投标人须知；</w:t>
      </w:r>
    </w:p>
    <w:p w14:paraId="16EEC16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（3）评标办法；</w:t>
      </w:r>
    </w:p>
    <w:p w14:paraId="476968F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（4）合同条款及格式；</w:t>
      </w:r>
    </w:p>
    <w:p w14:paraId="5389E1A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（5）委托人要求；</w:t>
      </w:r>
    </w:p>
    <w:p w14:paraId="09A658E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（6）投标文件格式；</w:t>
      </w:r>
    </w:p>
    <w:p w14:paraId="0FC27EC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（7）投标人须知前附表规定的其他资料。</w:t>
      </w:r>
    </w:p>
    <w:p w14:paraId="46CDA74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根据本章第1.10款、第2.2款和第2.3款对招标文件所作的澄清、修改，构成招标文件的组成部分。</w:t>
      </w:r>
    </w:p>
    <w:p w14:paraId="7916279D">
      <w:pPr>
        <w:spacing w:line="360" w:lineRule="auto"/>
        <w:ind w:firstLine="240" w:firstLineChars="100"/>
        <w:rPr>
          <w:rFonts w:ascii="宋体" w:hAnsi="宋体" w:cs="宋体"/>
        </w:rPr>
      </w:pPr>
      <w:bookmarkStart w:id="36" w:name="bookmark35"/>
      <w:bookmarkEnd w:id="36"/>
      <w:bookmarkStart w:id="37" w:name="bookmark38"/>
      <w:bookmarkEnd w:id="37"/>
      <w:r>
        <w:rPr>
          <w:rFonts w:ascii="宋体" w:hAnsi="宋体" w:cs="宋体"/>
        </w:rPr>
        <w:t>2.2  招标文件的答疑</w:t>
      </w:r>
    </w:p>
    <w:p w14:paraId="28FC2E2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2.2.1  投标人应仔细阅读和检查招标文件的全部内容。如有疑问，应按投标人须知前附表规定的时间和形式将提出的问题送达招标人，要求招标人对招标文件予以澄清。</w:t>
      </w:r>
    </w:p>
    <w:p w14:paraId="709527C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2.2.2</w:t>
      </w:r>
      <w:r>
        <w:rPr>
          <w:rFonts w:hint="eastAsia"/>
          <w:sz w:val="24"/>
        </w:rPr>
        <w:t xml:space="preserve">  </w:t>
      </w:r>
      <w:r>
        <w:rPr>
          <w:sz w:val="24"/>
        </w:rPr>
        <w:t>招标答疑采用网上答疑方式进行。投标人若对招标文件有疑问的，通过</w:t>
      </w:r>
      <w:r>
        <w:rPr>
          <w:rFonts w:hint="eastAsia"/>
          <w:sz w:val="24"/>
        </w:rPr>
        <w:t>广州交易集团有限公司（广州公共资源交易中心）</w:t>
      </w:r>
      <w:r>
        <w:rPr>
          <w:sz w:val="24"/>
        </w:rPr>
        <w:t>网站提交，应按照</w:t>
      </w:r>
      <w:r>
        <w:rPr>
          <w:rFonts w:hint="eastAsia"/>
          <w:sz w:val="24"/>
        </w:rPr>
        <w:t>广州交易集团有限公司（广州公共资源交易中心）</w:t>
      </w:r>
      <w:r>
        <w:rPr>
          <w:sz w:val="24"/>
        </w:rPr>
        <w:t>网站关于全流程电子化项目的相关指南进行操作。提问一律不得署名。</w:t>
      </w:r>
    </w:p>
    <w:p w14:paraId="077AB4A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2.2.3  招标答疑会会议纪要将在提交投标文件截止时间 15 日前在</w:t>
      </w:r>
      <w:r>
        <w:rPr>
          <w:rFonts w:hint="eastAsia"/>
          <w:sz w:val="24"/>
        </w:rPr>
        <w:t>广州交易集团有限公司（广州公共资源交易中心）</w:t>
      </w:r>
      <w:r>
        <w:rPr>
          <w:sz w:val="24"/>
        </w:rPr>
        <w:t>网站“项目答疑纪要”专区公开发布。答疑纪要一经在</w:t>
      </w:r>
      <w:r>
        <w:rPr>
          <w:rFonts w:hint="eastAsia"/>
          <w:sz w:val="24"/>
        </w:rPr>
        <w:t>广州交易集团有限公司（广州公共资源交易中心）</w:t>
      </w:r>
      <w:r>
        <w:rPr>
          <w:sz w:val="24"/>
        </w:rPr>
        <w:t>网站发布，视作已发放给所有投标人。</w:t>
      </w:r>
    </w:p>
    <w:p w14:paraId="27DFF92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2.2.4  招标答疑会会议纪要是招标文件的组成部分，对投标人起约束作用。</w:t>
      </w:r>
    </w:p>
    <w:p w14:paraId="2985574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2.2.5  若招标答疑会会议纪要与招标文件有矛盾时，以</w:t>
      </w:r>
      <w:r>
        <w:rPr>
          <w:rFonts w:hint="eastAsia"/>
          <w:sz w:val="24"/>
        </w:rPr>
        <w:t>广州交易集团有限公司（广州公共资源交易中心）</w:t>
      </w:r>
      <w:r>
        <w:rPr>
          <w:sz w:val="24"/>
        </w:rPr>
        <w:t>网站最后发布的答疑纪要为准。</w:t>
      </w:r>
    </w:p>
    <w:p w14:paraId="4050FB8C">
      <w:pPr>
        <w:spacing w:line="360" w:lineRule="auto"/>
        <w:ind w:firstLine="480" w:firstLineChars="200"/>
        <w:rPr>
          <w:rFonts w:ascii="宋体" w:hAnsi="宋体" w:cs="宋体"/>
        </w:rPr>
      </w:pPr>
      <w:r>
        <w:rPr>
          <w:rFonts w:ascii="宋体" w:hAnsi="宋体" w:cs="宋体"/>
        </w:rPr>
        <w:t>2.3  招标文件的澄清与修改</w:t>
      </w:r>
    </w:p>
    <w:p w14:paraId="0876D20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p>
    <w:p w14:paraId="48D4BF6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2.3.1  招标文件发出后，在提交投标文件截止时间15日前，招标人可对招标文件进行必要的澄清或修改。</w:t>
      </w:r>
    </w:p>
    <w:p w14:paraId="0110701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2.3.2  招标文件的澄清或修改将在</w:t>
      </w:r>
      <w:r>
        <w:rPr>
          <w:rFonts w:hint="eastAsia"/>
          <w:sz w:val="24"/>
        </w:rPr>
        <w:t>广州交易集团有限公司（广州公共资源交易中心）</w:t>
      </w:r>
      <w:r>
        <w:rPr>
          <w:sz w:val="24"/>
        </w:rPr>
        <w:t>网站“项目答疑纪要”专区公开发布。招标文件的澄清或修改一经在</w:t>
      </w:r>
      <w:r>
        <w:rPr>
          <w:rFonts w:hint="eastAsia"/>
          <w:sz w:val="24"/>
        </w:rPr>
        <w:t>广州交易集团有限公司（广州公共资源交易中心）</w:t>
      </w:r>
      <w:r>
        <w:rPr>
          <w:sz w:val="24"/>
        </w:rPr>
        <w:t>网站发布，视作已发放给所有投标人，以</w:t>
      </w:r>
      <w:r>
        <w:rPr>
          <w:rFonts w:hint="eastAsia"/>
          <w:sz w:val="24"/>
        </w:rPr>
        <w:t>广州交易集团有限公司（广州公共资源交易中心）</w:t>
      </w:r>
      <w:r>
        <w:rPr>
          <w:sz w:val="24"/>
        </w:rPr>
        <w:t>网站发布时间作为送达时间。</w:t>
      </w:r>
    </w:p>
    <w:p w14:paraId="330A25A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2.3.3  招标文件的澄清或修改是招标文件的组成部分，对投标人起约束作用。</w:t>
      </w:r>
    </w:p>
    <w:p w14:paraId="3EEB180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2.3.4  招标文件的澄清或修改均以</w:t>
      </w:r>
      <w:r>
        <w:rPr>
          <w:rFonts w:hint="eastAsia"/>
          <w:sz w:val="24"/>
        </w:rPr>
        <w:t>广州交易集团有限公司（广州公共资源交易中心）</w:t>
      </w:r>
      <w:r>
        <w:rPr>
          <w:sz w:val="24"/>
        </w:rPr>
        <w:t>网站发布的内容为准。当招标文件的澄清、修改、补充等在同一内容的表述不一致时，以</w:t>
      </w:r>
      <w:r>
        <w:rPr>
          <w:rFonts w:hint="eastAsia"/>
          <w:sz w:val="24"/>
        </w:rPr>
        <w:t>广州交易集团有限公司（广州公共资源交易中心）</w:t>
      </w:r>
      <w:r>
        <w:rPr>
          <w:sz w:val="24"/>
        </w:rPr>
        <w:t>网站最后发布的内容为准。</w:t>
      </w:r>
    </w:p>
    <w:p w14:paraId="2895359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spacing w:val="-11"/>
          <w:sz w:val="24"/>
        </w:rPr>
        <w:t>，即表示投标时间不延长。</w:t>
      </w:r>
    </w:p>
    <w:p w14:paraId="1660E4B1">
      <w:pPr>
        <w:pStyle w:val="4"/>
        <w:spacing w:before="120" w:after="120"/>
        <w:rPr>
          <w:rFonts w:cs="宋体"/>
        </w:rPr>
      </w:pPr>
      <w:bookmarkStart w:id="38" w:name="_Toc20483"/>
      <w:r>
        <w:rPr>
          <w:rFonts w:cs="宋体"/>
        </w:rPr>
        <w:t>3.投标文件</w:t>
      </w:r>
      <w:bookmarkEnd w:id="38"/>
    </w:p>
    <w:p w14:paraId="64FE6B97">
      <w:pPr>
        <w:spacing w:line="360" w:lineRule="auto"/>
        <w:ind w:firstLine="240" w:firstLineChars="100"/>
        <w:rPr>
          <w:rFonts w:ascii="宋体" w:hAnsi="宋体" w:cs="宋体"/>
        </w:rPr>
      </w:pPr>
      <w:bookmarkStart w:id="39" w:name="bookmark39"/>
      <w:bookmarkEnd w:id="39"/>
      <w:r>
        <w:rPr>
          <w:rFonts w:ascii="宋体" w:hAnsi="宋体" w:cs="宋体"/>
        </w:rPr>
        <w:t>3.1 投标文件的组成</w:t>
      </w:r>
    </w:p>
    <w:p w14:paraId="3731460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3.1.1 投标文件应包括下列内容：</w:t>
      </w:r>
    </w:p>
    <w:p w14:paraId="096FB89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（1）投标函及投标函附录；</w:t>
      </w:r>
    </w:p>
    <w:p w14:paraId="5FBE76C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（2）法定代表人身份证明或授权委托书；</w:t>
      </w:r>
    </w:p>
    <w:p w14:paraId="1E34B2C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rPr>
      </w:pPr>
      <w:r>
        <w:rPr>
          <w:strike/>
          <w:sz w:val="24"/>
        </w:rPr>
        <w:t>（3）联合体协议书；</w:t>
      </w:r>
    </w:p>
    <w:p w14:paraId="59DA2ED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w:t>
      </w:r>
      <w:r>
        <w:rPr>
          <w:rFonts w:hint="eastAsia" w:cs="宋体"/>
          <w:sz w:val="24"/>
          <w:u w:val="single"/>
        </w:rPr>
        <w:t>《关于投标保证金的承诺》</w:t>
      </w:r>
      <w:r>
        <w:rPr>
          <w:sz w:val="24"/>
        </w:rPr>
        <w:t>；</w:t>
      </w:r>
    </w:p>
    <w:p w14:paraId="06B69D4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rPr>
      </w:pPr>
      <w:r>
        <w:rPr>
          <w:strike/>
          <w:sz w:val="24"/>
        </w:rPr>
        <w:t>（5）监理报酬清单；</w:t>
      </w:r>
    </w:p>
    <w:p w14:paraId="0C12926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（6）资格审查资料；</w:t>
      </w:r>
    </w:p>
    <w:p w14:paraId="5E227B7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（7）监理大纲；</w:t>
      </w:r>
    </w:p>
    <w:p w14:paraId="68C9643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（8）投标人须知前附表规定的其他资料。投标人在评标过程中作出的符合法律法规和招标文件规定的澄清确认，构成投标文件的组成部分。</w:t>
      </w:r>
    </w:p>
    <w:p w14:paraId="76FC4A4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3.1.2 投标人须知前附表规定不接受联合体投标的，或投标人没有组成联合体的，投标文件不包括本章第 3.1.1（3）目所指的联合体协议书。</w:t>
      </w:r>
    </w:p>
    <w:p w14:paraId="2CAC36E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3.1.3 投标人须知前附表未要求提交投标保证金的，投标文件不包括本章第 3.1.1（4）目所指的投标保证金。</w:t>
      </w:r>
    </w:p>
    <w:p w14:paraId="45262B92">
      <w:pPr>
        <w:spacing w:line="360" w:lineRule="auto"/>
        <w:ind w:firstLine="240" w:firstLineChars="100"/>
        <w:rPr>
          <w:rFonts w:ascii="宋体" w:hAnsi="宋体" w:cs="宋体"/>
        </w:rPr>
      </w:pPr>
      <w:bookmarkStart w:id="40" w:name="bookmark40"/>
      <w:bookmarkEnd w:id="40"/>
      <w:r>
        <w:rPr>
          <w:rFonts w:ascii="宋体" w:hAnsi="宋体" w:cs="宋体"/>
        </w:rPr>
        <w:t>3.2 投标报价</w:t>
      </w:r>
    </w:p>
    <w:p w14:paraId="57960E5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3.2.1 投标报价应包括国家规定的增值税税金，除投标人须知前附表另有规定外，增值税税金按一般计税方法计算。投标人应按第六章“投标文件格式”的要求在投标函中进行报价</w:t>
      </w:r>
      <w:r>
        <w:rPr>
          <w:strike/>
          <w:sz w:val="24"/>
        </w:rPr>
        <w:t>并填写监理报酬清单</w:t>
      </w:r>
      <w:r>
        <w:rPr>
          <w:sz w:val="24"/>
        </w:rPr>
        <w:t>。</w:t>
      </w:r>
    </w:p>
    <w:p w14:paraId="3EAFDF4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3.2.2 投标人应充分了解该项目的总体情况以及影响投标报价的其他要素。</w:t>
      </w:r>
    </w:p>
    <w:p w14:paraId="39DEF23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3.2.3 本项目的报价方式见投标人须知前附表。投标人在投标截止时间前修改投标函中的投标报价总额，</w:t>
      </w:r>
      <w:r>
        <w:rPr>
          <w:strike/>
          <w:sz w:val="24"/>
        </w:rPr>
        <w:t>应同时修改投标文件“监理报酬清单”中的相应报价。</w:t>
      </w:r>
      <w:r>
        <w:rPr>
          <w:sz w:val="24"/>
        </w:rPr>
        <w:t>此修改须符合本章第4.3款的有关要求。</w:t>
      </w:r>
    </w:p>
    <w:p w14:paraId="345B8AF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3.2.4 招标人设有最高投标限价的，投标人的投标报价不得超过最高投标限价，最高投标限价在投标人须知前附表中载明。</w:t>
      </w:r>
    </w:p>
    <w:p w14:paraId="3828385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3.2.5 投标报价的其他要求见投标人须知前附表。</w:t>
      </w:r>
    </w:p>
    <w:p w14:paraId="1A209262">
      <w:pPr>
        <w:spacing w:line="360" w:lineRule="auto"/>
        <w:ind w:firstLine="240" w:firstLineChars="100"/>
        <w:rPr>
          <w:rFonts w:ascii="宋体" w:hAnsi="宋体" w:cs="宋体"/>
        </w:rPr>
      </w:pPr>
      <w:bookmarkStart w:id="41" w:name="bookmark41"/>
      <w:bookmarkEnd w:id="41"/>
      <w:r>
        <w:rPr>
          <w:rFonts w:ascii="宋体" w:hAnsi="宋体" w:cs="宋体"/>
        </w:rPr>
        <w:t>3.3 投标有效期</w:t>
      </w:r>
    </w:p>
    <w:p w14:paraId="17C4170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3.3.1 除投标人须知前附表另有规定外，投标有效期为 90 天。</w:t>
      </w:r>
    </w:p>
    <w:p w14:paraId="7F75107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3.3.2 在投标有效期内，投标人撤销投标文件的，应承担招标文件和法律规定的责任。</w:t>
      </w:r>
    </w:p>
    <w:p w14:paraId="69777BF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3.3.3 出现特殊情况需要延长投标有效期的，招标人以书面形式通知所有投标人延长投标有效期。投标人应予以书面答复，同意延长的</w:t>
      </w:r>
      <w:r>
        <w:rPr>
          <w:strike/>
          <w:sz w:val="24"/>
        </w:rPr>
        <w:t>，应相应延长其投标保证金的有效期，但</w:t>
      </w:r>
      <w:r>
        <w:rPr>
          <w:sz w:val="24"/>
        </w:rPr>
        <w:t>不得要求 或被允许修改其投标文件；投标人拒绝延长的，其投标失效</w:t>
      </w:r>
      <w:r>
        <w:rPr>
          <w:strike/>
          <w:sz w:val="24"/>
        </w:rPr>
        <w:t>，但投标人有权收回其投标保证金及以现金或者支票形式递交的投标保证金的银行同期存款利息</w:t>
      </w:r>
      <w:r>
        <w:rPr>
          <w:sz w:val="24"/>
        </w:rPr>
        <w:t>。</w:t>
      </w:r>
    </w:p>
    <w:p w14:paraId="1F5F7E73">
      <w:pPr>
        <w:spacing w:line="360" w:lineRule="auto"/>
        <w:ind w:firstLine="240" w:firstLineChars="100"/>
        <w:rPr>
          <w:rFonts w:ascii="宋体" w:hAnsi="宋体" w:cs="宋体"/>
        </w:rPr>
      </w:pPr>
      <w:bookmarkStart w:id="42" w:name="bookmark42"/>
      <w:bookmarkEnd w:id="42"/>
      <w:r>
        <w:rPr>
          <w:rFonts w:ascii="宋体" w:hAnsi="宋体" w:cs="宋体"/>
        </w:rPr>
        <w:t>3.4  投标保证金</w:t>
      </w:r>
    </w:p>
    <w:p w14:paraId="76DBC82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3.4.1本项目免收投标保证金，投标人提供《关于投标保证金的承诺》（详见投标文件格式）。</w:t>
      </w:r>
    </w:p>
    <w:p w14:paraId="7D34729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3.4.2对于投标人已提供《关于投标保证金的承诺》，若投标人存在3.4.</w:t>
      </w:r>
      <w:r>
        <w:rPr>
          <w:rFonts w:hint="eastAsia"/>
          <w:sz w:val="24"/>
        </w:rPr>
        <w:t>3</w:t>
      </w:r>
      <w:r>
        <w:rPr>
          <w:sz w:val="24"/>
        </w:rPr>
        <w:t>条款所列情形，该投标人应在发现存在3.4.</w:t>
      </w:r>
      <w:r>
        <w:rPr>
          <w:rFonts w:hint="eastAsia"/>
          <w:sz w:val="24"/>
        </w:rPr>
        <w:t>3</w:t>
      </w:r>
      <w:r>
        <w:rPr>
          <w:sz w:val="24"/>
        </w:rPr>
        <w:t>条款所列情形之日起5个工作日内按投标人须知前附表第3.4.1项所述金额补交投标保证金。若未按要求补交投标保证金的将暂停其参与招标人后续工程投标，直至完成补交手续为止。</w:t>
      </w:r>
    </w:p>
    <w:p w14:paraId="698F624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w:t>
      </w:r>
      <w:r>
        <w:rPr>
          <w:rFonts w:hint="eastAsia"/>
          <w:sz w:val="24"/>
        </w:rPr>
        <w:t>3</w:t>
      </w:r>
      <w:r>
        <w:rPr>
          <w:sz w:val="24"/>
        </w:rPr>
        <w:t>如有下列情况之一的，招标人可以不予退还投标保证金（是否退还投标保证金由招标人在招标文件中规定）：</w:t>
      </w:r>
    </w:p>
    <w:p w14:paraId="0408ED2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w:t>
      </w:r>
      <w:r>
        <w:rPr>
          <w:rFonts w:hint="eastAsia"/>
          <w:sz w:val="24"/>
        </w:rPr>
        <w:t>3</w:t>
      </w:r>
      <w:r>
        <w:rPr>
          <w:sz w:val="24"/>
        </w:rPr>
        <w:t>.1因投标人原因造成投标文件未解密的；</w:t>
      </w:r>
    </w:p>
    <w:p w14:paraId="7B70F18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w:t>
      </w:r>
      <w:r>
        <w:rPr>
          <w:rFonts w:hint="eastAsia"/>
          <w:sz w:val="24"/>
        </w:rPr>
        <w:t>3</w:t>
      </w:r>
      <w:r>
        <w:rPr>
          <w:sz w:val="24"/>
        </w:rPr>
        <w:t>.2投标人在投标有效期内撤销投标文件；</w:t>
      </w:r>
    </w:p>
    <w:p w14:paraId="54BB3B4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w:t>
      </w:r>
      <w:r>
        <w:rPr>
          <w:rFonts w:hint="eastAsia"/>
          <w:sz w:val="24"/>
        </w:rPr>
        <w:t>3</w:t>
      </w:r>
      <w:r>
        <w:rPr>
          <w:sz w:val="24"/>
        </w:rPr>
        <w:t>.3中标人未能在规定期限内按要求提交履约担保；</w:t>
      </w:r>
    </w:p>
    <w:p w14:paraId="01A19AD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3.4.</w:t>
      </w:r>
      <w:r>
        <w:rPr>
          <w:rFonts w:hint="eastAsia"/>
          <w:sz w:val="24"/>
        </w:rPr>
        <w:t>3</w:t>
      </w:r>
      <w:r>
        <w:rPr>
          <w:sz w:val="24"/>
        </w:rPr>
        <w:t>.4中标人未能在规定期限内签署合同协议。</w:t>
      </w:r>
    </w:p>
    <w:p w14:paraId="2901086D">
      <w:pPr>
        <w:spacing w:line="360" w:lineRule="auto"/>
        <w:ind w:firstLine="240" w:firstLineChars="100"/>
        <w:rPr>
          <w:rFonts w:ascii="宋体" w:hAnsi="宋体" w:cs="宋体"/>
        </w:rPr>
      </w:pPr>
      <w:bookmarkStart w:id="43" w:name="bookmark44"/>
      <w:bookmarkEnd w:id="43"/>
      <w:bookmarkStart w:id="44" w:name="bookmark43"/>
      <w:bookmarkEnd w:id="44"/>
      <w:r>
        <w:rPr>
          <w:rFonts w:ascii="宋体" w:hAnsi="宋体" w:cs="宋体"/>
        </w:rPr>
        <w:t>3.5 资格审查资料</w:t>
      </w:r>
    </w:p>
    <w:p w14:paraId="233A8E9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除投标人须知前附表另有规定外，投标人应按下列规定提供资格审查资料，以证明其满足本章第 1.4 款规定的资质、财务、业绩、信誉等要求。</w:t>
      </w:r>
    </w:p>
    <w:p w14:paraId="0DFC80B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3.5.1 投标人参加投标的意思表达清楚，投标人代表被授权有效；（按招标文件第六章所附格式内容要求签署的《投标函》）。</w:t>
      </w:r>
    </w:p>
    <w:p w14:paraId="2EFA223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3.5.2 法定代表人证明书、授权委托书。</w:t>
      </w:r>
    </w:p>
    <w:p w14:paraId="67AF173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3.5.3 营业执照或事业单位法人证书等。</w:t>
      </w:r>
    </w:p>
    <w:p w14:paraId="53D1F13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3.5.4 监理资质证书。</w:t>
      </w:r>
    </w:p>
    <w:p w14:paraId="0DAF78A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3.5.5 总监理工程师资料。</w:t>
      </w:r>
    </w:p>
    <w:p w14:paraId="0135CD8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u w:val="single"/>
        </w:rPr>
      </w:pPr>
      <w:r>
        <w:rPr>
          <w:strike/>
          <w:sz w:val="24"/>
          <w:u w:val="single"/>
        </w:rPr>
        <w:t>3.5.6 类似工程业绩资料。</w:t>
      </w:r>
    </w:p>
    <w:p w14:paraId="2BD0E81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3.5.7 投标人须在广州交易集团有限公司(广州公共资源交易中心)办理企业信息登记及拟担任本工程总监理工程师须是本企业信息登记中的在册人员，提供证明文件或网上查询结果打印页面。</w:t>
      </w:r>
    </w:p>
    <w:p w14:paraId="70A5AB8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3.5.8 投标人声明。</w:t>
      </w:r>
    </w:p>
    <w:p w14:paraId="7614561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u w:val="single"/>
        </w:rPr>
        <w:t>3.5.9其他满足投标人资格要求的证明材料（如有）</w:t>
      </w:r>
      <w:r>
        <w:rPr>
          <w:sz w:val="24"/>
        </w:rPr>
        <w:t>。</w:t>
      </w:r>
    </w:p>
    <w:p w14:paraId="1622C2EE">
      <w:pPr>
        <w:spacing w:line="360" w:lineRule="auto"/>
        <w:ind w:firstLine="240" w:firstLineChars="100"/>
        <w:rPr>
          <w:rFonts w:ascii="宋体" w:hAnsi="宋体" w:cs="宋体"/>
        </w:rPr>
      </w:pPr>
      <w:bookmarkStart w:id="45" w:name="bookmark45"/>
      <w:bookmarkEnd w:id="45"/>
      <w:r>
        <w:rPr>
          <w:rFonts w:ascii="宋体" w:hAnsi="宋体" w:cs="宋体"/>
        </w:rPr>
        <w:t>3.6 备选投标方案</w:t>
      </w:r>
    </w:p>
    <w:p w14:paraId="5CC05F8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3.6.1 除投标人须知前附表规定允许外，投标人不得递交备选投标方案，否则其投标将被否决。</w:t>
      </w:r>
    </w:p>
    <w:p w14:paraId="73E58D4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238B85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3.6.3 投标人提供两个或两个以上投标报价，或者在投标文件中提供一个报价，但同时提供两个或两个以上</w:t>
      </w:r>
      <w:r>
        <w:rPr>
          <w:rFonts w:hint="eastAsia"/>
          <w:sz w:val="24"/>
        </w:rPr>
        <w:t>投标</w:t>
      </w:r>
      <w:r>
        <w:rPr>
          <w:sz w:val="24"/>
        </w:rPr>
        <w:t>方案的，视为提供备选方案。</w:t>
      </w:r>
    </w:p>
    <w:p w14:paraId="52804C5E">
      <w:pPr>
        <w:spacing w:line="360" w:lineRule="auto"/>
        <w:ind w:firstLine="240" w:firstLineChars="100"/>
        <w:rPr>
          <w:rFonts w:ascii="宋体" w:hAnsi="宋体" w:cs="宋体"/>
        </w:rPr>
      </w:pPr>
      <w:bookmarkStart w:id="46" w:name="bookmark46"/>
      <w:bookmarkEnd w:id="46"/>
      <w:r>
        <w:rPr>
          <w:rFonts w:ascii="宋体" w:hAnsi="宋体" w:cs="宋体"/>
        </w:rPr>
        <w:t>3.7 投标文件的编制</w:t>
      </w:r>
    </w:p>
    <w:p w14:paraId="6A69FB1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3.7.1  投标文件应按第六章“投标文件格式”进行编写， 如有必要，可以增加附页， 作为投标文件的组成部分。其中，投标函附录在满足招标文件实质性要求的基础上，可以提出比招标文件要求更有利于招标人的承诺。</w:t>
      </w:r>
    </w:p>
    <w:p w14:paraId="3B720E5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3.7.2  投标文件应当对招标文件有关监理服务期限、投标有效期、委托人要求、招标范围等实质性内容作出响应。</w:t>
      </w:r>
    </w:p>
    <w:p w14:paraId="2BEE471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Pr>
          <w:rFonts w:hint="eastAsia"/>
          <w:kern w:val="2"/>
          <w:sz w:val="24"/>
        </w:rPr>
        <w:t>（</w:t>
      </w:r>
      <w:r>
        <w:rPr>
          <w:rFonts w:ascii="Calibri" w:hAnsi="Calibri"/>
          <w:kern w:val="2"/>
          <w:sz w:val="24"/>
        </w:rPr>
        <w:t>可靠的电子签名与手写签名或者盖章具有同等的法律效力</w:t>
      </w:r>
      <w:r>
        <w:rPr>
          <w:rFonts w:hint="eastAsia"/>
          <w:kern w:val="2"/>
          <w:sz w:val="24"/>
        </w:rPr>
        <w:t>）</w:t>
      </w:r>
      <w:r>
        <w:rPr>
          <w:sz w:val="24"/>
        </w:rPr>
        <w:t>。按照</w:t>
      </w:r>
      <w:r>
        <w:rPr>
          <w:rFonts w:hint="eastAsia"/>
          <w:sz w:val="24"/>
        </w:rPr>
        <w:t>广州交易集团有限公司（广州公共资源交易中心）</w:t>
      </w:r>
      <w:r>
        <w:rPr>
          <w:sz w:val="24"/>
        </w:rPr>
        <w:t>网站关于全流程电子化项目的相关指南进行操作。</w:t>
      </w:r>
    </w:p>
    <w:p w14:paraId="252A1E1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rPr>
      </w:pPr>
      <w:r>
        <w:rPr>
          <w:strike/>
          <w:sz w:val="24"/>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16A016B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 xml:space="preserve">3.7.5 </w:t>
      </w:r>
      <w:r>
        <w:rPr>
          <w:rFonts w:hint="eastAsia"/>
          <w:sz w:val="24"/>
        </w:rPr>
        <w:t xml:space="preserve"> </w:t>
      </w:r>
      <w:r>
        <w:rPr>
          <w:sz w:val="24"/>
        </w:rPr>
        <w:t>投标文件应按照</w:t>
      </w:r>
      <w:r>
        <w:rPr>
          <w:rFonts w:hint="eastAsia"/>
          <w:sz w:val="24"/>
        </w:rPr>
        <w:t>广州交易集团有限公司（广州公共资源交易中心）</w:t>
      </w:r>
      <w:r>
        <w:rPr>
          <w:sz w:val="24"/>
        </w:rPr>
        <w:t>网站关于全流程电子化项目的相关指南进行编制。如因不按上述编排要求编制而所引起系统无法检索、读取相关信息时，其后果将由投标人自行承担。</w:t>
      </w:r>
    </w:p>
    <w:p w14:paraId="7FDD5EFA">
      <w:pPr>
        <w:pStyle w:val="4"/>
        <w:spacing w:before="120" w:after="120"/>
        <w:rPr>
          <w:rFonts w:cs="宋体"/>
        </w:rPr>
      </w:pPr>
      <w:bookmarkStart w:id="47" w:name="bookmark47"/>
      <w:bookmarkEnd w:id="47"/>
      <w:bookmarkStart w:id="48" w:name="_Toc18372"/>
      <w:r>
        <w:rPr>
          <w:rFonts w:cs="宋体"/>
        </w:rPr>
        <w:t>4.投标</w:t>
      </w:r>
      <w:bookmarkEnd w:id="48"/>
    </w:p>
    <w:p w14:paraId="6655C2A9">
      <w:pPr>
        <w:spacing w:line="360" w:lineRule="auto"/>
        <w:ind w:firstLine="240" w:firstLineChars="100"/>
        <w:rPr>
          <w:rFonts w:ascii="宋体" w:hAnsi="宋体" w:cs="宋体"/>
        </w:rPr>
      </w:pPr>
      <w:bookmarkStart w:id="49" w:name="bookmark48"/>
      <w:bookmarkEnd w:id="49"/>
      <w:r>
        <w:rPr>
          <w:rFonts w:ascii="宋体" w:hAnsi="宋体" w:cs="宋体"/>
        </w:rPr>
        <w:t>4.1  投标文件的加密</w:t>
      </w:r>
    </w:p>
    <w:p w14:paraId="0D09330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bookmarkStart w:id="50" w:name="bookmark49"/>
      <w:bookmarkEnd w:id="50"/>
      <w:r>
        <w:rPr>
          <w:sz w:val="24"/>
        </w:rPr>
        <w:t xml:space="preserve">4.1.1 </w:t>
      </w:r>
      <w:r>
        <w:rPr>
          <w:rFonts w:hint="eastAsia"/>
          <w:sz w:val="24"/>
        </w:rPr>
        <w:t xml:space="preserve"> </w:t>
      </w:r>
      <w:r>
        <w:rPr>
          <w:sz w:val="24"/>
        </w:rPr>
        <w:t>递交的电子投标文件（不含备用光盘）必须进行加密。按照</w:t>
      </w:r>
      <w:r>
        <w:rPr>
          <w:rFonts w:hint="eastAsia"/>
          <w:sz w:val="24"/>
        </w:rPr>
        <w:t>广州交易集团有限公司（广州公共资源交易中心）</w:t>
      </w:r>
      <w:r>
        <w:rPr>
          <w:sz w:val="24"/>
        </w:rPr>
        <w:t>网站关于全流程电子化项目的相关指南进行操作。</w:t>
      </w:r>
    </w:p>
    <w:p w14:paraId="01E9C39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4.1.2  未按要求加密的投标文件，</w:t>
      </w:r>
      <w:r>
        <w:rPr>
          <w:rFonts w:hint="eastAsia"/>
          <w:sz w:val="24"/>
        </w:rPr>
        <w:t>广州交易集团有限公司（广州公共资源交易中心）</w:t>
      </w:r>
      <w:r>
        <w:rPr>
          <w:sz w:val="24"/>
        </w:rPr>
        <w:t>网站交易平台将予以拒收。</w:t>
      </w:r>
    </w:p>
    <w:p w14:paraId="5737FE25">
      <w:pPr>
        <w:spacing w:line="360" w:lineRule="auto"/>
        <w:ind w:firstLine="240" w:firstLineChars="100"/>
        <w:rPr>
          <w:rFonts w:ascii="宋体" w:hAnsi="宋体" w:cs="宋体"/>
        </w:rPr>
      </w:pPr>
      <w:r>
        <w:rPr>
          <w:rFonts w:ascii="宋体" w:hAnsi="宋体" w:cs="宋体"/>
        </w:rPr>
        <w:t>4.2  投标文件的递交</w:t>
      </w:r>
    </w:p>
    <w:p w14:paraId="307CD51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bookmarkStart w:id="51" w:name="bookmark50"/>
      <w:bookmarkEnd w:id="51"/>
      <w:r>
        <w:rPr>
          <w:sz w:val="24"/>
        </w:rPr>
        <w:t>4.2.1  投标人应在投标人须知前附表规定的投标截止时间前，通过</w:t>
      </w:r>
      <w:r>
        <w:rPr>
          <w:rFonts w:hint="eastAsia"/>
          <w:sz w:val="24"/>
        </w:rPr>
        <w:t>广州交易集团有限公司（广州公共资源交易中心）</w:t>
      </w:r>
      <w:r>
        <w:rPr>
          <w:sz w:val="24"/>
        </w:rPr>
        <w:t>网站交易平台递交电子投标文件。</w:t>
      </w:r>
    </w:p>
    <w:p w14:paraId="7E38866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4.2.2  投标人完成电子投标文件上传后，</w:t>
      </w:r>
      <w:r>
        <w:rPr>
          <w:rFonts w:hint="eastAsia"/>
          <w:sz w:val="24"/>
        </w:rPr>
        <w:t>广州交易集团有限公司（广州公共资源交易中心）</w:t>
      </w:r>
      <w:r>
        <w:rPr>
          <w:sz w:val="24"/>
        </w:rPr>
        <w:t>网站交易平台即时向投标人发出递交回执通知。递交时间以递交回执通知载明的传输完成时间为准。</w:t>
      </w:r>
    </w:p>
    <w:p w14:paraId="67F731D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4.2.3  逾期送达的电子投标文件，</w:t>
      </w:r>
      <w:r>
        <w:rPr>
          <w:rFonts w:hint="eastAsia"/>
          <w:sz w:val="24"/>
        </w:rPr>
        <w:t>广州交易集团有限公司（广州公共资源交易中心）</w:t>
      </w:r>
      <w:r>
        <w:rPr>
          <w:sz w:val="24"/>
        </w:rPr>
        <w:t>网站交易平台将予以拒收。</w:t>
      </w:r>
    </w:p>
    <w:p w14:paraId="791445F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4.2.4  投标截止前，招标人拒绝接收符合条件的投标文件，投标人可向招标监督机构投诉。</w:t>
      </w:r>
      <w:bookmarkStart w:id="52" w:name="_bookmark83"/>
      <w:bookmarkEnd w:id="52"/>
    </w:p>
    <w:p w14:paraId="5AEE2653">
      <w:pPr>
        <w:spacing w:line="360" w:lineRule="auto"/>
        <w:ind w:firstLine="240" w:firstLineChars="100"/>
        <w:rPr>
          <w:rFonts w:ascii="宋体" w:hAnsi="宋体" w:cs="宋体"/>
        </w:rPr>
      </w:pPr>
      <w:r>
        <w:rPr>
          <w:rFonts w:ascii="宋体" w:hAnsi="宋体" w:cs="宋体"/>
        </w:rPr>
        <w:t>4.3  投标文件的修改与撤回</w:t>
      </w:r>
    </w:p>
    <w:p w14:paraId="0CB62D0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4.3.1  在规定的投标截止时间前， 投标人可以修改或撤回已递交的投标文件， 但应以书面形式通知招标人。</w:t>
      </w:r>
    </w:p>
    <w:p w14:paraId="550838F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4.3.2  投标人修改或撤回已递交投标文件,需在交易平台发出修改或撤回通知，并按要求加盖电子印章。电子招标投标交易平台收到通知后，即时向投标人发出确认回执通知。</w:t>
      </w:r>
    </w:p>
    <w:p w14:paraId="7A7DB30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4.3.3  修改后再次递交的，按第4.2项的规定执行。</w:t>
      </w:r>
    </w:p>
    <w:p w14:paraId="1368B93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4.3.4  在投标截止时间之后，投标人不得补充、修改和更换投标文件。</w:t>
      </w:r>
    </w:p>
    <w:p w14:paraId="666BA379">
      <w:pPr>
        <w:pStyle w:val="4"/>
        <w:spacing w:before="120" w:after="120"/>
        <w:rPr>
          <w:rFonts w:cs="宋体"/>
        </w:rPr>
      </w:pPr>
      <w:bookmarkStart w:id="53" w:name="bookmark51"/>
      <w:bookmarkEnd w:id="53"/>
      <w:bookmarkStart w:id="54" w:name="_Toc19841"/>
      <w:r>
        <w:rPr>
          <w:rFonts w:cs="宋体"/>
        </w:rPr>
        <w:t>5.开标</w:t>
      </w:r>
      <w:bookmarkEnd w:id="54"/>
    </w:p>
    <w:p w14:paraId="67EEFF62">
      <w:pPr>
        <w:spacing w:line="360" w:lineRule="auto"/>
        <w:ind w:firstLine="240" w:firstLineChars="100"/>
        <w:rPr>
          <w:rFonts w:ascii="宋体" w:hAnsi="宋体" w:cs="宋体"/>
        </w:rPr>
      </w:pPr>
      <w:bookmarkStart w:id="55" w:name="bookmark52"/>
      <w:bookmarkEnd w:id="55"/>
      <w:bookmarkStart w:id="56" w:name="bookmark53"/>
      <w:bookmarkEnd w:id="56"/>
      <w:r>
        <w:rPr>
          <w:rFonts w:ascii="宋体" w:hAnsi="宋体" w:cs="宋体"/>
        </w:rPr>
        <w:t>5.1 开标时间和地点</w:t>
      </w:r>
    </w:p>
    <w:p w14:paraId="66E21F4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bookmarkStart w:id="57" w:name="bookmark54"/>
      <w:bookmarkEnd w:id="57"/>
      <w:r>
        <w:rPr>
          <w:sz w:val="24"/>
        </w:rPr>
        <w:t>5.1.1  招标人按投标须知前附表规定的时间和地点公开开标。截标后，开标开始时间因故推迟的，相关评标信息仍以原定的开标开始时间的信息为准。</w:t>
      </w:r>
    </w:p>
    <w:p w14:paraId="4A74CE2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BB28FFE">
      <w:pPr>
        <w:spacing w:line="360" w:lineRule="auto"/>
        <w:ind w:firstLine="240" w:firstLineChars="100"/>
        <w:rPr>
          <w:rFonts w:ascii="宋体" w:hAnsi="宋体" w:cs="宋体"/>
        </w:rPr>
      </w:pPr>
      <w:r>
        <w:rPr>
          <w:rFonts w:ascii="宋体" w:hAnsi="宋体" w:cs="宋体"/>
        </w:rPr>
        <w:t>5.2 开标程序</w:t>
      </w:r>
    </w:p>
    <w:p w14:paraId="26D80BB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bookmarkStart w:id="58" w:name="bookmark55"/>
      <w:bookmarkEnd w:id="58"/>
      <w:r>
        <w:rPr>
          <w:sz w:val="24"/>
        </w:rPr>
        <w:t>5.2.1   在投标截止时间后</w:t>
      </w:r>
      <w:r>
        <w:rPr>
          <w:sz w:val="24"/>
          <w:u w:val="single"/>
        </w:rPr>
        <w:t>半小时</w:t>
      </w:r>
      <w:r>
        <w:rPr>
          <w:sz w:val="24"/>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43259C5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5.2.2  按开标记录表规定的内容进行唱标。</w:t>
      </w:r>
    </w:p>
    <w:p w14:paraId="436D2C6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5.2.3  投标人代表、招标人代表、监标人、记录人等有关人员在开标记录上签字确认；若有关人员不签字的，不影响开标程序。</w:t>
      </w:r>
    </w:p>
    <w:p w14:paraId="6DEF964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5.2.4  开标结束。</w:t>
      </w:r>
    </w:p>
    <w:p w14:paraId="15DCBB8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849AEA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5.2.6  开标时，两个（含两个）以上的投标人加密打包投标文件电脑机器特征码一致的，不参与下一程序，并由评标委员会否决其投标。</w:t>
      </w:r>
    </w:p>
    <w:p w14:paraId="2E518C6F">
      <w:pPr>
        <w:spacing w:line="360" w:lineRule="auto"/>
        <w:ind w:firstLine="240" w:firstLineChars="100"/>
        <w:rPr>
          <w:rFonts w:ascii="宋体" w:hAnsi="宋体" w:cs="宋体"/>
        </w:rPr>
      </w:pPr>
      <w:r>
        <w:rPr>
          <w:rFonts w:ascii="宋体" w:hAnsi="宋体" w:cs="宋体"/>
        </w:rPr>
        <w:t>5.3 开标异议</w:t>
      </w:r>
    </w:p>
    <w:p w14:paraId="7AC564E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5.3.1  参加现场开标的投标人对开标结果有异议的，应当在开标现场提出，招标人应当当场作出答复，并制作记录。</w:t>
      </w:r>
    </w:p>
    <w:p w14:paraId="71DE390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54E3918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5.3.3  投标人未参加开标或在规定的时间内未提出异议的，视为对开标无异议。</w:t>
      </w:r>
    </w:p>
    <w:p w14:paraId="34AE69D1">
      <w:pPr>
        <w:pStyle w:val="4"/>
        <w:spacing w:before="120" w:after="120"/>
        <w:rPr>
          <w:rFonts w:ascii="Microsoft JhengHei" w:hAnsi="Microsoft JhengHei" w:eastAsia="Microsoft JhengHei"/>
          <w:b w:val="0"/>
          <w:sz w:val="30"/>
        </w:rPr>
      </w:pPr>
      <w:bookmarkStart w:id="59" w:name="bookmark56"/>
      <w:bookmarkEnd w:id="59"/>
      <w:bookmarkStart w:id="60" w:name="_Toc27326"/>
      <w:r>
        <w:rPr>
          <w:rFonts w:cs="宋体"/>
        </w:rPr>
        <w:t>6.评标</w:t>
      </w:r>
      <w:bookmarkEnd w:id="60"/>
    </w:p>
    <w:p w14:paraId="659D7DF5">
      <w:pPr>
        <w:spacing w:line="360" w:lineRule="auto"/>
        <w:ind w:firstLine="240" w:firstLineChars="100"/>
        <w:rPr>
          <w:rFonts w:ascii="宋体" w:hAnsi="宋体" w:cs="宋体"/>
        </w:rPr>
      </w:pPr>
      <w:bookmarkStart w:id="61" w:name="bookmark57"/>
      <w:bookmarkEnd w:id="61"/>
      <w:r>
        <w:rPr>
          <w:rFonts w:ascii="宋体" w:hAnsi="宋体" w:cs="宋体"/>
        </w:rPr>
        <w:t>6.1 评标委员会</w:t>
      </w:r>
    </w:p>
    <w:p w14:paraId="764BCA1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 xml:space="preserve">6.1.1 </w:t>
      </w:r>
      <w:r>
        <w:rPr>
          <w:rFonts w:cs="宋体"/>
          <w:sz w:val="24"/>
        </w:rPr>
        <w:t>评标由招标人依法组建的评标委员会负责。评标委员会由有关技术、经济等方面的专家和招标人代表组成，专家从</w:t>
      </w:r>
      <w:r>
        <w:rPr>
          <w:rFonts w:cs="宋体"/>
          <w:sz w:val="24"/>
          <w:u w:val="single"/>
        </w:rPr>
        <w:t>广东省综合评标评审专家库</w:t>
      </w:r>
      <w:r>
        <w:rPr>
          <w:rFonts w:cs="宋体"/>
          <w:sz w:val="24"/>
        </w:rPr>
        <w:t>中抽取。评标委员会成员人数以及技术、经济等方面专家的确定方式见投标人须知前附表</w:t>
      </w:r>
      <w:r>
        <w:rPr>
          <w:sz w:val="24"/>
        </w:rPr>
        <w:t>。</w:t>
      </w:r>
    </w:p>
    <w:p w14:paraId="1140E90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6.1.2 评标委员会成员有下列情形之一的，应当回避：</w:t>
      </w:r>
    </w:p>
    <w:p w14:paraId="7C1F64A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（1）投标人或投标人主要负责人的近亲属；</w:t>
      </w:r>
    </w:p>
    <w:p w14:paraId="5ABFD34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（2）项目主管部门或者行政监督部门的人员；</w:t>
      </w:r>
    </w:p>
    <w:p w14:paraId="243171F6">
      <w:pPr>
        <w:spacing w:line="360" w:lineRule="auto"/>
        <w:ind w:firstLine="480" w:firstLineChars="200"/>
      </w:pPr>
      <w:r>
        <w:rPr>
          <w:rFonts w:hint="eastAsia"/>
        </w:rPr>
        <w:t>（3）招标人或投标人的工作人员、退休或离职未满3年的人员；</w:t>
      </w:r>
    </w:p>
    <w:p w14:paraId="53F145C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w:t>
      </w:r>
      <w:r>
        <w:rPr>
          <w:rFonts w:hint="eastAsia"/>
          <w:sz w:val="24"/>
        </w:rPr>
        <w:t>4</w:t>
      </w:r>
      <w:r>
        <w:rPr>
          <w:sz w:val="24"/>
        </w:rPr>
        <w:t>）与投标人有经济利益关系，可能影响对投标公正评审的；</w:t>
      </w:r>
    </w:p>
    <w:p w14:paraId="371F7BD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w:t>
      </w:r>
      <w:r>
        <w:rPr>
          <w:rFonts w:hint="eastAsia"/>
          <w:sz w:val="24"/>
        </w:rPr>
        <w:t>5</w:t>
      </w:r>
      <w:r>
        <w:rPr>
          <w:sz w:val="24"/>
        </w:rPr>
        <w:t>）曾因在招标、评标以及其他与招标投标有关活动中从事违法行为而受过行政处罚或刑事处罚的；</w:t>
      </w:r>
    </w:p>
    <w:p w14:paraId="73F4D53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w:t>
      </w:r>
      <w:r>
        <w:rPr>
          <w:rFonts w:hint="eastAsia"/>
          <w:sz w:val="24"/>
        </w:rPr>
        <w:t>6</w:t>
      </w:r>
      <w:r>
        <w:rPr>
          <w:sz w:val="24"/>
        </w:rPr>
        <w:t>）与投标人有其他利害关系。</w:t>
      </w:r>
    </w:p>
    <w:p w14:paraId="7C4C58F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18D2B944">
      <w:pPr>
        <w:spacing w:line="360" w:lineRule="auto"/>
        <w:ind w:firstLine="240" w:firstLineChars="100"/>
        <w:rPr>
          <w:rFonts w:ascii="宋体" w:hAnsi="宋体" w:cs="宋体"/>
        </w:rPr>
      </w:pPr>
      <w:bookmarkStart w:id="62" w:name="bookmark58"/>
      <w:bookmarkEnd w:id="62"/>
      <w:r>
        <w:rPr>
          <w:rFonts w:ascii="宋体" w:hAnsi="宋体" w:cs="宋体"/>
        </w:rPr>
        <w:t>6.2 评标原则</w:t>
      </w:r>
    </w:p>
    <w:p w14:paraId="5E388DF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评标活动遵循公平、公正、科学和择优的原则。</w:t>
      </w:r>
    </w:p>
    <w:p w14:paraId="2D8B0FFC">
      <w:pPr>
        <w:spacing w:line="360" w:lineRule="auto"/>
        <w:ind w:firstLine="240" w:firstLineChars="100"/>
        <w:rPr>
          <w:rFonts w:ascii="宋体" w:hAnsi="宋体" w:cs="宋体"/>
        </w:rPr>
      </w:pPr>
      <w:bookmarkStart w:id="63" w:name="bookmark59"/>
      <w:bookmarkEnd w:id="63"/>
      <w:r>
        <w:rPr>
          <w:rFonts w:ascii="宋体" w:hAnsi="宋体" w:cs="宋体"/>
        </w:rPr>
        <w:t>6.3 评标</w:t>
      </w:r>
    </w:p>
    <w:p w14:paraId="6897C64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6.3.1 评标委员会按照第三章“评标办法”规定的方法、评审因素、标准和程序对投标文件进 行评审。第三章“评标办法”没有规定的方法、评审因素和标准，不作为评标依据。</w:t>
      </w:r>
    </w:p>
    <w:p w14:paraId="01CBEE7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6.3.2 评标完成后，评标委员会应当向招标人提交书面评标报告和中标候选人名单。评标委员会推荐中标候选人的人数见投标人须知前附表。</w:t>
      </w:r>
    </w:p>
    <w:p w14:paraId="22F096AC">
      <w:pPr>
        <w:pStyle w:val="4"/>
        <w:spacing w:before="120" w:after="120"/>
        <w:rPr>
          <w:rFonts w:cs="宋体"/>
        </w:rPr>
      </w:pPr>
      <w:bookmarkStart w:id="64" w:name="bookmark60"/>
      <w:bookmarkEnd w:id="64"/>
      <w:bookmarkStart w:id="65" w:name="_Toc26457"/>
      <w:r>
        <w:rPr>
          <w:rFonts w:cs="宋体"/>
        </w:rPr>
        <w:t>7.合同授予</w:t>
      </w:r>
      <w:bookmarkEnd w:id="65"/>
    </w:p>
    <w:p w14:paraId="008936CD">
      <w:pPr>
        <w:spacing w:line="360" w:lineRule="auto"/>
        <w:ind w:firstLine="240" w:firstLineChars="100"/>
        <w:rPr>
          <w:rFonts w:ascii="宋体" w:hAnsi="宋体" w:cs="宋体"/>
        </w:rPr>
      </w:pPr>
      <w:bookmarkStart w:id="66" w:name="bookmark61"/>
      <w:bookmarkEnd w:id="66"/>
      <w:r>
        <w:rPr>
          <w:rFonts w:ascii="宋体" w:hAnsi="宋体" w:cs="宋体"/>
        </w:rPr>
        <w:t>7.1 中标候选人公示</w:t>
      </w:r>
    </w:p>
    <w:p w14:paraId="5640373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招标人在收到评标报告之日起3日内，按照投标人须知前附表规定的公示媒介和期限公示中标候选人，公示期不得少于3天</w:t>
      </w:r>
      <w:r>
        <w:rPr>
          <w:rFonts w:hint="eastAsia"/>
          <w:sz w:val="24"/>
        </w:rPr>
        <w:t>，最后一天应为工作日</w:t>
      </w:r>
      <w:r>
        <w:rPr>
          <w:sz w:val="24"/>
        </w:rPr>
        <w:t>。</w:t>
      </w:r>
    </w:p>
    <w:p w14:paraId="71D26543">
      <w:pPr>
        <w:spacing w:line="360" w:lineRule="auto"/>
        <w:ind w:firstLine="240" w:firstLineChars="100"/>
        <w:rPr>
          <w:rFonts w:ascii="宋体" w:hAnsi="宋体" w:cs="宋体"/>
        </w:rPr>
      </w:pPr>
      <w:bookmarkStart w:id="67" w:name="bookmark62"/>
      <w:bookmarkEnd w:id="67"/>
      <w:r>
        <w:rPr>
          <w:rFonts w:ascii="宋体" w:hAnsi="宋体" w:cs="宋体"/>
        </w:rPr>
        <w:t>7.2 评标结果异议</w:t>
      </w:r>
    </w:p>
    <w:p w14:paraId="6F52ECB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投标人或者其他利害关系人对评标结果有异议的，应当在中标候选人公示期间提出。招标人将在收到异议之日起3日内作出答复；作出答复前，将暂停招标投标活动。</w:t>
      </w:r>
    </w:p>
    <w:p w14:paraId="56E4295E">
      <w:pPr>
        <w:spacing w:line="360" w:lineRule="auto"/>
        <w:ind w:firstLine="240" w:firstLineChars="100"/>
        <w:rPr>
          <w:rFonts w:ascii="宋体" w:hAnsi="宋体" w:cs="宋体"/>
        </w:rPr>
      </w:pPr>
      <w:bookmarkStart w:id="68" w:name="bookmark63"/>
      <w:bookmarkEnd w:id="68"/>
      <w:r>
        <w:rPr>
          <w:rFonts w:ascii="宋体" w:hAnsi="宋体" w:cs="宋体"/>
        </w:rPr>
        <w:t>7.3 中标候选人履约能力审查</w:t>
      </w:r>
    </w:p>
    <w:p w14:paraId="6C415EC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中标候选人的经营、财务状况发生较大变化或存在违法行为，招标人认为可能影响其履约能力的，将在发出中标通知书前提请原评标委员会按照招标文件规定的标准和方法进行审查确认。</w:t>
      </w:r>
    </w:p>
    <w:p w14:paraId="57D1506D">
      <w:pPr>
        <w:spacing w:line="360" w:lineRule="auto"/>
        <w:ind w:firstLine="240" w:firstLineChars="100"/>
        <w:rPr>
          <w:rFonts w:ascii="宋体" w:hAnsi="宋体" w:cs="宋体"/>
        </w:rPr>
      </w:pPr>
      <w:bookmarkStart w:id="69" w:name="bookmark64"/>
      <w:bookmarkEnd w:id="69"/>
      <w:r>
        <w:rPr>
          <w:rFonts w:ascii="宋体" w:hAnsi="宋体" w:cs="宋体"/>
        </w:rPr>
        <w:t>7.4 定标</w:t>
      </w:r>
    </w:p>
    <w:p w14:paraId="59853CB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按照投标人须知前附表的规定，招标人或招标人授权的评标委员会依法确定中标人。</w:t>
      </w:r>
    </w:p>
    <w:p w14:paraId="032875E7">
      <w:pPr>
        <w:spacing w:line="360" w:lineRule="auto"/>
        <w:ind w:firstLine="240" w:firstLineChars="100"/>
        <w:rPr>
          <w:rFonts w:ascii="宋体" w:hAnsi="宋体" w:cs="宋体"/>
        </w:rPr>
      </w:pPr>
      <w:bookmarkStart w:id="70" w:name="bookmark65"/>
      <w:bookmarkEnd w:id="70"/>
      <w:r>
        <w:rPr>
          <w:rFonts w:ascii="宋体" w:hAnsi="宋体" w:cs="宋体"/>
        </w:rPr>
        <w:t>7.5 中标通知</w:t>
      </w:r>
    </w:p>
    <w:p w14:paraId="271A5B5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bookmarkStart w:id="71" w:name="bookmark66"/>
      <w:bookmarkEnd w:id="71"/>
      <w:r>
        <w:rPr>
          <w:sz w:val="24"/>
        </w:rPr>
        <w:t>7.5.1  在法规规定的时间内，招标人以书面形式向中标人发出中标通知书。在</w:t>
      </w:r>
      <w:r>
        <w:rPr>
          <w:rFonts w:hint="eastAsia"/>
          <w:sz w:val="24"/>
        </w:rPr>
        <w:t>广州交易集团有限公司（广州公共资源交易中心）</w:t>
      </w:r>
      <w:r>
        <w:rPr>
          <w:sz w:val="24"/>
        </w:rPr>
        <w:t>网和广东省招标投标监管网发布中标信息，视同将中标结果通知未中标的投标人。</w:t>
      </w:r>
    </w:p>
    <w:p w14:paraId="4B34765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7.5.2  中标通知书发出前，中标人应未被纳入失信联合惩戒名单，否则招标人将取消其中标资格。失信联合惩戒名单以“信用广州”网站公布的“</w:t>
      </w:r>
      <w:r>
        <w:rPr>
          <w:rFonts w:hint="eastAsia"/>
          <w:sz w:val="24"/>
        </w:rPr>
        <w:t>黑名单</w:t>
      </w:r>
      <w:r>
        <w:rPr>
          <w:sz w:val="24"/>
        </w:rPr>
        <w:t>”为准。</w:t>
      </w:r>
    </w:p>
    <w:p w14:paraId="72C39EE4">
      <w:pPr>
        <w:spacing w:line="360" w:lineRule="auto"/>
        <w:ind w:firstLine="240" w:firstLineChars="100"/>
        <w:rPr>
          <w:rFonts w:ascii="宋体" w:hAnsi="宋体" w:cs="宋体"/>
        </w:rPr>
      </w:pPr>
      <w:r>
        <w:rPr>
          <w:rFonts w:ascii="宋体" w:hAnsi="宋体" w:cs="宋体"/>
        </w:rPr>
        <w:t>7.6 履约保证金</w:t>
      </w:r>
    </w:p>
    <w:p w14:paraId="60E0A2F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sz w:val="24"/>
        </w:rPr>
      </w:pPr>
      <w:r>
        <w:rPr>
          <w:rFonts w:hint="eastAsia"/>
        </w:rPr>
        <w:t>本项目不要求递交履约保证金</w:t>
      </w:r>
      <w:r>
        <w:rPr>
          <w:sz w:val="24"/>
        </w:rPr>
        <w:t>。</w:t>
      </w:r>
    </w:p>
    <w:p w14:paraId="524C1280">
      <w:pPr>
        <w:pStyle w:val="10"/>
        <w:kinsoku w:val="0"/>
        <w:overflowPunct w:val="0"/>
        <w:spacing w:before="240"/>
        <w:ind w:left="0" w:firstLine="260"/>
        <w:rPr>
          <w:sz w:val="13"/>
        </w:rPr>
      </w:pPr>
    </w:p>
    <w:p w14:paraId="71310F8F">
      <w:pPr>
        <w:spacing w:line="360" w:lineRule="auto"/>
        <w:ind w:firstLine="240" w:firstLineChars="100"/>
        <w:rPr>
          <w:rFonts w:ascii="宋体" w:hAnsi="宋体" w:cs="宋体"/>
        </w:rPr>
      </w:pPr>
      <w:bookmarkStart w:id="72" w:name="bookmark67"/>
      <w:bookmarkEnd w:id="72"/>
      <w:r>
        <w:rPr>
          <w:rFonts w:ascii="宋体" w:hAnsi="宋体" w:cs="宋体"/>
        </w:rPr>
        <w:t>7.7 签订合同</w:t>
      </w:r>
    </w:p>
    <w:p w14:paraId="0CE5AD3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7.7.1 招标人和中标人应当在中标通知书发出之日起30日内，根据招标文件和中标人的投标文件订立书面合同</w:t>
      </w:r>
      <w:r>
        <w:rPr>
          <w:rFonts w:hint="eastAsia"/>
          <w:sz w:val="24"/>
        </w:rPr>
        <w:t>，并通过电子交易系统与中标人在线签订合同</w:t>
      </w:r>
      <w:r>
        <w:rPr>
          <w:sz w:val="24"/>
        </w:rPr>
        <w:t>。中标人无正当理由拒签合同，在签订合同时向招标人提出附加条件，</w:t>
      </w:r>
      <w:r>
        <w:rPr>
          <w:strike/>
          <w:sz w:val="24"/>
        </w:rPr>
        <w:t>或者不按照招标文件要求提交履约保证金的，</w:t>
      </w:r>
      <w:r>
        <w:rPr>
          <w:sz w:val="24"/>
        </w:rPr>
        <w:t>招标人有权取消其中标资格，其</w:t>
      </w:r>
      <w:r>
        <w:rPr>
          <w:rFonts w:hint="eastAsia"/>
          <w:sz w:val="24"/>
          <w:u w:val="single"/>
        </w:rPr>
        <w:t>补交的</w:t>
      </w:r>
      <w:r>
        <w:rPr>
          <w:sz w:val="24"/>
        </w:rPr>
        <w:t>投标保证金不予退还；给招标人造成的损失超过投标保证金数额的，中标人还应当对超过部分予以赔偿。</w:t>
      </w:r>
    </w:p>
    <w:p w14:paraId="371A3A7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7.7.2 发出中标通知书后，招标人无正当理由拒签合同，或者在签订合同时向中标人提出附加条件的，招标人向中标人退还投标保证金；给中标人造成损失的，还应当赔偿损失。</w:t>
      </w:r>
    </w:p>
    <w:p w14:paraId="781E83E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7.7.3 联合体中标的，联合体各方应当共同与招标人签订合同，就中标项目向招标人承担连带责任。</w:t>
      </w:r>
    </w:p>
    <w:p w14:paraId="4C1F9E23">
      <w:pPr>
        <w:pStyle w:val="4"/>
        <w:spacing w:before="120" w:after="120"/>
        <w:rPr>
          <w:rFonts w:ascii="Microsoft JhengHei" w:hAnsi="Microsoft JhengHei" w:eastAsia="Microsoft JhengHei"/>
          <w:b w:val="0"/>
          <w:sz w:val="30"/>
        </w:rPr>
      </w:pPr>
      <w:bookmarkStart w:id="73" w:name="bookmark68"/>
      <w:bookmarkEnd w:id="73"/>
      <w:bookmarkStart w:id="74" w:name="_Toc5503"/>
      <w:r>
        <w:rPr>
          <w:rFonts w:cs="宋体"/>
        </w:rPr>
        <w:t>8.纪律和监督</w:t>
      </w:r>
      <w:bookmarkEnd w:id="74"/>
    </w:p>
    <w:p w14:paraId="511B11D5">
      <w:pPr>
        <w:spacing w:line="360" w:lineRule="auto"/>
        <w:ind w:firstLine="240" w:firstLineChars="100"/>
        <w:rPr>
          <w:rFonts w:ascii="宋体" w:hAnsi="宋体" w:cs="宋体"/>
        </w:rPr>
      </w:pPr>
      <w:bookmarkStart w:id="75" w:name="bookmark69"/>
      <w:bookmarkEnd w:id="75"/>
      <w:r>
        <w:rPr>
          <w:rFonts w:ascii="宋体" w:hAnsi="宋体" w:cs="宋体"/>
        </w:rPr>
        <w:t>8.1 对招标人的纪律要求</w:t>
      </w:r>
    </w:p>
    <w:p w14:paraId="3D1BC98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招标人不得泄露招标投标活动中应当保密的情况和资料，不得与投标人串通损害国家利益、社会公共利益或者他人合法权益。</w:t>
      </w:r>
    </w:p>
    <w:p w14:paraId="72E9941F">
      <w:pPr>
        <w:spacing w:line="360" w:lineRule="auto"/>
        <w:ind w:firstLine="240" w:firstLineChars="100"/>
        <w:rPr>
          <w:rFonts w:ascii="宋体" w:hAnsi="宋体" w:cs="宋体"/>
        </w:rPr>
      </w:pPr>
      <w:bookmarkStart w:id="76" w:name="bookmark70"/>
      <w:bookmarkEnd w:id="76"/>
      <w:r>
        <w:rPr>
          <w:rFonts w:ascii="宋体" w:hAnsi="宋体" w:cs="宋体"/>
        </w:rPr>
        <w:t>8.2 对投标人的纪律要求</w:t>
      </w:r>
    </w:p>
    <w:p w14:paraId="58255DB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ABAB5FA">
      <w:pPr>
        <w:spacing w:line="360" w:lineRule="auto"/>
        <w:ind w:firstLine="240" w:firstLineChars="100"/>
        <w:rPr>
          <w:rFonts w:ascii="宋体" w:hAnsi="宋体" w:cs="宋体"/>
        </w:rPr>
      </w:pPr>
      <w:bookmarkStart w:id="77" w:name="bookmark71"/>
      <w:bookmarkEnd w:id="77"/>
      <w:r>
        <w:rPr>
          <w:rFonts w:ascii="宋体" w:hAnsi="宋体" w:cs="宋体"/>
        </w:rPr>
        <w:t>8.3 对评标委员会成员的纪律要求</w:t>
      </w:r>
    </w:p>
    <w:p w14:paraId="7E32497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CC235B3">
      <w:pPr>
        <w:spacing w:line="360" w:lineRule="auto"/>
        <w:ind w:firstLine="240" w:firstLineChars="100"/>
        <w:rPr>
          <w:rFonts w:ascii="宋体" w:hAnsi="宋体" w:cs="宋体"/>
        </w:rPr>
      </w:pPr>
      <w:bookmarkStart w:id="78" w:name="bookmark72"/>
      <w:bookmarkEnd w:id="78"/>
      <w:r>
        <w:rPr>
          <w:rFonts w:ascii="宋体" w:hAnsi="宋体" w:cs="宋体"/>
        </w:rPr>
        <w:t>8.4 对与评标活动有关的工作人员的纪律要求</w:t>
      </w:r>
    </w:p>
    <w:p w14:paraId="7A745C1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059C3F0">
      <w:pPr>
        <w:spacing w:line="360" w:lineRule="auto"/>
        <w:ind w:firstLine="240" w:firstLineChars="100"/>
        <w:rPr>
          <w:rFonts w:ascii="宋体" w:hAnsi="宋体" w:cs="宋体"/>
        </w:rPr>
      </w:pPr>
      <w:bookmarkStart w:id="79" w:name="bookmark73"/>
      <w:bookmarkEnd w:id="79"/>
      <w:r>
        <w:rPr>
          <w:rFonts w:ascii="宋体" w:hAnsi="宋体" w:cs="宋体"/>
        </w:rPr>
        <w:t>8.5 投诉</w:t>
      </w:r>
    </w:p>
    <w:p w14:paraId="4ECC47A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8.5.1  投标人或者其他利害关系人认为招标投标活动不符合法律、行政法规规定的，可以自知道或者应当知道之日起10日内向有关行政监督部门投诉。投诉应当有明确的请求和必要的证明材料。</w:t>
      </w:r>
    </w:p>
    <w:p w14:paraId="0EA09B5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8.5.2  投标人或者其他利害关系人对招标文件、开标和评标结果提出投诉的，应当按照投标人须知第2.4款、第5.3款和第7.2款的规定先向招标人提出异议。异议答复期间不计算在第8.5.1项规定的期限内。</w:t>
      </w:r>
    </w:p>
    <w:p w14:paraId="375261E8">
      <w:pPr>
        <w:pStyle w:val="4"/>
        <w:spacing w:before="120" w:after="120"/>
        <w:rPr>
          <w:rFonts w:ascii="Microsoft JhengHei" w:hAnsi="Microsoft JhengHei" w:eastAsia="Microsoft JhengHei"/>
          <w:b w:val="0"/>
          <w:sz w:val="19"/>
        </w:rPr>
      </w:pPr>
      <w:bookmarkStart w:id="80" w:name="bookmark74"/>
      <w:bookmarkEnd w:id="80"/>
      <w:bookmarkStart w:id="81" w:name="_Toc31836"/>
      <w:r>
        <w:rPr>
          <w:rFonts w:cs="宋体"/>
        </w:rPr>
        <w:t>9.采用电子招标投标</w:t>
      </w:r>
      <w:bookmarkEnd w:id="81"/>
    </w:p>
    <w:p w14:paraId="5CD618F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cs="宋体"/>
          <w:sz w:val="24"/>
        </w:rPr>
      </w:pPr>
      <w:r>
        <w:rPr>
          <w:rFonts w:hint="eastAsia" w:ascii="Times New Roman" w:hAnsi="Times New Roman" w:eastAsia="Times New Roman"/>
          <w:spacing w:val="-8"/>
          <w:sz w:val="24"/>
        </w:rPr>
        <w:t>本招标项目采用电子招标投标方式，按照</w:t>
      </w:r>
      <w:r>
        <w:rPr>
          <w:rFonts w:hint="eastAsia" w:ascii="Times New Roman" w:hAnsi="Times New Roman"/>
          <w:spacing w:val="-8"/>
          <w:sz w:val="24"/>
        </w:rPr>
        <w:t>广州交易集团有限公司（广州公共资源交易中心）</w:t>
      </w:r>
      <w:r>
        <w:rPr>
          <w:rFonts w:hint="eastAsia" w:ascii="Times New Roman" w:hAnsi="Times New Roman" w:eastAsia="Times New Roman"/>
          <w:spacing w:val="-8"/>
          <w:sz w:val="24"/>
        </w:rPr>
        <w:t>网站关于全流程电子化项目的相关指南进行操作</w:t>
      </w:r>
      <w:r>
        <w:rPr>
          <w:rFonts w:cs="宋体"/>
          <w:sz w:val="24"/>
        </w:rPr>
        <w:t>。</w:t>
      </w:r>
    </w:p>
    <w:p w14:paraId="67FAA5B4">
      <w:pPr>
        <w:pStyle w:val="4"/>
        <w:spacing w:before="120" w:after="120"/>
        <w:rPr>
          <w:rFonts w:ascii="Microsoft JhengHei" w:hAnsi="Microsoft JhengHei" w:eastAsia="Microsoft JhengHei"/>
          <w:b w:val="0"/>
          <w:sz w:val="19"/>
        </w:rPr>
      </w:pPr>
      <w:bookmarkStart w:id="82" w:name="bookmark75"/>
      <w:bookmarkEnd w:id="82"/>
      <w:bookmarkStart w:id="83" w:name="_Toc7238"/>
      <w:r>
        <w:rPr>
          <w:rFonts w:cs="宋体"/>
        </w:rPr>
        <w:t>10.需要补充的其他内容</w:t>
      </w:r>
      <w:bookmarkEnd w:id="83"/>
    </w:p>
    <w:p w14:paraId="60A6104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cs="宋体"/>
          <w:sz w:val="24"/>
        </w:rPr>
      </w:pPr>
      <w:r>
        <w:rPr>
          <w:rFonts w:cs="宋体"/>
          <w:sz w:val="24"/>
        </w:rPr>
        <w:t>需要补充的其他内容：见投标人须知前附表。</w:t>
      </w:r>
    </w:p>
    <w:p w14:paraId="44D2791A">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rFonts w:cs="宋体"/>
          <w:sz w:val="24"/>
        </w:rPr>
        <w:sectPr>
          <w:pgSz w:w="11905" w:h="16838"/>
          <w:pgMar w:top="1417" w:right="1417" w:bottom="1417" w:left="1417" w:header="992" w:footer="992" w:gutter="0"/>
          <w:cols w:space="720" w:num="1"/>
        </w:sectPr>
      </w:pPr>
    </w:p>
    <w:p w14:paraId="2A8B72FE">
      <w:pPr>
        <w:pStyle w:val="5"/>
      </w:pPr>
      <w:bookmarkStart w:id="84" w:name="bookmark76"/>
      <w:bookmarkEnd w:id="84"/>
      <w:bookmarkStart w:id="85" w:name="bookmark77"/>
      <w:bookmarkEnd w:id="85"/>
      <w:bookmarkStart w:id="86" w:name="_Toc5057"/>
      <w:bookmarkStart w:id="87" w:name="_Toc1460"/>
      <w:r>
        <w:t>附件一：问题澄清通知</w:t>
      </w:r>
      <w:bookmarkEnd w:id="86"/>
      <w:bookmarkEnd w:id="87"/>
    </w:p>
    <w:p w14:paraId="392BC8E6">
      <w:pPr>
        <w:pStyle w:val="10"/>
        <w:kinsoku w:val="0"/>
        <w:overflowPunct w:val="0"/>
        <w:ind w:left="0" w:firstLine="400"/>
        <w:rPr>
          <w:sz w:val="20"/>
        </w:rPr>
      </w:pPr>
    </w:p>
    <w:p w14:paraId="2BEBBB1A">
      <w:pPr>
        <w:pStyle w:val="10"/>
        <w:kinsoku w:val="0"/>
        <w:overflowPunct w:val="0"/>
        <w:ind w:left="0" w:firstLine="400"/>
        <w:rPr>
          <w:sz w:val="20"/>
        </w:rPr>
      </w:pPr>
    </w:p>
    <w:p w14:paraId="74964DBC">
      <w:pPr>
        <w:pStyle w:val="10"/>
        <w:kinsoku w:val="0"/>
        <w:overflowPunct w:val="0"/>
        <w:ind w:left="0" w:firstLine="400"/>
        <w:rPr>
          <w:sz w:val="20"/>
        </w:rPr>
      </w:pPr>
    </w:p>
    <w:p w14:paraId="3CF5F348">
      <w:pPr>
        <w:pStyle w:val="10"/>
        <w:kinsoku w:val="0"/>
        <w:overflowPunct w:val="0"/>
        <w:spacing w:before="240"/>
        <w:ind w:left="0" w:firstLine="340"/>
        <w:rPr>
          <w:sz w:val="17"/>
        </w:rPr>
      </w:pPr>
    </w:p>
    <w:p w14:paraId="44FC1816">
      <w:pPr>
        <w:pStyle w:val="10"/>
        <w:kinsoku w:val="0"/>
        <w:overflowPunct w:val="0"/>
        <w:spacing w:before="240"/>
        <w:ind w:left="0" w:right="13" w:firstLine="560"/>
        <w:jc w:val="center"/>
        <w:rPr>
          <w:sz w:val="28"/>
        </w:rPr>
      </w:pPr>
      <w:r>
        <w:rPr>
          <w:sz w:val="28"/>
        </w:rPr>
        <w:t>问题澄清通知</w:t>
      </w:r>
    </w:p>
    <w:p w14:paraId="4CEAE511">
      <w:pPr>
        <w:pStyle w:val="10"/>
        <w:tabs>
          <w:tab w:val="left" w:pos="2937"/>
        </w:tabs>
        <w:kinsoku w:val="0"/>
        <w:overflowPunct w:val="0"/>
        <w:spacing w:before="240"/>
        <w:ind w:left="0" w:right="20" w:firstLine="418"/>
        <w:jc w:val="center"/>
      </w:pPr>
      <w:r>
        <w:rPr>
          <w:spacing w:val="-1"/>
        </w:rPr>
        <w:t>（编号：</w:t>
      </w:r>
      <w:r>
        <w:rPr>
          <w:rFonts w:hint="eastAsia" w:ascii="Times New Roman" w:hAnsi="Times New Roman" w:eastAsia="Times New Roman"/>
          <w:spacing w:val="-1"/>
          <w:u w:val="single"/>
        </w:rPr>
        <w:tab/>
      </w:r>
      <w:r>
        <w:t>）</w:t>
      </w:r>
    </w:p>
    <w:p w14:paraId="3807129B">
      <w:pPr>
        <w:pStyle w:val="10"/>
        <w:kinsoku w:val="0"/>
        <w:overflowPunct w:val="0"/>
        <w:ind w:left="0" w:firstLine="400"/>
        <w:rPr>
          <w:sz w:val="20"/>
        </w:rPr>
      </w:pPr>
    </w:p>
    <w:p w14:paraId="155F1CA8">
      <w:pPr>
        <w:pStyle w:val="10"/>
        <w:kinsoku w:val="0"/>
        <w:overflowPunct w:val="0"/>
        <w:spacing w:before="240"/>
        <w:ind w:left="0" w:firstLine="460"/>
        <w:rPr>
          <w:sz w:val="23"/>
        </w:rPr>
      </w:pPr>
    </w:p>
    <w:p w14:paraId="3BF97792">
      <w:pPr>
        <w:pStyle w:val="10"/>
        <w:tabs>
          <w:tab w:val="left" w:pos="2305"/>
        </w:tabs>
        <w:kinsoku w:val="0"/>
        <w:overflowPunct w:val="0"/>
        <w:spacing w:before="240"/>
        <w:ind w:left="100" w:right="113" w:firstLine="420"/>
        <w:rPr>
          <w:spacing w:val="-15"/>
        </w:rPr>
      </w:pPr>
      <w:r>
        <w:rPr>
          <w:rFonts w:hint="eastAsia" w:ascii="Times New Roman" w:hAnsi="Times New Roman" w:eastAsia="Times New Roman"/>
          <w:u w:val="single"/>
        </w:rPr>
        <w:t xml:space="preserve"> </w:t>
      </w:r>
      <w:r>
        <w:rPr>
          <w:rFonts w:hint="eastAsia" w:ascii="Times New Roman" w:hAnsi="Times New Roman" w:eastAsia="Times New Roman"/>
          <w:u w:val="single"/>
        </w:rPr>
        <w:tab/>
      </w:r>
      <w:r>
        <w:rPr>
          <w:spacing w:val="-15"/>
        </w:rPr>
        <w:t>（投标人名称）：</w:t>
      </w:r>
    </w:p>
    <w:p w14:paraId="3332506E">
      <w:pPr>
        <w:pStyle w:val="10"/>
        <w:kinsoku w:val="0"/>
        <w:overflowPunct w:val="0"/>
        <w:ind w:left="0" w:firstLine="400"/>
        <w:rPr>
          <w:sz w:val="20"/>
        </w:rPr>
      </w:pPr>
    </w:p>
    <w:p w14:paraId="6269D085">
      <w:pPr>
        <w:pStyle w:val="10"/>
        <w:kinsoku w:val="0"/>
        <w:overflowPunct w:val="0"/>
        <w:spacing w:before="240"/>
        <w:ind w:left="0" w:firstLine="460"/>
        <w:rPr>
          <w:sz w:val="23"/>
        </w:rPr>
      </w:pPr>
    </w:p>
    <w:p w14:paraId="207343A8">
      <w:pPr>
        <w:pStyle w:val="10"/>
        <w:kinsoku w:val="0"/>
        <w:overflowPunct w:val="0"/>
        <w:spacing w:before="240" w:line="384" w:lineRule="auto"/>
        <w:ind w:left="100" w:right="113" w:firstLine="418"/>
      </w:pPr>
      <w:r>
        <w:rPr>
          <w:spacing w:val="-1"/>
        </w:rPr>
        <w:t>评标委员会对你方的投标文件进行了仔细的审查，现需你方对下列问题以书面形式予以澄</w:t>
      </w:r>
      <w:r>
        <w:t xml:space="preserve"> 清、说明或补正：</w:t>
      </w:r>
    </w:p>
    <w:p w14:paraId="5AEDE825">
      <w:pPr>
        <w:pStyle w:val="10"/>
        <w:kinsoku w:val="0"/>
        <w:overflowPunct w:val="0"/>
        <w:ind w:left="0" w:firstLine="400"/>
        <w:rPr>
          <w:sz w:val="20"/>
        </w:rPr>
      </w:pPr>
    </w:p>
    <w:p w14:paraId="644CD42F">
      <w:pPr>
        <w:pStyle w:val="10"/>
        <w:kinsoku w:val="0"/>
        <w:overflowPunct w:val="0"/>
        <w:spacing w:before="240"/>
        <w:ind w:left="0" w:firstLine="400"/>
        <w:rPr>
          <w:sz w:val="20"/>
        </w:rPr>
      </w:pPr>
    </w:p>
    <w:p w14:paraId="600F5431">
      <w:pPr>
        <w:pStyle w:val="10"/>
        <w:kinsoku w:val="0"/>
        <w:overflowPunct w:val="0"/>
        <w:ind w:left="522" w:right="113" w:firstLine="420"/>
        <w:rPr>
          <w:rFonts w:ascii="Times New Roman" w:hAnsi="Times New Roman" w:eastAsia="Times New Roman"/>
        </w:rPr>
      </w:pPr>
      <w:r>
        <w:rPr>
          <w:rFonts w:hint="eastAsia" w:ascii="Times New Roman" w:hAnsi="Times New Roman" w:eastAsia="Times New Roman"/>
        </w:rPr>
        <w:t>1.</w:t>
      </w:r>
    </w:p>
    <w:p w14:paraId="3E51D0F3">
      <w:pPr>
        <w:pStyle w:val="10"/>
        <w:kinsoku w:val="0"/>
        <w:overflowPunct w:val="0"/>
        <w:spacing w:before="240"/>
        <w:ind w:left="0" w:firstLine="340"/>
        <w:rPr>
          <w:rFonts w:ascii="Times New Roman" w:hAnsi="Times New Roman" w:eastAsia="Times New Roman"/>
          <w:sz w:val="17"/>
        </w:rPr>
      </w:pPr>
    </w:p>
    <w:p w14:paraId="40145ABE">
      <w:pPr>
        <w:pStyle w:val="10"/>
        <w:kinsoku w:val="0"/>
        <w:overflowPunct w:val="0"/>
        <w:ind w:left="522" w:right="113" w:firstLine="420"/>
        <w:rPr>
          <w:rFonts w:ascii="Times New Roman" w:hAnsi="Times New Roman" w:eastAsia="Times New Roman"/>
        </w:rPr>
      </w:pPr>
      <w:r>
        <w:rPr>
          <w:rFonts w:hint="eastAsia" w:ascii="Times New Roman" w:hAnsi="Times New Roman" w:eastAsia="Times New Roman"/>
        </w:rPr>
        <w:t>2.</w:t>
      </w:r>
    </w:p>
    <w:p w14:paraId="650BC5F9">
      <w:pPr>
        <w:pStyle w:val="10"/>
        <w:kinsoku w:val="0"/>
        <w:overflowPunct w:val="0"/>
        <w:spacing w:before="240"/>
        <w:ind w:left="0" w:firstLine="340"/>
        <w:rPr>
          <w:rFonts w:ascii="Times New Roman" w:hAnsi="Times New Roman" w:eastAsia="Times New Roman"/>
          <w:sz w:val="17"/>
        </w:rPr>
      </w:pPr>
    </w:p>
    <w:p w14:paraId="667776C3">
      <w:pPr>
        <w:pStyle w:val="10"/>
        <w:kinsoku w:val="0"/>
        <w:overflowPunct w:val="0"/>
        <w:ind w:left="628" w:right="113" w:firstLine="420"/>
        <w:rPr>
          <w:rFonts w:ascii="Times New Roman" w:hAnsi="Times New Roman" w:eastAsia="Times New Roman"/>
        </w:rPr>
      </w:pPr>
      <w:r>
        <w:rPr>
          <w:rFonts w:hint="eastAsia" w:ascii="Times New Roman" w:hAnsi="Times New Roman" w:eastAsia="Times New Roman"/>
        </w:rPr>
        <w:t>......</w:t>
      </w:r>
    </w:p>
    <w:p w14:paraId="123F363C">
      <w:pPr>
        <w:pStyle w:val="10"/>
        <w:kinsoku w:val="0"/>
        <w:overflowPunct w:val="0"/>
        <w:ind w:left="0" w:firstLine="400"/>
        <w:rPr>
          <w:rFonts w:ascii="Times New Roman" w:hAnsi="Times New Roman" w:eastAsia="Times New Roman"/>
          <w:sz w:val="20"/>
        </w:rPr>
      </w:pPr>
    </w:p>
    <w:p w14:paraId="6775DA70">
      <w:pPr>
        <w:pStyle w:val="10"/>
        <w:kinsoku w:val="0"/>
        <w:overflowPunct w:val="0"/>
        <w:ind w:left="0" w:firstLine="400"/>
        <w:rPr>
          <w:rFonts w:ascii="Times New Roman" w:hAnsi="Times New Roman" w:eastAsia="Times New Roman"/>
          <w:sz w:val="20"/>
        </w:rPr>
      </w:pPr>
    </w:p>
    <w:p w14:paraId="320B4FFE">
      <w:pPr>
        <w:pStyle w:val="10"/>
        <w:tabs>
          <w:tab w:val="left" w:pos="4603"/>
          <w:tab w:val="left" w:pos="5549"/>
          <w:tab w:val="left" w:pos="6494"/>
          <w:tab w:val="left" w:pos="7438"/>
        </w:tabs>
        <w:kinsoku w:val="0"/>
        <w:overflowPunct w:val="0"/>
        <w:spacing w:before="240"/>
        <w:ind w:left="505" w:right="113" w:firstLine="416"/>
        <w:rPr>
          <w:spacing w:val="-2"/>
        </w:rPr>
      </w:pPr>
      <w:r>
        <w:rPr>
          <w:spacing w:val="-2"/>
        </w:rPr>
        <w:t>请将上述问题的澄清、说明或补正于</w:t>
      </w:r>
      <w:r>
        <w:rPr>
          <w:rFonts w:hint="eastAsia" w:ascii="Times New Roman" w:hAnsi="Times New Roman" w:eastAsia="Times New Roman"/>
          <w:spacing w:val="-2"/>
          <w:u w:val="single"/>
        </w:rPr>
        <w:tab/>
      </w:r>
      <w:r>
        <w:t>年</w:t>
      </w:r>
      <w:r>
        <w:rPr>
          <w:rFonts w:hint="eastAsia" w:ascii="Times New Roman" w:hAnsi="Times New Roman" w:eastAsia="Times New Roman"/>
          <w:u w:val="single"/>
        </w:rPr>
        <w:tab/>
      </w:r>
      <w:r>
        <w:t>月</w:t>
      </w:r>
      <w:r>
        <w:rPr>
          <w:rFonts w:hint="eastAsia" w:ascii="Times New Roman" w:hAnsi="Times New Roman" w:eastAsia="Times New Roman"/>
          <w:u w:val="single"/>
        </w:rPr>
        <w:tab/>
      </w:r>
      <w:r>
        <w:rPr>
          <w:spacing w:val="-3"/>
        </w:rPr>
        <w:t>日</w:t>
      </w:r>
      <w:r>
        <w:rPr>
          <w:rFonts w:hint="eastAsia" w:ascii="Times New Roman" w:hAnsi="Times New Roman" w:eastAsia="Times New Roman"/>
          <w:spacing w:val="-3"/>
          <w:u w:val="single"/>
        </w:rPr>
        <w:tab/>
      </w:r>
      <w:r>
        <w:rPr>
          <w:spacing w:val="-2"/>
        </w:rPr>
        <w:t>时前递交至</w:t>
      </w:r>
    </w:p>
    <w:p w14:paraId="40B4420D">
      <w:pPr>
        <w:pStyle w:val="10"/>
        <w:kinsoku w:val="0"/>
        <w:overflowPunct w:val="0"/>
        <w:spacing w:before="240"/>
        <w:ind w:left="0" w:firstLine="180"/>
        <w:rPr>
          <w:sz w:val="9"/>
        </w:rPr>
      </w:pPr>
    </w:p>
    <w:p w14:paraId="482E0636">
      <w:pPr>
        <w:pStyle w:val="10"/>
        <w:tabs>
          <w:tab w:val="left" w:pos="3040"/>
          <w:tab w:val="left" w:pos="7296"/>
        </w:tabs>
        <w:kinsoku w:val="0"/>
        <w:overflowPunct w:val="0"/>
        <w:spacing w:before="240"/>
        <w:ind w:left="100" w:firstLine="420"/>
        <w:rPr>
          <w:spacing w:val="-5"/>
        </w:rPr>
      </w:pPr>
      <w:r>
        <w:rPr>
          <w:rFonts w:hint="eastAsia" w:ascii="Times New Roman" w:hAnsi="Times New Roman" w:eastAsia="Times New Roman"/>
          <w:u w:val="single"/>
        </w:rPr>
        <w:t xml:space="preserve"> </w:t>
      </w:r>
      <w:r>
        <w:rPr>
          <w:rFonts w:hint="eastAsia" w:ascii="Times New Roman" w:hAnsi="Times New Roman" w:eastAsia="Times New Roman"/>
          <w:u w:val="single"/>
        </w:rPr>
        <w:tab/>
      </w:r>
      <w:r>
        <w:rPr>
          <w:spacing w:val="-5"/>
        </w:rPr>
        <w:t>（详细地址）或传真至</w:t>
      </w:r>
      <w:r>
        <w:rPr>
          <w:rFonts w:hint="eastAsia" w:ascii="Times New Roman" w:hAnsi="Times New Roman" w:eastAsia="Times New Roman"/>
          <w:spacing w:val="-5"/>
          <w:u w:val="single"/>
        </w:rPr>
        <w:tab/>
      </w:r>
      <w:r>
        <w:rPr>
          <w:spacing w:val="-5"/>
        </w:rPr>
        <w:t>（传真号码）或</w:t>
      </w:r>
    </w:p>
    <w:p w14:paraId="457694CF">
      <w:pPr>
        <w:pStyle w:val="10"/>
        <w:kinsoku w:val="0"/>
        <w:overflowPunct w:val="0"/>
        <w:spacing w:before="240"/>
        <w:ind w:left="0" w:firstLine="180"/>
        <w:rPr>
          <w:sz w:val="9"/>
        </w:rPr>
      </w:pPr>
    </w:p>
    <w:p w14:paraId="5C3F62A5">
      <w:pPr>
        <w:pStyle w:val="10"/>
        <w:tabs>
          <w:tab w:val="left" w:pos="7138"/>
          <w:tab w:val="left" w:pos="8084"/>
        </w:tabs>
        <w:kinsoku w:val="0"/>
        <w:overflowPunct w:val="0"/>
        <w:spacing w:before="240"/>
        <w:ind w:left="100" w:right="113" w:firstLine="416"/>
      </w:pPr>
      <w:r>
        <w:rPr>
          <w:spacing w:val="-2"/>
        </w:rPr>
        <w:t>通过下载招标文件的电子招标交易平台上传。采用传真方式的，应在</w:t>
      </w:r>
      <w:r>
        <w:rPr>
          <w:rFonts w:hint="eastAsia" w:ascii="Times New Roman" w:hAnsi="Times New Roman" w:eastAsia="Times New Roman"/>
          <w:spacing w:val="-2"/>
          <w:u w:val="single"/>
        </w:rPr>
        <w:tab/>
      </w:r>
      <w:r>
        <w:t>年</w:t>
      </w:r>
      <w:r>
        <w:rPr>
          <w:rFonts w:hint="eastAsia" w:ascii="Times New Roman" w:hAnsi="Times New Roman" w:eastAsia="Times New Roman"/>
          <w:u w:val="single"/>
        </w:rPr>
        <w:tab/>
      </w:r>
      <w:r>
        <w:t>月</w:t>
      </w:r>
    </w:p>
    <w:p w14:paraId="5771EFEC">
      <w:pPr>
        <w:pStyle w:val="10"/>
        <w:kinsoku w:val="0"/>
        <w:overflowPunct w:val="0"/>
        <w:spacing w:before="240"/>
        <w:ind w:left="0" w:firstLine="180"/>
        <w:rPr>
          <w:sz w:val="9"/>
        </w:rPr>
      </w:pPr>
    </w:p>
    <w:p w14:paraId="22699304">
      <w:pPr>
        <w:pStyle w:val="10"/>
        <w:tabs>
          <w:tab w:val="left" w:pos="837"/>
          <w:tab w:val="left" w:pos="1782"/>
          <w:tab w:val="left" w:pos="5669"/>
        </w:tabs>
        <w:kinsoku w:val="0"/>
        <w:overflowPunct w:val="0"/>
        <w:spacing w:before="240"/>
        <w:ind w:left="100" w:right="113" w:firstLine="420"/>
        <w:rPr>
          <w:spacing w:val="-17"/>
        </w:rPr>
      </w:pPr>
      <w:r>
        <w:rPr>
          <w:rFonts w:hint="eastAsia" w:ascii="Times New Roman" w:hAnsi="Times New Roman" w:eastAsia="Times New Roman"/>
          <w:u w:val="single"/>
        </w:rPr>
        <w:t xml:space="preserve"> </w:t>
      </w:r>
      <w:r>
        <w:rPr>
          <w:rFonts w:hint="eastAsia" w:ascii="Times New Roman" w:hAnsi="Times New Roman" w:eastAsia="Times New Roman"/>
          <w:u w:val="single"/>
        </w:rPr>
        <w:tab/>
      </w:r>
      <w:r>
        <w:t>日</w:t>
      </w:r>
      <w:r>
        <w:rPr>
          <w:rFonts w:hint="eastAsia" w:ascii="Times New Roman" w:hAnsi="Times New Roman" w:eastAsia="Times New Roman"/>
          <w:u w:val="single"/>
        </w:rPr>
        <w:tab/>
      </w:r>
      <w:r>
        <w:rPr>
          <w:spacing w:val="-2"/>
        </w:rPr>
        <w:t>时前将原件递交至</w:t>
      </w:r>
      <w:r>
        <w:rPr>
          <w:rFonts w:hint="eastAsia" w:ascii="Times New Roman" w:hAnsi="Times New Roman" w:eastAsia="Times New Roman"/>
          <w:spacing w:val="-2"/>
          <w:u w:val="single"/>
        </w:rPr>
        <w:tab/>
      </w:r>
      <w:r>
        <w:rPr>
          <w:spacing w:val="-17"/>
        </w:rPr>
        <w:t>（详细地址）。</w:t>
      </w:r>
    </w:p>
    <w:p w14:paraId="6CFE2537">
      <w:pPr>
        <w:pStyle w:val="10"/>
        <w:kinsoku w:val="0"/>
        <w:overflowPunct w:val="0"/>
        <w:ind w:left="0" w:firstLine="400"/>
        <w:rPr>
          <w:sz w:val="20"/>
        </w:rPr>
      </w:pPr>
    </w:p>
    <w:p w14:paraId="73FA9316">
      <w:pPr>
        <w:pStyle w:val="10"/>
        <w:kinsoku w:val="0"/>
        <w:overflowPunct w:val="0"/>
        <w:ind w:left="0" w:firstLine="400"/>
        <w:rPr>
          <w:sz w:val="20"/>
        </w:rPr>
      </w:pPr>
    </w:p>
    <w:p w14:paraId="4879FB7F">
      <w:pPr>
        <w:pStyle w:val="10"/>
        <w:kinsoku w:val="0"/>
        <w:overflowPunct w:val="0"/>
        <w:ind w:left="0" w:firstLine="400"/>
        <w:rPr>
          <w:sz w:val="20"/>
        </w:rPr>
      </w:pPr>
    </w:p>
    <w:p w14:paraId="32DB9BEA">
      <w:pPr>
        <w:pStyle w:val="10"/>
        <w:kinsoku w:val="0"/>
        <w:overflowPunct w:val="0"/>
        <w:spacing w:before="240"/>
        <w:ind w:left="0" w:firstLine="340"/>
        <w:rPr>
          <w:sz w:val="17"/>
        </w:rPr>
      </w:pPr>
    </w:p>
    <w:p w14:paraId="7754DEEB">
      <w:pPr>
        <w:pStyle w:val="10"/>
        <w:tabs>
          <w:tab w:val="left" w:pos="7032"/>
        </w:tabs>
        <w:kinsoku w:val="0"/>
        <w:overflowPunct w:val="0"/>
        <w:spacing w:before="240"/>
        <w:ind w:left="2200" w:right="113" w:firstLine="416"/>
        <w:rPr>
          <w:spacing w:val="-1"/>
        </w:rPr>
      </w:pPr>
      <w:r>
        <w:rPr>
          <w:spacing w:val="-2"/>
        </w:rPr>
        <w:t>评标委员会</w:t>
      </w:r>
      <w:r>
        <w:rPr>
          <w:rFonts w:hint="eastAsia"/>
          <w:spacing w:val="-2"/>
        </w:rPr>
        <w:t>签字</w:t>
      </w:r>
      <w:r>
        <w:rPr>
          <w:spacing w:val="-2"/>
        </w:rPr>
        <w:t>：</w:t>
      </w:r>
      <w:r>
        <w:rPr>
          <w:rFonts w:hint="eastAsia" w:ascii="Times New Roman" w:hAnsi="Times New Roman" w:eastAsia="Times New Roman"/>
          <w:spacing w:val="-2"/>
          <w:u w:val="single"/>
        </w:rPr>
        <w:tab/>
      </w:r>
    </w:p>
    <w:p w14:paraId="53AEC2BB">
      <w:pPr>
        <w:pStyle w:val="10"/>
        <w:kinsoku w:val="0"/>
        <w:overflowPunct w:val="0"/>
        <w:ind w:left="0" w:firstLine="400"/>
        <w:rPr>
          <w:sz w:val="20"/>
        </w:rPr>
      </w:pPr>
    </w:p>
    <w:p w14:paraId="02F5C722">
      <w:pPr>
        <w:pStyle w:val="10"/>
        <w:kinsoku w:val="0"/>
        <w:overflowPunct w:val="0"/>
        <w:spacing w:before="240"/>
        <w:ind w:left="0" w:firstLine="460"/>
        <w:rPr>
          <w:sz w:val="23"/>
        </w:rPr>
      </w:pPr>
    </w:p>
    <w:p w14:paraId="4E51B4EC">
      <w:pPr>
        <w:pStyle w:val="10"/>
        <w:tabs>
          <w:tab w:val="left" w:pos="5803"/>
          <w:tab w:val="left" w:pos="6746"/>
          <w:tab w:val="left" w:pos="7692"/>
        </w:tabs>
        <w:kinsoku w:val="0"/>
        <w:overflowPunct w:val="0"/>
        <w:spacing w:before="240"/>
        <w:ind w:left="4961" w:right="113" w:firstLine="420"/>
      </w:pPr>
      <w:r>
        <w:rPr>
          <w:rFonts w:hint="eastAsia" w:ascii="Times New Roman" w:hAnsi="Times New Roman" w:eastAsia="Times New Roman"/>
          <w:u w:val="single"/>
        </w:rPr>
        <w:t xml:space="preserve"> </w:t>
      </w:r>
      <w:r>
        <w:rPr>
          <w:rFonts w:hint="eastAsia" w:ascii="Times New Roman" w:hAnsi="Times New Roman" w:eastAsia="Times New Roman"/>
          <w:u w:val="single"/>
        </w:rPr>
        <w:tab/>
      </w:r>
      <w:r>
        <w:rPr>
          <w:spacing w:val="-3"/>
        </w:rPr>
        <w:t>年</w:t>
      </w:r>
      <w:r>
        <w:rPr>
          <w:rFonts w:hint="eastAsia" w:ascii="Times New Roman" w:hAnsi="Times New Roman" w:eastAsia="Times New Roman"/>
          <w:spacing w:val="-3"/>
          <w:u w:val="single"/>
        </w:rPr>
        <w:tab/>
      </w:r>
      <w:r>
        <w:t>月</w:t>
      </w:r>
      <w:r>
        <w:rPr>
          <w:rFonts w:hint="eastAsia" w:ascii="Times New Roman" w:hAnsi="Times New Roman" w:eastAsia="Times New Roman"/>
          <w:u w:val="single"/>
        </w:rPr>
        <w:tab/>
      </w:r>
      <w:r>
        <w:t>日</w:t>
      </w:r>
    </w:p>
    <w:p w14:paraId="135783A7">
      <w:pPr>
        <w:pStyle w:val="10"/>
        <w:tabs>
          <w:tab w:val="left" w:pos="5803"/>
          <w:tab w:val="left" w:pos="6746"/>
          <w:tab w:val="left" w:pos="7692"/>
        </w:tabs>
        <w:kinsoku w:val="0"/>
        <w:overflowPunct w:val="0"/>
        <w:spacing w:before="240"/>
        <w:ind w:left="4961" w:right="113" w:firstLine="420"/>
        <w:sectPr>
          <w:pgSz w:w="11905" w:h="16838"/>
          <w:pgMar w:top="1417" w:right="1417" w:bottom="1417" w:left="1417" w:header="992" w:footer="992" w:gutter="0"/>
          <w:cols w:space="720" w:num="1"/>
        </w:sectPr>
      </w:pPr>
    </w:p>
    <w:p w14:paraId="152297F8">
      <w:pPr>
        <w:pStyle w:val="5"/>
      </w:pPr>
      <w:bookmarkStart w:id="88" w:name="bookmark78"/>
      <w:bookmarkEnd w:id="88"/>
      <w:r>
        <w:t>附件二：问题的澄清</w:t>
      </w:r>
    </w:p>
    <w:p w14:paraId="5A308E8D">
      <w:pPr>
        <w:pStyle w:val="10"/>
        <w:kinsoku w:val="0"/>
        <w:overflowPunct w:val="0"/>
        <w:ind w:left="0" w:firstLine="400"/>
        <w:rPr>
          <w:sz w:val="20"/>
        </w:rPr>
      </w:pPr>
    </w:p>
    <w:p w14:paraId="577D08C1">
      <w:pPr>
        <w:pStyle w:val="10"/>
        <w:kinsoku w:val="0"/>
        <w:overflowPunct w:val="0"/>
        <w:ind w:left="0" w:firstLine="400"/>
        <w:rPr>
          <w:sz w:val="20"/>
        </w:rPr>
      </w:pPr>
    </w:p>
    <w:p w14:paraId="68C547B0">
      <w:pPr>
        <w:pStyle w:val="10"/>
        <w:kinsoku w:val="0"/>
        <w:overflowPunct w:val="0"/>
        <w:ind w:left="0" w:firstLine="400"/>
        <w:rPr>
          <w:sz w:val="20"/>
        </w:rPr>
      </w:pPr>
    </w:p>
    <w:p w14:paraId="77905574">
      <w:pPr>
        <w:pStyle w:val="10"/>
        <w:kinsoku w:val="0"/>
        <w:overflowPunct w:val="0"/>
        <w:spacing w:before="240"/>
        <w:ind w:left="0" w:right="16" w:firstLine="560"/>
        <w:jc w:val="center"/>
        <w:rPr>
          <w:sz w:val="28"/>
        </w:rPr>
      </w:pPr>
      <w:r>
        <w:rPr>
          <w:sz w:val="28"/>
        </w:rPr>
        <w:t>问题的澄清</w:t>
      </w:r>
    </w:p>
    <w:p w14:paraId="484F5FAA">
      <w:pPr>
        <w:pStyle w:val="10"/>
        <w:tabs>
          <w:tab w:val="left" w:pos="5947"/>
        </w:tabs>
        <w:kinsoku w:val="0"/>
        <w:overflowPunct w:val="0"/>
        <w:spacing w:before="240"/>
        <w:ind w:left="3566" w:right="113" w:firstLine="418"/>
      </w:pPr>
      <w:r>
        <w:rPr>
          <w:spacing w:val="-1"/>
        </w:rPr>
        <w:t>（编号：</w:t>
      </w:r>
      <w:r>
        <w:rPr>
          <w:rFonts w:hint="eastAsia" w:ascii="Times New Roman" w:hAnsi="Times New Roman" w:eastAsia="Times New Roman"/>
          <w:spacing w:val="-1"/>
          <w:u w:val="single"/>
        </w:rPr>
        <w:tab/>
      </w:r>
      <w:r>
        <w:t>）</w:t>
      </w:r>
    </w:p>
    <w:p w14:paraId="55EC5272">
      <w:pPr>
        <w:pStyle w:val="10"/>
        <w:kinsoku w:val="0"/>
        <w:overflowPunct w:val="0"/>
        <w:ind w:left="0" w:firstLine="400"/>
        <w:rPr>
          <w:sz w:val="20"/>
        </w:rPr>
      </w:pPr>
    </w:p>
    <w:p w14:paraId="7B40658E">
      <w:pPr>
        <w:pStyle w:val="10"/>
        <w:kinsoku w:val="0"/>
        <w:overflowPunct w:val="0"/>
        <w:spacing w:before="240"/>
        <w:ind w:left="0" w:firstLine="400"/>
        <w:rPr>
          <w:sz w:val="20"/>
        </w:rPr>
      </w:pPr>
    </w:p>
    <w:p w14:paraId="35BDE89B">
      <w:pPr>
        <w:pStyle w:val="10"/>
        <w:kinsoku w:val="0"/>
        <w:overflowPunct w:val="0"/>
        <w:spacing w:before="240"/>
        <w:ind w:left="100" w:right="113" w:firstLine="420"/>
      </w:pPr>
      <w:r>
        <w:t>评标委员会：</w:t>
      </w:r>
    </w:p>
    <w:p w14:paraId="50723492">
      <w:pPr>
        <w:pStyle w:val="10"/>
        <w:kinsoku w:val="0"/>
        <w:overflowPunct w:val="0"/>
        <w:ind w:left="0" w:firstLine="400"/>
        <w:rPr>
          <w:sz w:val="20"/>
        </w:rPr>
      </w:pPr>
    </w:p>
    <w:p w14:paraId="5456234C">
      <w:pPr>
        <w:pStyle w:val="10"/>
        <w:kinsoku w:val="0"/>
        <w:overflowPunct w:val="0"/>
        <w:spacing w:before="240"/>
        <w:ind w:left="0" w:firstLine="520"/>
        <w:rPr>
          <w:sz w:val="26"/>
        </w:rPr>
      </w:pPr>
    </w:p>
    <w:p w14:paraId="0E0AEB56">
      <w:pPr>
        <w:pStyle w:val="10"/>
        <w:tabs>
          <w:tab w:val="left" w:pos="3460"/>
        </w:tabs>
        <w:kinsoku w:val="0"/>
        <w:overflowPunct w:val="0"/>
        <w:ind w:left="522" w:right="113" w:firstLine="416"/>
        <w:rPr>
          <w:spacing w:val="-2"/>
        </w:rPr>
      </w:pPr>
      <w:r>
        <w:rPr>
          <w:spacing w:val="-2"/>
        </w:rPr>
        <w:t>问题澄清通知（编号：</w:t>
      </w:r>
      <w:r>
        <w:rPr>
          <w:rFonts w:hint="eastAsia" w:ascii="Times New Roman" w:hAnsi="Times New Roman" w:eastAsia="Times New Roman"/>
          <w:spacing w:val="-2"/>
          <w:u w:val="single"/>
        </w:rPr>
        <w:tab/>
      </w:r>
      <w:r>
        <w:rPr>
          <w:spacing w:val="-2"/>
        </w:rPr>
        <w:t>）已收悉，现澄清、说明或补正如下：</w:t>
      </w:r>
    </w:p>
    <w:p w14:paraId="6FC894F3">
      <w:pPr>
        <w:pStyle w:val="10"/>
        <w:kinsoku w:val="0"/>
        <w:overflowPunct w:val="0"/>
        <w:spacing w:before="240"/>
        <w:ind w:left="0" w:firstLine="200"/>
        <w:rPr>
          <w:sz w:val="10"/>
        </w:rPr>
      </w:pPr>
    </w:p>
    <w:p w14:paraId="06792A73">
      <w:pPr>
        <w:pStyle w:val="10"/>
        <w:kinsoku w:val="0"/>
        <w:overflowPunct w:val="0"/>
        <w:spacing w:before="240"/>
        <w:ind w:left="0" w:right="7025" w:firstLine="420"/>
        <w:jc w:val="center"/>
        <w:rPr>
          <w:rFonts w:ascii="Times New Roman" w:hAnsi="Times New Roman" w:eastAsia="Times New Roman"/>
        </w:rPr>
      </w:pPr>
      <w:r>
        <w:rPr>
          <w:rFonts w:hint="eastAsia" w:ascii="Times New Roman" w:hAnsi="Times New Roman" w:eastAsia="Times New Roman"/>
        </w:rPr>
        <w:t>1.</w:t>
      </w:r>
    </w:p>
    <w:p w14:paraId="3D6D7578">
      <w:pPr>
        <w:pStyle w:val="10"/>
        <w:kinsoku w:val="0"/>
        <w:overflowPunct w:val="0"/>
        <w:spacing w:before="240"/>
        <w:ind w:left="0" w:firstLine="340"/>
        <w:rPr>
          <w:rFonts w:ascii="Times New Roman" w:hAnsi="Times New Roman" w:eastAsia="Times New Roman"/>
          <w:sz w:val="17"/>
        </w:rPr>
      </w:pPr>
    </w:p>
    <w:p w14:paraId="70CB8C59">
      <w:pPr>
        <w:pStyle w:val="10"/>
        <w:kinsoku w:val="0"/>
        <w:overflowPunct w:val="0"/>
        <w:ind w:left="0" w:right="7025" w:firstLine="420"/>
        <w:jc w:val="center"/>
        <w:rPr>
          <w:rFonts w:ascii="Times New Roman" w:hAnsi="Times New Roman" w:eastAsia="Times New Roman"/>
        </w:rPr>
      </w:pPr>
      <w:r>
        <w:rPr>
          <w:rFonts w:hint="eastAsia" w:ascii="Times New Roman" w:hAnsi="Times New Roman" w:eastAsia="Times New Roman"/>
        </w:rPr>
        <w:t>2.</w:t>
      </w:r>
    </w:p>
    <w:p w14:paraId="536D4B68">
      <w:pPr>
        <w:pStyle w:val="10"/>
        <w:kinsoku w:val="0"/>
        <w:overflowPunct w:val="0"/>
        <w:spacing w:before="240"/>
        <w:ind w:left="0" w:firstLine="340"/>
        <w:rPr>
          <w:rFonts w:ascii="Times New Roman" w:hAnsi="Times New Roman" w:eastAsia="Times New Roman"/>
          <w:sz w:val="17"/>
        </w:rPr>
      </w:pPr>
    </w:p>
    <w:p w14:paraId="0C5420E0">
      <w:pPr>
        <w:pStyle w:val="10"/>
        <w:kinsoku w:val="0"/>
        <w:overflowPunct w:val="0"/>
        <w:ind w:left="0" w:right="7130" w:firstLine="420"/>
        <w:jc w:val="center"/>
        <w:rPr>
          <w:rFonts w:ascii="Times New Roman" w:hAnsi="Times New Roman" w:eastAsia="Times New Roman"/>
        </w:rPr>
      </w:pPr>
      <w:r>
        <w:rPr>
          <w:rFonts w:hint="eastAsia" w:ascii="Times New Roman" w:hAnsi="Times New Roman" w:eastAsia="Times New Roman"/>
        </w:rPr>
        <w:t>.....</w:t>
      </w:r>
    </w:p>
    <w:p w14:paraId="3374F803">
      <w:pPr>
        <w:pStyle w:val="10"/>
        <w:kinsoku w:val="0"/>
        <w:overflowPunct w:val="0"/>
        <w:ind w:left="0" w:firstLine="400"/>
        <w:rPr>
          <w:rFonts w:ascii="Times New Roman" w:hAnsi="Times New Roman" w:eastAsia="Times New Roman"/>
          <w:sz w:val="20"/>
        </w:rPr>
      </w:pPr>
    </w:p>
    <w:p w14:paraId="74B6E5DC">
      <w:pPr>
        <w:pStyle w:val="10"/>
        <w:kinsoku w:val="0"/>
        <w:overflowPunct w:val="0"/>
        <w:ind w:left="0" w:firstLine="400"/>
        <w:rPr>
          <w:rFonts w:ascii="Times New Roman" w:hAnsi="Times New Roman" w:eastAsia="Times New Roman"/>
          <w:sz w:val="20"/>
        </w:rPr>
      </w:pPr>
    </w:p>
    <w:p w14:paraId="231E1E6E">
      <w:pPr>
        <w:pStyle w:val="10"/>
        <w:kinsoku w:val="0"/>
        <w:overflowPunct w:val="0"/>
        <w:ind w:left="0" w:firstLine="400"/>
        <w:rPr>
          <w:rFonts w:ascii="Times New Roman" w:hAnsi="Times New Roman" w:eastAsia="Times New Roman"/>
          <w:sz w:val="20"/>
        </w:rPr>
      </w:pPr>
    </w:p>
    <w:p w14:paraId="0D5A841E">
      <w:pPr>
        <w:pStyle w:val="10"/>
        <w:kinsoku w:val="0"/>
        <w:overflowPunct w:val="0"/>
        <w:ind w:left="0" w:firstLine="400"/>
        <w:rPr>
          <w:rFonts w:ascii="Times New Roman" w:hAnsi="Times New Roman" w:eastAsia="Times New Roman"/>
          <w:sz w:val="20"/>
        </w:rPr>
      </w:pPr>
    </w:p>
    <w:p w14:paraId="3E2334F3">
      <w:pPr>
        <w:pStyle w:val="10"/>
        <w:kinsoku w:val="0"/>
        <w:overflowPunct w:val="0"/>
        <w:ind w:left="0" w:firstLine="400"/>
        <w:rPr>
          <w:rFonts w:ascii="Times New Roman" w:hAnsi="Times New Roman" w:eastAsia="Times New Roman"/>
          <w:sz w:val="20"/>
        </w:rPr>
      </w:pPr>
    </w:p>
    <w:p w14:paraId="149877AF">
      <w:pPr>
        <w:pStyle w:val="10"/>
        <w:kinsoku w:val="0"/>
        <w:overflowPunct w:val="0"/>
        <w:spacing w:before="240"/>
        <w:ind w:left="0" w:firstLine="540"/>
        <w:rPr>
          <w:rFonts w:ascii="Times New Roman" w:hAnsi="Times New Roman" w:eastAsia="Times New Roman"/>
          <w:sz w:val="27"/>
        </w:rPr>
      </w:pPr>
    </w:p>
    <w:p w14:paraId="1ACA5749">
      <w:pPr>
        <w:pStyle w:val="10"/>
        <w:kinsoku w:val="0"/>
        <w:overflowPunct w:val="0"/>
        <w:spacing w:line="384" w:lineRule="auto"/>
        <w:ind w:left="100" w:right="113" w:firstLine="418"/>
      </w:pPr>
      <w:r>
        <w:rPr>
          <w:spacing w:val="-1"/>
        </w:rPr>
        <w:t>上述问题澄清、说明或补正，不改变我方投标文件的实质性内容，构成我方投标文件的组</w:t>
      </w:r>
      <w:r>
        <w:t xml:space="preserve"> 成部分。</w:t>
      </w:r>
    </w:p>
    <w:p w14:paraId="77218B4F">
      <w:pPr>
        <w:pStyle w:val="10"/>
        <w:kinsoku w:val="0"/>
        <w:overflowPunct w:val="0"/>
        <w:ind w:left="0" w:firstLine="400"/>
        <w:rPr>
          <w:sz w:val="20"/>
        </w:rPr>
      </w:pPr>
    </w:p>
    <w:p w14:paraId="1D956AB9">
      <w:pPr>
        <w:pStyle w:val="10"/>
        <w:kinsoku w:val="0"/>
        <w:overflowPunct w:val="0"/>
        <w:ind w:left="0" w:firstLine="400"/>
        <w:rPr>
          <w:sz w:val="20"/>
        </w:rPr>
      </w:pPr>
    </w:p>
    <w:p w14:paraId="41274EF2">
      <w:pPr>
        <w:pStyle w:val="10"/>
        <w:kinsoku w:val="0"/>
        <w:overflowPunct w:val="0"/>
        <w:spacing w:before="240"/>
        <w:ind w:left="0" w:firstLine="380"/>
        <w:rPr>
          <w:sz w:val="19"/>
        </w:rPr>
      </w:pPr>
    </w:p>
    <w:p w14:paraId="23736B0A">
      <w:pPr>
        <w:pStyle w:val="10"/>
        <w:tabs>
          <w:tab w:val="left" w:pos="7382"/>
        </w:tabs>
        <w:kinsoku w:val="0"/>
        <w:overflowPunct w:val="0"/>
        <w:ind w:left="3043" w:right="113" w:firstLine="418"/>
        <w:rPr>
          <w:spacing w:val="-1"/>
        </w:rPr>
      </w:pPr>
      <w:r>
        <w:rPr>
          <w:spacing w:val="-1"/>
        </w:rPr>
        <w:t>投标人：</w:t>
      </w:r>
      <w:r>
        <w:rPr>
          <w:rFonts w:hint="eastAsia" w:ascii="Times New Roman" w:hAnsi="Times New Roman" w:eastAsia="Times New Roman"/>
          <w:spacing w:val="-1"/>
          <w:u w:val="single"/>
        </w:rPr>
        <w:tab/>
      </w:r>
      <w:r>
        <w:rPr>
          <w:spacing w:val="-1"/>
        </w:rPr>
        <w:t>（盖单位章）</w:t>
      </w:r>
    </w:p>
    <w:p w14:paraId="3412AB99">
      <w:pPr>
        <w:pStyle w:val="10"/>
        <w:kinsoku w:val="0"/>
        <w:overflowPunct w:val="0"/>
        <w:spacing w:before="240"/>
        <w:ind w:left="0" w:firstLine="340"/>
        <w:rPr>
          <w:sz w:val="17"/>
        </w:rPr>
      </w:pPr>
    </w:p>
    <w:p w14:paraId="21A214B1">
      <w:pPr>
        <w:pStyle w:val="10"/>
        <w:tabs>
          <w:tab w:val="left" w:pos="6612"/>
        </w:tabs>
        <w:kinsoku w:val="0"/>
        <w:overflowPunct w:val="0"/>
        <w:spacing w:before="240"/>
        <w:ind w:left="3041" w:right="113" w:firstLine="416"/>
        <w:rPr>
          <w:spacing w:val="-2"/>
        </w:rPr>
      </w:pPr>
      <w:r>
        <w:rPr>
          <w:spacing w:val="-2"/>
        </w:rPr>
        <w:t>法定代表人或其委托代理人：</w:t>
      </w:r>
      <w:r>
        <w:rPr>
          <w:rFonts w:hint="eastAsia" w:ascii="Times New Roman" w:hAnsi="Times New Roman" w:eastAsia="Times New Roman"/>
          <w:spacing w:val="-2"/>
          <w:u w:val="single"/>
        </w:rPr>
        <w:tab/>
      </w:r>
      <w:r>
        <w:rPr>
          <w:spacing w:val="-2"/>
        </w:rPr>
        <w:t>（签字）</w:t>
      </w:r>
    </w:p>
    <w:p w14:paraId="242CE6C2">
      <w:pPr>
        <w:pStyle w:val="10"/>
        <w:kinsoku w:val="0"/>
        <w:overflowPunct w:val="0"/>
        <w:ind w:left="0" w:firstLine="400"/>
        <w:rPr>
          <w:sz w:val="20"/>
        </w:rPr>
      </w:pPr>
    </w:p>
    <w:p w14:paraId="280813B4">
      <w:pPr>
        <w:pStyle w:val="10"/>
        <w:kinsoku w:val="0"/>
        <w:overflowPunct w:val="0"/>
        <w:ind w:left="0" w:firstLine="400"/>
        <w:rPr>
          <w:sz w:val="20"/>
        </w:rPr>
      </w:pPr>
    </w:p>
    <w:p w14:paraId="17927258">
      <w:pPr>
        <w:pStyle w:val="10"/>
        <w:kinsoku w:val="0"/>
        <w:overflowPunct w:val="0"/>
        <w:spacing w:before="240"/>
        <w:ind w:left="0" w:firstLine="440"/>
        <w:rPr>
          <w:sz w:val="22"/>
        </w:rPr>
      </w:pPr>
    </w:p>
    <w:p w14:paraId="4312FBA0">
      <w:pPr>
        <w:pStyle w:val="10"/>
        <w:tabs>
          <w:tab w:val="left" w:pos="6434"/>
          <w:tab w:val="left" w:pos="7483"/>
          <w:tab w:val="left" w:pos="8533"/>
        </w:tabs>
        <w:kinsoku w:val="0"/>
        <w:overflowPunct w:val="0"/>
        <w:spacing w:before="240"/>
        <w:ind w:left="5595" w:firstLine="420"/>
        <w:sectPr>
          <w:pgSz w:w="11905" w:h="16838"/>
          <w:pgMar w:top="1417" w:right="1417" w:bottom="1417" w:left="1417" w:header="992" w:footer="992" w:gutter="0"/>
          <w:cols w:space="720" w:num="1"/>
        </w:sectPr>
      </w:pPr>
      <w:r>
        <w:rPr>
          <w:rFonts w:hint="eastAsia" w:ascii="Times New Roman" w:hAnsi="Times New Roman" w:eastAsia="Times New Roman"/>
          <w:u w:val="single"/>
        </w:rPr>
        <w:t xml:space="preserve"> </w:t>
      </w:r>
      <w:r>
        <w:rPr>
          <w:rFonts w:hint="eastAsia" w:ascii="Times New Roman" w:hAnsi="Times New Roman" w:eastAsia="Times New Roman"/>
          <w:u w:val="single"/>
        </w:rPr>
        <w:tab/>
      </w:r>
      <w:r>
        <w:rPr>
          <w:spacing w:val="-3"/>
        </w:rPr>
        <w:t>年</w:t>
      </w:r>
      <w:r>
        <w:rPr>
          <w:rFonts w:hint="eastAsia" w:ascii="Times New Roman" w:hAnsi="Times New Roman" w:eastAsia="Times New Roman"/>
          <w:spacing w:val="-3"/>
          <w:u w:val="single"/>
        </w:rPr>
        <w:tab/>
      </w:r>
      <w:r>
        <w:t>月</w:t>
      </w:r>
      <w:r>
        <w:rPr>
          <w:rFonts w:hint="eastAsia" w:ascii="Times New Roman" w:hAnsi="Times New Roman" w:eastAsia="Times New Roman"/>
          <w:u w:val="single"/>
        </w:rPr>
        <w:tab/>
      </w:r>
      <w:r>
        <w:t>日</w:t>
      </w:r>
    </w:p>
    <w:p w14:paraId="45414F39">
      <w:pPr>
        <w:pStyle w:val="3"/>
        <w:rPr>
          <w:sz w:val="57"/>
        </w:rPr>
      </w:pPr>
      <w:bookmarkStart w:id="89" w:name="bookmark82"/>
      <w:bookmarkEnd w:id="89"/>
      <w:bookmarkStart w:id="90" w:name="bookmark79"/>
      <w:bookmarkEnd w:id="90"/>
      <w:bookmarkStart w:id="91" w:name="_Toc23003"/>
      <w:r>
        <w:rPr>
          <w:rFonts w:cs="宋体"/>
          <w:sz w:val="44"/>
        </w:rPr>
        <w:t>第三章 评标办法（综合评估法）</w:t>
      </w:r>
      <w:bookmarkEnd w:id="91"/>
    </w:p>
    <w:p w14:paraId="1FAF2864">
      <w:pPr>
        <w:pStyle w:val="4"/>
        <w:kinsoku w:val="0"/>
        <w:overflowPunct w:val="0"/>
        <w:spacing w:before="120" w:after="120"/>
        <w:ind w:left="120"/>
        <w:jc w:val="center"/>
        <w:rPr>
          <w:sz w:val="32"/>
        </w:rPr>
      </w:pPr>
      <w:bookmarkStart w:id="92" w:name="bookmark83"/>
      <w:bookmarkEnd w:id="92"/>
      <w:bookmarkStart w:id="93" w:name="_Toc10305"/>
      <w:r>
        <w:rPr>
          <w:sz w:val="32"/>
        </w:rPr>
        <w:t>评标办法前附表</w:t>
      </w:r>
      <w:bookmarkEnd w:id="93"/>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14:paraId="5960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191297A">
            <w:pPr>
              <w:pStyle w:val="28"/>
              <w:kinsoku w:val="0"/>
              <w:overflowPunct w:val="0"/>
              <w:spacing w:before="41"/>
              <w:jc w:val="center"/>
              <w:rPr>
                <w:rFonts w:ascii="宋体" w:hAnsi="宋体" w:cs="宋体"/>
                <w:sz w:val="21"/>
                <w:szCs w:val="21"/>
              </w:rPr>
            </w:pPr>
            <w:r>
              <w:rPr>
                <w:rFonts w:ascii="宋体" w:hAnsi="宋体" w:cs="宋体"/>
                <w:b/>
                <w:sz w:val="21"/>
                <w:szCs w:val="21"/>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8A33700">
            <w:pPr>
              <w:pStyle w:val="28"/>
              <w:kinsoku w:val="0"/>
              <w:overflowPunct w:val="0"/>
              <w:spacing w:before="41"/>
              <w:jc w:val="center"/>
              <w:rPr>
                <w:rFonts w:ascii="宋体" w:hAnsi="宋体" w:cs="宋体"/>
                <w:sz w:val="21"/>
                <w:szCs w:val="21"/>
              </w:rPr>
            </w:pPr>
            <w:r>
              <w:rPr>
                <w:rFonts w:ascii="宋体" w:hAnsi="宋体" w:cs="宋体"/>
                <w:b/>
                <w:sz w:val="21"/>
                <w:szCs w:val="21"/>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9C7E1C5">
            <w:pPr>
              <w:pStyle w:val="28"/>
              <w:kinsoku w:val="0"/>
              <w:overflowPunct w:val="0"/>
              <w:spacing w:before="41"/>
              <w:jc w:val="center"/>
              <w:rPr>
                <w:rFonts w:ascii="宋体" w:hAnsi="宋体" w:cs="宋体"/>
                <w:sz w:val="21"/>
                <w:szCs w:val="21"/>
              </w:rPr>
            </w:pPr>
            <w:r>
              <w:rPr>
                <w:rFonts w:ascii="宋体" w:hAnsi="宋体" w:cs="宋体"/>
                <w:b/>
                <w:sz w:val="21"/>
                <w:szCs w:val="21"/>
              </w:rPr>
              <w:t>评审标准</w:t>
            </w:r>
          </w:p>
        </w:tc>
      </w:tr>
      <w:tr w14:paraId="0AEC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vAlign w:val="center"/>
          </w:tcPr>
          <w:p w14:paraId="282CDF5F">
            <w:pPr>
              <w:pStyle w:val="28"/>
              <w:kinsoku w:val="0"/>
              <w:overflowPunct w:val="0"/>
              <w:jc w:val="both"/>
              <w:rPr>
                <w:rFonts w:ascii="宋体" w:hAnsi="宋体" w:cs="宋体"/>
                <w:sz w:val="21"/>
                <w:szCs w:val="21"/>
              </w:rPr>
            </w:pPr>
            <w:r>
              <w:rPr>
                <w:rFonts w:ascii="宋体" w:hAnsi="宋体" w:cs="宋体"/>
                <w:sz w:val="21"/>
                <w:szCs w:val="21"/>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39573E">
            <w:pPr>
              <w:pStyle w:val="28"/>
              <w:kinsoku w:val="0"/>
              <w:overflowPunct w:val="0"/>
              <w:spacing w:before="141"/>
              <w:jc w:val="both"/>
              <w:rPr>
                <w:rFonts w:ascii="宋体" w:hAnsi="宋体" w:cs="宋体"/>
                <w:sz w:val="21"/>
                <w:szCs w:val="21"/>
              </w:rPr>
            </w:pPr>
            <w:r>
              <w:rPr>
                <w:rFonts w:ascii="宋体" w:hAnsi="宋体" w:cs="宋体"/>
                <w:sz w:val="21"/>
                <w:szCs w:val="21"/>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3B91779">
            <w:pPr>
              <w:pStyle w:val="28"/>
              <w:kinsoku w:val="0"/>
              <w:overflowPunct w:val="0"/>
              <w:spacing w:before="141"/>
              <w:jc w:val="center"/>
              <w:rPr>
                <w:rFonts w:ascii="宋体" w:hAnsi="宋体" w:cs="宋体"/>
                <w:sz w:val="21"/>
                <w:szCs w:val="21"/>
              </w:rPr>
            </w:pPr>
            <w:r>
              <w:rPr>
                <w:rFonts w:ascii="宋体" w:hAnsi="宋体" w:cs="宋体"/>
                <w:sz w:val="21"/>
                <w:szCs w:val="21"/>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68101AE">
            <w:pPr>
              <w:pStyle w:val="28"/>
              <w:kinsoku w:val="0"/>
              <w:overflowPunct w:val="0"/>
              <w:spacing w:before="141"/>
              <w:rPr>
                <w:rFonts w:ascii="宋体" w:hAnsi="宋体" w:cs="宋体"/>
                <w:sz w:val="21"/>
                <w:szCs w:val="21"/>
              </w:rPr>
            </w:pPr>
            <w:r>
              <w:rPr>
                <w:rFonts w:hint="eastAsia" w:ascii="宋体" w:hAnsi="宋体" w:cs="宋体"/>
                <w:sz w:val="21"/>
                <w:szCs w:val="21"/>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果监理服务大纲得分也相等，则由评委采用记名投票方式，不得弃权，确定相等得分的中标候选人的排序。</w:t>
            </w:r>
          </w:p>
        </w:tc>
      </w:tr>
      <w:tr w14:paraId="1F5B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5D2FA0B">
            <w:pPr>
              <w:pStyle w:val="28"/>
              <w:kinsoku w:val="0"/>
              <w:overflowPunct w:val="0"/>
              <w:jc w:val="both"/>
              <w:rPr>
                <w:rFonts w:ascii="宋体" w:hAnsi="宋体" w:cs="宋体"/>
                <w:sz w:val="21"/>
                <w:szCs w:val="21"/>
              </w:rPr>
            </w:pPr>
            <w:r>
              <w:rPr>
                <w:rFonts w:ascii="宋体" w:hAnsi="宋体" w:cs="宋体"/>
                <w:sz w:val="21"/>
                <w:szCs w:val="21"/>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3D55747D">
            <w:pPr>
              <w:pStyle w:val="28"/>
              <w:kinsoku w:val="0"/>
              <w:overflowPunct w:val="0"/>
              <w:spacing w:line="384" w:lineRule="auto"/>
              <w:ind w:right="132"/>
              <w:jc w:val="both"/>
              <w:rPr>
                <w:rFonts w:ascii="宋体" w:hAnsi="宋体" w:cs="宋体"/>
                <w:sz w:val="21"/>
                <w:szCs w:val="21"/>
              </w:rPr>
            </w:pPr>
            <w:r>
              <w:rPr>
                <w:rFonts w:ascii="宋体" w:hAnsi="宋体" w:cs="宋体"/>
                <w:sz w:val="21"/>
                <w:szCs w:val="21"/>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C00FF06">
            <w:pPr>
              <w:pStyle w:val="28"/>
              <w:kinsoku w:val="0"/>
              <w:overflowPunct w:val="0"/>
              <w:jc w:val="center"/>
              <w:rPr>
                <w:rFonts w:ascii="宋体" w:hAnsi="宋体" w:cs="宋体"/>
                <w:sz w:val="21"/>
                <w:szCs w:val="21"/>
              </w:rPr>
            </w:pPr>
            <w:r>
              <w:rPr>
                <w:rFonts w:ascii="宋体" w:hAnsi="宋体" w:cs="宋体"/>
                <w:sz w:val="21"/>
                <w:szCs w:val="21"/>
              </w:rPr>
              <w:t>营业执照</w:t>
            </w:r>
          </w:p>
        </w:tc>
        <w:tc>
          <w:tcPr>
            <w:tcW w:w="5011" w:type="dxa"/>
            <w:tcBorders>
              <w:top w:val="single" w:color="auto" w:sz="4" w:space="0"/>
              <w:left w:val="single" w:color="auto" w:sz="4" w:space="0"/>
              <w:bottom w:val="single" w:color="auto" w:sz="4" w:space="0"/>
              <w:right w:val="single" w:color="auto" w:sz="4" w:space="0"/>
              <w:tl2br w:val="nil"/>
              <w:tr2bl w:val="nil"/>
            </w:tcBorders>
          </w:tcPr>
          <w:p w14:paraId="71D6C28D">
            <w:pPr>
              <w:pStyle w:val="28"/>
              <w:kinsoku w:val="0"/>
              <w:overflowPunct w:val="0"/>
              <w:spacing w:before="107"/>
              <w:jc w:val="both"/>
              <w:rPr>
                <w:rFonts w:ascii="宋体" w:hAnsi="宋体" w:cs="宋体"/>
                <w:sz w:val="21"/>
                <w:szCs w:val="21"/>
              </w:rPr>
            </w:pPr>
            <w:r>
              <w:rPr>
                <w:rFonts w:ascii="宋体" w:hAnsi="宋体" w:cs="宋体"/>
                <w:sz w:val="21"/>
                <w:szCs w:val="21"/>
              </w:rPr>
              <w:t>符合第二章“投标人须知”第 3.5.1项规定，具备有效的营业执照</w:t>
            </w:r>
          </w:p>
        </w:tc>
      </w:tr>
      <w:tr w14:paraId="6BC3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6067AEA">
            <w:pPr>
              <w:pStyle w:val="28"/>
              <w:kinsoku w:val="0"/>
              <w:overflowPunct w:val="0"/>
              <w:jc w:val="both"/>
              <w:rPr>
                <w:rFonts w:ascii="宋体" w:hAnsi="宋体"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7CA25D1">
            <w:pPr>
              <w:pStyle w:val="28"/>
              <w:kinsoku w:val="0"/>
              <w:overflowPunct w:val="0"/>
              <w:spacing w:line="384" w:lineRule="auto"/>
              <w:ind w:right="132"/>
              <w:jc w:val="both"/>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8766945">
            <w:pPr>
              <w:pStyle w:val="28"/>
              <w:kinsoku w:val="0"/>
              <w:overflowPunct w:val="0"/>
              <w:jc w:val="center"/>
              <w:rPr>
                <w:rFonts w:ascii="宋体" w:hAnsi="宋体" w:cs="宋体"/>
                <w:sz w:val="21"/>
                <w:szCs w:val="21"/>
              </w:rPr>
            </w:pPr>
            <w:r>
              <w:rPr>
                <w:rFonts w:ascii="宋体" w:hAnsi="宋体" w:cs="宋体"/>
                <w:sz w:val="21"/>
                <w:szCs w:val="21"/>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40C92A1">
            <w:pPr>
              <w:pStyle w:val="28"/>
              <w:kinsoku w:val="0"/>
              <w:overflowPunct w:val="0"/>
              <w:spacing w:before="107"/>
              <w:jc w:val="both"/>
              <w:rPr>
                <w:rFonts w:ascii="宋体" w:hAnsi="宋体" w:cs="宋体"/>
                <w:sz w:val="21"/>
                <w:szCs w:val="21"/>
              </w:rPr>
            </w:pPr>
            <w:r>
              <w:rPr>
                <w:rFonts w:ascii="宋体" w:hAnsi="宋体" w:cs="宋体"/>
                <w:sz w:val="21"/>
                <w:szCs w:val="21"/>
              </w:rPr>
              <w:t>符合第二章“投标人须知”第 1.4.1项规定</w:t>
            </w:r>
          </w:p>
        </w:tc>
      </w:tr>
      <w:tr w14:paraId="76A6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8B31E56">
            <w:pPr>
              <w:pStyle w:val="28"/>
              <w:kinsoku w:val="0"/>
              <w:overflowPunct w:val="0"/>
              <w:jc w:val="both"/>
              <w:rPr>
                <w:rFonts w:ascii="宋体" w:hAnsi="宋体"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66FB8E2">
            <w:pPr>
              <w:pStyle w:val="28"/>
              <w:kinsoku w:val="0"/>
              <w:overflowPunct w:val="0"/>
              <w:spacing w:line="384" w:lineRule="auto"/>
              <w:ind w:right="132"/>
              <w:jc w:val="both"/>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0E942ED">
            <w:pPr>
              <w:pStyle w:val="28"/>
              <w:kinsoku w:val="0"/>
              <w:overflowPunct w:val="0"/>
              <w:jc w:val="center"/>
              <w:rPr>
                <w:rFonts w:ascii="宋体" w:hAnsi="宋体" w:cs="宋体"/>
                <w:sz w:val="21"/>
                <w:szCs w:val="21"/>
              </w:rPr>
            </w:pPr>
            <w:r>
              <w:rPr>
                <w:rFonts w:ascii="宋体" w:hAnsi="宋体" w:cs="宋体"/>
                <w:sz w:val="21"/>
                <w:szCs w:val="21"/>
              </w:rPr>
              <w:t>总监理工程师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4A65DEB">
            <w:pPr>
              <w:pStyle w:val="28"/>
              <w:kinsoku w:val="0"/>
              <w:overflowPunct w:val="0"/>
              <w:spacing w:before="107"/>
              <w:jc w:val="both"/>
              <w:rPr>
                <w:rFonts w:ascii="宋体" w:hAnsi="宋体" w:cs="宋体"/>
                <w:sz w:val="21"/>
                <w:szCs w:val="21"/>
              </w:rPr>
            </w:pPr>
            <w:r>
              <w:rPr>
                <w:rFonts w:ascii="宋体" w:hAnsi="宋体" w:cs="宋体"/>
                <w:sz w:val="21"/>
                <w:szCs w:val="21"/>
              </w:rPr>
              <w:t>符合第二章“投标人须知”第 1.4.1项规定</w:t>
            </w:r>
          </w:p>
        </w:tc>
      </w:tr>
      <w:tr w14:paraId="2A2F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23D43B3">
            <w:pPr>
              <w:pStyle w:val="28"/>
              <w:kinsoku w:val="0"/>
              <w:overflowPunct w:val="0"/>
              <w:jc w:val="both"/>
              <w:rPr>
                <w:rFonts w:ascii="宋体" w:hAnsi="宋体"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C173A84">
            <w:pPr>
              <w:pStyle w:val="28"/>
              <w:kinsoku w:val="0"/>
              <w:overflowPunct w:val="0"/>
              <w:spacing w:line="384" w:lineRule="auto"/>
              <w:ind w:right="132"/>
              <w:jc w:val="both"/>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CC72F9B">
            <w:pPr>
              <w:pStyle w:val="28"/>
              <w:kinsoku w:val="0"/>
              <w:overflowPunct w:val="0"/>
              <w:jc w:val="center"/>
              <w:rPr>
                <w:rFonts w:ascii="宋体" w:hAnsi="宋体" w:cs="宋体"/>
                <w:sz w:val="21"/>
                <w:szCs w:val="21"/>
              </w:rPr>
            </w:pPr>
            <w:r>
              <w:rPr>
                <w:rFonts w:ascii="宋体" w:hAnsi="宋体" w:cs="宋体"/>
                <w:sz w:val="21"/>
                <w:szCs w:val="21"/>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6B36D6B">
            <w:pPr>
              <w:pStyle w:val="28"/>
              <w:kinsoku w:val="0"/>
              <w:overflowPunct w:val="0"/>
              <w:jc w:val="both"/>
              <w:rPr>
                <w:rFonts w:ascii="宋体" w:hAnsi="宋体" w:cs="宋体"/>
                <w:sz w:val="21"/>
                <w:szCs w:val="21"/>
              </w:rPr>
            </w:pPr>
            <w:r>
              <w:rPr>
                <w:rFonts w:hint="eastAsia" w:ascii="宋体" w:hAnsi="宋体" w:cs="宋体"/>
                <w:sz w:val="21"/>
                <w:szCs w:val="18"/>
                <w:u w:val="single"/>
              </w:rPr>
              <w:t>不允许联合体投标</w:t>
            </w:r>
          </w:p>
        </w:tc>
      </w:tr>
      <w:tr w14:paraId="5055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1C92C64">
            <w:pPr>
              <w:pStyle w:val="28"/>
              <w:kinsoku w:val="0"/>
              <w:overflowPunct w:val="0"/>
              <w:jc w:val="both"/>
              <w:rPr>
                <w:rFonts w:ascii="宋体" w:hAnsi="宋体"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1CB16D0">
            <w:pPr>
              <w:pStyle w:val="28"/>
              <w:kinsoku w:val="0"/>
              <w:overflowPunct w:val="0"/>
              <w:spacing w:line="384" w:lineRule="auto"/>
              <w:ind w:right="132"/>
              <w:jc w:val="both"/>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50FF45C">
            <w:pPr>
              <w:jc w:val="center"/>
              <w:rPr>
                <w:rFonts w:ascii="宋体" w:hAnsi="Calibri"/>
                <w:snapToGrid w:val="0"/>
                <w:kern w:val="2"/>
                <w:sz w:val="21"/>
                <w:szCs w:val="21"/>
              </w:rPr>
            </w:pPr>
            <w:r>
              <w:rPr>
                <w:rFonts w:ascii="宋体" w:hAnsi="宋体" w:cs="宋体"/>
                <w:spacing w:val="-2"/>
                <w:sz w:val="21"/>
                <w:szCs w:val="21"/>
              </w:rPr>
              <w:t>未被纳入失信联合惩戒名单且被限制参与相关项目投标的</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4252D4E">
            <w:pPr>
              <w:ind w:left="137" w:leftChars="57"/>
              <w:rPr>
                <w:rFonts w:ascii="宋体" w:hAnsi="Calibri"/>
                <w:snapToGrid w:val="0"/>
                <w:kern w:val="2"/>
                <w:sz w:val="21"/>
                <w:szCs w:val="21"/>
              </w:rPr>
            </w:pPr>
            <w:r>
              <w:rPr>
                <w:rFonts w:ascii="宋体" w:hAnsi="宋体" w:cs="宋体"/>
                <w:spacing w:val="-4"/>
                <w:sz w:val="21"/>
                <w:szCs w:val="21"/>
              </w:rPr>
              <w:t>失信联合惩戒名单以“信用广州”网站公布的“</w:t>
            </w:r>
            <w:r>
              <w:rPr>
                <w:rFonts w:hint="eastAsia" w:ascii="宋体" w:hAnsi="宋体" w:cs="宋体"/>
                <w:spacing w:val="-4"/>
                <w:sz w:val="21"/>
                <w:szCs w:val="21"/>
              </w:rPr>
              <w:t>黑名单</w:t>
            </w:r>
            <w:r>
              <w:rPr>
                <w:rFonts w:ascii="宋体" w:hAnsi="宋体" w:cs="宋体"/>
                <w:spacing w:val="-4"/>
                <w:sz w:val="21"/>
                <w:szCs w:val="21"/>
              </w:rPr>
              <w:t>”为准。（提供查询结果网页截图，并加盖公章。）</w:t>
            </w:r>
          </w:p>
        </w:tc>
      </w:tr>
      <w:tr w14:paraId="3BE4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3CA4D1">
            <w:pPr>
              <w:pStyle w:val="28"/>
              <w:kinsoku w:val="0"/>
              <w:overflowPunct w:val="0"/>
              <w:jc w:val="both"/>
              <w:rPr>
                <w:rFonts w:ascii="宋体" w:hAnsi="宋体"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5F7585F">
            <w:pPr>
              <w:pStyle w:val="28"/>
              <w:kinsoku w:val="0"/>
              <w:overflowPunct w:val="0"/>
              <w:spacing w:line="384" w:lineRule="auto"/>
              <w:ind w:right="132"/>
              <w:jc w:val="both"/>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2DB3661">
            <w:pPr>
              <w:pStyle w:val="28"/>
              <w:kinsoku w:val="0"/>
              <w:overflowPunct w:val="0"/>
              <w:jc w:val="center"/>
              <w:rPr>
                <w:rFonts w:ascii="宋体" w:hAnsi="宋体" w:cs="宋体"/>
                <w:sz w:val="21"/>
                <w:szCs w:val="21"/>
              </w:rPr>
            </w:pPr>
            <w:r>
              <w:rPr>
                <w:rFonts w:ascii="宋体" w:hAnsi="宋体" w:cs="宋体"/>
                <w:sz w:val="21"/>
                <w:szCs w:val="21"/>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5CDA8D9">
            <w:pPr>
              <w:pStyle w:val="28"/>
              <w:kinsoku w:val="0"/>
              <w:overflowPunct w:val="0"/>
              <w:jc w:val="both"/>
              <w:rPr>
                <w:rFonts w:ascii="宋体" w:hAnsi="宋体" w:cs="宋体"/>
                <w:sz w:val="21"/>
                <w:szCs w:val="21"/>
              </w:rPr>
            </w:pPr>
            <w:r>
              <w:rPr>
                <w:rFonts w:ascii="宋体" w:hAnsi="宋体" w:cs="宋体"/>
                <w:sz w:val="21"/>
                <w:szCs w:val="21"/>
              </w:rPr>
              <w:t>投标人已按第六章“投标文件格式”规定的内容签署盖章《投标人声明》，且总监理工程师签字确认</w:t>
            </w:r>
          </w:p>
        </w:tc>
      </w:tr>
      <w:tr w14:paraId="2435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52F3748">
            <w:pPr>
              <w:pStyle w:val="28"/>
              <w:kinsoku w:val="0"/>
              <w:overflowPunct w:val="0"/>
              <w:jc w:val="both"/>
              <w:rPr>
                <w:rFonts w:ascii="宋体" w:hAnsi="宋体"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1FDBEDF">
            <w:pPr>
              <w:pStyle w:val="28"/>
              <w:kinsoku w:val="0"/>
              <w:overflowPunct w:val="0"/>
              <w:spacing w:line="384" w:lineRule="auto"/>
              <w:ind w:right="132"/>
              <w:jc w:val="both"/>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64E9B46">
            <w:pPr>
              <w:pStyle w:val="28"/>
              <w:kinsoku w:val="0"/>
              <w:overflowPunct w:val="0"/>
              <w:jc w:val="center"/>
              <w:rPr>
                <w:rFonts w:ascii="宋体" w:hAnsi="宋体" w:cs="宋体"/>
                <w:sz w:val="21"/>
                <w:szCs w:val="21"/>
              </w:rPr>
            </w:pPr>
            <w:r>
              <w:rPr>
                <w:rFonts w:ascii="宋体" w:hAnsi="宋体" w:cs="宋体"/>
                <w:sz w:val="21"/>
                <w:szCs w:val="21"/>
              </w:rPr>
              <w:t>不存在禁止投标的情形</w:t>
            </w:r>
          </w:p>
        </w:tc>
        <w:tc>
          <w:tcPr>
            <w:tcW w:w="5011" w:type="dxa"/>
            <w:tcBorders>
              <w:top w:val="single" w:color="auto" w:sz="4" w:space="0"/>
              <w:left w:val="single" w:color="auto" w:sz="4" w:space="0"/>
              <w:right w:val="single" w:color="auto" w:sz="4" w:space="0"/>
              <w:tl2br w:val="nil"/>
              <w:tr2bl w:val="nil"/>
            </w:tcBorders>
            <w:vAlign w:val="center"/>
          </w:tcPr>
          <w:p w14:paraId="5BA37EC1">
            <w:pPr>
              <w:pStyle w:val="28"/>
              <w:kinsoku w:val="0"/>
              <w:overflowPunct w:val="0"/>
              <w:jc w:val="both"/>
              <w:rPr>
                <w:rFonts w:ascii="宋体" w:hAnsi="宋体" w:cs="宋体"/>
                <w:sz w:val="21"/>
                <w:szCs w:val="21"/>
              </w:rPr>
            </w:pPr>
            <w:r>
              <w:rPr>
                <w:rFonts w:ascii="宋体" w:hAnsi="宋体" w:cs="宋体"/>
                <w:sz w:val="21"/>
                <w:szCs w:val="21"/>
              </w:rPr>
              <w:t>不存在第二章“投标人须知”第 1.4.3项规定的任何一种情形</w:t>
            </w:r>
          </w:p>
        </w:tc>
      </w:tr>
      <w:tr w14:paraId="260A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764193F">
            <w:pPr>
              <w:pStyle w:val="28"/>
              <w:kinsoku w:val="0"/>
              <w:overflowPunct w:val="0"/>
              <w:jc w:val="both"/>
              <w:rPr>
                <w:rFonts w:ascii="宋体" w:hAnsi="宋体" w:cs="宋体"/>
                <w:sz w:val="21"/>
                <w:szCs w:val="21"/>
              </w:rPr>
            </w:pPr>
            <w:r>
              <w:rPr>
                <w:rFonts w:ascii="宋体" w:hAnsi="宋体" w:cs="宋体"/>
                <w:sz w:val="21"/>
                <w:szCs w:val="21"/>
              </w:rPr>
              <w:t>2.1.2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7644DBFE">
            <w:pPr>
              <w:pStyle w:val="28"/>
              <w:kinsoku w:val="0"/>
              <w:overflowPunct w:val="0"/>
              <w:spacing w:line="384" w:lineRule="auto"/>
              <w:ind w:right="132"/>
              <w:jc w:val="both"/>
              <w:rPr>
                <w:rFonts w:ascii="宋体" w:hAnsi="宋体" w:cs="宋体"/>
                <w:sz w:val="21"/>
                <w:szCs w:val="21"/>
              </w:rPr>
            </w:pPr>
            <w:r>
              <w:rPr>
                <w:rFonts w:ascii="宋体" w:hAnsi="宋体" w:cs="宋体"/>
                <w:sz w:val="21"/>
                <w:szCs w:val="21"/>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4F42472">
            <w:pPr>
              <w:pStyle w:val="28"/>
              <w:kinsoku w:val="0"/>
              <w:overflowPunct w:val="0"/>
              <w:spacing w:before="110"/>
              <w:jc w:val="center"/>
              <w:rPr>
                <w:rFonts w:ascii="宋体" w:hAnsi="宋体" w:cs="宋体"/>
                <w:sz w:val="21"/>
                <w:szCs w:val="21"/>
              </w:rPr>
            </w:pPr>
            <w:r>
              <w:rPr>
                <w:rFonts w:ascii="宋体" w:hAnsi="宋体" w:cs="宋体"/>
                <w:sz w:val="21"/>
                <w:szCs w:val="21"/>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A919119">
            <w:pPr>
              <w:pStyle w:val="28"/>
              <w:kinsoku w:val="0"/>
              <w:overflowPunct w:val="0"/>
              <w:spacing w:before="110"/>
              <w:jc w:val="both"/>
              <w:rPr>
                <w:rFonts w:ascii="宋体" w:hAnsi="宋体" w:cs="宋体"/>
                <w:sz w:val="21"/>
                <w:szCs w:val="21"/>
              </w:rPr>
            </w:pPr>
            <w:r>
              <w:rPr>
                <w:rFonts w:ascii="宋体" w:hAnsi="宋体" w:cs="宋体"/>
                <w:sz w:val="21"/>
                <w:szCs w:val="21"/>
                <w:u w:val="single"/>
              </w:rPr>
              <w:t>与营业执照或事业单位法人证书、资质证书一致；</w:t>
            </w:r>
          </w:p>
        </w:tc>
      </w:tr>
      <w:tr w14:paraId="0C89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vAlign w:val="center"/>
          </w:tcPr>
          <w:p w14:paraId="070C9575">
            <w:pPr>
              <w:pStyle w:val="28"/>
              <w:kinsoku w:val="0"/>
              <w:overflowPunct w:val="0"/>
              <w:jc w:val="both"/>
              <w:rPr>
                <w:rFonts w:ascii="宋体" w:hAnsi="宋体" w:cs="宋体"/>
                <w:sz w:val="21"/>
                <w:szCs w:val="21"/>
              </w:rPr>
            </w:pPr>
          </w:p>
        </w:tc>
        <w:tc>
          <w:tcPr>
            <w:tcW w:w="1300" w:type="dxa"/>
            <w:gridSpan w:val="2"/>
            <w:vMerge w:val="continue"/>
            <w:tcBorders>
              <w:left w:val="single" w:color="auto" w:sz="4" w:space="0"/>
              <w:right w:val="single" w:color="auto" w:sz="4" w:space="0"/>
              <w:tl2br w:val="nil"/>
              <w:tr2bl w:val="nil"/>
            </w:tcBorders>
            <w:vAlign w:val="center"/>
          </w:tcPr>
          <w:p w14:paraId="3B57FBE0">
            <w:pPr>
              <w:pStyle w:val="28"/>
              <w:kinsoku w:val="0"/>
              <w:overflowPunct w:val="0"/>
              <w:spacing w:line="384" w:lineRule="auto"/>
              <w:ind w:right="132"/>
              <w:jc w:val="both"/>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A84B77F">
            <w:pPr>
              <w:pStyle w:val="28"/>
              <w:kinsoku w:val="0"/>
              <w:overflowPunct w:val="0"/>
              <w:spacing w:before="110"/>
              <w:jc w:val="center"/>
              <w:rPr>
                <w:rFonts w:ascii="宋体" w:hAnsi="宋体" w:cs="宋体"/>
                <w:sz w:val="21"/>
                <w:szCs w:val="21"/>
              </w:rPr>
            </w:pPr>
            <w:r>
              <w:rPr>
                <w:rFonts w:ascii="宋体" w:hAnsi="宋体" w:cs="宋体"/>
                <w:sz w:val="21"/>
                <w:szCs w:val="21"/>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2DE1CD7">
            <w:pPr>
              <w:pStyle w:val="28"/>
              <w:kinsoku w:val="0"/>
              <w:overflowPunct w:val="0"/>
              <w:spacing w:before="110"/>
              <w:jc w:val="both"/>
              <w:rPr>
                <w:rFonts w:ascii="宋体" w:hAnsi="宋体" w:cs="宋体"/>
                <w:sz w:val="21"/>
                <w:szCs w:val="21"/>
              </w:rPr>
            </w:pPr>
            <w:r>
              <w:rPr>
                <w:rFonts w:ascii="宋体" w:hAnsi="宋体" w:cs="宋体"/>
                <w:sz w:val="21"/>
                <w:szCs w:val="21"/>
              </w:rPr>
              <w:t>投标人声明、廉洁承诺书、法定代表人证明书；委托投标的还应提供法人授权委托证明书</w:t>
            </w:r>
          </w:p>
        </w:tc>
      </w:tr>
      <w:tr w14:paraId="58E1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D5C09C">
            <w:pPr>
              <w:pStyle w:val="4"/>
              <w:kinsoku w:val="0"/>
              <w:overflowPunct w:val="0"/>
              <w:spacing w:before="120" w:after="120"/>
              <w:jc w:val="both"/>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F22F049">
            <w:pPr>
              <w:pStyle w:val="4"/>
              <w:kinsoku w:val="0"/>
              <w:overflowPunct w:val="0"/>
              <w:spacing w:before="120" w:after="120"/>
              <w:jc w:val="both"/>
              <w:rPr>
                <w:rFonts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E2EF5FA">
            <w:pPr>
              <w:pStyle w:val="28"/>
              <w:kinsoku w:val="0"/>
              <w:overflowPunct w:val="0"/>
              <w:ind w:right="180"/>
              <w:jc w:val="center"/>
              <w:rPr>
                <w:rFonts w:ascii="宋体" w:hAnsi="宋体" w:cs="宋体"/>
                <w:sz w:val="21"/>
                <w:szCs w:val="21"/>
              </w:rPr>
            </w:pPr>
            <w:r>
              <w:rPr>
                <w:rFonts w:ascii="宋体" w:hAnsi="宋体" w:cs="宋体"/>
                <w:spacing w:val="-2"/>
                <w:sz w:val="21"/>
                <w:szCs w:val="21"/>
              </w:rPr>
              <w:t>投标函及投标函附录签</w:t>
            </w:r>
            <w:r>
              <w:rPr>
                <w:rFonts w:ascii="宋体" w:hAnsi="宋体" w:cs="宋体"/>
                <w:spacing w:val="-84"/>
                <w:sz w:val="21"/>
                <w:szCs w:val="21"/>
              </w:rPr>
              <w:t xml:space="preserve"> </w:t>
            </w:r>
            <w:r>
              <w:rPr>
                <w:rFonts w:ascii="宋体" w:hAnsi="宋体" w:cs="宋体"/>
                <w:sz w:val="21"/>
                <w:szCs w:val="21"/>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A86878B">
            <w:pPr>
              <w:pStyle w:val="28"/>
              <w:kinsoku w:val="0"/>
              <w:overflowPunct w:val="0"/>
              <w:spacing w:before="107"/>
              <w:ind w:right="96"/>
              <w:jc w:val="both"/>
              <w:rPr>
                <w:rFonts w:ascii="宋体" w:hAnsi="宋体" w:cs="宋体"/>
                <w:sz w:val="21"/>
                <w:szCs w:val="21"/>
              </w:rPr>
            </w:pPr>
            <w:r>
              <w:rPr>
                <w:rFonts w:ascii="宋体" w:hAnsi="宋体" w:cs="宋体"/>
                <w:sz w:val="21"/>
                <w:szCs w:val="21"/>
              </w:rPr>
              <w:t>有法定代表人或其委托代理人签字或加盖单位章。由法定代表人签字的，应附法定代表人身份证明，由代理人签字的，应附授权委托书，身份证明或授权委托书应符合第六章“投标文件格式”的规定</w:t>
            </w:r>
          </w:p>
        </w:tc>
      </w:tr>
      <w:tr w14:paraId="372B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91BD73E">
            <w:pPr>
              <w:pStyle w:val="4"/>
              <w:kinsoku w:val="0"/>
              <w:overflowPunct w:val="0"/>
              <w:spacing w:before="120" w:after="120"/>
              <w:jc w:val="both"/>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8D5E0EA">
            <w:pPr>
              <w:pStyle w:val="4"/>
              <w:kinsoku w:val="0"/>
              <w:overflowPunct w:val="0"/>
              <w:spacing w:before="120" w:after="120"/>
              <w:jc w:val="both"/>
              <w:rPr>
                <w:rFonts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C5449AA">
            <w:pPr>
              <w:pStyle w:val="28"/>
              <w:kinsoku w:val="0"/>
              <w:overflowPunct w:val="0"/>
              <w:spacing w:before="107"/>
              <w:jc w:val="center"/>
              <w:rPr>
                <w:rFonts w:ascii="宋体" w:hAnsi="宋体" w:cs="宋体"/>
                <w:sz w:val="21"/>
                <w:szCs w:val="21"/>
              </w:rPr>
            </w:pPr>
            <w:r>
              <w:rPr>
                <w:rFonts w:ascii="宋体" w:hAnsi="宋体" w:cs="宋体"/>
                <w:sz w:val="21"/>
                <w:szCs w:val="21"/>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C5F1AB4">
            <w:pPr>
              <w:pStyle w:val="28"/>
              <w:kinsoku w:val="0"/>
              <w:overflowPunct w:val="0"/>
              <w:spacing w:before="107"/>
              <w:jc w:val="both"/>
              <w:rPr>
                <w:rFonts w:ascii="宋体" w:hAnsi="宋体" w:cs="宋体"/>
                <w:sz w:val="21"/>
                <w:szCs w:val="21"/>
              </w:rPr>
            </w:pPr>
            <w:r>
              <w:rPr>
                <w:rFonts w:ascii="宋体" w:hAnsi="宋体" w:cs="宋体"/>
                <w:sz w:val="21"/>
                <w:szCs w:val="21"/>
              </w:rPr>
              <w:t>符合第六章“投标文件格式”</w:t>
            </w:r>
            <w:r>
              <w:rPr>
                <w:rFonts w:hint="eastAsia" w:ascii="宋体" w:hAnsi="宋体" w:cs="宋体"/>
                <w:sz w:val="21"/>
                <w:szCs w:val="21"/>
              </w:rPr>
              <w:t>中《投标函及投标函附录》</w:t>
            </w:r>
            <w:r>
              <w:rPr>
                <w:rFonts w:ascii="宋体" w:hAnsi="宋体" w:cs="宋体"/>
                <w:sz w:val="21"/>
                <w:szCs w:val="21"/>
              </w:rPr>
              <w:t>的规定</w:t>
            </w:r>
          </w:p>
        </w:tc>
      </w:tr>
      <w:tr w14:paraId="06F5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30811F">
            <w:pPr>
              <w:pStyle w:val="4"/>
              <w:kinsoku w:val="0"/>
              <w:overflowPunct w:val="0"/>
              <w:spacing w:before="120" w:after="120"/>
              <w:jc w:val="both"/>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D73D77D">
            <w:pPr>
              <w:pStyle w:val="4"/>
              <w:kinsoku w:val="0"/>
              <w:overflowPunct w:val="0"/>
              <w:spacing w:before="120" w:after="120"/>
              <w:jc w:val="both"/>
              <w:rPr>
                <w:rFonts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095E655">
            <w:pPr>
              <w:pStyle w:val="28"/>
              <w:kinsoku w:val="0"/>
              <w:overflowPunct w:val="0"/>
              <w:jc w:val="center"/>
              <w:rPr>
                <w:rFonts w:ascii="宋体" w:hAnsi="宋体" w:cs="宋体"/>
                <w:sz w:val="21"/>
                <w:szCs w:val="21"/>
              </w:rPr>
            </w:pPr>
            <w:r>
              <w:rPr>
                <w:rFonts w:ascii="宋体" w:hAnsi="宋体" w:cs="宋体"/>
                <w:sz w:val="21"/>
                <w:szCs w:val="21"/>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E704499">
            <w:pPr>
              <w:pStyle w:val="28"/>
              <w:kinsoku w:val="0"/>
              <w:overflowPunct w:val="0"/>
              <w:spacing w:before="107"/>
              <w:jc w:val="both"/>
              <w:rPr>
                <w:rFonts w:ascii="宋体" w:hAnsi="宋体" w:cs="宋体"/>
                <w:sz w:val="21"/>
                <w:szCs w:val="21"/>
              </w:rPr>
            </w:pPr>
            <w:r>
              <w:rPr>
                <w:rFonts w:ascii="宋体" w:hAnsi="宋体" w:cs="宋体"/>
                <w:sz w:val="21"/>
                <w:szCs w:val="21"/>
              </w:rPr>
              <w:t>不允许联合体；</w:t>
            </w:r>
          </w:p>
        </w:tc>
      </w:tr>
      <w:tr w14:paraId="3B61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2D4D0CA">
            <w:pPr>
              <w:pStyle w:val="4"/>
              <w:kinsoku w:val="0"/>
              <w:overflowPunct w:val="0"/>
              <w:spacing w:before="120" w:after="120"/>
              <w:jc w:val="both"/>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B82A810">
            <w:pPr>
              <w:pStyle w:val="4"/>
              <w:kinsoku w:val="0"/>
              <w:overflowPunct w:val="0"/>
              <w:spacing w:before="120" w:after="120"/>
              <w:jc w:val="both"/>
              <w:rPr>
                <w:rFonts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CBAF2F6">
            <w:pPr>
              <w:pStyle w:val="28"/>
              <w:kinsoku w:val="0"/>
              <w:overflowPunct w:val="0"/>
              <w:jc w:val="center"/>
              <w:rPr>
                <w:rFonts w:ascii="宋体" w:hAnsi="宋体" w:cs="宋体"/>
                <w:sz w:val="21"/>
                <w:szCs w:val="21"/>
              </w:rPr>
            </w:pPr>
            <w:r>
              <w:rPr>
                <w:rFonts w:ascii="宋体" w:hAnsi="宋体" w:cs="宋体"/>
                <w:sz w:val="21"/>
                <w:szCs w:val="21"/>
              </w:rPr>
              <w:t>备选投标方案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9530EB5">
            <w:pPr>
              <w:pStyle w:val="28"/>
              <w:kinsoku w:val="0"/>
              <w:overflowPunct w:val="0"/>
              <w:spacing w:before="107"/>
              <w:jc w:val="both"/>
              <w:rPr>
                <w:rFonts w:ascii="宋体" w:hAnsi="宋体" w:cs="宋体"/>
                <w:sz w:val="21"/>
                <w:szCs w:val="21"/>
              </w:rPr>
            </w:pPr>
            <w:r>
              <w:rPr>
                <w:rFonts w:ascii="宋体" w:hAnsi="宋体" w:cs="宋体"/>
                <w:sz w:val="21"/>
                <w:szCs w:val="21"/>
              </w:rPr>
              <w:t>不接受备选投标方案；</w:t>
            </w:r>
          </w:p>
        </w:tc>
      </w:tr>
      <w:tr w14:paraId="4277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A793EAD">
            <w:pPr>
              <w:pStyle w:val="4"/>
              <w:kinsoku w:val="0"/>
              <w:overflowPunct w:val="0"/>
              <w:spacing w:before="120" w:after="120"/>
              <w:jc w:val="both"/>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E19EC5C">
            <w:pPr>
              <w:pStyle w:val="4"/>
              <w:kinsoku w:val="0"/>
              <w:overflowPunct w:val="0"/>
              <w:spacing w:before="120" w:after="120"/>
              <w:jc w:val="both"/>
              <w:rPr>
                <w:rFonts w:cs="宋体"/>
                <w:sz w:val="21"/>
                <w:szCs w:val="21"/>
              </w:rPr>
            </w:pPr>
          </w:p>
        </w:tc>
        <w:tc>
          <w:tcPr>
            <w:tcW w:w="2013" w:type="dxa"/>
            <w:tcBorders>
              <w:top w:val="single" w:color="auto" w:sz="4" w:space="0"/>
              <w:left w:val="single" w:color="auto" w:sz="4" w:space="0"/>
              <w:right w:val="single" w:color="auto" w:sz="4" w:space="0"/>
              <w:tl2br w:val="nil"/>
              <w:tr2bl w:val="nil"/>
            </w:tcBorders>
            <w:vAlign w:val="center"/>
          </w:tcPr>
          <w:p w14:paraId="66124DB4">
            <w:pPr>
              <w:jc w:val="center"/>
              <w:rPr>
                <w:rFonts w:ascii="宋体" w:hAnsi="宋体" w:cs="宋体"/>
                <w:sz w:val="21"/>
                <w:szCs w:val="21"/>
              </w:rPr>
            </w:pPr>
            <w:r>
              <w:rPr>
                <w:rFonts w:ascii="宋体"/>
                <w:sz w:val="21"/>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6627A4A">
            <w:pPr>
              <w:ind w:left="91" w:leftChars="38"/>
              <w:jc w:val="both"/>
              <w:rPr>
                <w:rFonts w:ascii="宋体" w:hAnsi="宋体" w:cs="宋体"/>
                <w:sz w:val="21"/>
                <w:szCs w:val="21"/>
              </w:rPr>
            </w:pPr>
            <w:r>
              <w:rPr>
                <w:rFonts w:ascii="宋体"/>
                <w:sz w:val="21"/>
              </w:rPr>
              <w:t>投标人与本项目其他投标人加密打包投标文件电脑机器特征码不一致的(以</w:t>
            </w:r>
            <w:r>
              <w:rPr>
                <w:rFonts w:hint="eastAsia" w:ascii="宋体"/>
                <w:sz w:val="21"/>
              </w:rPr>
              <w:t>广州交易集团有限公司（广州公共资源交易中心）</w:t>
            </w:r>
            <w:r>
              <w:rPr>
                <w:rFonts w:ascii="宋体"/>
                <w:sz w:val="21"/>
              </w:rPr>
              <w:t>交易平台</w:t>
            </w:r>
            <w:r>
              <w:rPr>
                <w:rFonts w:hint="eastAsia" w:ascii="宋体"/>
                <w:sz w:val="21"/>
              </w:rPr>
              <w:t>开标</w:t>
            </w:r>
            <w:r>
              <w:rPr>
                <w:rFonts w:ascii="宋体"/>
                <w:sz w:val="21"/>
              </w:rPr>
              <w:t>系统的检索信息为准)</w:t>
            </w:r>
          </w:p>
        </w:tc>
      </w:tr>
      <w:tr w14:paraId="6D3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5C4C418">
            <w:pPr>
              <w:pStyle w:val="28"/>
              <w:kinsoku w:val="0"/>
              <w:overflowPunct w:val="0"/>
              <w:jc w:val="both"/>
              <w:rPr>
                <w:rFonts w:ascii="宋体" w:hAnsi="宋体" w:cs="宋体"/>
                <w:sz w:val="21"/>
                <w:szCs w:val="21"/>
              </w:rPr>
            </w:pPr>
            <w:r>
              <w:rPr>
                <w:rFonts w:ascii="宋体" w:hAnsi="宋体" w:cs="宋体"/>
                <w:sz w:val="21"/>
                <w:szCs w:val="21"/>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6B8EF82E">
            <w:pPr>
              <w:pStyle w:val="28"/>
              <w:kinsoku w:val="0"/>
              <w:overflowPunct w:val="0"/>
              <w:jc w:val="both"/>
              <w:rPr>
                <w:rFonts w:ascii="宋体" w:hAnsi="宋体" w:cs="宋体"/>
                <w:sz w:val="21"/>
                <w:szCs w:val="21"/>
              </w:rPr>
            </w:pPr>
            <w:r>
              <w:rPr>
                <w:rFonts w:ascii="宋体" w:hAnsi="宋体" w:cs="宋体"/>
                <w:sz w:val="21"/>
                <w:szCs w:val="21"/>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BF687CF">
            <w:pPr>
              <w:pStyle w:val="28"/>
              <w:kinsoku w:val="0"/>
              <w:overflowPunct w:val="0"/>
              <w:jc w:val="center"/>
              <w:rPr>
                <w:rFonts w:ascii="宋体" w:hAnsi="宋体" w:cs="宋体"/>
                <w:sz w:val="21"/>
                <w:szCs w:val="21"/>
              </w:rPr>
            </w:pPr>
            <w:r>
              <w:rPr>
                <w:rFonts w:ascii="宋体" w:hAnsi="宋体" w:cs="宋体"/>
                <w:sz w:val="21"/>
                <w:szCs w:val="21"/>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365C6B4">
            <w:pPr>
              <w:pStyle w:val="28"/>
              <w:kinsoku w:val="0"/>
              <w:overflowPunct w:val="0"/>
              <w:jc w:val="both"/>
              <w:rPr>
                <w:rFonts w:ascii="宋体" w:hAnsi="宋体" w:cs="宋体"/>
                <w:sz w:val="21"/>
                <w:szCs w:val="21"/>
              </w:rPr>
            </w:pPr>
            <w:r>
              <w:rPr>
                <w:rFonts w:ascii="宋体" w:hAnsi="宋体" w:cs="宋体"/>
                <w:sz w:val="21"/>
                <w:szCs w:val="21"/>
              </w:rPr>
              <w:t>符合第二章“投标人须知”第3.2款规定</w:t>
            </w:r>
            <w:r>
              <w:rPr>
                <w:rFonts w:ascii="宋体" w:hAnsi="宋体" w:cs="宋体"/>
                <w:sz w:val="21"/>
                <w:szCs w:val="21"/>
                <w:u w:val="single"/>
              </w:rPr>
              <w:t>，对同一招标项目没有出现两个或以上的投标报价，且修正无依据；</w:t>
            </w:r>
          </w:p>
        </w:tc>
      </w:tr>
      <w:tr w14:paraId="5D46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4CECAE10">
            <w:pPr>
              <w:pStyle w:val="4"/>
              <w:kinsoku w:val="0"/>
              <w:overflowPunct w:val="0"/>
              <w:spacing w:before="120" w:after="120"/>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7EA296F3">
            <w:pPr>
              <w:pStyle w:val="4"/>
              <w:kinsoku w:val="0"/>
              <w:overflowPunct w:val="0"/>
              <w:spacing w:before="120" w:after="120"/>
              <w:rPr>
                <w:rFonts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AC940D5">
            <w:pPr>
              <w:pStyle w:val="28"/>
              <w:kinsoku w:val="0"/>
              <w:overflowPunct w:val="0"/>
              <w:jc w:val="center"/>
              <w:rPr>
                <w:rFonts w:ascii="宋体" w:hAnsi="宋体" w:cs="宋体"/>
                <w:sz w:val="21"/>
                <w:szCs w:val="21"/>
              </w:rPr>
            </w:pPr>
            <w:r>
              <w:rPr>
                <w:rFonts w:ascii="宋体" w:hAnsi="宋体" w:cs="宋体"/>
                <w:sz w:val="21"/>
                <w:szCs w:val="21"/>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D37A417">
            <w:pPr>
              <w:pStyle w:val="28"/>
              <w:kinsoku w:val="0"/>
              <w:overflowPunct w:val="0"/>
              <w:jc w:val="both"/>
              <w:rPr>
                <w:rFonts w:ascii="宋体" w:hAnsi="宋体" w:cs="宋体"/>
                <w:sz w:val="21"/>
                <w:szCs w:val="21"/>
              </w:rPr>
            </w:pPr>
            <w:r>
              <w:rPr>
                <w:rFonts w:ascii="宋体" w:hAnsi="宋体" w:cs="宋体"/>
                <w:sz w:val="21"/>
                <w:szCs w:val="21"/>
              </w:rPr>
              <w:t>符合第二章“投标人须知”第1.3.1项规定</w:t>
            </w:r>
            <w:r>
              <w:rPr>
                <w:rFonts w:ascii="宋体" w:hAnsi="宋体" w:cs="宋体"/>
                <w:sz w:val="21"/>
                <w:szCs w:val="21"/>
                <w:u w:val="single"/>
              </w:rPr>
              <w:t>，投标文件按规定的格式填写，内容齐全或关键字迹清晰、容易辩认；</w:t>
            </w:r>
          </w:p>
        </w:tc>
      </w:tr>
      <w:tr w14:paraId="6694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71877D3B">
            <w:pPr>
              <w:pStyle w:val="4"/>
              <w:kinsoku w:val="0"/>
              <w:overflowPunct w:val="0"/>
              <w:spacing w:before="120" w:after="120"/>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7530AC41">
            <w:pPr>
              <w:pStyle w:val="4"/>
              <w:kinsoku w:val="0"/>
              <w:overflowPunct w:val="0"/>
              <w:spacing w:before="120" w:after="120"/>
              <w:rPr>
                <w:rFonts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FC55F67">
            <w:pPr>
              <w:pStyle w:val="28"/>
              <w:kinsoku w:val="0"/>
              <w:overflowPunct w:val="0"/>
              <w:jc w:val="center"/>
              <w:rPr>
                <w:rFonts w:ascii="宋体" w:hAnsi="宋体" w:cs="宋体"/>
                <w:sz w:val="21"/>
                <w:szCs w:val="21"/>
              </w:rPr>
            </w:pPr>
            <w:r>
              <w:rPr>
                <w:rFonts w:ascii="宋体" w:hAnsi="宋体" w:cs="宋体"/>
                <w:sz w:val="21"/>
                <w:szCs w:val="21"/>
              </w:rPr>
              <w:t>监理服务期限</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9BC76B4">
            <w:pPr>
              <w:pStyle w:val="28"/>
              <w:kinsoku w:val="0"/>
              <w:overflowPunct w:val="0"/>
              <w:jc w:val="both"/>
              <w:rPr>
                <w:rFonts w:ascii="宋体" w:hAnsi="宋体" w:cs="宋体"/>
                <w:sz w:val="21"/>
                <w:szCs w:val="21"/>
              </w:rPr>
            </w:pPr>
            <w:r>
              <w:rPr>
                <w:rFonts w:ascii="宋体" w:hAnsi="宋体" w:cs="宋体"/>
                <w:sz w:val="21"/>
                <w:szCs w:val="21"/>
              </w:rPr>
              <w:t>符合第二章“投标人须知”第1.3.2项规定</w:t>
            </w:r>
            <w:r>
              <w:rPr>
                <w:rFonts w:hint="eastAsia" w:ascii="宋体" w:hAnsi="宋体" w:cs="宋体"/>
                <w:sz w:val="21"/>
                <w:szCs w:val="21"/>
              </w:rPr>
              <w:t>；</w:t>
            </w:r>
          </w:p>
        </w:tc>
      </w:tr>
      <w:tr w14:paraId="2777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78B0D4D7">
            <w:pPr>
              <w:pStyle w:val="4"/>
              <w:kinsoku w:val="0"/>
              <w:overflowPunct w:val="0"/>
              <w:spacing w:before="120" w:after="120"/>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18F5749A">
            <w:pPr>
              <w:pStyle w:val="4"/>
              <w:kinsoku w:val="0"/>
              <w:overflowPunct w:val="0"/>
              <w:spacing w:before="120" w:after="120"/>
              <w:rPr>
                <w:rFonts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BF2AAB4">
            <w:pPr>
              <w:pStyle w:val="28"/>
              <w:kinsoku w:val="0"/>
              <w:overflowPunct w:val="0"/>
              <w:jc w:val="center"/>
              <w:rPr>
                <w:rFonts w:ascii="宋体" w:hAnsi="宋体" w:cs="宋体"/>
                <w:sz w:val="21"/>
                <w:szCs w:val="21"/>
              </w:rPr>
            </w:pPr>
            <w:r>
              <w:rPr>
                <w:rFonts w:ascii="宋体" w:hAnsi="宋体" w:cs="宋体"/>
                <w:sz w:val="21"/>
                <w:szCs w:val="21"/>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32A1CFC">
            <w:pPr>
              <w:pStyle w:val="28"/>
              <w:kinsoku w:val="0"/>
              <w:overflowPunct w:val="0"/>
              <w:jc w:val="both"/>
              <w:rPr>
                <w:rFonts w:ascii="宋体" w:hAnsi="宋体" w:cs="宋体"/>
                <w:sz w:val="21"/>
                <w:szCs w:val="21"/>
              </w:rPr>
            </w:pPr>
            <w:r>
              <w:rPr>
                <w:rFonts w:ascii="宋体" w:hAnsi="宋体" w:cs="宋体"/>
                <w:sz w:val="21"/>
                <w:szCs w:val="21"/>
              </w:rPr>
              <w:t>符合第二章“投标人须知”第1.3.3项规定</w:t>
            </w:r>
            <w:r>
              <w:rPr>
                <w:rFonts w:hint="eastAsia" w:ascii="宋体" w:hAnsi="宋体" w:cs="宋体"/>
                <w:sz w:val="21"/>
                <w:szCs w:val="21"/>
              </w:rPr>
              <w:t>；</w:t>
            </w:r>
          </w:p>
        </w:tc>
      </w:tr>
      <w:tr w14:paraId="6AB9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2D2B986C">
            <w:pPr>
              <w:pStyle w:val="4"/>
              <w:kinsoku w:val="0"/>
              <w:overflowPunct w:val="0"/>
              <w:spacing w:before="120" w:after="120"/>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4B99F0B4">
            <w:pPr>
              <w:pStyle w:val="4"/>
              <w:kinsoku w:val="0"/>
              <w:overflowPunct w:val="0"/>
              <w:spacing w:before="120" w:after="120"/>
              <w:rPr>
                <w:rFonts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03F7E3B">
            <w:pPr>
              <w:pStyle w:val="28"/>
              <w:kinsoku w:val="0"/>
              <w:overflowPunct w:val="0"/>
              <w:jc w:val="center"/>
              <w:rPr>
                <w:rFonts w:ascii="宋体" w:hAnsi="宋体" w:cs="宋体"/>
                <w:sz w:val="21"/>
                <w:szCs w:val="21"/>
              </w:rPr>
            </w:pPr>
            <w:r>
              <w:rPr>
                <w:rFonts w:ascii="宋体" w:hAnsi="宋体" w:cs="宋体"/>
                <w:sz w:val="21"/>
                <w:szCs w:val="21"/>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F0BF779">
            <w:pPr>
              <w:pStyle w:val="28"/>
              <w:kinsoku w:val="0"/>
              <w:overflowPunct w:val="0"/>
              <w:jc w:val="both"/>
              <w:rPr>
                <w:rFonts w:ascii="宋体" w:hAnsi="宋体" w:cs="宋体"/>
                <w:sz w:val="21"/>
                <w:szCs w:val="21"/>
              </w:rPr>
            </w:pPr>
            <w:r>
              <w:rPr>
                <w:rFonts w:ascii="宋体" w:hAnsi="宋体" w:cs="宋体"/>
                <w:sz w:val="21"/>
                <w:szCs w:val="21"/>
              </w:rPr>
              <w:t>符合第二章“投标人须知”第3.3.1项规定</w:t>
            </w:r>
            <w:r>
              <w:rPr>
                <w:rFonts w:hint="eastAsia" w:ascii="宋体" w:hAnsi="宋体" w:cs="宋体"/>
                <w:sz w:val="21"/>
                <w:szCs w:val="21"/>
              </w:rPr>
              <w:t>；</w:t>
            </w:r>
          </w:p>
        </w:tc>
      </w:tr>
      <w:tr w14:paraId="640F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53237D35">
            <w:pPr>
              <w:pStyle w:val="4"/>
              <w:kinsoku w:val="0"/>
              <w:overflowPunct w:val="0"/>
              <w:spacing w:before="120" w:after="120"/>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2D3B4117">
            <w:pPr>
              <w:pStyle w:val="4"/>
              <w:kinsoku w:val="0"/>
              <w:overflowPunct w:val="0"/>
              <w:spacing w:before="120" w:after="120"/>
              <w:rPr>
                <w:rFonts w:cs="宋体"/>
                <w:sz w:val="21"/>
                <w:szCs w:val="21"/>
              </w:rPr>
            </w:pPr>
          </w:p>
        </w:tc>
        <w:tc>
          <w:tcPr>
            <w:tcW w:w="2013" w:type="dxa"/>
            <w:tcBorders>
              <w:top w:val="single" w:color="auto" w:sz="4" w:space="0"/>
              <w:left w:val="single" w:color="auto" w:sz="4" w:space="0"/>
              <w:right w:val="single" w:color="auto" w:sz="4" w:space="0"/>
              <w:tl2br w:val="nil"/>
              <w:tr2bl w:val="nil"/>
            </w:tcBorders>
            <w:vAlign w:val="center"/>
          </w:tcPr>
          <w:p w14:paraId="4354B69F">
            <w:pPr>
              <w:pStyle w:val="28"/>
              <w:kinsoku w:val="0"/>
              <w:overflowPunct w:val="0"/>
              <w:jc w:val="center"/>
              <w:rPr>
                <w:rFonts w:ascii="宋体" w:hAnsi="宋体" w:cs="宋体"/>
                <w:sz w:val="21"/>
                <w:szCs w:val="21"/>
              </w:rPr>
            </w:pPr>
            <w:r>
              <w:rPr>
                <w:rFonts w:ascii="宋体" w:hAnsi="宋体" w:cs="宋体"/>
                <w:sz w:val="21"/>
                <w:szCs w:val="21"/>
              </w:rPr>
              <w:t>投标保证金</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2FDC496">
            <w:pPr>
              <w:pStyle w:val="28"/>
              <w:kinsoku w:val="0"/>
              <w:overflowPunct w:val="0"/>
              <w:jc w:val="both"/>
              <w:rPr>
                <w:rFonts w:ascii="宋体" w:hAnsi="宋体" w:cs="宋体"/>
                <w:sz w:val="21"/>
                <w:szCs w:val="21"/>
              </w:rPr>
            </w:pPr>
            <w:r>
              <w:rPr>
                <w:rFonts w:ascii="宋体" w:hAnsi="宋体" w:cs="宋体"/>
                <w:sz w:val="21"/>
                <w:szCs w:val="21"/>
                <w:u w:val="single"/>
              </w:rPr>
              <w:t>按规定的格式及内容要求签署《关于投标保证金的承诺》；</w:t>
            </w:r>
          </w:p>
        </w:tc>
      </w:tr>
      <w:tr w14:paraId="70C6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3BF6D1AD">
            <w:pPr>
              <w:pStyle w:val="4"/>
              <w:kinsoku w:val="0"/>
              <w:overflowPunct w:val="0"/>
              <w:spacing w:before="120" w:after="120"/>
              <w:rPr>
                <w:rFonts w:cs="宋体"/>
                <w:sz w:val="21"/>
                <w:szCs w:val="21"/>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417356B7">
            <w:pPr>
              <w:pStyle w:val="4"/>
              <w:kinsoku w:val="0"/>
              <w:overflowPunct w:val="0"/>
              <w:spacing w:before="120" w:after="120"/>
              <w:rPr>
                <w:rFonts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9EC5559">
            <w:pPr>
              <w:spacing w:line="360" w:lineRule="exact"/>
              <w:jc w:val="center"/>
              <w:rPr>
                <w:rFonts w:ascii="宋体" w:hAnsi="宋体" w:cs="宋体"/>
                <w:sz w:val="21"/>
                <w:szCs w:val="21"/>
              </w:rPr>
            </w:pPr>
            <w:r>
              <w:rPr>
                <w:rFonts w:hint="eastAsia" w:ascii="宋体" w:hAnsi="宋体" w:cs="宋体"/>
                <w:sz w:val="21"/>
                <w:szCs w:val="21"/>
              </w:rPr>
              <w:t>串通投标情形</w:t>
            </w:r>
          </w:p>
        </w:tc>
        <w:tc>
          <w:tcPr>
            <w:tcW w:w="5011" w:type="dxa"/>
            <w:tcBorders>
              <w:top w:val="single" w:color="auto" w:sz="4" w:space="0"/>
              <w:left w:val="single" w:color="auto" w:sz="4" w:space="0"/>
              <w:bottom w:val="single" w:color="auto" w:sz="4" w:space="0"/>
              <w:right w:val="single" w:color="auto" w:sz="4" w:space="0"/>
              <w:tl2br w:val="nil"/>
              <w:tr2bl w:val="nil"/>
            </w:tcBorders>
          </w:tcPr>
          <w:p w14:paraId="4EF73E8A">
            <w:pPr>
              <w:spacing w:line="360" w:lineRule="exact"/>
              <w:rPr>
                <w:rFonts w:ascii="宋体" w:hAnsi="宋体" w:cs="宋体"/>
                <w:sz w:val="21"/>
                <w:szCs w:val="21"/>
              </w:rPr>
            </w:pPr>
            <w:r>
              <w:rPr>
                <w:rFonts w:hint="eastAsia" w:ascii="宋体" w:hAnsi="宋体" w:cs="宋体"/>
                <w:sz w:val="21"/>
                <w:szCs w:val="21"/>
              </w:rPr>
              <w:t>不存在串通投标情形（串通投标情形以《中华人民共和国招标投标法实施条例》的规定为准）。</w:t>
            </w:r>
          </w:p>
        </w:tc>
      </w:tr>
      <w:tr w14:paraId="5D7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CCA7731">
            <w:pPr>
              <w:pStyle w:val="28"/>
              <w:kinsoku w:val="0"/>
              <w:overflowPunct w:val="0"/>
              <w:spacing w:before="41"/>
              <w:jc w:val="center"/>
              <w:rPr>
                <w:rFonts w:ascii="宋体" w:hAnsi="宋体" w:cs="宋体"/>
                <w:b/>
                <w:sz w:val="21"/>
                <w:szCs w:val="21"/>
              </w:rPr>
            </w:pPr>
            <w:r>
              <w:rPr>
                <w:rFonts w:ascii="宋体" w:hAnsi="宋体" w:cs="宋体"/>
                <w:b/>
                <w:sz w:val="21"/>
                <w:szCs w:val="21"/>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843093F">
            <w:pPr>
              <w:pStyle w:val="28"/>
              <w:kinsoku w:val="0"/>
              <w:overflowPunct w:val="0"/>
              <w:spacing w:before="41"/>
              <w:jc w:val="center"/>
              <w:rPr>
                <w:rFonts w:ascii="宋体" w:hAnsi="宋体" w:cs="宋体"/>
                <w:b/>
                <w:sz w:val="21"/>
                <w:szCs w:val="21"/>
              </w:rPr>
            </w:pPr>
            <w:r>
              <w:rPr>
                <w:rFonts w:ascii="宋体" w:hAnsi="宋体" w:cs="宋体"/>
                <w:b/>
                <w:sz w:val="21"/>
                <w:szCs w:val="21"/>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6DA29E4">
            <w:pPr>
              <w:pStyle w:val="28"/>
              <w:kinsoku w:val="0"/>
              <w:overflowPunct w:val="0"/>
              <w:spacing w:before="41"/>
              <w:jc w:val="center"/>
              <w:rPr>
                <w:rFonts w:ascii="宋体" w:hAnsi="宋体" w:cs="宋体"/>
                <w:b/>
                <w:sz w:val="21"/>
                <w:szCs w:val="21"/>
              </w:rPr>
            </w:pPr>
            <w:r>
              <w:rPr>
                <w:rFonts w:ascii="宋体" w:hAnsi="宋体" w:cs="宋体"/>
                <w:b/>
                <w:sz w:val="21"/>
                <w:szCs w:val="21"/>
              </w:rPr>
              <w:t>编列内容</w:t>
            </w:r>
          </w:p>
        </w:tc>
      </w:tr>
      <w:tr w14:paraId="7C7C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2325E6D">
            <w:pPr>
              <w:pStyle w:val="28"/>
              <w:kinsoku w:val="0"/>
              <w:overflowPunct w:val="0"/>
              <w:jc w:val="center"/>
              <w:rPr>
                <w:rFonts w:ascii="宋体" w:hAnsi="宋体" w:cs="宋体"/>
                <w:sz w:val="21"/>
                <w:szCs w:val="21"/>
              </w:rPr>
            </w:pPr>
            <w:r>
              <w:rPr>
                <w:rFonts w:ascii="宋体" w:hAnsi="宋体" w:cs="宋体"/>
                <w:sz w:val="21"/>
                <w:szCs w:val="21"/>
              </w:rPr>
              <w:t>2.2.1</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EB8C2DD">
            <w:pPr>
              <w:pStyle w:val="28"/>
              <w:kinsoku w:val="0"/>
              <w:overflowPunct w:val="0"/>
              <w:jc w:val="center"/>
              <w:rPr>
                <w:rFonts w:ascii="宋体" w:hAnsi="宋体" w:cs="宋体"/>
                <w:sz w:val="21"/>
                <w:szCs w:val="21"/>
              </w:rPr>
            </w:pPr>
            <w:r>
              <w:rPr>
                <w:rFonts w:ascii="宋体" w:hAnsi="宋体" w:cs="宋体"/>
                <w:sz w:val="21"/>
                <w:szCs w:val="21"/>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7310056">
            <w:pPr>
              <w:pStyle w:val="28"/>
              <w:kinsoku w:val="0"/>
              <w:overflowPunct w:val="0"/>
              <w:jc w:val="both"/>
              <w:rPr>
                <w:rFonts w:ascii="宋体" w:hAnsi="宋体" w:cs="宋体"/>
                <w:sz w:val="21"/>
                <w:szCs w:val="21"/>
              </w:rPr>
            </w:pPr>
            <w:r>
              <w:rPr>
                <w:rFonts w:hint="eastAsia" w:ascii="宋体" w:hAnsi="宋体" w:cs="宋体"/>
                <w:sz w:val="21"/>
                <w:szCs w:val="21"/>
              </w:rPr>
              <w:t>1.</w:t>
            </w:r>
            <w:r>
              <w:rPr>
                <w:rFonts w:ascii="宋体" w:hAnsi="宋体" w:cs="宋体"/>
                <w:sz w:val="21"/>
                <w:szCs w:val="21"/>
              </w:rPr>
              <w:t>资信业绩部分：</w:t>
            </w:r>
            <w:r>
              <w:rPr>
                <w:rFonts w:hint="eastAsia" w:ascii="宋体" w:hAnsi="宋体" w:cs="宋体"/>
                <w:sz w:val="21"/>
                <w:szCs w:val="21"/>
                <w:u w:val="single"/>
              </w:rPr>
              <w:t>50</w:t>
            </w:r>
            <w:r>
              <w:rPr>
                <w:rFonts w:ascii="宋体" w:hAnsi="宋体" w:cs="宋体"/>
                <w:sz w:val="21"/>
                <w:szCs w:val="21"/>
              </w:rPr>
              <w:t>分</w:t>
            </w:r>
          </w:p>
          <w:p w14:paraId="614D00B8">
            <w:pPr>
              <w:pStyle w:val="28"/>
              <w:kinsoku w:val="0"/>
              <w:overflowPunct w:val="0"/>
              <w:jc w:val="both"/>
              <w:rPr>
                <w:rFonts w:ascii="宋体" w:hAnsi="宋体" w:cs="宋体"/>
                <w:sz w:val="21"/>
                <w:szCs w:val="21"/>
              </w:rPr>
            </w:pPr>
            <w:r>
              <w:rPr>
                <w:rFonts w:hint="eastAsia" w:ascii="宋体" w:hAnsi="宋体" w:cs="宋体"/>
                <w:sz w:val="21"/>
                <w:szCs w:val="21"/>
              </w:rPr>
              <w:t>2.</w:t>
            </w:r>
            <w:r>
              <w:rPr>
                <w:rFonts w:ascii="宋体" w:hAnsi="宋体" w:cs="宋体"/>
                <w:sz w:val="21"/>
                <w:szCs w:val="21"/>
              </w:rPr>
              <w:t>监理大纲部分：</w:t>
            </w:r>
            <w:r>
              <w:rPr>
                <w:rFonts w:hint="eastAsia" w:ascii="宋体" w:hAnsi="宋体" w:cs="宋体"/>
                <w:sz w:val="21"/>
                <w:szCs w:val="21"/>
                <w:u w:val="single"/>
              </w:rPr>
              <w:t>40</w:t>
            </w:r>
            <w:r>
              <w:rPr>
                <w:rFonts w:ascii="宋体" w:hAnsi="宋体" w:cs="宋体"/>
                <w:sz w:val="21"/>
                <w:szCs w:val="21"/>
              </w:rPr>
              <w:t>分</w:t>
            </w:r>
          </w:p>
          <w:p w14:paraId="5B019BEE">
            <w:pPr>
              <w:pStyle w:val="28"/>
              <w:kinsoku w:val="0"/>
              <w:overflowPunct w:val="0"/>
              <w:jc w:val="both"/>
              <w:rPr>
                <w:rFonts w:ascii="宋体" w:hAnsi="宋体" w:cs="宋体"/>
                <w:sz w:val="21"/>
                <w:szCs w:val="21"/>
              </w:rPr>
            </w:pPr>
            <w:r>
              <w:rPr>
                <w:rFonts w:hint="eastAsia" w:ascii="宋体" w:hAnsi="宋体" w:cs="宋体"/>
                <w:sz w:val="21"/>
                <w:szCs w:val="21"/>
              </w:rPr>
              <w:t>3.</w:t>
            </w:r>
            <w:r>
              <w:rPr>
                <w:rFonts w:ascii="宋体" w:hAnsi="宋体" w:cs="宋体"/>
                <w:sz w:val="21"/>
                <w:szCs w:val="21"/>
              </w:rPr>
              <w:t>投标报价：</w:t>
            </w:r>
            <w:r>
              <w:rPr>
                <w:rFonts w:hint="eastAsia" w:ascii="宋体" w:hAnsi="宋体" w:cs="宋体"/>
                <w:sz w:val="21"/>
                <w:szCs w:val="21"/>
                <w:u w:val="single"/>
              </w:rPr>
              <w:t>10</w:t>
            </w:r>
            <w:r>
              <w:rPr>
                <w:rFonts w:ascii="宋体" w:hAnsi="宋体" w:cs="宋体"/>
                <w:sz w:val="21"/>
                <w:szCs w:val="21"/>
              </w:rPr>
              <w:t>分</w:t>
            </w:r>
          </w:p>
          <w:p w14:paraId="7DC7B390">
            <w:pPr>
              <w:pStyle w:val="28"/>
              <w:kinsoku w:val="0"/>
              <w:overflowPunct w:val="0"/>
              <w:jc w:val="both"/>
              <w:rPr>
                <w:rFonts w:ascii="宋体" w:hAnsi="宋体" w:cs="宋体"/>
                <w:sz w:val="21"/>
                <w:szCs w:val="21"/>
              </w:rPr>
            </w:pPr>
            <w:r>
              <w:rPr>
                <w:rFonts w:hint="eastAsia" w:ascii="宋体" w:hAnsi="宋体" w:cs="宋体"/>
                <w:sz w:val="21"/>
                <w:szCs w:val="21"/>
              </w:rPr>
              <w:t>4.</w:t>
            </w:r>
            <w:r>
              <w:rPr>
                <w:rFonts w:ascii="宋体" w:hAnsi="宋体" w:cs="宋体"/>
                <w:sz w:val="21"/>
                <w:szCs w:val="21"/>
              </w:rPr>
              <w:t>诚信得分：</w:t>
            </w:r>
            <w:r>
              <w:rPr>
                <w:rFonts w:hint="eastAsia" w:ascii="宋体" w:hAnsi="宋体" w:cs="宋体"/>
                <w:sz w:val="21"/>
                <w:szCs w:val="21"/>
                <w:u w:val="single"/>
              </w:rPr>
              <w:t xml:space="preserve"> / </w:t>
            </w:r>
            <w:r>
              <w:rPr>
                <w:rFonts w:ascii="宋体" w:hAnsi="宋体" w:cs="宋体"/>
                <w:sz w:val="21"/>
                <w:szCs w:val="21"/>
              </w:rPr>
              <w:t>分</w:t>
            </w:r>
          </w:p>
          <w:p w14:paraId="6EAA779A">
            <w:pPr>
              <w:pStyle w:val="28"/>
              <w:kinsoku w:val="0"/>
              <w:overflowPunct w:val="0"/>
              <w:jc w:val="both"/>
              <w:rPr>
                <w:rFonts w:ascii="宋体" w:hAnsi="宋体" w:cs="宋体"/>
                <w:sz w:val="21"/>
                <w:szCs w:val="21"/>
              </w:rPr>
            </w:pPr>
            <w:r>
              <w:rPr>
                <w:rFonts w:hint="eastAsia" w:hAnsi="宋体" w:cs="宋体"/>
                <w:sz w:val="21"/>
                <w:szCs w:val="21"/>
              </w:rPr>
              <w:t>注：投标人综合得分为各评委1+2+3的总分计取的算术平均分（分数出现小数点时，保留小数点后二位，第三位小数四舍五入）</w:t>
            </w:r>
          </w:p>
        </w:tc>
      </w:tr>
      <w:tr w14:paraId="7DE3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334919E">
            <w:pPr>
              <w:pStyle w:val="28"/>
              <w:kinsoku w:val="0"/>
              <w:overflowPunct w:val="0"/>
              <w:jc w:val="center"/>
              <w:rPr>
                <w:rFonts w:ascii="宋体" w:hAnsi="宋体" w:cs="宋体"/>
                <w:sz w:val="21"/>
                <w:szCs w:val="21"/>
              </w:rPr>
            </w:pPr>
            <w:r>
              <w:rPr>
                <w:rFonts w:ascii="宋体" w:hAnsi="宋体" w:cs="宋体"/>
                <w:sz w:val="21"/>
                <w:szCs w:val="21"/>
              </w:rPr>
              <w:t>2.2.2</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205C69A">
            <w:pPr>
              <w:pStyle w:val="28"/>
              <w:kinsoku w:val="0"/>
              <w:overflowPunct w:val="0"/>
              <w:jc w:val="center"/>
              <w:rPr>
                <w:rFonts w:ascii="宋体" w:hAnsi="宋体" w:cs="宋体"/>
                <w:sz w:val="21"/>
                <w:szCs w:val="21"/>
              </w:rPr>
            </w:pPr>
            <w:r>
              <w:rPr>
                <w:rFonts w:ascii="宋体" w:hAnsi="宋体" w:cs="宋体"/>
                <w:sz w:val="21"/>
                <w:szCs w:val="21"/>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532463D">
            <w:pPr>
              <w:pStyle w:val="28"/>
              <w:kinsoku w:val="0"/>
              <w:overflowPunct w:val="0"/>
              <w:rPr>
                <w:rFonts w:ascii="宋体" w:hAnsi="宋体" w:cs="宋体"/>
                <w:sz w:val="21"/>
                <w:szCs w:val="21"/>
              </w:rPr>
            </w:pPr>
            <w:r>
              <w:rPr>
                <w:rFonts w:ascii="宋体" w:hAnsi="宋体" w:cs="宋体"/>
                <w:sz w:val="21"/>
                <w:szCs w:val="21"/>
              </w:rPr>
              <w:t>所有入围的有效投标价的算术平均值的作为评标基准价。</w:t>
            </w:r>
          </w:p>
          <w:p w14:paraId="1D74E01F">
            <w:pPr>
              <w:pStyle w:val="28"/>
              <w:kinsoku w:val="0"/>
              <w:overflowPunct w:val="0"/>
              <w:rPr>
                <w:rFonts w:ascii="宋体" w:hAnsi="宋体" w:cs="宋体"/>
                <w:sz w:val="21"/>
                <w:szCs w:val="21"/>
              </w:rPr>
            </w:pPr>
            <w:r>
              <w:rPr>
                <w:rFonts w:ascii="宋体" w:hAnsi="宋体" w:cs="宋体"/>
                <w:sz w:val="21"/>
                <w:szCs w:val="21"/>
              </w:rPr>
              <w:t>低于成本警戒价：</w:t>
            </w:r>
            <w:r>
              <w:rPr>
                <w:rFonts w:hint="eastAsia" w:ascii="宋体" w:hAnsi="宋体" w:cs="宋体"/>
                <w:sz w:val="21"/>
                <w:szCs w:val="21"/>
                <w:highlight w:val="none"/>
                <w:u w:val="single"/>
                <w:lang w:val="en-US" w:eastAsia="zh-CN"/>
              </w:rPr>
              <w:t>4677480.00</w:t>
            </w:r>
            <w:r>
              <w:rPr>
                <w:rFonts w:ascii="宋体" w:hAnsi="宋体" w:cs="宋体"/>
                <w:sz w:val="21"/>
                <w:szCs w:val="21"/>
              </w:rPr>
              <w:t>元（不含本数）的投标价不参与计算投标基准价。</w:t>
            </w:r>
          </w:p>
        </w:tc>
      </w:tr>
      <w:tr w14:paraId="364D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31DC6A0">
            <w:pPr>
              <w:pStyle w:val="28"/>
              <w:kinsoku w:val="0"/>
              <w:overflowPunct w:val="0"/>
              <w:jc w:val="center"/>
              <w:rPr>
                <w:rFonts w:ascii="宋体" w:hAnsi="宋体" w:cs="宋体"/>
                <w:sz w:val="21"/>
                <w:szCs w:val="21"/>
              </w:rPr>
            </w:pPr>
            <w:r>
              <w:rPr>
                <w:rFonts w:ascii="宋体" w:hAnsi="宋体" w:cs="宋体"/>
                <w:sz w:val="21"/>
                <w:szCs w:val="21"/>
              </w:rPr>
              <w:t>2.2.3</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4E98B6F">
            <w:pPr>
              <w:pStyle w:val="28"/>
              <w:kinsoku w:val="0"/>
              <w:overflowPunct w:val="0"/>
              <w:jc w:val="center"/>
              <w:rPr>
                <w:rFonts w:ascii="宋体" w:hAnsi="宋体" w:cs="宋体"/>
                <w:sz w:val="21"/>
                <w:szCs w:val="21"/>
              </w:rPr>
            </w:pPr>
            <w:r>
              <w:rPr>
                <w:rFonts w:ascii="宋体" w:hAnsi="宋体" w:cs="宋体"/>
                <w:sz w:val="21"/>
                <w:szCs w:val="21"/>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08E796D">
            <w:pPr>
              <w:pStyle w:val="28"/>
              <w:kinsoku w:val="0"/>
              <w:overflowPunct w:val="0"/>
              <w:rPr>
                <w:rFonts w:ascii="宋体" w:hAnsi="宋体" w:cs="宋体"/>
                <w:sz w:val="21"/>
                <w:szCs w:val="21"/>
              </w:rPr>
            </w:pPr>
            <w:r>
              <w:rPr>
                <w:rFonts w:ascii="宋体" w:hAnsi="宋体" w:cs="宋体"/>
                <w:sz w:val="21"/>
                <w:szCs w:val="21"/>
              </w:rPr>
              <w:t>投标报价偏差率=（投标报价-评标基准价）/评标基准价×100%。（偏差率出现小数点时，保留小数点后2位，第三位小数四舍五入。）</w:t>
            </w:r>
          </w:p>
        </w:tc>
      </w:tr>
      <w:tr w14:paraId="4645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42BF2AD">
            <w:pPr>
              <w:pStyle w:val="28"/>
              <w:kinsoku w:val="0"/>
              <w:overflowPunct w:val="0"/>
              <w:jc w:val="center"/>
              <w:rPr>
                <w:rFonts w:ascii="宋体" w:hAnsi="宋体" w:cs="宋体"/>
                <w:sz w:val="21"/>
                <w:szCs w:val="21"/>
              </w:rPr>
            </w:pPr>
          </w:p>
          <w:p w14:paraId="7ABC2ED4">
            <w:pPr>
              <w:pStyle w:val="28"/>
              <w:kinsoku w:val="0"/>
              <w:overflowPunct w:val="0"/>
              <w:jc w:val="center"/>
              <w:rPr>
                <w:rFonts w:ascii="宋体" w:hAnsi="宋体" w:cs="宋体"/>
                <w:sz w:val="21"/>
                <w:szCs w:val="21"/>
              </w:rPr>
            </w:pPr>
            <w:r>
              <w:rPr>
                <w:rFonts w:ascii="宋体" w:hAnsi="宋体" w:cs="宋体"/>
                <w:sz w:val="21"/>
                <w:szCs w:val="21"/>
              </w:rPr>
              <w:t>2.2.4</w:t>
            </w:r>
          </w:p>
          <w:p w14:paraId="151DD88A">
            <w:pPr>
              <w:pStyle w:val="28"/>
              <w:kinsoku w:val="0"/>
              <w:overflowPunct w:val="0"/>
              <w:jc w:val="center"/>
              <w:rPr>
                <w:rFonts w:ascii="宋体" w:hAnsi="宋体" w:cs="宋体"/>
                <w:sz w:val="21"/>
                <w:szCs w:val="21"/>
              </w:rPr>
            </w:pPr>
            <w:r>
              <w:rPr>
                <w:rFonts w:ascii="宋体" w:hAnsi="宋体" w:cs="宋体"/>
                <w:sz w:val="21"/>
                <w:szCs w:val="21"/>
              </w:rPr>
              <w:t>（1）</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95B534A">
            <w:pPr>
              <w:pStyle w:val="28"/>
              <w:kinsoku w:val="0"/>
              <w:overflowPunct w:val="0"/>
              <w:jc w:val="center"/>
              <w:rPr>
                <w:rFonts w:ascii="宋体" w:hAnsi="宋体" w:cs="宋体"/>
                <w:sz w:val="21"/>
                <w:szCs w:val="21"/>
              </w:rPr>
            </w:pPr>
          </w:p>
          <w:p w14:paraId="0535952B">
            <w:pPr>
              <w:pStyle w:val="28"/>
              <w:kinsoku w:val="0"/>
              <w:overflowPunct w:val="0"/>
              <w:jc w:val="center"/>
              <w:rPr>
                <w:rFonts w:ascii="宋体" w:hAnsi="宋体" w:cs="宋体"/>
                <w:sz w:val="21"/>
                <w:szCs w:val="21"/>
              </w:rPr>
            </w:pPr>
            <w:r>
              <w:rPr>
                <w:rFonts w:ascii="宋体" w:hAnsi="宋体" w:cs="宋体"/>
                <w:sz w:val="21"/>
                <w:szCs w:val="21"/>
              </w:rPr>
              <w:t>资信业绩评分标准（50分）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07E6CB8">
            <w:pPr>
              <w:tabs>
                <w:tab w:val="left" w:pos="720"/>
              </w:tabs>
              <w:snapToGrid w:val="0"/>
              <w:jc w:val="center"/>
              <w:rPr>
                <w:rFonts w:ascii="宋体" w:hAnsi="宋体"/>
                <w:sz w:val="21"/>
                <w:szCs w:val="21"/>
              </w:rPr>
            </w:pPr>
            <w:r>
              <w:rPr>
                <w:rFonts w:hint="eastAsia" w:ascii="宋体" w:hAnsi="宋体"/>
                <w:sz w:val="21"/>
                <w:szCs w:val="21"/>
              </w:rPr>
              <w:t>类似监理业绩</w:t>
            </w:r>
          </w:p>
          <w:p w14:paraId="7123E445">
            <w:pPr>
              <w:tabs>
                <w:tab w:val="left" w:pos="720"/>
              </w:tabs>
              <w:snapToGrid w:val="0"/>
              <w:jc w:val="center"/>
              <w:rPr>
                <w:rFonts w:ascii="宋体" w:hAnsi="宋体" w:cs="宋体"/>
                <w:sz w:val="21"/>
                <w:szCs w:val="21"/>
              </w:rPr>
            </w:pPr>
            <w:r>
              <w:rPr>
                <w:rFonts w:hint="eastAsia" w:ascii="宋体" w:hAnsi="宋体"/>
                <w:sz w:val="21"/>
                <w:szCs w:val="21"/>
              </w:rPr>
              <w:t>（12分）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476C9C4">
            <w:pPr>
              <w:tabs>
                <w:tab w:val="left" w:pos="720"/>
              </w:tabs>
              <w:snapToGrid w:val="0"/>
              <w:rPr>
                <w:rFonts w:ascii="宋体" w:hAnsi="宋体" w:cs="宋体"/>
                <w:b/>
                <w:sz w:val="21"/>
                <w:szCs w:val="21"/>
              </w:rPr>
            </w:pPr>
            <w:r>
              <w:rPr>
                <w:rFonts w:hint="eastAsia" w:ascii="宋体" w:hAnsi="宋体" w:cs="宋体"/>
                <w:sz w:val="21"/>
                <w:szCs w:val="21"/>
              </w:rPr>
              <w:t>投标人自2022年1月1日至今独立完成过类似监理项目。类似监理项目是指总投资金额大于等于</w:t>
            </w:r>
            <w:r>
              <w:rPr>
                <w:rFonts w:hint="eastAsia" w:ascii="宋体" w:hAnsi="宋体" w:cs="宋体"/>
                <w:sz w:val="21"/>
                <w:szCs w:val="21"/>
                <w:u w:val="single"/>
              </w:rPr>
              <w:t>20000</w:t>
            </w:r>
            <w:r>
              <w:rPr>
                <w:rFonts w:hint="eastAsia" w:ascii="宋体" w:hAnsi="宋体" w:cs="宋体"/>
                <w:sz w:val="21"/>
                <w:szCs w:val="21"/>
              </w:rPr>
              <w:t>万元的市政公用工程监理项目，每项得3分；项目总投资金额</w:t>
            </w:r>
            <w:r>
              <w:rPr>
                <w:rFonts w:hint="eastAsia" w:ascii="宋体" w:hAnsi="宋体" w:cs="宋体"/>
                <w:sz w:val="21"/>
                <w:szCs w:val="21"/>
                <w:u w:val="single"/>
              </w:rPr>
              <w:t>大于等于10000万元且小于20000万元</w:t>
            </w:r>
            <w:r>
              <w:rPr>
                <w:rFonts w:hint="eastAsia" w:ascii="宋体" w:hAnsi="宋体" w:cs="宋体"/>
                <w:sz w:val="21"/>
                <w:szCs w:val="21"/>
              </w:rPr>
              <w:t>的市政公用工程监理项目，每项得1分；本项最多得12分。</w:t>
            </w:r>
          </w:p>
        </w:tc>
      </w:tr>
      <w:tr w14:paraId="5B04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74F46557">
            <w:pPr>
              <w:pStyle w:val="28"/>
              <w:kinsoku w:val="0"/>
              <w:overflowPunct w:val="0"/>
              <w:jc w:val="center"/>
              <w:rPr>
                <w:rFonts w:ascii="宋体" w:hAnsi="宋体" w:cs="宋体"/>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tcPr>
          <w:p w14:paraId="2BAF2FE1">
            <w:pPr>
              <w:pStyle w:val="28"/>
              <w:kinsoku w:val="0"/>
              <w:overflowPunct w:val="0"/>
              <w:jc w:val="center"/>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7C3A01E">
            <w:pPr>
              <w:wordWrap w:val="0"/>
              <w:snapToGrid w:val="0"/>
              <w:jc w:val="center"/>
              <w:rPr>
                <w:rFonts w:ascii="宋体" w:hAnsi="宋体" w:cs="宋体"/>
                <w:sz w:val="21"/>
                <w:szCs w:val="21"/>
              </w:rPr>
            </w:pPr>
            <w:r>
              <w:rPr>
                <w:rFonts w:hint="eastAsia" w:ascii="宋体" w:hAnsi="宋体" w:cs="宋体"/>
                <w:sz w:val="21"/>
                <w:szCs w:val="21"/>
              </w:rPr>
              <w:t>获奖监理业绩</w:t>
            </w:r>
          </w:p>
          <w:p w14:paraId="17E02F93">
            <w:pPr>
              <w:wordWrap w:val="0"/>
              <w:snapToGrid w:val="0"/>
              <w:jc w:val="center"/>
              <w:rPr>
                <w:rFonts w:ascii="宋体" w:hAnsi="宋体" w:cs="宋体"/>
                <w:sz w:val="21"/>
                <w:szCs w:val="21"/>
              </w:rPr>
            </w:pPr>
            <w:r>
              <w:rPr>
                <w:rFonts w:hint="eastAsia" w:ascii="宋体" w:hAnsi="宋体" w:cs="宋体"/>
                <w:sz w:val="21"/>
                <w:szCs w:val="21"/>
              </w:rPr>
              <w:t>（12分）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2C018FC">
            <w:pPr>
              <w:widowControl/>
              <w:wordWrap w:val="0"/>
              <w:snapToGrid w:val="0"/>
              <w:rPr>
                <w:rFonts w:ascii="宋体" w:hAnsi="宋体" w:cs="宋体"/>
                <w:b/>
                <w:sz w:val="21"/>
                <w:szCs w:val="21"/>
              </w:rPr>
            </w:pPr>
            <w:r>
              <w:rPr>
                <w:rFonts w:hint="eastAsia" w:ascii="宋体" w:hAnsi="宋体" w:cs="宋体"/>
                <w:sz w:val="21"/>
                <w:szCs w:val="21"/>
              </w:rPr>
              <w:t>投标人自2022年1月1日至今独立完成过市政公用工程监理项目，获得国家级工程质量奖项的每项得4分，省级工程质量奖项的每项得2分，市级工程质量奖项的每项得1分，该项最多得12分。</w:t>
            </w:r>
          </w:p>
        </w:tc>
      </w:tr>
      <w:tr w14:paraId="4AD9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7F1AF20D">
            <w:pPr>
              <w:pStyle w:val="28"/>
              <w:kinsoku w:val="0"/>
              <w:overflowPunct w:val="0"/>
              <w:jc w:val="center"/>
              <w:rPr>
                <w:rFonts w:ascii="宋体" w:hAnsi="宋体" w:cs="宋体"/>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tcPr>
          <w:p w14:paraId="4490BBC6">
            <w:pPr>
              <w:pStyle w:val="28"/>
              <w:kinsoku w:val="0"/>
              <w:overflowPunct w:val="0"/>
              <w:jc w:val="center"/>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0B1DDA7">
            <w:pPr>
              <w:jc w:val="center"/>
              <w:rPr>
                <w:rFonts w:ascii="宋体" w:hAnsi="宋体" w:cs="宋体"/>
                <w:sz w:val="21"/>
                <w:szCs w:val="21"/>
              </w:rPr>
            </w:pPr>
            <w:r>
              <w:rPr>
                <w:rFonts w:hint="eastAsia" w:ascii="宋体" w:hAnsi="宋体" w:cs="宋体"/>
                <w:sz w:val="21"/>
                <w:szCs w:val="21"/>
              </w:rPr>
              <w:t>总监理工程师</w:t>
            </w:r>
          </w:p>
          <w:p w14:paraId="77F0E262">
            <w:pPr>
              <w:jc w:val="center"/>
              <w:rPr>
                <w:rFonts w:ascii="宋体" w:hAnsi="宋体" w:cs="宋体"/>
                <w:sz w:val="21"/>
                <w:szCs w:val="21"/>
              </w:rPr>
            </w:pPr>
            <w:r>
              <w:rPr>
                <w:rFonts w:hint="eastAsia" w:ascii="宋体" w:hAnsi="宋体" w:cs="宋体"/>
                <w:sz w:val="21"/>
                <w:szCs w:val="21"/>
              </w:rPr>
              <w:t>素质</w:t>
            </w:r>
          </w:p>
          <w:p w14:paraId="1F806916">
            <w:pPr>
              <w:jc w:val="center"/>
              <w:rPr>
                <w:rFonts w:ascii="宋体" w:hAnsi="宋体" w:cs="宋体"/>
                <w:sz w:val="21"/>
                <w:szCs w:val="21"/>
              </w:rPr>
            </w:pPr>
            <w:r>
              <w:rPr>
                <w:rFonts w:hint="eastAsia" w:ascii="宋体" w:hAnsi="宋体" w:cs="宋体"/>
                <w:sz w:val="21"/>
                <w:szCs w:val="21"/>
              </w:rPr>
              <w:t>（12分）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6657B9D">
            <w:pPr>
              <w:tabs>
                <w:tab w:val="left" w:pos="720"/>
              </w:tabs>
              <w:adjustRightInd/>
              <w:snapToGrid w:val="0"/>
              <w:rPr>
                <w:rFonts w:ascii="宋体" w:hAnsi="宋体" w:cs="宋体"/>
                <w:sz w:val="21"/>
                <w:szCs w:val="21"/>
              </w:rPr>
            </w:pPr>
            <w:r>
              <w:rPr>
                <w:rFonts w:hint="eastAsia" w:ascii="宋体" w:hAnsi="宋体" w:cs="宋体"/>
                <w:sz w:val="21"/>
                <w:szCs w:val="21"/>
              </w:rPr>
              <w:t>项目总监理工程师配备满足招标文件第五章委托人要求中《项目监理人员组成要求表》，且：</w:t>
            </w:r>
          </w:p>
          <w:p w14:paraId="28D4D149">
            <w:pPr>
              <w:tabs>
                <w:tab w:val="left" w:pos="720"/>
              </w:tabs>
              <w:adjustRightInd/>
              <w:snapToGrid w:val="0"/>
              <w:rPr>
                <w:rFonts w:ascii="宋体" w:hAnsi="宋体" w:cs="宋体"/>
                <w:sz w:val="21"/>
                <w:szCs w:val="21"/>
              </w:rPr>
            </w:pPr>
            <w:r>
              <w:rPr>
                <w:rFonts w:hint="eastAsia" w:ascii="宋体" w:hAnsi="宋体" w:cs="宋体"/>
                <w:sz w:val="21"/>
                <w:szCs w:val="21"/>
              </w:rPr>
              <w:t>（1）</w:t>
            </w:r>
            <w:r>
              <w:rPr>
                <w:rFonts w:ascii="宋体" w:hAnsi="Courier New"/>
                <w:sz w:val="21"/>
                <w:szCs w:val="21"/>
              </w:rPr>
              <w:t>取得监理工程师执业资格</w:t>
            </w:r>
            <w:r>
              <w:rPr>
                <w:rFonts w:hint="eastAsia" w:ascii="宋体" w:hAnsi="Courier New"/>
                <w:sz w:val="21"/>
                <w:szCs w:val="21"/>
              </w:rPr>
              <w:t>10</w:t>
            </w:r>
            <w:r>
              <w:rPr>
                <w:rFonts w:ascii="宋体" w:hAnsi="Courier New"/>
                <w:sz w:val="21"/>
                <w:szCs w:val="21"/>
              </w:rPr>
              <w:t>年</w:t>
            </w:r>
            <w:r>
              <w:rPr>
                <w:rFonts w:hint="eastAsia" w:ascii="宋体" w:hAnsi="Courier New"/>
                <w:sz w:val="21"/>
                <w:szCs w:val="21"/>
              </w:rPr>
              <w:t>（含本数）</w:t>
            </w:r>
            <w:r>
              <w:rPr>
                <w:rFonts w:ascii="宋体" w:hAnsi="Courier New"/>
                <w:sz w:val="21"/>
                <w:szCs w:val="21"/>
              </w:rPr>
              <w:t>及以上的得</w:t>
            </w:r>
            <w:r>
              <w:rPr>
                <w:rFonts w:hint="eastAsia" w:ascii="宋体" w:hAnsi="Courier New"/>
                <w:sz w:val="21"/>
                <w:szCs w:val="21"/>
              </w:rPr>
              <w:t>4</w:t>
            </w:r>
            <w:r>
              <w:rPr>
                <w:rFonts w:ascii="宋体" w:hAnsi="Courier New"/>
                <w:sz w:val="21"/>
                <w:szCs w:val="21"/>
              </w:rPr>
              <w:t>分；</w:t>
            </w:r>
            <w:r>
              <w:rPr>
                <w:rFonts w:hint="eastAsia" w:ascii="宋体" w:hAnsi="Courier New"/>
                <w:sz w:val="21"/>
                <w:szCs w:val="21"/>
              </w:rPr>
              <w:t>5年（含本数）至10</w:t>
            </w:r>
            <w:r>
              <w:rPr>
                <w:rFonts w:ascii="宋体" w:hAnsi="Courier New"/>
                <w:sz w:val="21"/>
                <w:szCs w:val="21"/>
              </w:rPr>
              <w:t>年</w:t>
            </w:r>
            <w:r>
              <w:rPr>
                <w:rFonts w:hint="eastAsia" w:ascii="宋体" w:hAnsi="Courier New"/>
                <w:sz w:val="21"/>
                <w:szCs w:val="21"/>
              </w:rPr>
              <w:t>（不含本数）</w:t>
            </w:r>
            <w:r>
              <w:rPr>
                <w:rFonts w:ascii="宋体" w:hAnsi="Courier New"/>
                <w:sz w:val="21"/>
                <w:szCs w:val="21"/>
              </w:rPr>
              <w:t>的得</w:t>
            </w:r>
            <w:r>
              <w:rPr>
                <w:rFonts w:hint="eastAsia" w:ascii="宋体" w:hAnsi="Courier New"/>
                <w:sz w:val="21"/>
                <w:szCs w:val="21"/>
              </w:rPr>
              <w:t>2</w:t>
            </w:r>
            <w:r>
              <w:rPr>
                <w:rFonts w:ascii="宋体" w:hAnsi="Courier New"/>
                <w:sz w:val="21"/>
                <w:szCs w:val="21"/>
              </w:rPr>
              <w:t>分；</w:t>
            </w:r>
            <w:r>
              <w:rPr>
                <w:rFonts w:hint="eastAsia" w:ascii="宋体" w:hAnsi="Courier New"/>
                <w:sz w:val="21"/>
                <w:szCs w:val="21"/>
              </w:rPr>
              <w:t>1年（含本数）至5</w:t>
            </w:r>
            <w:r>
              <w:rPr>
                <w:rFonts w:ascii="宋体" w:hAnsi="Courier New"/>
                <w:sz w:val="21"/>
                <w:szCs w:val="21"/>
              </w:rPr>
              <w:t>年</w:t>
            </w:r>
            <w:r>
              <w:rPr>
                <w:rFonts w:hint="eastAsia" w:ascii="宋体" w:hAnsi="Courier New"/>
                <w:sz w:val="21"/>
                <w:szCs w:val="21"/>
              </w:rPr>
              <w:t>（不含本数）</w:t>
            </w:r>
            <w:r>
              <w:rPr>
                <w:rFonts w:ascii="宋体" w:hAnsi="Courier New"/>
                <w:sz w:val="21"/>
                <w:szCs w:val="21"/>
              </w:rPr>
              <w:t>的</w:t>
            </w:r>
            <w:r>
              <w:rPr>
                <w:rFonts w:hint="eastAsia" w:ascii="宋体" w:hAnsi="Courier New"/>
                <w:sz w:val="21"/>
                <w:szCs w:val="21"/>
              </w:rPr>
              <w:t>得1</w:t>
            </w:r>
            <w:r>
              <w:rPr>
                <w:rFonts w:ascii="宋体" w:hAnsi="Courier New"/>
                <w:sz w:val="21"/>
                <w:szCs w:val="21"/>
              </w:rPr>
              <w:t>分；</w:t>
            </w:r>
            <w:r>
              <w:rPr>
                <w:rFonts w:hint="eastAsia" w:ascii="宋体" w:hAnsi="Courier New"/>
                <w:sz w:val="21"/>
                <w:szCs w:val="21"/>
              </w:rPr>
              <w:t>1年以下（不含本数）的不得分；</w:t>
            </w:r>
            <w:r>
              <w:rPr>
                <w:rFonts w:hint="eastAsia" w:ascii="宋体" w:hAnsi="宋体" w:cs="宋体"/>
                <w:sz w:val="21"/>
                <w:szCs w:val="21"/>
              </w:rPr>
              <w:t>本小项最多得4分。</w:t>
            </w:r>
            <w:r>
              <w:rPr>
                <w:rFonts w:ascii="宋体" w:hAnsi="Courier New"/>
                <w:sz w:val="21"/>
                <w:szCs w:val="21"/>
              </w:rPr>
              <w:t>(以监理工程师资格证的签发日期计算)</w:t>
            </w:r>
          </w:p>
          <w:p w14:paraId="0E2A817F">
            <w:pPr>
              <w:tabs>
                <w:tab w:val="left" w:pos="720"/>
              </w:tabs>
              <w:adjustRightInd/>
              <w:snapToGrid w:val="0"/>
              <w:rPr>
                <w:rFonts w:ascii="宋体" w:hAnsi="宋体" w:cs="宋体"/>
                <w:sz w:val="21"/>
                <w:szCs w:val="21"/>
              </w:rPr>
            </w:pPr>
            <w:r>
              <w:rPr>
                <w:rFonts w:hint="eastAsia" w:ascii="宋体" w:hAnsi="宋体" w:cs="宋体"/>
                <w:sz w:val="21"/>
                <w:szCs w:val="21"/>
              </w:rPr>
              <w:t>（2）2022年1月1日至今，以总监理工程师身份完成过质量合格的类似监理项目类似项目监理是指项目总投资金额大于等于</w:t>
            </w:r>
            <w:r>
              <w:rPr>
                <w:rFonts w:hint="eastAsia" w:ascii="宋体" w:hAnsi="宋体" w:cs="宋体"/>
                <w:sz w:val="21"/>
                <w:szCs w:val="21"/>
                <w:u w:val="single"/>
              </w:rPr>
              <w:t>20000</w:t>
            </w:r>
            <w:r>
              <w:rPr>
                <w:rFonts w:hint="eastAsia" w:ascii="宋体" w:hAnsi="宋体" w:cs="宋体"/>
                <w:sz w:val="21"/>
                <w:szCs w:val="21"/>
              </w:rPr>
              <w:t>万元的市政公用工程监理项目，每项得4分；项目总投资金额大于等于</w:t>
            </w:r>
            <w:r>
              <w:rPr>
                <w:rFonts w:hint="eastAsia" w:ascii="宋体" w:hAnsi="宋体" w:cs="宋体"/>
                <w:sz w:val="21"/>
                <w:szCs w:val="21"/>
                <w:u w:val="single"/>
              </w:rPr>
              <w:t>10000</w:t>
            </w:r>
            <w:r>
              <w:rPr>
                <w:rFonts w:hint="eastAsia" w:ascii="宋体" w:hAnsi="宋体" w:cs="宋体"/>
                <w:sz w:val="21"/>
                <w:szCs w:val="21"/>
              </w:rPr>
              <w:t>万元且小于</w:t>
            </w:r>
            <w:r>
              <w:rPr>
                <w:rFonts w:hint="eastAsia" w:ascii="宋体" w:hAnsi="宋体" w:cs="宋体"/>
                <w:sz w:val="21"/>
                <w:szCs w:val="21"/>
                <w:u w:val="single"/>
              </w:rPr>
              <w:t>20000</w:t>
            </w:r>
            <w:r>
              <w:rPr>
                <w:rFonts w:hint="eastAsia" w:ascii="宋体" w:hAnsi="宋体" w:cs="宋体"/>
                <w:sz w:val="21"/>
                <w:szCs w:val="21"/>
              </w:rPr>
              <w:t>万元的，每项得2分；本小项最多得4分。</w:t>
            </w:r>
          </w:p>
          <w:p w14:paraId="283BD8FE">
            <w:pPr>
              <w:tabs>
                <w:tab w:val="left" w:pos="720"/>
              </w:tabs>
              <w:adjustRightInd/>
              <w:snapToGrid w:val="0"/>
              <w:rPr>
                <w:rFonts w:ascii="宋体" w:hAnsi="宋体" w:cs="宋体"/>
                <w:sz w:val="21"/>
                <w:szCs w:val="21"/>
              </w:rPr>
            </w:pPr>
            <w:r>
              <w:rPr>
                <w:rFonts w:hint="eastAsia" w:ascii="宋体" w:hAnsi="宋体" w:cs="宋体"/>
                <w:sz w:val="21"/>
                <w:szCs w:val="21"/>
              </w:rPr>
              <w:t>（3）2022年1月1日至今，以总监理工程师身份完成过质量合格的市政公用工程监理项目，获得国家级工程质量奖项的每项得4分，省级工程质量奖项的每项得2分，市级工程质量奖项的每项得1分；本小项最多得4分。</w:t>
            </w:r>
          </w:p>
          <w:p w14:paraId="5A53518B">
            <w:pPr>
              <w:tabs>
                <w:tab w:val="left" w:pos="720"/>
              </w:tabs>
              <w:wordWrap/>
              <w:snapToGrid w:val="0"/>
              <w:rPr>
                <w:rFonts w:ascii="宋体" w:hAnsi="宋体" w:cs="宋体"/>
                <w:b/>
                <w:sz w:val="21"/>
                <w:szCs w:val="21"/>
              </w:rPr>
            </w:pPr>
            <w:r>
              <w:rPr>
                <w:rFonts w:hint="eastAsia" w:ascii="宋体" w:hAnsi="宋体" w:cs="宋体"/>
                <w:sz w:val="21"/>
                <w:szCs w:val="21"/>
              </w:rPr>
              <w:t>本项最多得12分。</w:t>
            </w:r>
          </w:p>
        </w:tc>
      </w:tr>
      <w:tr w14:paraId="3640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5A2BFF10">
            <w:pPr>
              <w:pStyle w:val="28"/>
              <w:kinsoku w:val="0"/>
              <w:overflowPunct w:val="0"/>
              <w:jc w:val="center"/>
              <w:rPr>
                <w:rFonts w:ascii="宋体" w:hAnsi="宋体" w:cs="宋体"/>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tcPr>
          <w:p w14:paraId="284458D6">
            <w:pPr>
              <w:pStyle w:val="28"/>
              <w:kinsoku w:val="0"/>
              <w:overflowPunct w:val="0"/>
              <w:jc w:val="center"/>
              <w:rPr>
                <w:rFonts w:ascii="宋体" w:hAnsi="宋体" w:cs="宋体"/>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2E8FE7A">
            <w:pPr>
              <w:jc w:val="center"/>
              <w:rPr>
                <w:rFonts w:ascii="宋体" w:hAnsi="宋体" w:cs="宋体"/>
                <w:sz w:val="21"/>
                <w:szCs w:val="21"/>
              </w:rPr>
            </w:pPr>
            <w:r>
              <w:rPr>
                <w:rFonts w:hint="eastAsia" w:ascii="宋体" w:hAnsi="宋体" w:cs="宋体"/>
                <w:sz w:val="21"/>
                <w:szCs w:val="21"/>
              </w:rPr>
              <w:t>监理专业人员的配备</w:t>
            </w:r>
          </w:p>
          <w:p w14:paraId="21F36CFB">
            <w:pPr>
              <w:jc w:val="center"/>
              <w:rPr>
                <w:rFonts w:ascii="宋体" w:hAnsi="宋体" w:cs="宋体"/>
                <w:sz w:val="21"/>
                <w:szCs w:val="21"/>
              </w:rPr>
            </w:pPr>
            <w:r>
              <w:rPr>
                <w:rFonts w:hint="eastAsia" w:ascii="宋体" w:hAnsi="宋体" w:cs="宋体"/>
                <w:sz w:val="21"/>
                <w:szCs w:val="21"/>
                <w:highlight w:val="none"/>
              </w:rPr>
              <w:t>（</w:t>
            </w:r>
            <w:r>
              <w:rPr>
                <w:rFonts w:hint="eastAsia" w:ascii="宋体" w:hAnsi="宋体" w:cs="宋体"/>
                <w:sz w:val="21"/>
                <w:szCs w:val="21"/>
              </w:rPr>
              <w:t>9</w:t>
            </w:r>
            <w:r>
              <w:rPr>
                <w:rFonts w:hint="eastAsia" w:ascii="宋体" w:hAnsi="宋体" w:cs="宋体"/>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ADCAF99">
            <w:pPr>
              <w:widowControl/>
              <w:snapToGrid w:val="0"/>
              <w:rPr>
                <w:rFonts w:ascii="宋体" w:hAnsi="宋体" w:cs="宋体"/>
                <w:b/>
                <w:sz w:val="21"/>
                <w:szCs w:val="21"/>
              </w:rPr>
            </w:pPr>
            <w:r>
              <w:rPr>
                <w:rFonts w:hint="eastAsia"/>
                <w:sz w:val="21"/>
                <w:szCs w:val="21"/>
              </w:rPr>
              <w:t>满足招标文件第五章委托人要求中《项目监理人员组成要求表》的，得3分，不满足《项目监理人员组成要求表》的，不得分。在满足《项目监理人员组成要求表》的基础上，其中配备的专业监理人员具有注册监理工程师资格的，每1人次加1.5分，最多加6分。</w:t>
            </w:r>
          </w:p>
        </w:tc>
      </w:tr>
      <w:tr w14:paraId="4F55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42A988F0">
            <w:pPr>
              <w:pStyle w:val="28"/>
              <w:kinsoku w:val="0"/>
              <w:overflowPunct w:val="0"/>
              <w:jc w:val="center"/>
              <w:rPr>
                <w:rFonts w:ascii="宋体" w:hAnsi="宋体" w:cs="宋体"/>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tcPr>
          <w:p w14:paraId="287BF08C">
            <w:pPr>
              <w:pStyle w:val="28"/>
              <w:kinsoku w:val="0"/>
              <w:overflowPunct w:val="0"/>
              <w:jc w:val="center"/>
              <w:rPr>
                <w:rFonts w:ascii="宋体" w:hAnsi="宋体" w:cs="宋体"/>
                <w:sz w:val="21"/>
                <w:szCs w:val="21"/>
              </w:rPr>
            </w:pPr>
          </w:p>
        </w:tc>
        <w:tc>
          <w:tcPr>
            <w:tcW w:w="2013" w:type="dxa"/>
            <w:tcBorders>
              <w:top w:val="single" w:color="auto" w:sz="4" w:space="0"/>
              <w:left w:val="single" w:color="auto" w:sz="4" w:space="0"/>
              <w:right w:val="single" w:color="auto" w:sz="4" w:space="0"/>
              <w:tl2br w:val="nil"/>
              <w:tr2bl w:val="nil"/>
            </w:tcBorders>
            <w:vAlign w:val="center"/>
          </w:tcPr>
          <w:p w14:paraId="3F859CF0">
            <w:pPr>
              <w:pStyle w:val="28"/>
              <w:kinsoku w:val="0"/>
              <w:jc w:val="center"/>
              <w:rPr>
                <w:rFonts w:ascii="宋体" w:hAnsi="宋体" w:cs="宋体"/>
                <w:sz w:val="21"/>
                <w:szCs w:val="21"/>
                <w:highlight w:val="none"/>
              </w:rPr>
            </w:pPr>
            <w:r>
              <w:rPr>
                <w:rFonts w:hint="eastAsia" w:ascii="宋体" w:hAnsi="宋体" w:cs="宋体"/>
                <w:sz w:val="21"/>
                <w:szCs w:val="21"/>
                <w:highlight w:val="none"/>
              </w:rPr>
              <w:t>检测设备</w:t>
            </w:r>
          </w:p>
          <w:p w14:paraId="6CFDC354">
            <w:pPr>
              <w:pStyle w:val="28"/>
              <w:kinsoku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rPr>
              <w:t>5</w:t>
            </w:r>
            <w:r>
              <w:rPr>
                <w:rFonts w:hint="eastAsia" w:ascii="宋体" w:hAnsi="宋体" w:cs="宋体"/>
                <w:sz w:val="21"/>
                <w:szCs w:val="21"/>
                <w:highlight w:val="none"/>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BC8D5C2">
            <w:pPr>
              <w:pStyle w:val="28"/>
              <w:kinsoku w:val="0"/>
              <w:rPr>
                <w:rFonts w:ascii="宋体" w:hAnsi="宋体" w:cs="宋体"/>
                <w:b/>
                <w:sz w:val="21"/>
                <w:szCs w:val="21"/>
                <w:highlight w:val="none"/>
              </w:rPr>
            </w:pPr>
            <w:r>
              <w:rPr>
                <w:rFonts w:hint="eastAsia"/>
                <w:sz w:val="21"/>
                <w:highlight w:val="none"/>
              </w:rPr>
              <w:t>满足招标文件第五章委托人要求中设备最低配置要求的得</w:t>
            </w:r>
            <w:r>
              <w:rPr>
                <w:sz w:val="21"/>
                <w:highlight w:val="none"/>
              </w:rPr>
              <w:t>2</w:t>
            </w:r>
            <w:r>
              <w:rPr>
                <w:rFonts w:hint="eastAsia"/>
                <w:sz w:val="21"/>
                <w:highlight w:val="none"/>
              </w:rPr>
              <w:t>分，不满足最低配置要求不得分。优于最低配置要求的得</w:t>
            </w:r>
            <w:r>
              <w:rPr>
                <w:rFonts w:hint="eastAsia"/>
                <w:sz w:val="21"/>
              </w:rPr>
              <w:t>5</w:t>
            </w:r>
            <w:r>
              <w:rPr>
                <w:rFonts w:hint="eastAsia"/>
                <w:sz w:val="21"/>
                <w:highlight w:val="none"/>
              </w:rPr>
              <w:t>分。</w:t>
            </w:r>
          </w:p>
        </w:tc>
      </w:tr>
      <w:tr w14:paraId="2A19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227A1D72">
            <w:pPr>
              <w:pStyle w:val="28"/>
              <w:kinsoku w:val="0"/>
              <w:overflowPunct w:val="0"/>
              <w:jc w:val="center"/>
              <w:rPr>
                <w:rFonts w:ascii="宋体" w:hAnsi="宋体" w:cs="宋体"/>
                <w:sz w:val="21"/>
                <w:szCs w:val="21"/>
              </w:rPr>
            </w:pPr>
            <w:r>
              <w:rPr>
                <w:rFonts w:ascii="宋体" w:hAnsi="宋体" w:cs="宋体"/>
                <w:sz w:val="21"/>
                <w:szCs w:val="21"/>
              </w:rPr>
              <w:t>2.2.4</w:t>
            </w:r>
          </w:p>
          <w:p w14:paraId="5F0945BA">
            <w:pPr>
              <w:pStyle w:val="28"/>
              <w:kinsoku w:val="0"/>
              <w:overflowPunct w:val="0"/>
              <w:jc w:val="center"/>
              <w:rPr>
                <w:rFonts w:ascii="宋体" w:hAnsi="宋体" w:cs="宋体"/>
                <w:b/>
                <w:sz w:val="21"/>
                <w:szCs w:val="21"/>
              </w:rPr>
            </w:pPr>
            <w:r>
              <w:rPr>
                <w:rFonts w:ascii="宋体" w:hAnsi="宋体" w:cs="宋体"/>
                <w:sz w:val="21"/>
                <w:szCs w:val="21"/>
              </w:rPr>
              <w:t>（2）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EB3800F">
            <w:pPr>
              <w:pStyle w:val="28"/>
              <w:kinsoku w:val="0"/>
              <w:overflowPunct w:val="0"/>
              <w:jc w:val="center"/>
              <w:rPr>
                <w:rFonts w:ascii="宋体" w:hAnsi="宋体" w:cs="宋体"/>
                <w:sz w:val="21"/>
                <w:szCs w:val="21"/>
              </w:rPr>
            </w:pPr>
            <w:r>
              <w:rPr>
                <w:rFonts w:ascii="宋体" w:hAnsi="宋体" w:cs="宋体"/>
                <w:sz w:val="21"/>
                <w:szCs w:val="21"/>
              </w:rPr>
              <w:t>监理大纲评分标准（40分）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FCA03F7">
            <w:pPr>
              <w:widowControl/>
              <w:snapToGrid w:val="0"/>
              <w:rPr>
                <w:rFonts w:ascii="宋体" w:hAnsi="宋体" w:cs="宋体"/>
                <w:sz w:val="21"/>
                <w:szCs w:val="21"/>
              </w:rPr>
            </w:pPr>
            <w:r>
              <w:rPr>
                <w:sz w:val="21"/>
                <w:szCs w:val="21"/>
              </w:rPr>
              <w:t>投资控制（</w:t>
            </w:r>
            <w:r>
              <w:rPr>
                <w:rFonts w:hint="eastAsia"/>
                <w:sz w:val="21"/>
                <w:szCs w:val="21"/>
              </w:rPr>
              <w:t>5</w:t>
            </w:r>
            <w:r>
              <w:rPr>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9B8AD33">
            <w:pPr>
              <w:widowControl/>
              <w:snapToGrid w:val="0"/>
              <w:rPr>
                <w:rFonts w:ascii="宋体" w:hAnsi="宋体" w:cs="宋体"/>
                <w:b/>
                <w:sz w:val="21"/>
                <w:szCs w:val="21"/>
              </w:rPr>
            </w:pPr>
            <w:r>
              <w:rPr>
                <w:sz w:val="21"/>
                <w:szCs w:val="21"/>
              </w:rPr>
              <w:t>要求目标明确、方法合理可行、措施具体、针对性强。措施为优得</w:t>
            </w:r>
            <w:r>
              <w:rPr>
                <w:rFonts w:hint="eastAsia"/>
                <w:sz w:val="21"/>
                <w:szCs w:val="21"/>
              </w:rPr>
              <w:t>5</w:t>
            </w:r>
            <w:r>
              <w:rPr>
                <w:sz w:val="21"/>
                <w:szCs w:val="21"/>
              </w:rPr>
              <w:t>分；措施良得</w:t>
            </w:r>
            <w:r>
              <w:rPr>
                <w:rFonts w:hint="eastAsia"/>
                <w:sz w:val="21"/>
                <w:szCs w:val="21"/>
              </w:rPr>
              <w:t>3</w:t>
            </w:r>
            <w:r>
              <w:rPr>
                <w:sz w:val="21"/>
                <w:szCs w:val="21"/>
              </w:rPr>
              <w:t>分；措施为一般得1分；无措施不得分。</w:t>
            </w:r>
          </w:p>
        </w:tc>
      </w:tr>
      <w:tr w14:paraId="4F2A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8C98B6D">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76093AB">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C93A70A">
            <w:pPr>
              <w:widowControl/>
              <w:snapToGrid w:val="0"/>
              <w:rPr>
                <w:rFonts w:ascii="宋体" w:hAnsi="宋体" w:cs="宋体"/>
                <w:sz w:val="21"/>
                <w:szCs w:val="21"/>
              </w:rPr>
            </w:pPr>
            <w:r>
              <w:rPr>
                <w:sz w:val="21"/>
                <w:szCs w:val="21"/>
              </w:rPr>
              <w:t>进度控制（</w:t>
            </w:r>
            <w:r>
              <w:rPr>
                <w:rFonts w:hint="eastAsia"/>
                <w:sz w:val="21"/>
                <w:szCs w:val="21"/>
              </w:rPr>
              <w:t>5</w:t>
            </w:r>
            <w:r>
              <w:rPr>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1B3293A">
            <w:pPr>
              <w:widowControl/>
              <w:snapToGrid w:val="0"/>
              <w:rPr>
                <w:rFonts w:ascii="宋体" w:hAnsi="宋体" w:cs="宋体"/>
                <w:b/>
                <w:sz w:val="21"/>
                <w:szCs w:val="21"/>
              </w:rPr>
            </w:pPr>
            <w:r>
              <w:rPr>
                <w:sz w:val="21"/>
                <w:szCs w:val="21"/>
              </w:rPr>
              <w:t>要求目标明确、方法合理可行、措施具体、针对性强。措施为优得</w:t>
            </w:r>
            <w:r>
              <w:rPr>
                <w:rFonts w:hint="eastAsia"/>
                <w:sz w:val="21"/>
                <w:szCs w:val="21"/>
              </w:rPr>
              <w:t>5</w:t>
            </w:r>
            <w:r>
              <w:rPr>
                <w:sz w:val="21"/>
                <w:szCs w:val="21"/>
              </w:rPr>
              <w:t>分；措施良得</w:t>
            </w:r>
            <w:r>
              <w:rPr>
                <w:rFonts w:hint="eastAsia"/>
                <w:sz w:val="21"/>
                <w:szCs w:val="21"/>
              </w:rPr>
              <w:t>3</w:t>
            </w:r>
            <w:r>
              <w:rPr>
                <w:sz w:val="21"/>
                <w:szCs w:val="21"/>
              </w:rPr>
              <w:t>分；措施为一般得1分；无措施不得分。</w:t>
            </w:r>
          </w:p>
        </w:tc>
      </w:tr>
      <w:tr w14:paraId="5A27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251BF86">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58B49C8">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E3241E2">
            <w:pPr>
              <w:widowControl/>
              <w:snapToGrid w:val="0"/>
              <w:rPr>
                <w:sz w:val="21"/>
                <w:szCs w:val="21"/>
              </w:rPr>
            </w:pPr>
            <w:r>
              <w:rPr>
                <w:sz w:val="21"/>
                <w:szCs w:val="21"/>
              </w:rPr>
              <w:t>质量控制（</w:t>
            </w:r>
            <w:r>
              <w:rPr>
                <w:rFonts w:hint="eastAsia"/>
                <w:sz w:val="21"/>
                <w:szCs w:val="21"/>
              </w:rPr>
              <w:t>5</w:t>
            </w:r>
            <w:r>
              <w:rPr>
                <w:sz w:val="21"/>
                <w:szCs w:val="21"/>
              </w:rPr>
              <w:t>分）</w:t>
            </w:r>
          </w:p>
          <w:p w14:paraId="22AE3151">
            <w:pPr>
              <w:widowControl/>
              <w:snapToGrid w:val="0"/>
              <w:rPr>
                <w:rFonts w:ascii="宋体" w:hAnsi="宋体" w:cs="宋体"/>
                <w:sz w:val="21"/>
                <w:szCs w:val="21"/>
              </w:rPr>
            </w:pP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FD8829A">
            <w:pPr>
              <w:widowControl/>
              <w:snapToGrid w:val="0"/>
              <w:rPr>
                <w:rFonts w:ascii="宋体" w:hAnsi="宋体" w:cs="宋体"/>
                <w:b/>
                <w:sz w:val="21"/>
                <w:szCs w:val="21"/>
              </w:rPr>
            </w:pPr>
            <w:r>
              <w:rPr>
                <w:sz w:val="21"/>
                <w:szCs w:val="21"/>
              </w:rPr>
              <w:t>要求目标明确、方法合理可行、措施具体、针对性强。措施为优得</w:t>
            </w:r>
            <w:r>
              <w:rPr>
                <w:rFonts w:hint="eastAsia"/>
                <w:sz w:val="21"/>
                <w:szCs w:val="21"/>
              </w:rPr>
              <w:t>5</w:t>
            </w:r>
            <w:r>
              <w:rPr>
                <w:sz w:val="21"/>
                <w:szCs w:val="21"/>
              </w:rPr>
              <w:t>分；措施良得</w:t>
            </w:r>
            <w:r>
              <w:rPr>
                <w:rFonts w:hint="eastAsia"/>
                <w:sz w:val="21"/>
                <w:szCs w:val="21"/>
              </w:rPr>
              <w:t>3</w:t>
            </w:r>
            <w:r>
              <w:rPr>
                <w:sz w:val="21"/>
                <w:szCs w:val="21"/>
              </w:rPr>
              <w:t>分；措施为一般得1分；无措施不得分。</w:t>
            </w:r>
          </w:p>
        </w:tc>
      </w:tr>
      <w:tr w14:paraId="25C2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B2E24B1">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2E608C">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14F124F">
            <w:pPr>
              <w:widowControl/>
              <w:snapToGrid w:val="0"/>
              <w:rPr>
                <w:rFonts w:ascii="宋体" w:hAnsi="宋体" w:cs="宋体"/>
                <w:sz w:val="21"/>
                <w:szCs w:val="21"/>
              </w:rPr>
            </w:pPr>
            <w:r>
              <w:rPr>
                <w:sz w:val="21"/>
                <w:szCs w:val="21"/>
              </w:rPr>
              <w:t>合同管理、信息管理（</w:t>
            </w:r>
            <w:r>
              <w:rPr>
                <w:rFonts w:hint="eastAsia"/>
                <w:sz w:val="21"/>
                <w:szCs w:val="21"/>
              </w:rPr>
              <w:t>2</w:t>
            </w:r>
            <w:r>
              <w:rPr>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2C94DC8">
            <w:pPr>
              <w:widowControl/>
              <w:snapToGrid w:val="0"/>
              <w:rPr>
                <w:rFonts w:ascii="宋体" w:hAnsi="宋体" w:cs="宋体"/>
                <w:b/>
                <w:sz w:val="21"/>
                <w:szCs w:val="21"/>
              </w:rPr>
            </w:pPr>
            <w:r>
              <w:rPr>
                <w:sz w:val="21"/>
                <w:szCs w:val="21"/>
              </w:rPr>
              <w:t>管理方法合理有效，针对性强、措施具体。措施为优得</w:t>
            </w:r>
            <w:r>
              <w:rPr>
                <w:rFonts w:hint="eastAsia"/>
                <w:sz w:val="21"/>
                <w:szCs w:val="21"/>
              </w:rPr>
              <w:t>2</w:t>
            </w:r>
            <w:r>
              <w:rPr>
                <w:sz w:val="21"/>
                <w:szCs w:val="21"/>
              </w:rPr>
              <w:t>分；措施良得</w:t>
            </w:r>
            <w:r>
              <w:rPr>
                <w:rFonts w:hint="eastAsia"/>
                <w:sz w:val="21"/>
                <w:szCs w:val="21"/>
              </w:rPr>
              <w:t>1</w:t>
            </w:r>
            <w:r>
              <w:rPr>
                <w:sz w:val="21"/>
                <w:szCs w:val="21"/>
              </w:rPr>
              <w:t>分；措施为一般得</w:t>
            </w:r>
            <w:r>
              <w:rPr>
                <w:rFonts w:hint="eastAsia"/>
                <w:sz w:val="21"/>
                <w:szCs w:val="21"/>
              </w:rPr>
              <w:t>0.5</w:t>
            </w:r>
            <w:r>
              <w:rPr>
                <w:sz w:val="21"/>
                <w:szCs w:val="21"/>
              </w:rPr>
              <w:t>分；无措施不得分。</w:t>
            </w:r>
          </w:p>
        </w:tc>
      </w:tr>
      <w:tr w14:paraId="1A66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655BB9E">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EF407E0">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D55074F">
            <w:pPr>
              <w:widowControl/>
              <w:snapToGrid w:val="0"/>
              <w:rPr>
                <w:rFonts w:ascii="宋体" w:hAnsi="宋体" w:cs="宋体"/>
                <w:sz w:val="21"/>
                <w:szCs w:val="21"/>
              </w:rPr>
            </w:pPr>
            <w:r>
              <w:rPr>
                <w:sz w:val="21"/>
                <w:szCs w:val="21"/>
              </w:rPr>
              <w:t>组织协调（</w:t>
            </w:r>
            <w:r>
              <w:rPr>
                <w:rFonts w:hint="eastAsia"/>
                <w:sz w:val="21"/>
                <w:szCs w:val="21"/>
              </w:rPr>
              <w:t>2</w:t>
            </w:r>
            <w:r>
              <w:rPr>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1EBF154">
            <w:pPr>
              <w:widowControl/>
              <w:snapToGrid w:val="0"/>
              <w:rPr>
                <w:rFonts w:ascii="宋体" w:hAnsi="宋体" w:cs="宋体"/>
                <w:b/>
                <w:sz w:val="21"/>
                <w:szCs w:val="21"/>
              </w:rPr>
            </w:pPr>
            <w:r>
              <w:rPr>
                <w:sz w:val="21"/>
                <w:szCs w:val="21"/>
              </w:rPr>
              <w:t>协调方法合理有效，针对性强、措施具体。合理可行得</w:t>
            </w:r>
            <w:r>
              <w:rPr>
                <w:rFonts w:hint="eastAsia"/>
                <w:sz w:val="21"/>
                <w:szCs w:val="21"/>
              </w:rPr>
              <w:t>2</w:t>
            </w:r>
            <w:r>
              <w:rPr>
                <w:sz w:val="21"/>
                <w:szCs w:val="21"/>
              </w:rPr>
              <w:t>分；基本可行得</w:t>
            </w:r>
            <w:r>
              <w:rPr>
                <w:rFonts w:hint="eastAsia"/>
                <w:sz w:val="21"/>
                <w:szCs w:val="21"/>
              </w:rPr>
              <w:t>1</w:t>
            </w:r>
            <w:r>
              <w:rPr>
                <w:sz w:val="21"/>
                <w:szCs w:val="21"/>
              </w:rPr>
              <w:t xml:space="preserve">分；措施不具体得 </w:t>
            </w:r>
            <w:r>
              <w:rPr>
                <w:rFonts w:hint="eastAsia"/>
                <w:sz w:val="21"/>
                <w:szCs w:val="21"/>
              </w:rPr>
              <w:t>0.5</w:t>
            </w:r>
            <w:r>
              <w:rPr>
                <w:sz w:val="21"/>
                <w:szCs w:val="21"/>
              </w:rPr>
              <w:t>分；无措施不得分。</w:t>
            </w:r>
          </w:p>
        </w:tc>
      </w:tr>
      <w:tr w14:paraId="2179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6F42F62">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0EF8479">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A5B8414">
            <w:pPr>
              <w:widowControl/>
              <w:snapToGrid w:val="0"/>
              <w:rPr>
                <w:rFonts w:ascii="宋体" w:hAnsi="宋体" w:cs="宋体"/>
                <w:sz w:val="21"/>
                <w:szCs w:val="21"/>
              </w:rPr>
            </w:pPr>
            <w:r>
              <w:rPr>
                <w:sz w:val="21"/>
                <w:szCs w:val="21"/>
              </w:rPr>
              <w:t>监理工作程序（</w:t>
            </w:r>
            <w:r>
              <w:rPr>
                <w:rFonts w:hint="eastAsia"/>
                <w:sz w:val="21"/>
                <w:szCs w:val="21"/>
              </w:rPr>
              <w:t>3</w:t>
            </w:r>
            <w:r>
              <w:rPr>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8BFC816">
            <w:pPr>
              <w:widowControl/>
              <w:snapToGrid w:val="0"/>
              <w:rPr>
                <w:rFonts w:ascii="宋体" w:hAnsi="宋体" w:cs="宋体"/>
                <w:b/>
                <w:sz w:val="21"/>
                <w:szCs w:val="21"/>
              </w:rPr>
            </w:pPr>
            <w:r>
              <w:rPr>
                <w:rFonts w:hint="eastAsia"/>
                <w:sz w:val="21"/>
                <w:szCs w:val="21"/>
              </w:rPr>
              <w:t>有详细的</w:t>
            </w:r>
            <w:r>
              <w:rPr>
                <w:sz w:val="21"/>
                <w:szCs w:val="21"/>
              </w:rPr>
              <w:t>工作流程图</w:t>
            </w:r>
            <w:r>
              <w:rPr>
                <w:rFonts w:hint="eastAsia"/>
                <w:sz w:val="21"/>
                <w:szCs w:val="21"/>
              </w:rPr>
              <w:t>。</w:t>
            </w:r>
            <w:r>
              <w:rPr>
                <w:sz w:val="21"/>
                <w:szCs w:val="21"/>
              </w:rPr>
              <w:t>优得</w:t>
            </w:r>
            <w:r>
              <w:rPr>
                <w:rFonts w:hint="eastAsia"/>
                <w:sz w:val="21"/>
                <w:szCs w:val="21"/>
              </w:rPr>
              <w:t>3</w:t>
            </w:r>
            <w:r>
              <w:rPr>
                <w:sz w:val="21"/>
                <w:szCs w:val="21"/>
              </w:rPr>
              <w:t>分；良得</w:t>
            </w:r>
            <w:r>
              <w:rPr>
                <w:rFonts w:hint="eastAsia"/>
                <w:sz w:val="21"/>
                <w:szCs w:val="21"/>
              </w:rPr>
              <w:t>2</w:t>
            </w:r>
            <w:r>
              <w:rPr>
                <w:sz w:val="21"/>
                <w:szCs w:val="21"/>
              </w:rPr>
              <w:t>分；一般得1分；无不得分。</w:t>
            </w:r>
          </w:p>
        </w:tc>
      </w:tr>
      <w:tr w14:paraId="6341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7299A11">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956C987">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9386C4C">
            <w:pPr>
              <w:widowControl/>
              <w:snapToGrid w:val="0"/>
              <w:rPr>
                <w:rFonts w:ascii="宋体" w:hAnsi="宋体" w:cs="宋体"/>
                <w:sz w:val="21"/>
                <w:szCs w:val="21"/>
              </w:rPr>
            </w:pPr>
            <w:r>
              <w:rPr>
                <w:sz w:val="21"/>
                <w:szCs w:val="21"/>
              </w:rPr>
              <w:t>安全、文明施工管理（</w:t>
            </w:r>
            <w:r>
              <w:rPr>
                <w:rFonts w:hint="eastAsia"/>
                <w:sz w:val="21"/>
                <w:szCs w:val="21"/>
              </w:rPr>
              <w:t>3</w:t>
            </w:r>
            <w:r>
              <w:rPr>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650FFE0">
            <w:pPr>
              <w:widowControl/>
              <w:snapToGrid w:val="0"/>
              <w:rPr>
                <w:rFonts w:ascii="宋体" w:hAnsi="宋体" w:cs="宋体"/>
                <w:b/>
                <w:sz w:val="21"/>
                <w:szCs w:val="21"/>
              </w:rPr>
            </w:pPr>
            <w:r>
              <w:rPr>
                <w:sz w:val="21"/>
                <w:szCs w:val="21"/>
              </w:rPr>
              <w:t>管理措施优得</w:t>
            </w:r>
            <w:r>
              <w:rPr>
                <w:rFonts w:hint="eastAsia"/>
                <w:sz w:val="21"/>
                <w:szCs w:val="21"/>
              </w:rPr>
              <w:t>3</w:t>
            </w:r>
            <w:r>
              <w:rPr>
                <w:sz w:val="21"/>
                <w:szCs w:val="21"/>
              </w:rPr>
              <w:t>分；良得</w:t>
            </w:r>
            <w:r>
              <w:rPr>
                <w:rFonts w:hint="eastAsia"/>
                <w:sz w:val="21"/>
                <w:szCs w:val="21"/>
              </w:rPr>
              <w:t>2</w:t>
            </w:r>
            <w:r>
              <w:rPr>
                <w:sz w:val="21"/>
                <w:szCs w:val="21"/>
              </w:rPr>
              <w:t>分；一般得1分；无措施不得分。</w:t>
            </w:r>
          </w:p>
        </w:tc>
      </w:tr>
      <w:tr w14:paraId="23DB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4B61438">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DE79EB0">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581D247">
            <w:pPr>
              <w:widowControl/>
              <w:snapToGrid w:val="0"/>
              <w:rPr>
                <w:rFonts w:ascii="宋体" w:hAnsi="宋体" w:cs="宋体"/>
                <w:sz w:val="21"/>
                <w:szCs w:val="21"/>
              </w:rPr>
            </w:pPr>
            <w:r>
              <w:rPr>
                <w:sz w:val="21"/>
                <w:szCs w:val="21"/>
              </w:rPr>
              <w:t>重点难点监控措施（</w:t>
            </w:r>
            <w:r>
              <w:rPr>
                <w:rFonts w:hint="eastAsia"/>
                <w:sz w:val="21"/>
                <w:szCs w:val="21"/>
              </w:rPr>
              <w:t>3</w:t>
            </w:r>
            <w:r>
              <w:rPr>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011D32C">
            <w:pPr>
              <w:widowControl/>
              <w:snapToGrid w:val="0"/>
              <w:rPr>
                <w:rFonts w:ascii="宋体" w:hAnsi="宋体" w:cs="宋体"/>
                <w:b/>
                <w:sz w:val="21"/>
                <w:szCs w:val="21"/>
              </w:rPr>
            </w:pPr>
            <w:r>
              <w:rPr>
                <w:sz w:val="21"/>
                <w:szCs w:val="21"/>
              </w:rPr>
              <w:t>要求针对性强、措施具体、可操作。措施为优得</w:t>
            </w:r>
            <w:r>
              <w:rPr>
                <w:rFonts w:hint="eastAsia"/>
                <w:sz w:val="21"/>
                <w:szCs w:val="21"/>
              </w:rPr>
              <w:t>3</w:t>
            </w:r>
            <w:r>
              <w:rPr>
                <w:sz w:val="21"/>
                <w:szCs w:val="21"/>
              </w:rPr>
              <w:t>分；措施为良得</w:t>
            </w:r>
            <w:r>
              <w:rPr>
                <w:rFonts w:hint="eastAsia"/>
                <w:sz w:val="21"/>
                <w:szCs w:val="21"/>
              </w:rPr>
              <w:t>2</w:t>
            </w:r>
            <w:r>
              <w:rPr>
                <w:sz w:val="21"/>
                <w:szCs w:val="21"/>
              </w:rPr>
              <w:t>分；措施为一般得1分；无措施不得分。</w:t>
            </w:r>
          </w:p>
        </w:tc>
      </w:tr>
      <w:tr w14:paraId="5FA4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93DB3A3">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6DC2A48">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E1D78A8">
            <w:pPr>
              <w:widowControl/>
              <w:snapToGrid w:val="0"/>
              <w:rPr>
                <w:rFonts w:ascii="宋体" w:hAnsi="宋体" w:cs="宋体"/>
                <w:sz w:val="21"/>
                <w:szCs w:val="21"/>
              </w:rPr>
            </w:pPr>
            <w:r>
              <w:rPr>
                <w:sz w:val="21"/>
                <w:szCs w:val="21"/>
              </w:rPr>
              <w:t>项目进度款、项目结算的管理（2分）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EAD0B55">
            <w:pPr>
              <w:widowControl/>
              <w:snapToGrid w:val="0"/>
              <w:rPr>
                <w:rFonts w:ascii="宋体" w:hAnsi="宋体" w:cs="宋体"/>
                <w:b/>
                <w:sz w:val="21"/>
                <w:szCs w:val="21"/>
              </w:rPr>
            </w:pPr>
            <w:r>
              <w:rPr>
                <w:sz w:val="21"/>
                <w:szCs w:val="21"/>
              </w:rPr>
              <w:t xml:space="preserve">管理方法合理有效、有具体措施得2分；方法措施一般得1分；措施不具体得 </w:t>
            </w:r>
            <w:r>
              <w:rPr>
                <w:rFonts w:hint="eastAsia"/>
                <w:sz w:val="21"/>
                <w:szCs w:val="21"/>
              </w:rPr>
              <w:t>0.5</w:t>
            </w:r>
            <w:r>
              <w:rPr>
                <w:sz w:val="21"/>
                <w:szCs w:val="21"/>
              </w:rPr>
              <w:t xml:space="preserve"> 分；无管理的方法和措施不得分。</w:t>
            </w:r>
          </w:p>
        </w:tc>
      </w:tr>
      <w:tr w14:paraId="46E3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2D92BB5">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AB3FB4C">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3500CD2">
            <w:pPr>
              <w:widowControl/>
              <w:snapToGrid w:val="0"/>
              <w:rPr>
                <w:rFonts w:ascii="宋体" w:hAnsi="宋体" w:cs="宋体"/>
                <w:sz w:val="21"/>
                <w:szCs w:val="21"/>
              </w:rPr>
            </w:pPr>
            <w:r>
              <w:rPr>
                <w:sz w:val="21"/>
                <w:szCs w:val="21"/>
              </w:rPr>
              <w:t>会议制度（2分）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A274266">
            <w:pPr>
              <w:widowControl/>
              <w:snapToGrid w:val="0"/>
              <w:rPr>
                <w:rFonts w:ascii="宋体" w:hAnsi="宋体" w:cs="宋体"/>
                <w:b/>
                <w:sz w:val="21"/>
                <w:szCs w:val="21"/>
              </w:rPr>
            </w:pPr>
            <w:r>
              <w:rPr>
                <w:sz w:val="21"/>
                <w:szCs w:val="21"/>
              </w:rPr>
              <w:t>建立完善的工地会议制度。满足要求得2分；较满足要求得1分；基本满足要求得</w:t>
            </w:r>
            <w:r>
              <w:rPr>
                <w:rFonts w:hint="eastAsia"/>
                <w:sz w:val="21"/>
                <w:szCs w:val="21"/>
              </w:rPr>
              <w:t>0.5</w:t>
            </w:r>
            <w:r>
              <w:rPr>
                <w:sz w:val="21"/>
                <w:szCs w:val="21"/>
              </w:rPr>
              <w:t>分；不满足要求不得分。</w:t>
            </w:r>
          </w:p>
        </w:tc>
      </w:tr>
      <w:tr w14:paraId="1E7C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3809641">
            <w:pPr>
              <w:pStyle w:val="28"/>
              <w:kinsoku w:val="0"/>
              <w:overflowPunct w:val="0"/>
              <w:spacing w:before="41"/>
              <w:jc w:val="center"/>
              <w:rPr>
                <w:rFonts w:ascii="宋体" w:hAnsi="宋体" w:cs="宋体"/>
                <w:b/>
                <w:sz w:val="21"/>
                <w:szCs w:val="21"/>
              </w:rPr>
            </w:pPr>
          </w:p>
          <w:p w14:paraId="3C3001EA">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5775F63">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6328078">
            <w:pPr>
              <w:widowControl/>
              <w:snapToGrid w:val="0"/>
              <w:rPr>
                <w:rFonts w:ascii="宋体" w:hAnsi="宋体" w:cs="宋体"/>
                <w:sz w:val="21"/>
                <w:szCs w:val="21"/>
              </w:rPr>
            </w:pPr>
            <w:r>
              <w:rPr>
                <w:sz w:val="21"/>
                <w:szCs w:val="21"/>
              </w:rPr>
              <w:t>合理化建议（</w:t>
            </w:r>
            <w:r>
              <w:rPr>
                <w:rFonts w:hint="eastAsia"/>
                <w:sz w:val="21"/>
                <w:szCs w:val="21"/>
              </w:rPr>
              <w:t>3</w:t>
            </w:r>
            <w:r>
              <w:rPr>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7B1EB4B">
            <w:pPr>
              <w:widowControl/>
              <w:snapToGrid w:val="0"/>
              <w:rPr>
                <w:rFonts w:ascii="宋体" w:hAnsi="宋体" w:cs="宋体"/>
                <w:b/>
                <w:sz w:val="21"/>
                <w:szCs w:val="21"/>
              </w:rPr>
            </w:pPr>
            <w:r>
              <w:rPr>
                <w:sz w:val="21"/>
                <w:szCs w:val="21"/>
              </w:rPr>
              <w:t>具有科学、合理、可行及具体措施的建议并经评委分析论证认同的可相应为优得</w:t>
            </w:r>
            <w:r>
              <w:rPr>
                <w:rFonts w:hint="eastAsia"/>
                <w:sz w:val="21"/>
                <w:szCs w:val="21"/>
              </w:rPr>
              <w:t>3</w:t>
            </w:r>
            <w:r>
              <w:rPr>
                <w:sz w:val="21"/>
                <w:szCs w:val="21"/>
              </w:rPr>
              <w:t>分；为良得</w:t>
            </w:r>
            <w:r>
              <w:rPr>
                <w:rFonts w:hint="eastAsia"/>
                <w:sz w:val="21"/>
                <w:szCs w:val="21"/>
              </w:rPr>
              <w:t>2</w:t>
            </w:r>
            <w:r>
              <w:rPr>
                <w:sz w:val="21"/>
                <w:szCs w:val="21"/>
              </w:rPr>
              <w:t>分；为一般得1分；无建议不得分。</w:t>
            </w:r>
          </w:p>
        </w:tc>
      </w:tr>
      <w:tr w14:paraId="75E9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001463D">
            <w:pPr>
              <w:pStyle w:val="28"/>
              <w:kinsoku w:val="0"/>
              <w:overflowPunct w:val="0"/>
              <w:spacing w:before="41"/>
              <w:jc w:val="center"/>
              <w:rPr>
                <w:rFonts w:ascii="宋体" w:hAnsi="宋体" w:cs="宋体"/>
                <w:b/>
                <w:sz w:val="21"/>
                <w:szCs w:val="21"/>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3E3F881">
            <w:pPr>
              <w:pStyle w:val="28"/>
              <w:kinsoku w:val="0"/>
              <w:overflowPunct w:val="0"/>
              <w:spacing w:before="41"/>
              <w:jc w:val="center"/>
              <w:rPr>
                <w:rFonts w:ascii="宋体" w:hAnsi="宋体" w:cs="宋体"/>
                <w:b/>
                <w:sz w:val="21"/>
                <w:szCs w:val="21"/>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8D256B4">
            <w:pPr>
              <w:widowControl/>
              <w:snapToGrid w:val="0"/>
              <w:jc w:val="center"/>
              <w:rPr>
                <w:sz w:val="21"/>
                <w:szCs w:val="21"/>
              </w:rPr>
            </w:pPr>
            <w:r>
              <w:rPr>
                <w:sz w:val="21"/>
                <w:szCs w:val="21"/>
              </w:rPr>
              <w:t>配合行政主管部门开展监督检查及加快项目推进的措施</w:t>
            </w:r>
          </w:p>
          <w:p w14:paraId="0B2CA662">
            <w:pPr>
              <w:widowControl/>
              <w:snapToGrid w:val="0"/>
              <w:jc w:val="center"/>
              <w:rPr>
                <w:rFonts w:ascii="宋体" w:hAnsi="宋体" w:cs="宋体"/>
                <w:sz w:val="21"/>
                <w:szCs w:val="21"/>
              </w:rPr>
            </w:pPr>
            <w:r>
              <w:rPr>
                <w:sz w:val="21"/>
                <w:szCs w:val="21"/>
              </w:rPr>
              <w:t>（</w:t>
            </w:r>
            <w:r>
              <w:rPr>
                <w:rFonts w:hint="eastAsia"/>
                <w:sz w:val="21"/>
                <w:szCs w:val="21"/>
              </w:rPr>
              <w:t>5</w:t>
            </w:r>
            <w:r>
              <w:rPr>
                <w:sz w:val="21"/>
                <w:szCs w:val="21"/>
              </w:rPr>
              <w:t>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D8884D2">
            <w:pPr>
              <w:widowControl/>
              <w:snapToGrid w:val="0"/>
              <w:rPr>
                <w:sz w:val="21"/>
                <w:szCs w:val="21"/>
              </w:rPr>
            </w:pPr>
            <w:r>
              <w:rPr>
                <w:sz w:val="21"/>
                <w:szCs w:val="21"/>
              </w:rPr>
              <w:t>结合投标人以往配合主管部门监督检查或加快项目推进的经历（可例举如配合参与主管部门的监督检查、配合开展救急抢修工作经验，或配合完成各级政府</w:t>
            </w:r>
            <w:r>
              <w:rPr>
                <w:rFonts w:hint="eastAsia"/>
                <w:sz w:val="21"/>
                <w:szCs w:val="21"/>
              </w:rPr>
              <w:t>的各项</w:t>
            </w:r>
            <w:r>
              <w:rPr>
                <w:sz w:val="21"/>
                <w:szCs w:val="21"/>
              </w:rPr>
              <w:t>任务等相关经历），编制针对本项目具体特点的配合行政主管部门开展监督检查及加快项目推进的措施。</w:t>
            </w:r>
          </w:p>
          <w:p w14:paraId="36594131">
            <w:pPr>
              <w:widowControl/>
              <w:snapToGrid w:val="0"/>
              <w:rPr>
                <w:rFonts w:ascii="宋体" w:hAnsi="宋体" w:cs="宋体"/>
                <w:b/>
                <w:sz w:val="21"/>
                <w:szCs w:val="21"/>
              </w:rPr>
            </w:pPr>
            <w:r>
              <w:rPr>
                <w:sz w:val="21"/>
                <w:szCs w:val="21"/>
              </w:rPr>
              <w:t>措施为优得</w:t>
            </w:r>
            <w:r>
              <w:rPr>
                <w:rFonts w:hint="eastAsia"/>
                <w:sz w:val="21"/>
                <w:szCs w:val="21"/>
              </w:rPr>
              <w:t>5</w:t>
            </w:r>
            <w:r>
              <w:rPr>
                <w:sz w:val="21"/>
                <w:szCs w:val="21"/>
              </w:rPr>
              <w:t>分；良得</w:t>
            </w:r>
            <w:r>
              <w:rPr>
                <w:rFonts w:hint="eastAsia"/>
                <w:sz w:val="21"/>
                <w:szCs w:val="21"/>
              </w:rPr>
              <w:t>3</w:t>
            </w:r>
            <w:r>
              <w:rPr>
                <w:sz w:val="21"/>
                <w:szCs w:val="21"/>
              </w:rPr>
              <w:t>分；为一般得1分；无措施不得分。</w:t>
            </w:r>
          </w:p>
        </w:tc>
      </w:tr>
      <w:tr w14:paraId="582B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1D26F1">
            <w:pPr>
              <w:pStyle w:val="28"/>
              <w:kinsoku w:val="0"/>
              <w:overflowPunct w:val="0"/>
              <w:jc w:val="center"/>
              <w:rPr>
                <w:rFonts w:ascii="宋体" w:hAnsi="宋体" w:cs="宋体"/>
                <w:sz w:val="21"/>
                <w:szCs w:val="21"/>
              </w:rPr>
            </w:pPr>
            <w:r>
              <w:rPr>
                <w:rFonts w:ascii="宋体" w:hAnsi="宋体" w:cs="宋体"/>
                <w:sz w:val="21"/>
                <w:szCs w:val="21"/>
              </w:rPr>
              <w:t>2.2.4</w:t>
            </w:r>
          </w:p>
          <w:p w14:paraId="5B90C681">
            <w:pPr>
              <w:pStyle w:val="28"/>
              <w:kinsoku w:val="0"/>
              <w:overflowPunct w:val="0"/>
              <w:jc w:val="center"/>
              <w:rPr>
                <w:rFonts w:ascii="宋体" w:hAnsi="宋体" w:cs="宋体"/>
                <w:sz w:val="21"/>
                <w:szCs w:val="21"/>
              </w:rPr>
            </w:pPr>
            <w:r>
              <w:rPr>
                <w:rFonts w:ascii="宋体" w:hAnsi="宋体" w:cs="宋体"/>
                <w:sz w:val="21"/>
                <w:szCs w:val="21"/>
              </w:rPr>
              <w:t>（3）</w:t>
            </w:r>
          </w:p>
          <w:p w14:paraId="5573FDC1">
            <w:pPr>
              <w:pStyle w:val="28"/>
              <w:kinsoku w:val="0"/>
              <w:overflowPunct w:val="0"/>
              <w:jc w:val="center"/>
              <w:rPr>
                <w:rFonts w:ascii="宋体" w:hAnsi="宋体" w:cs="宋体"/>
                <w:sz w:val="21"/>
                <w:szCs w:val="21"/>
              </w:rPr>
            </w:pP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16108A0E">
            <w:pPr>
              <w:pStyle w:val="28"/>
              <w:kinsoku w:val="0"/>
              <w:overflowPunct w:val="0"/>
              <w:jc w:val="center"/>
              <w:rPr>
                <w:rFonts w:ascii="宋体" w:hAnsi="宋体" w:cs="宋体"/>
                <w:sz w:val="21"/>
                <w:szCs w:val="21"/>
              </w:rPr>
            </w:pPr>
            <w:r>
              <w:rPr>
                <w:rFonts w:ascii="宋体" w:hAnsi="宋体" w:cs="宋体"/>
                <w:sz w:val="21"/>
                <w:szCs w:val="21"/>
              </w:rPr>
              <w:t>投标报价评分标准</w:t>
            </w:r>
          </w:p>
        </w:tc>
        <w:tc>
          <w:tcPr>
            <w:tcW w:w="2013" w:type="dxa"/>
            <w:tcBorders>
              <w:top w:val="single" w:color="auto" w:sz="4" w:space="0"/>
              <w:left w:val="single" w:color="auto" w:sz="4" w:space="0"/>
              <w:right w:val="single" w:color="auto" w:sz="4" w:space="0"/>
              <w:tl2br w:val="nil"/>
              <w:tr2bl w:val="nil"/>
            </w:tcBorders>
            <w:vAlign w:val="center"/>
          </w:tcPr>
          <w:p w14:paraId="42212521">
            <w:pPr>
              <w:pStyle w:val="28"/>
              <w:kinsoku w:val="0"/>
              <w:overflowPunct w:val="0"/>
              <w:jc w:val="center"/>
              <w:rPr>
                <w:rFonts w:ascii="宋体" w:hAnsi="宋体" w:cs="宋体"/>
                <w:sz w:val="21"/>
                <w:szCs w:val="21"/>
              </w:rPr>
            </w:pPr>
          </w:p>
          <w:p w14:paraId="30C0992F">
            <w:pPr>
              <w:pStyle w:val="28"/>
              <w:kinsoku w:val="0"/>
              <w:overflowPunct w:val="0"/>
              <w:jc w:val="center"/>
              <w:rPr>
                <w:rFonts w:ascii="宋体"/>
                <w:sz w:val="21"/>
              </w:rPr>
            </w:pPr>
            <w:r>
              <w:rPr>
                <w:rFonts w:ascii="宋体"/>
                <w:sz w:val="21"/>
              </w:rPr>
              <w:t>投标报价评审</w:t>
            </w:r>
          </w:p>
          <w:p w14:paraId="1DD280B9">
            <w:pPr>
              <w:pStyle w:val="28"/>
              <w:kinsoku w:val="0"/>
              <w:overflowPunct w:val="0"/>
              <w:jc w:val="center"/>
              <w:rPr>
                <w:rFonts w:ascii="宋体" w:hAnsi="宋体" w:cs="宋体"/>
                <w:sz w:val="21"/>
                <w:szCs w:val="21"/>
              </w:rPr>
            </w:pPr>
            <w:r>
              <w:rPr>
                <w:rFonts w:hint="eastAsia" w:ascii="宋体"/>
                <w:sz w:val="21"/>
              </w:rPr>
              <w:t>（10分）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5394275">
            <w:pPr>
              <w:widowControl/>
              <w:snapToGrid w:val="0"/>
              <w:spacing w:line="240" w:lineRule="auto"/>
              <w:rPr>
                <w:rFonts w:ascii="宋体" w:hAnsi="宋体" w:cs="宋体"/>
                <w:sz w:val="21"/>
                <w:szCs w:val="21"/>
              </w:rPr>
            </w:pPr>
            <w:r>
              <w:rPr>
                <w:rFonts w:ascii="Times New Roman" w:hAnsi="Times New Roman" w:cs="Times New Roman"/>
                <w:sz w:val="21"/>
                <w:szCs w:val="21"/>
              </w:rPr>
              <w:t>监理报价以竞争性报价形式的，监理报价得分以评标基准价作为计算各有效投标报价得分的基础，当有效投标报价等于评标基准价时得10分；有效投标报价与评标基准价相比，每上偏1%</w:t>
            </w:r>
            <w:r>
              <w:rPr>
                <w:rFonts w:ascii="Times New Roman" w:hAnsi="Times New Roman" w:cs="Times New Roman"/>
                <w:sz w:val="21"/>
                <w:szCs w:val="21"/>
                <w:highlight w:val="none"/>
              </w:rPr>
              <w:t>扣1分，每下偏</w:t>
            </w:r>
            <w:r>
              <w:rPr>
                <w:rFonts w:ascii="Times New Roman" w:hAnsi="Times New Roman" w:cs="Times New Roman"/>
                <w:sz w:val="21"/>
                <w:szCs w:val="21"/>
              </w:rPr>
              <w:t>1%</w:t>
            </w:r>
            <w:r>
              <w:rPr>
                <w:rFonts w:ascii="Times New Roman" w:hAnsi="Times New Roman" w:cs="Times New Roman"/>
                <w:sz w:val="21"/>
                <w:szCs w:val="21"/>
                <w:highlight w:val="none"/>
              </w:rPr>
              <w:t>扣0.5分，最多扣</w:t>
            </w:r>
            <w:r>
              <w:rPr>
                <w:rFonts w:ascii="Times New Roman" w:hAnsi="Times New Roman" w:cs="Times New Roman"/>
                <w:sz w:val="21"/>
                <w:szCs w:val="21"/>
              </w:rPr>
              <w:t>10分。（评分如出现小数点，则保留小数点后两位，第三位四舍五入）。</w:t>
            </w:r>
          </w:p>
        </w:tc>
      </w:tr>
    </w:tbl>
    <w:p w14:paraId="0AD63ACE">
      <w:pPr>
        <w:spacing w:line="400" w:lineRule="exact"/>
        <w:ind w:firstLine="420" w:firstLineChars="200"/>
        <w:rPr>
          <w:rFonts w:ascii="宋体" w:hAnsi="宋体" w:cs="宋体"/>
          <w:sz w:val="21"/>
          <w:szCs w:val="21"/>
        </w:rPr>
      </w:pPr>
      <w:r>
        <w:rPr>
          <w:rFonts w:hint="eastAsia" w:ascii="宋体" w:hAnsi="宋体" w:cs="宋体"/>
          <w:sz w:val="21"/>
          <w:szCs w:val="21"/>
        </w:rPr>
        <w:t>说明：</w:t>
      </w:r>
    </w:p>
    <w:p w14:paraId="11358463">
      <w:pPr>
        <w:numPr>
          <w:ilvl w:val="0"/>
          <w:numId w:val="0"/>
        </w:numPr>
        <w:snapToGrid/>
        <w:spacing w:before="0" w:beforeLines="-2147483648" w:line="360" w:lineRule="auto"/>
        <w:ind w:firstLine="420" w:firstLineChars="200"/>
        <w:rPr>
          <w:rFonts w:ascii="宋体" w:hAnsi="宋体" w:cs="宋体"/>
          <w:sz w:val="21"/>
          <w:szCs w:val="21"/>
        </w:rPr>
      </w:pPr>
      <w:r>
        <w:rPr>
          <w:rFonts w:hint="eastAsia" w:ascii="宋体" w:hAnsi="宋体" w:cs="宋体"/>
          <w:sz w:val="21"/>
          <w:szCs w:val="21"/>
        </w:rPr>
        <w:t>1、类似项目监理业绩需同时提供中标通知书或免招标证明、监理委托合同协议以及竣（完）工资料扫描件，以项目竣（完）工时间为准。总投资以合同载明为准，若合同未能体现总投资，则需提供立项批复文件或其他有效的证明材料。</w:t>
      </w:r>
    </w:p>
    <w:p w14:paraId="1DF2E8B0">
      <w:pPr>
        <w:spacing w:line="360" w:lineRule="auto"/>
        <w:ind w:firstLine="420" w:firstLineChars="200"/>
        <w:rPr>
          <w:rFonts w:ascii="宋体" w:hAnsi="宋体" w:cs="宋体"/>
          <w:sz w:val="21"/>
          <w:szCs w:val="21"/>
        </w:rPr>
      </w:pPr>
      <w:r>
        <w:rPr>
          <w:rFonts w:ascii="宋体" w:hAnsi="宋体" w:cs="宋体"/>
          <w:sz w:val="21"/>
          <w:szCs w:val="21"/>
        </w:rPr>
        <w:t>2、</w:t>
      </w:r>
      <w:r>
        <w:rPr>
          <w:rFonts w:hint="eastAsia" w:ascii="宋体" w:hAnsi="宋体" w:cs="宋体"/>
          <w:sz w:val="21"/>
          <w:szCs w:val="21"/>
        </w:rPr>
        <w:t>获奖监理业绩</w:t>
      </w:r>
      <w:r>
        <w:rPr>
          <w:rFonts w:ascii="宋体" w:hAnsi="宋体" w:cs="宋体"/>
          <w:sz w:val="21"/>
          <w:szCs w:val="21"/>
        </w:rPr>
        <w:t>需提供工程项目获奖证书</w:t>
      </w:r>
      <w:r>
        <w:rPr>
          <w:rFonts w:hint="eastAsia" w:ascii="宋体" w:hAnsi="宋体" w:cs="宋体"/>
          <w:sz w:val="21"/>
          <w:szCs w:val="21"/>
        </w:rPr>
        <w:t>（或获奖文件）和监理委托合同协议</w:t>
      </w:r>
      <w:r>
        <w:rPr>
          <w:rFonts w:ascii="宋体" w:hAnsi="宋体" w:cs="宋体"/>
          <w:sz w:val="21"/>
          <w:szCs w:val="21"/>
        </w:rPr>
        <w:t>扫描件，否则不计分。获奖时间以获奖证书颁发日期为准；①同一工程项目获得多个奖项的，按最高奖项计取，不重复计算。②</w:t>
      </w:r>
      <w:r>
        <w:rPr>
          <w:rFonts w:hint="eastAsia" w:ascii="宋体" w:hAnsi="宋体" w:cs="宋体"/>
          <w:sz w:val="21"/>
          <w:szCs w:val="21"/>
        </w:rPr>
        <w:t>包括但不限于中国建设工程鲁班奖、中国土木工程詹天佑奖、国家优质工程奖、国家优质工程金奖、市政工程最高质量水平评价等；省级工程质量奖项包括但不限于省级工程优质奖或省级优良样板工程奖或省级市政金杯示范工程奖等省级工程实体奖项；市级工程质量奖项包括但不限于市级工程优质奖或市级优良样板工程奖或市级市政金杯示范工程奖等市级工程实体奖项。若为社会组织机构颁发的证书，还需提供该机构已在民政管理部门登记备案的官网查询结果截图。</w:t>
      </w:r>
    </w:p>
    <w:p w14:paraId="254D0B32">
      <w:pPr>
        <w:spacing w:line="360" w:lineRule="auto"/>
        <w:ind w:firstLine="420" w:firstLineChars="200"/>
        <w:rPr>
          <w:rFonts w:ascii="宋体" w:hAnsi="宋体" w:cs="宋体"/>
          <w:sz w:val="21"/>
          <w:szCs w:val="21"/>
        </w:rPr>
      </w:pPr>
      <w:r>
        <w:rPr>
          <w:rFonts w:hint="eastAsia" w:ascii="宋体" w:hAnsi="宋体" w:cs="宋体"/>
          <w:sz w:val="21"/>
          <w:szCs w:val="21"/>
        </w:rPr>
        <w:t>3、监理人员需提供有效的身份证、相关证书证明及投标人企业（不含子公司）购买的社保证明文件的扫描件。（社保证明文件详见第二章《投标人须知前附表》10.4项）</w:t>
      </w:r>
    </w:p>
    <w:p w14:paraId="4CD35D2B">
      <w:pPr>
        <w:spacing w:line="360" w:lineRule="auto"/>
        <w:ind w:firstLine="420" w:firstLineChars="200"/>
        <w:rPr>
          <w:rFonts w:ascii="宋体" w:hAnsi="宋体" w:cs="宋体"/>
          <w:sz w:val="21"/>
          <w:szCs w:val="21"/>
        </w:rPr>
      </w:pPr>
      <w:r>
        <w:rPr>
          <w:rFonts w:hint="eastAsia" w:ascii="宋体" w:hAnsi="宋体" w:cs="宋体"/>
          <w:sz w:val="21"/>
          <w:szCs w:val="21"/>
        </w:rPr>
        <w:t>4、投标人提供的人员社保证明需提供投标截止时间最近一个月（时间为：</w:t>
      </w:r>
      <w:r>
        <w:rPr>
          <w:rFonts w:hint="eastAsia" w:ascii="宋体" w:hAnsi="宋体" w:cs="宋体"/>
          <w:sz w:val="21"/>
          <w:szCs w:val="21"/>
          <w:lang w:eastAsia="zh-CN"/>
        </w:rPr>
        <w:t>2025年8月</w:t>
      </w:r>
      <w:r>
        <w:rPr>
          <w:rFonts w:hint="eastAsia" w:ascii="宋体" w:hAnsi="宋体" w:cs="宋体"/>
          <w:sz w:val="21"/>
          <w:szCs w:val="21"/>
        </w:rPr>
        <w:t>）在本单位交纳的社保证明文件。</w:t>
      </w:r>
      <w:r>
        <w:rPr>
          <w:rFonts w:hint="eastAsia" w:ascii="宋体" w:hAnsi="宋体" w:eastAsia="宋体" w:cs="宋体"/>
          <w:color w:val="auto"/>
          <w:sz w:val="21"/>
          <w:szCs w:val="21"/>
          <w:highlight w:val="none"/>
          <w:u w:val="none"/>
        </w:rPr>
        <w:t>退休返聘人员需提供退休及返聘证明。社保证明文件以加盖社会保险基金管理中心印章的相关资料为准，退休返聘人员需提供退休及返聘证明。</w:t>
      </w:r>
    </w:p>
    <w:p w14:paraId="0A779209">
      <w:pPr>
        <w:spacing w:line="360" w:lineRule="auto"/>
        <w:ind w:firstLine="420" w:firstLineChars="200"/>
        <w:rPr>
          <w:rFonts w:ascii="宋体" w:hAnsi="宋体" w:cs="宋体"/>
          <w:sz w:val="21"/>
          <w:szCs w:val="21"/>
        </w:rPr>
      </w:pPr>
      <w:r>
        <w:rPr>
          <w:rFonts w:hint="eastAsia" w:ascii="宋体" w:hAnsi="宋体" w:cs="宋体"/>
          <w:sz w:val="21"/>
          <w:szCs w:val="21"/>
        </w:rPr>
        <w:t>5、上述证明资料不提供或提供不完整或提供不符合要求的不得分。</w:t>
      </w:r>
    </w:p>
    <w:p w14:paraId="5B5DA96A">
      <w:pPr>
        <w:kinsoku w:val="0"/>
        <w:overflowPunct w:val="0"/>
        <w:spacing w:before="120" w:after="120" w:line="360" w:lineRule="auto"/>
        <w:ind w:firstLine="420" w:firstLineChars="200"/>
        <w:rPr>
          <w:rFonts w:cs="宋体"/>
          <w:sz w:val="21"/>
          <w:szCs w:val="21"/>
        </w:rPr>
        <w:sectPr>
          <w:headerReference r:id="rId6" w:type="default"/>
          <w:footerReference r:id="rId7" w:type="default"/>
          <w:pgSz w:w="11905" w:h="16838"/>
          <w:pgMar w:top="1417" w:right="1417" w:bottom="1417" w:left="1417" w:header="992" w:footer="992" w:gutter="0"/>
          <w:cols w:space="720" w:num="1"/>
        </w:sectPr>
      </w:pPr>
      <w:r>
        <w:rPr>
          <w:rFonts w:ascii="宋体" w:hAnsi="宋体" w:cs="宋体"/>
          <w:sz w:val="21"/>
          <w:szCs w:val="21"/>
        </w:rPr>
        <w:t>6</w:t>
      </w:r>
      <w:r>
        <w:rPr>
          <w:rFonts w:hint="eastAsia" w:ascii="宋体" w:hAnsi="宋体" w:cs="宋体"/>
          <w:sz w:val="21"/>
          <w:szCs w:val="21"/>
        </w:rPr>
        <w:t>、投标人的综合得分为将各评委的评分取算术平均分（分数出现小数点时，保留小数点后二位，第三位小数四舍五入）。</w:t>
      </w:r>
    </w:p>
    <w:p w14:paraId="539A5860">
      <w:pPr>
        <w:pStyle w:val="25"/>
        <w:ind w:firstLine="0" w:firstLineChars="0"/>
        <w:rPr>
          <w:rFonts w:hint="default"/>
        </w:rPr>
      </w:pPr>
      <w:bookmarkStart w:id="94" w:name="bookmark84"/>
      <w:bookmarkEnd w:id="94"/>
    </w:p>
    <w:p w14:paraId="511262E3">
      <w:pPr>
        <w:spacing w:line="360" w:lineRule="auto"/>
        <w:ind w:firstLine="560" w:firstLineChars="200"/>
        <w:jc w:val="center"/>
        <w:rPr>
          <w:rFonts w:ascii="黑体" w:hAnsi="黑体" w:eastAsia="黑体"/>
          <w:sz w:val="28"/>
          <w:szCs w:val="27"/>
        </w:rPr>
      </w:pPr>
      <w:r>
        <w:rPr>
          <w:rFonts w:hint="eastAsia" w:ascii="黑体" w:hAnsi="黑体" w:eastAsia="黑体"/>
          <w:sz w:val="28"/>
          <w:szCs w:val="27"/>
        </w:rPr>
        <w:t>评标办法修改表</w:t>
      </w:r>
    </w:p>
    <w:p w14:paraId="6097A439">
      <w:pPr>
        <w:pStyle w:val="20"/>
        <w:spacing w:line="360" w:lineRule="auto"/>
        <w:ind w:firstLine="480"/>
        <w:rPr>
          <w:rFonts w:hint="default" w:ascii="宋体" w:hAnsi="宋体" w:eastAsia="宋体"/>
          <w:sz w:val="24"/>
        </w:rPr>
      </w:pPr>
      <w:r>
        <w:rPr>
          <w:rFonts w:ascii="宋体" w:hAnsi="宋体" w:eastAsia="宋体"/>
          <w:sz w:val="24"/>
        </w:rPr>
        <w:t>声明：本评标办法使用</w:t>
      </w:r>
      <w:r>
        <w:rPr>
          <w:rFonts w:ascii="仿宋_GB2312" w:hAnsi="宋体" w:eastAsia="仿宋_GB2312"/>
          <w:sz w:val="24"/>
        </w:rPr>
        <w:t>SWZB2024-05</w:t>
      </w:r>
      <w:r>
        <w:rPr>
          <w:rFonts w:ascii="宋体" w:hAnsi="宋体" w:eastAsia="宋体"/>
          <w:sz w:val="24"/>
        </w:rPr>
        <w:t>招标文件范本的评标办法条款，与该条款不同之处，均在本表中列明，并以现文为准，原文不再有效。</w:t>
      </w:r>
    </w:p>
    <w:p w14:paraId="19405FBD">
      <w:pPr>
        <w:pStyle w:val="20"/>
        <w:spacing w:line="360" w:lineRule="auto"/>
        <w:ind w:firstLine="482"/>
        <w:rPr>
          <w:rFonts w:hint="default" w:ascii="宋体" w:hAnsi="宋体" w:eastAsia="宋体"/>
          <w:b/>
          <w:sz w:val="24"/>
          <w:szCs w:val="21"/>
        </w:rPr>
      </w:pPr>
    </w:p>
    <w:p w14:paraId="0AFDBB0D">
      <w:pPr>
        <w:spacing w:line="480" w:lineRule="auto"/>
        <w:ind w:firstLine="537" w:firstLineChars="224"/>
        <w:rPr>
          <w:rFonts w:ascii="宋体" w:hAnsi="宋体"/>
          <w:szCs w:val="21"/>
        </w:rPr>
      </w:pPr>
      <w:r>
        <w:rPr>
          <w:rFonts w:hint="eastAsia" w:ascii="宋体" w:hAnsi="宋体"/>
          <w:szCs w:val="21"/>
        </w:rPr>
        <w:t>条款号：</w:t>
      </w:r>
      <w:bookmarkStart w:id="95" w:name="_Toc262229169"/>
      <w:bookmarkEnd w:id="95"/>
      <w:bookmarkStart w:id="96" w:name="_Toc155150493"/>
      <w:bookmarkEnd w:id="96"/>
      <w:bookmarkStart w:id="97" w:name="_Toc359263257"/>
      <w:bookmarkEnd w:id="97"/>
      <w:r>
        <w:rPr>
          <w:rFonts w:hint="eastAsia" w:ascii="宋体" w:hAnsi="宋体"/>
          <w:szCs w:val="21"/>
        </w:rPr>
        <w:t>3.1.4    修改类型：增加</w:t>
      </w:r>
    </w:p>
    <w:p w14:paraId="19ED7263">
      <w:pPr>
        <w:pBdr>
          <w:bottom w:val="single" w:color="auto" w:sz="6" w:space="1"/>
        </w:pBdr>
        <w:spacing w:line="480" w:lineRule="auto"/>
        <w:ind w:firstLine="537" w:firstLineChars="224"/>
        <w:rPr>
          <w:rFonts w:ascii="宋体" w:hAnsi="宋体"/>
          <w:szCs w:val="21"/>
        </w:rPr>
      </w:pPr>
      <w:r>
        <w:rPr>
          <w:rFonts w:hint="eastAsia" w:ascii="宋体" w:hAnsi="宋体"/>
          <w:szCs w:val="21"/>
        </w:rPr>
        <w:t>现文：</w:t>
      </w:r>
      <w:r>
        <w:rPr>
          <w:u w:val="single"/>
        </w:rPr>
        <w:t>只有通过初步评审的投标人才能进入下一阶段详细评审。当通过初步评审的有效投标人不足三名时，招标人应当依法重新组织招标。在进行资格评审、形式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14:paraId="5B3C930A">
      <w:pPr>
        <w:spacing w:line="360" w:lineRule="auto"/>
        <w:ind w:firstLine="480" w:firstLineChars="200"/>
        <w:rPr>
          <w:rFonts w:ascii="宋体" w:hAnsi="宋体"/>
          <w:szCs w:val="21"/>
        </w:rPr>
      </w:pPr>
      <w:r>
        <w:rPr>
          <w:rFonts w:hint="eastAsia" w:ascii="宋体" w:hAnsi="宋体"/>
          <w:szCs w:val="21"/>
        </w:rPr>
        <w:t>注：以上修改，仅限于本范本中有可供选择条</w:t>
      </w:r>
    </w:p>
    <w:p w14:paraId="2C6349DA">
      <w:pPr>
        <w:pStyle w:val="25"/>
        <w:ind w:firstLine="0" w:firstLineChars="0"/>
        <w:rPr>
          <w:rFonts w:hint="default"/>
        </w:rPr>
        <w:sectPr>
          <w:pgSz w:w="11906" w:h="16838"/>
          <w:pgMar w:top="1417" w:right="1417" w:bottom="1417" w:left="1417" w:header="0" w:footer="940" w:gutter="0"/>
          <w:cols w:space="720" w:num="1"/>
        </w:sectPr>
      </w:pPr>
      <w:r>
        <w:rPr>
          <w:rFonts w:ascii="宋体" w:hAnsi="宋体"/>
          <w:szCs w:val="21"/>
        </w:rPr>
        <w:br w:type="page"/>
      </w:r>
    </w:p>
    <w:p w14:paraId="1B8C5ACF">
      <w:pPr>
        <w:pStyle w:val="4"/>
        <w:spacing w:before="120" w:after="120"/>
        <w:rPr>
          <w:rFonts w:ascii="Microsoft JhengHei" w:hAnsi="Microsoft JhengHei" w:eastAsia="Microsoft JhengHei"/>
          <w:b w:val="0"/>
          <w:sz w:val="30"/>
        </w:rPr>
      </w:pPr>
      <w:bookmarkStart w:id="98" w:name="_Toc10219"/>
      <w:r>
        <w:rPr>
          <w:rFonts w:cs="宋体"/>
        </w:rPr>
        <w:t>1.评标方法</w:t>
      </w:r>
      <w:bookmarkEnd w:id="98"/>
    </w:p>
    <w:p w14:paraId="3E62331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2768955">
      <w:pPr>
        <w:pStyle w:val="4"/>
        <w:spacing w:before="120" w:after="120"/>
        <w:rPr>
          <w:rFonts w:ascii="Microsoft JhengHei" w:hAnsi="Microsoft JhengHei" w:eastAsia="Microsoft JhengHei"/>
          <w:b w:val="0"/>
          <w:sz w:val="30"/>
        </w:rPr>
      </w:pPr>
      <w:bookmarkStart w:id="99" w:name="bookmark85"/>
      <w:bookmarkEnd w:id="99"/>
      <w:bookmarkStart w:id="100" w:name="_Toc17929"/>
      <w:r>
        <w:rPr>
          <w:rFonts w:cs="宋体"/>
        </w:rPr>
        <w:t>2.评审标准</w:t>
      </w:r>
      <w:bookmarkEnd w:id="100"/>
    </w:p>
    <w:p w14:paraId="35BA9A80">
      <w:pPr>
        <w:spacing w:line="360" w:lineRule="auto"/>
        <w:ind w:firstLine="240" w:firstLineChars="100"/>
        <w:rPr>
          <w:rFonts w:ascii="宋体" w:hAnsi="宋体" w:cs="宋体"/>
        </w:rPr>
      </w:pPr>
      <w:bookmarkStart w:id="101" w:name="bookmark86"/>
      <w:bookmarkEnd w:id="101"/>
      <w:r>
        <w:rPr>
          <w:rFonts w:ascii="宋体" w:hAnsi="宋体" w:cs="宋体"/>
        </w:rPr>
        <w:t>2.1 初步评审标准</w:t>
      </w:r>
    </w:p>
    <w:p w14:paraId="24A0F24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2.1.1 资格评审标准：见评标办法前附表。</w:t>
      </w:r>
    </w:p>
    <w:p w14:paraId="61049B8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2.1.2 形式评审标准：见评标办法前附表。</w:t>
      </w:r>
    </w:p>
    <w:p w14:paraId="529C5E2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2.1.3 响应性评审标准：见评标办法前附表。</w:t>
      </w:r>
    </w:p>
    <w:p w14:paraId="08FAAF62">
      <w:pPr>
        <w:spacing w:line="360" w:lineRule="auto"/>
        <w:ind w:firstLine="240" w:firstLineChars="100"/>
        <w:rPr>
          <w:rFonts w:ascii="宋体" w:hAnsi="宋体" w:cs="宋体"/>
        </w:rPr>
      </w:pPr>
      <w:bookmarkStart w:id="102" w:name="bookmark87"/>
      <w:bookmarkEnd w:id="102"/>
      <w:r>
        <w:rPr>
          <w:rFonts w:ascii="宋体" w:hAnsi="宋体" w:cs="宋体"/>
        </w:rPr>
        <w:t>2.2 分值构成与评分标准</w:t>
      </w:r>
    </w:p>
    <w:p w14:paraId="7375CE1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2.2.1  分值构成</w:t>
      </w:r>
    </w:p>
    <w:p w14:paraId="732402A5">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（1）资信业绩部分：见评标办法前附表；</w:t>
      </w:r>
    </w:p>
    <w:p w14:paraId="60438411">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（2）监理大纲部分：见评标办法前附表；</w:t>
      </w:r>
    </w:p>
    <w:p w14:paraId="1A8DDC8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（3）投标报价：见评标办法前附表；</w:t>
      </w:r>
    </w:p>
    <w:p w14:paraId="624A262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rPr>
      </w:pPr>
      <w:r>
        <w:rPr>
          <w:strike/>
          <w:sz w:val="24"/>
        </w:rPr>
        <w:t xml:space="preserve">（4）诚信得分：见评标办法前附表。 </w:t>
      </w:r>
    </w:p>
    <w:p w14:paraId="5FF195C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2.2.2 评标基准价计算评标基准价计算方法：见评标办法前附表。</w:t>
      </w:r>
    </w:p>
    <w:p w14:paraId="53315E9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2.2.3 投标报价的偏差率计算</w:t>
      </w:r>
    </w:p>
    <w:p w14:paraId="21C340B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投标报价的偏差率计算公式：见评标办法前附表。</w:t>
      </w:r>
    </w:p>
    <w:p w14:paraId="118554DA">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2.2.4  评分标准</w:t>
      </w:r>
    </w:p>
    <w:p w14:paraId="531A12E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（1）资信业绩评分标准：见评标办法前附表；</w:t>
      </w:r>
    </w:p>
    <w:p w14:paraId="702D4CCC">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（2）监理大纲评分标准：见评标办法前附表；</w:t>
      </w:r>
    </w:p>
    <w:p w14:paraId="05BF3C84">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（3）投标报价评分标准：见评标办法前附表；</w:t>
      </w:r>
    </w:p>
    <w:p w14:paraId="07301D0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sz w:val="24"/>
        </w:rPr>
      </w:pPr>
      <w:r>
        <w:rPr>
          <w:strike/>
          <w:sz w:val="24"/>
        </w:rPr>
        <w:t>（4）诚信得分评分标准：见评标办法前附表。</w:t>
      </w:r>
    </w:p>
    <w:p w14:paraId="246D9CC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strike/>
          <w:szCs w:val="21"/>
        </w:rPr>
      </w:pPr>
      <w:r>
        <w:rPr>
          <w:strike/>
          <w:szCs w:val="21"/>
        </w:rPr>
        <w:t>注：投标人的诚信评价总分取自本项目招标公告发布第1天所在季度的上一季度的诚信综合评价分。</w:t>
      </w:r>
    </w:p>
    <w:p w14:paraId="213AF963">
      <w:pPr>
        <w:pStyle w:val="4"/>
        <w:spacing w:before="120" w:after="120"/>
        <w:rPr>
          <w:rFonts w:cs="宋体"/>
        </w:rPr>
      </w:pPr>
      <w:bookmarkStart w:id="103" w:name="bookmark88"/>
      <w:bookmarkEnd w:id="103"/>
      <w:bookmarkStart w:id="104" w:name="_Toc15176"/>
      <w:r>
        <w:rPr>
          <w:rFonts w:cs="宋体"/>
        </w:rPr>
        <w:t>3.评标程序</w:t>
      </w:r>
      <w:bookmarkEnd w:id="104"/>
    </w:p>
    <w:p w14:paraId="32AF4DC7">
      <w:pPr>
        <w:spacing w:line="360" w:lineRule="auto"/>
        <w:ind w:firstLine="240" w:firstLineChars="100"/>
        <w:rPr>
          <w:rFonts w:ascii="宋体" w:hAnsi="宋体" w:cs="宋体"/>
        </w:rPr>
      </w:pPr>
      <w:bookmarkStart w:id="105" w:name="bookmark89"/>
      <w:bookmarkEnd w:id="105"/>
      <w:r>
        <w:rPr>
          <w:rFonts w:ascii="宋体" w:hAnsi="宋体" w:cs="宋体"/>
        </w:rPr>
        <w:t>3.1  初步评审</w:t>
      </w:r>
    </w:p>
    <w:p w14:paraId="082A18E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3A408F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3.1.2 投标人有以下情形之一的，评标委员会应当否决其投标：</w:t>
      </w:r>
    </w:p>
    <w:p w14:paraId="1E0DCC2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（1）投标文件没有对招标文件的实质性要求和条件作出响应，或者对招标文件的偏差超出招标文件规定的偏差范围或最高项数；</w:t>
      </w:r>
    </w:p>
    <w:p w14:paraId="255A77A6">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（2）有串通投标、弄虚作假、行贿等违法行为。</w:t>
      </w:r>
    </w:p>
    <w:p w14:paraId="5D3795E3">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（3）两个（含两个）以上</w:t>
      </w:r>
      <w:r>
        <w:rPr>
          <w:rFonts w:hint="eastAsia" w:eastAsia="Times New Roman"/>
          <w:sz w:val="24"/>
        </w:rPr>
        <w:t>投标人加密打包投标文件</w:t>
      </w:r>
      <w:r>
        <w:rPr>
          <w:sz w:val="24"/>
        </w:rPr>
        <w:t>工程量清单编制</w:t>
      </w:r>
      <w:r>
        <w:rPr>
          <w:rFonts w:hint="eastAsia" w:eastAsia="Times New Roman"/>
          <w:sz w:val="24"/>
        </w:rPr>
        <w:t>机器</w:t>
      </w:r>
      <w:r>
        <w:rPr>
          <w:sz w:val="24"/>
        </w:rPr>
        <w:t>硬件信息</w:t>
      </w:r>
      <w:r>
        <w:rPr>
          <w:rFonts w:hint="eastAsia" w:eastAsia="Times New Roman"/>
          <w:sz w:val="24"/>
        </w:rPr>
        <w:t>一致的</w:t>
      </w:r>
      <w:r>
        <w:rPr>
          <w:sz w:val="24"/>
        </w:rPr>
        <w:t>。</w:t>
      </w:r>
    </w:p>
    <w:p w14:paraId="027D83D7">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3.1.3 投标报价有算术错误及其他错误的，评标委员会按以下原则要求投标人对投标报价进行修正，并要求投标人书面澄清确认。投标人拒不澄清确认的，评标委员会应当否决其投标：</w:t>
      </w:r>
    </w:p>
    <w:p w14:paraId="2E9D7B7D">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（1）投标文件中的大写金额与小写金额不一致的，以大写金额为准；</w:t>
      </w:r>
    </w:p>
    <w:p w14:paraId="64D26DBF">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（2）总价金额与单价金额不一致的，以单价金额为准，但单价金额小数点有明显错误的除外。</w:t>
      </w:r>
    </w:p>
    <w:p w14:paraId="4C7718F9">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u w:val="single"/>
        </w:rPr>
      </w:pPr>
      <w:r>
        <w:rPr>
          <w:sz w:val="24"/>
          <w:u w:val="single"/>
        </w:rPr>
        <w:t>3.1.4 只有通过初步评审的投标人才能进入下一阶段详细评审。当通过初步评审的有效投标人不足三名时，招标人应当依法重新组织招标。在进行资格评审、形式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14:paraId="663033F7">
      <w:pPr>
        <w:spacing w:line="360" w:lineRule="auto"/>
        <w:ind w:firstLine="240" w:firstLineChars="100"/>
        <w:rPr>
          <w:rFonts w:ascii="宋体" w:hAnsi="宋体" w:cs="宋体"/>
        </w:rPr>
      </w:pPr>
      <w:bookmarkStart w:id="106" w:name="bookmark90"/>
      <w:bookmarkEnd w:id="106"/>
      <w:r>
        <w:rPr>
          <w:rFonts w:ascii="宋体" w:hAnsi="宋体" w:cs="宋体"/>
        </w:rPr>
        <w:t>3.2  详细评审</w:t>
      </w:r>
    </w:p>
    <w:p w14:paraId="44E71940">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3.2.1 评标委员会按本章第 2.2 款规定的量化因素和分值进行打分，并计算出综合评估得分。</w:t>
      </w:r>
    </w:p>
    <w:p w14:paraId="207F3535">
      <w:pPr>
        <w:pStyle w:val="10"/>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sz w:val="24"/>
        </w:rPr>
      </w:pPr>
      <w:r>
        <w:rPr>
          <w:sz w:val="24"/>
        </w:rPr>
        <w:t>（1）按本章第2.2.4（1）目规定的评审因素和分值对资信业绩部分计算出得分A，</w:t>
      </w:r>
      <w:r>
        <w:rPr>
          <w:sz w:val="24"/>
          <w:u w:val="single"/>
        </w:rPr>
        <w:t>资信业绩部分评审得分A为各评标专家打分的算术平均值</w:t>
      </w:r>
      <w:r>
        <w:rPr>
          <w:sz w:val="24"/>
        </w:rPr>
        <w:t>；</w:t>
      </w:r>
    </w:p>
    <w:p w14:paraId="464415DE">
      <w:pPr>
        <w:pStyle w:val="10"/>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sz w:val="24"/>
        </w:rPr>
      </w:pPr>
      <w:r>
        <w:rPr>
          <w:sz w:val="24"/>
        </w:rPr>
        <w:t>（2）按本章第2.2.4（2）目规定的评审因素和分值对监理大纲部分计算出得分B，</w:t>
      </w:r>
      <w:r>
        <w:rPr>
          <w:sz w:val="24"/>
          <w:u w:val="single"/>
        </w:rPr>
        <w:t>监理大纲部分评审得分B为各评标专家打分的算术平均值</w:t>
      </w:r>
      <w:r>
        <w:rPr>
          <w:sz w:val="24"/>
        </w:rPr>
        <w:t>；</w:t>
      </w:r>
    </w:p>
    <w:p w14:paraId="4FA98D9E">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（3）按本章第2.2.4（3）目规定的评审因素和分值对投标报价计算出得分C；</w:t>
      </w:r>
    </w:p>
    <w:p w14:paraId="11BD0CD6">
      <w:pPr>
        <w:pStyle w:val="10"/>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strike/>
          <w:sz w:val="24"/>
        </w:rPr>
      </w:pPr>
      <w:r>
        <w:rPr>
          <w:strike/>
          <w:sz w:val="24"/>
        </w:rPr>
        <w:t>（4）按本章第2.2.4（4）目规定的评审因素和分值对诚信评价计算出得分D。</w:t>
      </w:r>
    </w:p>
    <w:p w14:paraId="563D7B4C">
      <w:pPr>
        <w:pStyle w:val="10"/>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sz w:val="24"/>
        </w:rPr>
      </w:pPr>
      <w:r>
        <w:rPr>
          <w:sz w:val="24"/>
        </w:rPr>
        <w:t>3.2.2 评分分值计算保留小数点后两位，小数点后第三位“四舍五入”。</w:t>
      </w:r>
    </w:p>
    <w:p w14:paraId="5F6B3AC2">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3.2.3 投标人得分=A+B+C。</w:t>
      </w:r>
    </w:p>
    <w:p w14:paraId="4C71414B">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rPr>
      </w:pPr>
      <w:r>
        <w:rPr>
          <w:sz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14D4D85">
      <w:pPr>
        <w:spacing w:line="360" w:lineRule="auto"/>
        <w:ind w:firstLine="240" w:firstLineChars="100"/>
        <w:rPr>
          <w:rFonts w:ascii="宋体" w:hAnsi="宋体" w:cs="宋体"/>
        </w:rPr>
      </w:pPr>
      <w:bookmarkStart w:id="107" w:name="bookmark91"/>
      <w:bookmarkEnd w:id="107"/>
      <w:r>
        <w:rPr>
          <w:rFonts w:ascii="宋体" w:hAnsi="宋体" w:cs="宋体"/>
        </w:rPr>
        <w:t>3.3  投标文件的澄清</w:t>
      </w:r>
    </w:p>
    <w:p w14:paraId="47E64E92">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rFonts w:cs="宋体"/>
          <w:sz w:val="24"/>
        </w:rPr>
      </w:pPr>
      <w:r>
        <w:rPr>
          <w:rFonts w:cs="宋体"/>
          <w:sz w:val="24"/>
        </w:rPr>
        <w:t>3.3.1 在评标过程中，</w:t>
      </w:r>
      <w:r>
        <w:rPr>
          <w:rFonts w:hint="eastAsia"/>
          <w:sz w:val="24"/>
        </w:rPr>
        <w:t>经评标委员会中两人以上（含两人）以书面形式提出动议，评标委员会</w:t>
      </w:r>
      <w:r>
        <w:rPr>
          <w:rFonts w:cs="宋体"/>
          <w:sz w:val="24"/>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0646EF66">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rFonts w:cs="宋体"/>
          <w:sz w:val="24"/>
        </w:rPr>
      </w:pPr>
      <w:r>
        <w:rPr>
          <w:rFonts w:cs="宋体"/>
          <w:sz w:val="24"/>
        </w:rPr>
        <w:t>3.3.2 澄清、说明或补正不得超出投标文件的范围且不得改变投标文件的实质性内容，并构成投标文件的组成部分。</w:t>
      </w:r>
    </w:p>
    <w:p w14:paraId="341E9F3A">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rFonts w:cs="宋体"/>
          <w:sz w:val="24"/>
        </w:rPr>
      </w:pPr>
      <w:r>
        <w:rPr>
          <w:rFonts w:cs="宋体"/>
          <w:sz w:val="24"/>
        </w:rPr>
        <w:t>3.3.3 评标委员会对投标人提交的澄清、说明或补正有疑问的，可以要求投标人进一步澄清、 说明或补正，直至满足评标委员会的要求。</w:t>
      </w:r>
    </w:p>
    <w:p w14:paraId="7E832DD0">
      <w:pPr>
        <w:spacing w:line="360" w:lineRule="auto"/>
        <w:ind w:firstLine="240" w:firstLineChars="100"/>
        <w:rPr>
          <w:rFonts w:ascii="宋体" w:hAnsi="宋体" w:cs="宋体"/>
        </w:rPr>
      </w:pPr>
      <w:bookmarkStart w:id="108" w:name="bookmark92"/>
      <w:bookmarkEnd w:id="108"/>
      <w:r>
        <w:rPr>
          <w:rFonts w:ascii="宋体" w:hAnsi="宋体" w:cs="宋体"/>
        </w:rPr>
        <w:t>3.4  评标结果</w:t>
      </w:r>
    </w:p>
    <w:p w14:paraId="103F5393">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rFonts w:cs="宋体"/>
          <w:sz w:val="24"/>
        </w:rPr>
      </w:pPr>
      <w:r>
        <w:rPr>
          <w:rFonts w:cs="宋体"/>
          <w:sz w:val="24"/>
        </w:rPr>
        <w:t>3.4.1 除第二章“投标人须知”前附表授权直接确定中标人外，评标委员会按照得分由高到低 的顺序推荐中标候选人，并标明排序。</w:t>
      </w:r>
    </w:p>
    <w:p w14:paraId="1D021974">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rFonts w:cs="宋体"/>
          <w:sz w:val="24"/>
        </w:rPr>
      </w:pPr>
      <w:r>
        <w:rPr>
          <w:rFonts w:cs="宋体"/>
          <w:sz w:val="24"/>
        </w:rPr>
        <w:t>3.4.2 评标委员会完成评标后，应当向招标人提交书面评标报告和中标候选人名单。</w:t>
      </w:r>
    </w:p>
    <w:p w14:paraId="63344BEC">
      <w:pPr>
        <w:pStyle w:val="10"/>
        <w:tabs>
          <w:tab w:val="left" w:pos="1343"/>
          <w:tab w:val="left" w:pos="2697"/>
          <w:tab w:val="left" w:pos="3264"/>
          <w:tab w:val="left" w:pos="4896"/>
          <w:tab w:val="left" w:pos="6005"/>
          <w:tab w:val="left" w:pos="7085"/>
          <w:tab w:val="left" w:pos="7498"/>
        </w:tabs>
        <w:kinsoku w:val="0"/>
        <w:overflowPunct w:val="0"/>
        <w:spacing w:line="350" w:lineRule="auto"/>
        <w:ind w:left="100" w:right="211" w:firstLine="480"/>
        <w:jc w:val="both"/>
        <w:rPr>
          <w:rFonts w:cs="宋体"/>
          <w:sz w:val="24"/>
        </w:rPr>
        <w:sectPr>
          <w:headerReference r:id="rId8" w:type="default"/>
          <w:pgSz w:w="11905" w:h="16838"/>
          <w:pgMar w:top="1417" w:right="1417" w:bottom="1417" w:left="1417" w:header="992" w:footer="992" w:gutter="0"/>
          <w:cols w:space="720" w:num="1"/>
        </w:sectPr>
      </w:pPr>
    </w:p>
    <w:p w14:paraId="3098ACED">
      <w:pPr>
        <w:pStyle w:val="3"/>
        <w:rPr>
          <w:rFonts w:cs="宋体"/>
          <w:sz w:val="44"/>
        </w:rPr>
      </w:pPr>
      <w:bookmarkStart w:id="109" w:name="bookmark93"/>
      <w:bookmarkEnd w:id="109"/>
      <w:bookmarkStart w:id="110" w:name="_Toc14321"/>
      <w:r>
        <w:rPr>
          <w:rFonts w:cs="宋体"/>
          <w:sz w:val="44"/>
        </w:rPr>
        <w:t>第四章 合同条款及格式</w:t>
      </w:r>
      <w:bookmarkEnd w:id="110"/>
    </w:p>
    <w:p w14:paraId="6444D64C">
      <w:pPr>
        <w:pStyle w:val="10"/>
        <w:kinsoku w:val="0"/>
        <w:overflowPunct w:val="0"/>
        <w:ind w:left="0" w:firstLine="400"/>
        <w:rPr>
          <w:rFonts w:ascii="Microsoft JhengHei" w:hAnsi="Microsoft JhengHei" w:eastAsia="Microsoft JhengHei"/>
          <w:b/>
          <w:sz w:val="20"/>
        </w:rPr>
      </w:pPr>
    </w:p>
    <w:p w14:paraId="55DF417F">
      <w:pPr>
        <w:spacing w:line="360" w:lineRule="auto"/>
        <w:jc w:val="center"/>
        <w:rPr>
          <w:rFonts w:ascii="宋体" w:hAnsi="宋体" w:cs="宋体"/>
          <w:b/>
          <w:sz w:val="44"/>
        </w:rPr>
      </w:pPr>
      <w:r>
        <w:rPr>
          <w:rFonts w:ascii="宋体" w:hAnsi="宋体" w:cs="宋体"/>
          <w:b/>
          <w:sz w:val="44"/>
        </w:rPr>
        <w:t>（另册）</w:t>
      </w:r>
    </w:p>
    <w:p w14:paraId="13808C83">
      <w:pPr>
        <w:pStyle w:val="10"/>
        <w:kinsoku w:val="0"/>
        <w:overflowPunct w:val="0"/>
        <w:spacing w:before="240"/>
        <w:ind w:left="0" w:firstLine="580"/>
        <w:rPr>
          <w:rFonts w:ascii="Microsoft JhengHei" w:hAnsi="Microsoft JhengHei" w:eastAsia="Microsoft JhengHei"/>
          <w:b/>
          <w:sz w:val="29"/>
        </w:rPr>
      </w:pPr>
    </w:p>
    <w:p w14:paraId="36405AE0">
      <w:pPr>
        <w:pStyle w:val="10"/>
        <w:kinsoku w:val="0"/>
        <w:overflowPunct w:val="0"/>
        <w:ind w:left="0" w:firstLine="400"/>
        <w:rPr>
          <w:sz w:val="20"/>
        </w:rPr>
        <w:sectPr>
          <w:headerReference r:id="rId9" w:type="default"/>
          <w:footerReference r:id="rId10" w:type="default"/>
          <w:pgSz w:w="11905" w:h="16838"/>
          <w:pgMar w:top="1417" w:right="1417" w:bottom="1417" w:left="1417" w:header="992" w:footer="992" w:gutter="0"/>
          <w:cols w:space="720" w:num="1"/>
        </w:sectPr>
      </w:pPr>
    </w:p>
    <w:p w14:paraId="4D9BE3E7">
      <w:pPr>
        <w:pStyle w:val="10"/>
        <w:kinsoku w:val="0"/>
        <w:overflowPunct w:val="0"/>
        <w:ind w:left="0" w:firstLine="400"/>
        <w:rPr>
          <w:sz w:val="20"/>
        </w:rPr>
      </w:pPr>
    </w:p>
    <w:p w14:paraId="5111109F">
      <w:pPr>
        <w:pStyle w:val="2"/>
        <w:spacing w:before="4800" w:beforeLines="2000"/>
        <w:rPr>
          <w:rFonts w:hint="default"/>
          <w:sz w:val="52"/>
          <w:szCs w:val="52"/>
        </w:rPr>
      </w:pPr>
      <w:bookmarkStart w:id="111" w:name="bookmark161"/>
      <w:bookmarkEnd w:id="111"/>
      <w:bookmarkStart w:id="112" w:name="_Toc2872"/>
      <w:r>
        <w:rPr>
          <w:sz w:val="52"/>
          <w:szCs w:val="52"/>
        </w:rPr>
        <w:t>第二卷</w:t>
      </w:r>
      <w:bookmarkEnd w:id="112"/>
    </w:p>
    <w:p w14:paraId="61EB27F0">
      <w:pPr>
        <w:pStyle w:val="2"/>
        <w:spacing w:before="4800" w:beforeLines="2000"/>
        <w:rPr>
          <w:rFonts w:hint="default"/>
          <w:sz w:val="52"/>
          <w:szCs w:val="52"/>
        </w:rPr>
        <w:sectPr>
          <w:pgSz w:w="11905" w:h="16838"/>
          <w:pgMar w:top="1417" w:right="1417" w:bottom="1417" w:left="1417" w:header="992" w:footer="992" w:gutter="0"/>
          <w:cols w:space="720" w:num="1"/>
        </w:sectPr>
      </w:pPr>
    </w:p>
    <w:p w14:paraId="53AFEA22">
      <w:pPr>
        <w:pStyle w:val="3"/>
        <w:spacing w:line="360" w:lineRule="auto"/>
        <w:rPr>
          <w:sz w:val="44"/>
        </w:rPr>
      </w:pPr>
      <w:bookmarkStart w:id="113" w:name="bookmark162"/>
      <w:bookmarkEnd w:id="113"/>
      <w:bookmarkStart w:id="114" w:name="_Toc23118"/>
      <w:r>
        <w:rPr>
          <w:sz w:val="44"/>
        </w:rPr>
        <w:t>第五章 委托人要求</w:t>
      </w:r>
      <w:bookmarkEnd w:id="114"/>
    </w:p>
    <w:p w14:paraId="3FC7B9A3">
      <w:pPr>
        <w:pStyle w:val="3"/>
        <w:jc w:val="both"/>
        <w:rPr>
          <w:sz w:val="28"/>
          <w:szCs w:val="28"/>
        </w:rPr>
      </w:pPr>
      <w:bookmarkStart w:id="115" w:name="_Toc514099708"/>
      <w:bookmarkStart w:id="116" w:name="_Toc482188637"/>
      <w:bookmarkStart w:id="117" w:name="_Toc519100226"/>
      <w:bookmarkStart w:id="118" w:name="_Toc511557110"/>
      <w:bookmarkStart w:id="119" w:name="_Toc522264576"/>
      <w:bookmarkStart w:id="120" w:name="_Toc25658"/>
      <w:r>
        <w:rPr>
          <w:sz w:val="28"/>
          <w:szCs w:val="28"/>
        </w:rPr>
        <w:t>一、监理要求</w:t>
      </w:r>
      <w:bookmarkEnd w:id="115"/>
      <w:bookmarkEnd w:id="116"/>
      <w:bookmarkEnd w:id="117"/>
      <w:bookmarkEnd w:id="118"/>
      <w:bookmarkEnd w:id="119"/>
    </w:p>
    <w:p w14:paraId="1C4DEBFD">
      <w:pPr>
        <w:pStyle w:val="4"/>
        <w:spacing w:before="120" w:after="120"/>
        <w:rPr>
          <w:b w:val="0"/>
        </w:rPr>
      </w:pPr>
      <w:r>
        <w:rPr>
          <w:rFonts w:hint="eastAsia"/>
          <w:b w:val="0"/>
        </w:rPr>
        <w:t>1</w:t>
      </w:r>
      <w:r>
        <w:rPr>
          <w:b w:val="0"/>
        </w:rPr>
        <w:t>、</w:t>
      </w:r>
      <w:r>
        <w:rPr>
          <w:rFonts w:hint="eastAsia"/>
          <w:b w:val="0"/>
        </w:rPr>
        <w:t>项目概况</w:t>
      </w:r>
    </w:p>
    <w:p w14:paraId="52F2F68A">
      <w:pPr>
        <w:spacing w:line="360" w:lineRule="auto"/>
        <w:ind w:firstLine="480" w:firstLineChars="200"/>
        <w:rPr>
          <w:rFonts w:ascii="宋体" w:hAnsi="宋体"/>
          <w:lang w:bidi="mn-Mong-CN"/>
        </w:rPr>
      </w:pPr>
      <w:r>
        <w:rPr>
          <w:rFonts w:hint="eastAsia" w:ascii="宋体" w:hAnsi="宋体"/>
          <w:lang w:bidi="mn-Mong-CN"/>
        </w:rPr>
        <w:t>项目名称：</w:t>
      </w:r>
      <w:r>
        <w:rPr>
          <w:rFonts w:hint="eastAsia" w:ascii="宋体" w:hAnsi="宋体"/>
          <w:szCs w:val="21"/>
          <w:u w:val="single"/>
        </w:rPr>
        <w:t>番禺区石碁水厂扩建工程施工监理</w:t>
      </w:r>
    </w:p>
    <w:p w14:paraId="6DE232D4">
      <w:pPr>
        <w:spacing w:line="360" w:lineRule="auto"/>
        <w:ind w:firstLine="480" w:firstLineChars="200"/>
        <w:rPr>
          <w:rFonts w:ascii="宋体" w:hAnsi="宋体"/>
          <w:lang w:bidi="mn-Mong-CN"/>
        </w:rPr>
      </w:pPr>
      <w:r>
        <w:rPr>
          <w:rFonts w:hint="eastAsia" w:ascii="宋体" w:hAnsi="宋体"/>
          <w:lang w:bidi="mn-Mong-CN"/>
        </w:rPr>
        <w:t>建设单位：</w:t>
      </w:r>
      <w:r>
        <w:rPr>
          <w:rFonts w:hint="eastAsia" w:ascii="宋体" w:hAnsi="宋体"/>
          <w:szCs w:val="21"/>
          <w:u w:val="single"/>
        </w:rPr>
        <w:t>广州市番禺石碁自来水有限公司</w:t>
      </w:r>
    </w:p>
    <w:p w14:paraId="77772815">
      <w:pPr>
        <w:spacing w:line="360" w:lineRule="auto"/>
        <w:ind w:firstLine="480" w:firstLineChars="200"/>
        <w:rPr>
          <w:rFonts w:ascii="宋体" w:hAnsi="宋体"/>
          <w:lang w:bidi="mn-Mong-CN"/>
        </w:rPr>
      </w:pPr>
      <w:r>
        <w:rPr>
          <w:rFonts w:hint="eastAsia" w:ascii="宋体" w:hAnsi="宋体"/>
          <w:lang w:bidi="mn-Mong-CN"/>
        </w:rPr>
        <w:t>建设规模：</w:t>
      </w:r>
      <w:r>
        <w:rPr>
          <w:rFonts w:hint="eastAsia" w:ascii="宋体" w:hAnsi="宋体"/>
          <w:u w:val="single"/>
          <w:lang w:val="zh-CN"/>
        </w:rPr>
        <w:t>详见招标公告</w:t>
      </w:r>
    </w:p>
    <w:p w14:paraId="2B4E69D9">
      <w:pPr>
        <w:spacing w:line="360" w:lineRule="auto"/>
        <w:ind w:firstLine="480" w:firstLineChars="200"/>
        <w:rPr>
          <w:rFonts w:ascii="宋体" w:hAnsi="宋体"/>
          <w:lang w:bidi="mn-Mong-CN"/>
        </w:rPr>
      </w:pPr>
      <w:r>
        <w:rPr>
          <w:rFonts w:hint="eastAsia" w:ascii="宋体" w:hAnsi="宋体"/>
          <w:lang w:bidi="mn-Mong-CN"/>
        </w:rPr>
        <w:t>项目地理位置:</w:t>
      </w:r>
      <w:r>
        <w:rPr>
          <w:rFonts w:hint="eastAsia" w:ascii="宋体" w:hAnsi="宋体"/>
          <w:u w:val="single"/>
          <w:lang w:val="zh-CN"/>
        </w:rPr>
        <w:t>详见招标公告</w:t>
      </w:r>
    </w:p>
    <w:p w14:paraId="12190F44">
      <w:pPr>
        <w:spacing w:line="360" w:lineRule="auto"/>
        <w:ind w:firstLine="480" w:firstLineChars="200"/>
        <w:rPr>
          <w:rFonts w:ascii="宋体" w:hAnsi="宋体"/>
          <w:lang w:bidi="mn-Mong-CN"/>
        </w:rPr>
      </w:pPr>
      <w:r>
        <w:rPr>
          <w:rFonts w:hint="eastAsia" w:ascii="宋体" w:hAnsi="宋体"/>
          <w:lang w:bidi="mn-Mong-CN"/>
        </w:rPr>
        <w:t xml:space="preserve">周边环境: </w:t>
      </w:r>
      <w:r>
        <w:rPr>
          <w:rFonts w:hint="eastAsia" w:ascii="宋体" w:hAnsi="宋体"/>
          <w:u w:val="single"/>
          <w:lang w:bidi="mn-Mong-CN"/>
        </w:rPr>
        <w:t>（投标人自行踏勘）</w:t>
      </w:r>
    </w:p>
    <w:p w14:paraId="79D3DEC6">
      <w:pPr>
        <w:spacing w:line="360" w:lineRule="auto"/>
        <w:ind w:firstLine="480" w:firstLineChars="200"/>
        <w:rPr>
          <w:rFonts w:ascii="宋体" w:hAnsi="宋体"/>
          <w:lang w:bidi="mn-Mong-CN"/>
        </w:rPr>
      </w:pPr>
      <w:r>
        <w:rPr>
          <w:rFonts w:hint="eastAsia" w:ascii="宋体" w:hAnsi="宋体"/>
          <w:lang w:bidi="mn-Mong-CN"/>
        </w:rPr>
        <w:t>地址地貌、气候及气象条件:</w:t>
      </w:r>
      <w:r>
        <w:rPr>
          <w:rFonts w:hint="eastAsia" w:ascii="宋体" w:hAnsi="宋体"/>
        </w:rPr>
        <w:t xml:space="preserve"> </w:t>
      </w:r>
      <w:r>
        <w:rPr>
          <w:rFonts w:hint="eastAsia" w:ascii="宋体" w:hAnsi="宋体"/>
          <w:u w:val="single"/>
          <w:lang w:bidi="mn-Mong-CN"/>
        </w:rPr>
        <w:t>（投标人自行踏勘）</w:t>
      </w:r>
    </w:p>
    <w:p w14:paraId="3EB18E50">
      <w:pPr>
        <w:pStyle w:val="4"/>
        <w:spacing w:before="120" w:after="120"/>
        <w:rPr>
          <w:b w:val="0"/>
        </w:rPr>
      </w:pPr>
      <w:r>
        <w:rPr>
          <w:rFonts w:hint="eastAsia"/>
          <w:b w:val="0"/>
        </w:rPr>
        <w:t>2、监理范围及内容</w:t>
      </w:r>
    </w:p>
    <w:p w14:paraId="30EC8523">
      <w:pPr>
        <w:spacing w:line="360" w:lineRule="auto"/>
        <w:ind w:firstLine="480" w:firstLineChars="200"/>
        <w:rPr>
          <w:rFonts w:ascii="宋体" w:hAnsi="宋体" w:cs="宋体"/>
          <w:u w:val="single"/>
        </w:rPr>
      </w:pPr>
      <w:r>
        <w:rPr>
          <w:rFonts w:hint="eastAsia" w:ascii="宋体" w:hAnsi="宋体" w:cs="宋体"/>
          <w:u w:val="single"/>
        </w:rPr>
        <w:t>1、施工准备阶段、施工阶段、竣工结算期、质量保修期全过程，对包括工程质量、进度、 投资控制、安全生产和文明施工等进行监控，其中安全生产和文明施工包括施工扬尘污染防治，监理人在监理规划中提出有针对性的监理措施，并加强对施工单位扬尘污染防治情况的检查，督促施工单位落实扬尘防治措施。</w:t>
      </w:r>
    </w:p>
    <w:p w14:paraId="3EB25CC3">
      <w:pPr>
        <w:spacing w:line="360" w:lineRule="auto"/>
        <w:ind w:left="547" w:leftChars="228"/>
        <w:rPr>
          <w:rFonts w:ascii="宋体" w:hAnsi="宋体" w:cs="宋体"/>
          <w:u w:val="single"/>
        </w:rPr>
      </w:pPr>
      <w:r>
        <w:rPr>
          <w:rFonts w:hint="eastAsia" w:ascii="宋体" w:hAnsi="宋体" w:cs="宋体"/>
          <w:u w:val="single"/>
        </w:rPr>
        <w:t>2、工程施工图预算（或承包商投标报价书）和竣工结算审核，及协调等相关工作。</w:t>
      </w:r>
    </w:p>
    <w:p w14:paraId="77E545C0">
      <w:pPr>
        <w:spacing w:line="360" w:lineRule="auto"/>
        <w:ind w:left="547" w:leftChars="228"/>
        <w:rPr>
          <w:rFonts w:ascii="宋体" w:hAnsi="宋体" w:cs="宋体"/>
          <w:u w:val="single"/>
        </w:rPr>
      </w:pPr>
      <w:r>
        <w:rPr>
          <w:rFonts w:hint="eastAsia" w:ascii="宋体" w:hAnsi="宋体" w:cs="宋体"/>
          <w:u w:val="single"/>
        </w:rPr>
        <w:t>3、对完成本工程所必需的附属临时工程项目施工进行监理。</w:t>
      </w:r>
    </w:p>
    <w:p w14:paraId="554367AB">
      <w:pPr>
        <w:spacing w:line="360" w:lineRule="auto"/>
        <w:ind w:firstLine="480" w:firstLineChars="200"/>
        <w:rPr>
          <w:rFonts w:ascii="宋体" w:hAnsi="宋体" w:cs="宋体"/>
          <w:u w:val="single"/>
        </w:rPr>
      </w:pPr>
      <w:r>
        <w:rPr>
          <w:rFonts w:hint="eastAsia" w:ascii="宋体" w:hAnsi="宋体" w:cs="宋体"/>
        </w:rPr>
        <w:t>2.2.3监理服务期：</w:t>
      </w:r>
      <w:r>
        <w:rPr>
          <w:rFonts w:hint="eastAsia" w:ascii="宋体" w:hAnsi="宋体" w:cs="宋体"/>
          <w:u w:val="single"/>
        </w:rPr>
        <w:t>工程施工准备阶段的监理工期、施工阶段的监理工期、工程保修阶段和竣工结算期的监理工期之和：</w:t>
      </w:r>
    </w:p>
    <w:p w14:paraId="51C40A11">
      <w:pPr>
        <w:spacing w:line="360" w:lineRule="auto"/>
        <w:ind w:firstLine="480" w:firstLineChars="200"/>
        <w:rPr>
          <w:rFonts w:ascii="宋体" w:hAnsi="宋体" w:cs="宋体"/>
          <w:u w:val="single"/>
        </w:rPr>
      </w:pPr>
      <w:r>
        <w:rPr>
          <w:rFonts w:hint="eastAsia" w:ascii="宋体" w:hAnsi="宋体" w:cs="宋体"/>
          <w:u w:val="single"/>
        </w:rPr>
        <w:t>（1）施工准备阶段监理工期：从中标通知书发放之日起至业主下达开工令或开工报告审批之日为止；</w:t>
      </w:r>
    </w:p>
    <w:p w14:paraId="16B8A7F6">
      <w:pPr>
        <w:spacing w:line="360" w:lineRule="auto"/>
        <w:ind w:firstLine="480" w:firstLineChars="200"/>
        <w:rPr>
          <w:rFonts w:ascii="宋体" w:hAnsi="宋体" w:cs="宋体"/>
          <w:u w:val="single"/>
        </w:rPr>
      </w:pPr>
      <w:r>
        <w:rPr>
          <w:rFonts w:hint="eastAsia" w:ascii="宋体" w:hAnsi="宋体" w:cs="宋体"/>
          <w:u w:val="single"/>
        </w:rPr>
        <w:t>（2）施工阶段监理工期：从业主下达开工令或开工报告审批之日起至施工项目全部完工并办理竣工验收、竣工结算、备案管理为止；</w:t>
      </w:r>
    </w:p>
    <w:p w14:paraId="611A9676">
      <w:pPr>
        <w:spacing w:line="360" w:lineRule="auto"/>
        <w:ind w:left="550" w:leftChars="229"/>
        <w:rPr>
          <w:rFonts w:ascii="宋体" w:hAnsi="宋体" w:cs="宋体"/>
          <w:u w:val="single"/>
        </w:rPr>
      </w:pPr>
      <w:r>
        <w:rPr>
          <w:rFonts w:hint="eastAsia" w:ascii="宋体" w:hAnsi="宋体" w:cs="宋体"/>
          <w:u w:val="single"/>
        </w:rPr>
        <w:t>（3）保修阶段监理工期：从工程竣工验收合格、备案管理完成之日起二年；</w:t>
      </w:r>
    </w:p>
    <w:p w14:paraId="57B8D237">
      <w:pPr>
        <w:tabs>
          <w:tab w:val="left" w:pos="7513"/>
        </w:tabs>
        <w:spacing w:line="360" w:lineRule="auto"/>
        <w:ind w:firstLine="480" w:firstLineChars="200"/>
      </w:pPr>
      <w:r>
        <w:rPr>
          <w:rFonts w:hint="eastAsia" w:ascii="宋体" w:hAnsi="宋体" w:cs="宋体"/>
          <w:u w:val="single"/>
        </w:rPr>
        <w:t>（4）竣工结算期：从竣工验收完成开始至竣工结算完成为止。</w:t>
      </w:r>
      <w:r>
        <w:rPr>
          <w:rFonts w:hint="eastAsia"/>
        </w:rPr>
        <w:t xml:space="preserve"> </w:t>
      </w:r>
    </w:p>
    <w:p w14:paraId="159B4722">
      <w:pPr>
        <w:pStyle w:val="4"/>
        <w:spacing w:before="120" w:after="120"/>
        <w:rPr>
          <w:b w:val="0"/>
        </w:rPr>
      </w:pPr>
      <w:r>
        <w:rPr>
          <w:rFonts w:hint="eastAsia"/>
          <w:b w:val="0"/>
        </w:rPr>
        <w:t>3、监理依据</w:t>
      </w:r>
    </w:p>
    <w:p w14:paraId="06552930">
      <w:pPr>
        <w:spacing w:line="360" w:lineRule="auto"/>
        <w:ind w:firstLine="480" w:firstLineChars="200"/>
        <w:rPr>
          <w:rFonts w:ascii="宋体" w:hAnsi="宋体" w:cs="宋体"/>
          <w:kern w:val="44"/>
        </w:rPr>
      </w:pPr>
      <w:r>
        <w:rPr>
          <w:rFonts w:hint="eastAsia" w:ascii="宋体" w:hAnsi="宋体" w:cs="宋体"/>
          <w:kern w:val="44"/>
        </w:rPr>
        <w:t>3.1 有关法律法规；</w:t>
      </w:r>
    </w:p>
    <w:p w14:paraId="32ED8E02">
      <w:pPr>
        <w:spacing w:line="360" w:lineRule="auto"/>
        <w:ind w:firstLine="480" w:firstLineChars="200"/>
        <w:rPr>
          <w:rFonts w:ascii="宋体" w:hAnsi="宋体" w:cs="宋体"/>
          <w:kern w:val="44"/>
        </w:rPr>
      </w:pPr>
      <w:r>
        <w:rPr>
          <w:rFonts w:hint="eastAsia" w:ascii="宋体" w:hAnsi="宋体" w:cs="宋体"/>
          <w:kern w:val="44"/>
        </w:rPr>
        <w:t>3.2有关技术标准；</w:t>
      </w:r>
    </w:p>
    <w:p w14:paraId="20656929">
      <w:pPr>
        <w:spacing w:line="360" w:lineRule="auto"/>
        <w:ind w:firstLine="480" w:firstLineChars="200"/>
        <w:rPr>
          <w:rFonts w:ascii="宋体" w:hAnsi="宋体" w:cs="宋体"/>
          <w:kern w:val="44"/>
        </w:rPr>
      </w:pPr>
      <w:r>
        <w:rPr>
          <w:rFonts w:hint="eastAsia" w:ascii="宋体" w:hAnsi="宋体" w:cs="宋体"/>
          <w:kern w:val="44"/>
        </w:rPr>
        <w:t>3.3有关工程建设文件；</w:t>
      </w:r>
    </w:p>
    <w:p w14:paraId="69A7FBEA">
      <w:pPr>
        <w:spacing w:line="360" w:lineRule="auto"/>
        <w:ind w:firstLine="480" w:firstLineChars="200"/>
        <w:rPr>
          <w:rFonts w:ascii="宋体" w:hAnsi="宋体" w:cs="宋体"/>
          <w:kern w:val="44"/>
        </w:rPr>
      </w:pPr>
      <w:r>
        <w:rPr>
          <w:rFonts w:hint="eastAsia" w:ascii="宋体" w:hAnsi="宋体" w:cs="宋体"/>
          <w:kern w:val="44"/>
        </w:rPr>
        <w:t>3.4建设工程委托监理合同；</w:t>
      </w:r>
    </w:p>
    <w:p w14:paraId="3C9BB061">
      <w:pPr>
        <w:spacing w:line="360" w:lineRule="auto"/>
        <w:ind w:firstLine="480" w:firstLineChars="200"/>
        <w:rPr>
          <w:rFonts w:ascii="宋体" w:hAnsi="宋体" w:cs="宋体"/>
          <w:kern w:val="44"/>
        </w:rPr>
      </w:pPr>
      <w:r>
        <w:rPr>
          <w:rFonts w:hint="eastAsia" w:ascii="宋体" w:hAnsi="宋体" w:cs="宋体"/>
          <w:kern w:val="44"/>
        </w:rPr>
        <w:t>3.5其他有关建设工程合同。</w:t>
      </w:r>
    </w:p>
    <w:p w14:paraId="5F60A801">
      <w:pPr>
        <w:ind w:firstLine="480" w:firstLineChars="200"/>
        <w:rPr>
          <w:sz w:val="28"/>
          <w:szCs w:val="36"/>
        </w:rPr>
      </w:pPr>
      <w:r>
        <w:rPr>
          <w:rFonts w:hint="eastAsia"/>
        </w:rPr>
        <w:t>4、</w:t>
      </w:r>
      <w:r>
        <w:rPr>
          <w:rFonts w:hint="eastAsia" w:cs="宋体"/>
        </w:rPr>
        <w:t>监理人员、设备要求（最低配置要求）：</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938"/>
        <w:gridCol w:w="708"/>
        <w:gridCol w:w="2211"/>
        <w:gridCol w:w="1825"/>
        <w:gridCol w:w="1825"/>
        <w:gridCol w:w="484"/>
      </w:tblGrid>
      <w:tr w14:paraId="3EDD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18" w:type="dxa"/>
            <w:gridSpan w:val="2"/>
            <w:tcBorders>
              <w:top w:val="single" w:color="auto" w:sz="4" w:space="0"/>
              <w:left w:val="single" w:color="auto" w:sz="4" w:space="0"/>
              <w:bottom w:val="single" w:color="auto" w:sz="4" w:space="0"/>
              <w:right w:val="single" w:color="auto" w:sz="4" w:space="0"/>
            </w:tcBorders>
            <w:vAlign w:val="center"/>
          </w:tcPr>
          <w:p w14:paraId="09B88201">
            <w:pPr>
              <w:pStyle w:val="40"/>
              <w:spacing w:line="360" w:lineRule="auto"/>
              <w:jc w:val="center"/>
              <w:rPr>
                <w:b/>
                <w:kern w:val="44"/>
                <w:szCs w:val="24"/>
              </w:rPr>
            </w:pPr>
            <w:r>
              <w:rPr>
                <w:rFonts w:hint="eastAsia"/>
                <w:b/>
                <w:kern w:val="44"/>
                <w:szCs w:val="24"/>
              </w:rPr>
              <w:t>类别</w:t>
            </w:r>
          </w:p>
        </w:tc>
        <w:tc>
          <w:tcPr>
            <w:tcW w:w="708" w:type="dxa"/>
            <w:tcBorders>
              <w:top w:val="single" w:color="auto" w:sz="4" w:space="0"/>
              <w:left w:val="single" w:color="auto" w:sz="4" w:space="0"/>
              <w:bottom w:val="single" w:color="auto" w:sz="4" w:space="0"/>
              <w:right w:val="single" w:color="auto" w:sz="4" w:space="0"/>
            </w:tcBorders>
            <w:vAlign w:val="center"/>
          </w:tcPr>
          <w:p w14:paraId="7CC161C9">
            <w:pPr>
              <w:pStyle w:val="40"/>
              <w:spacing w:line="360" w:lineRule="auto"/>
              <w:jc w:val="center"/>
              <w:rPr>
                <w:b/>
                <w:kern w:val="44"/>
                <w:szCs w:val="24"/>
              </w:rPr>
            </w:pPr>
            <w:r>
              <w:rPr>
                <w:rFonts w:hint="eastAsia"/>
                <w:b/>
                <w:kern w:val="44"/>
                <w:szCs w:val="24"/>
              </w:rPr>
              <w:t>人数</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33964E8E">
            <w:pPr>
              <w:snapToGrid w:val="0"/>
              <w:spacing w:line="360" w:lineRule="auto"/>
              <w:jc w:val="center"/>
              <w:rPr>
                <w:rFonts w:ascii="宋体" w:hAnsi="宋体"/>
                <w:b/>
                <w:snapToGrid w:val="0"/>
                <w:spacing w:val="4"/>
              </w:rPr>
            </w:pPr>
            <w:r>
              <w:rPr>
                <w:rFonts w:hint="eastAsia" w:ascii="宋体" w:hAnsi="宋体"/>
                <w:b/>
                <w:snapToGrid w:val="0"/>
                <w:spacing w:val="4"/>
              </w:rPr>
              <w:t>基本要求</w:t>
            </w:r>
          </w:p>
        </w:tc>
        <w:tc>
          <w:tcPr>
            <w:tcW w:w="484" w:type="dxa"/>
            <w:tcBorders>
              <w:top w:val="single" w:color="auto" w:sz="4" w:space="0"/>
              <w:left w:val="single" w:color="auto" w:sz="4" w:space="0"/>
              <w:bottom w:val="single" w:color="auto" w:sz="4" w:space="0"/>
              <w:right w:val="single" w:color="auto" w:sz="4" w:space="0"/>
            </w:tcBorders>
            <w:vAlign w:val="center"/>
          </w:tcPr>
          <w:p w14:paraId="1D1CA7EC">
            <w:pPr>
              <w:snapToGrid w:val="0"/>
              <w:spacing w:line="360" w:lineRule="auto"/>
              <w:jc w:val="center"/>
              <w:rPr>
                <w:rFonts w:ascii="宋体" w:hAnsi="宋体"/>
                <w:b/>
                <w:kern w:val="44"/>
              </w:rPr>
            </w:pPr>
            <w:r>
              <w:rPr>
                <w:rFonts w:hint="eastAsia" w:ascii="宋体" w:hAnsi="宋体"/>
                <w:b/>
                <w:kern w:val="44"/>
              </w:rPr>
              <w:t>备注</w:t>
            </w:r>
          </w:p>
        </w:tc>
      </w:tr>
      <w:tr w14:paraId="25AE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18" w:type="dxa"/>
            <w:gridSpan w:val="2"/>
            <w:tcBorders>
              <w:top w:val="single" w:color="auto" w:sz="4" w:space="0"/>
              <w:left w:val="single" w:color="auto" w:sz="4" w:space="0"/>
              <w:bottom w:val="single" w:color="auto" w:sz="4" w:space="0"/>
              <w:right w:val="single" w:color="auto" w:sz="4" w:space="0"/>
            </w:tcBorders>
            <w:vAlign w:val="center"/>
          </w:tcPr>
          <w:p w14:paraId="749FD9DC">
            <w:pPr>
              <w:pStyle w:val="40"/>
              <w:spacing w:line="360" w:lineRule="auto"/>
              <w:jc w:val="center"/>
              <w:rPr>
                <w:kern w:val="44"/>
                <w:szCs w:val="24"/>
              </w:rPr>
            </w:pPr>
            <w:r>
              <w:rPr>
                <w:rFonts w:hint="eastAsia"/>
                <w:kern w:val="44"/>
                <w:szCs w:val="24"/>
              </w:rPr>
              <w:t>项目总监理工程师</w:t>
            </w:r>
          </w:p>
        </w:tc>
        <w:tc>
          <w:tcPr>
            <w:tcW w:w="708" w:type="dxa"/>
            <w:tcBorders>
              <w:top w:val="single" w:color="auto" w:sz="4" w:space="0"/>
              <w:left w:val="single" w:color="auto" w:sz="4" w:space="0"/>
              <w:bottom w:val="single" w:color="auto" w:sz="4" w:space="0"/>
              <w:right w:val="single" w:color="auto" w:sz="4" w:space="0"/>
            </w:tcBorders>
            <w:vAlign w:val="center"/>
          </w:tcPr>
          <w:p w14:paraId="72D15CDD">
            <w:pPr>
              <w:pStyle w:val="40"/>
              <w:spacing w:line="360" w:lineRule="auto"/>
              <w:jc w:val="center"/>
              <w:rPr>
                <w:rFonts w:cs="宋体"/>
                <w:kern w:val="44"/>
                <w:szCs w:val="24"/>
              </w:rPr>
            </w:pPr>
            <w:r>
              <w:rPr>
                <w:rFonts w:hint="eastAsia" w:cs="宋体"/>
                <w:kern w:val="44"/>
                <w:szCs w:val="24"/>
              </w:rPr>
              <w:t>1</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5F0A07BE">
            <w:pPr>
              <w:snapToGrid w:val="0"/>
              <w:spacing w:line="360" w:lineRule="auto"/>
              <w:rPr>
                <w:rFonts w:ascii="宋体" w:hAnsi="宋体"/>
                <w:snapToGrid w:val="0"/>
                <w:spacing w:val="4"/>
              </w:rPr>
            </w:pPr>
            <w:r>
              <w:rPr>
                <w:rFonts w:hint="eastAsia" w:ascii="宋体" w:hAnsi="宋体"/>
                <w:snapToGrid w:val="0"/>
                <w:spacing w:val="4"/>
              </w:rPr>
              <w:t>与招标公告第3条第3.2点的要求一致。</w:t>
            </w:r>
          </w:p>
        </w:tc>
        <w:tc>
          <w:tcPr>
            <w:tcW w:w="484" w:type="dxa"/>
            <w:tcBorders>
              <w:top w:val="single" w:color="auto" w:sz="4" w:space="0"/>
              <w:left w:val="single" w:color="auto" w:sz="4" w:space="0"/>
              <w:bottom w:val="single" w:color="auto" w:sz="4" w:space="0"/>
              <w:right w:val="single" w:color="auto" w:sz="4" w:space="0"/>
            </w:tcBorders>
            <w:vAlign w:val="center"/>
          </w:tcPr>
          <w:p w14:paraId="7182D3B0">
            <w:pPr>
              <w:snapToGrid w:val="0"/>
              <w:spacing w:line="360" w:lineRule="auto"/>
              <w:jc w:val="center"/>
              <w:rPr>
                <w:rFonts w:ascii="宋体" w:hAnsi="宋体"/>
                <w:b/>
                <w:kern w:val="44"/>
              </w:rPr>
            </w:pPr>
          </w:p>
        </w:tc>
      </w:tr>
      <w:tr w14:paraId="0D8D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18" w:type="dxa"/>
            <w:gridSpan w:val="2"/>
            <w:tcBorders>
              <w:top w:val="single" w:color="auto" w:sz="4" w:space="0"/>
              <w:left w:val="single" w:color="auto" w:sz="4" w:space="0"/>
              <w:bottom w:val="single" w:color="auto" w:sz="4" w:space="0"/>
              <w:right w:val="single" w:color="auto" w:sz="4" w:space="0"/>
            </w:tcBorders>
            <w:vAlign w:val="center"/>
          </w:tcPr>
          <w:p w14:paraId="1C7031B8">
            <w:pPr>
              <w:pStyle w:val="40"/>
              <w:spacing w:line="360" w:lineRule="auto"/>
              <w:jc w:val="center"/>
              <w:rPr>
                <w:kern w:val="44"/>
                <w:szCs w:val="24"/>
              </w:rPr>
            </w:pPr>
            <w:r>
              <w:rPr>
                <w:rFonts w:hint="eastAsia"/>
                <w:kern w:val="44"/>
                <w:szCs w:val="24"/>
              </w:rPr>
              <w:t>项目总监理工程师代表</w:t>
            </w:r>
          </w:p>
        </w:tc>
        <w:tc>
          <w:tcPr>
            <w:tcW w:w="708" w:type="dxa"/>
            <w:tcBorders>
              <w:top w:val="single" w:color="auto" w:sz="4" w:space="0"/>
              <w:left w:val="single" w:color="auto" w:sz="4" w:space="0"/>
              <w:bottom w:val="single" w:color="auto" w:sz="4" w:space="0"/>
              <w:right w:val="single" w:color="auto" w:sz="4" w:space="0"/>
            </w:tcBorders>
            <w:vAlign w:val="center"/>
          </w:tcPr>
          <w:p w14:paraId="06CDB626">
            <w:pPr>
              <w:pStyle w:val="40"/>
              <w:spacing w:line="360" w:lineRule="auto"/>
              <w:jc w:val="center"/>
              <w:rPr>
                <w:rFonts w:cs="宋体"/>
                <w:kern w:val="44"/>
                <w:szCs w:val="24"/>
              </w:rPr>
            </w:pPr>
            <w:r>
              <w:rPr>
                <w:rFonts w:hint="eastAsia" w:cs="宋体"/>
                <w:kern w:val="44"/>
                <w:szCs w:val="24"/>
              </w:rPr>
              <w:t>1</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03C0742C">
            <w:pPr>
              <w:snapToGrid w:val="0"/>
              <w:spacing w:line="360" w:lineRule="auto"/>
              <w:rPr>
                <w:rFonts w:ascii="宋体" w:hAnsi="宋体"/>
                <w:snapToGrid w:val="0"/>
                <w:spacing w:val="4"/>
              </w:rPr>
            </w:pPr>
            <w:r>
              <w:rPr>
                <w:rFonts w:hint="eastAsia" w:ascii="宋体" w:hAnsi="宋体"/>
                <w:snapToGrid w:val="0"/>
                <w:spacing w:val="4"/>
              </w:rPr>
              <w:t>必须具有建设部2006年4月1日后颁发的中华人民共和国注册监理工程师注册执业证书，且其注册专业为市政公用工程，注册执业单位为本公司。</w:t>
            </w:r>
          </w:p>
        </w:tc>
        <w:tc>
          <w:tcPr>
            <w:tcW w:w="484" w:type="dxa"/>
            <w:tcBorders>
              <w:top w:val="single" w:color="auto" w:sz="4" w:space="0"/>
              <w:left w:val="single" w:color="auto" w:sz="4" w:space="0"/>
              <w:bottom w:val="single" w:color="auto" w:sz="4" w:space="0"/>
              <w:right w:val="single" w:color="auto" w:sz="4" w:space="0"/>
            </w:tcBorders>
            <w:vAlign w:val="center"/>
          </w:tcPr>
          <w:p w14:paraId="7793E670">
            <w:pPr>
              <w:snapToGrid w:val="0"/>
              <w:spacing w:line="360" w:lineRule="auto"/>
              <w:jc w:val="center"/>
              <w:rPr>
                <w:rFonts w:ascii="宋体" w:hAnsi="宋体"/>
                <w:b/>
                <w:kern w:val="44"/>
              </w:rPr>
            </w:pPr>
          </w:p>
        </w:tc>
      </w:tr>
      <w:tr w14:paraId="2DF5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80" w:type="dxa"/>
            <w:vMerge w:val="restart"/>
            <w:tcBorders>
              <w:top w:val="single" w:color="auto" w:sz="4" w:space="0"/>
              <w:left w:val="single" w:color="auto" w:sz="4" w:space="0"/>
              <w:right w:val="single" w:color="auto" w:sz="4" w:space="0"/>
            </w:tcBorders>
            <w:vAlign w:val="center"/>
          </w:tcPr>
          <w:p w14:paraId="7BC7E695">
            <w:pPr>
              <w:snapToGrid w:val="0"/>
              <w:spacing w:line="360" w:lineRule="auto"/>
              <w:jc w:val="center"/>
              <w:rPr>
                <w:rFonts w:ascii="宋体" w:hAnsi="宋体"/>
                <w:bCs/>
                <w:kern w:val="44"/>
              </w:rPr>
            </w:pPr>
            <w:r>
              <w:rPr>
                <w:rFonts w:hint="eastAsia" w:ascii="宋体" w:hAnsi="宋体"/>
                <w:bCs/>
                <w:kern w:val="44"/>
              </w:rPr>
              <w:t>专业监理人员</w:t>
            </w:r>
          </w:p>
        </w:tc>
        <w:tc>
          <w:tcPr>
            <w:tcW w:w="1938" w:type="dxa"/>
            <w:tcBorders>
              <w:top w:val="single" w:color="auto" w:sz="4" w:space="0"/>
              <w:left w:val="single" w:color="auto" w:sz="4" w:space="0"/>
              <w:bottom w:val="single" w:color="auto" w:sz="4" w:space="0"/>
              <w:right w:val="single" w:color="auto" w:sz="4" w:space="0"/>
            </w:tcBorders>
            <w:vAlign w:val="center"/>
          </w:tcPr>
          <w:p w14:paraId="3F8D188D">
            <w:pPr>
              <w:snapToGrid w:val="0"/>
              <w:spacing w:line="360" w:lineRule="auto"/>
              <w:jc w:val="center"/>
              <w:rPr>
                <w:rFonts w:ascii="宋体" w:hAnsi="宋体"/>
                <w:bCs/>
                <w:kern w:val="44"/>
              </w:rPr>
            </w:pPr>
            <w:r>
              <w:rPr>
                <w:rFonts w:hint="eastAsia" w:ascii="宋体" w:hAnsi="宋体"/>
                <w:kern w:val="44"/>
              </w:rPr>
              <w:t>给排水</w:t>
            </w:r>
            <w:r>
              <w:rPr>
                <w:rFonts w:hint="eastAsia" w:ascii="宋体" w:hAnsi="宋体" w:cs="宋体"/>
              </w:rPr>
              <w:t>专业监理工程师</w:t>
            </w:r>
          </w:p>
        </w:tc>
        <w:tc>
          <w:tcPr>
            <w:tcW w:w="708" w:type="dxa"/>
            <w:tcBorders>
              <w:top w:val="single" w:color="auto" w:sz="4" w:space="0"/>
              <w:left w:val="single" w:color="auto" w:sz="4" w:space="0"/>
              <w:bottom w:val="single" w:color="auto" w:sz="4" w:space="0"/>
              <w:right w:val="single" w:color="auto" w:sz="4" w:space="0"/>
            </w:tcBorders>
            <w:vAlign w:val="center"/>
          </w:tcPr>
          <w:p w14:paraId="1518D672">
            <w:pPr>
              <w:pStyle w:val="40"/>
              <w:spacing w:line="360" w:lineRule="auto"/>
              <w:jc w:val="center"/>
              <w:rPr>
                <w:rFonts w:cs="宋体"/>
                <w:kern w:val="44"/>
                <w:szCs w:val="24"/>
              </w:rPr>
            </w:pPr>
            <w:r>
              <w:rPr>
                <w:rFonts w:hint="eastAsia" w:cs="宋体"/>
                <w:kern w:val="44"/>
                <w:szCs w:val="24"/>
              </w:rPr>
              <w:t>1</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22F32D9C">
            <w:pPr>
              <w:pStyle w:val="40"/>
              <w:spacing w:line="360" w:lineRule="auto"/>
              <w:rPr>
                <w:kern w:val="44"/>
                <w:szCs w:val="24"/>
              </w:rPr>
            </w:pPr>
            <w:r>
              <w:rPr>
                <w:rFonts w:hint="eastAsia"/>
                <w:kern w:val="44"/>
                <w:szCs w:val="24"/>
              </w:rPr>
              <w:t>具有</w:t>
            </w:r>
            <w:r>
              <w:rPr>
                <w:rFonts w:hint="eastAsia"/>
                <w:kern w:val="44"/>
              </w:rPr>
              <w:t>给排水</w:t>
            </w:r>
            <w:r>
              <w:rPr>
                <w:rFonts w:hint="eastAsia"/>
                <w:kern w:val="44"/>
                <w:szCs w:val="24"/>
              </w:rPr>
              <w:t>相关专业中级或以上技术职称（专业以职称证上专业为准），</w:t>
            </w:r>
            <w:r>
              <w:rPr>
                <w:rFonts w:hint="eastAsia" w:ascii="仿宋_GB2312" w:hAnsi="仿宋_GB2312"/>
                <w:snapToGrid w:val="0"/>
                <w:spacing w:val="4"/>
                <w:szCs w:val="24"/>
              </w:rPr>
              <w:t>且具有监理工程师</w:t>
            </w:r>
            <w:r>
              <w:rPr>
                <w:rFonts w:hint="eastAsia"/>
                <w:snapToGrid w:val="0"/>
                <w:spacing w:val="4"/>
              </w:rPr>
              <w:t>注册执业证书或</w:t>
            </w:r>
            <w:r>
              <w:rPr>
                <w:rFonts w:hint="eastAsia" w:ascii="仿宋_GB2312" w:hAnsi="仿宋_GB2312"/>
                <w:snapToGrid w:val="0"/>
                <w:spacing w:val="4"/>
                <w:szCs w:val="24"/>
              </w:rPr>
              <w:t>岗位证书。</w:t>
            </w:r>
          </w:p>
        </w:tc>
        <w:tc>
          <w:tcPr>
            <w:tcW w:w="484" w:type="dxa"/>
            <w:tcBorders>
              <w:top w:val="single" w:color="auto" w:sz="4" w:space="0"/>
              <w:left w:val="single" w:color="auto" w:sz="4" w:space="0"/>
              <w:bottom w:val="single" w:color="auto" w:sz="4" w:space="0"/>
              <w:right w:val="single" w:color="auto" w:sz="4" w:space="0"/>
            </w:tcBorders>
            <w:vAlign w:val="center"/>
          </w:tcPr>
          <w:p w14:paraId="38E96283">
            <w:pPr>
              <w:pStyle w:val="40"/>
              <w:spacing w:line="360" w:lineRule="auto"/>
              <w:rPr>
                <w:kern w:val="44"/>
                <w:szCs w:val="24"/>
              </w:rPr>
            </w:pPr>
          </w:p>
        </w:tc>
      </w:tr>
      <w:tr w14:paraId="2C65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80" w:type="dxa"/>
            <w:vMerge w:val="continue"/>
            <w:tcBorders>
              <w:left w:val="single" w:color="auto" w:sz="4" w:space="0"/>
              <w:right w:val="single" w:color="auto" w:sz="4" w:space="0"/>
            </w:tcBorders>
            <w:vAlign w:val="center"/>
          </w:tcPr>
          <w:p w14:paraId="47327F7A">
            <w:pPr>
              <w:widowControl/>
              <w:spacing w:line="360" w:lineRule="auto"/>
              <w:rPr>
                <w:rFonts w:ascii="宋体" w:hAnsi="宋体"/>
                <w:bCs/>
                <w:kern w:val="44"/>
              </w:rPr>
            </w:pPr>
          </w:p>
        </w:tc>
        <w:tc>
          <w:tcPr>
            <w:tcW w:w="1938" w:type="dxa"/>
            <w:tcBorders>
              <w:top w:val="single" w:color="auto" w:sz="4" w:space="0"/>
              <w:left w:val="single" w:color="auto" w:sz="4" w:space="0"/>
              <w:bottom w:val="single" w:color="auto" w:sz="4" w:space="0"/>
              <w:right w:val="single" w:color="auto" w:sz="4" w:space="0"/>
            </w:tcBorders>
            <w:vAlign w:val="center"/>
          </w:tcPr>
          <w:p w14:paraId="2FADAD17">
            <w:pPr>
              <w:snapToGrid w:val="0"/>
              <w:spacing w:line="360" w:lineRule="auto"/>
              <w:jc w:val="center"/>
              <w:rPr>
                <w:rFonts w:ascii="仿宋_GB2312" w:hAnsi="宋体"/>
                <w:snapToGrid w:val="0"/>
                <w:spacing w:val="4"/>
              </w:rPr>
            </w:pPr>
            <w:r>
              <w:rPr>
                <w:rFonts w:hint="eastAsia" w:ascii="宋体" w:hAnsi="宋体"/>
                <w:bCs/>
                <w:kern w:val="44"/>
              </w:rPr>
              <w:t>机电设备</w:t>
            </w:r>
            <w:r>
              <w:rPr>
                <w:rFonts w:hint="eastAsia" w:ascii="仿宋_GB2312" w:hAnsi="宋体"/>
                <w:snapToGrid w:val="0"/>
                <w:spacing w:val="4"/>
              </w:rPr>
              <w:t>专业监理工程师</w:t>
            </w:r>
          </w:p>
        </w:tc>
        <w:tc>
          <w:tcPr>
            <w:tcW w:w="708" w:type="dxa"/>
            <w:tcBorders>
              <w:top w:val="single" w:color="auto" w:sz="4" w:space="0"/>
              <w:left w:val="single" w:color="auto" w:sz="4" w:space="0"/>
              <w:bottom w:val="single" w:color="auto" w:sz="4" w:space="0"/>
              <w:right w:val="single" w:color="auto" w:sz="4" w:space="0"/>
            </w:tcBorders>
            <w:vAlign w:val="center"/>
          </w:tcPr>
          <w:p w14:paraId="0E618ABE">
            <w:pPr>
              <w:pStyle w:val="40"/>
              <w:spacing w:line="360" w:lineRule="auto"/>
              <w:jc w:val="center"/>
              <w:rPr>
                <w:rFonts w:cs="宋体"/>
                <w:kern w:val="44"/>
                <w:szCs w:val="24"/>
              </w:rPr>
            </w:pPr>
            <w:r>
              <w:rPr>
                <w:rFonts w:hint="eastAsia" w:cs="宋体"/>
                <w:kern w:val="44"/>
                <w:szCs w:val="24"/>
              </w:rPr>
              <w:t>1</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3613CEA8">
            <w:pPr>
              <w:pStyle w:val="40"/>
              <w:spacing w:line="360" w:lineRule="auto"/>
              <w:rPr>
                <w:kern w:val="44"/>
                <w:szCs w:val="24"/>
              </w:rPr>
            </w:pPr>
            <w:r>
              <w:rPr>
                <w:rFonts w:hint="eastAsia"/>
                <w:kern w:val="44"/>
                <w:szCs w:val="24"/>
              </w:rPr>
              <w:t>具有</w:t>
            </w:r>
            <w:r>
              <w:rPr>
                <w:rFonts w:hint="eastAsia" w:ascii="仿宋_GB2312" w:hAnsi="仿宋_GB2312"/>
                <w:snapToGrid w:val="0"/>
                <w:spacing w:val="4"/>
                <w:szCs w:val="24"/>
              </w:rPr>
              <w:t>机电设备相关专业中级或以上技术职称</w:t>
            </w:r>
            <w:r>
              <w:rPr>
                <w:rFonts w:hint="eastAsia"/>
                <w:kern w:val="44"/>
                <w:szCs w:val="24"/>
              </w:rPr>
              <w:t>（专业以职称证上专业为准）</w:t>
            </w:r>
            <w:r>
              <w:rPr>
                <w:rFonts w:hint="eastAsia" w:ascii="仿宋_GB2312" w:hAnsi="仿宋_GB2312"/>
                <w:snapToGrid w:val="0"/>
                <w:spacing w:val="4"/>
                <w:szCs w:val="24"/>
              </w:rPr>
              <w:t>，且具有监理工程师</w:t>
            </w:r>
            <w:r>
              <w:rPr>
                <w:rFonts w:hint="eastAsia"/>
                <w:snapToGrid w:val="0"/>
                <w:spacing w:val="4"/>
              </w:rPr>
              <w:t>注册执业证书或</w:t>
            </w:r>
            <w:r>
              <w:rPr>
                <w:rFonts w:hint="eastAsia" w:ascii="仿宋_GB2312" w:hAnsi="仿宋_GB2312"/>
                <w:snapToGrid w:val="0"/>
                <w:spacing w:val="4"/>
                <w:szCs w:val="24"/>
              </w:rPr>
              <w:t>岗位证书。</w:t>
            </w:r>
          </w:p>
        </w:tc>
        <w:tc>
          <w:tcPr>
            <w:tcW w:w="484" w:type="dxa"/>
            <w:tcBorders>
              <w:top w:val="single" w:color="auto" w:sz="4" w:space="0"/>
              <w:left w:val="single" w:color="auto" w:sz="4" w:space="0"/>
              <w:bottom w:val="single" w:color="auto" w:sz="4" w:space="0"/>
              <w:right w:val="single" w:color="auto" w:sz="4" w:space="0"/>
            </w:tcBorders>
            <w:vAlign w:val="center"/>
          </w:tcPr>
          <w:p w14:paraId="7DD2205E">
            <w:pPr>
              <w:pStyle w:val="40"/>
              <w:spacing w:line="360" w:lineRule="auto"/>
              <w:rPr>
                <w:kern w:val="44"/>
                <w:szCs w:val="24"/>
              </w:rPr>
            </w:pPr>
          </w:p>
        </w:tc>
      </w:tr>
      <w:tr w14:paraId="1C15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80" w:type="dxa"/>
            <w:vMerge w:val="continue"/>
            <w:tcBorders>
              <w:left w:val="single" w:color="auto" w:sz="4" w:space="0"/>
              <w:right w:val="single" w:color="auto" w:sz="4" w:space="0"/>
            </w:tcBorders>
            <w:vAlign w:val="center"/>
          </w:tcPr>
          <w:p w14:paraId="3785B68E">
            <w:pPr>
              <w:widowControl/>
              <w:spacing w:line="360" w:lineRule="auto"/>
              <w:rPr>
                <w:rFonts w:ascii="宋体" w:hAnsi="宋体"/>
                <w:bCs/>
                <w:kern w:val="44"/>
              </w:rPr>
            </w:pPr>
          </w:p>
        </w:tc>
        <w:tc>
          <w:tcPr>
            <w:tcW w:w="1938" w:type="dxa"/>
            <w:tcBorders>
              <w:top w:val="single" w:color="auto" w:sz="4" w:space="0"/>
              <w:left w:val="single" w:color="auto" w:sz="4" w:space="0"/>
              <w:bottom w:val="single" w:color="auto" w:sz="4" w:space="0"/>
              <w:right w:val="single" w:color="auto" w:sz="4" w:space="0"/>
            </w:tcBorders>
            <w:vAlign w:val="center"/>
          </w:tcPr>
          <w:p w14:paraId="6A4E2CB3">
            <w:pPr>
              <w:snapToGrid w:val="0"/>
              <w:spacing w:line="360" w:lineRule="auto"/>
              <w:jc w:val="center"/>
              <w:rPr>
                <w:rFonts w:ascii="宋体" w:hAnsi="宋体"/>
                <w:kern w:val="44"/>
              </w:rPr>
            </w:pPr>
            <w:r>
              <w:rPr>
                <w:rFonts w:hint="eastAsia" w:ascii="宋体" w:hAnsi="宋体"/>
                <w:kern w:val="44"/>
              </w:rPr>
              <w:t>土建</w:t>
            </w:r>
            <w:r>
              <w:rPr>
                <w:rFonts w:hint="eastAsia" w:ascii="仿宋_GB2312" w:hAnsi="宋体"/>
                <w:snapToGrid w:val="0"/>
                <w:spacing w:val="4"/>
              </w:rPr>
              <w:t>专业监理工程师</w:t>
            </w:r>
          </w:p>
        </w:tc>
        <w:tc>
          <w:tcPr>
            <w:tcW w:w="708" w:type="dxa"/>
            <w:tcBorders>
              <w:top w:val="single" w:color="auto" w:sz="4" w:space="0"/>
              <w:left w:val="single" w:color="auto" w:sz="4" w:space="0"/>
              <w:bottom w:val="single" w:color="auto" w:sz="4" w:space="0"/>
              <w:right w:val="single" w:color="auto" w:sz="4" w:space="0"/>
            </w:tcBorders>
            <w:vAlign w:val="center"/>
          </w:tcPr>
          <w:p w14:paraId="5A6EDA52">
            <w:pPr>
              <w:pStyle w:val="40"/>
              <w:spacing w:line="360" w:lineRule="auto"/>
              <w:jc w:val="center"/>
              <w:rPr>
                <w:rFonts w:cs="宋体"/>
                <w:kern w:val="44"/>
                <w:szCs w:val="24"/>
              </w:rPr>
            </w:pPr>
            <w:r>
              <w:rPr>
                <w:rFonts w:hint="eastAsia" w:cs="宋体"/>
                <w:kern w:val="44"/>
                <w:szCs w:val="24"/>
              </w:rPr>
              <w:t>1</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5458B19F">
            <w:pPr>
              <w:pStyle w:val="40"/>
              <w:spacing w:line="360" w:lineRule="auto"/>
              <w:rPr>
                <w:kern w:val="44"/>
                <w:szCs w:val="24"/>
              </w:rPr>
            </w:pPr>
            <w:r>
              <w:rPr>
                <w:rFonts w:hint="eastAsia"/>
                <w:kern w:val="44"/>
                <w:szCs w:val="24"/>
              </w:rPr>
              <w:t>具有土建相关专业</w:t>
            </w:r>
            <w:r>
              <w:rPr>
                <w:rFonts w:hint="eastAsia" w:ascii="仿宋_GB2312" w:hAnsi="仿宋_GB2312"/>
                <w:snapToGrid w:val="0"/>
                <w:spacing w:val="4"/>
                <w:szCs w:val="24"/>
              </w:rPr>
              <w:t>中级或以上技术职称</w:t>
            </w:r>
            <w:r>
              <w:rPr>
                <w:rFonts w:hint="eastAsia"/>
                <w:kern w:val="44"/>
                <w:szCs w:val="24"/>
              </w:rPr>
              <w:t>（专业以职称证上专业为准），</w:t>
            </w:r>
            <w:r>
              <w:rPr>
                <w:rFonts w:hint="eastAsia" w:ascii="仿宋_GB2312" w:hAnsi="仿宋_GB2312"/>
                <w:snapToGrid w:val="0"/>
                <w:spacing w:val="4"/>
                <w:szCs w:val="24"/>
              </w:rPr>
              <w:t>且具有监理工程师</w:t>
            </w:r>
            <w:r>
              <w:rPr>
                <w:rFonts w:hint="eastAsia"/>
                <w:snapToGrid w:val="0"/>
                <w:spacing w:val="4"/>
              </w:rPr>
              <w:t>注册执业证书或</w:t>
            </w:r>
            <w:r>
              <w:rPr>
                <w:rFonts w:hint="eastAsia" w:ascii="仿宋_GB2312" w:hAnsi="仿宋_GB2312"/>
                <w:snapToGrid w:val="0"/>
                <w:spacing w:val="4"/>
                <w:szCs w:val="24"/>
              </w:rPr>
              <w:t>岗位证书。</w:t>
            </w:r>
          </w:p>
        </w:tc>
        <w:tc>
          <w:tcPr>
            <w:tcW w:w="484" w:type="dxa"/>
            <w:tcBorders>
              <w:top w:val="single" w:color="auto" w:sz="4" w:space="0"/>
              <w:left w:val="single" w:color="auto" w:sz="4" w:space="0"/>
              <w:bottom w:val="single" w:color="auto" w:sz="4" w:space="0"/>
              <w:right w:val="single" w:color="auto" w:sz="4" w:space="0"/>
            </w:tcBorders>
            <w:vAlign w:val="center"/>
          </w:tcPr>
          <w:p w14:paraId="4622EADD">
            <w:pPr>
              <w:pStyle w:val="40"/>
              <w:spacing w:line="360" w:lineRule="auto"/>
              <w:rPr>
                <w:kern w:val="44"/>
                <w:szCs w:val="24"/>
              </w:rPr>
            </w:pPr>
          </w:p>
        </w:tc>
      </w:tr>
      <w:tr w14:paraId="2377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80" w:type="dxa"/>
            <w:vMerge w:val="continue"/>
            <w:tcBorders>
              <w:left w:val="single" w:color="auto" w:sz="4" w:space="0"/>
              <w:right w:val="single" w:color="auto" w:sz="4" w:space="0"/>
            </w:tcBorders>
            <w:vAlign w:val="center"/>
          </w:tcPr>
          <w:p w14:paraId="4F492E41">
            <w:pPr>
              <w:widowControl/>
              <w:spacing w:line="360" w:lineRule="auto"/>
              <w:rPr>
                <w:rFonts w:ascii="宋体" w:hAnsi="宋体"/>
                <w:bCs/>
                <w:kern w:val="44"/>
              </w:rPr>
            </w:pPr>
          </w:p>
        </w:tc>
        <w:tc>
          <w:tcPr>
            <w:tcW w:w="1938" w:type="dxa"/>
            <w:tcBorders>
              <w:top w:val="single" w:color="auto" w:sz="4" w:space="0"/>
              <w:left w:val="single" w:color="auto" w:sz="4" w:space="0"/>
              <w:bottom w:val="single" w:color="auto" w:sz="4" w:space="0"/>
              <w:right w:val="single" w:color="auto" w:sz="4" w:space="0"/>
            </w:tcBorders>
            <w:vAlign w:val="center"/>
          </w:tcPr>
          <w:p w14:paraId="502153C6">
            <w:pPr>
              <w:snapToGrid w:val="0"/>
              <w:spacing w:line="360" w:lineRule="auto"/>
              <w:jc w:val="center"/>
              <w:rPr>
                <w:rFonts w:ascii="宋体" w:hAnsi="宋体"/>
                <w:bCs/>
                <w:kern w:val="44"/>
              </w:rPr>
            </w:pPr>
            <w:r>
              <w:rPr>
                <w:rFonts w:hint="eastAsia" w:ascii="宋体" w:hAnsi="宋体"/>
                <w:bCs/>
                <w:kern w:val="44"/>
              </w:rPr>
              <w:t>造价工程师</w:t>
            </w:r>
          </w:p>
        </w:tc>
        <w:tc>
          <w:tcPr>
            <w:tcW w:w="708" w:type="dxa"/>
            <w:tcBorders>
              <w:top w:val="single" w:color="auto" w:sz="4" w:space="0"/>
              <w:left w:val="single" w:color="auto" w:sz="4" w:space="0"/>
              <w:bottom w:val="single" w:color="auto" w:sz="4" w:space="0"/>
              <w:right w:val="single" w:color="auto" w:sz="4" w:space="0"/>
            </w:tcBorders>
            <w:vAlign w:val="center"/>
          </w:tcPr>
          <w:p w14:paraId="0B684378">
            <w:pPr>
              <w:pStyle w:val="40"/>
              <w:spacing w:line="360" w:lineRule="auto"/>
              <w:jc w:val="center"/>
              <w:rPr>
                <w:rFonts w:cs="宋体"/>
                <w:kern w:val="44"/>
                <w:szCs w:val="24"/>
              </w:rPr>
            </w:pPr>
            <w:r>
              <w:rPr>
                <w:rFonts w:hint="eastAsia" w:cs="宋体"/>
                <w:kern w:val="44"/>
                <w:szCs w:val="24"/>
              </w:rPr>
              <w:t>1</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0A48E1F7">
            <w:pPr>
              <w:pStyle w:val="40"/>
              <w:spacing w:line="360" w:lineRule="auto"/>
              <w:rPr>
                <w:kern w:val="44"/>
                <w:szCs w:val="24"/>
              </w:rPr>
            </w:pPr>
            <w:r>
              <w:rPr>
                <w:rFonts w:hint="eastAsia"/>
                <w:kern w:val="44"/>
                <w:szCs w:val="24"/>
              </w:rPr>
              <w:t>具有一级注册造价工程师资格</w:t>
            </w:r>
            <w:r>
              <w:rPr>
                <w:rFonts w:hint="eastAsia"/>
                <w:snapToGrid w:val="0"/>
                <w:spacing w:val="4"/>
              </w:rPr>
              <w:t>，注册执业单位为本公司</w:t>
            </w:r>
            <w:r>
              <w:rPr>
                <w:rFonts w:hint="eastAsia"/>
                <w:kern w:val="44"/>
                <w:szCs w:val="24"/>
              </w:rPr>
              <w:t>。</w:t>
            </w:r>
          </w:p>
        </w:tc>
        <w:tc>
          <w:tcPr>
            <w:tcW w:w="484" w:type="dxa"/>
            <w:tcBorders>
              <w:top w:val="single" w:color="auto" w:sz="4" w:space="0"/>
              <w:left w:val="single" w:color="auto" w:sz="4" w:space="0"/>
              <w:bottom w:val="single" w:color="auto" w:sz="4" w:space="0"/>
              <w:right w:val="single" w:color="auto" w:sz="4" w:space="0"/>
            </w:tcBorders>
            <w:vAlign w:val="center"/>
          </w:tcPr>
          <w:p w14:paraId="0321B7FB">
            <w:pPr>
              <w:pStyle w:val="40"/>
              <w:spacing w:line="360" w:lineRule="auto"/>
              <w:rPr>
                <w:kern w:val="44"/>
                <w:szCs w:val="24"/>
              </w:rPr>
            </w:pPr>
          </w:p>
        </w:tc>
      </w:tr>
      <w:tr w14:paraId="2630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80" w:type="dxa"/>
            <w:vMerge w:val="continue"/>
            <w:tcBorders>
              <w:left w:val="single" w:color="auto" w:sz="4" w:space="0"/>
              <w:right w:val="single" w:color="auto" w:sz="4" w:space="0"/>
            </w:tcBorders>
            <w:vAlign w:val="center"/>
          </w:tcPr>
          <w:p w14:paraId="7766E9D0">
            <w:pPr>
              <w:widowControl/>
              <w:spacing w:line="360" w:lineRule="auto"/>
              <w:rPr>
                <w:rFonts w:ascii="宋体" w:hAnsi="宋体"/>
                <w:bCs/>
                <w:kern w:val="44"/>
              </w:rPr>
            </w:pPr>
          </w:p>
        </w:tc>
        <w:tc>
          <w:tcPr>
            <w:tcW w:w="1938" w:type="dxa"/>
            <w:tcBorders>
              <w:top w:val="single" w:color="auto" w:sz="4" w:space="0"/>
              <w:left w:val="single" w:color="auto" w:sz="4" w:space="0"/>
              <w:bottom w:val="single" w:color="auto" w:sz="4" w:space="0"/>
              <w:right w:val="single" w:color="auto" w:sz="4" w:space="0"/>
            </w:tcBorders>
            <w:vAlign w:val="center"/>
          </w:tcPr>
          <w:p w14:paraId="4C8A21F6">
            <w:pPr>
              <w:snapToGrid w:val="0"/>
              <w:spacing w:line="360" w:lineRule="auto"/>
              <w:jc w:val="center"/>
              <w:rPr>
                <w:rFonts w:ascii="宋体" w:hAnsi="宋体"/>
                <w:bCs/>
                <w:kern w:val="44"/>
              </w:rPr>
            </w:pPr>
            <w:r>
              <w:rPr>
                <w:rFonts w:hint="eastAsia" w:ascii="宋体" w:hAnsi="宋体"/>
                <w:bCs/>
                <w:kern w:val="44"/>
              </w:rPr>
              <w:t>安全监理</w:t>
            </w:r>
            <w:r>
              <w:rPr>
                <w:rFonts w:hint="eastAsia" w:ascii="仿宋_GB2312" w:hAnsi="宋体"/>
                <w:snapToGrid w:val="0"/>
                <w:spacing w:val="4"/>
              </w:rPr>
              <w:t>工程师</w:t>
            </w:r>
          </w:p>
        </w:tc>
        <w:tc>
          <w:tcPr>
            <w:tcW w:w="708" w:type="dxa"/>
            <w:tcBorders>
              <w:top w:val="single" w:color="auto" w:sz="4" w:space="0"/>
              <w:left w:val="single" w:color="auto" w:sz="4" w:space="0"/>
              <w:bottom w:val="single" w:color="auto" w:sz="4" w:space="0"/>
              <w:right w:val="single" w:color="auto" w:sz="4" w:space="0"/>
            </w:tcBorders>
            <w:vAlign w:val="center"/>
          </w:tcPr>
          <w:p w14:paraId="19C7E48B">
            <w:pPr>
              <w:pStyle w:val="40"/>
              <w:spacing w:line="360" w:lineRule="auto"/>
              <w:jc w:val="center"/>
              <w:rPr>
                <w:rFonts w:cs="宋体"/>
                <w:kern w:val="44"/>
                <w:szCs w:val="24"/>
              </w:rPr>
            </w:pPr>
            <w:r>
              <w:rPr>
                <w:rFonts w:hint="eastAsia" w:cs="宋体"/>
                <w:kern w:val="44"/>
                <w:szCs w:val="24"/>
              </w:rPr>
              <w:t>1</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00ECA406">
            <w:pPr>
              <w:pStyle w:val="40"/>
              <w:spacing w:line="360" w:lineRule="auto"/>
              <w:rPr>
                <w:kern w:val="44"/>
                <w:szCs w:val="24"/>
              </w:rPr>
            </w:pPr>
            <w:r>
              <w:rPr>
                <w:rFonts w:hint="eastAsia" w:cs="宋体"/>
                <w:szCs w:val="24"/>
              </w:rPr>
              <w:t>具有注册安全工程师，</w:t>
            </w:r>
            <w:r>
              <w:rPr>
                <w:rFonts w:hint="eastAsia" w:ascii="仿宋_GB2312" w:hAnsi="仿宋_GB2312"/>
                <w:snapToGrid w:val="0"/>
                <w:spacing w:val="4"/>
                <w:szCs w:val="24"/>
              </w:rPr>
              <w:t>且具有监理工程师</w:t>
            </w:r>
            <w:r>
              <w:rPr>
                <w:rFonts w:hint="eastAsia"/>
                <w:snapToGrid w:val="0"/>
                <w:spacing w:val="4"/>
              </w:rPr>
              <w:t>注册执业证书或</w:t>
            </w:r>
            <w:r>
              <w:rPr>
                <w:rFonts w:hint="eastAsia" w:ascii="仿宋_GB2312" w:hAnsi="仿宋_GB2312"/>
                <w:snapToGrid w:val="0"/>
                <w:spacing w:val="4"/>
                <w:szCs w:val="24"/>
              </w:rPr>
              <w:t>岗位证书。</w:t>
            </w:r>
          </w:p>
        </w:tc>
        <w:tc>
          <w:tcPr>
            <w:tcW w:w="484" w:type="dxa"/>
            <w:tcBorders>
              <w:top w:val="single" w:color="auto" w:sz="4" w:space="0"/>
              <w:left w:val="single" w:color="auto" w:sz="4" w:space="0"/>
              <w:bottom w:val="single" w:color="auto" w:sz="4" w:space="0"/>
              <w:right w:val="single" w:color="auto" w:sz="4" w:space="0"/>
            </w:tcBorders>
            <w:vAlign w:val="center"/>
          </w:tcPr>
          <w:p w14:paraId="0F1CE519">
            <w:pPr>
              <w:pStyle w:val="40"/>
              <w:spacing w:line="360" w:lineRule="auto"/>
              <w:rPr>
                <w:kern w:val="44"/>
                <w:szCs w:val="24"/>
              </w:rPr>
            </w:pPr>
          </w:p>
        </w:tc>
      </w:tr>
      <w:tr w14:paraId="73E8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18" w:type="dxa"/>
            <w:gridSpan w:val="2"/>
            <w:tcBorders>
              <w:top w:val="single" w:color="auto" w:sz="4" w:space="0"/>
              <w:left w:val="single" w:color="auto" w:sz="4" w:space="0"/>
              <w:bottom w:val="single" w:color="auto" w:sz="4" w:space="0"/>
              <w:right w:val="single" w:color="auto" w:sz="4" w:space="0"/>
            </w:tcBorders>
            <w:vAlign w:val="center"/>
          </w:tcPr>
          <w:p w14:paraId="6BE62E88">
            <w:pPr>
              <w:snapToGrid w:val="0"/>
              <w:spacing w:line="360" w:lineRule="auto"/>
              <w:jc w:val="center"/>
              <w:rPr>
                <w:rFonts w:ascii="仿宋_GB2312" w:hAnsi="宋体"/>
                <w:snapToGrid w:val="0"/>
                <w:spacing w:val="4"/>
              </w:rPr>
            </w:pPr>
            <w:r>
              <w:rPr>
                <w:rFonts w:hint="eastAsia" w:ascii="仿宋_GB2312" w:hAnsi="宋体"/>
                <w:snapToGrid w:val="0"/>
                <w:spacing w:val="4"/>
              </w:rPr>
              <w:t>监理员</w:t>
            </w:r>
          </w:p>
        </w:tc>
        <w:tc>
          <w:tcPr>
            <w:tcW w:w="708" w:type="dxa"/>
            <w:tcBorders>
              <w:top w:val="single" w:color="auto" w:sz="4" w:space="0"/>
              <w:left w:val="single" w:color="auto" w:sz="4" w:space="0"/>
              <w:bottom w:val="single" w:color="auto" w:sz="4" w:space="0"/>
              <w:right w:val="single" w:color="auto" w:sz="4" w:space="0"/>
            </w:tcBorders>
            <w:vAlign w:val="center"/>
          </w:tcPr>
          <w:p w14:paraId="4B159F40">
            <w:pPr>
              <w:pStyle w:val="40"/>
              <w:spacing w:line="360" w:lineRule="auto"/>
              <w:jc w:val="center"/>
              <w:rPr>
                <w:rFonts w:cs="宋体"/>
                <w:kern w:val="44"/>
                <w:szCs w:val="24"/>
              </w:rPr>
            </w:pPr>
            <w:r>
              <w:rPr>
                <w:rFonts w:hint="eastAsia" w:cs="宋体"/>
                <w:kern w:val="44"/>
                <w:szCs w:val="24"/>
              </w:rPr>
              <w:t>2</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1C7CE4EF">
            <w:pPr>
              <w:pStyle w:val="40"/>
              <w:spacing w:line="360" w:lineRule="auto"/>
              <w:rPr>
                <w:kern w:val="44"/>
                <w:szCs w:val="24"/>
              </w:rPr>
            </w:pPr>
            <w:r>
              <w:rPr>
                <w:rFonts w:hint="eastAsia"/>
                <w:kern w:val="44"/>
                <w:szCs w:val="24"/>
              </w:rPr>
              <w:t>从事现场监理旁站工作，具有监理员岗位证书</w:t>
            </w:r>
            <w:r>
              <w:rPr>
                <w:rFonts w:hint="eastAsia" w:ascii="仿宋_GB2312" w:cs="宋体"/>
                <w:snapToGrid w:val="0"/>
                <w:spacing w:val="4"/>
                <w:szCs w:val="24"/>
              </w:rPr>
              <w:t>。</w:t>
            </w:r>
          </w:p>
        </w:tc>
        <w:tc>
          <w:tcPr>
            <w:tcW w:w="484" w:type="dxa"/>
            <w:tcBorders>
              <w:top w:val="single" w:color="auto" w:sz="4" w:space="0"/>
              <w:left w:val="single" w:color="auto" w:sz="4" w:space="0"/>
              <w:bottom w:val="single" w:color="auto" w:sz="4" w:space="0"/>
              <w:right w:val="single" w:color="auto" w:sz="4" w:space="0"/>
            </w:tcBorders>
            <w:vAlign w:val="center"/>
          </w:tcPr>
          <w:p w14:paraId="4DD346E4">
            <w:pPr>
              <w:pStyle w:val="40"/>
              <w:spacing w:line="360" w:lineRule="auto"/>
              <w:rPr>
                <w:kern w:val="44"/>
                <w:szCs w:val="24"/>
              </w:rPr>
            </w:pPr>
          </w:p>
        </w:tc>
      </w:tr>
      <w:tr w14:paraId="3F49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18" w:type="dxa"/>
            <w:gridSpan w:val="2"/>
            <w:tcBorders>
              <w:top w:val="single" w:color="auto" w:sz="4" w:space="0"/>
              <w:left w:val="single" w:color="auto" w:sz="4" w:space="0"/>
              <w:bottom w:val="single" w:color="auto" w:sz="4" w:space="0"/>
              <w:right w:val="single" w:color="auto" w:sz="4" w:space="0"/>
            </w:tcBorders>
            <w:vAlign w:val="center"/>
          </w:tcPr>
          <w:p w14:paraId="41A828E5">
            <w:pPr>
              <w:snapToGrid w:val="0"/>
              <w:spacing w:line="360" w:lineRule="auto"/>
              <w:jc w:val="center"/>
              <w:rPr>
                <w:rFonts w:ascii="宋体" w:hAnsi="宋体"/>
                <w:bCs/>
                <w:kern w:val="44"/>
              </w:rPr>
            </w:pPr>
            <w:r>
              <w:rPr>
                <w:rFonts w:hint="eastAsia" w:ascii="仿宋_GB2312" w:hAnsi="宋体"/>
                <w:snapToGrid w:val="0"/>
                <w:spacing w:val="4"/>
              </w:rPr>
              <w:t>资料管理员</w:t>
            </w:r>
          </w:p>
        </w:tc>
        <w:tc>
          <w:tcPr>
            <w:tcW w:w="708" w:type="dxa"/>
            <w:tcBorders>
              <w:top w:val="single" w:color="auto" w:sz="4" w:space="0"/>
              <w:left w:val="single" w:color="auto" w:sz="4" w:space="0"/>
              <w:bottom w:val="single" w:color="auto" w:sz="4" w:space="0"/>
              <w:right w:val="single" w:color="auto" w:sz="4" w:space="0"/>
            </w:tcBorders>
            <w:vAlign w:val="center"/>
          </w:tcPr>
          <w:p w14:paraId="145FE8F3">
            <w:pPr>
              <w:pStyle w:val="40"/>
              <w:spacing w:line="360" w:lineRule="auto"/>
              <w:jc w:val="center"/>
              <w:rPr>
                <w:rFonts w:cs="宋体"/>
                <w:kern w:val="44"/>
                <w:szCs w:val="24"/>
              </w:rPr>
            </w:pPr>
            <w:r>
              <w:rPr>
                <w:rFonts w:hint="eastAsia" w:cs="宋体"/>
                <w:kern w:val="44"/>
                <w:szCs w:val="24"/>
              </w:rPr>
              <w:t>1</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12D6D3E0">
            <w:pPr>
              <w:pStyle w:val="40"/>
              <w:spacing w:line="360" w:lineRule="auto"/>
              <w:rPr>
                <w:kern w:val="44"/>
                <w:szCs w:val="24"/>
              </w:rPr>
            </w:pPr>
            <w:r>
              <w:rPr>
                <w:rFonts w:hint="eastAsia"/>
                <w:kern w:val="44"/>
                <w:szCs w:val="24"/>
              </w:rPr>
              <w:t>从事工程管理资料工作，具有资料员岗位证书</w:t>
            </w:r>
            <w:r>
              <w:rPr>
                <w:rFonts w:hint="eastAsia" w:ascii="仿宋_GB2312" w:cs="宋体"/>
                <w:snapToGrid w:val="0"/>
                <w:spacing w:val="4"/>
                <w:szCs w:val="24"/>
              </w:rPr>
              <w:t>。</w:t>
            </w:r>
          </w:p>
        </w:tc>
        <w:tc>
          <w:tcPr>
            <w:tcW w:w="484" w:type="dxa"/>
            <w:tcBorders>
              <w:top w:val="single" w:color="auto" w:sz="4" w:space="0"/>
              <w:left w:val="single" w:color="auto" w:sz="4" w:space="0"/>
              <w:bottom w:val="single" w:color="auto" w:sz="4" w:space="0"/>
              <w:right w:val="single" w:color="auto" w:sz="4" w:space="0"/>
            </w:tcBorders>
            <w:vAlign w:val="center"/>
          </w:tcPr>
          <w:p w14:paraId="50EFB138">
            <w:pPr>
              <w:pStyle w:val="40"/>
              <w:spacing w:line="360" w:lineRule="auto"/>
              <w:rPr>
                <w:kern w:val="44"/>
                <w:szCs w:val="24"/>
              </w:rPr>
            </w:pPr>
          </w:p>
        </w:tc>
      </w:tr>
      <w:tr w14:paraId="0597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blHeader/>
          <w:jc w:val="center"/>
        </w:trPr>
        <w:tc>
          <w:tcPr>
            <w:tcW w:w="2318" w:type="dxa"/>
            <w:gridSpan w:val="2"/>
            <w:tcBorders>
              <w:top w:val="single" w:color="auto" w:sz="4" w:space="0"/>
              <w:left w:val="single" w:color="auto" w:sz="4" w:space="0"/>
              <w:bottom w:val="single" w:color="auto" w:sz="4" w:space="0"/>
              <w:right w:val="single" w:color="auto" w:sz="4" w:space="0"/>
            </w:tcBorders>
            <w:vAlign w:val="center"/>
          </w:tcPr>
          <w:p w14:paraId="6B5C6291">
            <w:pPr>
              <w:snapToGrid w:val="0"/>
              <w:spacing w:line="360" w:lineRule="auto"/>
              <w:jc w:val="center"/>
              <w:rPr>
                <w:rFonts w:ascii="宋体" w:hAnsi="宋体"/>
                <w:bCs/>
                <w:kern w:val="44"/>
              </w:rPr>
            </w:pPr>
            <w:r>
              <w:rPr>
                <w:rFonts w:hint="eastAsia" w:ascii="宋体" w:hAnsi="宋体"/>
                <w:bCs/>
                <w:kern w:val="44"/>
              </w:rPr>
              <w:t>合计</w:t>
            </w:r>
          </w:p>
        </w:tc>
        <w:tc>
          <w:tcPr>
            <w:tcW w:w="708" w:type="dxa"/>
            <w:tcBorders>
              <w:top w:val="single" w:color="auto" w:sz="4" w:space="0"/>
              <w:left w:val="single" w:color="auto" w:sz="4" w:space="0"/>
              <w:bottom w:val="single" w:color="auto" w:sz="4" w:space="0"/>
              <w:right w:val="single" w:color="auto" w:sz="4" w:space="0"/>
            </w:tcBorders>
            <w:vAlign w:val="center"/>
          </w:tcPr>
          <w:p w14:paraId="07F4B5B5">
            <w:pPr>
              <w:snapToGrid w:val="0"/>
              <w:spacing w:line="360" w:lineRule="auto"/>
              <w:jc w:val="center"/>
              <w:rPr>
                <w:rFonts w:ascii="宋体" w:hAnsi="宋体" w:cs="宋体"/>
                <w:bCs/>
                <w:kern w:val="44"/>
              </w:rPr>
            </w:pPr>
            <w:r>
              <w:rPr>
                <w:rFonts w:hint="eastAsia" w:ascii="宋体" w:hAnsi="宋体" w:cs="宋体"/>
                <w:bCs/>
                <w:kern w:val="44"/>
              </w:rPr>
              <w:t>10</w:t>
            </w:r>
          </w:p>
        </w:tc>
        <w:tc>
          <w:tcPr>
            <w:tcW w:w="5861" w:type="dxa"/>
            <w:gridSpan w:val="3"/>
            <w:tcBorders>
              <w:top w:val="single" w:color="auto" w:sz="4" w:space="0"/>
              <w:left w:val="single" w:color="auto" w:sz="4" w:space="0"/>
              <w:bottom w:val="single" w:color="auto" w:sz="4" w:space="0"/>
              <w:right w:val="single" w:color="auto" w:sz="4" w:space="0"/>
            </w:tcBorders>
            <w:vAlign w:val="center"/>
          </w:tcPr>
          <w:p w14:paraId="5702D948">
            <w:pPr>
              <w:spacing w:line="360" w:lineRule="auto"/>
              <w:rPr>
                <w:rFonts w:ascii="宋体" w:hAnsi="宋体"/>
                <w:kern w:val="44"/>
              </w:rPr>
            </w:pPr>
          </w:p>
        </w:tc>
        <w:tc>
          <w:tcPr>
            <w:tcW w:w="484" w:type="dxa"/>
            <w:tcBorders>
              <w:top w:val="single" w:color="auto" w:sz="4" w:space="0"/>
              <w:left w:val="single" w:color="auto" w:sz="4" w:space="0"/>
              <w:bottom w:val="single" w:color="auto" w:sz="4" w:space="0"/>
              <w:right w:val="single" w:color="auto" w:sz="4" w:space="0"/>
            </w:tcBorders>
            <w:vAlign w:val="center"/>
          </w:tcPr>
          <w:p w14:paraId="1EAFB521">
            <w:pPr>
              <w:spacing w:line="360" w:lineRule="auto"/>
              <w:rPr>
                <w:rFonts w:ascii="宋体" w:hAnsi="宋体"/>
                <w:kern w:val="44"/>
              </w:rPr>
            </w:pPr>
          </w:p>
        </w:tc>
      </w:tr>
      <w:tr w14:paraId="765E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blHeader/>
          <w:jc w:val="center"/>
        </w:trPr>
        <w:tc>
          <w:tcPr>
            <w:tcW w:w="2318" w:type="dxa"/>
            <w:gridSpan w:val="2"/>
            <w:vMerge w:val="restart"/>
            <w:tcBorders>
              <w:top w:val="single" w:color="auto" w:sz="4" w:space="0"/>
              <w:left w:val="single" w:color="auto" w:sz="4" w:space="0"/>
              <w:right w:val="single" w:color="auto" w:sz="4" w:space="0"/>
            </w:tcBorders>
            <w:vAlign w:val="center"/>
          </w:tcPr>
          <w:p w14:paraId="486233F5">
            <w:pPr>
              <w:snapToGrid w:val="0"/>
              <w:spacing w:line="360" w:lineRule="auto"/>
              <w:jc w:val="center"/>
              <w:rPr>
                <w:rFonts w:ascii="宋体" w:hAnsi="宋体"/>
                <w:bCs/>
                <w:kern w:val="44"/>
              </w:rPr>
            </w:pPr>
            <w:r>
              <w:rPr>
                <w:rFonts w:hint="eastAsia" w:ascii="宋体" w:hAnsi="宋体"/>
              </w:rPr>
              <w:t>设备要求</w:t>
            </w:r>
          </w:p>
        </w:tc>
        <w:tc>
          <w:tcPr>
            <w:tcW w:w="2919" w:type="dxa"/>
            <w:gridSpan w:val="2"/>
            <w:tcBorders>
              <w:top w:val="single" w:color="auto" w:sz="4" w:space="0"/>
              <w:left w:val="single" w:color="auto" w:sz="4" w:space="0"/>
              <w:bottom w:val="single" w:color="auto" w:sz="4" w:space="0"/>
              <w:right w:val="single" w:color="auto" w:sz="4" w:space="0"/>
            </w:tcBorders>
            <w:vAlign w:val="center"/>
          </w:tcPr>
          <w:p w14:paraId="084EF2DC">
            <w:pPr>
              <w:spacing w:line="360" w:lineRule="auto"/>
              <w:jc w:val="center"/>
              <w:rPr>
                <w:rFonts w:ascii="宋体" w:hAnsi="宋体"/>
                <w:kern w:val="44"/>
              </w:rPr>
            </w:pPr>
            <w:r>
              <w:rPr>
                <w:rFonts w:hint="eastAsia" w:hAnsi="宋体"/>
              </w:rPr>
              <w:t>设备</w:t>
            </w:r>
          </w:p>
        </w:tc>
        <w:tc>
          <w:tcPr>
            <w:tcW w:w="1825" w:type="dxa"/>
            <w:tcBorders>
              <w:top w:val="single" w:color="auto" w:sz="4" w:space="0"/>
              <w:left w:val="single" w:color="auto" w:sz="4" w:space="0"/>
              <w:bottom w:val="single" w:color="auto" w:sz="4" w:space="0"/>
              <w:right w:val="single" w:color="auto" w:sz="4" w:space="0"/>
            </w:tcBorders>
            <w:vAlign w:val="center"/>
          </w:tcPr>
          <w:p w14:paraId="4C32C4CF">
            <w:pPr>
              <w:snapToGrid w:val="0"/>
              <w:jc w:val="center"/>
              <w:rPr>
                <w:rFonts w:ascii="宋体" w:hAnsi="宋体"/>
                <w:kern w:val="44"/>
              </w:rPr>
            </w:pPr>
            <w:r>
              <w:rPr>
                <w:rFonts w:hint="eastAsia" w:hAnsi="宋体"/>
              </w:rPr>
              <w:t>数量要求</w:t>
            </w:r>
          </w:p>
        </w:tc>
        <w:tc>
          <w:tcPr>
            <w:tcW w:w="1825" w:type="dxa"/>
            <w:tcBorders>
              <w:top w:val="single" w:color="auto" w:sz="4" w:space="0"/>
              <w:left w:val="single" w:color="auto" w:sz="4" w:space="0"/>
              <w:bottom w:val="single" w:color="auto" w:sz="4" w:space="0"/>
              <w:right w:val="single" w:color="auto" w:sz="4" w:space="0"/>
            </w:tcBorders>
            <w:vAlign w:val="center"/>
          </w:tcPr>
          <w:p w14:paraId="1C58BF77">
            <w:pPr>
              <w:snapToGrid w:val="0"/>
              <w:jc w:val="center"/>
              <w:rPr>
                <w:rFonts w:ascii="宋体" w:hAnsi="宋体"/>
                <w:kern w:val="44"/>
              </w:rPr>
            </w:pPr>
            <w:r>
              <w:rPr>
                <w:rFonts w:hint="eastAsia" w:hAnsi="宋体"/>
              </w:rPr>
              <w:t>基本要求</w:t>
            </w:r>
          </w:p>
        </w:tc>
        <w:tc>
          <w:tcPr>
            <w:tcW w:w="484" w:type="dxa"/>
            <w:tcBorders>
              <w:top w:val="single" w:color="auto" w:sz="4" w:space="0"/>
              <w:left w:val="single" w:color="auto" w:sz="4" w:space="0"/>
              <w:bottom w:val="single" w:color="auto" w:sz="4" w:space="0"/>
              <w:right w:val="single" w:color="auto" w:sz="4" w:space="0"/>
            </w:tcBorders>
            <w:vAlign w:val="center"/>
          </w:tcPr>
          <w:p w14:paraId="0FDC6C2C">
            <w:pPr>
              <w:spacing w:line="360" w:lineRule="auto"/>
              <w:rPr>
                <w:rFonts w:ascii="宋体" w:hAnsi="宋体"/>
                <w:kern w:val="44"/>
              </w:rPr>
            </w:pPr>
          </w:p>
        </w:tc>
      </w:tr>
      <w:tr w14:paraId="62D3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tblHeader/>
          <w:jc w:val="center"/>
        </w:trPr>
        <w:tc>
          <w:tcPr>
            <w:tcW w:w="2318" w:type="dxa"/>
            <w:gridSpan w:val="2"/>
            <w:vMerge w:val="continue"/>
            <w:tcBorders>
              <w:left w:val="single" w:color="auto" w:sz="4" w:space="0"/>
              <w:right w:val="single" w:color="auto" w:sz="4" w:space="0"/>
            </w:tcBorders>
            <w:vAlign w:val="center"/>
          </w:tcPr>
          <w:p w14:paraId="32FA8320">
            <w:pPr>
              <w:snapToGrid w:val="0"/>
              <w:spacing w:line="360" w:lineRule="auto"/>
              <w:jc w:val="center"/>
              <w:rPr>
                <w:rFonts w:ascii="宋体" w:hAnsi="宋体"/>
                <w:bCs/>
                <w:kern w:val="44"/>
              </w:rPr>
            </w:pPr>
          </w:p>
        </w:tc>
        <w:tc>
          <w:tcPr>
            <w:tcW w:w="2919" w:type="dxa"/>
            <w:gridSpan w:val="2"/>
            <w:tcBorders>
              <w:top w:val="single" w:color="auto" w:sz="4" w:space="0"/>
              <w:left w:val="single" w:color="auto" w:sz="4" w:space="0"/>
              <w:bottom w:val="single" w:color="auto" w:sz="4" w:space="0"/>
              <w:right w:val="single" w:color="auto" w:sz="4" w:space="0"/>
            </w:tcBorders>
            <w:vAlign w:val="center"/>
          </w:tcPr>
          <w:p w14:paraId="4DEEC984">
            <w:pPr>
              <w:spacing w:line="360" w:lineRule="auto"/>
              <w:jc w:val="center"/>
              <w:rPr>
                <w:rFonts w:ascii="宋体" w:hAnsi="宋体"/>
                <w:kern w:val="44"/>
              </w:rPr>
            </w:pPr>
            <w:r>
              <w:rPr>
                <w:rFonts w:hint="eastAsia" w:ascii="宋体" w:hAnsi="宋体"/>
              </w:rPr>
              <w:t>全站仪、水准仪、回弹仪、测距仪、塌落度测定仪、地基承载力填土密实度检测仪、超声波探伤仪、检测尺、游标卡尺、钢卷尺</w:t>
            </w:r>
          </w:p>
        </w:tc>
        <w:tc>
          <w:tcPr>
            <w:tcW w:w="1825" w:type="dxa"/>
            <w:tcBorders>
              <w:top w:val="single" w:color="auto" w:sz="4" w:space="0"/>
              <w:left w:val="single" w:color="auto" w:sz="4" w:space="0"/>
              <w:bottom w:val="single" w:color="auto" w:sz="4" w:space="0"/>
              <w:right w:val="single" w:color="auto" w:sz="4" w:space="0"/>
            </w:tcBorders>
            <w:vAlign w:val="center"/>
          </w:tcPr>
          <w:p w14:paraId="5B8AE52C">
            <w:pPr>
              <w:snapToGrid w:val="0"/>
              <w:jc w:val="center"/>
              <w:rPr>
                <w:rFonts w:ascii="宋体" w:hAnsi="宋体"/>
                <w:kern w:val="44"/>
              </w:rPr>
            </w:pPr>
            <w:r>
              <w:rPr>
                <w:rFonts w:hint="eastAsia" w:ascii="宋体" w:hAnsi="宋体"/>
              </w:rPr>
              <w:t>各1台（把）</w:t>
            </w:r>
          </w:p>
        </w:tc>
        <w:tc>
          <w:tcPr>
            <w:tcW w:w="1825" w:type="dxa"/>
            <w:tcBorders>
              <w:top w:val="single" w:color="auto" w:sz="4" w:space="0"/>
              <w:left w:val="single" w:color="auto" w:sz="4" w:space="0"/>
              <w:bottom w:val="single" w:color="auto" w:sz="4" w:space="0"/>
              <w:right w:val="single" w:color="auto" w:sz="4" w:space="0"/>
            </w:tcBorders>
            <w:vAlign w:val="center"/>
          </w:tcPr>
          <w:p w14:paraId="16E93B73">
            <w:pPr>
              <w:rPr>
                <w:rFonts w:ascii="宋体" w:hAnsi="宋体"/>
                <w:kern w:val="44"/>
              </w:rPr>
            </w:pPr>
            <w:r>
              <w:rPr>
                <w:rFonts w:hint="eastAsia" w:ascii="宋体" w:hAnsi="宋体"/>
              </w:rPr>
              <w:t>提供“投入本项目的主要试验检测仪器设备表”并提供租赁合同（需提供出租方购置相应设备的发票证明）或者购置发票证明。</w:t>
            </w:r>
          </w:p>
        </w:tc>
        <w:tc>
          <w:tcPr>
            <w:tcW w:w="484" w:type="dxa"/>
            <w:tcBorders>
              <w:top w:val="single" w:color="auto" w:sz="4" w:space="0"/>
              <w:left w:val="single" w:color="auto" w:sz="4" w:space="0"/>
              <w:bottom w:val="single" w:color="auto" w:sz="4" w:space="0"/>
              <w:right w:val="single" w:color="auto" w:sz="4" w:space="0"/>
            </w:tcBorders>
            <w:vAlign w:val="center"/>
          </w:tcPr>
          <w:p w14:paraId="4834A837">
            <w:pPr>
              <w:spacing w:line="360" w:lineRule="auto"/>
              <w:rPr>
                <w:rFonts w:ascii="宋体" w:hAnsi="宋体"/>
                <w:kern w:val="44"/>
              </w:rPr>
            </w:pPr>
          </w:p>
        </w:tc>
      </w:tr>
    </w:tbl>
    <w:p w14:paraId="584B2CBD">
      <w:pPr>
        <w:spacing w:line="360" w:lineRule="auto"/>
        <w:rPr>
          <w:rFonts w:ascii="宋体" w:hAnsi="宋体"/>
          <w:kern w:val="44"/>
        </w:rPr>
      </w:pPr>
    </w:p>
    <w:p w14:paraId="07BF6B2C">
      <w:pPr>
        <w:spacing w:line="360" w:lineRule="auto"/>
        <w:ind w:firstLine="480" w:firstLineChars="200"/>
        <w:rPr>
          <w:rFonts w:ascii="宋体" w:hAnsi="宋体"/>
          <w:kern w:val="44"/>
        </w:rPr>
      </w:pPr>
      <w:r>
        <w:rPr>
          <w:rFonts w:hint="eastAsia" w:ascii="宋体" w:hAnsi="宋体"/>
          <w:kern w:val="44"/>
        </w:rPr>
        <w:t>注：（1）</w:t>
      </w:r>
      <w:r>
        <w:rPr>
          <w:rFonts w:hint="eastAsia" w:cs="宋体"/>
        </w:rPr>
        <w:t>表中所列上述监理人员（总监除外）和设备要求不作为形式评审、资格评审、响应性评审的审查依据，只作为综合评分表中的评审依据。中标人可根据实际工作需要及时投入相应人员和设备</w:t>
      </w:r>
      <w:r>
        <w:rPr>
          <w:rFonts w:hint="eastAsia" w:ascii="宋体" w:hAnsi="宋体"/>
          <w:kern w:val="44"/>
        </w:rPr>
        <w:t>。</w:t>
      </w:r>
    </w:p>
    <w:p w14:paraId="39F07633">
      <w:pPr>
        <w:numPr>
          <w:ilvl w:val="0"/>
          <w:numId w:val="2"/>
        </w:numPr>
        <w:spacing w:line="360" w:lineRule="auto"/>
        <w:ind w:firstLine="410" w:firstLineChars="171"/>
        <w:rPr>
          <w:rFonts w:ascii="宋体" w:hAnsi="宋体"/>
        </w:rPr>
      </w:pPr>
      <w:r>
        <w:rPr>
          <w:rFonts w:hint="eastAsia" w:ascii="宋体" w:hAnsi="宋体"/>
        </w:rPr>
        <w:t>投标人提供的人员社保证明需提供投标截止时间最近一个月（时间为：</w:t>
      </w:r>
      <w:r>
        <w:rPr>
          <w:rFonts w:hint="eastAsia" w:ascii="宋体" w:hAnsi="宋体"/>
          <w:lang w:eastAsia="zh-CN"/>
        </w:rPr>
        <w:t>2025年8月</w:t>
      </w:r>
      <w:r>
        <w:rPr>
          <w:rFonts w:hint="eastAsia" w:ascii="宋体" w:hAnsi="宋体"/>
        </w:rPr>
        <w:t>）在本单位交纳的社保证明文件，</w:t>
      </w:r>
      <w:r>
        <w:rPr>
          <w:rFonts w:hint="eastAsia" w:ascii="宋体" w:hAnsi="宋体" w:eastAsia="宋体" w:cs="宋体"/>
          <w:color w:val="auto"/>
          <w:sz w:val="24"/>
          <w:highlight w:val="none"/>
          <w:u w:val="none"/>
        </w:rPr>
        <w:t>退休返聘人员需提供退休及返聘证明。社保证明文件以加盖社会保险基金管理中心印章的相关资料为准</w:t>
      </w:r>
      <w:r>
        <w:rPr>
          <w:rFonts w:hint="eastAsia" w:ascii="宋体" w:hAnsi="宋体"/>
          <w:highlight w:val="none"/>
        </w:rPr>
        <w:t>。</w:t>
      </w:r>
    </w:p>
    <w:p w14:paraId="33896917">
      <w:pPr>
        <w:spacing w:line="360" w:lineRule="auto"/>
        <w:ind w:firstLine="410" w:firstLineChars="171"/>
        <w:rPr>
          <w:rFonts w:ascii="宋体" w:hAnsi="宋体"/>
        </w:rPr>
      </w:pPr>
      <w:r>
        <w:rPr>
          <w:rFonts w:hint="eastAsia" w:ascii="宋体" w:hAnsi="宋体"/>
          <w:kern w:val="44"/>
        </w:rPr>
        <w:t>（</w:t>
      </w:r>
      <w:r>
        <w:rPr>
          <w:rFonts w:hint="eastAsia" w:ascii="宋体" w:hAnsi="宋体"/>
        </w:rPr>
        <w:t>3）投标人拟配备人员若为香港专业人士，并已在广东省住房和城乡建设主管部门备案，且备案的业务范围符合本项目对应要求的亦给予认可。香港专业人士的备案业务范围依据《广东省住房和城乡建设厅关于印发香港工程建设咨询企业和专业人士在粤港澳大湾区内地城市开业执业试点管理暂行办法的通知》（粤建规范〔2020〕1号）确定。</w:t>
      </w:r>
    </w:p>
    <w:p w14:paraId="3E752F89">
      <w:pPr>
        <w:spacing w:line="360" w:lineRule="auto"/>
        <w:ind w:firstLine="480" w:firstLineChars="200"/>
        <w:rPr>
          <w:rFonts w:ascii="宋体" w:hAnsi="宋体"/>
        </w:rPr>
      </w:pPr>
      <w:r>
        <w:rPr>
          <w:rFonts w:hint="eastAsia" w:ascii="宋体" w:hAnsi="宋体"/>
          <w:kern w:val="2"/>
        </w:rPr>
        <w:t>（4</w:t>
      </w:r>
      <w:r>
        <w:rPr>
          <w:rFonts w:hint="eastAsia" w:ascii="宋体" w:hAnsi="宋体"/>
        </w:rPr>
        <w:t>）根据住房城乡建设部、交通运输部、水利部、人力资源和社会保障部关于印发《造价工程师职业资格制度规定》 《造价工程师职业资格考试实施办法》的通知（建人〔2018〕]67号）第三十二条规定，根据原人事部、原建设部发布的《造价工程师执业资格制度暂行规定》（人发〔1996〕77号）取得的造价工程师注册执业证书与一级造价工程师注册执业证书效用等同。</w:t>
      </w:r>
    </w:p>
    <w:p w14:paraId="5B0F807D">
      <w:pPr>
        <w:rPr>
          <w:b/>
          <w:bCs/>
        </w:rPr>
      </w:pPr>
      <w:r>
        <w:rPr>
          <w:rFonts w:hint="eastAsia"/>
          <w:b/>
          <w:bCs/>
        </w:rPr>
        <w:t>5、监理工作目标要求</w:t>
      </w:r>
    </w:p>
    <w:p w14:paraId="6A82207A">
      <w:pPr>
        <w:spacing w:line="440" w:lineRule="exact"/>
        <w:ind w:firstLine="360" w:firstLineChars="150"/>
        <w:rPr>
          <w:rFonts w:ascii="宋体" w:hAnsi="宋体" w:cs="宋体"/>
          <w:snapToGrid w:val="0"/>
        </w:rPr>
      </w:pPr>
      <w:r>
        <w:rPr>
          <w:rFonts w:hint="eastAsia" w:ascii="宋体" w:hAnsi="宋体" w:cs="宋体"/>
          <w:snapToGrid w:val="0"/>
        </w:rPr>
        <w:t>（1）投资控制目标：以不超过投资概算为基本目标。严格控制预算外费用的支出，减少索赔事件的发生，确保委托人制定的投资控制目标得以实现。</w:t>
      </w:r>
    </w:p>
    <w:p w14:paraId="012F5E9A">
      <w:pPr>
        <w:spacing w:line="440" w:lineRule="exact"/>
        <w:ind w:firstLine="530" w:firstLineChars="221"/>
        <w:rPr>
          <w:rFonts w:ascii="宋体" w:hAnsi="宋体" w:cs="宋体"/>
          <w:snapToGrid w:val="0"/>
        </w:rPr>
      </w:pPr>
      <w:r>
        <w:rPr>
          <w:rFonts w:hint="eastAsia" w:ascii="宋体" w:hAnsi="宋体" w:cs="宋体"/>
          <w:snapToGrid w:val="0"/>
        </w:rPr>
        <w:t>（2）进度控制目标：施工工期为委托人下达开工令或开工报告审批之日起按施工进度要求控制，缺陷责任期24个月。</w:t>
      </w:r>
    </w:p>
    <w:p w14:paraId="1C2E52C5">
      <w:pPr>
        <w:spacing w:line="440" w:lineRule="exact"/>
        <w:ind w:firstLine="530" w:firstLineChars="221"/>
        <w:rPr>
          <w:rFonts w:ascii="宋体" w:hAnsi="宋体" w:cs="宋体"/>
          <w:snapToGrid w:val="0"/>
        </w:rPr>
      </w:pPr>
      <w:r>
        <w:rPr>
          <w:rFonts w:hint="eastAsia" w:ascii="宋体" w:hAnsi="宋体" w:cs="宋体"/>
          <w:snapToGrid w:val="0"/>
        </w:rPr>
        <w:t>（3）质量控制目标：合格工程。</w:t>
      </w:r>
    </w:p>
    <w:p w14:paraId="02B9E314">
      <w:pPr>
        <w:pStyle w:val="19"/>
        <w:spacing w:before="0" w:after="0" w:line="360" w:lineRule="auto"/>
        <w:ind w:firstLine="480" w:firstLineChars="200"/>
        <w:rPr>
          <w:rFonts w:hint="default" w:ascii="宋体" w:hAnsi="宋体" w:eastAsia="宋体" w:cs="宋体"/>
          <w:snapToGrid w:val="0"/>
        </w:rPr>
      </w:pPr>
      <w:r>
        <w:rPr>
          <w:rFonts w:ascii="宋体" w:hAnsi="宋体" w:eastAsia="宋体" w:cs="宋体"/>
          <w:snapToGrid w:val="0"/>
        </w:rPr>
        <w:t>（4）安全管理目标：杜绝一般及以上等级生产安全事故的发生，控制工伤事故人数为零。（5）文明施工管理目标：合格且不因工地文明施工管理问题受到有关政府管理部门处罚，执行《广州市建设工程现场文明施工管理办法》（穗建质[2008]940号）等广州市及番禺区有关文明施工方面的文件。</w:t>
      </w:r>
    </w:p>
    <w:p w14:paraId="3DEAA86C">
      <w:pPr>
        <w:spacing w:line="440" w:lineRule="exact"/>
        <w:rPr>
          <w:rFonts w:ascii="宋体" w:hAnsi="宋体"/>
          <w:sz w:val="28"/>
          <w:szCs w:val="28"/>
        </w:rPr>
      </w:pPr>
      <w:r>
        <w:rPr>
          <w:rFonts w:hint="eastAsia" w:ascii="宋体" w:hAnsi="宋体"/>
          <w:sz w:val="28"/>
          <w:szCs w:val="28"/>
        </w:rPr>
        <w:t>二、</w:t>
      </w:r>
      <w:r>
        <w:rPr>
          <w:rFonts w:ascii="宋体" w:hAnsi="宋体"/>
          <w:sz w:val="28"/>
          <w:szCs w:val="28"/>
        </w:rPr>
        <w:t>适用规范标准</w:t>
      </w:r>
    </w:p>
    <w:p w14:paraId="0E28046D">
      <w:pPr>
        <w:spacing w:line="440" w:lineRule="exact"/>
        <w:ind w:firstLine="530" w:firstLineChars="221"/>
        <w:rPr>
          <w:rFonts w:ascii="宋体" w:hAnsi="宋体"/>
          <w:lang w:bidi="mn-Mong-CN"/>
        </w:rPr>
      </w:pPr>
      <w:r>
        <w:rPr>
          <w:rFonts w:hint="eastAsia" w:ascii="宋体" w:hAnsi="宋体"/>
          <w:lang w:bidi="mn-Mong-CN"/>
        </w:rPr>
        <w:t>本工程的监理过程必须符合国家有关工程建设标准强制性条文、现行的标准、规范、规程、定额、办法、示例，以及招标项目所在地关于工程监理方面的文件、规定、规范、标准、规程。</w:t>
      </w:r>
    </w:p>
    <w:p w14:paraId="541603FA">
      <w:pPr>
        <w:pStyle w:val="19"/>
        <w:spacing w:line="360" w:lineRule="auto"/>
        <w:ind w:firstLine="480" w:firstLineChars="200"/>
        <w:rPr>
          <w:rFonts w:hint="default" w:ascii="宋体" w:hAnsi="宋体"/>
          <w:lang w:bidi="mn-Mong-CN"/>
        </w:rPr>
      </w:pPr>
      <w:r>
        <w:rPr>
          <w:rFonts w:ascii="宋体" w:hAnsi="宋体"/>
          <w:lang w:bidi="mn-Mong-CN"/>
        </w:rPr>
        <w:t>在监理过程中，如果国家或有关部门颁布了新的技术标准或规范，则监理人应按照新的标准和规范进行监理。</w:t>
      </w:r>
    </w:p>
    <w:p w14:paraId="06C86249">
      <w:pPr>
        <w:pStyle w:val="3"/>
        <w:jc w:val="both"/>
        <w:rPr>
          <w:sz w:val="28"/>
          <w:szCs w:val="28"/>
        </w:rPr>
      </w:pPr>
      <w:r>
        <w:rPr>
          <w:rFonts w:hint="eastAsia"/>
          <w:sz w:val="28"/>
          <w:szCs w:val="28"/>
        </w:rPr>
        <w:t>三、</w:t>
      </w:r>
      <w:r>
        <w:rPr>
          <w:sz w:val="28"/>
          <w:szCs w:val="28"/>
        </w:rPr>
        <w:t>成果文件要求</w:t>
      </w:r>
    </w:p>
    <w:p w14:paraId="5B06D8CC">
      <w:pPr>
        <w:pStyle w:val="19"/>
        <w:spacing w:line="360" w:lineRule="auto"/>
        <w:ind w:firstLine="480" w:firstLineChars="200"/>
        <w:rPr>
          <w:rFonts w:hint="default" w:ascii="宋体" w:hAnsi="宋体"/>
        </w:rPr>
      </w:pPr>
      <w:r>
        <w:rPr>
          <w:rFonts w:ascii="宋体" w:hAnsi="宋体"/>
        </w:rPr>
        <w:t>按《建设工程监理规范》（GB/</w:t>
      </w:r>
      <w:r>
        <w:rPr>
          <w:rFonts w:ascii="宋体" w:hAnsi="宋体" w:eastAsia="宋体" w:cs="宋体"/>
          <w:snapToGrid w:val="0"/>
        </w:rPr>
        <w:t>T50319</w:t>
      </w:r>
      <w:r>
        <w:rPr>
          <w:rFonts w:ascii="宋体" w:hAnsi="宋体"/>
        </w:rPr>
        <w:t>-2013）和招标人要求</w:t>
      </w:r>
    </w:p>
    <w:p w14:paraId="48CE1DFB">
      <w:pPr>
        <w:spacing w:line="360" w:lineRule="auto"/>
        <w:ind w:firstLine="480" w:firstLineChars="200"/>
        <w:rPr>
          <w:rFonts w:ascii="宋体" w:hAnsi="宋体"/>
        </w:rPr>
      </w:pPr>
      <w:r>
        <w:rPr>
          <w:rFonts w:ascii="宋体" w:hAnsi="宋体"/>
        </w:rPr>
        <w:t>1. 成果文件的组成</w:t>
      </w:r>
    </w:p>
    <w:p w14:paraId="31F6AB44">
      <w:pPr>
        <w:tabs>
          <w:tab w:val="left" w:pos="680"/>
        </w:tabs>
        <w:snapToGrid w:val="0"/>
        <w:spacing w:after="200" w:line="360" w:lineRule="auto"/>
        <w:ind w:firstLine="480" w:firstLineChars="200"/>
        <w:rPr>
          <w:rFonts w:ascii="宋体" w:hAnsi="宋体"/>
          <w:u w:val="single"/>
        </w:rPr>
      </w:pPr>
      <w:r>
        <w:rPr>
          <w:rFonts w:hint="eastAsia" w:ascii="宋体" w:hAnsi="宋体"/>
          <w:u w:val="single"/>
        </w:rPr>
        <w:t>(1)勘察设计文件、建设工程监理合同及其他合同文件；</w:t>
      </w:r>
    </w:p>
    <w:p w14:paraId="363815CB">
      <w:pPr>
        <w:tabs>
          <w:tab w:val="left" w:pos="680"/>
        </w:tabs>
        <w:snapToGrid w:val="0"/>
        <w:spacing w:after="200" w:line="360" w:lineRule="auto"/>
        <w:ind w:firstLine="480" w:firstLineChars="200"/>
        <w:rPr>
          <w:rFonts w:ascii="宋体" w:hAnsi="宋体"/>
          <w:u w:val="single"/>
        </w:rPr>
      </w:pPr>
      <w:r>
        <w:rPr>
          <w:rFonts w:hint="eastAsia" w:ascii="宋体" w:hAnsi="宋体"/>
          <w:u w:val="single"/>
        </w:rPr>
        <w:t>(2)监理规划、监理实施细则；</w:t>
      </w:r>
    </w:p>
    <w:p w14:paraId="77672DA0">
      <w:pPr>
        <w:tabs>
          <w:tab w:val="left" w:pos="680"/>
        </w:tabs>
        <w:snapToGrid w:val="0"/>
        <w:spacing w:after="200" w:line="360" w:lineRule="auto"/>
        <w:ind w:firstLine="480" w:firstLineChars="200"/>
        <w:rPr>
          <w:rFonts w:ascii="宋体" w:hAnsi="宋体"/>
          <w:u w:val="single"/>
        </w:rPr>
      </w:pPr>
      <w:r>
        <w:rPr>
          <w:rFonts w:hint="eastAsia" w:ascii="宋体" w:hAnsi="宋体"/>
          <w:u w:val="single"/>
        </w:rPr>
        <w:t>(3)设计交底和图纸会审会议纪要；</w:t>
      </w:r>
    </w:p>
    <w:p w14:paraId="545FF265">
      <w:pPr>
        <w:tabs>
          <w:tab w:val="left" w:pos="680"/>
        </w:tabs>
        <w:snapToGrid w:val="0"/>
        <w:spacing w:after="200" w:line="360" w:lineRule="auto"/>
        <w:ind w:firstLine="480" w:firstLineChars="200"/>
        <w:rPr>
          <w:rFonts w:ascii="宋体" w:hAnsi="宋体"/>
          <w:u w:val="single"/>
        </w:rPr>
      </w:pPr>
      <w:r>
        <w:rPr>
          <w:rFonts w:hint="eastAsia" w:ascii="宋体" w:hAnsi="宋体"/>
          <w:u w:val="single"/>
        </w:rPr>
        <w:t>(4)施工组织设计、（专项）施工方案、施工进度计划报审文件资料；</w:t>
      </w:r>
    </w:p>
    <w:p w14:paraId="709A78E8">
      <w:pPr>
        <w:tabs>
          <w:tab w:val="left" w:pos="680"/>
        </w:tabs>
        <w:snapToGrid w:val="0"/>
        <w:spacing w:after="200" w:line="360" w:lineRule="auto"/>
        <w:ind w:firstLine="480" w:firstLineChars="200"/>
        <w:rPr>
          <w:rFonts w:ascii="宋体" w:hAnsi="宋体"/>
          <w:u w:val="single"/>
        </w:rPr>
      </w:pPr>
      <w:r>
        <w:rPr>
          <w:rFonts w:hint="eastAsia" w:ascii="宋体" w:hAnsi="宋体"/>
          <w:u w:val="single"/>
        </w:rPr>
        <w:t>(5)分包单位资格报审文件资料；</w:t>
      </w:r>
    </w:p>
    <w:p w14:paraId="34044A86">
      <w:pPr>
        <w:tabs>
          <w:tab w:val="left" w:pos="680"/>
        </w:tabs>
        <w:snapToGrid w:val="0"/>
        <w:spacing w:after="200" w:line="360" w:lineRule="auto"/>
        <w:ind w:firstLine="480" w:firstLineChars="200"/>
        <w:rPr>
          <w:rFonts w:ascii="宋体" w:hAnsi="宋体"/>
          <w:u w:val="single"/>
        </w:rPr>
      </w:pPr>
      <w:r>
        <w:rPr>
          <w:rFonts w:hint="eastAsia" w:ascii="宋体" w:hAnsi="宋体"/>
          <w:u w:val="single"/>
        </w:rPr>
        <w:t>(6)施工控制测量成果报验文件资料；</w:t>
      </w:r>
    </w:p>
    <w:p w14:paraId="04358773">
      <w:pPr>
        <w:tabs>
          <w:tab w:val="left" w:pos="680"/>
        </w:tabs>
        <w:snapToGrid w:val="0"/>
        <w:spacing w:after="200" w:line="360" w:lineRule="auto"/>
        <w:ind w:firstLine="480" w:firstLineChars="200"/>
        <w:rPr>
          <w:rFonts w:ascii="宋体" w:hAnsi="宋体"/>
          <w:u w:val="single"/>
        </w:rPr>
      </w:pPr>
      <w:r>
        <w:rPr>
          <w:rFonts w:hint="eastAsia" w:ascii="宋体" w:hAnsi="宋体"/>
          <w:u w:val="single"/>
        </w:rPr>
        <w:t>(7)总监理工程师任命书、工程开工令、暂停令、复工令、开工或复工报审文件资料；</w:t>
      </w:r>
    </w:p>
    <w:p w14:paraId="3DA25027">
      <w:pPr>
        <w:tabs>
          <w:tab w:val="left" w:pos="680"/>
        </w:tabs>
        <w:snapToGrid w:val="0"/>
        <w:spacing w:after="200" w:line="360" w:lineRule="auto"/>
        <w:ind w:firstLine="480" w:firstLineChars="200"/>
        <w:rPr>
          <w:rFonts w:ascii="宋体" w:hAnsi="宋体"/>
          <w:u w:val="single"/>
        </w:rPr>
      </w:pPr>
      <w:r>
        <w:rPr>
          <w:rFonts w:hint="eastAsia" w:ascii="宋体" w:hAnsi="宋体"/>
          <w:u w:val="single"/>
        </w:rPr>
        <w:t>(8)工程材料、设备、构配件报验文件资料；</w:t>
      </w:r>
    </w:p>
    <w:p w14:paraId="3A205865">
      <w:pPr>
        <w:tabs>
          <w:tab w:val="left" w:pos="680"/>
        </w:tabs>
        <w:snapToGrid w:val="0"/>
        <w:spacing w:after="200" w:line="360" w:lineRule="auto"/>
        <w:ind w:firstLine="480" w:firstLineChars="200"/>
        <w:rPr>
          <w:rFonts w:ascii="宋体" w:hAnsi="宋体"/>
          <w:u w:val="single"/>
        </w:rPr>
      </w:pPr>
      <w:r>
        <w:rPr>
          <w:rFonts w:hint="eastAsia" w:ascii="宋体" w:hAnsi="宋体"/>
          <w:u w:val="single"/>
        </w:rPr>
        <w:t>(9)见证取样和平行检验文件资料；</w:t>
      </w:r>
    </w:p>
    <w:p w14:paraId="7C4EAA1E">
      <w:pPr>
        <w:tabs>
          <w:tab w:val="left" w:pos="680"/>
        </w:tabs>
        <w:snapToGrid w:val="0"/>
        <w:spacing w:after="200" w:line="360" w:lineRule="auto"/>
        <w:ind w:firstLine="480" w:firstLineChars="200"/>
        <w:rPr>
          <w:rFonts w:ascii="宋体" w:hAnsi="宋体"/>
          <w:u w:val="single"/>
        </w:rPr>
      </w:pPr>
      <w:r>
        <w:rPr>
          <w:rFonts w:hint="eastAsia" w:ascii="宋体" w:hAnsi="宋体"/>
          <w:u w:val="single"/>
        </w:rPr>
        <w:t>(10)工程质量检查报验资料及工程有关验收资料；</w:t>
      </w:r>
    </w:p>
    <w:p w14:paraId="1E220BE3">
      <w:pPr>
        <w:tabs>
          <w:tab w:val="left" w:pos="680"/>
        </w:tabs>
        <w:snapToGrid w:val="0"/>
        <w:spacing w:after="200" w:line="360" w:lineRule="auto"/>
        <w:ind w:firstLine="480" w:firstLineChars="200"/>
        <w:rPr>
          <w:rFonts w:ascii="宋体" w:hAnsi="宋体"/>
          <w:u w:val="single"/>
        </w:rPr>
      </w:pPr>
      <w:r>
        <w:rPr>
          <w:rFonts w:hint="eastAsia" w:ascii="宋体" w:hAnsi="宋体"/>
          <w:u w:val="single"/>
        </w:rPr>
        <w:t>(11)工程变更、费用索赔及工程延期文件资料；</w:t>
      </w:r>
    </w:p>
    <w:p w14:paraId="2DE4FAB1">
      <w:pPr>
        <w:tabs>
          <w:tab w:val="left" w:pos="680"/>
        </w:tabs>
        <w:snapToGrid w:val="0"/>
        <w:spacing w:after="200" w:line="360" w:lineRule="auto"/>
        <w:ind w:firstLine="480" w:firstLineChars="200"/>
        <w:rPr>
          <w:rFonts w:ascii="宋体" w:hAnsi="宋体"/>
          <w:u w:val="single"/>
        </w:rPr>
      </w:pPr>
      <w:r>
        <w:rPr>
          <w:rFonts w:hint="eastAsia" w:ascii="宋体" w:hAnsi="宋体"/>
          <w:u w:val="single"/>
        </w:rPr>
        <w:t>(12)工程计量、工程款支付文件资料；</w:t>
      </w:r>
    </w:p>
    <w:p w14:paraId="12045CB8">
      <w:pPr>
        <w:tabs>
          <w:tab w:val="left" w:pos="680"/>
        </w:tabs>
        <w:snapToGrid w:val="0"/>
        <w:spacing w:after="200" w:line="360" w:lineRule="auto"/>
        <w:ind w:firstLine="480" w:firstLineChars="200"/>
        <w:rPr>
          <w:rFonts w:ascii="宋体" w:hAnsi="宋体"/>
          <w:u w:val="single"/>
        </w:rPr>
      </w:pPr>
      <w:r>
        <w:rPr>
          <w:rFonts w:hint="eastAsia" w:ascii="宋体" w:hAnsi="宋体"/>
          <w:u w:val="single"/>
        </w:rPr>
        <w:t>(13)监理通知单、工作联系单与监理报告；</w:t>
      </w:r>
    </w:p>
    <w:p w14:paraId="5E4B8D2F">
      <w:pPr>
        <w:tabs>
          <w:tab w:val="left" w:pos="680"/>
        </w:tabs>
        <w:snapToGrid w:val="0"/>
        <w:spacing w:after="200" w:line="360" w:lineRule="auto"/>
        <w:ind w:firstLine="480" w:firstLineChars="200"/>
        <w:rPr>
          <w:rFonts w:ascii="宋体" w:hAnsi="宋体"/>
          <w:u w:val="single"/>
        </w:rPr>
      </w:pPr>
      <w:r>
        <w:rPr>
          <w:rFonts w:hint="eastAsia" w:ascii="宋体" w:hAnsi="宋体"/>
          <w:u w:val="single"/>
        </w:rPr>
        <w:t>(14)第一次工地会议、监理例会、专题会议等会议纪要；</w:t>
      </w:r>
    </w:p>
    <w:p w14:paraId="6EF01E46">
      <w:pPr>
        <w:tabs>
          <w:tab w:val="left" w:pos="680"/>
        </w:tabs>
        <w:snapToGrid w:val="0"/>
        <w:spacing w:after="200" w:line="360" w:lineRule="auto"/>
        <w:ind w:firstLine="480" w:firstLineChars="200"/>
        <w:rPr>
          <w:rFonts w:ascii="宋体" w:hAnsi="宋体"/>
          <w:u w:val="single"/>
        </w:rPr>
      </w:pPr>
      <w:r>
        <w:rPr>
          <w:rFonts w:hint="eastAsia" w:ascii="宋体" w:hAnsi="宋体"/>
          <w:u w:val="single"/>
        </w:rPr>
        <w:t>(15)监理月报、监理日志、旁站记录；</w:t>
      </w:r>
    </w:p>
    <w:p w14:paraId="1835B87F">
      <w:pPr>
        <w:tabs>
          <w:tab w:val="left" w:pos="680"/>
        </w:tabs>
        <w:snapToGrid w:val="0"/>
        <w:spacing w:after="200" w:line="360" w:lineRule="auto"/>
        <w:ind w:firstLine="480" w:firstLineChars="200"/>
        <w:rPr>
          <w:rFonts w:ascii="宋体" w:hAnsi="宋体"/>
          <w:u w:val="single"/>
        </w:rPr>
      </w:pPr>
      <w:r>
        <w:rPr>
          <w:rFonts w:hint="eastAsia" w:ascii="宋体" w:hAnsi="宋体"/>
          <w:u w:val="single"/>
        </w:rPr>
        <w:t>(16)工程质量或生产安全事故处理文件资料；</w:t>
      </w:r>
    </w:p>
    <w:p w14:paraId="462F233C">
      <w:pPr>
        <w:tabs>
          <w:tab w:val="left" w:pos="680"/>
        </w:tabs>
        <w:snapToGrid w:val="0"/>
        <w:spacing w:after="200" w:line="360" w:lineRule="auto"/>
        <w:ind w:firstLine="480" w:firstLineChars="200"/>
        <w:rPr>
          <w:rFonts w:ascii="宋体" w:hAnsi="宋体"/>
          <w:u w:val="single"/>
        </w:rPr>
      </w:pPr>
      <w:r>
        <w:rPr>
          <w:rFonts w:hint="eastAsia" w:ascii="宋体" w:hAnsi="宋体"/>
          <w:u w:val="single"/>
        </w:rPr>
        <w:t>(17)工程质量评估报告及竣工验收监理文件资料；</w:t>
      </w:r>
    </w:p>
    <w:p w14:paraId="3D5D99FC">
      <w:pPr>
        <w:tabs>
          <w:tab w:val="left" w:pos="680"/>
        </w:tabs>
        <w:snapToGrid w:val="0"/>
        <w:spacing w:after="200" w:line="360" w:lineRule="auto"/>
        <w:ind w:firstLine="480" w:firstLineChars="200"/>
        <w:rPr>
          <w:rFonts w:ascii="宋体" w:hAnsi="宋体"/>
          <w:u w:val="single"/>
        </w:rPr>
      </w:pPr>
      <w:r>
        <w:rPr>
          <w:rFonts w:hint="eastAsia" w:ascii="宋体" w:hAnsi="宋体"/>
          <w:u w:val="single"/>
        </w:rPr>
        <w:t>(18)监理工作总结。</w:t>
      </w:r>
      <w:r>
        <w:rPr>
          <w:rFonts w:ascii="宋体" w:hAnsi="宋体"/>
          <w:u w:val="single"/>
        </w:rPr>
        <w:t xml:space="preserve"> </w:t>
      </w:r>
    </w:p>
    <w:p w14:paraId="24D97E45">
      <w:pPr>
        <w:spacing w:line="360" w:lineRule="auto"/>
        <w:ind w:firstLine="480" w:firstLineChars="200"/>
        <w:rPr>
          <w:rFonts w:ascii="宋体" w:hAnsi="宋体"/>
        </w:rPr>
      </w:pPr>
      <w:r>
        <w:rPr>
          <w:rFonts w:ascii="宋体" w:hAnsi="宋体"/>
        </w:rPr>
        <w:t>2. 成果文件的深度</w:t>
      </w:r>
      <w:r>
        <w:rPr>
          <w:rFonts w:hint="eastAsia" w:ascii="宋体" w:hAnsi="宋体"/>
        </w:rPr>
        <w:t>:</w:t>
      </w:r>
      <w:r>
        <w:rPr>
          <w:rFonts w:hint="eastAsia" w:ascii="宋体" w:hAnsi="宋体"/>
          <w:u w:val="single"/>
        </w:rPr>
        <w:t xml:space="preserve"> 满足本项目监理服务要求。</w:t>
      </w:r>
    </w:p>
    <w:p w14:paraId="719B1B32">
      <w:pPr>
        <w:spacing w:line="360" w:lineRule="auto"/>
        <w:ind w:firstLine="480" w:firstLineChars="200"/>
        <w:rPr>
          <w:rFonts w:ascii="宋体" w:hAnsi="宋体"/>
        </w:rPr>
      </w:pPr>
      <w:r>
        <w:rPr>
          <w:rFonts w:ascii="宋体" w:hAnsi="宋体"/>
        </w:rPr>
        <w:t>3. 成果文件的格式要求</w:t>
      </w:r>
      <w:r>
        <w:rPr>
          <w:rFonts w:hint="eastAsia" w:ascii="宋体" w:hAnsi="宋体"/>
        </w:rPr>
        <w:t>:</w:t>
      </w:r>
      <w:r>
        <w:rPr>
          <w:rFonts w:hint="eastAsia" w:ascii="宋体" w:hAnsi="宋体"/>
          <w:u w:val="single"/>
        </w:rPr>
        <w:t xml:space="preserve"> 满足本项目监理服务要求。</w:t>
      </w:r>
    </w:p>
    <w:p w14:paraId="5A3BAE31">
      <w:pPr>
        <w:spacing w:line="360" w:lineRule="auto"/>
        <w:ind w:firstLine="480" w:firstLineChars="200"/>
        <w:rPr>
          <w:rFonts w:ascii="宋体" w:hAnsi="宋体"/>
        </w:rPr>
      </w:pPr>
      <w:r>
        <w:rPr>
          <w:rFonts w:ascii="宋体" w:hAnsi="宋体"/>
        </w:rPr>
        <w:t>4. 成果文件的份数要求</w:t>
      </w:r>
      <w:r>
        <w:rPr>
          <w:rFonts w:hint="eastAsia" w:ascii="宋体" w:hAnsi="宋体"/>
        </w:rPr>
        <w:t>:</w:t>
      </w:r>
      <w:r>
        <w:rPr>
          <w:rFonts w:hint="eastAsia" w:ascii="宋体" w:hAnsi="宋体"/>
          <w:u w:val="single"/>
        </w:rPr>
        <w:t xml:space="preserve"> 一式六份，</w:t>
      </w:r>
    </w:p>
    <w:p w14:paraId="7B56C692">
      <w:pPr>
        <w:spacing w:line="360" w:lineRule="auto"/>
        <w:ind w:firstLine="480" w:firstLineChars="200"/>
        <w:rPr>
          <w:rFonts w:ascii="宋体" w:hAnsi="宋体"/>
        </w:rPr>
      </w:pPr>
      <w:r>
        <w:rPr>
          <w:rFonts w:ascii="宋体" w:hAnsi="宋体"/>
        </w:rPr>
        <w:t>5. 成果文件的载体要求</w:t>
      </w:r>
    </w:p>
    <w:p w14:paraId="49335CC9">
      <w:pPr>
        <w:spacing w:line="360" w:lineRule="auto"/>
        <w:ind w:firstLine="480" w:firstLineChars="200"/>
        <w:rPr>
          <w:rFonts w:ascii="宋体" w:hAnsi="宋体"/>
        </w:rPr>
      </w:pPr>
      <w:r>
        <w:rPr>
          <w:rFonts w:ascii="宋体" w:hAnsi="宋体"/>
        </w:rPr>
        <w:t>（1）纸质版的要求</w:t>
      </w:r>
      <w:r>
        <w:rPr>
          <w:rFonts w:hint="eastAsia" w:ascii="宋体" w:hAnsi="宋体"/>
        </w:rPr>
        <w:t>：</w:t>
      </w:r>
      <w:r>
        <w:rPr>
          <w:rFonts w:hint="eastAsia" w:ascii="宋体" w:hAnsi="宋体"/>
          <w:u w:val="single"/>
        </w:rPr>
        <w:t>一式六份，</w:t>
      </w:r>
    </w:p>
    <w:p w14:paraId="11F0C236">
      <w:pPr>
        <w:spacing w:line="360" w:lineRule="auto"/>
        <w:ind w:firstLine="480" w:firstLineChars="200"/>
        <w:rPr>
          <w:rFonts w:ascii="宋体" w:hAnsi="宋体"/>
        </w:rPr>
      </w:pPr>
      <w:r>
        <w:rPr>
          <w:rFonts w:ascii="宋体" w:hAnsi="宋体"/>
        </w:rPr>
        <w:t>（2）电子版的要求</w:t>
      </w:r>
      <w:r>
        <w:rPr>
          <w:rFonts w:hint="eastAsia" w:ascii="宋体" w:hAnsi="宋体"/>
        </w:rPr>
        <w:t>：</w:t>
      </w:r>
      <w:r>
        <w:rPr>
          <w:rFonts w:hint="eastAsia" w:ascii="宋体" w:hAnsi="宋体"/>
          <w:u w:val="single"/>
        </w:rPr>
        <w:t>与纸质版一致的电子版文件</w:t>
      </w:r>
    </w:p>
    <w:p w14:paraId="2BA2C46D">
      <w:pPr>
        <w:spacing w:line="360" w:lineRule="auto"/>
        <w:ind w:firstLine="480" w:firstLineChars="200"/>
        <w:rPr>
          <w:rFonts w:ascii="宋体" w:hAnsi="宋体"/>
        </w:rPr>
      </w:pPr>
      <w:r>
        <w:rPr>
          <w:rFonts w:ascii="宋体" w:hAnsi="宋体"/>
        </w:rPr>
        <w:t>（3）其他要求。</w:t>
      </w:r>
    </w:p>
    <w:p w14:paraId="01425170">
      <w:pPr>
        <w:spacing w:line="360" w:lineRule="auto"/>
        <w:ind w:firstLine="480" w:firstLineChars="200"/>
        <w:rPr>
          <w:rFonts w:ascii="宋体" w:hAnsi="宋体"/>
        </w:rPr>
      </w:pPr>
      <w:r>
        <w:rPr>
          <w:rFonts w:ascii="宋体" w:hAnsi="宋体"/>
        </w:rPr>
        <w:t>6. 成果文件的其他要求</w:t>
      </w:r>
      <w:r>
        <w:rPr>
          <w:rFonts w:hint="eastAsia" w:ascii="宋体" w:hAnsi="宋体"/>
        </w:rPr>
        <w:t>:</w:t>
      </w:r>
      <w:r>
        <w:rPr>
          <w:rFonts w:hint="eastAsia" w:ascii="宋体" w:hAnsi="宋体"/>
          <w:u w:val="single"/>
        </w:rPr>
        <w:t>满足本项目监理服务要求。</w:t>
      </w:r>
    </w:p>
    <w:p w14:paraId="697BF522">
      <w:pPr>
        <w:pStyle w:val="3"/>
        <w:jc w:val="both"/>
        <w:rPr>
          <w:sz w:val="28"/>
          <w:szCs w:val="28"/>
        </w:rPr>
      </w:pPr>
      <w:bookmarkStart w:id="121" w:name="_Toc514099711"/>
      <w:bookmarkStart w:id="122" w:name="_Toc482188640"/>
      <w:bookmarkStart w:id="123" w:name="_Toc522264577"/>
      <w:bookmarkStart w:id="124" w:name="_Toc519100227"/>
      <w:bookmarkStart w:id="125" w:name="_Toc511557113"/>
      <w:r>
        <w:rPr>
          <w:sz w:val="28"/>
          <w:szCs w:val="28"/>
        </w:rPr>
        <w:t>四、委托人财产清单</w:t>
      </w:r>
      <w:bookmarkEnd w:id="121"/>
      <w:bookmarkEnd w:id="122"/>
      <w:bookmarkEnd w:id="123"/>
      <w:bookmarkEnd w:id="124"/>
      <w:bookmarkEnd w:id="125"/>
    </w:p>
    <w:p w14:paraId="36D98EEB">
      <w:pPr>
        <w:pStyle w:val="4"/>
        <w:spacing w:before="120" w:after="120"/>
        <w:ind w:firstLine="118"/>
      </w:pPr>
      <w:bookmarkStart w:id="126" w:name="_Toc514099712"/>
      <w:bookmarkStart w:id="127" w:name="_Toc511557114"/>
      <w:bookmarkStart w:id="128" w:name="_Toc519100228"/>
      <w:bookmarkStart w:id="129" w:name="_Toc522264578"/>
      <w:bookmarkStart w:id="130" w:name="_Toc482188641"/>
      <w:r>
        <w:t>（一）委托人提供的设备、设施</w:t>
      </w:r>
      <w:bookmarkEnd w:id="126"/>
      <w:bookmarkEnd w:id="127"/>
      <w:bookmarkEnd w:id="128"/>
      <w:bookmarkEnd w:id="129"/>
      <w:bookmarkEnd w:id="130"/>
    </w:p>
    <w:p w14:paraId="1C20FAC7">
      <w:pPr>
        <w:spacing w:line="360" w:lineRule="auto"/>
        <w:ind w:firstLine="480" w:firstLineChars="200"/>
        <w:rPr>
          <w:rFonts w:ascii="宋体" w:hAnsi="宋体"/>
          <w:u w:val="single"/>
        </w:rPr>
      </w:pPr>
      <w:r>
        <w:rPr>
          <w:rFonts w:ascii="宋体" w:hAnsi="宋体"/>
        </w:rPr>
        <w:t>1. 委托人提供的办公房屋及冷暖设施：</w:t>
      </w:r>
      <w:r>
        <w:rPr>
          <w:rFonts w:hint="eastAsia" w:ascii="宋体" w:hAnsi="宋体"/>
          <w:u w:val="single"/>
        </w:rPr>
        <w:t>由监理人自行解决，含在投标报价中；</w:t>
      </w:r>
    </w:p>
    <w:p w14:paraId="2C06438D">
      <w:pPr>
        <w:spacing w:line="360" w:lineRule="auto"/>
        <w:ind w:firstLine="480" w:firstLineChars="200"/>
        <w:rPr>
          <w:rFonts w:ascii="宋体" w:hAnsi="宋体"/>
          <w:u w:val="single"/>
        </w:rPr>
      </w:pPr>
      <w:r>
        <w:rPr>
          <w:rFonts w:ascii="宋体" w:hAnsi="宋体"/>
        </w:rPr>
        <w:t>2. 委托人提供的设备清单：</w:t>
      </w:r>
      <w:r>
        <w:rPr>
          <w:rFonts w:hint="eastAsia" w:ascii="宋体" w:hAnsi="宋体"/>
          <w:u w:val="single"/>
        </w:rPr>
        <w:t>无；</w:t>
      </w:r>
    </w:p>
    <w:p w14:paraId="61F5A2B6">
      <w:pPr>
        <w:spacing w:line="360" w:lineRule="auto"/>
        <w:ind w:firstLine="480" w:firstLineChars="200"/>
        <w:rPr>
          <w:rFonts w:ascii="宋体" w:hAnsi="宋体"/>
          <w:u w:val="single"/>
        </w:rPr>
      </w:pPr>
      <w:r>
        <w:rPr>
          <w:rFonts w:ascii="宋体" w:hAnsi="宋体"/>
        </w:rPr>
        <w:t>3. 委托人提供的设施清单：</w:t>
      </w:r>
      <w:bookmarkStart w:id="131" w:name="_Toc511557115"/>
      <w:bookmarkStart w:id="132" w:name="_Toc514099713"/>
      <w:bookmarkStart w:id="133" w:name="_Toc482188642"/>
      <w:r>
        <w:rPr>
          <w:rFonts w:hint="eastAsia" w:ascii="宋体" w:hAnsi="宋体"/>
          <w:u w:val="single"/>
        </w:rPr>
        <w:t>无；</w:t>
      </w:r>
    </w:p>
    <w:p w14:paraId="6AD864BD">
      <w:pPr>
        <w:pStyle w:val="4"/>
        <w:spacing w:before="120" w:after="120"/>
        <w:ind w:firstLine="118"/>
      </w:pPr>
      <w:bookmarkStart w:id="134" w:name="_Toc519100229"/>
      <w:bookmarkStart w:id="135" w:name="_Toc522264579"/>
      <w:r>
        <w:t>（二）委托人提供的资料</w:t>
      </w:r>
      <w:bookmarkEnd w:id="131"/>
      <w:bookmarkEnd w:id="132"/>
      <w:bookmarkEnd w:id="133"/>
      <w:bookmarkEnd w:id="134"/>
      <w:bookmarkEnd w:id="135"/>
    </w:p>
    <w:p w14:paraId="2D90EC99">
      <w:pPr>
        <w:spacing w:line="360" w:lineRule="auto"/>
        <w:ind w:firstLine="480" w:firstLineChars="200"/>
        <w:rPr>
          <w:rFonts w:ascii="宋体" w:hAnsi="宋体"/>
        </w:rPr>
      </w:pPr>
      <w:r>
        <w:rPr>
          <w:rFonts w:ascii="宋体" w:hAnsi="宋体"/>
        </w:rPr>
        <w:t>1. 施工场地及毗邻区域内的供水、排水、供电、供气、供热、通信、广播电视等地下管线资料、气象和水文观测资料，相邻建筑物和构筑物、地下工程的有关资料，以及其他与建设工程有关的原始资料</w:t>
      </w:r>
    </w:p>
    <w:p w14:paraId="2BF06149">
      <w:pPr>
        <w:spacing w:line="360" w:lineRule="auto"/>
        <w:ind w:firstLine="480" w:firstLineChars="200"/>
        <w:rPr>
          <w:rFonts w:ascii="宋体" w:hAnsi="宋体"/>
        </w:rPr>
      </w:pPr>
      <w:r>
        <w:rPr>
          <w:rFonts w:ascii="宋体" w:hAnsi="宋体"/>
        </w:rPr>
        <w:t>2. 定位放线的基准点、基准线和基准标高</w:t>
      </w:r>
    </w:p>
    <w:p w14:paraId="16CA09DC">
      <w:pPr>
        <w:spacing w:line="360" w:lineRule="auto"/>
        <w:ind w:firstLine="480" w:firstLineChars="200"/>
        <w:rPr>
          <w:rFonts w:ascii="宋体" w:hAnsi="宋体"/>
        </w:rPr>
      </w:pPr>
      <w:r>
        <w:rPr>
          <w:rFonts w:ascii="宋体" w:hAnsi="宋体"/>
        </w:rPr>
        <w:t>3. 委托人取得的有关审批、核准和备案材料</w:t>
      </w:r>
    </w:p>
    <w:p w14:paraId="6A009FD2">
      <w:pPr>
        <w:spacing w:line="360" w:lineRule="auto"/>
        <w:ind w:firstLine="480" w:firstLineChars="200"/>
        <w:rPr>
          <w:rFonts w:ascii="宋体" w:hAnsi="宋体"/>
        </w:rPr>
      </w:pPr>
      <w:r>
        <w:rPr>
          <w:rFonts w:ascii="宋体" w:hAnsi="宋体"/>
        </w:rPr>
        <w:t>4. 勘察文件、设计文件等资料</w:t>
      </w:r>
    </w:p>
    <w:p w14:paraId="7976127B">
      <w:pPr>
        <w:spacing w:line="360" w:lineRule="auto"/>
        <w:ind w:firstLine="480" w:firstLineChars="200"/>
        <w:rPr>
          <w:rFonts w:ascii="宋体" w:hAnsi="宋体"/>
        </w:rPr>
      </w:pPr>
      <w:r>
        <w:rPr>
          <w:rFonts w:ascii="宋体" w:hAnsi="宋体"/>
        </w:rPr>
        <w:t>5. 技术标准、规范</w:t>
      </w:r>
    </w:p>
    <w:p w14:paraId="74CE8BCB">
      <w:pPr>
        <w:spacing w:line="360" w:lineRule="auto"/>
        <w:ind w:firstLine="480" w:firstLineChars="200"/>
        <w:rPr>
          <w:rFonts w:ascii="宋体" w:hAnsi="宋体"/>
        </w:rPr>
      </w:pPr>
      <w:r>
        <w:rPr>
          <w:rFonts w:ascii="宋体" w:hAnsi="宋体"/>
        </w:rPr>
        <w:t>6. 工程承包合同及其他相关合同</w:t>
      </w:r>
    </w:p>
    <w:p w14:paraId="16929CAA">
      <w:pPr>
        <w:spacing w:line="360" w:lineRule="auto"/>
        <w:ind w:firstLine="480" w:firstLineChars="200"/>
        <w:rPr>
          <w:rFonts w:ascii="宋体" w:hAnsi="宋体"/>
        </w:rPr>
      </w:pPr>
      <w:r>
        <w:rPr>
          <w:rFonts w:ascii="宋体" w:hAnsi="宋体"/>
        </w:rPr>
        <w:t>7. 其他资料</w:t>
      </w:r>
    </w:p>
    <w:p w14:paraId="533AEE3B">
      <w:pPr>
        <w:pStyle w:val="4"/>
        <w:spacing w:before="120" w:after="120"/>
        <w:ind w:firstLine="118"/>
      </w:pPr>
      <w:bookmarkStart w:id="136" w:name="_Toc519100230"/>
      <w:bookmarkStart w:id="137" w:name="_Toc514099714"/>
      <w:bookmarkStart w:id="138" w:name="_Toc511557116"/>
      <w:bookmarkStart w:id="139" w:name="_Toc482188643"/>
      <w:bookmarkStart w:id="140" w:name="_Toc522264580"/>
      <w:r>
        <w:t>（三）委托人财产使用要求及退还要求</w:t>
      </w:r>
      <w:bookmarkEnd w:id="136"/>
      <w:bookmarkEnd w:id="137"/>
      <w:bookmarkEnd w:id="138"/>
      <w:bookmarkEnd w:id="139"/>
      <w:bookmarkEnd w:id="140"/>
    </w:p>
    <w:p w14:paraId="3BC1A25B">
      <w:pPr>
        <w:spacing w:line="360" w:lineRule="auto"/>
        <w:ind w:firstLine="480" w:firstLineChars="200"/>
        <w:rPr>
          <w:rFonts w:ascii="宋体" w:hAnsi="宋体"/>
        </w:rPr>
      </w:pPr>
      <w:r>
        <w:rPr>
          <w:rFonts w:ascii="宋体" w:hAnsi="宋体"/>
        </w:rPr>
        <w:t>1. 委托人财产使用要求</w:t>
      </w:r>
      <w:r>
        <w:rPr>
          <w:rFonts w:hint="eastAsia" w:ascii="宋体" w:hAnsi="宋体"/>
        </w:rPr>
        <w:t>：</w:t>
      </w:r>
      <w:r>
        <w:rPr>
          <w:rFonts w:hint="eastAsia" w:ascii="宋体" w:hAnsi="宋体"/>
          <w:u w:val="single"/>
        </w:rPr>
        <w:t>监理人对委托人财产保存完好，避免有损坏或丢失等情况发生；</w:t>
      </w:r>
    </w:p>
    <w:p w14:paraId="48EA7561">
      <w:pPr>
        <w:spacing w:line="360" w:lineRule="auto"/>
        <w:ind w:firstLine="480" w:firstLineChars="200"/>
        <w:rPr>
          <w:rFonts w:ascii="宋体" w:hAnsi="宋体"/>
        </w:rPr>
      </w:pPr>
      <w:r>
        <w:rPr>
          <w:rFonts w:ascii="宋体" w:hAnsi="宋体"/>
        </w:rPr>
        <w:t>2. 委托人财产退还要求</w:t>
      </w:r>
      <w:r>
        <w:rPr>
          <w:rFonts w:hint="eastAsia" w:ascii="宋体" w:hAnsi="宋体"/>
        </w:rPr>
        <w:t>：</w:t>
      </w:r>
      <w:r>
        <w:rPr>
          <w:rFonts w:hint="eastAsia" w:ascii="宋体" w:hAnsi="宋体"/>
          <w:u w:val="single"/>
        </w:rPr>
        <w:t>工程完工后监理人将委托人财产全数完好地退还给委托人。</w:t>
      </w:r>
    </w:p>
    <w:p w14:paraId="5BB906E5">
      <w:pPr>
        <w:spacing w:line="360" w:lineRule="auto"/>
        <w:ind w:firstLine="480" w:firstLineChars="200"/>
        <w:rPr>
          <w:rFonts w:ascii="宋体" w:hAnsi="宋体"/>
        </w:rPr>
      </w:pPr>
      <w:bookmarkStart w:id="141" w:name="_Toc482188644"/>
      <w:r>
        <w:rPr>
          <w:rFonts w:ascii="宋体" w:hAnsi="宋体"/>
        </w:rPr>
        <w:t>……</w:t>
      </w:r>
    </w:p>
    <w:p w14:paraId="6F43D210">
      <w:pPr>
        <w:pStyle w:val="3"/>
        <w:jc w:val="both"/>
        <w:rPr>
          <w:sz w:val="28"/>
          <w:szCs w:val="28"/>
        </w:rPr>
      </w:pPr>
      <w:bookmarkStart w:id="142" w:name="_Toc511557117"/>
      <w:bookmarkStart w:id="143" w:name="_Toc522264581"/>
      <w:bookmarkStart w:id="144" w:name="_Toc519100231"/>
      <w:bookmarkStart w:id="145" w:name="_Toc514099715"/>
      <w:r>
        <w:rPr>
          <w:sz w:val="28"/>
          <w:szCs w:val="28"/>
        </w:rPr>
        <w:t>五、委托人提供的便利条件</w:t>
      </w:r>
      <w:bookmarkEnd w:id="141"/>
      <w:bookmarkEnd w:id="142"/>
      <w:bookmarkEnd w:id="143"/>
      <w:bookmarkEnd w:id="144"/>
      <w:bookmarkEnd w:id="145"/>
    </w:p>
    <w:p w14:paraId="2B3A30A4">
      <w:pPr>
        <w:spacing w:line="360" w:lineRule="auto"/>
        <w:ind w:firstLine="480" w:firstLineChars="200"/>
        <w:rPr>
          <w:rFonts w:ascii="宋体" w:hAnsi="宋体"/>
          <w:u w:val="single"/>
        </w:rPr>
      </w:pPr>
      <w:r>
        <w:rPr>
          <w:rFonts w:ascii="宋体" w:hAnsi="宋体"/>
        </w:rPr>
        <w:t>1. 委托人提供的生活条件</w:t>
      </w:r>
      <w:r>
        <w:rPr>
          <w:rFonts w:hint="eastAsia" w:ascii="宋体" w:hAnsi="宋体"/>
        </w:rPr>
        <w:t>：</w:t>
      </w:r>
      <w:r>
        <w:rPr>
          <w:rFonts w:hint="eastAsia" w:ascii="宋体" w:hAnsi="宋体"/>
          <w:u w:val="single"/>
        </w:rPr>
        <w:t>由监理人自行解决，含在投标报价中。</w:t>
      </w:r>
    </w:p>
    <w:p w14:paraId="71B1E2FA">
      <w:pPr>
        <w:spacing w:line="360" w:lineRule="auto"/>
        <w:ind w:firstLine="480" w:firstLineChars="200"/>
        <w:rPr>
          <w:rFonts w:ascii="宋体" w:hAnsi="宋体"/>
        </w:rPr>
      </w:pPr>
      <w:r>
        <w:rPr>
          <w:rFonts w:ascii="宋体" w:hAnsi="宋体"/>
        </w:rPr>
        <w:t>2. 委托人提供的交通条件</w:t>
      </w:r>
      <w:r>
        <w:rPr>
          <w:rFonts w:hint="eastAsia" w:ascii="宋体" w:hAnsi="宋体"/>
        </w:rPr>
        <w:t>：</w:t>
      </w:r>
      <w:r>
        <w:rPr>
          <w:rFonts w:hint="eastAsia" w:ascii="宋体" w:hAnsi="宋体"/>
          <w:u w:val="single"/>
        </w:rPr>
        <w:t>无；</w:t>
      </w:r>
    </w:p>
    <w:p w14:paraId="1AE054FA">
      <w:pPr>
        <w:spacing w:line="360" w:lineRule="auto"/>
        <w:ind w:firstLine="480" w:firstLineChars="200"/>
        <w:rPr>
          <w:rFonts w:ascii="宋体" w:hAnsi="宋体"/>
        </w:rPr>
      </w:pPr>
      <w:r>
        <w:rPr>
          <w:rFonts w:ascii="宋体" w:hAnsi="宋体"/>
        </w:rPr>
        <w:t>3. 委托人提供的网络、通讯条件</w:t>
      </w:r>
      <w:r>
        <w:rPr>
          <w:rFonts w:hint="eastAsia" w:ascii="宋体" w:hAnsi="宋体"/>
        </w:rPr>
        <w:t>：</w:t>
      </w:r>
      <w:r>
        <w:rPr>
          <w:rFonts w:hint="eastAsia" w:ascii="宋体" w:hAnsi="宋体"/>
          <w:u w:val="single"/>
        </w:rPr>
        <w:t>无；</w:t>
      </w:r>
    </w:p>
    <w:p w14:paraId="21102C25">
      <w:pPr>
        <w:spacing w:line="360" w:lineRule="auto"/>
        <w:ind w:firstLine="480" w:firstLineChars="200"/>
        <w:rPr>
          <w:rFonts w:ascii="宋体" w:hAnsi="宋体"/>
        </w:rPr>
      </w:pPr>
      <w:r>
        <w:rPr>
          <w:rFonts w:ascii="宋体" w:hAnsi="宋体"/>
        </w:rPr>
        <w:t>4. 委托人提供的协助人员</w:t>
      </w:r>
      <w:r>
        <w:rPr>
          <w:rFonts w:hint="eastAsia" w:ascii="宋体" w:hAnsi="宋体"/>
        </w:rPr>
        <w:t>：</w:t>
      </w:r>
      <w:r>
        <w:rPr>
          <w:rFonts w:hint="eastAsia" w:ascii="宋体" w:hAnsi="宋体"/>
          <w:u w:val="single"/>
        </w:rPr>
        <w:t>无</w:t>
      </w:r>
      <w:bookmarkStart w:id="146" w:name="_Toc482188645"/>
      <w:r>
        <w:rPr>
          <w:rFonts w:hint="eastAsia" w:ascii="宋体" w:hAnsi="宋体"/>
        </w:rPr>
        <w:t>；</w:t>
      </w:r>
    </w:p>
    <w:p w14:paraId="235B87E7">
      <w:pPr>
        <w:pStyle w:val="3"/>
        <w:jc w:val="both"/>
        <w:rPr>
          <w:sz w:val="28"/>
          <w:szCs w:val="28"/>
        </w:rPr>
      </w:pPr>
      <w:bookmarkStart w:id="147" w:name="_Toc514099716"/>
      <w:bookmarkStart w:id="148" w:name="_Toc511557118"/>
      <w:bookmarkStart w:id="149" w:name="_Toc519100232"/>
      <w:bookmarkStart w:id="150" w:name="_Toc522264582"/>
      <w:r>
        <w:rPr>
          <w:sz w:val="28"/>
          <w:szCs w:val="28"/>
        </w:rPr>
        <w:t>六、监理人需要自备的工作条件</w:t>
      </w:r>
      <w:bookmarkEnd w:id="146"/>
      <w:bookmarkEnd w:id="147"/>
      <w:bookmarkEnd w:id="148"/>
      <w:bookmarkEnd w:id="149"/>
      <w:bookmarkEnd w:id="150"/>
    </w:p>
    <w:p w14:paraId="7050A83B">
      <w:pPr>
        <w:spacing w:line="360" w:lineRule="auto"/>
        <w:ind w:firstLine="480" w:firstLineChars="200"/>
        <w:rPr>
          <w:rFonts w:ascii="宋体" w:hAnsi="宋体"/>
        </w:rPr>
      </w:pPr>
      <w:r>
        <w:rPr>
          <w:rFonts w:ascii="宋体" w:hAnsi="宋体"/>
        </w:rPr>
        <w:t>1. 监理人自备的工作手册：</w:t>
      </w:r>
      <w:r>
        <w:rPr>
          <w:rFonts w:hint="eastAsia" w:ascii="宋体" w:hAnsi="宋体"/>
          <w:u w:val="single"/>
        </w:rPr>
        <w:t>本项目必备的规范标准、图集等。</w:t>
      </w:r>
    </w:p>
    <w:p w14:paraId="6372D779">
      <w:pPr>
        <w:spacing w:line="360" w:lineRule="auto"/>
        <w:ind w:firstLine="480" w:firstLineChars="200"/>
        <w:rPr>
          <w:rFonts w:ascii="宋体" w:hAnsi="宋体"/>
        </w:rPr>
      </w:pPr>
      <w:r>
        <w:rPr>
          <w:rFonts w:ascii="宋体" w:hAnsi="宋体"/>
        </w:rPr>
        <w:t>2. 监理人自备的办公设备：</w:t>
      </w:r>
      <w:r>
        <w:rPr>
          <w:rFonts w:hint="eastAsia" w:ascii="宋体" w:hAnsi="宋体"/>
          <w:u w:val="single"/>
        </w:rPr>
        <w:t>电脑、软件、投影、打印机、复印机、照相机等。</w:t>
      </w:r>
    </w:p>
    <w:p w14:paraId="6881236C">
      <w:pPr>
        <w:spacing w:line="360" w:lineRule="auto"/>
        <w:ind w:firstLine="480" w:firstLineChars="200"/>
        <w:rPr>
          <w:rFonts w:ascii="宋体" w:hAnsi="宋体"/>
        </w:rPr>
      </w:pPr>
      <w:r>
        <w:rPr>
          <w:rFonts w:ascii="宋体" w:hAnsi="宋体"/>
        </w:rPr>
        <w:t>3. 监理人自备的交通工具：</w:t>
      </w:r>
      <w:r>
        <w:rPr>
          <w:rFonts w:hint="eastAsia" w:ascii="宋体" w:hAnsi="宋体"/>
          <w:u w:val="single"/>
        </w:rPr>
        <w:t>出行车辆等。</w:t>
      </w:r>
    </w:p>
    <w:p w14:paraId="35FCDFF3">
      <w:pPr>
        <w:spacing w:line="360" w:lineRule="auto"/>
        <w:ind w:firstLine="480" w:firstLineChars="200"/>
        <w:rPr>
          <w:rFonts w:ascii="宋体" w:hAnsi="宋体"/>
        </w:rPr>
      </w:pPr>
      <w:r>
        <w:rPr>
          <w:rFonts w:ascii="宋体" w:hAnsi="宋体"/>
        </w:rPr>
        <w:t>4. 监理人自备的现场办公设施：</w:t>
      </w:r>
      <w:r>
        <w:rPr>
          <w:rFonts w:hint="eastAsia" w:ascii="宋体" w:hAnsi="宋体"/>
          <w:u w:val="single"/>
        </w:rPr>
        <w:t>办公桌椅、文件柜等。</w:t>
      </w:r>
    </w:p>
    <w:p w14:paraId="168403CA">
      <w:pPr>
        <w:spacing w:line="360" w:lineRule="auto"/>
        <w:ind w:firstLine="480" w:firstLineChars="200"/>
        <w:rPr>
          <w:rFonts w:ascii="宋体" w:hAnsi="宋体"/>
        </w:rPr>
      </w:pPr>
      <w:r>
        <w:rPr>
          <w:rFonts w:ascii="宋体" w:hAnsi="宋体"/>
        </w:rPr>
        <w:t>5. 监理人自备的安全设施：</w:t>
      </w:r>
      <w:r>
        <w:rPr>
          <w:rFonts w:hint="eastAsia" w:ascii="宋体" w:hAnsi="宋体"/>
          <w:u w:val="single"/>
        </w:rPr>
        <w:t>安全帽、安全鞋、手电筒等。</w:t>
      </w:r>
    </w:p>
    <w:p w14:paraId="03EB6D64">
      <w:pPr>
        <w:spacing w:line="360" w:lineRule="auto"/>
        <w:ind w:firstLine="480" w:firstLineChars="200"/>
        <w:rPr>
          <w:rFonts w:ascii="宋体" w:hAnsi="宋体"/>
        </w:rPr>
      </w:pPr>
      <w:r>
        <w:rPr>
          <w:rFonts w:ascii="宋体" w:hAnsi="宋体"/>
        </w:rPr>
        <w:t>6. 监理人自备的试验检测仪器、设备、工具</w:t>
      </w:r>
      <w:r>
        <w:rPr>
          <w:rFonts w:hint="eastAsia" w:ascii="宋体" w:hAnsi="宋体"/>
        </w:rPr>
        <w:t>：</w:t>
      </w:r>
      <w:r>
        <w:rPr>
          <w:rFonts w:hint="eastAsia" w:ascii="宋体" w:hAnsi="宋体"/>
          <w:u w:val="single"/>
        </w:rPr>
        <w:t>满足本项目监理服务要求。</w:t>
      </w:r>
    </w:p>
    <w:p w14:paraId="2CDA2114">
      <w:pPr>
        <w:spacing w:line="360" w:lineRule="auto"/>
        <w:ind w:firstLine="480" w:firstLineChars="200"/>
        <w:rPr>
          <w:rFonts w:ascii="宋体" w:hAnsi="宋体"/>
        </w:rPr>
      </w:pPr>
      <w:r>
        <w:rPr>
          <w:rFonts w:ascii="宋体" w:hAnsi="宋体"/>
        </w:rPr>
        <w:t>7. 监理人自备的试验用房、样品用房</w:t>
      </w:r>
      <w:r>
        <w:rPr>
          <w:rFonts w:hint="eastAsia" w:ascii="宋体" w:hAnsi="宋体"/>
        </w:rPr>
        <w:t>：</w:t>
      </w:r>
      <w:r>
        <w:rPr>
          <w:rFonts w:ascii="宋体" w:hAnsi="宋体"/>
          <w:u w:val="single"/>
        </w:rPr>
        <w:t xml:space="preserve">    </w:t>
      </w:r>
      <w:r>
        <w:rPr>
          <w:rFonts w:hint="eastAsia" w:ascii="宋体" w:hAnsi="宋体"/>
          <w:u w:val="single"/>
        </w:rPr>
        <w:t>/</w:t>
      </w:r>
      <w:r>
        <w:rPr>
          <w:rFonts w:ascii="宋体" w:hAnsi="宋体"/>
          <w:u w:val="single"/>
        </w:rPr>
        <w:t xml:space="preserve">      </w:t>
      </w:r>
    </w:p>
    <w:p w14:paraId="2B56C1D3">
      <w:pPr>
        <w:pStyle w:val="3"/>
        <w:jc w:val="both"/>
        <w:rPr>
          <w:sz w:val="28"/>
          <w:szCs w:val="28"/>
        </w:rPr>
      </w:pPr>
      <w:bookmarkStart w:id="151" w:name="_Toc511557119"/>
      <w:bookmarkStart w:id="152" w:name="_Toc482188646"/>
      <w:bookmarkStart w:id="153" w:name="_Toc519100233"/>
      <w:bookmarkStart w:id="154" w:name="_Toc522264583"/>
      <w:bookmarkStart w:id="155" w:name="_Toc514099717"/>
      <w:r>
        <w:rPr>
          <w:sz w:val="28"/>
          <w:szCs w:val="28"/>
        </w:rPr>
        <w:t>七、委托人的其他要求</w:t>
      </w:r>
      <w:bookmarkEnd w:id="151"/>
      <w:bookmarkEnd w:id="152"/>
      <w:bookmarkEnd w:id="153"/>
      <w:bookmarkEnd w:id="154"/>
      <w:bookmarkEnd w:id="155"/>
    </w:p>
    <w:p w14:paraId="6B4A13EF">
      <w:pPr>
        <w:pStyle w:val="4"/>
        <w:spacing w:before="120" w:after="120"/>
        <w:ind w:firstLine="482" w:firstLineChars="200"/>
      </w:pPr>
      <w:r>
        <w:t>委托人的其他要求</w:t>
      </w:r>
      <w:r>
        <w:rPr>
          <w:rFonts w:hint="eastAsia"/>
        </w:rPr>
        <w:t>：</w:t>
      </w:r>
      <w:r>
        <w:rPr>
          <w:rFonts w:hint="eastAsia"/>
          <w:u w:val="single"/>
        </w:rPr>
        <w:t>其他要求详见监理合同。</w:t>
      </w:r>
      <w:bookmarkEnd w:id="120"/>
    </w:p>
    <w:p w14:paraId="20B3AFA2">
      <w:pPr>
        <w:pStyle w:val="10"/>
        <w:kinsoku w:val="0"/>
        <w:overflowPunct w:val="0"/>
        <w:spacing w:before="240"/>
        <w:ind w:left="0" w:firstLine="400"/>
        <w:rPr>
          <w:sz w:val="20"/>
        </w:rPr>
      </w:pPr>
    </w:p>
    <w:p w14:paraId="79754A66">
      <w:pPr>
        <w:pStyle w:val="10"/>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rPr>
        <w:sectPr>
          <w:pgSz w:w="11905" w:h="16838"/>
          <w:pgMar w:top="1417" w:right="1417" w:bottom="1417" w:left="1417" w:header="992" w:footer="992" w:gutter="0"/>
          <w:cols w:space="720" w:num="1"/>
        </w:sectPr>
      </w:pPr>
    </w:p>
    <w:p w14:paraId="4273D229">
      <w:pPr>
        <w:pStyle w:val="10"/>
        <w:kinsoku w:val="0"/>
        <w:overflowPunct w:val="0"/>
        <w:ind w:left="0" w:firstLine="400"/>
        <w:rPr>
          <w:rFonts w:ascii="Times New Roman" w:hAnsi="Times New Roman" w:eastAsia="Times New Roman"/>
          <w:sz w:val="20"/>
        </w:rPr>
      </w:pPr>
    </w:p>
    <w:p w14:paraId="772B05DC">
      <w:pPr>
        <w:pStyle w:val="2"/>
        <w:spacing w:before="4800" w:beforeLines="2000"/>
        <w:rPr>
          <w:rFonts w:hint="default"/>
          <w:sz w:val="52"/>
          <w:szCs w:val="52"/>
        </w:rPr>
      </w:pPr>
      <w:bookmarkStart w:id="156" w:name="bookmark173"/>
      <w:bookmarkEnd w:id="156"/>
      <w:bookmarkStart w:id="157" w:name="_Toc12210"/>
      <w:r>
        <w:rPr>
          <w:sz w:val="52"/>
          <w:szCs w:val="52"/>
        </w:rPr>
        <w:t>第三卷</w:t>
      </w:r>
      <w:bookmarkEnd w:id="157"/>
    </w:p>
    <w:p w14:paraId="1896F571">
      <w:pPr>
        <w:pStyle w:val="2"/>
        <w:spacing w:before="4800" w:beforeLines="2000"/>
        <w:rPr>
          <w:rFonts w:hint="default"/>
          <w:sz w:val="52"/>
          <w:szCs w:val="52"/>
        </w:rPr>
        <w:sectPr>
          <w:pgSz w:w="11905" w:h="16838"/>
          <w:pgMar w:top="1417" w:right="1417" w:bottom="1417" w:left="1417" w:header="992" w:footer="992" w:gutter="0"/>
          <w:cols w:space="720" w:num="1"/>
        </w:sectPr>
      </w:pPr>
    </w:p>
    <w:p w14:paraId="7DBFB690">
      <w:pPr>
        <w:pStyle w:val="3"/>
        <w:rPr>
          <w:sz w:val="44"/>
        </w:rPr>
      </w:pPr>
      <w:bookmarkStart w:id="158" w:name="bookmark174"/>
      <w:bookmarkEnd w:id="158"/>
      <w:bookmarkStart w:id="159" w:name="_Toc26661"/>
      <w:r>
        <w:rPr>
          <w:sz w:val="44"/>
        </w:rPr>
        <w:t>第六章 投标文件格式</w:t>
      </w:r>
      <w:bookmarkEnd w:id="159"/>
    </w:p>
    <w:p w14:paraId="21CF4050">
      <w:pPr>
        <w:pStyle w:val="3"/>
        <w:sectPr>
          <w:pgSz w:w="11905" w:h="16838"/>
          <w:pgMar w:top="1417" w:right="1417" w:bottom="1417" w:left="1417" w:header="992" w:footer="992" w:gutter="0"/>
          <w:cols w:space="720" w:num="1"/>
        </w:sectPr>
      </w:pPr>
    </w:p>
    <w:p w14:paraId="232429D5">
      <w:pPr>
        <w:pStyle w:val="10"/>
        <w:kinsoku w:val="0"/>
        <w:overflowPunct w:val="0"/>
        <w:ind w:left="0" w:firstLine="400"/>
        <w:rPr>
          <w:rFonts w:ascii="Microsoft JhengHei" w:hAnsi="Microsoft JhengHei" w:eastAsia="Microsoft JhengHei"/>
          <w:b/>
          <w:sz w:val="20"/>
        </w:rPr>
      </w:pPr>
    </w:p>
    <w:p w14:paraId="2A38C80D">
      <w:pPr>
        <w:pStyle w:val="10"/>
        <w:kinsoku w:val="0"/>
        <w:overflowPunct w:val="0"/>
        <w:ind w:left="0" w:firstLine="400"/>
        <w:rPr>
          <w:rFonts w:ascii="Microsoft JhengHei" w:hAnsi="Microsoft JhengHei" w:eastAsia="Microsoft JhengHei"/>
          <w:b/>
          <w:sz w:val="20"/>
        </w:rPr>
      </w:pPr>
    </w:p>
    <w:p w14:paraId="60DA5F3B">
      <w:pPr>
        <w:pStyle w:val="10"/>
        <w:kinsoku w:val="0"/>
        <w:overflowPunct w:val="0"/>
        <w:spacing w:before="240"/>
        <w:ind w:left="0" w:firstLine="440"/>
        <w:rPr>
          <w:rFonts w:ascii="Microsoft JhengHei" w:hAnsi="Microsoft JhengHei" w:eastAsia="Microsoft JhengHei"/>
          <w:b/>
          <w:sz w:val="22"/>
        </w:rPr>
      </w:pPr>
    </w:p>
    <w:p w14:paraId="2268ACA1">
      <w:pPr>
        <w:jc w:val="center"/>
        <w:rPr>
          <w:rFonts w:ascii="宋体"/>
          <w:sz w:val="36"/>
        </w:rPr>
      </w:pPr>
      <w:r>
        <w:rPr>
          <w:sz w:val="36"/>
          <w:u w:val="single"/>
        </w:rPr>
        <w:t xml:space="preserve">                 </w:t>
      </w:r>
      <w:r>
        <w:rPr>
          <w:rFonts w:ascii="宋体"/>
          <w:sz w:val="36"/>
          <w:u w:val="single"/>
        </w:rPr>
        <w:t>（项目名称）</w:t>
      </w:r>
      <w:r>
        <w:rPr>
          <w:rFonts w:ascii="宋体"/>
          <w:sz w:val="36"/>
        </w:rPr>
        <w:t xml:space="preserve"> </w:t>
      </w:r>
    </w:p>
    <w:p w14:paraId="5DA2E55D">
      <w:pPr>
        <w:pStyle w:val="10"/>
        <w:kinsoku w:val="0"/>
        <w:overflowPunct w:val="0"/>
        <w:ind w:left="0" w:firstLine="400"/>
        <w:rPr>
          <w:sz w:val="20"/>
        </w:rPr>
      </w:pPr>
    </w:p>
    <w:p w14:paraId="5E52DFA9">
      <w:pPr>
        <w:pStyle w:val="10"/>
        <w:kinsoku w:val="0"/>
        <w:overflowPunct w:val="0"/>
        <w:spacing w:before="240"/>
        <w:ind w:left="0" w:firstLine="300"/>
        <w:rPr>
          <w:sz w:val="15"/>
        </w:rPr>
      </w:pPr>
    </w:p>
    <w:p w14:paraId="4F647DD4">
      <w:pPr>
        <w:pStyle w:val="10"/>
        <w:kinsoku w:val="0"/>
        <w:overflowPunct w:val="0"/>
        <w:spacing w:line="539" w:lineRule="exact"/>
        <w:ind w:left="3" w:right="1" w:firstLine="880"/>
        <w:jc w:val="center"/>
        <w:rPr>
          <w:sz w:val="44"/>
        </w:rPr>
      </w:pPr>
    </w:p>
    <w:p w14:paraId="40025FC7">
      <w:pPr>
        <w:pStyle w:val="10"/>
        <w:kinsoku w:val="0"/>
        <w:overflowPunct w:val="0"/>
        <w:spacing w:line="539" w:lineRule="exact"/>
        <w:ind w:left="3" w:right="1" w:firstLine="880"/>
        <w:jc w:val="center"/>
        <w:rPr>
          <w:sz w:val="44"/>
        </w:rPr>
      </w:pPr>
    </w:p>
    <w:p w14:paraId="5D2445B3">
      <w:pPr>
        <w:pStyle w:val="10"/>
        <w:kinsoku w:val="0"/>
        <w:overflowPunct w:val="0"/>
        <w:ind w:left="0" w:firstLine="1680"/>
        <w:jc w:val="center"/>
        <w:rPr>
          <w:sz w:val="44"/>
        </w:rPr>
      </w:pPr>
      <w:r>
        <w:rPr>
          <w:rFonts w:cs="宋体"/>
          <w:sz w:val="84"/>
          <w:szCs w:val="84"/>
        </w:rPr>
        <w:t>投标文件</w:t>
      </w:r>
    </w:p>
    <w:p w14:paraId="08D33D71">
      <w:pPr>
        <w:pStyle w:val="10"/>
        <w:kinsoku w:val="0"/>
        <w:overflowPunct w:val="0"/>
        <w:ind w:left="0" w:firstLine="880"/>
        <w:rPr>
          <w:sz w:val="44"/>
        </w:rPr>
      </w:pPr>
    </w:p>
    <w:p w14:paraId="3C022782">
      <w:pPr>
        <w:pStyle w:val="10"/>
        <w:kinsoku w:val="0"/>
        <w:overflowPunct w:val="0"/>
        <w:ind w:left="0" w:firstLine="880"/>
        <w:rPr>
          <w:sz w:val="44"/>
        </w:rPr>
      </w:pPr>
    </w:p>
    <w:p w14:paraId="132E2CEA">
      <w:pPr>
        <w:pStyle w:val="10"/>
        <w:kinsoku w:val="0"/>
        <w:overflowPunct w:val="0"/>
        <w:ind w:left="0" w:firstLine="880"/>
        <w:rPr>
          <w:sz w:val="44"/>
        </w:rPr>
      </w:pPr>
    </w:p>
    <w:p w14:paraId="5211F2E4">
      <w:pPr>
        <w:pStyle w:val="10"/>
        <w:kinsoku w:val="0"/>
        <w:overflowPunct w:val="0"/>
        <w:ind w:left="0" w:firstLine="880"/>
        <w:rPr>
          <w:sz w:val="44"/>
        </w:rPr>
      </w:pPr>
    </w:p>
    <w:p w14:paraId="214C9BAD">
      <w:pPr>
        <w:pStyle w:val="10"/>
        <w:kinsoku w:val="0"/>
        <w:overflowPunct w:val="0"/>
        <w:ind w:left="0" w:firstLine="880"/>
        <w:rPr>
          <w:sz w:val="44"/>
        </w:rPr>
      </w:pPr>
    </w:p>
    <w:p w14:paraId="21DAFC71">
      <w:pPr>
        <w:pStyle w:val="10"/>
        <w:kinsoku w:val="0"/>
        <w:overflowPunct w:val="0"/>
        <w:ind w:left="0" w:firstLine="880"/>
        <w:rPr>
          <w:sz w:val="44"/>
        </w:rPr>
      </w:pPr>
    </w:p>
    <w:p w14:paraId="78FC9C6D">
      <w:pPr>
        <w:pStyle w:val="10"/>
        <w:kinsoku w:val="0"/>
        <w:overflowPunct w:val="0"/>
        <w:ind w:left="0" w:firstLine="880"/>
        <w:rPr>
          <w:sz w:val="44"/>
        </w:rPr>
      </w:pPr>
    </w:p>
    <w:p w14:paraId="52D20547">
      <w:pPr>
        <w:pStyle w:val="10"/>
        <w:kinsoku w:val="0"/>
        <w:overflowPunct w:val="0"/>
        <w:ind w:left="0" w:firstLine="880"/>
        <w:rPr>
          <w:sz w:val="44"/>
        </w:rPr>
      </w:pPr>
    </w:p>
    <w:p w14:paraId="18A8684F">
      <w:pPr>
        <w:pStyle w:val="10"/>
        <w:kinsoku w:val="0"/>
        <w:overflowPunct w:val="0"/>
        <w:ind w:left="0" w:firstLine="880"/>
        <w:rPr>
          <w:sz w:val="44"/>
        </w:rPr>
      </w:pPr>
    </w:p>
    <w:p w14:paraId="771FDBDA">
      <w:pPr>
        <w:pStyle w:val="10"/>
        <w:kinsoku w:val="0"/>
        <w:overflowPunct w:val="0"/>
        <w:spacing w:before="240"/>
        <w:ind w:left="0" w:firstLine="820"/>
        <w:rPr>
          <w:sz w:val="41"/>
        </w:rPr>
      </w:pPr>
    </w:p>
    <w:p w14:paraId="3F849E50">
      <w:pPr>
        <w:pStyle w:val="10"/>
        <w:tabs>
          <w:tab w:val="left" w:pos="5577"/>
          <w:tab w:val="left" w:pos="6942"/>
        </w:tabs>
        <w:kinsoku w:val="0"/>
        <w:overflowPunct w:val="0"/>
        <w:spacing w:line="357" w:lineRule="auto"/>
        <w:ind w:left="1201" w:right="175" w:firstLine="560"/>
        <w:rPr>
          <w:spacing w:val="-1"/>
          <w:sz w:val="28"/>
        </w:rPr>
      </w:pPr>
      <w:r>
        <w:rPr>
          <w:sz w:val="28"/>
        </w:rPr>
        <w:t>投标人：</w:t>
      </w:r>
      <w:r>
        <w:rPr>
          <w:rFonts w:hint="eastAsia" w:ascii="Times New Roman" w:hAnsi="Times New Roman" w:eastAsia="Times New Roman"/>
          <w:sz w:val="28"/>
          <w:u w:val="single"/>
        </w:rPr>
        <w:tab/>
      </w:r>
      <w:r>
        <w:rPr>
          <w:rFonts w:hint="eastAsia" w:ascii="Times New Roman" w:hAnsi="Times New Roman" w:eastAsia="Times New Roman"/>
          <w:sz w:val="28"/>
          <w:u w:val="single"/>
        </w:rPr>
        <w:tab/>
      </w:r>
      <w:r>
        <w:rPr>
          <w:spacing w:val="-1"/>
          <w:sz w:val="28"/>
        </w:rPr>
        <w:t>（盖单位章）</w:t>
      </w:r>
      <w:r>
        <w:rPr>
          <w:spacing w:val="-136"/>
          <w:sz w:val="28"/>
        </w:rPr>
        <w:t xml:space="preserve"> </w:t>
      </w:r>
      <w:r>
        <w:rPr>
          <w:spacing w:val="-1"/>
          <w:sz w:val="28"/>
        </w:rPr>
        <w:t>法定代表人或其委托代理人：</w:t>
      </w:r>
      <w:r>
        <w:rPr>
          <w:rFonts w:hint="eastAsia" w:ascii="Times New Roman" w:hAnsi="Times New Roman" w:eastAsia="Times New Roman"/>
          <w:spacing w:val="-1"/>
          <w:sz w:val="28"/>
          <w:u w:val="single"/>
        </w:rPr>
        <w:tab/>
      </w:r>
      <w:r>
        <w:rPr>
          <w:spacing w:val="-1"/>
          <w:sz w:val="28"/>
        </w:rPr>
        <w:t>（签字）</w:t>
      </w:r>
    </w:p>
    <w:p w14:paraId="145C1F4B">
      <w:pPr>
        <w:pStyle w:val="10"/>
        <w:kinsoku w:val="0"/>
        <w:overflowPunct w:val="0"/>
        <w:spacing w:before="240"/>
        <w:ind w:left="0" w:firstLine="580"/>
        <w:rPr>
          <w:sz w:val="29"/>
        </w:rPr>
      </w:pPr>
    </w:p>
    <w:p w14:paraId="1512A8FB">
      <w:pPr>
        <w:pStyle w:val="10"/>
        <w:tabs>
          <w:tab w:val="left" w:pos="3611"/>
          <w:tab w:val="left" w:pos="4626"/>
          <w:tab w:val="left" w:pos="5642"/>
        </w:tabs>
        <w:kinsoku w:val="0"/>
        <w:overflowPunct w:val="0"/>
        <w:spacing w:before="240"/>
        <w:ind w:left="2877" w:right="175" w:firstLine="560"/>
        <w:rPr>
          <w:sz w:val="28"/>
        </w:rPr>
      </w:pPr>
      <w:r>
        <w:rPr>
          <w:rFonts w:hint="eastAsia" w:ascii="Times New Roman" w:hAnsi="Times New Roman" w:eastAsia="Times New Roman"/>
          <w:sz w:val="28"/>
          <w:u w:val="single"/>
        </w:rPr>
        <w:t xml:space="preserve"> </w:t>
      </w:r>
      <w:r>
        <w:rPr>
          <w:rFonts w:hint="eastAsia" w:ascii="Times New Roman" w:hAnsi="Times New Roman" w:eastAsia="Times New Roman"/>
          <w:sz w:val="28"/>
          <w:u w:val="single"/>
        </w:rPr>
        <w:tab/>
      </w:r>
      <w:r>
        <w:rPr>
          <w:sz w:val="28"/>
        </w:rPr>
        <w:t>年</w:t>
      </w:r>
      <w:r>
        <w:rPr>
          <w:rFonts w:hint="eastAsia" w:ascii="Times New Roman" w:hAnsi="Times New Roman" w:eastAsia="Times New Roman"/>
          <w:sz w:val="28"/>
          <w:u w:val="single"/>
        </w:rPr>
        <w:tab/>
      </w:r>
      <w:r>
        <w:rPr>
          <w:sz w:val="28"/>
        </w:rPr>
        <w:t>月</w:t>
      </w:r>
      <w:r>
        <w:rPr>
          <w:rFonts w:hint="eastAsia" w:ascii="Times New Roman" w:hAnsi="Times New Roman" w:eastAsia="Times New Roman"/>
          <w:sz w:val="28"/>
          <w:u w:val="single"/>
        </w:rPr>
        <w:tab/>
      </w:r>
      <w:r>
        <w:rPr>
          <w:sz w:val="28"/>
        </w:rPr>
        <w:t>日</w:t>
      </w:r>
    </w:p>
    <w:p w14:paraId="617F609A">
      <w:pPr>
        <w:pStyle w:val="10"/>
        <w:tabs>
          <w:tab w:val="left" w:pos="3611"/>
          <w:tab w:val="left" w:pos="4626"/>
          <w:tab w:val="left" w:pos="5642"/>
        </w:tabs>
        <w:kinsoku w:val="0"/>
        <w:overflowPunct w:val="0"/>
        <w:spacing w:before="240"/>
        <w:ind w:left="2877" w:right="175" w:firstLine="560"/>
        <w:rPr>
          <w:sz w:val="28"/>
        </w:rPr>
        <w:sectPr>
          <w:pgSz w:w="11905" w:h="16838"/>
          <w:pgMar w:top="1417" w:right="1417" w:bottom="1417" w:left="1417" w:header="992" w:footer="992" w:gutter="0"/>
          <w:cols w:space="720" w:num="1"/>
        </w:sectPr>
      </w:pPr>
    </w:p>
    <w:p w14:paraId="4C746EF9">
      <w:pPr>
        <w:pStyle w:val="10"/>
        <w:kinsoku w:val="0"/>
        <w:overflowPunct w:val="0"/>
        <w:spacing w:line="443" w:lineRule="exact"/>
        <w:ind w:left="1244" w:right="1222" w:firstLine="640"/>
        <w:jc w:val="center"/>
        <w:rPr>
          <w:rFonts w:ascii="Microsoft JhengHei" w:hAnsi="Microsoft JhengHei" w:eastAsia="Microsoft JhengHei"/>
          <w:sz w:val="32"/>
        </w:rPr>
      </w:pPr>
      <w:bookmarkStart w:id="160" w:name="bookmark175"/>
      <w:bookmarkEnd w:id="160"/>
      <w:r>
        <w:rPr>
          <w:rFonts w:hint="eastAsia" w:ascii="Microsoft JhengHei" w:hAnsi="Microsoft JhengHei" w:eastAsia="Microsoft JhengHei"/>
          <w:b/>
          <w:sz w:val="32"/>
        </w:rPr>
        <w:t>目录</w:t>
      </w:r>
    </w:p>
    <w:p w14:paraId="18A060DF">
      <w:pPr>
        <w:pStyle w:val="10"/>
        <w:kinsoku w:val="0"/>
        <w:overflowPunct w:val="0"/>
        <w:ind w:left="0" w:firstLine="400"/>
        <w:rPr>
          <w:rFonts w:ascii="Microsoft JhengHei" w:hAnsi="Microsoft JhengHei" w:eastAsia="Microsoft JhengHei"/>
          <w:b/>
          <w:sz w:val="20"/>
        </w:rPr>
      </w:pPr>
    </w:p>
    <w:p w14:paraId="121A4CF1">
      <w:pPr>
        <w:pStyle w:val="10"/>
        <w:kinsoku w:val="0"/>
        <w:overflowPunct w:val="0"/>
        <w:ind w:left="0" w:firstLine="400"/>
        <w:rPr>
          <w:rFonts w:ascii="Microsoft JhengHei" w:hAnsi="Microsoft JhengHei" w:eastAsia="Microsoft JhengHei"/>
          <w:b/>
          <w:sz w:val="20"/>
        </w:rPr>
      </w:pPr>
    </w:p>
    <w:p w14:paraId="3FE04A48">
      <w:pPr>
        <w:pStyle w:val="10"/>
        <w:kinsoku w:val="0"/>
        <w:overflowPunct w:val="0"/>
        <w:ind w:left="0" w:firstLine="400"/>
        <w:rPr>
          <w:rFonts w:ascii="Microsoft JhengHei" w:hAnsi="Microsoft JhengHei" w:eastAsia="Microsoft JhengHei"/>
          <w:b/>
          <w:sz w:val="20"/>
        </w:rPr>
      </w:pPr>
    </w:p>
    <w:p w14:paraId="38BA1F31">
      <w:pPr>
        <w:pStyle w:val="10"/>
        <w:kinsoku w:val="0"/>
        <w:overflowPunct w:val="0"/>
        <w:spacing w:before="240"/>
        <w:ind w:left="0"/>
        <w:rPr>
          <w:rFonts w:ascii="Microsoft JhengHei" w:hAnsi="Microsoft JhengHei" w:eastAsia="Microsoft JhengHei"/>
          <w:b/>
          <w:sz w:val="24"/>
        </w:rPr>
      </w:pPr>
    </w:p>
    <w:p w14:paraId="3BA7B52C">
      <w:pPr>
        <w:pStyle w:val="10"/>
        <w:kinsoku w:val="0"/>
        <w:overflowPunct w:val="0"/>
        <w:spacing w:before="240" w:line="472" w:lineRule="auto"/>
        <w:ind w:left="0" w:right="2650"/>
        <w:rPr>
          <w:sz w:val="24"/>
        </w:rPr>
      </w:pPr>
      <w:r>
        <w:rPr>
          <w:sz w:val="24"/>
        </w:rPr>
        <w:t>一、投标函及投标函附录</w:t>
      </w:r>
    </w:p>
    <w:p w14:paraId="425F907F">
      <w:pPr>
        <w:pStyle w:val="10"/>
        <w:kinsoku w:val="0"/>
        <w:overflowPunct w:val="0"/>
        <w:spacing w:before="240" w:line="472" w:lineRule="auto"/>
        <w:ind w:left="0" w:right="2650" w:firstLine="476"/>
        <w:rPr>
          <w:sz w:val="24"/>
        </w:rPr>
      </w:pPr>
      <w:r>
        <w:rPr>
          <w:spacing w:val="-2"/>
          <w:sz w:val="24"/>
        </w:rPr>
        <w:t>二、法定代表人身份证明</w:t>
      </w:r>
    </w:p>
    <w:p w14:paraId="18D92800">
      <w:pPr>
        <w:pStyle w:val="10"/>
        <w:kinsoku w:val="0"/>
        <w:overflowPunct w:val="0"/>
        <w:spacing w:before="240" w:line="472" w:lineRule="auto"/>
        <w:ind w:left="0" w:right="2650"/>
        <w:rPr>
          <w:sz w:val="24"/>
        </w:rPr>
      </w:pPr>
      <w:r>
        <w:rPr>
          <w:sz w:val="24"/>
        </w:rPr>
        <w:t>二、授权委托书（适用于有委托代理人的情况）</w:t>
      </w:r>
    </w:p>
    <w:p w14:paraId="37F0C2CD">
      <w:pPr>
        <w:pStyle w:val="10"/>
        <w:kinsoku w:val="0"/>
        <w:overflowPunct w:val="0"/>
        <w:spacing w:before="240" w:line="472" w:lineRule="auto"/>
        <w:ind w:left="0" w:right="2650"/>
        <w:rPr>
          <w:strike/>
          <w:sz w:val="24"/>
        </w:rPr>
      </w:pPr>
      <w:r>
        <w:rPr>
          <w:strike/>
          <w:sz w:val="24"/>
        </w:rPr>
        <w:t>三、联合体协议书（若有）</w:t>
      </w:r>
    </w:p>
    <w:p w14:paraId="17FCB30A">
      <w:pPr>
        <w:spacing w:line="360" w:lineRule="auto"/>
        <w:rPr>
          <w:rFonts w:ascii="宋体" w:hAnsi="宋体"/>
        </w:rPr>
      </w:pPr>
      <w:r>
        <w:rPr>
          <w:rFonts w:hint="eastAsia" w:ascii="宋体" w:hAnsi="宋体"/>
        </w:rPr>
        <w:t>四、</w:t>
      </w:r>
      <w:r>
        <w:rPr>
          <w:rFonts w:hint="eastAsia" w:ascii="宋体" w:hAnsi="宋体"/>
          <w:lang w:val="zh-CN"/>
        </w:rPr>
        <w:t>关于投标保证金的承诺</w:t>
      </w:r>
    </w:p>
    <w:p w14:paraId="15B7BAE4">
      <w:pPr>
        <w:pStyle w:val="10"/>
        <w:kinsoku w:val="0"/>
        <w:overflowPunct w:val="0"/>
        <w:spacing w:before="240" w:line="472" w:lineRule="auto"/>
        <w:ind w:left="0" w:right="6220" w:firstLine="476"/>
        <w:rPr>
          <w:strike/>
          <w:sz w:val="24"/>
        </w:rPr>
      </w:pPr>
      <w:r>
        <w:rPr>
          <w:strike/>
          <w:spacing w:val="-2"/>
          <w:sz w:val="24"/>
        </w:rPr>
        <w:t>五、监理报酬清单</w:t>
      </w:r>
    </w:p>
    <w:p w14:paraId="34B5838A">
      <w:pPr>
        <w:pStyle w:val="10"/>
        <w:kinsoku w:val="0"/>
        <w:overflowPunct w:val="0"/>
        <w:spacing w:before="240" w:line="472" w:lineRule="auto"/>
        <w:ind w:left="0" w:right="6220" w:firstLine="300"/>
        <w:rPr>
          <w:sz w:val="24"/>
        </w:rPr>
      </w:pPr>
      <w:r>
        <w:rPr>
          <w:spacing w:val="-90"/>
          <w:sz w:val="24"/>
        </w:rPr>
        <w:t xml:space="preserve"> </w:t>
      </w:r>
      <w:r>
        <w:rPr>
          <w:spacing w:val="-2"/>
          <w:sz w:val="24"/>
        </w:rPr>
        <w:t>六、资格审查资料</w:t>
      </w:r>
    </w:p>
    <w:p w14:paraId="65DFAB9F">
      <w:pPr>
        <w:pStyle w:val="10"/>
        <w:kinsoku w:val="0"/>
        <w:overflowPunct w:val="0"/>
        <w:spacing w:before="240" w:line="472" w:lineRule="auto"/>
        <w:ind w:left="0" w:right="6220" w:firstLine="300"/>
        <w:rPr>
          <w:sz w:val="24"/>
        </w:rPr>
      </w:pPr>
      <w:r>
        <w:rPr>
          <w:spacing w:val="-90"/>
          <w:sz w:val="24"/>
        </w:rPr>
        <w:t xml:space="preserve"> </w:t>
      </w:r>
      <w:r>
        <w:rPr>
          <w:sz w:val="24"/>
        </w:rPr>
        <w:t xml:space="preserve">七、监理大纲 </w:t>
      </w:r>
    </w:p>
    <w:p w14:paraId="4969AF91">
      <w:pPr>
        <w:pStyle w:val="10"/>
        <w:kinsoku w:val="0"/>
        <w:overflowPunct w:val="0"/>
        <w:spacing w:before="240" w:line="472" w:lineRule="auto"/>
        <w:ind w:left="0" w:right="6220"/>
        <w:rPr>
          <w:sz w:val="24"/>
        </w:rPr>
      </w:pPr>
      <w:r>
        <w:rPr>
          <w:sz w:val="24"/>
        </w:rPr>
        <w:t>八、其他资料</w:t>
      </w:r>
    </w:p>
    <w:p w14:paraId="707918E0">
      <w:pPr>
        <w:pStyle w:val="10"/>
        <w:kinsoku w:val="0"/>
        <w:overflowPunct w:val="0"/>
        <w:spacing w:before="240" w:line="472" w:lineRule="auto"/>
        <w:ind w:left="100" w:right="6220"/>
        <w:rPr>
          <w:sz w:val="24"/>
        </w:rPr>
        <w:sectPr>
          <w:pgSz w:w="11905" w:h="16838"/>
          <w:pgMar w:top="1417" w:right="1417" w:bottom="1417" w:left="1417" w:header="992" w:footer="992" w:gutter="0"/>
          <w:cols w:space="720" w:num="1"/>
        </w:sectPr>
      </w:pPr>
    </w:p>
    <w:p w14:paraId="03381CAB">
      <w:pPr>
        <w:pStyle w:val="4"/>
        <w:spacing w:before="120" w:after="120"/>
        <w:jc w:val="center"/>
        <w:rPr>
          <w:sz w:val="28"/>
        </w:rPr>
      </w:pPr>
      <w:bookmarkStart w:id="161" w:name="bookmark176"/>
      <w:bookmarkEnd w:id="161"/>
      <w:bookmarkStart w:id="162" w:name="_Toc5383"/>
      <w:r>
        <w:rPr>
          <w:sz w:val="28"/>
        </w:rPr>
        <w:t>一、投标函及投标函附录</w:t>
      </w:r>
      <w:bookmarkEnd w:id="162"/>
    </w:p>
    <w:p w14:paraId="38C7603B">
      <w:pPr>
        <w:pStyle w:val="5"/>
        <w:rPr>
          <w:b/>
        </w:rPr>
      </w:pPr>
      <w:bookmarkStart w:id="163" w:name="bookmark177"/>
      <w:bookmarkEnd w:id="163"/>
      <w:bookmarkStart w:id="164" w:name="_Toc9570"/>
      <w:r>
        <w:rPr>
          <w:b/>
        </w:rPr>
        <w:t>（一）投标函</w:t>
      </w:r>
      <w:bookmarkEnd w:id="164"/>
    </w:p>
    <w:p w14:paraId="247B835B">
      <w:pPr>
        <w:pStyle w:val="10"/>
        <w:kinsoku w:val="0"/>
        <w:overflowPunct w:val="0"/>
        <w:spacing w:before="240"/>
        <w:ind w:left="0" w:firstLine="460"/>
        <w:rPr>
          <w:sz w:val="23"/>
        </w:rPr>
      </w:pPr>
    </w:p>
    <w:p w14:paraId="091207F1">
      <w:pPr>
        <w:pStyle w:val="10"/>
        <w:tabs>
          <w:tab w:val="left" w:pos="1991"/>
        </w:tabs>
        <w:kinsoku w:val="0"/>
        <w:overflowPunct w:val="0"/>
        <w:ind w:left="100" w:right="113" w:firstLine="420"/>
        <w:rPr>
          <w:spacing w:val="-15"/>
        </w:rPr>
      </w:pPr>
      <w:r>
        <w:rPr>
          <w:rFonts w:hint="eastAsia" w:ascii="Times New Roman" w:hAnsi="Times New Roman" w:eastAsia="Times New Roman"/>
          <w:u w:val="single"/>
        </w:rPr>
        <w:t xml:space="preserve"> </w:t>
      </w:r>
      <w:r>
        <w:rPr>
          <w:rFonts w:hint="eastAsia" w:ascii="Times New Roman" w:hAnsi="Times New Roman" w:eastAsia="Times New Roman"/>
          <w:u w:val="single"/>
        </w:rPr>
        <w:tab/>
      </w:r>
      <w:r>
        <w:rPr>
          <w:spacing w:val="-15"/>
        </w:rPr>
        <w:t>（招标人名称）：</w:t>
      </w:r>
    </w:p>
    <w:p w14:paraId="6EC081B8">
      <w:pPr>
        <w:pStyle w:val="10"/>
        <w:kinsoku w:val="0"/>
        <w:overflowPunct w:val="0"/>
        <w:spacing w:before="240"/>
        <w:ind w:left="0" w:firstLine="420"/>
      </w:pPr>
    </w:p>
    <w:p w14:paraId="4B6C3913">
      <w:pPr>
        <w:autoSpaceDE/>
        <w:autoSpaceDN/>
        <w:adjustRightInd/>
        <w:spacing w:line="360" w:lineRule="auto"/>
        <w:ind w:firstLine="420" w:firstLineChars="200"/>
        <w:jc w:val="both"/>
        <w:rPr>
          <w:rFonts w:ascii="宋体" w:hAnsi="宋体" w:cs="宋体"/>
          <w:kern w:val="2"/>
          <w:sz w:val="21"/>
          <w:szCs w:val="21"/>
        </w:rPr>
      </w:pPr>
      <w:r>
        <w:rPr>
          <w:rFonts w:ascii="宋体" w:hAnsi="宋体" w:cs="宋体"/>
          <w:kern w:val="2"/>
          <w:sz w:val="21"/>
          <w:szCs w:val="21"/>
        </w:rPr>
        <w:t>1．我方已仔细研究了</w:t>
      </w:r>
      <w:r>
        <w:rPr>
          <w:rFonts w:ascii="宋体" w:hAnsi="宋体" w:cs="宋体"/>
          <w:kern w:val="2"/>
          <w:sz w:val="21"/>
          <w:szCs w:val="21"/>
          <w:u w:val="single"/>
        </w:rPr>
        <w:tab/>
      </w:r>
      <w:r>
        <w:rPr>
          <w:rFonts w:ascii="宋体" w:hAnsi="宋体" w:cs="宋体"/>
          <w:kern w:val="2"/>
          <w:sz w:val="21"/>
          <w:szCs w:val="21"/>
          <w:u w:val="single"/>
        </w:rPr>
        <w:tab/>
      </w:r>
      <w:r>
        <w:rPr>
          <w:rFonts w:ascii="宋体" w:hAnsi="宋体" w:cs="宋体"/>
          <w:kern w:val="2"/>
          <w:sz w:val="21"/>
          <w:szCs w:val="21"/>
          <w:u w:val="single"/>
        </w:rPr>
        <w:t xml:space="preserve">（项目名称）  </w:t>
      </w:r>
      <w:r>
        <w:rPr>
          <w:rFonts w:ascii="宋体" w:hAnsi="宋体" w:cs="宋体"/>
          <w:kern w:val="2"/>
          <w:sz w:val="21"/>
          <w:szCs w:val="21"/>
        </w:rPr>
        <w:t xml:space="preserve"> 招标项目招标文件的全部内容， 愿意以人民币（大写）</w:t>
      </w:r>
      <w:r>
        <w:rPr>
          <w:rFonts w:ascii="宋体" w:hAnsi="宋体" w:cs="宋体"/>
          <w:kern w:val="2"/>
          <w:sz w:val="21"/>
          <w:szCs w:val="21"/>
          <w:u w:val="single"/>
        </w:rPr>
        <w:tab/>
      </w:r>
      <w:r>
        <w:rPr>
          <w:rFonts w:ascii="宋体" w:hAnsi="宋体" w:cs="宋体"/>
          <w:kern w:val="2"/>
          <w:sz w:val="21"/>
          <w:szCs w:val="21"/>
          <w:u w:val="single"/>
        </w:rPr>
        <w:t xml:space="preserve">   </w:t>
      </w:r>
      <w:r>
        <w:rPr>
          <w:rFonts w:ascii="宋体" w:hAnsi="宋体" w:cs="宋体"/>
          <w:kern w:val="2"/>
          <w:sz w:val="21"/>
          <w:szCs w:val="21"/>
        </w:rPr>
        <w:t>（¥</w:t>
      </w:r>
      <w:r>
        <w:rPr>
          <w:rFonts w:ascii="宋体" w:hAnsi="宋体" w:cs="宋体"/>
          <w:kern w:val="2"/>
          <w:sz w:val="21"/>
          <w:szCs w:val="21"/>
          <w:u w:val="single"/>
        </w:rPr>
        <w:tab/>
      </w:r>
      <w:r>
        <w:rPr>
          <w:rFonts w:ascii="宋体" w:hAnsi="宋体" w:cs="宋体"/>
          <w:kern w:val="2"/>
          <w:sz w:val="21"/>
          <w:szCs w:val="21"/>
          <w:u w:val="single"/>
        </w:rPr>
        <w:tab/>
      </w:r>
      <w:r>
        <w:rPr>
          <w:rFonts w:ascii="宋体" w:hAnsi="宋体" w:cs="宋体"/>
          <w:kern w:val="2"/>
          <w:sz w:val="21"/>
          <w:szCs w:val="21"/>
        </w:rPr>
        <w:t>）的投标报价，监理服务期限：</w:t>
      </w:r>
      <w:r>
        <w:rPr>
          <w:rFonts w:ascii="宋体" w:hAnsi="宋体" w:cs="宋体"/>
          <w:kern w:val="2"/>
          <w:sz w:val="21"/>
          <w:szCs w:val="21"/>
          <w:u w:val="single"/>
        </w:rPr>
        <w:t xml:space="preserve">  按招标文件要求</w:t>
      </w:r>
      <w:r>
        <w:rPr>
          <w:rFonts w:hint="eastAsia" w:ascii="宋体" w:hAnsi="宋体" w:cs="宋体"/>
          <w:kern w:val="2"/>
          <w:sz w:val="21"/>
          <w:szCs w:val="21"/>
          <w:u w:val="single"/>
        </w:rPr>
        <w:t xml:space="preserve"> </w:t>
      </w:r>
      <w:r>
        <w:rPr>
          <w:rFonts w:ascii="宋体" w:hAnsi="宋体" w:cs="宋体"/>
          <w:kern w:val="2"/>
          <w:sz w:val="21"/>
          <w:szCs w:val="21"/>
        </w:rPr>
        <w:t>，按合同约定完成监理工作。</w:t>
      </w:r>
    </w:p>
    <w:p w14:paraId="010B0A26">
      <w:pPr>
        <w:autoSpaceDE/>
        <w:autoSpaceDN/>
        <w:adjustRightInd/>
        <w:spacing w:line="360" w:lineRule="auto"/>
        <w:ind w:firstLine="420" w:firstLineChars="200"/>
        <w:jc w:val="both"/>
        <w:rPr>
          <w:rFonts w:ascii="宋体" w:hAnsi="宋体" w:cs="宋体"/>
          <w:kern w:val="2"/>
          <w:sz w:val="21"/>
          <w:szCs w:val="21"/>
        </w:rPr>
      </w:pPr>
      <w:r>
        <w:rPr>
          <w:rFonts w:ascii="宋体" w:hAnsi="宋体" w:cs="宋体"/>
          <w:kern w:val="2"/>
          <w:sz w:val="21"/>
          <w:szCs w:val="21"/>
        </w:rPr>
        <w:t>2. 我方的投标文件包括下列内容：</w:t>
      </w:r>
    </w:p>
    <w:p w14:paraId="4439D94F">
      <w:pPr>
        <w:autoSpaceDE/>
        <w:autoSpaceDN/>
        <w:adjustRightInd/>
        <w:spacing w:line="360" w:lineRule="auto"/>
        <w:ind w:left="585" w:leftChars="200" w:hanging="105" w:hangingChars="50"/>
        <w:jc w:val="both"/>
        <w:rPr>
          <w:rFonts w:ascii="宋体" w:hAnsi="宋体" w:cs="宋体"/>
          <w:kern w:val="2"/>
          <w:sz w:val="21"/>
          <w:szCs w:val="21"/>
        </w:rPr>
      </w:pPr>
      <w:r>
        <w:rPr>
          <w:rFonts w:ascii="宋体" w:hAnsi="宋体" w:cs="宋体"/>
          <w:kern w:val="2"/>
          <w:sz w:val="21"/>
          <w:szCs w:val="21"/>
        </w:rPr>
        <w:t>（1）投标函及投标函附录；</w:t>
      </w:r>
    </w:p>
    <w:p w14:paraId="01EB77ED">
      <w:pPr>
        <w:autoSpaceDE/>
        <w:autoSpaceDN/>
        <w:adjustRightInd/>
        <w:spacing w:line="360" w:lineRule="auto"/>
        <w:ind w:left="585" w:leftChars="200" w:hanging="105" w:hangingChars="50"/>
        <w:jc w:val="both"/>
        <w:rPr>
          <w:rFonts w:ascii="宋体" w:hAnsi="宋体" w:cs="宋体"/>
          <w:kern w:val="2"/>
          <w:sz w:val="21"/>
          <w:szCs w:val="21"/>
        </w:rPr>
      </w:pPr>
      <w:r>
        <w:rPr>
          <w:rFonts w:ascii="宋体" w:hAnsi="宋体" w:cs="宋体"/>
          <w:kern w:val="2"/>
          <w:sz w:val="21"/>
          <w:szCs w:val="21"/>
        </w:rPr>
        <w:t>（2）法定代表人身份证明</w:t>
      </w:r>
      <w:r>
        <w:rPr>
          <w:rFonts w:ascii="宋体" w:hAnsi="宋体" w:cs="宋体"/>
          <w:spacing w:val="8"/>
          <w:sz w:val="21"/>
          <w:szCs w:val="21"/>
        </w:rPr>
        <w:t>或附有法定代表人身份证明的授权委托书</w:t>
      </w:r>
      <w:r>
        <w:rPr>
          <w:rFonts w:ascii="宋体" w:hAnsi="宋体" w:cs="宋体"/>
          <w:kern w:val="2"/>
          <w:sz w:val="21"/>
          <w:szCs w:val="21"/>
        </w:rPr>
        <w:t>；</w:t>
      </w:r>
    </w:p>
    <w:p w14:paraId="6C3A5750">
      <w:pPr>
        <w:autoSpaceDE/>
        <w:autoSpaceDN/>
        <w:adjustRightInd/>
        <w:spacing w:line="360" w:lineRule="auto"/>
        <w:ind w:left="585" w:leftChars="200" w:hanging="105" w:hangingChars="50"/>
        <w:jc w:val="both"/>
        <w:rPr>
          <w:rFonts w:ascii="宋体" w:hAnsi="宋体" w:cs="宋体"/>
          <w:strike/>
          <w:kern w:val="2"/>
          <w:sz w:val="21"/>
          <w:szCs w:val="21"/>
        </w:rPr>
      </w:pPr>
      <w:r>
        <w:rPr>
          <w:rFonts w:ascii="宋体" w:hAnsi="宋体" w:cs="宋体"/>
          <w:strike/>
          <w:kern w:val="2"/>
          <w:sz w:val="21"/>
          <w:szCs w:val="21"/>
        </w:rPr>
        <w:t>（3）联合体协议书（如有）；</w:t>
      </w:r>
    </w:p>
    <w:p w14:paraId="2F193A44">
      <w:pPr>
        <w:autoSpaceDE/>
        <w:autoSpaceDN/>
        <w:adjustRightInd/>
        <w:spacing w:line="360" w:lineRule="auto"/>
        <w:ind w:left="585" w:leftChars="200" w:hanging="105" w:hangingChars="50"/>
        <w:jc w:val="both"/>
        <w:rPr>
          <w:rFonts w:ascii="宋体" w:hAnsi="宋体" w:cs="宋体"/>
          <w:kern w:val="2"/>
          <w:sz w:val="21"/>
          <w:szCs w:val="21"/>
        </w:rPr>
      </w:pPr>
      <w:r>
        <w:rPr>
          <w:rFonts w:ascii="宋体" w:hAnsi="宋体" w:cs="宋体"/>
          <w:kern w:val="2"/>
          <w:sz w:val="21"/>
          <w:szCs w:val="21"/>
        </w:rPr>
        <w:t>（4）</w:t>
      </w:r>
      <w:r>
        <w:rPr>
          <w:rFonts w:ascii="宋体" w:hAnsi="宋体" w:cs="宋体"/>
          <w:kern w:val="2"/>
          <w:sz w:val="21"/>
          <w:szCs w:val="21"/>
          <w:u w:val="single"/>
        </w:rPr>
        <w:t>关于投标保证金的承诺</w:t>
      </w:r>
      <w:r>
        <w:rPr>
          <w:rFonts w:ascii="宋体" w:hAnsi="宋体" w:cs="宋体"/>
          <w:kern w:val="2"/>
          <w:sz w:val="21"/>
          <w:szCs w:val="21"/>
        </w:rPr>
        <w:t>；</w:t>
      </w:r>
    </w:p>
    <w:p w14:paraId="7B27E257">
      <w:pPr>
        <w:autoSpaceDE/>
        <w:autoSpaceDN/>
        <w:adjustRightInd/>
        <w:spacing w:line="360" w:lineRule="auto"/>
        <w:ind w:left="585" w:leftChars="200" w:hanging="105" w:hangingChars="50"/>
        <w:jc w:val="both"/>
        <w:rPr>
          <w:rFonts w:ascii="宋体" w:hAnsi="宋体" w:cs="宋体"/>
          <w:strike/>
          <w:kern w:val="2"/>
          <w:sz w:val="21"/>
          <w:szCs w:val="21"/>
        </w:rPr>
      </w:pPr>
      <w:r>
        <w:rPr>
          <w:rFonts w:ascii="宋体" w:hAnsi="宋体" w:cs="宋体"/>
          <w:strike/>
          <w:kern w:val="2"/>
          <w:sz w:val="21"/>
          <w:szCs w:val="21"/>
        </w:rPr>
        <w:t>（5）监理报酬清单；</w:t>
      </w:r>
    </w:p>
    <w:p w14:paraId="6077E9A1">
      <w:pPr>
        <w:autoSpaceDE/>
        <w:autoSpaceDN/>
        <w:adjustRightInd/>
        <w:spacing w:line="360" w:lineRule="auto"/>
        <w:ind w:left="585" w:leftChars="200" w:hanging="105" w:hangingChars="50"/>
        <w:jc w:val="both"/>
        <w:rPr>
          <w:rFonts w:ascii="宋体" w:hAnsi="宋体" w:cs="宋体"/>
          <w:kern w:val="2"/>
          <w:sz w:val="21"/>
          <w:szCs w:val="21"/>
        </w:rPr>
      </w:pPr>
      <w:r>
        <w:rPr>
          <w:rFonts w:ascii="宋体" w:hAnsi="宋体" w:cs="宋体"/>
          <w:kern w:val="2"/>
          <w:sz w:val="21"/>
          <w:szCs w:val="21"/>
        </w:rPr>
        <w:t>（6）资格审查资料；</w:t>
      </w:r>
    </w:p>
    <w:p w14:paraId="290F402F">
      <w:pPr>
        <w:autoSpaceDE/>
        <w:autoSpaceDN/>
        <w:adjustRightInd/>
        <w:spacing w:line="360" w:lineRule="auto"/>
        <w:ind w:left="585" w:leftChars="200" w:hanging="105" w:hangingChars="50"/>
        <w:jc w:val="both"/>
        <w:rPr>
          <w:rFonts w:ascii="宋体" w:hAnsi="宋体" w:cs="宋体"/>
          <w:kern w:val="2"/>
          <w:sz w:val="21"/>
          <w:szCs w:val="21"/>
        </w:rPr>
      </w:pPr>
      <w:r>
        <w:rPr>
          <w:rFonts w:ascii="宋体" w:hAnsi="宋体" w:cs="宋体"/>
          <w:kern w:val="2"/>
          <w:sz w:val="21"/>
          <w:szCs w:val="21"/>
        </w:rPr>
        <w:t>（7）监理大纲；</w:t>
      </w:r>
    </w:p>
    <w:p w14:paraId="7D0FF13A">
      <w:pPr>
        <w:autoSpaceDE/>
        <w:autoSpaceDN/>
        <w:adjustRightInd/>
        <w:spacing w:line="360" w:lineRule="auto"/>
        <w:ind w:left="585" w:leftChars="200" w:hanging="105" w:hangingChars="50"/>
        <w:rPr>
          <w:rFonts w:ascii="宋体" w:hAnsi="宋体" w:cs="宋体"/>
          <w:kern w:val="2"/>
          <w:sz w:val="21"/>
          <w:szCs w:val="21"/>
        </w:rPr>
      </w:pPr>
      <w:r>
        <w:rPr>
          <w:rFonts w:ascii="宋体" w:hAnsi="宋体" w:cs="宋体"/>
          <w:kern w:val="2"/>
          <w:sz w:val="21"/>
          <w:szCs w:val="21"/>
        </w:rPr>
        <w:t>（8）其他资料。</w:t>
      </w:r>
    </w:p>
    <w:p w14:paraId="7DC3D079">
      <w:pPr>
        <w:pStyle w:val="10"/>
        <w:kinsoku w:val="0"/>
        <w:overflowPunct w:val="0"/>
        <w:spacing w:line="360" w:lineRule="auto"/>
        <w:ind w:left="522" w:right="2132" w:firstLine="416"/>
        <w:rPr>
          <w:spacing w:val="-2"/>
        </w:rPr>
      </w:pPr>
      <w:r>
        <w:rPr>
          <w:spacing w:val="-2"/>
        </w:rPr>
        <w:t>投标文件的上述组成部分如存在内容不一致的，以投标函为准。</w:t>
      </w:r>
    </w:p>
    <w:p w14:paraId="7721916A">
      <w:pPr>
        <w:autoSpaceDE/>
        <w:autoSpaceDN/>
        <w:adjustRightInd/>
        <w:spacing w:line="360" w:lineRule="auto"/>
        <w:ind w:firstLine="420" w:firstLineChars="200"/>
        <w:jc w:val="both"/>
        <w:rPr>
          <w:rFonts w:ascii="宋体" w:hAnsi="宋体" w:cs="宋体"/>
          <w:kern w:val="2"/>
          <w:sz w:val="21"/>
          <w:szCs w:val="21"/>
        </w:rPr>
      </w:pPr>
      <w:r>
        <w:rPr>
          <w:rFonts w:ascii="宋体" w:hAnsi="宋体" w:cs="宋体"/>
          <w:kern w:val="2"/>
          <w:sz w:val="21"/>
          <w:szCs w:val="21"/>
        </w:rPr>
        <w:t>3．我方承诺在招标文件规定的投标有效期内不撤销投标文件。</w:t>
      </w:r>
    </w:p>
    <w:p w14:paraId="62A7E3CD">
      <w:pPr>
        <w:autoSpaceDE/>
        <w:autoSpaceDN/>
        <w:adjustRightInd/>
        <w:spacing w:line="360" w:lineRule="auto"/>
        <w:ind w:firstLine="420" w:firstLineChars="200"/>
        <w:jc w:val="both"/>
        <w:rPr>
          <w:rFonts w:ascii="宋体" w:hAnsi="宋体" w:cs="宋体"/>
          <w:kern w:val="2"/>
          <w:sz w:val="21"/>
          <w:szCs w:val="21"/>
        </w:rPr>
      </w:pPr>
      <w:r>
        <w:rPr>
          <w:rFonts w:ascii="宋体" w:hAnsi="宋体" w:cs="宋体"/>
          <w:kern w:val="2"/>
          <w:sz w:val="21"/>
          <w:szCs w:val="21"/>
        </w:rPr>
        <w:t>4．如我方中标，我方承诺：</w:t>
      </w:r>
    </w:p>
    <w:p w14:paraId="795EC6A3">
      <w:pPr>
        <w:autoSpaceDE/>
        <w:autoSpaceDN/>
        <w:adjustRightInd/>
        <w:spacing w:line="360" w:lineRule="auto"/>
        <w:ind w:left="585" w:leftChars="200" w:hanging="105" w:hangingChars="50"/>
        <w:jc w:val="both"/>
        <w:rPr>
          <w:rFonts w:ascii="宋体" w:hAnsi="宋体" w:cs="宋体"/>
          <w:kern w:val="2"/>
          <w:sz w:val="21"/>
          <w:szCs w:val="21"/>
        </w:rPr>
      </w:pPr>
      <w:r>
        <w:rPr>
          <w:rFonts w:ascii="宋体" w:hAnsi="宋体" w:cs="宋体"/>
          <w:kern w:val="2"/>
          <w:sz w:val="21"/>
          <w:szCs w:val="21"/>
        </w:rPr>
        <w:t>（1）在收到中标通知书后，在中标通知书规定的期限内与你方签订合同；</w:t>
      </w:r>
    </w:p>
    <w:p w14:paraId="2B87243B">
      <w:pPr>
        <w:autoSpaceDE/>
        <w:autoSpaceDN/>
        <w:adjustRightInd/>
        <w:spacing w:line="360" w:lineRule="auto"/>
        <w:ind w:left="585" w:leftChars="200" w:hanging="105" w:hangingChars="50"/>
        <w:jc w:val="both"/>
        <w:rPr>
          <w:rFonts w:ascii="宋体" w:hAnsi="宋体" w:cs="宋体"/>
          <w:kern w:val="2"/>
          <w:sz w:val="21"/>
          <w:szCs w:val="21"/>
        </w:rPr>
      </w:pPr>
      <w:r>
        <w:rPr>
          <w:rFonts w:ascii="宋体" w:hAnsi="宋体" w:cs="宋体"/>
          <w:kern w:val="2"/>
          <w:sz w:val="21"/>
          <w:szCs w:val="21"/>
        </w:rPr>
        <w:t>（2）在签订合同时不向你方提出附加条件；</w:t>
      </w:r>
    </w:p>
    <w:p w14:paraId="23D2C1EF">
      <w:pPr>
        <w:autoSpaceDE/>
        <w:autoSpaceDN/>
        <w:adjustRightInd/>
        <w:spacing w:line="360" w:lineRule="auto"/>
        <w:ind w:left="585" w:leftChars="200" w:hanging="105" w:hangingChars="50"/>
        <w:jc w:val="both"/>
        <w:rPr>
          <w:rFonts w:ascii="宋体" w:hAnsi="宋体" w:cs="宋体"/>
          <w:kern w:val="2"/>
          <w:sz w:val="21"/>
          <w:szCs w:val="21"/>
        </w:rPr>
      </w:pPr>
      <w:r>
        <w:rPr>
          <w:rFonts w:ascii="宋体" w:hAnsi="宋体" w:cs="宋体"/>
          <w:kern w:val="2"/>
          <w:sz w:val="21"/>
          <w:szCs w:val="21"/>
        </w:rPr>
        <w:t>（3）按照招标文件要求提交履约保证金；</w:t>
      </w:r>
    </w:p>
    <w:p w14:paraId="55CE80C3">
      <w:pPr>
        <w:autoSpaceDE/>
        <w:autoSpaceDN/>
        <w:adjustRightInd/>
        <w:spacing w:line="360" w:lineRule="auto"/>
        <w:ind w:left="585" w:leftChars="200" w:hanging="105" w:hangingChars="50"/>
        <w:jc w:val="both"/>
        <w:rPr>
          <w:rFonts w:ascii="宋体" w:hAnsi="宋体" w:cs="宋体"/>
          <w:kern w:val="2"/>
          <w:sz w:val="21"/>
          <w:szCs w:val="21"/>
        </w:rPr>
      </w:pPr>
      <w:r>
        <w:rPr>
          <w:rFonts w:ascii="宋体" w:hAnsi="宋体" w:cs="宋体"/>
          <w:kern w:val="2"/>
          <w:sz w:val="21"/>
          <w:szCs w:val="21"/>
        </w:rPr>
        <w:t>（4）在合同约定的期限内完成合同规定的全部义务。</w:t>
      </w:r>
    </w:p>
    <w:p w14:paraId="543ECE1E">
      <w:pPr>
        <w:autoSpaceDE/>
        <w:autoSpaceDN/>
        <w:adjustRightInd/>
        <w:spacing w:line="360" w:lineRule="auto"/>
        <w:ind w:firstLine="420" w:firstLineChars="200"/>
        <w:jc w:val="both"/>
        <w:rPr>
          <w:rFonts w:ascii="宋体" w:hAnsi="宋体" w:cs="宋体"/>
          <w:kern w:val="2"/>
          <w:sz w:val="21"/>
          <w:szCs w:val="21"/>
        </w:rPr>
      </w:pPr>
      <w:r>
        <w:rPr>
          <w:rFonts w:ascii="宋体" w:hAnsi="宋体" w:cs="宋体"/>
          <w:kern w:val="2"/>
          <w:sz w:val="21"/>
          <w:szCs w:val="21"/>
        </w:rPr>
        <w:t>5．我方在此声明，所递交的投标文件及有关资料内容完整、真实和准确，且不存在第二章 “投标人须知”第 1.4.3 项规定的任何一种情形。</w:t>
      </w:r>
    </w:p>
    <w:p w14:paraId="7FC1DF7F">
      <w:pPr>
        <w:autoSpaceDE/>
        <w:autoSpaceDN/>
        <w:adjustRightInd/>
        <w:spacing w:line="360" w:lineRule="auto"/>
        <w:ind w:firstLine="420" w:firstLineChars="200"/>
        <w:jc w:val="both"/>
        <w:rPr>
          <w:rFonts w:ascii="宋体" w:hAnsi="宋体" w:cs="宋体"/>
          <w:kern w:val="2"/>
          <w:sz w:val="21"/>
          <w:szCs w:val="21"/>
        </w:rPr>
      </w:pPr>
      <w:r>
        <w:rPr>
          <w:rFonts w:ascii="宋体" w:hAnsi="宋体" w:cs="宋体"/>
          <w:kern w:val="2"/>
          <w:sz w:val="21"/>
          <w:szCs w:val="21"/>
        </w:rPr>
        <w:t>6．</w:t>
      </w:r>
      <w:r>
        <w:rPr>
          <w:rFonts w:ascii="宋体" w:hAnsi="宋体" w:cs="宋体"/>
          <w:kern w:val="2"/>
          <w:sz w:val="21"/>
          <w:szCs w:val="21"/>
          <w:u w:val="single"/>
        </w:rPr>
        <w:tab/>
      </w:r>
      <w:r>
        <w:rPr>
          <w:rFonts w:ascii="宋体" w:hAnsi="宋体" w:cs="宋体"/>
          <w:kern w:val="2"/>
          <w:sz w:val="21"/>
          <w:szCs w:val="21"/>
        </w:rPr>
        <w:t>（其他补充说明）。</w:t>
      </w:r>
    </w:p>
    <w:p w14:paraId="06EB10DB">
      <w:pPr>
        <w:pStyle w:val="10"/>
        <w:tabs>
          <w:tab w:val="left" w:pos="7241"/>
        </w:tabs>
        <w:kinsoku w:val="0"/>
        <w:overflowPunct w:val="0"/>
        <w:spacing w:before="240" w:line="360" w:lineRule="auto"/>
        <w:ind w:left="2621" w:right="113" w:firstLine="1260" w:firstLineChars="600"/>
      </w:pPr>
    </w:p>
    <w:p w14:paraId="435A6F61">
      <w:pPr>
        <w:pStyle w:val="10"/>
        <w:tabs>
          <w:tab w:val="left" w:pos="7241"/>
        </w:tabs>
        <w:kinsoku w:val="0"/>
        <w:overflowPunct w:val="0"/>
        <w:spacing w:before="240"/>
        <w:ind w:left="2621" w:right="113" w:firstLine="1260" w:firstLineChars="600"/>
      </w:pPr>
      <w:r>
        <w:t>投 标</w:t>
      </w:r>
      <w:r>
        <w:rPr>
          <w:spacing w:val="-1"/>
        </w:rPr>
        <w:t xml:space="preserve"> </w:t>
      </w:r>
      <w:r>
        <w:t>人：</w:t>
      </w:r>
      <w:r>
        <w:rPr>
          <w:u w:val="single"/>
        </w:rPr>
        <w:t xml:space="preserve">                 </w:t>
      </w:r>
      <w:r>
        <w:rPr>
          <w:rFonts w:hAnsi="Times New Roman"/>
          <w:u w:val="single"/>
        </w:rPr>
        <w:t xml:space="preserve">       </w:t>
      </w:r>
      <w:r>
        <w:t>（盖单位章）</w:t>
      </w:r>
    </w:p>
    <w:p w14:paraId="75EDCA75">
      <w:pPr>
        <w:widowControl/>
        <w:kinsoku w:val="0"/>
        <w:snapToGrid w:val="0"/>
        <w:ind w:left="3840" w:leftChars="1600" w:right="253"/>
        <w:textAlignment w:val="baseline"/>
        <w:rPr>
          <w:rFonts w:ascii="宋体" w:hAnsi="宋体" w:cs="宋体"/>
          <w:spacing w:val="-4"/>
          <w:sz w:val="21"/>
          <w:szCs w:val="21"/>
        </w:rPr>
      </w:pPr>
      <w:r>
        <w:rPr>
          <w:rFonts w:ascii="宋体" w:hAnsi="宋体" w:cs="宋体"/>
          <w:spacing w:val="-8"/>
          <w:sz w:val="21"/>
          <w:szCs w:val="21"/>
        </w:rPr>
        <w:t>法定</w:t>
      </w:r>
      <w:r>
        <w:rPr>
          <w:rFonts w:ascii="宋体" w:hAnsi="宋体" w:cs="宋体"/>
          <w:spacing w:val="-4"/>
          <w:sz w:val="21"/>
          <w:szCs w:val="21"/>
        </w:rPr>
        <w:t>代表人：</w:t>
      </w:r>
      <w:r>
        <w:rPr>
          <w:rFonts w:ascii="宋体" w:hAnsi="宋体" w:cs="宋体"/>
          <w:spacing w:val="-4"/>
          <w:sz w:val="21"/>
          <w:szCs w:val="21"/>
          <w:u w:val="single"/>
        </w:rPr>
        <w:t xml:space="preserve">            </w:t>
      </w:r>
      <w:r>
        <w:rPr>
          <w:rFonts w:ascii="宋体" w:hAnsi="宋体" w:cs="宋体"/>
          <w:spacing w:val="-4"/>
          <w:sz w:val="21"/>
          <w:szCs w:val="21"/>
        </w:rPr>
        <w:t>(签字或盖章)</w:t>
      </w:r>
    </w:p>
    <w:p w14:paraId="750DB70B">
      <w:pPr>
        <w:widowControl/>
        <w:kinsoku w:val="0"/>
        <w:snapToGrid w:val="0"/>
        <w:ind w:left="3840" w:leftChars="1600" w:right="253"/>
        <w:textAlignment w:val="baseline"/>
        <w:rPr>
          <w:rFonts w:ascii="宋体" w:hAnsi="宋体" w:cs="宋体"/>
          <w:spacing w:val="-4"/>
          <w:sz w:val="21"/>
          <w:szCs w:val="21"/>
        </w:rPr>
      </w:pPr>
      <w:r>
        <w:rPr>
          <w:rFonts w:ascii="宋体" w:hAnsi="宋体" w:cs="宋体"/>
          <w:spacing w:val="-4"/>
          <w:sz w:val="21"/>
          <w:szCs w:val="21"/>
        </w:rPr>
        <w:t>委托代理人：</w:t>
      </w:r>
      <w:r>
        <w:rPr>
          <w:rFonts w:ascii="宋体" w:hAnsi="宋体" w:cs="宋体"/>
          <w:spacing w:val="-4"/>
          <w:sz w:val="21"/>
          <w:szCs w:val="21"/>
          <w:u w:val="single"/>
        </w:rPr>
        <w:t xml:space="preserve">            </w:t>
      </w:r>
      <w:r>
        <w:rPr>
          <w:rFonts w:ascii="宋体" w:hAnsi="宋体" w:cs="宋体"/>
          <w:spacing w:val="-4"/>
          <w:sz w:val="21"/>
          <w:szCs w:val="21"/>
        </w:rPr>
        <w:t>(签字)</w:t>
      </w:r>
    </w:p>
    <w:p w14:paraId="1BB81E90">
      <w:pPr>
        <w:pStyle w:val="33"/>
        <w:widowControl/>
        <w:kinsoku w:val="0"/>
        <w:snapToGrid w:val="0"/>
        <w:ind w:left="3840" w:leftChars="1600"/>
        <w:jc w:val="left"/>
        <w:textAlignment w:val="baseline"/>
        <w:rPr>
          <w:rFonts w:ascii="宋体" w:hAnsi="宋体" w:cs="宋体"/>
          <w:b w:val="0"/>
          <w:snapToGrid w:val="0"/>
          <w:spacing w:val="-4"/>
          <w:sz w:val="21"/>
          <w:szCs w:val="21"/>
        </w:rPr>
      </w:pPr>
      <w:r>
        <w:rPr>
          <w:rFonts w:ascii="宋体" w:hAnsi="宋体" w:cs="宋体"/>
          <w:b w:val="0"/>
          <w:snapToGrid w:val="0"/>
          <w:spacing w:val="-4"/>
          <w:sz w:val="21"/>
          <w:szCs w:val="21"/>
        </w:rPr>
        <w:t>项目负责人</w:t>
      </w:r>
      <w:r>
        <w:rPr>
          <w:rFonts w:hint="eastAsia" w:ascii="宋体" w:hAnsi="宋体" w:cs="宋体"/>
          <w:b w:val="0"/>
          <w:snapToGrid w:val="0"/>
          <w:spacing w:val="-4"/>
          <w:sz w:val="21"/>
          <w:szCs w:val="21"/>
        </w:rPr>
        <w:t>（总监理工程师）</w:t>
      </w:r>
      <w:r>
        <w:rPr>
          <w:rFonts w:ascii="宋体" w:hAnsi="宋体" w:cs="宋体"/>
          <w:b w:val="0"/>
          <w:snapToGrid w:val="0"/>
          <w:spacing w:val="-4"/>
          <w:sz w:val="21"/>
          <w:szCs w:val="21"/>
        </w:rPr>
        <w:t>：</w:t>
      </w:r>
      <w:r>
        <w:rPr>
          <w:rFonts w:ascii="宋体" w:hAnsi="宋体" w:cs="宋体"/>
          <w:spacing w:val="-4"/>
          <w:sz w:val="21"/>
          <w:szCs w:val="21"/>
          <w:u w:val="single"/>
        </w:rPr>
        <w:t xml:space="preserve">            </w:t>
      </w:r>
      <w:r>
        <w:rPr>
          <w:rFonts w:ascii="宋体" w:hAnsi="宋体" w:cs="宋体"/>
          <w:b w:val="0"/>
          <w:spacing w:val="-4"/>
          <w:sz w:val="21"/>
          <w:szCs w:val="21"/>
        </w:rPr>
        <w:t>(签字)</w:t>
      </w:r>
    </w:p>
    <w:p w14:paraId="5BAF074D">
      <w:pPr>
        <w:pStyle w:val="10"/>
        <w:tabs>
          <w:tab w:val="left" w:pos="3232"/>
          <w:tab w:val="left" w:pos="8529"/>
        </w:tabs>
        <w:kinsoku w:val="0"/>
        <w:overflowPunct w:val="0"/>
        <w:spacing w:before="240"/>
        <w:ind w:left="2601" w:firstLine="1260" w:firstLineChars="600"/>
        <w:rPr>
          <w:rFonts w:ascii="Times New Roman" w:hAnsi="Times New Roman" w:eastAsia="Times New Roman"/>
        </w:rPr>
      </w:pPr>
      <w:r>
        <w:t>地    址：</w:t>
      </w:r>
      <w:r>
        <w:rPr>
          <w:rFonts w:hint="eastAsia" w:ascii="Times New Roman" w:hAnsi="Times New Roman" w:eastAsia="Times New Roman"/>
          <w:u w:val="single"/>
        </w:rPr>
        <w:t xml:space="preserve"> </w:t>
      </w:r>
      <w:r>
        <w:rPr>
          <w:rFonts w:hAnsi="Times New Roman"/>
          <w:u w:val="single"/>
        </w:rPr>
        <w:t xml:space="preserve">                                                  </w:t>
      </w:r>
    </w:p>
    <w:p w14:paraId="11A27C0F">
      <w:pPr>
        <w:pStyle w:val="10"/>
        <w:tabs>
          <w:tab w:val="left" w:pos="3232"/>
          <w:tab w:val="left" w:pos="8529"/>
        </w:tabs>
        <w:kinsoku w:val="0"/>
        <w:overflowPunct w:val="0"/>
        <w:spacing w:before="240"/>
        <w:ind w:firstLine="3360" w:firstLineChars="1600"/>
        <w:rPr>
          <w:rFonts w:ascii="Times New Roman" w:hAnsi="Times New Roman" w:eastAsia="Times New Roman"/>
        </w:rPr>
      </w:pPr>
      <w:r>
        <w:t>网    址：</w:t>
      </w:r>
      <w:r>
        <w:rPr>
          <w:rFonts w:hint="eastAsia" w:ascii="Times New Roman" w:hAnsi="Times New Roman" w:eastAsia="Times New Roman"/>
          <w:u w:val="single"/>
        </w:rPr>
        <w:t xml:space="preserve"> </w:t>
      </w:r>
      <w:r>
        <w:rPr>
          <w:rFonts w:hAnsi="Times New Roman"/>
          <w:u w:val="single"/>
        </w:rPr>
        <w:t xml:space="preserve">                                                   </w:t>
      </w:r>
    </w:p>
    <w:p w14:paraId="01FD0E5F">
      <w:pPr>
        <w:pStyle w:val="10"/>
        <w:tabs>
          <w:tab w:val="left" w:pos="3232"/>
          <w:tab w:val="left" w:pos="8529"/>
        </w:tabs>
        <w:kinsoku w:val="0"/>
        <w:overflowPunct w:val="0"/>
        <w:spacing w:before="240"/>
        <w:ind w:firstLine="3360" w:firstLineChars="1600"/>
        <w:rPr>
          <w:rFonts w:ascii="Times New Roman" w:hAnsi="Times New Roman" w:eastAsia="Times New Roman"/>
          <w:u w:val="single"/>
        </w:rPr>
      </w:pPr>
      <w:r>
        <w:t>电    话：</w:t>
      </w:r>
      <w:r>
        <w:rPr>
          <w:u w:val="single"/>
        </w:rPr>
        <w:t xml:space="preserve">                          </w:t>
      </w:r>
    </w:p>
    <w:p w14:paraId="0B2854E6">
      <w:pPr>
        <w:pStyle w:val="10"/>
        <w:tabs>
          <w:tab w:val="left" w:pos="3232"/>
          <w:tab w:val="left" w:pos="8529"/>
        </w:tabs>
        <w:kinsoku w:val="0"/>
        <w:overflowPunct w:val="0"/>
        <w:spacing w:before="240"/>
        <w:ind w:firstLine="3360" w:firstLineChars="1600"/>
        <w:rPr>
          <w:rFonts w:ascii="Times New Roman" w:hAnsi="Times New Roman" w:eastAsia="Times New Roman"/>
          <w:u w:val="single"/>
        </w:rPr>
      </w:pPr>
      <w:r>
        <w:t>传    真：</w:t>
      </w:r>
      <w:r>
        <w:rPr>
          <w:u w:val="single"/>
        </w:rPr>
        <w:t xml:space="preserve">                          </w:t>
      </w:r>
    </w:p>
    <w:p w14:paraId="2D1090A6">
      <w:pPr>
        <w:pStyle w:val="10"/>
        <w:tabs>
          <w:tab w:val="left" w:pos="8529"/>
        </w:tabs>
        <w:kinsoku w:val="0"/>
        <w:overflowPunct w:val="0"/>
        <w:spacing w:before="240"/>
        <w:ind w:left="2601" w:firstLine="1260" w:firstLineChars="600"/>
        <w:rPr>
          <w:rFonts w:ascii="Times New Roman" w:hAnsi="Times New Roman" w:eastAsia="Times New Roman"/>
          <w:u w:val="single"/>
        </w:rPr>
      </w:pPr>
      <w:r>
        <w:t>邮政编码：</w:t>
      </w:r>
      <w:r>
        <w:rPr>
          <w:rFonts w:hint="eastAsia" w:ascii="Times New Roman" w:hAnsi="Times New Roman" w:eastAsia="Times New Roman"/>
          <w:u w:val="single"/>
        </w:rPr>
        <w:t xml:space="preserve"> </w:t>
      </w:r>
      <w:r>
        <w:rPr>
          <w:rFonts w:hAnsi="Times New Roman"/>
          <w:u w:val="single"/>
        </w:rPr>
        <w:t xml:space="preserve">                                                   </w:t>
      </w:r>
    </w:p>
    <w:p w14:paraId="6A0ED81B">
      <w:pPr>
        <w:pStyle w:val="10"/>
        <w:tabs>
          <w:tab w:val="left" w:pos="8529"/>
        </w:tabs>
        <w:kinsoku w:val="0"/>
        <w:overflowPunct w:val="0"/>
        <w:spacing w:before="240"/>
        <w:ind w:left="2601" w:firstLine="420"/>
        <w:rPr>
          <w:rFonts w:ascii="Times New Roman" w:hAnsi="Times New Roman" w:eastAsia="Times New Roman"/>
          <w:u w:val="single"/>
        </w:rPr>
      </w:pPr>
      <w:r>
        <w:rPr>
          <w:rFonts w:hAnsi="Times New Roman"/>
        </w:rPr>
        <w:t xml:space="preserve">                  </w:t>
      </w:r>
      <w:r>
        <w:rPr>
          <w:rFonts w:hAnsi="Times New Roman"/>
          <w:u w:val="single"/>
        </w:rPr>
        <w:t xml:space="preserve">       </w:t>
      </w:r>
      <w:r>
        <w:rPr>
          <w:rFonts w:hAnsi="Times New Roman"/>
        </w:rPr>
        <w:t>年</w:t>
      </w:r>
      <w:r>
        <w:rPr>
          <w:rFonts w:hAnsi="Times New Roman"/>
          <w:u w:val="single"/>
        </w:rPr>
        <w:t xml:space="preserve">       </w:t>
      </w:r>
      <w:r>
        <w:rPr>
          <w:rFonts w:hAnsi="Times New Roman"/>
        </w:rPr>
        <w:t>月</w:t>
      </w:r>
      <w:r>
        <w:rPr>
          <w:rFonts w:hAnsi="Times New Roman"/>
          <w:u w:val="single"/>
        </w:rPr>
        <w:t xml:space="preserve">      </w:t>
      </w:r>
      <w:r>
        <w:rPr>
          <w:rFonts w:hAnsi="Times New Roman"/>
        </w:rPr>
        <w:t>日</w:t>
      </w:r>
    </w:p>
    <w:p w14:paraId="5E836294">
      <w:pPr>
        <w:pStyle w:val="10"/>
        <w:tabs>
          <w:tab w:val="left" w:pos="631"/>
          <w:tab w:val="left" w:pos="1471"/>
          <w:tab w:val="left" w:pos="2311"/>
        </w:tabs>
        <w:kinsoku w:val="0"/>
        <w:overflowPunct w:val="0"/>
        <w:spacing w:before="240"/>
        <w:ind w:left="0" w:right="117" w:firstLine="420"/>
        <w:jc w:val="right"/>
        <w:sectPr>
          <w:footerReference r:id="rId11" w:type="default"/>
          <w:pgSz w:w="11905" w:h="16838"/>
          <w:pgMar w:top="1134" w:right="1417" w:bottom="1134" w:left="1417" w:header="992" w:footer="992" w:gutter="0"/>
          <w:cols w:space="720" w:num="1"/>
        </w:sectPr>
      </w:pPr>
    </w:p>
    <w:p w14:paraId="3C5FA19D">
      <w:pPr>
        <w:pStyle w:val="5"/>
        <w:rPr>
          <w:b/>
        </w:rPr>
      </w:pPr>
      <w:bookmarkStart w:id="165" w:name="bookmark178"/>
      <w:bookmarkEnd w:id="165"/>
      <w:bookmarkStart w:id="166" w:name="_Toc8767"/>
      <w:r>
        <w:rPr>
          <w:b/>
        </w:rPr>
        <w:t>（二）投标函附录</w:t>
      </w:r>
      <w:bookmarkEnd w:id="166"/>
    </w:p>
    <w:p w14:paraId="3992A1AB">
      <w:pPr>
        <w:pStyle w:val="10"/>
        <w:kinsoku w:val="0"/>
        <w:overflowPunct w:val="0"/>
        <w:ind w:left="0" w:firstLine="400"/>
        <w:rPr>
          <w:sz w:val="20"/>
        </w:rPr>
      </w:pPr>
    </w:p>
    <w:p w14:paraId="4A921507">
      <w:pPr>
        <w:pStyle w:val="10"/>
        <w:kinsoku w:val="0"/>
        <w:overflowPunct w:val="0"/>
        <w:spacing w:before="240"/>
        <w:ind w:left="0" w:firstLine="440"/>
        <w:rPr>
          <w:sz w:val="2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92"/>
        <w:gridCol w:w="5471"/>
        <w:gridCol w:w="978"/>
      </w:tblGrid>
      <w:tr w14:paraId="6686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2E62F1B4">
            <w:pPr>
              <w:jc w:val="center"/>
              <w:rPr>
                <w:rFonts w:ascii="宋体" w:hAnsi="宋体"/>
                <w:b/>
                <w:bCs/>
              </w:rPr>
            </w:pPr>
            <w:r>
              <w:rPr>
                <w:rFonts w:hint="eastAsia" w:ascii="宋体" w:hAnsi="宋体"/>
                <w:b/>
                <w:bCs/>
              </w:rPr>
              <w:t>序号</w:t>
            </w:r>
          </w:p>
        </w:tc>
        <w:tc>
          <w:tcPr>
            <w:tcW w:w="1692" w:type="dxa"/>
            <w:tcBorders>
              <w:top w:val="single" w:color="auto" w:sz="4" w:space="0"/>
              <w:left w:val="nil"/>
              <w:bottom w:val="single" w:color="auto" w:sz="4" w:space="0"/>
              <w:right w:val="single" w:color="auto" w:sz="4" w:space="0"/>
            </w:tcBorders>
            <w:vAlign w:val="center"/>
          </w:tcPr>
          <w:p w14:paraId="02E39B86">
            <w:pPr>
              <w:jc w:val="center"/>
              <w:rPr>
                <w:rFonts w:ascii="宋体" w:hAnsi="宋体"/>
                <w:b/>
                <w:bCs/>
              </w:rPr>
            </w:pPr>
            <w:r>
              <w:rPr>
                <w:rFonts w:hint="eastAsia" w:ascii="宋体" w:hAnsi="宋体"/>
                <w:b/>
                <w:bCs/>
              </w:rPr>
              <w:t>条款名称</w:t>
            </w:r>
          </w:p>
        </w:tc>
        <w:tc>
          <w:tcPr>
            <w:tcW w:w="5471" w:type="dxa"/>
            <w:tcBorders>
              <w:top w:val="single" w:color="auto" w:sz="4" w:space="0"/>
              <w:left w:val="nil"/>
              <w:bottom w:val="single" w:color="auto" w:sz="4" w:space="0"/>
              <w:right w:val="single" w:color="auto" w:sz="4" w:space="0"/>
            </w:tcBorders>
            <w:vAlign w:val="center"/>
          </w:tcPr>
          <w:p w14:paraId="17CCD3F4">
            <w:pPr>
              <w:jc w:val="center"/>
              <w:rPr>
                <w:rFonts w:ascii="宋体" w:hAnsi="宋体"/>
                <w:b/>
                <w:bCs/>
              </w:rPr>
            </w:pPr>
            <w:r>
              <w:rPr>
                <w:rFonts w:hint="eastAsia" w:ascii="宋体" w:hAnsi="宋体"/>
                <w:b/>
                <w:bCs/>
              </w:rPr>
              <w:t>约定内容</w:t>
            </w:r>
          </w:p>
        </w:tc>
        <w:tc>
          <w:tcPr>
            <w:tcW w:w="978" w:type="dxa"/>
            <w:tcBorders>
              <w:top w:val="single" w:color="auto" w:sz="4" w:space="0"/>
              <w:left w:val="nil"/>
              <w:bottom w:val="single" w:color="auto" w:sz="4" w:space="0"/>
              <w:right w:val="single" w:color="auto" w:sz="4" w:space="0"/>
            </w:tcBorders>
            <w:vAlign w:val="center"/>
          </w:tcPr>
          <w:p w14:paraId="47176EF7">
            <w:pPr>
              <w:jc w:val="center"/>
              <w:rPr>
                <w:rFonts w:ascii="宋体" w:hAnsi="宋体"/>
                <w:b/>
                <w:bCs/>
              </w:rPr>
            </w:pPr>
            <w:r>
              <w:rPr>
                <w:rFonts w:hint="eastAsia" w:ascii="宋体" w:hAnsi="宋体"/>
                <w:b/>
                <w:bCs/>
              </w:rPr>
              <w:t>备注</w:t>
            </w:r>
          </w:p>
        </w:tc>
      </w:tr>
      <w:tr w14:paraId="5974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6329484A">
            <w:pPr>
              <w:jc w:val="center"/>
              <w:rPr>
                <w:rFonts w:ascii="宋体" w:hAnsi="宋体"/>
              </w:rPr>
            </w:pPr>
            <w:r>
              <w:rPr>
                <w:rFonts w:hint="eastAsia" w:ascii="宋体" w:hAnsi="宋体"/>
              </w:rPr>
              <w:t>1</w:t>
            </w:r>
          </w:p>
        </w:tc>
        <w:tc>
          <w:tcPr>
            <w:tcW w:w="1692" w:type="dxa"/>
            <w:tcBorders>
              <w:top w:val="single" w:color="auto" w:sz="4" w:space="0"/>
              <w:left w:val="nil"/>
              <w:bottom w:val="single" w:color="auto" w:sz="4" w:space="0"/>
              <w:right w:val="single" w:color="auto" w:sz="4" w:space="0"/>
            </w:tcBorders>
            <w:vAlign w:val="center"/>
          </w:tcPr>
          <w:p w14:paraId="712EE271">
            <w:pPr>
              <w:jc w:val="center"/>
              <w:rPr>
                <w:rFonts w:ascii="宋体" w:hAnsi="宋体"/>
              </w:rPr>
            </w:pPr>
            <w:r>
              <w:rPr>
                <w:rFonts w:hint="eastAsia" w:ascii="宋体" w:hAnsi="宋体"/>
              </w:rPr>
              <w:t>总监理工程师</w:t>
            </w:r>
          </w:p>
        </w:tc>
        <w:tc>
          <w:tcPr>
            <w:tcW w:w="5471" w:type="dxa"/>
            <w:tcBorders>
              <w:top w:val="single" w:color="auto" w:sz="4" w:space="0"/>
              <w:left w:val="nil"/>
              <w:bottom w:val="single" w:color="auto" w:sz="4" w:space="0"/>
              <w:right w:val="single" w:color="auto" w:sz="4" w:space="0"/>
            </w:tcBorders>
            <w:vAlign w:val="center"/>
          </w:tcPr>
          <w:p w14:paraId="640F05BB">
            <w:pPr>
              <w:rPr>
                <w:rFonts w:ascii="宋体" w:hAnsi="宋体"/>
                <w:u w:val="single"/>
              </w:rPr>
            </w:pPr>
            <w:r>
              <w:rPr>
                <w:rFonts w:hint="eastAsia" w:ascii="宋体" w:hAnsi="宋体"/>
              </w:rPr>
              <w:t>姓名：</w:t>
            </w:r>
            <w:r>
              <w:rPr>
                <w:rFonts w:hint="eastAsia" w:ascii="宋体" w:hAnsi="宋体"/>
                <w:u w:val="single"/>
              </w:rPr>
              <w:t xml:space="preserve">               </w:t>
            </w:r>
          </w:p>
          <w:p w14:paraId="5FF9CC9C">
            <w:pPr>
              <w:rPr>
                <w:rFonts w:ascii="宋体" w:hAnsi="宋体"/>
              </w:rPr>
            </w:pPr>
            <w:r>
              <w:rPr>
                <w:rFonts w:hint="eastAsia" w:ascii="宋体" w:hAnsi="宋体"/>
              </w:rPr>
              <w:t>技术职称：</w:t>
            </w:r>
            <w:r>
              <w:rPr>
                <w:rFonts w:hint="eastAsia" w:ascii="宋体" w:hAnsi="宋体"/>
                <w:u w:val="single"/>
              </w:rPr>
              <w:t xml:space="preserve">           </w:t>
            </w:r>
          </w:p>
          <w:p w14:paraId="259F57C6">
            <w:pPr>
              <w:rPr>
                <w:rFonts w:ascii="宋体" w:hAnsi="宋体"/>
              </w:rPr>
            </w:pPr>
            <w:r>
              <w:rPr>
                <w:rFonts w:hint="eastAsia" w:ascii="宋体" w:hAnsi="宋体"/>
              </w:rPr>
              <w:t>注册证号：</w:t>
            </w:r>
            <w:r>
              <w:rPr>
                <w:rFonts w:hint="eastAsia" w:ascii="宋体" w:hAnsi="宋体"/>
                <w:u w:val="single"/>
              </w:rPr>
              <w:t xml:space="preserve">           </w:t>
            </w:r>
          </w:p>
        </w:tc>
        <w:tc>
          <w:tcPr>
            <w:tcW w:w="978" w:type="dxa"/>
            <w:tcBorders>
              <w:top w:val="single" w:color="auto" w:sz="4" w:space="0"/>
              <w:left w:val="nil"/>
              <w:bottom w:val="single" w:color="auto" w:sz="4" w:space="0"/>
              <w:right w:val="single" w:color="auto" w:sz="4" w:space="0"/>
            </w:tcBorders>
            <w:vAlign w:val="center"/>
          </w:tcPr>
          <w:p w14:paraId="1DBE9A26">
            <w:pPr>
              <w:jc w:val="center"/>
              <w:rPr>
                <w:rFonts w:ascii="宋体" w:hAnsi="宋体"/>
                <w:b/>
                <w:bCs/>
              </w:rPr>
            </w:pPr>
          </w:p>
        </w:tc>
      </w:tr>
      <w:tr w14:paraId="2BC7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DCA7DF2">
            <w:pPr>
              <w:jc w:val="center"/>
              <w:rPr>
                <w:rFonts w:ascii="宋体" w:hAnsi="宋体"/>
              </w:rPr>
            </w:pPr>
            <w:r>
              <w:rPr>
                <w:rFonts w:hint="eastAsia" w:ascii="宋体" w:hAnsi="宋体"/>
              </w:rPr>
              <w:t>2</w:t>
            </w:r>
          </w:p>
        </w:tc>
        <w:tc>
          <w:tcPr>
            <w:tcW w:w="1692" w:type="dxa"/>
            <w:tcBorders>
              <w:top w:val="single" w:color="auto" w:sz="4" w:space="0"/>
              <w:left w:val="nil"/>
              <w:bottom w:val="single" w:color="auto" w:sz="4" w:space="0"/>
              <w:right w:val="single" w:color="auto" w:sz="4" w:space="0"/>
            </w:tcBorders>
            <w:vAlign w:val="center"/>
          </w:tcPr>
          <w:p w14:paraId="33E2DAC1">
            <w:pPr>
              <w:jc w:val="center"/>
              <w:rPr>
                <w:rFonts w:ascii="宋体" w:hAnsi="宋体"/>
              </w:rPr>
            </w:pPr>
            <w:r>
              <w:rPr>
                <w:rFonts w:hint="eastAsia" w:ascii="宋体" w:hAnsi="宋体"/>
              </w:rPr>
              <w:t>工程监理服务期限</w:t>
            </w:r>
          </w:p>
        </w:tc>
        <w:tc>
          <w:tcPr>
            <w:tcW w:w="5471" w:type="dxa"/>
            <w:tcBorders>
              <w:top w:val="single" w:color="auto" w:sz="4" w:space="0"/>
              <w:left w:val="nil"/>
              <w:bottom w:val="single" w:color="auto" w:sz="4" w:space="0"/>
              <w:right w:val="single" w:color="auto" w:sz="4" w:space="0"/>
            </w:tcBorders>
            <w:vAlign w:val="center"/>
          </w:tcPr>
          <w:p w14:paraId="78591EAC">
            <w:pPr>
              <w:rPr>
                <w:rFonts w:ascii="宋体" w:hAnsi="宋体"/>
              </w:rPr>
            </w:pPr>
            <w:r>
              <w:rPr>
                <w:rFonts w:hint="eastAsia" w:ascii="宋体" w:hAnsi="宋体"/>
              </w:rPr>
              <w:t>按招标文件要求</w:t>
            </w:r>
          </w:p>
        </w:tc>
        <w:tc>
          <w:tcPr>
            <w:tcW w:w="978" w:type="dxa"/>
            <w:tcBorders>
              <w:top w:val="single" w:color="auto" w:sz="4" w:space="0"/>
              <w:left w:val="nil"/>
              <w:bottom w:val="single" w:color="auto" w:sz="4" w:space="0"/>
              <w:right w:val="single" w:color="auto" w:sz="4" w:space="0"/>
            </w:tcBorders>
            <w:vAlign w:val="center"/>
          </w:tcPr>
          <w:p w14:paraId="6087466B">
            <w:pPr>
              <w:jc w:val="center"/>
              <w:rPr>
                <w:rFonts w:ascii="宋体" w:hAnsi="宋体"/>
                <w:b/>
                <w:bCs/>
              </w:rPr>
            </w:pPr>
          </w:p>
        </w:tc>
      </w:tr>
      <w:tr w14:paraId="2C2F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56ED7710">
            <w:pPr>
              <w:jc w:val="center"/>
              <w:rPr>
                <w:rFonts w:ascii="宋体" w:hAnsi="宋体"/>
              </w:rPr>
            </w:pPr>
            <w:r>
              <w:rPr>
                <w:rFonts w:hint="eastAsia" w:ascii="宋体" w:hAnsi="宋体"/>
              </w:rPr>
              <w:t>3</w:t>
            </w:r>
          </w:p>
        </w:tc>
        <w:tc>
          <w:tcPr>
            <w:tcW w:w="1692" w:type="dxa"/>
            <w:tcBorders>
              <w:top w:val="single" w:color="auto" w:sz="4" w:space="0"/>
              <w:left w:val="nil"/>
              <w:bottom w:val="single" w:color="auto" w:sz="4" w:space="0"/>
              <w:right w:val="single" w:color="auto" w:sz="4" w:space="0"/>
            </w:tcBorders>
            <w:vAlign w:val="center"/>
          </w:tcPr>
          <w:p w14:paraId="3303B7D3">
            <w:pPr>
              <w:jc w:val="center"/>
              <w:rPr>
                <w:rFonts w:ascii="宋体" w:hAnsi="宋体"/>
              </w:rPr>
            </w:pPr>
            <w:r>
              <w:rPr>
                <w:rFonts w:hint="eastAsia" w:ascii="宋体" w:hAnsi="宋体"/>
              </w:rPr>
              <w:t>合同价款确定方式</w:t>
            </w:r>
          </w:p>
        </w:tc>
        <w:tc>
          <w:tcPr>
            <w:tcW w:w="5471" w:type="dxa"/>
            <w:tcBorders>
              <w:top w:val="single" w:color="auto" w:sz="4" w:space="0"/>
              <w:left w:val="nil"/>
              <w:bottom w:val="single" w:color="auto" w:sz="4" w:space="0"/>
              <w:right w:val="single" w:color="auto" w:sz="4" w:space="0"/>
            </w:tcBorders>
            <w:vAlign w:val="center"/>
          </w:tcPr>
          <w:p w14:paraId="544A805A">
            <w:pPr>
              <w:rPr>
                <w:rFonts w:ascii="宋体" w:hAnsi="宋体"/>
              </w:rPr>
            </w:pPr>
            <w:r>
              <w:rPr>
                <w:rFonts w:hint="eastAsia" w:ascii="宋体" w:hAnsi="宋体"/>
              </w:rPr>
              <w:t>按招标文件要求</w:t>
            </w:r>
          </w:p>
        </w:tc>
        <w:tc>
          <w:tcPr>
            <w:tcW w:w="978" w:type="dxa"/>
            <w:tcBorders>
              <w:top w:val="single" w:color="auto" w:sz="4" w:space="0"/>
              <w:left w:val="nil"/>
              <w:bottom w:val="single" w:color="auto" w:sz="4" w:space="0"/>
              <w:right w:val="single" w:color="auto" w:sz="4" w:space="0"/>
            </w:tcBorders>
            <w:vAlign w:val="center"/>
          </w:tcPr>
          <w:p w14:paraId="6C549FCE">
            <w:pPr>
              <w:jc w:val="center"/>
              <w:rPr>
                <w:rFonts w:ascii="宋体" w:hAnsi="宋体"/>
                <w:b/>
                <w:bCs/>
              </w:rPr>
            </w:pPr>
          </w:p>
        </w:tc>
      </w:tr>
      <w:tr w14:paraId="73B0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361118F">
            <w:pPr>
              <w:jc w:val="center"/>
              <w:rPr>
                <w:rFonts w:ascii="宋体" w:hAnsi="宋体"/>
              </w:rPr>
            </w:pPr>
            <w:r>
              <w:rPr>
                <w:rFonts w:hint="eastAsia" w:ascii="宋体" w:hAnsi="宋体"/>
              </w:rPr>
              <w:t>4</w:t>
            </w:r>
          </w:p>
        </w:tc>
        <w:tc>
          <w:tcPr>
            <w:tcW w:w="1692" w:type="dxa"/>
            <w:tcBorders>
              <w:top w:val="single" w:color="auto" w:sz="4" w:space="0"/>
              <w:left w:val="nil"/>
              <w:bottom w:val="single" w:color="auto" w:sz="4" w:space="0"/>
              <w:right w:val="single" w:color="auto" w:sz="4" w:space="0"/>
            </w:tcBorders>
            <w:vAlign w:val="center"/>
          </w:tcPr>
          <w:p w14:paraId="74013738">
            <w:pPr>
              <w:jc w:val="center"/>
              <w:rPr>
                <w:rFonts w:ascii="宋体" w:hAnsi="宋体"/>
              </w:rPr>
            </w:pPr>
            <w:r>
              <w:rPr>
                <w:rFonts w:hint="eastAsia" w:ascii="宋体" w:hAnsi="宋体"/>
              </w:rPr>
              <w:t>质量标准</w:t>
            </w:r>
          </w:p>
        </w:tc>
        <w:tc>
          <w:tcPr>
            <w:tcW w:w="5471" w:type="dxa"/>
            <w:tcBorders>
              <w:top w:val="single" w:color="auto" w:sz="4" w:space="0"/>
              <w:left w:val="nil"/>
              <w:bottom w:val="single" w:color="auto" w:sz="4" w:space="0"/>
              <w:right w:val="single" w:color="auto" w:sz="4" w:space="0"/>
            </w:tcBorders>
            <w:vAlign w:val="center"/>
          </w:tcPr>
          <w:p w14:paraId="08E96505">
            <w:pPr>
              <w:rPr>
                <w:rFonts w:ascii="宋体" w:hAnsi="宋体"/>
              </w:rPr>
            </w:pPr>
            <w:r>
              <w:rPr>
                <w:rFonts w:hint="eastAsia" w:ascii="宋体" w:hAnsi="宋体"/>
              </w:rPr>
              <w:t>合格</w:t>
            </w:r>
          </w:p>
        </w:tc>
        <w:tc>
          <w:tcPr>
            <w:tcW w:w="978" w:type="dxa"/>
            <w:tcBorders>
              <w:top w:val="single" w:color="auto" w:sz="4" w:space="0"/>
              <w:left w:val="nil"/>
              <w:bottom w:val="single" w:color="auto" w:sz="4" w:space="0"/>
              <w:right w:val="single" w:color="auto" w:sz="4" w:space="0"/>
            </w:tcBorders>
            <w:vAlign w:val="center"/>
          </w:tcPr>
          <w:p w14:paraId="12DD9565">
            <w:pPr>
              <w:jc w:val="center"/>
              <w:rPr>
                <w:rFonts w:ascii="宋体" w:hAnsi="宋体"/>
                <w:b/>
                <w:bCs/>
              </w:rPr>
            </w:pPr>
          </w:p>
        </w:tc>
      </w:tr>
      <w:tr w14:paraId="161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C9B8E50">
            <w:pPr>
              <w:jc w:val="center"/>
              <w:rPr>
                <w:rFonts w:ascii="宋体" w:hAnsi="宋体"/>
              </w:rPr>
            </w:pPr>
            <w:r>
              <w:rPr>
                <w:rFonts w:hint="eastAsia" w:ascii="宋体" w:hAnsi="宋体"/>
              </w:rPr>
              <w:t>5</w:t>
            </w:r>
          </w:p>
        </w:tc>
        <w:tc>
          <w:tcPr>
            <w:tcW w:w="1692" w:type="dxa"/>
            <w:tcBorders>
              <w:top w:val="single" w:color="auto" w:sz="4" w:space="0"/>
              <w:left w:val="nil"/>
              <w:bottom w:val="single" w:color="auto" w:sz="4" w:space="0"/>
              <w:right w:val="single" w:color="auto" w:sz="4" w:space="0"/>
            </w:tcBorders>
            <w:vAlign w:val="center"/>
          </w:tcPr>
          <w:p w14:paraId="3888D83D">
            <w:pPr>
              <w:jc w:val="center"/>
              <w:rPr>
                <w:rFonts w:ascii="宋体" w:hAnsi="宋体"/>
              </w:rPr>
            </w:pPr>
            <w:r>
              <w:rPr>
                <w:rFonts w:hint="eastAsia" w:ascii="宋体" w:hAnsi="宋体"/>
              </w:rPr>
              <w:t>暂定工程费（万元）</w:t>
            </w:r>
          </w:p>
        </w:tc>
        <w:tc>
          <w:tcPr>
            <w:tcW w:w="5471" w:type="dxa"/>
            <w:tcBorders>
              <w:top w:val="single" w:color="auto" w:sz="4" w:space="0"/>
              <w:left w:val="nil"/>
              <w:bottom w:val="single" w:color="auto" w:sz="4" w:space="0"/>
              <w:right w:val="single" w:color="auto" w:sz="4" w:space="0"/>
            </w:tcBorders>
            <w:vAlign w:val="center"/>
          </w:tcPr>
          <w:p w14:paraId="3E98BBFF">
            <w:pPr>
              <w:jc w:val="center"/>
              <w:rPr>
                <w:rFonts w:ascii="宋体" w:hAnsi="宋体"/>
              </w:rPr>
            </w:pPr>
            <w:r>
              <w:rPr>
                <w:rFonts w:hint="eastAsia" w:ascii="宋体" w:hAnsi="宋体"/>
              </w:rPr>
              <w:t xml:space="preserve">        万元</w:t>
            </w:r>
          </w:p>
        </w:tc>
        <w:tc>
          <w:tcPr>
            <w:tcW w:w="978" w:type="dxa"/>
            <w:tcBorders>
              <w:top w:val="single" w:color="auto" w:sz="4" w:space="0"/>
              <w:left w:val="nil"/>
              <w:bottom w:val="single" w:color="auto" w:sz="4" w:space="0"/>
              <w:right w:val="single" w:color="auto" w:sz="4" w:space="0"/>
            </w:tcBorders>
            <w:vAlign w:val="center"/>
          </w:tcPr>
          <w:p w14:paraId="779EFE7E">
            <w:pPr>
              <w:jc w:val="center"/>
              <w:rPr>
                <w:rFonts w:ascii="宋体" w:hAnsi="宋体"/>
                <w:b/>
                <w:bCs/>
              </w:rPr>
            </w:pPr>
          </w:p>
        </w:tc>
      </w:tr>
      <w:tr w14:paraId="18E2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7" w:type="dxa"/>
            <w:tcBorders>
              <w:top w:val="single" w:color="auto" w:sz="4" w:space="0"/>
              <w:left w:val="single" w:color="auto" w:sz="4" w:space="0"/>
              <w:right w:val="single" w:color="auto" w:sz="4" w:space="0"/>
            </w:tcBorders>
            <w:vAlign w:val="center"/>
          </w:tcPr>
          <w:p w14:paraId="1E42DAFB">
            <w:pPr>
              <w:jc w:val="center"/>
              <w:rPr>
                <w:rFonts w:ascii="宋体" w:hAnsi="宋体"/>
              </w:rPr>
            </w:pPr>
            <w:r>
              <w:rPr>
                <w:rFonts w:hint="eastAsia" w:ascii="宋体" w:hAnsi="宋体"/>
              </w:rPr>
              <w:t>6</w:t>
            </w:r>
          </w:p>
        </w:tc>
        <w:tc>
          <w:tcPr>
            <w:tcW w:w="1692" w:type="dxa"/>
            <w:tcBorders>
              <w:top w:val="single" w:color="auto" w:sz="4" w:space="0"/>
              <w:left w:val="nil"/>
              <w:right w:val="single" w:color="auto" w:sz="4" w:space="0"/>
            </w:tcBorders>
            <w:vAlign w:val="center"/>
          </w:tcPr>
          <w:p w14:paraId="1A4518E3">
            <w:pPr>
              <w:jc w:val="center"/>
              <w:rPr>
                <w:rFonts w:ascii="宋体" w:hAnsi="宋体"/>
              </w:rPr>
            </w:pPr>
            <w:r>
              <w:rPr>
                <w:rFonts w:hint="eastAsia" w:ascii="宋体" w:hAnsi="宋体"/>
              </w:rPr>
              <w:t>投标报价</w:t>
            </w:r>
          </w:p>
          <w:p w14:paraId="37821C11">
            <w:pPr>
              <w:jc w:val="center"/>
              <w:rPr>
                <w:rFonts w:ascii="宋体" w:hAnsi="宋体"/>
              </w:rPr>
            </w:pPr>
            <w:r>
              <w:rPr>
                <w:rFonts w:hint="eastAsia" w:ascii="宋体" w:hAnsi="宋体"/>
              </w:rPr>
              <w:t>（元）</w:t>
            </w:r>
          </w:p>
        </w:tc>
        <w:tc>
          <w:tcPr>
            <w:tcW w:w="5471" w:type="dxa"/>
            <w:tcBorders>
              <w:top w:val="single" w:color="auto" w:sz="4" w:space="0"/>
              <w:left w:val="nil"/>
              <w:right w:val="single" w:color="auto" w:sz="4" w:space="0"/>
            </w:tcBorders>
            <w:vAlign w:val="center"/>
          </w:tcPr>
          <w:p w14:paraId="58E6A8AD">
            <w:pPr>
              <w:rPr>
                <w:rFonts w:ascii="宋体" w:hAnsi="宋体"/>
              </w:rPr>
            </w:pPr>
          </w:p>
          <w:p w14:paraId="52A24AEC">
            <w:pPr>
              <w:rPr>
                <w:rFonts w:ascii="宋体" w:hAnsi="宋体"/>
              </w:rPr>
            </w:pPr>
            <w:r>
              <w:rPr>
                <w:rFonts w:hint="eastAsia" w:ascii="宋体" w:hAnsi="宋体"/>
              </w:rPr>
              <w:t>人民币：（小写）</w:t>
            </w:r>
            <w:r>
              <w:rPr>
                <w:rFonts w:hint="eastAsia" w:ascii="宋体" w:hAnsi="宋体"/>
                <w:u w:val="single"/>
              </w:rPr>
              <w:t xml:space="preserve">             </w:t>
            </w:r>
            <w:r>
              <w:rPr>
                <w:rFonts w:hint="eastAsia" w:ascii="宋体" w:hAnsi="宋体"/>
              </w:rPr>
              <w:t>元。</w:t>
            </w:r>
          </w:p>
          <w:p w14:paraId="554DF986">
            <w:pPr>
              <w:rPr>
                <w:rFonts w:ascii="宋体" w:hAnsi="宋体" w:cs="宋体"/>
              </w:rPr>
            </w:pPr>
            <w:r>
              <w:rPr>
                <w:rFonts w:hint="eastAsia" w:ascii="宋体" w:hAnsi="宋体"/>
              </w:rPr>
              <w:t>人民币：（大写）</w:t>
            </w:r>
            <w:r>
              <w:rPr>
                <w:rFonts w:hint="eastAsia" w:ascii="宋体" w:hAnsi="宋体"/>
                <w:u w:val="single"/>
              </w:rPr>
              <w:t xml:space="preserve">                         </w:t>
            </w:r>
            <w:r>
              <w:rPr>
                <w:rFonts w:hint="eastAsia" w:ascii="宋体" w:hAnsi="宋体"/>
              </w:rPr>
              <w:t>。</w:t>
            </w:r>
          </w:p>
        </w:tc>
        <w:tc>
          <w:tcPr>
            <w:tcW w:w="978" w:type="dxa"/>
            <w:tcBorders>
              <w:top w:val="single" w:color="auto" w:sz="4" w:space="0"/>
              <w:left w:val="nil"/>
              <w:bottom w:val="single" w:color="auto" w:sz="4" w:space="0"/>
              <w:right w:val="single" w:color="auto" w:sz="4" w:space="0"/>
            </w:tcBorders>
            <w:vAlign w:val="center"/>
          </w:tcPr>
          <w:p w14:paraId="19EC825A">
            <w:pPr>
              <w:jc w:val="center"/>
              <w:rPr>
                <w:rFonts w:ascii="宋体" w:hAnsi="宋体"/>
                <w:b/>
                <w:bCs/>
              </w:rPr>
            </w:pPr>
          </w:p>
        </w:tc>
      </w:tr>
      <w:tr w14:paraId="1EEB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7" w:type="dxa"/>
            <w:tcBorders>
              <w:top w:val="single" w:color="auto" w:sz="4" w:space="0"/>
              <w:left w:val="single" w:color="auto" w:sz="4" w:space="0"/>
              <w:right w:val="single" w:color="auto" w:sz="4" w:space="0"/>
            </w:tcBorders>
            <w:vAlign w:val="center"/>
          </w:tcPr>
          <w:p w14:paraId="7299A104">
            <w:pPr>
              <w:spacing w:line="480" w:lineRule="exact"/>
              <w:jc w:val="center"/>
              <w:rPr>
                <w:rFonts w:ascii="宋体" w:hAnsi="宋体"/>
              </w:rPr>
            </w:pPr>
            <w:r>
              <w:rPr>
                <w:rFonts w:hint="eastAsia" w:ascii="宋体" w:hAnsi="宋体"/>
              </w:rPr>
              <w:t>7</w:t>
            </w:r>
          </w:p>
        </w:tc>
        <w:tc>
          <w:tcPr>
            <w:tcW w:w="1692" w:type="dxa"/>
            <w:tcBorders>
              <w:top w:val="single" w:color="auto" w:sz="4" w:space="0"/>
              <w:left w:val="nil"/>
              <w:right w:val="single" w:color="auto" w:sz="4" w:space="0"/>
            </w:tcBorders>
            <w:vAlign w:val="center"/>
          </w:tcPr>
          <w:p w14:paraId="604505D0">
            <w:pPr>
              <w:jc w:val="center"/>
              <w:rPr>
                <w:rFonts w:ascii="宋体" w:hAnsi="宋体"/>
              </w:rPr>
            </w:pPr>
            <w:r>
              <w:rPr>
                <w:rFonts w:hint="eastAsia" w:ascii="宋体" w:hAnsi="宋体"/>
              </w:rPr>
              <w:t>监理费投标下浮率（%）</w:t>
            </w:r>
          </w:p>
        </w:tc>
        <w:tc>
          <w:tcPr>
            <w:tcW w:w="5471" w:type="dxa"/>
            <w:tcBorders>
              <w:top w:val="single" w:color="auto" w:sz="4" w:space="0"/>
              <w:left w:val="nil"/>
              <w:right w:val="single" w:color="auto" w:sz="4" w:space="0"/>
            </w:tcBorders>
            <w:vAlign w:val="center"/>
          </w:tcPr>
          <w:p w14:paraId="45024DB4">
            <w:pPr>
              <w:rPr>
                <w:rFonts w:ascii="宋体" w:hAnsi="宋体"/>
              </w:rPr>
            </w:pPr>
            <w:r>
              <w:rPr>
                <w:rFonts w:hint="eastAsia" w:ascii="宋体" w:hAnsi="宋体"/>
              </w:rPr>
              <w:t>监理费投标下浮率（%)：</w:t>
            </w:r>
          </w:p>
        </w:tc>
        <w:tc>
          <w:tcPr>
            <w:tcW w:w="978" w:type="dxa"/>
            <w:tcBorders>
              <w:top w:val="single" w:color="auto" w:sz="4" w:space="0"/>
              <w:left w:val="nil"/>
              <w:bottom w:val="single" w:color="auto" w:sz="4" w:space="0"/>
              <w:right w:val="single" w:color="auto" w:sz="4" w:space="0"/>
            </w:tcBorders>
            <w:vAlign w:val="center"/>
          </w:tcPr>
          <w:p w14:paraId="3AECEA2C">
            <w:pPr>
              <w:jc w:val="center"/>
              <w:rPr>
                <w:rFonts w:ascii="宋体" w:hAnsi="宋体"/>
                <w:b/>
                <w:bCs/>
              </w:rPr>
            </w:pPr>
          </w:p>
        </w:tc>
      </w:tr>
      <w:tr w14:paraId="3B41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5C1D5098">
            <w:pPr>
              <w:spacing w:line="480" w:lineRule="exact"/>
              <w:jc w:val="center"/>
              <w:rPr>
                <w:rFonts w:ascii="宋体" w:hAnsi="宋体"/>
              </w:rPr>
            </w:pPr>
            <w:r>
              <w:rPr>
                <w:rFonts w:hint="eastAsia" w:ascii="宋体" w:hAnsi="宋体"/>
              </w:rPr>
              <w:t>8</w:t>
            </w:r>
          </w:p>
        </w:tc>
        <w:tc>
          <w:tcPr>
            <w:tcW w:w="1692" w:type="dxa"/>
            <w:tcBorders>
              <w:top w:val="single" w:color="auto" w:sz="4" w:space="0"/>
              <w:left w:val="nil"/>
              <w:bottom w:val="single" w:color="auto" w:sz="4" w:space="0"/>
              <w:right w:val="single" w:color="auto" w:sz="4" w:space="0"/>
            </w:tcBorders>
            <w:vAlign w:val="center"/>
          </w:tcPr>
          <w:p w14:paraId="69162BF7">
            <w:pPr>
              <w:spacing w:line="480" w:lineRule="exact"/>
              <w:rPr>
                <w:rFonts w:ascii="宋体" w:hAnsi="宋体"/>
              </w:rPr>
            </w:pPr>
            <w:r>
              <w:rPr>
                <w:rFonts w:hint="eastAsia" w:ascii="宋体" w:hAnsi="宋体"/>
              </w:rPr>
              <w:t>投标有效期</w:t>
            </w:r>
          </w:p>
        </w:tc>
        <w:tc>
          <w:tcPr>
            <w:tcW w:w="5471" w:type="dxa"/>
            <w:tcBorders>
              <w:top w:val="single" w:color="auto" w:sz="4" w:space="0"/>
              <w:left w:val="nil"/>
              <w:bottom w:val="single" w:color="auto" w:sz="4" w:space="0"/>
              <w:right w:val="single" w:color="auto" w:sz="4" w:space="0"/>
            </w:tcBorders>
            <w:vAlign w:val="center"/>
          </w:tcPr>
          <w:p w14:paraId="10DC3A98">
            <w:pPr>
              <w:spacing w:line="480" w:lineRule="exact"/>
              <w:rPr>
                <w:rFonts w:ascii="宋体" w:hAnsi="宋体"/>
              </w:rPr>
            </w:pPr>
            <w:r>
              <w:rPr>
                <w:rFonts w:hint="eastAsia" w:ascii="宋体" w:hAnsi="宋体"/>
              </w:rPr>
              <w:t>按招标文件要求</w:t>
            </w:r>
          </w:p>
        </w:tc>
        <w:tc>
          <w:tcPr>
            <w:tcW w:w="978" w:type="dxa"/>
            <w:tcBorders>
              <w:top w:val="single" w:color="auto" w:sz="4" w:space="0"/>
              <w:left w:val="nil"/>
              <w:bottom w:val="single" w:color="auto" w:sz="4" w:space="0"/>
              <w:right w:val="single" w:color="auto" w:sz="4" w:space="0"/>
            </w:tcBorders>
            <w:vAlign w:val="center"/>
          </w:tcPr>
          <w:p w14:paraId="7E7A5B40">
            <w:pPr>
              <w:spacing w:line="480" w:lineRule="exact"/>
              <w:jc w:val="center"/>
              <w:rPr>
                <w:rFonts w:ascii="宋体" w:hAnsi="宋体"/>
                <w:b/>
                <w:bCs/>
              </w:rPr>
            </w:pPr>
          </w:p>
        </w:tc>
      </w:tr>
    </w:tbl>
    <w:p w14:paraId="46B4D6BB">
      <w:pPr>
        <w:spacing w:line="480" w:lineRule="exact"/>
        <w:rPr>
          <w:rFonts w:ascii="宋体" w:hAnsi="宋体"/>
        </w:rPr>
      </w:pPr>
      <w:r>
        <w:rPr>
          <w:rFonts w:hint="eastAsia" w:ascii="宋体" w:hAnsi="宋体"/>
        </w:rPr>
        <w:t>注：</w:t>
      </w:r>
    </w:p>
    <w:p w14:paraId="4CE447F9">
      <w:pPr>
        <w:spacing w:line="480" w:lineRule="exact"/>
        <w:rPr>
          <w:rFonts w:ascii="宋体" w:hAnsi="宋体"/>
        </w:rPr>
      </w:pPr>
      <w:r>
        <w:rPr>
          <w:rFonts w:hint="eastAsia" w:ascii="宋体" w:hAnsi="宋体"/>
        </w:rPr>
        <w:t>1.监理费下浮率=（最高投标限价-投标报价）/最高投标限价*100%（以%为单位，精确到小数点后2位）。</w:t>
      </w:r>
    </w:p>
    <w:p w14:paraId="77D8861B">
      <w:pPr>
        <w:spacing w:line="480" w:lineRule="exact"/>
        <w:rPr>
          <w:rFonts w:ascii="宋体" w:hAnsi="宋体"/>
        </w:rPr>
      </w:pPr>
      <w:r>
        <w:rPr>
          <w:rFonts w:hint="eastAsia" w:ascii="宋体" w:hAnsi="宋体"/>
        </w:rPr>
        <w:t>2.监理费下浮率填报为正数，投标报价填报保留小数点后2位。</w:t>
      </w:r>
    </w:p>
    <w:p w14:paraId="496269C5">
      <w:pPr>
        <w:spacing w:line="480" w:lineRule="exact"/>
        <w:rPr>
          <w:rFonts w:ascii="宋体" w:hAnsi="宋体"/>
        </w:rPr>
      </w:pPr>
    </w:p>
    <w:p w14:paraId="715FCC43">
      <w:pPr>
        <w:pStyle w:val="10"/>
        <w:kinsoku w:val="0"/>
        <w:overflowPunct w:val="0"/>
        <w:ind w:left="0" w:firstLine="380"/>
        <w:rPr>
          <w:sz w:val="19"/>
        </w:rPr>
      </w:pPr>
    </w:p>
    <w:p w14:paraId="5AE5819B">
      <w:pPr>
        <w:pStyle w:val="10"/>
        <w:kinsoku w:val="0"/>
        <w:overflowPunct w:val="0"/>
        <w:spacing w:before="240"/>
        <w:ind w:left="0"/>
        <w:rPr>
          <w:sz w:val="24"/>
        </w:rPr>
      </w:pPr>
    </w:p>
    <w:p w14:paraId="2E670F6E">
      <w:pPr>
        <w:pStyle w:val="10"/>
        <w:tabs>
          <w:tab w:val="left" w:pos="631"/>
          <w:tab w:val="left" w:pos="1471"/>
          <w:tab w:val="left" w:pos="2311"/>
        </w:tabs>
        <w:kinsoku w:val="0"/>
        <w:overflowPunct w:val="0"/>
        <w:spacing w:before="240"/>
        <w:ind w:left="0" w:right="177"/>
        <w:jc w:val="right"/>
      </w:pPr>
      <w:r>
        <w:rPr>
          <w:rFonts w:hint="eastAsia" w:ascii="Times New Roman" w:hAnsi="Times New Roman" w:eastAsia="Times New Roman"/>
          <w:sz w:val="24"/>
          <w:u w:val="single"/>
        </w:rPr>
        <w:t xml:space="preserve"> </w:t>
      </w:r>
    </w:p>
    <w:p w14:paraId="625F8418">
      <w:pPr>
        <w:pStyle w:val="10"/>
        <w:tabs>
          <w:tab w:val="left" w:pos="631"/>
          <w:tab w:val="left" w:pos="1471"/>
          <w:tab w:val="left" w:pos="2311"/>
        </w:tabs>
        <w:kinsoku w:val="0"/>
        <w:overflowPunct w:val="0"/>
        <w:spacing w:before="240"/>
        <w:ind w:left="0" w:right="177" w:firstLine="420"/>
        <w:jc w:val="right"/>
        <w:sectPr>
          <w:pgSz w:w="11905" w:h="16838"/>
          <w:pgMar w:top="1417" w:right="1417" w:bottom="1417" w:left="1417" w:header="992" w:footer="992" w:gutter="0"/>
          <w:cols w:space="720" w:num="1"/>
        </w:sectPr>
      </w:pPr>
    </w:p>
    <w:p w14:paraId="2DD5C552">
      <w:pPr>
        <w:pStyle w:val="4"/>
        <w:spacing w:before="120" w:after="120"/>
        <w:jc w:val="center"/>
        <w:rPr>
          <w:sz w:val="28"/>
        </w:rPr>
      </w:pPr>
      <w:bookmarkStart w:id="167" w:name="bookmark179"/>
      <w:bookmarkEnd w:id="167"/>
      <w:bookmarkStart w:id="168" w:name="_Toc2313"/>
      <w:r>
        <w:rPr>
          <w:sz w:val="28"/>
        </w:rPr>
        <w:t>二、法定代表人身份证明</w:t>
      </w:r>
      <w:bookmarkEnd w:id="168"/>
    </w:p>
    <w:p w14:paraId="70BE9D24">
      <w:pPr>
        <w:pStyle w:val="10"/>
        <w:kinsoku w:val="0"/>
        <w:overflowPunct w:val="0"/>
        <w:ind w:left="0" w:firstLine="640"/>
        <w:rPr>
          <w:rFonts w:ascii="Microsoft JhengHei" w:hAnsi="Microsoft JhengHei" w:eastAsia="Microsoft JhengHei"/>
          <w:b/>
          <w:sz w:val="32"/>
        </w:rPr>
      </w:pPr>
    </w:p>
    <w:p w14:paraId="2FE0F952">
      <w:pPr>
        <w:pStyle w:val="10"/>
        <w:kinsoku w:val="0"/>
        <w:overflowPunct w:val="0"/>
        <w:ind w:left="0" w:firstLine="640"/>
        <w:rPr>
          <w:rFonts w:ascii="Microsoft JhengHei" w:hAnsi="Microsoft JhengHei" w:eastAsia="Microsoft JhengHei"/>
          <w:b/>
          <w:sz w:val="32"/>
        </w:rPr>
      </w:pPr>
    </w:p>
    <w:p w14:paraId="2941FE09">
      <w:pPr>
        <w:pStyle w:val="10"/>
        <w:kinsoku w:val="0"/>
        <w:overflowPunct w:val="0"/>
        <w:spacing w:before="240"/>
        <w:ind w:left="0" w:firstLine="500"/>
        <w:rPr>
          <w:rFonts w:ascii="Microsoft JhengHei" w:hAnsi="Microsoft JhengHei" w:eastAsia="Microsoft JhengHei"/>
          <w:b/>
          <w:sz w:val="25"/>
        </w:rPr>
      </w:pPr>
    </w:p>
    <w:p w14:paraId="52ED168D">
      <w:pPr>
        <w:pStyle w:val="10"/>
        <w:tabs>
          <w:tab w:val="left" w:pos="3928"/>
        </w:tabs>
        <w:kinsoku w:val="0"/>
        <w:overflowPunct w:val="0"/>
        <w:ind w:left="100"/>
        <w:rPr>
          <w:rFonts w:ascii="Times New Roman" w:hAnsi="Times New Roman" w:eastAsia="Times New Roman"/>
          <w:sz w:val="24"/>
        </w:rPr>
      </w:pPr>
      <w:r>
        <w:rPr>
          <w:sz w:val="24"/>
        </w:rPr>
        <w:t>投标人名称：</w:t>
      </w:r>
      <w:r>
        <w:rPr>
          <w:rFonts w:hint="eastAsia" w:ascii="Times New Roman" w:hAnsi="Times New Roman" w:eastAsia="Times New Roman"/>
          <w:sz w:val="24"/>
          <w:u w:val="single"/>
        </w:rPr>
        <w:t xml:space="preserve"> </w:t>
      </w:r>
      <w:r>
        <w:rPr>
          <w:rFonts w:hint="eastAsia" w:ascii="Times New Roman" w:hAnsi="Times New Roman" w:eastAsia="Times New Roman"/>
          <w:sz w:val="24"/>
          <w:u w:val="single"/>
        </w:rPr>
        <w:tab/>
      </w:r>
    </w:p>
    <w:p w14:paraId="78D4B170">
      <w:pPr>
        <w:pStyle w:val="10"/>
        <w:kinsoku w:val="0"/>
        <w:overflowPunct w:val="0"/>
        <w:spacing w:before="240"/>
        <w:ind w:left="0"/>
        <w:rPr>
          <w:rFonts w:ascii="Times New Roman" w:hAnsi="Times New Roman" w:eastAsia="Times New Roman"/>
          <w:sz w:val="24"/>
        </w:rPr>
      </w:pPr>
    </w:p>
    <w:p w14:paraId="395CE82D">
      <w:pPr>
        <w:pStyle w:val="10"/>
        <w:tabs>
          <w:tab w:val="left" w:pos="2412"/>
          <w:tab w:val="left" w:pos="3883"/>
          <w:tab w:val="left" w:pos="5352"/>
          <w:tab w:val="left" w:pos="6869"/>
        </w:tabs>
        <w:kinsoku w:val="0"/>
        <w:overflowPunct w:val="0"/>
        <w:spacing w:before="240"/>
        <w:ind w:left="100" w:firstLine="478"/>
        <w:rPr>
          <w:rFonts w:ascii="Times New Roman" w:hAnsi="Times New Roman" w:eastAsia="Times New Roman"/>
          <w:sz w:val="24"/>
        </w:rPr>
      </w:pPr>
      <w:r>
        <w:rPr>
          <w:spacing w:val="-1"/>
          <w:sz w:val="24"/>
        </w:rPr>
        <w:t>姓名：</w:t>
      </w:r>
      <w:r>
        <w:rPr>
          <w:rFonts w:hint="eastAsia" w:ascii="Times New Roman" w:hAnsi="Times New Roman" w:eastAsia="Times New Roman"/>
          <w:spacing w:val="-1"/>
          <w:sz w:val="24"/>
          <w:u w:val="single"/>
        </w:rPr>
        <w:tab/>
      </w:r>
      <w:r>
        <w:rPr>
          <w:spacing w:val="-1"/>
          <w:sz w:val="24"/>
        </w:rPr>
        <w:t>性别：</w:t>
      </w:r>
      <w:r>
        <w:rPr>
          <w:rFonts w:hint="eastAsia" w:ascii="Times New Roman" w:hAnsi="Times New Roman" w:eastAsia="Times New Roman"/>
          <w:spacing w:val="-1"/>
          <w:sz w:val="24"/>
          <w:u w:val="single"/>
        </w:rPr>
        <w:tab/>
      </w:r>
      <w:r>
        <w:rPr>
          <w:spacing w:val="-2"/>
          <w:sz w:val="24"/>
        </w:rPr>
        <w:t>年龄：</w:t>
      </w:r>
      <w:r>
        <w:rPr>
          <w:rFonts w:hint="eastAsia" w:ascii="Times New Roman" w:hAnsi="Times New Roman" w:eastAsia="Times New Roman"/>
          <w:spacing w:val="-2"/>
          <w:sz w:val="24"/>
          <w:u w:val="single"/>
        </w:rPr>
        <w:tab/>
      </w:r>
      <w:r>
        <w:rPr>
          <w:spacing w:val="-2"/>
          <w:sz w:val="24"/>
        </w:rPr>
        <w:t>职务：</w:t>
      </w:r>
      <w:r>
        <w:rPr>
          <w:rFonts w:hint="eastAsia" w:ascii="Times New Roman" w:hAnsi="Times New Roman" w:eastAsia="Times New Roman"/>
          <w:sz w:val="24"/>
          <w:u w:val="single"/>
        </w:rPr>
        <w:t xml:space="preserve"> </w:t>
      </w:r>
      <w:r>
        <w:rPr>
          <w:rFonts w:hint="eastAsia" w:ascii="Times New Roman" w:hAnsi="Times New Roman" w:eastAsia="Times New Roman"/>
          <w:sz w:val="24"/>
          <w:u w:val="single"/>
        </w:rPr>
        <w:tab/>
      </w:r>
    </w:p>
    <w:p w14:paraId="65BE70A4">
      <w:pPr>
        <w:pStyle w:val="10"/>
        <w:kinsoku w:val="0"/>
        <w:overflowPunct w:val="0"/>
        <w:spacing w:before="240"/>
        <w:ind w:left="0"/>
        <w:rPr>
          <w:rFonts w:ascii="Times New Roman" w:hAnsi="Times New Roman" w:eastAsia="Times New Roman"/>
          <w:sz w:val="24"/>
        </w:rPr>
      </w:pPr>
    </w:p>
    <w:p w14:paraId="303DDF08">
      <w:pPr>
        <w:pStyle w:val="10"/>
        <w:tabs>
          <w:tab w:val="left" w:pos="2832"/>
        </w:tabs>
        <w:kinsoku w:val="0"/>
        <w:overflowPunct w:val="0"/>
        <w:spacing w:before="240"/>
        <w:ind w:left="100" w:firstLine="478"/>
        <w:rPr>
          <w:spacing w:val="-2"/>
          <w:sz w:val="24"/>
        </w:rPr>
      </w:pPr>
      <w:r>
        <w:rPr>
          <w:spacing w:val="-1"/>
          <w:sz w:val="24"/>
        </w:rPr>
        <w:t>系</w:t>
      </w:r>
      <w:r>
        <w:rPr>
          <w:rFonts w:hint="eastAsia" w:ascii="Times New Roman" w:hAnsi="Times New Roman" w:eastAsia="Times New Roman"/>
          <w:spacing w:val="-1"/>
          <w:sz w:val="24"/>
          <w:u w:val="single"/>
        </w:rPr>
        <w:tab/>
      </w:r>
      <w:r>
        <w:rPr>
          <w:spacing w:val="-2"/>
          <w:sz w:val="24"/>
        </w:rPr>
        <w:t>（投标人名称）的法定代表人。</w:t>
      </w:r>
    </w:p>
    <w:p w14:paraId="75F1ED21">
      <w:pPr>
        <w:pStyle w:val="10"/>
        <w:kinsoku w:val="0"/>
        <w:overflowPunct w:val="0"/>
        <w:spacing w:before="240"/>
        <w:ind w:left="0"/>
        <w:rPr>
          <w:sz w:val="24"/>
        </w:rPr>
      </w:pPr>
    </w:p>
    <w:p w14:paraId="2ADB2786">
      <w:pPr>
        <w:pStyle w:val="10"/>
        <w:kinsoku w:val="0"/>
        <w:overflowPunct w:val="0"/>
        <w:spacing w:before="240"/>
        <w:ind w:left="100" w:firstLine="480"/>
        <w:rPr>
          <w:sz w:val="24"/>
        </w:rPr>
      </w:pPr>
      <w:r>
        <w:rPr>
          <w:sz w:val="24"/>
        </w:rPr>
        <w:t>特此证明。</w:t>
      </w:r>
    </w:p>
    <w:p w14:paraId="5A8109C6">
      <w:pPr>
        <w:pStyle w:val="10"/>
        <w:kinsoku w:val="0"/>
        <w:overflowPunct w:val="0"/>
        <w:ind w:left="0"/>
        <w:rPr>
          <w:sz w:val="24"/>
        </w:rPr>
      </w:pPr>
    </w:p>
    <w:p w14:paraId="72F3A979">
      <w:pPr>
        <w:pStyle w:val="10"/>
        <w:kinsoku w:val="0"/>
        <w:overflowPunct w:val="0"/>
        <w:spacing w:before="240"/>
        <w:ind w:left="0"/>
        <w:rPr>
          <w:sz w:val="24"/>
        </w:rPr>
      </w:pPr>
    </w:p>
    <w:p w14:paraId="33D5E75D">
      <w:pPr>
        <w:pStyle w:val="10"/>
        <w:kinsoku w:val="0"/>
        <w:overflowPunct w:val="0"/>
        <w:ind w:left="100"/>
        <w:rPr>
          <w:sz w:val="24"/>
        </w:rPr>
      </w:pPr>
      <w:r>
        <w:rPr>
          <w:sz w:val="24"/>
        </w:rPr>
        <w:t>附：法定代表人身份证正反面扫描件。</w:t>
      </w:r>
    </w:p>
    <w:p w14:paraId="6E0427D3">
      <w:pPr>
        <w:pStyle w:val="10"/>
        <w:kinsoku w:val="0"/>
        <w:overflowPunct w:val="0"/>
        <w:ind w:left="0"/>
        <w:rPr>
          <w:sz w:val="24"/>
        </w:rPr>
      </w:pPr>
    </w:p>
    <w:p w14:paraId="65D8E462">
      <w:pPr>
        <w:pStyle w:val="10"/>
        <w:kinsoku w:val="0"/>
        <w:overflowPunct w:val="0"/>
        <w:spacing w:before="240"/>
        <w:ind w:left="0"/>
        <w:rPr>
          <w:sz w:val="24"/>
        </w:rPr>
      </w:pPr>
    </w:p>
    <w:p w14:paraId="26AE0BA3">
      <w:pPr>
        <w:pStyle w:val="10"/>
        <w:kinsoku w:val="0"/>
        <w:overflowPunct w:val="0"/>
        <w:ind w:left="0"/>
        <w:rPr>
          <w:sz w:val="24"/>
        </w:rPr>
      </w:pPr>
    </w:p>
    <w:p w14:paraId="2854FB73">
      <w:pPr>
        <w:pStyle w:val="10"/>
        <w:kinsoku w:val="0"/>
        <w:overflowPunct w:val="0"/>
        <w:ind w:left="0"/>
        <w:rPr>
          <w:sz w:val="24"/>
        </w:rPr>
      </w:pPr>
    </w:p>
    <w:p w14:paraId="20783B24">
      <w:pPr>
        <w:pStyle w:val="10"/>
        <w:kinsoku w:val="0"/>
        <w:overflowPunct w:val="0"/>
        <w:ind w:left="0"/>
        <w:rPr>
          <w:sz w:val="24"/>
        </w:rPr>
      </w:pPr>
    </w:p>
    <w:p w14:paraId="3DA121BF">
      <w:pPr>
        <w:pStyle w:val="10"/>
        <w:kinsoku w:val="0"/>
        <w:overflowPunct w:val="0"/>
        <w:spacing w:before="240"/>
        <w:ind w:left="0"/>
        <w:rPr>
          <w:sz w:val="24"/>
        </w:rPr>
      </w:pPr>
    </w:p>
    <w:p w14:paraId="65A4E7B6">
      <w:pPr>
        <w:pStyle w:val="10"/>
        <w:tabs>
          <w:tab w:val="left" w:pos="6521"/>
        </w:tabs>
        <w:kinsoku w:val="0"/>
        <w:overflowPunct w:val="0"/>
        <w:spacing w:before="240"/>
        <w:ind w:left="4212" w:firstLine="476"/>
        <w:rPr>
          <w:spacing w:val="-1"/>
          <w:sz w:val="24"/>
        </w:rPr>
      </w:pPr>
      <w:r>
        <w:rPr>
          <w:spacing w:val="-2"/>
          <w:sz w:val="24"/>
        </w:rPr>
        <w:t>投标人：</w:t>
      </w:r>
      <w:r>
        <w:rPr>
          <w:rFonts w:hint="eastAsia" w:ascii="Times New Roman" w:hAnsi="Times New Roman" w:eastAsia="Times New Roman"/>
          <w:spacing w:val="-2"/>
          <w:sz w:val="24"/>
          <w:u w:val="single"/>
        </w:rPr>
        <w:tab/>
      </w:r>
      <w:r>
        <w:rPr>
          <w:spacing w:val="-1"/>
          <w:sz w:val="24"/>
        </w:rPr>
        <w:t>（盖单位章）</w:t>
      </w:r>
    </w:p>
    <w:p w14:paraId="4D5B9832">
      <w:pPr>
        <w:pStyle w:val="10"/>
        <w:kinsoku w:val="0"/>
        <w:overflowPunct w:val="0"/>
        <w:ind w:left="0"/>
        <w:rPr>
          <w:sz w:val="24"/>
        </w:rPr>
      </w:pPr>
    </w:p>
    <w:p w14:paraId="0652BB2C">
      <w:pPr>
        <w:pStyle w:val="10"/>
        <w:kinsoku w:val="0"/>
        <w:overflowPunct w:val="0"/>
        <w:spacing w:before="240"/>
        <w:ind w:left="0"/>
        <w:rPr>
          <w:sz w:val="24"/>
        </w:rPr>
      </w:pPr>
    </w:p>
    <w:p w14:paraId="2E8B1067">
      <w:pPr>
        <w:pStyle w:val="10"/>
        <w:tabs>
          <w:tab w:val="left" w:pos="5352"/>
          <w:tab w:val="left" w:pos="6192"/>
          <w:tab w:val="left" w:pos="7032"/>
        </w:tabs>
        <w:kinsoku w:val="0"/>
        <w:overflowPunct w:val="0"/>
        <w:spacing w:before="240"/>
        <w:ind w:left="4721"/>
        <w:rPr>
          <w:sz w:val="24"/>
        </w:rPr>
      </w:pPr>
      <w:r>
        <w:rPr>
          <w:rFonts w:hint="eastAsia" w:ascii="Times New Roman" w:hAnsi="Times New Roman" w:eastAsia="Times New Roman"/>
          <w:sz w:val="24"/>
          <w:u w:val="single"/>
        </w:rPr>
        <w:t xml:space="preserve"> </w:t>
      </w:r>
      <w:r>
        <w:rPr>
          <w:rFonts w:hint="eastAsia" w:ascii="Times New Roman" w:hAnsi="Times New Roman" w:eastAsia="Times New Roman"/>
          <w:sz w:val="24"/>
          <w:u w:val="single"/>
        </w:rPr>
        <w:tab/>
      </w:r>
      <w:r>
        <w:rPr>
          <w:sz w:val="24"/>
        </w:rPr>
        <w:t>年</w:t>
      </w:r>
      <w:r>
        <w:rPr>
          <w:rFonts w:hint="eastAsia" w:ascii="Times New Roman" w:hAnsi="Times New Roman" w:eastAsia="Times New Roman"/>
          <w:sz w:val="24"/>
          <w:u w:val="single"/>
        </w:rPr>
        <w:tab/>
      </w:r>
      <w:r>
        <w:rPr>
          <w:sz w:val="24"/>
        </w:rPr>
        <w:t>月</w:t>
      </w:r>
      <w:r>
        <w:rPr>
          <w:rFonts w:hint="eastAsia" w:ascii="Times New Roman" w:hAnsi="Times New Roman" w:eastAsia="Times New Roman"/>
          <w:sz w:val="24"/>
          <w:u w:val="single"/>
        </w:rPr>
        <w:tab/>
      </w:r>
      <w:r>
        <w:rPr>
          <w:sz w:val="24"/>
        </w:rPr>
        <w:t>日</w:t>
      </w:r>
    </w:p>
    <w:p w14:paraId="2F368F71">
      <w:pPr>
        <w:pStyle w:val="10"/>
        <w:tabs>
          <w:tab w:val="left" w:pos="5352"/>
          <w:tab w:val="left" w:pos="6192"/>
          <w:tab w:val="left" w:pos="7032"/>
        </w:tabs>
        <w:kinsoku w:val="0"/>
        <w:overflowPunct w:val="0"/>
        <w:spacing w:before="240"/>
        <w:ind w:left="4721"/>
        <w:rPr>
          <w:sz w:val="24"/>
        </w:rPr>
        <w:sectPr>
          <w:pgSz w:w="11905" w:h="16838"/>
          <w:pgMar w:top="1417" w:right="1417" w:bottom="1417" w:left="1417" w:header="992" w:footer="992" w:gutter="0"/>
          <w:cols w:space="720" w:num="1"/>
        </w:sectPr>
      </w:pPr>
    </w:p>
    <w:p w14:paraId="3E9D5BB3">
      <w:pPr>
        <w:pStyle w:val="4"/>
        <w:spacing w:before="120" w:after="120"/>
        <w:jc w:val="center"/>
        <w:rPr>
          <w:sz w:val="28"/>
        </w:rPr>
      </w:pPr>
      <w:bookmarkStart w:id="169" w:name="bookmark180"/>
      <w:bookmarkEnd w:id="169"/>
      <w:bookmarkStart w:id="170" w:name="_Toc18172"/>
      <w:r>
        <w:rPr>
          <w:sz w:val="28"/>
        </w:rPr>
        <w:t>二、授权委托书</w:t>
      </w:r>
      <w:bookmarkEnd w:id="170"/>
    </w:p>
    <w:p w14:paraId="58960497">
      <w:pPr>
        <w:pStyle w:val="10"/>
        <w:kinsoku w:val="0"/>
        <w:overflowPunct w:val="0"/>
        <w:ind w:left="0" w:firstLine="640"/>
        <w:rPr>
          <w:rFonts w:ascii="Microsoft JhengHei" w:hAnsi="Microsoft JhengHei" w:eastAsia="Microsoft JhengHei"/>
          <w:b/>
          <w:sz w:val="32"/>
        </w:rPr>
      </w:pPr>
    </w:p>
    <w:p w14:paraId="44282AB5">
      <w:pPr>
        <w:pStyle w:val="10"/>
        <w:kinsoku w:val="0"/>
        <w:overflowPunct w:val="0"/>
        <w:spacing w:before="240"/>
        <w:ind w:left="0" w:firstLine="640"/>
        <w:rPr>
          <w:rFonts w:ascii="Microsoft JhengHei" w:hAnsi="Microsoft JhengHei" w:eastAsia="Microsoft JhengHei"/>
          <w:b/>
          <w:sz w:val="32"/>
        </w:rPr>
      </w:pPr>
    </w:p>
    <w:p w14:paraId="1265672C">
      <w:pPr>
        <w:pStyle w:val="10"/>
        <w:tabs>
          <w:tab w:val="left" w:pos="3928"/>
        </w:tabs>
        <w:kinsoku w:val="0"/>
        <w:overflowPunct w:val="0"/>
        <w:spacing w:line="360" w:lineRule="auto"/>
        <w:ind w:left="0" w:firstLine="480" w:firstLineChars="200"/>
        <w:rPr>
          <w:sz w:val="24"/>
        </w:rPr>
      </w:pPr>
      <w:r>
        <w:rPr>
          <w:sz w:val="24"/>
        </w:rPr>
        <w:t>本人</w:t>
      </w:r>
      <w:r>
        <w:rPr>
          <w:sz w:val="24"/>
          <w:u w:val="single"/>
        </w:rPr>
        <w:t xml:space="preserve">   </w:t>
      </w:r>
      <w:r>
        <w:rPr>
          <w:sz w:val="24"/>
        </w:rPr>
        <w:t xml:space="preserve">（姓名）系 </w:t>
      </w:r>
      <w:r>
        <w:rPr>
          <w:sz w:val="24"/>
          <w:u w:val="single"/>
        </w:rPr>
        <w:t xml:space="preserve">    </w:t>
      </w:r>
      <w:r>
        <w:rPr>
          <w:sz w:val="24"/>
        </w:rPr>
        <w:t>（投标人名称）的法定代表人，现委托</w:t>
      </w:r>
      <w:r>
        <w:rPr>
          <w:sz w:val="24"/>
          <w:u w:val="single"/>
        </w:rPr>
        <w:tab/>
      </w:r>
      <w:r>
        <w:rPr>
          <w:sz w:val="24"/>
          <w:u w:val="single"/>
        </w:rPr>
        <w:t xml:space="preserve"> </w:t>
      </w:r>
      <w:r>
        <w:rPr>
          <w:sz w:val="24"/>
        </w:rPr>
        <w:t xml:space="preserve">（姓名）为我方代理人。代理人根据授权，以我方名义签署、澄清确认、递交、撤回、修改监理招标项目投标文件、签订合同和处理有关事宜，其法律后果由我方承担。 </w:t>
      </w:r>
    </w:p>
    <w:p w14:paraId="5F0ED93B">
      <w:pPr>
        <w:pStyle w:val="10"/>
        <w:tabs>
          <w:tab w:val="left" w:pos="3928"/>
        </w:tabs>
        <w:kinsoku w:val="0"/>
        <w:overflowPunct w:val="0"/>
        <w:spacing w:line="360" w:lineRule="auto"/>
        <w:ind w:left="0"/>
        <w:rPr>
          <w:sz w:val="24"/>
        </w:rPr>
      </w:pPr>
      <w:r>
        <w:rPr>
          <w:sz w:val="24"/>
        </w:rPr>
        <w:t>委托期限：</w:t>
      </w:r>
      <w:r>
        <w:rPr>
          <w:sz w:val="24"/>
          <w:u w:val="single"/>
        </w:rPr>
        <w:tab/>
      </w:r>
      <w:r>
        <w:rPr>
          <w:sz w:val="24"/>
        </w:rPr>
        <w:t>。</w:t>
      </w:r>
    </w:p>
    <w:p w14:paraId="282555D4">
      <w:pPr>
        <w:pStyle w:val="10"/>
        <w:tabs>
          <w:tab w:val="left" w:pos="3928"/>
        </w:tabs>
        <w:kinsoku w:val="0"/>
        <w:overflowPunct w:val="0"/>
        <w:spacing w:line="360" w:lineRule="auto"/>
        <w:ind w:left="0" w:firstLine="480" w:firstLineChars="200"/>
        <w:rPr>
          <w:sz w:val="24"/>
        </w:rPr>
      </w:pPr>
      <w:r>
        <w:rPr>
          <w:sz w:val="24"/>
        </w:rPr>
        <w:t>代理人无转委托权。代理人为投标人正式职工</w:t>
      </w:r>
      <w:r>
        <w:rPr>
          <w:rFonts w:hint="eastAsia"/>
          <w:sz w:val="24"/>
        </w:rPr>
        <w:t>，必须具有离投标截止时间最近的至少1个月（</w:t>
      </w:r>
      <w:r>
        <w:rPr>
          <w:rFonts w:hint="eastAsia"/>
          <w:sz w:val="24"/>
          <w:lang w:eastAsia="zh-CN"/>
        </w:rPr>
        <w:t>2025年8月</w:t>
      </w:r>
      <w:r>
        <w:rPr>
          <w:rFonts w:hint="eastAsia"/>
          <w:sz w:val="24"/>
        </w:rPr>
        <w:t>）在本单位缴纳的社保证明文件。</w:t>
      </w:r>
    </w:p>
    <w:p w14:paraId="3FF1503A">
      <w:pPr>
        <w:pStyle w:val="10"/>
        <w:tabs>
          <w:tab w:val="left" w:pos="3928"/>
        </w:tabs>
        <w:kinsoku w:val="0"/>
        <w:overflowPunct w:val="0"/>
        <w:spacing w:line="360" w:lineRule="auto"/>
        <w:ind w:left="100"/>
        <w:rPr>
          <w:sz w:val="24"/>
        </w:rPr>
      </w:pPr>
    </w:p>
    <w:p w14:paraId="182AD17A">
      <w:pPr>
        <w:pStyle w:val="10"/>
        <w:kinsoku w:val="0"/>
        <w:overflowPunct w:val="0"/>
        <w:spacing w:before="240"/>
        <w:ind w:left="0"/>
        <w:rPr>
          <w:sz w:val="24"/>
        </w:rPr>
      </w:pPr>
    </w:p>
    <w:p w14:paraId="3F70697C">
      <w:pPr>
        <w:pStyle w:val="10"/>
        <w:kinsoku w:val="0"/>
        <w:overflowPunct w:val="0"/>
        <w:ind w:left="100" w:right="113"/>
        <w:rPr>
          <w:sz w:val="24"/>
        </w:rPr>
      </w:pPr>
      <w:r>
        <w:rPr>
          <w:sz w:val="24"/>
        </w:rPr>
        <w:t>附：委托代理人身份证正反面和社保证明扫描件。</w:t>
      </w:r>
    </w:p>
    <w:p w14:paraId="4FF4BE17">
      <w:pPr>
        <w:pStyle w:val="10"/>
        <w:kinsoku w:val="0"/>
        <w:overflowPunct w:val="0"/>
        <w:ind w:left="0"/>
        <w:rPr>
          <w:sz w:val="24"/>
        </w:rPr>
      </w:pPr>
    </w:p>
    <w:p w14:paraId="48A849F9">
      <w:pPr>
        <w:pStyle w:val="10"/>
        <w:kinsoku w:val="0"/>
        <w:overflowPunct w:val="0"/>
        <w:spacing w:before="240"/>
        <w:ind w:left="0"/>
        <w:rPr>
          <w:sz w:val="24"/>
        </w:rPr>
      </w:pPr>
    </w:p>
    <w:p w14:paraId="10B64193">
      <w:pPr>
        <w:pStyle w:val="10"/>
        <w:kinsoku w:val="0"/>
        <w:overflowPunct w:val="0"/>
        <w:ind w:left="0"/>
        <w:rPr>
          <w:sz w:val="24"/>
        </w:rPr>
      </w:pPr>
    </w:p>
    <w:p w14:paraId="64C64CF8">
      <w:pPr>
        <w:pStyle w:val="10"/>
        <w:kinsoku w:val="0"/>
        <w:overflowPunct w:val="0"/>
        <w:spacing w:before="240"/>
        <w:ind w:left="0"/>
        <w:rPr>
          <w:sz w:val="24"/>
        </w:rPr>
      </w:pPr>
    </w:p>
    <w:p w14:paraId="26E549D2">
      <w:pPr>
        <w:pStyle w:val="10"/>
        <w:tabs>
          <w:tab w:val="left" w:pos="3216"/>
          <w:tab w:val="left" w:pos="3636"/>
          <w:tab w:val="left" w:pos="7241"/>
        </w:tabs>
        <w:kinsoku w:val="0"/>
        <w:overflowPunct w:val="0"/>
        <w:ind w:left="2793" w:right="113"/>
        <w:rPr>
          <w:sz w:val="24"/>
        </w:rPr>
      </w:pPr>
      <w:r>
        <w:rPr>
          <w:sz w:val="24"/>
        </w:rPr>
        <w:t>投</w:t>
      </w:r>
      <w:r>
        <w:rPr>
          <w:sz w:val="24"/>
        </w:rPr>
        <w:tab/>
      </w:r>
      <w:r>
        <w:rPr>
          <w:sz w:val="24"/>
        </w:rPr>
        <w:t>标</w:t>
      </w:r>
      <w:r>
        <w:rPr>
          <w:sz w:val="24"/>
        </w:rPr>
        <w:tab/>
      </w:r>
      <w:r>
        <w:rPr>
          <w:spacing w:val="-3"/>
          <w:sz w:val="24"/>
        </w:rPr>
        <w:t>人：</w:t>
      </w:r>
      <w:r>
        <w:rPr>
          <w:rFonts w:hAnsi="Times New Roman"/>
          <w:spacing w:val="-3"/>
          <w:sz w:val="24"/>
          <w:u w:val="single"/>
        </w:rPr>
        <w:t xml:space="preserve">                       </w:t>
      </w:r>
      <w:r>
        <w:rPr>
          <w:sz w:val="24"/>
        </w:rPr>
        <w:t>（盖单位章）</w:t>
      </w:r>
    </w:p>
    <w:p w14:paraId="0D189F97">
      <w:pPr>
        <w:pStyle w:val="10"/>
        <w:kinsoku w:val="0"/>
        <w:overflowPunct w:val="0"/>
        <w:ind w:left="0"/>
        <w:rPr>
          <w:sz w:val="24"/>
        </w:rPr>
      </w:pPr>
    </w:p>
    <w:p w14:paraId="0497FF94">
      <w:pPr>
        <w:pStyle w:val="10"/>
        <w:tabs>
          <w:tab w:val="left" w:pos="6401"/>
        </w:tabs>
        <w:kinsoku w:val="0"/>
        <w:overflowPunct w:val="0"/>
        <w:spacing w:before="240"/>
        <w:ind w:left="2791" w:right="113" w:firstLine="476"/>
        <w:rPr>
          <w:spacing w:val="-1"/>
          <w:sz w:val="24"/>
        </w:rPr>
      </w:pPr>
      <w:r>
        <w:rPr>
          <w:spacing w:val="-2"/>
          <w:sz w:val="24"/>
        </w:rPr>
        <w:t>法定代表人：</w:t>
      </w:r>
      <w:r>
        <w:rPr>
          <w:rFonts w:hint="eastAsia" w:ascii="Times New Roman" w:hAnsi="Times New Roman" w:eastAsia="Times New Roman"/>
          <w:spacing w:val="-2"/>
          <w:sz w:val="24"/>
          <w:u w:val="single"/>
        </w:rPr>
        <w:tab/>
      </w:r>
      <w:r>
        <w:rPr>
          <w:rFonts w:hAnsi="Times New Roman"/>
          <w:spacing w:val="-2"/>
          <w:sz w:val="24"/>
          <w:u w:val="single"/>
        </w:rPr>
        <w:t xml:space="preserve">    </w:t>
      </w:r>
      <w:r>
        <w:rPr>
          <w:spacing w:val="-1"/>
          <w:sz w:val="24"/>
        </w:rPr>
        <w:t>（签字）</w:t>
      </w:r>
    </w:p>
    <w:p w14:paraId="74AE27D0">
      <w:pPr>
        <w:pStyle w:val="10"/>
        <w:kinsoku w:val="0"/>
        <w:overflowPunct w:val="0"/>
        <w:ind w:left="0"/>
        <w:rPr>
          <w:sz w:val="24"/>
        </w:rPr>
      </w:pPr>
    </w:p>
    <w:p w14:paraId="548170FE">
      <w:pPr>
        <w:pStyle w:val="10"/>
        <w:tabs>
          <w:tab w:val="left" w:pos="8549"/>
        </w:tabs>
        <w:kinsoku w:val="0"/>
        <w:overflowPunct w:val="0"/>
        <w:spacing w:before="240"/>
        <w:ind w:left="2793" w:right="113"/>
        <w:rPr>
          <w:rFonts w:ascii="Times New Roman" w:hAnsi="Times New Roman" w:eastAsia="Times New Roman"/>
          <w:sz w:val="24"/>
        </w:rPr>
      </w:pPr>
      <w:r>
        <w:rPr>
          <w:sz w:val="24"/>
        </w:rPr>
        <w:t>身份证号码：</w:t>
      </w:r>
      <w:r>
        <w:rPr>
          <w:rFonts w:hint="eastAsia" w:ascii="Times New Roman" w:hAnsi="Times New Roman" w:eastAsia="Times New Roman"/>
          <w:sz w:val="24"/>
          <w:u w:val="single"/>
        </w:rPr>
        <w:t xml:space="preserve"> </w:t>
      </w:r>
      <w:r>
        <w:rPr>
          <w:rFonts w:hAnsi="Times New Roman"/>
          <w:sz w:val="24"/>
          <w:u w:val="single"/>
        </w:rPr>
        <w:t xml:space="preserve">                        </w:t>
      </w:r>
      <w:r>
        <w:rPr>
          <w:rFonts w:hAnsi="Times New Roman"/>
          <w:sz w:val="24"/>
        </w:rPr>
        <w:t xml:space="preserve">               </w:t>
      </w:r>
    </w:p>
    <w:p w14:paraId="10E9406B">
      <w:pPr>
        <w:pStyle w:val="10"/>
        <w:kinsoku w:val="0"/>
        <w:overflowPunct w:val="0"/>
        <w:ind w:left="0"/>
        <w:rPr>
          <w:rFonts w:ascii="Times New Roman" w:hAnsi="Times New Roman" w:eastAsia="Times New Roman"/>
          <w:sz w:val="24"/>
        </w:rPr>
      </w:pPr>
    </w:p>
    <w:p w14:paraId="6633DB48">
      <w:pPr>
        <w:pStyle w:val="10"/>
        <w:tabs>
          <w:tab w:val="left" w:pos="7661"/>
        </w:tabs>
        <w:kinsoku w:val="0"/>
        <w:overflowPunct w:val="0"/>
        <w:spacing w:before="240"/>
        <w:ind w:left="2793" w:right="113" w:firstLine="476"/>
        <w:rPr>
          <w:spacing w:val="-1"/>
          <w:sz w:val="24"/>
        </w:rPr>
      </w:pPr>
      <w:r>
        <w:rPr>
          <w:spacing w:val="-2"/>
          <w:sz w:val="24"/>
        </w:rPr>
        <w:t>委托代理人：</w:t>
      </w:r>
      <w:r>
        <w:rPr>
          <w:spacing w:val="-2"/>
          <w:sz w:val="24"/>
          <w:u w:val="single"/>
        </w:rPr>
        <w:t xml:space="preserve">                         </w:t>
      </w:r>
      <w:r>
        <w:rPr>
          <w:spacing w:val="-1"/>
          <w:sz w:val="24"/>
        </w:rPr>
        <w:t>（签字）</w:t>
      </w:r>
    </w:p>
    <w:p w14:paraId="1BBBADA1">
      <w:pPr>
        <w:pStyle w:val="10"/>
        <w:kinsoku w:val="0"/>
        <w:overflowPunct w:val="0"/>
        <w:ind w:left="0"/>
        <w:rPr>
          <w:sz w:val="24"/>
        </w:rPr>
      </w:pPr>
    </w:p>
    <w:p w14:paraId="681D9F87">
      <w:pPr>
        <w:pStyle w:val="10"/>
        <w:tabs>
          <w:tab w:val="left" w:pos="8549"/>
        </w:tabs>
        <w:kinsoku w:val="0"/>
        <w:overflowPunct w:val="0"/>
        <w:spacing w:before="240"/>
        <w:ind w:left="2793" w:right="113"/>
        <w:rPr>
          <w:rFonts w:ascii="Times New Roman" w:hAnsi="Times New Roman" w:eastAsia="Times New Roman"/>
          <w:sz w:val="24"/>
          <w:u w:val="single"/>
        </w:rPr>
      </w:pPr>
      <w:r>
        <w:rPr>
          <w:sz w:val="24"/>
        </w:rPr>
        <w:t>身份证号码：</w:t>
      </w:r>
      <w:r>
        <w:rPr>
          <w:rFonts w:hint="eastAsia" w:ascii="Times New Roman" w:hAnsi="Times New Roman" w:eastAsia="Times New Roman"/>
          <w:sz w:val="24"/>
          <w:u w:val="single"/>
        </w:rPr>
        <w:t xml:space="preserve"> </w:t>
      </w:r>
      <w:r>
        <w:rPr>
          <w:rFonts w:hAnsi="Times New Roman"/>
          <w:sz w:val="24"/>
          <w:u w:val="single"/>
        </w:rPr>
        <w:t xml:space="preserve">                        </w:t>
      </w:r>
      <w:r>
        <w:rPr>
          <w:rFonts w:hAnsi="Times New Roman"/>
          <w:sz w:val="24"/>
        </w:rPr>
        <w:t xml:space="preserve">               </w:t>
      </w:r>
    </w:p>
    <w:p w14:paraId="3674CD73">
      <w:pPr>
        <w:pStyle w:val="10"/>
        <w:kinsoku w:val="0"/>
        <w:overflowPunct w:val="0"/>
        <w:spacing w:before="240"/>
        <w:ind w:left="0"/>
        <w:rPr>
          <w:rFonts w:ascii="Times New Roman" w:hAnsi="Times New Roman" w:eastAsia="Times New Roman"/>
          <w:sz w:val="24"/>
        </w:rPr>
      </w:pPr>
    </w:p>
    <w:p w14:paraId="60F77B01">
      <w:pPr>
        <w:pStyle w:val="10"/>
        <w:tabs>
          <w:tab w:val="left" w:pos="736"/>
          <w:tab w:val="left" w:pos="1682"/>
          <w:tab w:val="left" w:pos="2626"/>
        </w:tabs>
        <w:kinsoku w:val="0"/>
        <w:overflowPunct w:val="0"/>
        <w:spacing w:before="240"/>
        <w:ind w:left="0" w:right="113"/>
        <w:jc w:val="both"/>
        <w:rPr>
          <w:sz w:val="24"/>
          <w:u w:val="single"/>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CA60BE0">
      <w:pPr>
        <w:pStyle w:val="10"/>
        <w:tabs>
          <w:tab w:val="left" w:pos="736"/>
          <w:tab w:val="left" w:pos="1682"/>
          <w:tab w:val="left" w:pos="2626"/>
        </w:tabs>
        <w:kinsoku w:val="0"/>
        <w:overflowPunct w:val="0"/>
        <w:spacing w:before="240"/>
        <w:ind w:left="0"/>
        <w:jc w:val="right"/>
        <w:rPr>
          <w:sz w:val="24"/>
        </w:rPr>
        <w:sectPr>
          <w:pgSz w:w="11905" w:h="16838"/>
          <w:pgMar w:top="1417" w:right="1417" w:bottom="1417" w:left="1417" w:header="992" w:footer="992" w:gutter="0"/>
          <w:cols w:space="720" w:num="1"/>
        </w:sectPr>
      </w:pPr>
    </w:p>
    <w:p w14:paraId="3800E054">
      <w:pPr>
        <w:pStyle w:val="4"/>
        <w:spacing w:before="120" w:after="120"/>
        <w:jc w:val="center"/>
        <w:rPr>
          <w:strike/>
          <w:sz w:val="28"/>
        </w:rPr>
      </w:pPr>
      <w:bookmarkStart w:id="171" w:name="bookmark181"/>
      <w:bookmarkEnd w:id="171"/>
      <w:bookmarkStart w:id="172" w:name="_Toc22240"/>
      <w:r>
        <w:rPr>
          <w:strike/>
          <w:sz w:val="28"/>
        </w:rPr>
        <w:t>三、联合体协议书</w:t>
      </w:r>
      <w:bookmarkEnd w:id="172"/>
    </w:p>
    <w:p w14:paraId="6D533303">
      <w:pPr>
        <w:pStyle w:val="10"/>
        <w:tabs>
          <w:tab w:val="left" w:pos="2202"/>
          <w:tab w:val="left" w:pos="6000"/>
        </w:tabs>
        <w:kinsoku w:val="0"/>
        <w:overflowPunct w:val="0"/>
        <w:spacing w:line="360" w:lineRule="auto"/>
        <w:ind w:left="0" w:firstLine="420" w:firstLineChars="200"/>
        <w:rPr>
          <w:strike/>
          <w:spacing w:val="-1"/>
        </w:rPr>
      </w:pPr>
      <w:r>
        <w:rPr>
          <w:rFonts w:hint="eastAsia" w:ascii="Times New Roman" w:hAnsi="Times New Roman" w:eastAsia="Times New Roman"/>
          <w:strike/>
          <w:u w:val="single"/>
        </w:rPr>
        <w:t xml:space="preserve"> </w:t>
      </w:r>
      <w:r>
        <w:rPr>
          <w:rFonts w:hint="eastAsia" w:ascii="Times New Roman" w:hAnsi="Times New Roman" w:eastAsia="Times New Roman"/>
          <w:strike/>
          <w:u w:val="single"/>
        </w:rPr>
        <w:tab/>
      </w:r>
      <w:r>
        <w:rPr>
          <w:strike/>
          <w:spacing w:val="-1"/>
        </w:rPr>
        <w:t>（所有成员单位名称）自愿组成</w:t>
      </w:r>
      <w:r>
        <w:rPr>
          <w:rFonts w:hint="eastAsia" w:ascii="Times New Roman" w:hAnsi="Times New Roman" w:eastAsia="Times New Roman"/>
          <w:strike/>
          <w:spacing w:val="-1"/>
          <w:u w:val="single"/>
        </w:rPr>
        <w:tab/>
      </w:r>
      <w:r>
        <w:rPr>
          <w:strike/>
        </w:rPr>
        <w:t>（联合体名称）联合体，共同</w:t>
      </w:r>
      <w:r>
        <w:rPr>
          <w:strike/>
          <w:spacing w:val="-1"/>
        </w:rPr>
        <w:t>参加</w:t>
      </w:r>
      <w:r>
        <w:rPr>
          <w:rFonts w:hint="eastAsia" w:ascii="Times New Roman" w:hAnsi="Times New Roman" w:eastAsia="Times New Roman"/>
          <w:strike/>
          <w:spacing w:val="-1"/>
          <w:u w:val="single"/>
        </w:rPr>
        <w:tab/>
      </w:r>
      <w:r>
        <w:rPr>
          <w:strike/>
          <w:spacing w:val="-1"/>
        </w:rPr>
        <w:t>（项目名称）监理招标项目投标。现就联合体投标事宜订立如下协议。</w:t>
      </w:r>
    </w:p>
    <w:p w14:paraId="4C0A4D28">
      <w:pPr>
        <w:pStyle w:val="10"/>
        <w:tabs>
          <w:tab w:val="left" w:pos="2673"/>
          <w:tab w:val="left" w:pos="5614"/>
        </w:tabs>
        <w:kinsoku w:val="0"/>
        <w:overflowPunct w:val="0"/>
        <w:spacing w:before="240" w:line="360" w:lineRule="auto"/>
        <w:ind w:firstLine="420"/>
        <w:rPr>
          <w:strike/>
          <w:spacing w:val="-2"/>
        </w:rPr>
      </w:pPr>
      <w:r>
        <w:rPr>
          <w:rFonts w:hint="eastAsia" w:ascii="Times New Roman" w:hAnsi="Times New Roman" w:eastAsia="Times New Roman"/>
          <w:strike/>
        </w:rPr>
        <w:t>1.</w:t>
      </w:r>
      <w:r>
        <w:rPr>
          <w:rFonts w:hint="eastAsia" w:ascii="Times New Roman" w:hAnsi="Times New Roman" w:eastAsia="Times New Roman"/>
          <w:strike/>
          <w:u w:val="single"/>
        </w:rPr>
        <w:tab/>
      </w:r>
      <w:r>
        <w:rPr>
          <w:strike/>
          <w:spacing w:val="-2"/>
        </w:rPr>
        <w:t>（某成员单位名称）为</w:t>
      </w:r>
      <w:r>
        <w:rPr>
          <w:rFonts w:hint="eastAsia" w:ascii="Times New Roman" w:hAnsi="Times New Roman" w:eastAsia="Times New Roman"/>
          <w:strike/>
          <w:spacing w:val="-2"/>
          <w:u w:val="single"/>
        </w:rPr>
        <w:tab/>
      </w:r>
      <w:r>
        <w:rPr>
          <w:strike/>
          <w:spacing w:val="-2"/>
        </w:rPr>
        <w:t>（联合体名称）主办方。</w:t>
      </w:r>
    </w:p>
    <w:p w14:paraId="0014C932">
      <w:pPr>
        <w:pStyle w:val="10"/>
        <w:kinsoku w:val="0"/>
        <w:overflowPunct w:val="0"/>
        <w:spacing w:before="240" w:line="360" w:lineRule="auto"/>
        <w:ind w:left="100" w:firstLine="420"/>
        <w:rPr>
          <w:strike/>
        </w:rPr>
      </w:pPr>
      <w:r>
        <w:rPr>
          <w:rFonts w:hint="eastAsia" w:ascii="Times New Roman" w:hAnsi="Times New Roman" w:eastAsia="Times New Roman"/>
          <w:strike/>
        </w:rPr>
        <w:t>2.</w:t>
      </w:r>
      <w:r>
        <w:rPr>
          <w:rFonts w:hint="eastAsia" w:ascii="Times New Roman" w:hAnsi="Times New Roman" w:eastAsia="Times New Roman"/>
          <w:strike/>
          <w:spacing w:val="50"/>
        </w:rPr>
        <w:t xml:space="preserve"> </w:t>
      </w:r>
      <w:r>
        <w:rPr>
          <w:strike/>
          <w:spacing w:val="-5"/>
        </w:rPr>
        <w:t>联合体各成员授权</w:t>
      </w:r>
      <w:r>
        <w:rPr>
          <w:strike/>
          <w:spacing w:val="-2"/>
        </w:rPr>
        <w:t>主办方</w:t>
      </w:r>
      <w:r>
        <w:rPr>
          <w:strike/>
          <w:spacing w:val="-5"/>
        </w:rPr>
        <w:t>代表联合体参加投标活动，签署文件，提交和接收相关的资料、</w:t>
      </w:r>
      <w:r>
        <w:rPr>
          <w:strike/>
        </w:rPr>
        <w:t xml:space="preserve"> 信息及指示，进行合同谈判活动，负责合同实施阶段的组织和协调工作，以及处理与本招标项</w:t>
      </w:r>
      <w:r>
        <w:rPr>
          <w:strike/>
          <w:spacing w:val="-78"/>
        </w:rPr>
        <w:t xml:space="preserve"> </w:t>
      </w:r>
      <w:r>
        <w:rPr>
          <w:strike/>
        </w:rPr>
        <w:t>目有关的一切事宜。</w:t>
      </w:r>
    </w:p>
    <w:p w14:paraId="7647F6C0">
      <w:pPr>
        <w:pStyle w:val="10"/>
        <w:kinsoku w:val="0"/>
        <w:overflowPunct w:val="0"/>
        <w:spacing w:before="240" w:line="360" w:lineRule="auto"/>
        <w:ind w:left="100" w:firstLine="420"/>
        <w:rPr>
          <w:strike/>
        </w:rPr>
      </w:pPr>
      <w:r>
        <w:rPr>
          <w:rFonts w:hint="eastAsia" w:ascii="Times New Roman" w:hAnsi="Times New Roman" w:eastAsia="Times New Roman"/>
          <w:strike/>
        </w:rPr>
        <w:t>3.</w:t>
      </w:r>
      <w:r>
        <w:rPr>
          <w:rFonts w:hint="eastAsia" w:ascii="Times New Roman" w:hAnsi="Times New Roman" w:eastAsia="Times New Roman"/>
          <w:strike/>
          <w:spacing w:val="20"/>
        </w:rPr>
        <w:t xml:space="preserve"> </w:t>
      </w:r>
      <w:r>
        <w:rPr>
          <w:strike/>
          <w:spacing w:val="-3"/>
        </w:rPr>
        <w:t>联合体</w:t>
      </w:r>
      <w:r>
        <w:rPr>
          <w:strike/>
          <w:spacing w:val="-2"/>
        </w:rPr>
        <w:t>主办方</w:t>
      </w:r>
      <w:r>
        <w:rPr>
          <w:strike/>
          <w:spacing w:val="-3"/>
        </w:rPr>
        <w:t>在本项目中签署的一切文件和处理的一切事宜，联合体各成员均予以承认。</w:t>
      </w:r>
      <w:r>
        <w:rPr>
          <w:strike/>
        </w:rPr>
        <w:t xml:space="preserve"> 联合体各成员将严格按照招标文件、投标文件和合同的要求全面履行义务，并向招标人承担连</w:t>
      </w:r>
      <w:r>
        <w:rPr>
          <w:strike/>
          <w:spacing w:val="-77"/>
        </w:rPr>
        <w:t xml:space="preserve"> </w:t>
      </w:r>
      <w:r>
        <w:rPr>
          <w:strike/>
        </w:rPr>
        <w:t>带责任。</w:t>
      </w:r>
    </w:p>
    <w:p w14:paraId="26696857">
      <w:pPr>
        <w:pStyle w:val="10"/>
        <w:kinsoku w:val="0"/>
        <w:overflowPunct w:val="0"/>
        <w:spacing w:before="240" w:line="360" w:lineRule="auto"/>
        <w:ind w:left="100" w:firstLine="414"/>
        <w:rPr>
          <w:strike/>
          <w:spacing w:val="-3"/>
        </w:rPr>
      </w:pPr>
      <w:bookmarkStart w:id="173" w:name="_Toc29760"/>
      <w:r>
        <w:rPr>
          <w:rFonts w:hint="eastAsia"/>
          <w:strike/>
          <w:spacing w:val="-3"/>
        </w:rPr>
        <w:t>4.</w:t>
      </w:r>
      <w:r>
        <w:rPr>
          <w:strike/>
          <w:spacing w:val="-3"/>
        </w:rPr>
        <w:t>联合体各成员单位内部的职责分工如下：</w:t>
      </w:r>
      <w:r>
        <w:rPr>
          <w:rFonts w:hint="eastAsia"/>
          <w:strike/>
          <w:spacing w:val="-3"/>
          <w:u w:val="single"/>
        </w:rPr>
        <w:t xml:space="preserve">                     </w:t>
      </w:r>
      <w:r>
        <w:rPr>
          <w:rFonts w:hint="eastAsia"/>
          <w:strike/>
          <w:spacing w:val="-3"/>
          <w:u w:val="single"/>
        </w:rPr>
        <w:tab/>
      </w:r>
      <w:r>
        <w:rPr>
          <w:strike/>
          <w:spacing w:val="-3"/>
        </w:rPr>
        <w:t>。</w:t>
      </w:r>
      <w:bookmarkEnd w:id="173"/>
    </w:p>
    <w:p w14:paraId="7F3565BF">
      <w:pPr>
        <w:pStyle w:val="10"/>
        <w:kinsoku w:val="0"/>
        <w:overflowPunct w:val="0"/>
        <w:spacing w:before="240" w:line="360" w:lineRule="auto"/>
        <w:ind w:left="100" w:firstLine="420"/>
        <w:rPr>
          <w:strike/>
        </w:rPr>
      </w:pPr>
      <w:r>
        <w:rPr>
          <w:rFonts w:hint="eastAsia" w:ascii="Times New Roman" w:hAnsi="Times New Roman" w:eastAsia="Times New Roman"/>
          <w:strike/>
        </w:rPr>
        <w:t>5.</w:t>
      </w:r>
      <w:r>
        <w:rPr>
          <w:rFonts w:hint="eastAsia" w:ascii="Times New Roman" w:hAnsi="Times New Roman" w:eastAsia="Times New Roman"/>
          <w:strike/>
          <w:spacing w:val="27"/>
        </w:rPr>
        <w:t xml:space="preserve"> </w:t>
      </w:r>
      <w:r>
        <w:rPr>
          <w:strike/>
        </w:rPr>
        <w:t>本协议书自所有成员单位法定代表人或其委托代理人签字或盖单位章之日起生效，合同 履行完毕后自动失效。</w:t>
      </w:r>
    </w:p>
    <w:p w14:paraId="38EAC460">
      <w:pPr>
        <w:pStyle w:val="10"/>
        <w:tabs>
          <w:tab w:val="left" w:pos="2464"/>
        </w:tabs>
        <w:kinsoku w:val="0"/>
        <w:overflowPunct w:val="0"/>
        <w:spacing w:before="240" w:line="360" w:lineRule="auto"/>
        <w:ind w:firstLine="420"/>
        <w:rPr>
          <w:strike/>
        </w:rPr>
      </w:pPr>
      <w:r>
        <w:rPr>
          <w:rFonts w:hint="eastAsia" w:ascii="Times New Roman" w:hAnsi="Times New Roman" w:eastAsia="Times New Roman"/>
          <w:strike/>
        </w:rPr>
        <w:t>6.</w:t>
      </w:r>
      <w:r>
        <w:rPr>
          <w:rFonts w:hint="eastAsia" w:ascii="Times New Roman" w:hAnsi="Times New Roman" w:eastAsia="Times New Roman"/>
          <w:strike/>
          <w:spacing w:val="50"/>
        </w:rPr>
        <w:t xml:space="preserve"> </w:t>
      </w:r>
      <w:r>
        <w:rPr>
          <w:strike/>
        </w:rPr>
        <w:t>本协议书一式</w:t>
      </w:r>
      <w:r>
        <w:rPr>
          <w:rFonts w:hint="eastAsia" w:ascii="Times New Roman" w:hAnsi="Times New Roman" w:eastAsia="Times New Roman"/>
          <w:strike/>
          <w:u w:val="single"/>
        </w:rPr>
        <w:tab/>
      </w:r>
      <w:r>
        <w:rPr>
          <w:rFonts w:hAnsi="Times New Roman"/>
          <w:strike/>
          <w:u w:val="single"/>
        </w:rPr>
        <w:t xml:space="preserve">     </w:t>
      </w:r>
      <w:r>
        <w:rPr>
          <w:strike/>
        </w:rPr>
        <w:t>份，联合体成员和招标人各执一份。</w:t>
      </w:r>
    </w:p>
    <w:p w14:paraId="0851C0D8">
      <w:pPr>
        <w:pStyle w:val="10"/>
        <w:kinsoku w:val="0"/>
        <w:overflowPunct w:val="0"/>
        <w:spacing w:before="240" w:line="360" w:lineRule="auto"/>
        <w:ind w:left="100" w:firstLine="418"/>
        <w:rPr>
          <w:strike/>
        </w:rPr>
      </w:pPr>
      <w:r>
        <w:rPr>
          <w:strike/>
          <w:spacing w:val="-1"/>
        </w:rPr>
        <w:t>注：本协议书由法定代表人签字的，应附法定代表人身份证明；由委托代理人签字的，应附法定代表人身份证明和</w:t>
      </w:r>
      <w:r>
        <w:rPr>
          <w:strike/>
        </w:rPr>
        <w:t>授权委托书。</w:t>
      </w:r>
    </w:p>
    <w:p w14:paraId="4CDF9AAB">
      <w:pPr>
        <w:pStyle w:val="10"/>
        <w:kinsoku w:val="0"/>
        <w:overflowPunct w:val="0"/>
        <w:spacing w:before="240" w:line="360" w:lineRule="auto"/>
        <w:ind w:left="100" w:firstLine="420"/>
        <w:rPr>
          <w:strike/>
        </w:rPr>
      </w:pPr>
    </w:p>
    <w:p w14:paraId="2910B191">
      <w:pPr>
        <w:pStyle w:val="10"/>
        <w:tabs>
          <w:tab w:val="left" w:pos="7241"/>
        </w:tabs>
        <w:kinsoku w:val="0"/>
        <w:overflowPunct w:val="0"/>
        <w:spacing w:line="360" w:lineRule="auto"/>
        <w:ind w:left="2510" w:firstLine="416"/>
        <w:rPr>
          <w:strike/>
        </w:rPr>
      </w:pPr>
      <w:r>
        <w:rPr>
          <w:strike/>
          <w:spacing w:val="-2"/>
        </w:rPr>
        <w:t>联合体主办方名称：</w:t>
      </w:r>
      <w:r>
        <w:rPr>
          <w:rFonts w:hint="eastAsia" w:ascii="Times New Roman" w:hAnsi="Times New Roman" w:eastAsia="Times New Roman"/>
          <w:strike/>
          <w:spacing w:val="-2"/>
          <w:u w:val="single"/>
        </w:rPr>
        <w:tab/>
      </w:r>
      <w:r>
        <w:rPr>
          <w:strike/>
          <w:spacing w:val="-1"/>
        </w:rPr>
        <w:t>（盖单位章）</w:t>
      </w:r>
    </w:p>
    <w:p w14:paraId="66CD9ACA">
      <w:pPr>
        <w:pStyle w:val="10"/>
        <w:tabs>
          <w:tab w:val="left" w:pos="6401"/>
        </w:tabs>
        <w:kinsoku w:val="0"/>
        <w:overflowPunct w:val="0"/>
        <w:spacing w:before="240" w:line="360" w:lineRule="auto"/>
        <w:ind w:left="2510" w:firstLine="416"/>
        <w:rPr>
          <w:strike/>
        </w:rPr>
      </w:pPr>
      <w:r>
        <w:rPr>
          <w:strike/>
          <w:spacing w:val="-2"/>
        </w:rPr>
        <w:t>法定代表人或其委托代理人：</w:t>
      </w:r>
      <w:r>
        <w:rPr>
          <w:rFonts w:hint="eastAsia" w:ascii="Times New Roman" w:hAnsi="Times New Roman" w:eastAsia="Times New Roman"/>
          <w:strike/>
          <w:spacing w:val="-2"/>
          <w:u w:val="single"/>
        </w:rPr>
        <w:tab/>
      </w:r>
      <w:r>
        <w:rPr>
          <w:rFonts w:hAnsi="Times New Roman"/>
          <w:strike/>
          <w:spacing w:val="-2"/>
          <w:u w:val="single"/>
        </w:rPr>
        <w:t xml:space="preserve">       </w:t>
      </w:r>
      <w:r>
        <w:rPr>
          <w:strike/>
          <w:spacing w:val="-1"/>
        </w:rPr>
        <w:t>（签字）</w:t>
      </w:r>
    </w:p>
    <w:p w14:paraId="7530C13C">
      <w:pPr>
        <w:pStyle w:val="10"/>
        <w:tabs>
          <w:tab w:val="left" w:pos="7241"/>
        </w:tabs>
        <w:kinsoku w:val="0"/>
        <w:overflowPunct w:val="0"/>
        <w:spacing w:before="240" w:line="360" w:lineRule="auto"/>
        <w:ind w:left="2510" w:firstLine="416"/>
        <w:rPr>
          <w:strike/>
        </w:rPr>
      </w:pPr>
      <w:r>
        <w:rPr>
          <w:strike/>
          <w:spacing w:val="-2"/>
        </w:rPr>
        <w:t>联合体成员名称：</w:t>
      </w:r>
      <w:r>
        <w:rPr>
          <w:rFonts w:hint="eastAsia" w:ascii="Times New Roman" w:hAnsi="Times New Roman" w:eastAsia="Times New Roman"/>
          <w:strike/>
          <w:spacing w:val="-2"/>
          <w:u w:val="single"/>
        </w:rPr>
        <w:tab/>
      </w:r>
      <w:r>
        <w:rPr>
          <w:strike/>
          <w:spacing w:val="-1"/>
        </w:rPr>
        <w:t>（盖单位章）</w:t>
      </w:r>
    </w:p>
    <w:p w14:paraId="5A34D0CF">
      <w:pPr>
        <w:pStyle w:val="10"/>
        <w:tabs>
          <w:tab w:val="left" w:pos="6187"/>
        </w:tabs>
        <w:kinsoku w:val="0"/>
        <w:overflowPunct w:val="0"/>
        <w:spacing w:before="240" w:line="360" w:lineRule="auto"/>
        <w:ind w:left="2510" w:firstLine="416"/>
        <w:rPr>
          <w:strike/>
        </w:rPr>
      </w:pPr>
      <w:r>
        <w:rPr>
          <w:strike/>
          <w:spacing w:val="-2"/>
        </w:rPr>
        <w:t>法定代表人或其委托代理人：</w:t>
      </w:r>
      <w:r>
        <w:rPr>
          <w:rFonts w:hint="eastAsia" w:ascii="Times New Roman" w:hAnsi="Times New Roman" w:eastAsia="Times New Roman"/>
          <w:strike/>
          <w:spacing w:val="-2"/>
          <w:u w:val="single"/>
        </w:rPr>
        <w:tab/>
      </w:r>
      <w:r>
        <w:rPr>
          <w:rFonts w:hAnsi="Times New Roman"/>
          <w:strike/>
          <w:spacing w:val="-2"/>
          <w:u w:val="single"/>
        </w:rPr>
        <w:t xml:space="preserve">         </w:t>
      </w:r>
      <w:r>
        <w:rPr>
          <w:strike/>
          <w:spacing w:val="-1"/>
        </w:rPr>
        <w:t>（签字）</w:t>
      </w:r>
    </w:p>
    <w:p w14:paraId="3D06334B">
      <w:pPr>
        <w:pStyle w:val="10"/>
        <w:tabs>
          <w:tab w:val="left" w:pos="7241"/>
        </w:tabs>
        <w:kinsoku w:val="0"/>
        <w:overflowPunct w:val="0"/>
        <w:spacing w:before="240" w:line="360" w:lineRule="auto"/>
        <w:ind w:left="2510" w:firstLine="416"/>
        <w:rPr>
          <w:strike/>
        </w:rPr>
      </w:pPr>
      <w:r>
        <w:rPr>
          <w:strike/>
          <w:spacing w:val="-2"/>
        </w:rPr>
        <w:t>联合体成员名称：</w:t>
      </w:r>
      <w:r>
        <w:rPr>
          <w:rFonts w:hint="eastAsia" w:ascii="Times New Roman" w:hAnsi="Times New Roman" w:eastAsia="Times New Roman"/>
          <w:strike/>
          <w:spacing w:val="-2"/>
          <w:u w:val="single"/>
        </w:rPr>
        <w:tab/>
      </w:r>
      <w:r>
        <w:rPr>
          <w:strike/>
          <w:spacing w:val="-1"/>
        </w:rPr>
        <w:t>（盖单位章）</w:t>
      </w:r>
    </w:p>
    <w:p w14:paraId="799D2C40">
      <w:pPr>
        <w:pStyle w:val="10"/>
        <w:tabs>
          <w:tab w:val="left" w:pos="6187"/>
        </w:tabs>
        <w:kinsoku w:val="0"/>
        <w:overflowPunct w:val="0"/>
        <w:spacing w:before="240" w:line="360" w:lineRule="auto"/>
        <w:ind w:left="2510" w:firstLine="416"/>
        <w:rPr>
          <w:strike/>
          <w:spacing w:val="-1"/>
        </w:rPr>
      </w:pPr>
      <w:r>
        <w:rPr>
          <w:strike/>
          <w:spacing w:val="-2"/>
        </w:rPr>
        <w:t>法定代表人或其委托代理人：</w:t>
      </w:r>
      <w:r>
        <w:rPr>
          <w:rFonts w:hint="eastAsia" w:ascii="Times New Roman" w:hAnsi="Times New Roman" w:eastAsia="Times New Roman"/>
          <w:strike/>
          <w:spacing w:val="-2"/>
          <w:u w:val="single"/>
        </w:rPr>
        <w:tab/>
      </w:r>
      <w:r>
        <w:rPr>
          <w:rFonts w:hAnsi="Times New Roman"/>
          <w:strike/>
          <w:spacing w:val="-2"/>
          <w:u w:val="single"/>
        </w:rPr>
        <w:t xml:space="preserve">         </w:t>
      </w:r>
      <w:r>
        <w:rPr>
          <w:strike/>
          <w:spacing w:val="-1"/>
        </w:rPr>
        <w:t>（签字）</w:t>
      </w:r>
    </w:p>
    <w:p w14:paraId="6F87112A">
      <w:pPr>
        <w:pStyle w:val="10"/>
        <w:kinsoku w:val="0"/>
        <w:overflowPunct w:val="0"/>
        <w:spacing w:before="240"/>
        <w:ind w:left="0" w:firstLine="420"/>
        <w:rPr>
          <w:strike/>
        </w:rPr>
      </w:pPr>
    </w:p>
    <w:p w14:paraId="51840640">
      <w:pPr>
        <w:pStyle w:val="10"/>
        <w:tabs>
          <w:tab w:val="left" w:pos="4538"/>
          <w:tab w:val="left" w:pos="5484"/>
          <w:tab w:val="left" w:pos="6427"/>
        </w:tabs>
        <w:kinsoku w:val="0"/>
        <w:overflowPunct w:val="0"/>
        <w:spacing w:before="240"/>
        <w:ind w:left="3801" w:firstLine="420"/>
        <w:rPr>
          <w:strike/>
        </w:rPr>
      </w:pPr>
      <w:r>
        <w:rPr>
          <w:rFonts w:hint="eastAsia" w:ascii="Times New Roman" w:hAnsi="Times New Roman" w:eastAsia="Times New Roman"/>
          <w:strike/>
          <w:u w:val="single"/>
        </w:rPr>
        <w:t xml:space="preserve"> </w:t>
      </w:r>
      <w:r>
        <w:rPr>
          <w:rFonts w:hint="eastAsia" w:ascii="Times New Roman" w:hAnsi="Times New Roman" w:eastAsia="Times New Roman"/>
          <w:strike/>
          <w:u w:val="single"/>
        </w:rPr>
        <w:tab/>
      </w:r>
      <w:r>
        <w:rPr>
          <w:strike/>
        </w:rPr>
        <w:t>年</w:t>
      </w:r>
      <w:r>
        <w:rPr>
          <w:rFonts w:hint="eastAsia" w:ascii="Times New Roman" w:hAnsi="Times New Roman" w:eastAsia="Times New Roman"/>
          <w:strike/>
          <w:u w:val="single"/>
        </w:rPr>
        <w:tab/>
      </w:r>
      <w:r>
        <w:rPr>
          <w:strike/>
          <w:spacing w:val="-3"/>
        </w:rPr>
        <w:t>月</w:t>
      </w:r>
      <w:r>
        <w:rPr>
          <w:rFonts w:hint="eastAsia" w:ascii="Times New Roman" w:hAnsi="Times New Roman" w:eastAsia="Times New Roman"/>
          <w:strike/>
          <w:spacing w:val="-3"/>
          <w:u w:val="single"/>
        </w:rPr>
        <w:tab/>
      </w:r>
      <w:r>
        <w:rPr>
          <w:strike/>
        </w:rPr>
        <w:t>日</w:t>
      </w:r>
    </w:p>
    <w:p w14:paraId="148DEC73">
      <w:pPr>
        <w:pStyle w:val="10"/>
        <w:tabs>
          <w:tab w:val="left" w:pos="4538"/>
          <w:tab w:val="left" w:pos="5484"/>
          <w:tab w:val="left" w:pos="6427"/>
        </w:tabs>
        <w:kinsoku w:val="0"/>
        <w:overflowPunct w:val="0"/>
        <w:spacing w:before="240"/>
        <w:ind w:left="3801" w:firstLine="420"/>
        <w:rPr>
          <w:strike/>
        </w:rPr>
        <w:sectPr>
          <w:pgSz w:w="11905" w:h="16838"/>
          <w:pgMar w:top="1417" w:right="1417" w:bottom="1417" w:left="1417" w:header="992" w:footer="992" w:gutter="0"/>
          <w:cols w:space="720" w:num="1"/>
        </w:sectPr>
      </w:pPr>
    </w:p>
    <w:p w14:paraId="3289566B">
      <w:pPr>
        <w:pStyle w:val="12"/>
        <w:spacing w:line="560" w:lineRule="exact"/>
        <w:ind w:firstLine="643" w:firstLineChars="200"/>
        <w:jc w:val="center"/>
        <w:rPr>
          <w:rFonts w:hAnsi="宋体" w:cs="宋体"/>
          <w:b/>
          <w:bCs/>
          <w:sz w:val="36"/>
          <w:szCs w:val="36"/>
        </w:rPr>
      </w:pPr>
      <w:bookmarkStart w:id="174" w:name="bookmark182"/>
      <w:bookmarkEnd w:id="174"/>
      <w:bookmarkStart w:id="175" w:name="_Toc10216"/>
      <w:r>
        <w:rPr>
          <w:rFonts w:hint="eastAsia" w:hAnsi="宋体" w:cs="宋体"/>
          <w:b/>
          <w:bCs/>
          <w:sz w:val="32"/>
          <w:szCs w:val="32"/>
          <w:lang w:val="zh-CN"/>
        </w:rPr>
        <w:t>四、关于投标保证金的承诺</w:t>
      </w:r>
    </w:p>
    <w:p w14:paraId="4ABDCED2">
      <w:pPr>
        <w:pStyle w:val="12"/>
        <w:spacing w:line="560" w:lineRule="exact"/>
        <w:ind w:firstLine="640" w:firstLineChars="200"/>
        <w:rPr>
          <w:rFonts w:hAnsi="宋体" w:cs="宋体"/>
          <w:strike/>
          <w:sz w:val="32"/>
          <w:szCs w:val="32"/>
        </w:rPr>
      </w:pPr>
    </w:p>
    <w:p w14:paraId="1F0F1261">
      <w:pPr>
        <w:spacing w:line="360" w:lineRule="auto"/>
        <w:rPr>
          <w:rFonts w:ascii="宋体" w:hAnsi="宋体" w:cs="宋体"/>
        </w:rPr>
      </w:pPr>
      <w:r>
        <w:rPr>
          <w:rFonts w:hint="eastAsia" w:ascii="宋体" w:hAnsi="宋体" w:cs="宋体"/>
        </w:rPr>
        <w:t>本招标项目招标人及招标监管机构：</w:t>
      </w:r>
    </w:p>
    <w:p w14:paraId="40D38E59">
      <w:pPr>
        <w:spacing w:line="360" w:lineRule="auto"/>
        <w:ind w:firstLine="480" w:firstLineChars="200"/>
        <w:rPr>
          <w:rFonts w:ascii="宋体" w:hAnsi="宋体" w:cs="宋体"/>
        </w:rPr>
      </w:pPr>
      <w:r>
        <w:rPr>
          <w:rFonts w:hint="eastAsia" w:ascii="宋体" w:hAnsi="宋体" w:cs="宋体"/>
        </w:rPr>
        <w:t>本公司就参加</w:t>
      </w:r>
      <w:r>
        <w:rPr>
          <w:rFonts w:hint="eastAsia" w:ascii="宋体" w:hAnsi="宋体" w:cs="宋体"/>
          <w:u w:val="single"/>
        </w:rPr>
        <w:t xml:space="preserve">      （项目名称）     </w:t>
      </w:r>
      <w:r>
        <w:rPr>
          <w:rFonts w:hint="eastAsia" w:ascii="宋体" w:hAnsi="宋体" w:cs="宋体"/>
        </w:rPr>
        <w:t>项目的投标工作，作出郑重声明：</w:t>
      </w:r>
    </w:p>
    <w:p w14:paraId="2113B45C">
      <w:pPr>
        <w:spacing w:line="360" w:lineRule="auto"/>
        <w:ind w:firstLine="480" w:firstLineChars="200"/>
        <w:rPr>
          <w:rFonts w:ascii="宋体" w:hAnsi="宋体" w:cs="宋体"/>
        </w:rPr>
      </w:pPr>
      <w:r>
        <w:rPr>
          <w:rFonts w:hint="eastAsia" w:ascii="宋体" w:hAnsi="宋体" w:cs="宋体"/>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lang w:val="zh-CN"/>
        </w:rPr>
        <w:t>一旦发生符合招标文件规定的不予退还投标保证金情形的，将</w:t>
      </w:r>
      <w:r>
        <w:rPr>
          <w:rFonts w:hint="eastAsia" w:ascii="宋体" w:hAnsi="宋体" w:cs="宋体"/>
        </w:rPr>
        <w:t>按照招标人的要求，在规定的时间内向招标人足额补交投标保证金。</w:t>
      </w:r>
    </w:p>
    <w:p w14:paraId="7A54FF25">
      <w:pPr>
        <w:spacing w:line="360" w:lineRule="auto"/>
        <w:ind w:firstLine="480" w:firstLineChars="200"/>
        <w:rPr>
          <w:rFonts w:ascii="宋体" w:hAnsi="宋体" w:cs="宋体"/>
        </w:rPr>
      </w:pPr>
      <w:r>
        <w:rPr>
          <w:rFonts w:hint="eastAsia" w:ascii="宋体" w:hAnsi="宋体" w:cs="宋体"/>
        </w:rPr>
        <w:t>本公司违反上述保证的，将被视为虚假承诺，按相关规定进行信用记录。本公司对失信行为产生的一切后果已知悉，并承担由此产生的相应责任。</w:t>
      </w:r>
    </w:p>
    <w:p w14:paraId="40BD6633">
      <w:pPr>
        <w:spacing w:line="360" w:lineRule="auto"/>
        <w:ind w:firstLine="480" w:firstLineChars="200"/>
        <w:rPr>
          <w:rFonts w:ascii="宋体" w:hAnsi="宋体" w:cs="宋体"/>
        </w:rPr>
      </w:pPr>
      <w:r>
        <w:rPr>
          <w:rFonts w:hint="eastAsia" w:ascii="宋体" w:hAnsi="宋体" w:cs="宋体"/>
        </w:rPr>
        <w:t>特此承诺。</w:t>
      </w:r>
    </w:p>
    <w:p w14:paraId="1AA4F282">
      <w:pPr>
        <w:spacing w:line="360" w:lineRule="auto"/>
        <w:ind w:firstLine="480" w:firstLineChars="200"/>
        <w:rPr>
          <w:rFonts w:ascii="宋体" w:hAnsi="宋体" w:cs="宋体"/>
        </w:rPr>
      </w:pPr>
    </w:p>
    <w:p w14:paraId="3F05144B">
      <w:pPr>
        <w:spacing w:line="360" w:lineRule="auto"/>
        <w:rPr>
          <w:rFonts w:ascii="宋体" w:hAnsi="宋体" w:cs="宋体"/>
        </w:rPr>
      </w:pPr>
    </w:p>
    <w:p w14:paraId="70A1E4D1">
      <w:pPr>
        <w:spacing w:line="360" w:lineRule="auto"/>
        <w:ind w:firstLine="3120" w:firstLineChars="1300"/>
        <w:rPr>
          <w:rFonts w:ascii="宋体" w:hAnsi="宋体" w:cs="宋体"/>
        </w:rPr>
      </w:pPr>
      <w:r>
        <w:rPr>
          <w:rFonts w:hint="eastAsia" w:ascii="宋体" w:hAnsi="宋体" w:cs="宋体"/>
        </w:rPr>
        <w:t>投标人：　　（盖章）</w:t>
      </w:r>
    </w:p>
    <w:p w14:paraId="12A3EAC2">
      <w:pPr>
        <w:pStyle w:val="4"/>
        <w:spacing w:before="120" w:after="120"/>
        <w:jc w:val="center"/>
        <w:rPr>
          <w:b w:val="0"/>
          <w:sz w:val="28"/>
        </w:rPr>
      </w:pPr>
      <w:r>
        <w:rPr>
          <w:rFonts w:hint="eastAsia" w:cs="宋体"/>
          <w:b w:val="0"/>
        </w:rPr>
        <w:t>日  期：</w:t>
      </w:r>
      <w:bookmarkEnd w:id="175"/>
    </w:p>
    <w:p w14:paraId="58F7C50D">
      <w:pPr>
        <w:pStyle w:val="10"/>
        <w:kinsoku w:val="0"/>
        <w:overflowPunct w:val="0"/>
        <w:spacing w:before="240" w:line="360" w:lineRule="auto"/>
        <w:ind w:left="0" w:firstLine="422"/>
        <w:rPr>
          <w:rFonts w:cs="宋体"/>
          <w:b/>
          <w:szCs w:val="21"/>
        </w:rPr>
      </w:pPr>
    </w:p>
    <w:p w14:paraId="18C631D5">
      <w:pPr>
        <w:pStyle w:val="4"/>
        <w:spacing w:before="120" w:after="120"/>
        <w:jc w:val="center"/>
        <w:sectPr>
          <w:pgSz w:w="11905" w:h="16838"/>
          <w:pgMar w:top="1417" w:right="1417" w:bottom="1417" w:left="1417" w:header="992" w:footer="992" w:gutter="0"/>
          <w:cols w:space="720" w:num="1"/>
        </w:sectPr>
      </w:pPr>
      <w:bookmarkStart w:id="176" w:name="bookmark183"/>
      <w:bookmarkEnd w:id="176"/>
    </w:p>
    <w:p w14:paraId="455E9A17">
      <w:pPr>
        <w:pStyle w:val="4"/>
        <w:spacing w:before="120" w:after="120"/>
        <w:jc w:val="center"/>
        <w:rPr>
          <w:strike/>
          <w:sz w:val="28"/>
        </w:rPr>
      </w:pPr>
      <w:bookmarkStart w:id="177" w:name="_Toc22758"/>
      <w:r>
        <w:rPr>
          <w:strike/>
          <w:sz w:val="28"/>
        </w:rPr>
        <w:t>五、监理报酬清单</w:t>
      </w:r>
      <w:bookmarkEnd w:id="177"/>
    </w:p>
    <w:p w14:paraId="28E6C6B3">
      <w:pPr>
        <w:pStyle w:val="10"/>
        <w:kinsoku w:val="0"/>
        <w:overflowPunct w:val="0"/>
        <w:ind w:left="0" w:firstLine="400"/>
        <w:rPr>
          <w:sz w:val="20"/>
        </w:rPr>
      </w:pPr>
    </w:p>
    <w:p w14:paraId="5149A0E1">
      <w:pPr>
        <w:pStyle w:val="32"/>
        <w:ind w:firstLine="428"/>
        <w:rPr>
          <w:rFonts w:ascii="宋体" w:hAnsi="宋体" w:cs="宋体"/>
          <w:sz w:val="21"/>
          <w:szCs w:val="21"/>
        </w:rPr>
        <w:sectPr>
          <w:pgSz w:w="11905" w:h="16838"/>
          <w:pgMar w:top="1417" w:right="1417" w:bottom="1417" w:left="1417" w:header="992" w:footer="992" w:gutter="0"/>
          <w:cols w:space="720" w:num="1"/>
        </w:sectPr>
      </w:pPr>
    </w:p>
    <w:p w14:paraId="2F2B3BC3">
      <w:pPr>
        <w:pStyle w:val="4"/>
        <w:kinsoku w:val="0"/>
        <w:overflowPunct w:val="0"/>
        <w:spacing w:before="120" w:after="120" w:line="456" w:lineRule="exact"/>
        <w:ind w:right="1"/>
        <w:jc w:val="center"/>
        <w:rPr>
          <w:b w:val="0"/>
          <w:sz w:val="28"/>
        </w:rPr>
      </w:pPr>
      <w:bookmarkStart w:id="178" w:name="bookmark184"/>
      <w:bookmarkEnd w:id="178"/>
      <w:bookmarkStart w:id="179" w:name="_Toc10013"/>
      <w:r>
        <w:rPr>
          <w:sz w:val="28"/>
        </w:rPr>
        <w:t>六、资格审查资料</w:t>
      </w:r>
      <w:bookmarkEnd w:id="179"/>
    </w:p>
    <w:p w14:paraId="21C97C24">
      <w:pPr>
        <w:pStyle w:val="10"/>
        <w:kinsoku w:val="0"/>
        <w:overflowPunct w:val="0"/>
        <w:spacing w:before="240"/>
        <w:ind w:left="0" w:firstLine="300"/>
        <w:rPr>
          <w:rFonts w:ascii="Microsoft JhengHei" w:hAnsi="Microsoft JhengHei" w:eastAsia="Microsoft JhengHei"/>
          <w:b/>
          <w:sz w:val="15"/>
        </w:rPr>
      </w:pPr>
    </w:p>
    <w:p w14:paraId="008157B3">
      <w:pPr>
        <w:pStyle w:val="5"/>
        <w:rPr>
          <w:b/>
          <w:sz w:val="24"/>
        </w:rPr>
      </w:pPr>
      <w:bookmarkStart w:id="180" w:name="bookmark185"/>
      <w:bookmarkEnd w:id="180"/>
      <w:bookmarkStart w:id="181" w:name="_Toc28818"/>
      <w:r>
        <w:rPr>
          <w:b/>
          <w:sz w:val="24"/>
        </w:rPr>
        <w:t>（一）基本情况表</w:t>
      </w:r>
      <w:bookmarkEnd w:id="181"/>
    </w:p>
    <w:p w14:paraId="0B271C6B">
      <w:pPr>
        <w:pStyle w:val="10"/>
        <w:kinsoku w:val="0"/>
        <w:overflowPunct w:val="0"/>
        <w:ind w:left="0" w:firstLine="460"/>
        <w:rPr>
          <w:sz w:val="23"/>
        </w:rPr>
      </w:pPr>
    </w:p>
    <w:tbl>
      <w:tblPr>
        <w:tblStyle w:val="22"/>
        <w:tblW w:w="9212" w:type="dxa"/>
        <w:tblInd w:w="-104" w:type="dxa"/>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7FE69F64">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B4F4F63">
            <w:pPr>
              <w:pStyle w:val="28"/>
              <w:kinsoku w:val="0"/>
              <w:overflowPunct w:val="0"/>
              <w:jc w:val="center"/>
              <w:rPr>
                <w:rFonts w:ascii="宋体" w:hAnsi="宋体" w:cs="宋体"/>
                <w:sz w:val="21"/>
                <w:szCs w:val="21"/>
              </w:rPr>
            </w:pPr>
            <w:r>
              <w:rPr>
                <w:rFonts w:ascii="宋体" w:hAnsi="宋体" w:cs="宋体"/>
                <w:sz w:val="21"/>
                <w:szCs w:val="21"/>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254BB37B">
            <w:pPr>
              <w:rPr>
                <w:rFonts w:ascii="宋体" w:hAnsi="宋体" w:cs="宋体"/>
                <w:sz w:val="21"/>
                <w:szCs w:val="21"/>
              </w:rPr>
            </w:pPr>
          </w:p>
        </w:tc>
      </w:tr>
      <w:tr w14:paraId="19BE57DF">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DD0DD72">
            <w:pPr>
              <w:pStyle w:val="28"/>
              <w:kinsoku w:val="0"/>
              <w:overflowPunct w:val="0"/>
              <w:jc w:val="center"/>
              <w:rPr>
                <w:rFonts w:ascii="宋体" w:hAnsi="宋体" w:cs="宋体"/>
                <w:sz w:val="21"/>
                <w:szCs w:val="21"/>
              </w:rPr>
            </w:pPr>
            <w:r>
              <w:rPr>
                <w:rFonts w:ascii="宋体" w:hAnsi="宋体" w:cs="宋体"/>
                <w:sz w:val="21"/>
                <w:szCs w:val="21"/>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370F4F37">
            <w:pPr>
              <w:rPr>
                <w:rFonts w:ascii="宋体" w:hAnsi="宋体" w:cs="宋体"/>
                <w:sz w:val="21"/>
                <w:szCs w:val="21"/>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725536ED">
            <w:pPr>
              <w:pStyle w:val="28"/>
              <w:kinsoku w:val="0"/>
              <w:overflowPunct w:val="0"/>
              <w:spacing w:before="107"/>
              <w:ind w:left="218"/>
              <w:rPr>
                <w:rFonts w:ascii="宋体" w:hAnsi="宋体" w:cs="宋体"/>
                <w:sz w:val="21"/>
                <w:szCs w:val="21"/>
              </w:rPr>
            </w:pPr>
            <w:r>
              <w:rPr>
                <w:rFonts w:ascii="宋体" w:hAnsi="宋体" w:cs="宋体"/>
                <w:sz w:val="21"/>
                <w:szCs w:val="21"/>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21279E3D">
            <w:pPr>
              <w:rPr>
                <w:rFonts w:ascii="宋体" w:hAnsi="宋体" w:cs="宋体"/>
                <w:sz w:val="21"/>
                <w:szCs w:val="21"/>
              </w:rPr>
            </w:pPr>
          </w:p>
        </w:tc>
      </w:tr>
      <w:tr w14:paraId="5017F9D8">
        <w:tblPrEx>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A722BA1">
            <w:pPr>
              <w:pStyle w:val="28"/>
              <w:kinsoku w:val="0"/>
              <w:overflowPunct w:val="0"/>
              <w:jc w:val="center"/>
              <w:rPr>
                <w:rFonts w:ascii="宋体" w:hAnsi="宋体" w:cs="宋体"/>
                <w:sz w:val="21"/>
                <w:szCs w:val="21"/>
              </w:rPr>
            </w:pPr>
          </w:p>
          <w:p w14:paraId="3A56C26B">
            <w:pPr>
              <w:pStyle w:val="28"/>
              <w:kinsoku w:val="0"/>
              <w:overflowPunct w:val="0"/>
              <w:jc w:val="center"/>
              <w:rPr>
                <w:rFonts w:ascii="宋体" w:hAnsi="宋体" w:cs="宋体"/>
                <w:sz w:val="21"/>
                <w:szCs w:val="21"/>
              </w:rPr>
            </w:pPr>
            <w:r>
              <w:rPr>
                <w:rFonts w:ascii="宋体" w:hAnsi="宋体" w:cs="宋体"/>
                <w:sz w:val="21"/>
                <w:szCs w:val="21"/>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535F1F52">
            <w:pPr>
              <w:pStyle w:val="28"/>
              <w:kinsoku w:val="0"/>
              <w:overflowPunct w:val="0"/>
              <w:spacing w:before="107"/>
              <w:jc w:val="center"/>
              <w:rPr>
                <w:rFonts w:ascii="宋体" w:hAnsi="宋体" w:cs="宋体"/>
                <w:sz w:val="21"/>
                <w:szCs w:val="21"/>
              </w:rPr>
            </w:pPr>
            <w:r>
              <w:rPr>
                <w:rFonts w:ascii="宋体" w:hAnsi="宋体" w:cs="宋体"/>
                <w:sz w:val="21"/>
                <w:szCs w:val="21"/>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7AC850F2">
            <w:pPr>
              <w:rPr>
                <w:rFonts w:ascii="宋体" w:hAnsi="宋体" w:cs="宋体"/>
                <w:sz w:val="21"/>
                <w:szCs w:val="21"/>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17CC6EF1">
            <w:pPr>
              <w:pStyle w:val="28"/>
              <w:kinsoku w:val="0"/>
              <w:overflowPunct w:val="0"/>
              <w:spacing w:before="107"/>
              <w:ind w:left="374"/>
              <w:rPr>
                <w:rFonts w:ascii="宋体" w:hAnsi="宋体" w:cs="宋体"/>
                <w:sz w:val="21"/>
                <w:szCs w:val="21"/>
              </w:rPr>
            </w:pPr>
            <w:r>
              <w:rPr>
                <w:rFonts w:ascii="宋体" w:hAnsi="宋体" w:cs="宋体"/>
                <w:sz w:val="21"/>
                <w:szCs w:val="21"/>
              </w:rPr>
              <w:t>电</w:t>
            </w:r>
            <w:r>
              <w:rPr>
                <w:rFonts w:ascii="宋体" w:hAnsi="宋体" w:cs="宋体"/>
                <w:spacing w:val="2"/>
                <w:sz w:val="21"/>
                <w:szCs w:val="21"/>
              </w:rPr>
              <w:t xml:space="preserve"> </w:t>
            </w:r>
            <w:r>
              <w:rPr>
                <w:rFonts w:ascii="宋体" w:hAnsi="宋体" w:cs="宋体"/>
                <w:sz w:val="21"/>
                <w:szCs w:val="21"/>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385C35E1">
            <w:pPr>
              <w:rPr>
                <w:rFonts w:ascii="宋体" w:hAnsi="宋体" w:cs="宋体"/>
                <w:sz w:val="21"/>
                <w:szCs w:val="21"/>
              </w:rPr>
            </w:pPr>
          </w:p>
        </w:tc>
      </w:tr>
      <w:tr w14:paraId="055AE051">
        <w:tblPrEx>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BFC6321">
            <w:pPr>
              <w:jc w:val="center"/>
              <w:rPr>
                <w:rFonts w:ascii="宋体" w:hAnsi="宋体" w:cs="宋体"/>
                <w:sz w:val="21"/>
                <w:szCs w:val="21"/>
              </w:rPr>
            </w:pP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5F24F1CA">
            <w:pPr>
              <w:pStyle w:val="28"/>
              <w:tabs>
                <w:tab w:val="left" w:pos="550"/>
              </w:tabs>
              <w:kinsoku w:val="0"/>
              <w:overflowPunct w:val="0"/>
              <w:spacing w:before="108"/>
              <w:jc w:val="center"/>
              <w:rPr>
                <w:rFonts w:ascii="宋体" w:hAnsi="宋体" w:cs="宋体"/>
                <w:sz w:val="21"/>
                <w:szCs w:val="21"/>
              </w:rPr>
            </w:pPr>
            <w:r>
              <w:rPr>
                <w:rFonts w:ascii="宋体" w:hAnsi="宋体" w:cs="宋体"/>
                <w:sz w:val="21"/>
                <w:szCs w:val="21"/>
              </w:rPr>
              <w:t>传真</w:t>
            </w:r>
            <w:r>
              <w:rPr>
                <w:rFonts w:ascii="宋体" w:hAnsi="宋体" w:cs="宋体"/>
                <w:sz w:val="21"/>
                <w:szCs w:val="21"/>
              </w:rPr>
              <w:tab/>
            </w:r>
            <w:r>
              <w:rPr>
                <w:rFonts w:ascii="宋体" w:hAnsi="宋体" w:cs="宋体"/>
                <w:sz w:val="21"/>
                <w:szCs w:val="21"/>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08FCFA4E">
            <w:pPr>
              <w:rPr>
                <w:rFonts w:ascii="宋体" w:hAnsi="宋体" w:cs="宋体"/>
                <w:sz w:val="21"/>
                <w:szCs w:val="21"/>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012B6DAC">
            <w:pPr>
              <w:pStyle w:val="28"/>
              <w:kinsoku w:val="0"/>
              <w:overflowPunct w:val="0"/>
              <w:spacing w:before="108"/>
              <w:ind w:left="374"/>
              <w:rPr>
                <w:rFonts w:ascii="宋体" w:hAnsi="宋体" w:cs="宋体"/>
                <w:sz w:val="21"/>
                <w:szCs w:val="21"/>
              </w:rPr>
            </w:pPr>
            <w:r>
              <w:rPr>
                <w:rFonts w:ascii="宋体" w:hAnsi="宋体" w:cs="宋体"/>
                <w:sz w:val="21"/>
                <w:szCs w:val="21"/>
              </w:rPr>
              <w:t>网</w:t>
            </w:r>
            <w:r>
              <w:rPr>
                <w:rFonts w:ascii="宋体" w:hAnsi="宋体" w:cs="宋体"/>
                <w:spacing w:val="2"/>
                <w:sz w:val="21"/>
                <w:szCs w:val="21"/>
              </w:rPr>
              <w:t xml:space="preserve"> </w:t>
            </w:r>
            <w:r>
              <w:rPr>
                <w:rFonts w:ascii="宋体" w:hAnsi="宋体" w:cs="宋体"/>
                <w:sz w:val="21"/>
                <w:szCs w:val="21"/>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165423E4">
            <w:pPr>
              <w:rPr>
                <w:rFonts w:ascii="宋体" w:hAnsi="宋体" w:cs="宋体"/>
                <w:sz w:val="21"/>
                <w:szCs w:val="21"/>
              </w:rPr>
            </w:pPr>
          </w:p>
        </w:tc>
      </w:tr>
      <w:tr w14:paraId="111D4D68">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549D1127">
            <w:pPr>
              <w:pStyle w:val="28"/>
              <w:kinsoku w:val="0"/>
              <w:overflowPunct w:val="0"/>
              <w:jc w:val="center"/>
              <w:rPr>
                <w:rFonts w:ascii="宋体" w:hAnsi="宋体" w:cs="宋体"/>
                <w:sz w:val="21"/>
                <w:szCs w:val="21"/>
              </w:rPr>
            </w:pPr>
            <w:r>
              <w:rPr>
                <w:rFonts w:ascii="宋体" w:hAnsi="宋体" w:cs="宋体"/>
                <w:sz w:val="21"/>
                <w:szCs w:val="21"/>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50D9FFA4">
            <w:pPr>
              <w:pStyle w:val="28"/>
              <w:kinsoku w:val="0"/>
              <w:overflowPunct w:val="0"/>
              <w:spacing w:before="107"/>
              <w:jc w:val="center"/>
              <w:rPr>
                <w:rFonts w:ascii="宋体" w:hAnsi="宋体" w:cs="宋体"/>
                <w:sz w:val="21"/>
                <w:szCs w:val="21"/>
              </w:rPr>
            </w:pPr>
            <w:r>
              <w:rPr>
                <w:rFonts w:ascii="宋体" w:hAnsi="宋体" w:cs="宋体"/>
                <w:sz w:val="21"/>
                <w:szCs w:val="21"/>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5AFE52E4">
            <w:pPr>
              <w:rPr>
                <w:rFonts w:ascii="宋体" w:hAnsi="宋体" w:cs="宋体"/>
                <w:sz w:val="21"/>
                <w:szCs w:val="21"/>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7890FED4">
            <w:pPr>
              <w:pStyle w:val="28"/>
              <w:kinsoku w:val="0"/>
              <w:overflowPunct w:val="0"/>
              <w:spacing w:before="107"/>
              <w:rPr>
                <w:rFonts w:ascii="宋体" w:hAnsi="宋体" w:cs="宋体"/>
                <w:sz w:val="21"/>
                <w:szCs w:val="21"/>
              </w:rPr>
            </w:pPr>
            <w:r>
              <w:rPr>
                <w:rFonts w:ascii="宋体" w:hAnsi="宋体" w:cs="宋体"/>
                <w:sz w:val="21"/>
                <w:szCs w:val="21"/>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4B2FCF68">
            <w:pPr>
              <w:rPr>
                <w:rFonts w:ascii="宋体" w:hAnsi="宋体" w:cs="宋体"/>
                <w:sz w:val="21"/>
                <w:szCs w:val="21"/>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0ACCCB03">
            <w:pPr>
              <w:pStyle w:val="28"/>
              <w:kinsoku w:val="0"/>
              <w:overflowPunct w:val="0"/>
              <w:spacing w:before="107"/>
              <w:rPr>
                <w:rFonts w:ascii="宋体" w:hAnsi="宋体" w:cs="宋体"/>
                <w:sz w:val="21"/>
                <w:szCs w:val="21"/>
              </w:rPr>
            </w:pPr>
            <w:r>
              <w:rPr>
                <w:rFonts w:ascii="宋体" w:hAnsi="宋体" w:cs="宋体"/>
                <w:sz w:val="21"/>
                <w:szCs w:val="21"/>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7CF2F005">
            <w:pPr>
              <w:rPr>
                <w:rFonts w:ascii="宋体" w:hAnsi="宋体" w:cs="宋体"/>
                <w:sz w:val="21"/>
                <w:szCs w:val="21"/>
              </w:rPr>
            </w:pPr>
          </w:p>
        </w:tc>
      </w:tr>
      <w:tr w14:paraId="06B6911D">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17934B4">
            <w:pPr>
              <w:pStyle w:val="28"/>
              <w:kinsoku w:val="0"/>
              <w:overflowPunct w:val="0"/>
              <w:jc w:val="center"/>
              <w:rPr>
                <w:rFonts w:ascii="宋体" w:hAnsi="宋体" w:cs="宋体"/>
                <w:sz w:val="21"/>
                <w:szCs w:val="21"/>
              </w:rPr>
            </w:pPr>
            <w:r>
              <w:rPr>
                <w:rFonts w:ascii="宋体" w:hAnsi="宋体" w:cs="宋体"/>
                <w:sz w:val="21"/>
                <w:szCs w:val="21"/>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1EF441FE">
            <w:pPr>
              <w:pStyle w:val="28"/>
              <w:kinsoku w:val="0"/>
              <w:overflowPunct w:val="0"/>
              <w:spacing w:before="107"/>
              <w:jc w:val="center"/>
              <w:rPr>
                <w:rFonts w:ascii="宋体" w:hAnsi="宋体" w:cs="宋体"/>
                <w:sz w:val="21"/>
                <w:szCs w:val="21"/>
              </w:rPr>
            </w:pPr>
            <w:r>
              <w:rPr>
                <w:rFonts w:ascii="宋体" w:hAnsi="宋体" w:cs="宋体"/>
                <w:sz w:val="21"/>
                <w:szCs w:val="21"/>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0476AA4C">
            <w:pPr>
              <w:rPr>
                <w:rFonts w:ascii="宋体" w:hAnsi="宋体" w:cs="宋体"/>
                <w:sz w:val="21"/>
                <w:szCs w:val="21"/>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0B18053A">
            <w:pPr>
              <w:pStyle w:val="28"/>
              <w:kinsoku w:val="0"/>
              <w:overflowPunct w:val="0"/>
              <w:spacing w:before="107"/>
              <w:rPr>
                <w:rFonts w:ascii="宋体" w:hAnsi="宋体" w:cs="宋体"/>
                <w:sz w:val="21"/>
                <w:szCs w:val="21"/>
              </w:rPr>
            </w:pPr>
            <w:r>
              <w:rPr>
                <w:rFonts w:ascii="宋体" w:hAnsi="宋体" w:cs="宋体"/>
                <w:sz w:val="21"/>
                <w:szCs w:val="21"/>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188F33DB">
            <w:pPr>
              <w:rPr>
                <w:rFonts w:ascii="宋体" w:hAnsi="宋体" w:cs="宋体"/>
                <w:sz w:val="21"/>
                <w:szCs w:val="21"/>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5CE58DDA">
            <w:pPr>
              <w:pStyle w:val="28"/>
              <w:kinsoku w:val="0"/>
              <w:overflowPunct w:val="0"/>
              <w:spacing w:before="107"/>
              <w:rPr>
                <w:rFonts w:ascii="宋体" w:hAnsi="宋体" w:cs="宋体"/>
                <w:sz w:val="21"/>
                <w:szCs w:val="21"/>
              </w:rPr>
            </w:pPr>
            <w:r>
              <w:rPr>
                <w:rFonts w:ascii="宋体" w:hAnsi="宋体" w:cs="宋体"/>
                <w:sz w:val="21"/>
                <w:szCs w:val="21"/>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74DBAA14">
            <w:pPr>
              <w:rPr>
                <w:rFonts w:ascii="宋体" w:hAnsi="宋体" w:cs="宋体"/>
                <w:sz w:val="21"/>
                <w:szCs w:val="21"/>
              </w:rPr>
            </w:pPr>
          </w:p>
        </w:tc>
      </w:tr>
      <w:tr w14:paraId="2A2E4F61">
        <w:tblPrEx>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06ADB292">
            <w:pPr>
              <w:pStyle w:val="28"/>
              <w:kinsoku w:val="0"/>
              <w:overflowPunct w:val="0"/>
              <w:jc w:val="center"/>
              <w:rPr>
                <w:rFonts w:ascii="宋体" w:hAnsi="宋体" w:cs="宋体"/>
                <w:sz w:val="21"/>
                <w:szCs w:val="21"/>
              </w:rPr>
            </w:pPr>
            <w:r>
              <w:rPr>
                <w:rFonts w:ascii="宋体" w:hAnsi="宋体" w:cs="宋体"/>
                <w:sz w:val="21"/>
                <w:szCs w:val="21"/>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1E90D2A9">
            <w:pPr>
              <w:pStyle w:val="28"/>
              <w:tabs>
                <w:tab w:val="left" w:pos="3785"/>
                <w:tab w:val="left" w:pos="5045"/>
              </w:tabs>
              <w:kinsoku w:val="0"/>
              <w:overflowPunct w:val="0"/>
              <w:spacing w:before="107"/>
              <w:ind w:left="1054"/>
              <w:rPr>
                <w:rFonts w:ascii="宋体" w:hAnsi="宋体" w:cs="宋体"/>
                <w:sz w:val="21"/>
                <w:szCs w:val="21"/>
              </w:rPr>
            </w:pPr>
            <w:r>
              <w:rPr>
                <w:rFonts w:ascii="宋体" w:hAnsi="宋体" w:cs="宋体"/>
                <w:sz w:val="21"/>
                <w:szCs w:val="21"/>
              </w:rPr>
              <w:t>类型：</w:t>
            </w:r>
            <w:r>
              <w:rPr>
                <w:rFonts w:ascii="宋体" w:hAnsi="宋体" w:cs="宋体"/>
                <w:sz w:val="21"/>
                <w:szCs w:val="21"/>
              </w:rPr>
              <w:tab/>
            </w:r>
            <w:r>
              <w:rPr>
                <w:rFonts w:ascii="宋体" w:hAnsi="宋体" w:cs="宋体"/>
                <w:spacing w:val="-1"/>
                <w:sz w:val="21"/>
                <w:szCs w:val="21"/>
              </w:rPr>
              <w:t>等级：</w:t>
            </w:r>
            <w:r>
              <w:rPr>
                <w:rFonts w:ascii="宋体" w:hAnsi="宋体" w:cs="宋体"/>
                <w:spacing w:val="-1"/>
                <w:sz w:val="21"/>
                <w:szCs w:val="21"/>
              </w:rPr>
              <w:tab/>
            </w:r>
            <w:r>
              <w:rPr>
                <w:rFonts w:ascii="宋体" w:hAnsi="宋体" w:cs="宋体"/>
                <w:spacing w:val="-2"/>
                <w:sz w:val="21"/>
                <w:szCs w:val="21"/>
              </w:rPr>
              <w:t>证书号：</w:t>
            </w:r>
          </w:p>
        </w:tc>
      </w:tr>
      <w:tr w14:paraId="50FD2D7D">
        <w:tblPrEx>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01CBBBBF">
            <w:pPr>
              <w:pStyle w:val="28"/>
              <w:kinsoku w:val="0"/>
              <w:overflowPunct w:val="0"/>
              <w:jc w:val="center"/>
              <w:rPr>
                <w:rFonts w:ascii="宋体" w:hAnsi="宋体" w:cs="宋体"/>
                <w:sz w:val="21"/>
                <w:szCs w:val="21"/>
              </w:rPr>
            </w:pPr>
            <w:r>
              <w:rPr>
                <w:rFonts w:ascii="宋体" w:hAnsi="宋体" w:cs="宋体"/>
                <w:sz w:val="21"/>
                <w:szCs w:val="21"/>
              </w:rPr>
              <w:t>质量管理体系证书</w:t>
            </w:r>
          </w:p>
          <w:p w14:paraId="3C010F9C">
            <w:pPr>
              <w:pStyle w:val="28"/>
              <w:kinsoku w:val="0"/>
              <w:overflowPunct w:val="0"/>
              <w:ind w:right="101"/>
              <w:jc w:val="center"/>
              <w:rPr>
                <w:rFonts w:ascii="宋体" w:hAnsi="宋体" w:cs="宋体"/>
                <w:sz w:val="21"/>
                <w:szCs w:val="21"/>
              </w:rPr>
            </w:pPr>
            <w:r>
              <w:rPr>
                <w:rFonts w:ascii="宋体" w:hAnsi="宋体" w:cs="宋体"/>
                <w:sz w:val="21"/>
                <w:szCs w:val="21"/>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008F9462">
            <w:pPr>
              <w:pStyle w:val="28"/>
              <w:kinsoku w:val="0"/>
              <w:overflowPunct w:val="0"/>
              <w:spacing w:before="1"/>
              <w:rPr>
                <w:rFonts w:ascii="宋体" w:hAnsi="宋体" w:cs="宋体"/>
                <w:sz w:val="21"/>
                <w:szCs w:val="21"/>
              </w:rPr>
            </w:pPr>
          </w:p>
          <w:p w14:paraId="61819B6C">
            <w:pPr>
              <w:pStyle w:val="28"/>
              <w:tabs>
                <w:tab w:val="left" w:pos="3785"/>
                <w:tab w:val="left" w:pos="5045"/>
              </w:tabs>
              <w:kinsoku w:val="0"/>
              <w:overflowPunct w:val="0"/>
              <w:ind w:left="1054"/>
              <w:rPr>
                <w:rFonts w:ascii="宋体" w:hAnsi="宋体" w:cs="宋体"/>
                <w:sz w:val="21"/>
                <w:szCs w:val="21"/>
              </w:rPr>
            </w:pPr>
            <w:r>
              <w:rPr>
                <w:rFonts w:ascii="宋体" w:hAnsi="宋体" w:cs="宋体"/>
                <w:sz w:val="21"/>
                <w:szCs w:val="21"/>
              </w:rPr>
              <w:t>类型：</w:t>
            </w:r>
            <w:r>
              <w:rPr>
                <w:rFonts w:ascii="宋体" w:hAnsi="宋体" w:cs="宋体"/>
                <w:sz w:val="21"/>
                <w:szCs w:val="21"/>
              </w:rPr>
              <w:tab/>
            </w:r>
            <w:r>
              <w:rPr>
                <w:rFonts w:ascii="宋体" w:hAnsi="宋体" w:cs="宋体"/>
                <w:spacing w:val="-1"/>
                <w:sz w:val="21"/>
                <w:szCs w:val="21"/>
              </w:rPr>
              <w:t>等级：</w:t>
            </w:r>
            <w:r>
              <w:rPr>
                <w:rFonts w:ascii="宋体" w:hAnsi="宋体" w:cs="宋体"/>
                <w:spacing w:val="-1"/>
                <w:sz w:val="21"/>
                <w:szCs w:val="21"/>
              </w:rPr>
              <w:tab/>
            </w:r>
            <w:r>
              <w:rPr>
                <w:rFonts w:ascii="宋体" w:hAnsi="宋体" w:cs="宋体"/>
                <w:spacing w:val="-2"/>
                <w:sz w:val="21"/>
                <w:szCs w:val="21"/>
              </w:rPr>
              <w:t>证书号：</w:t>
            </w:r>
          </w:p>
        </w:tc>
      </w:tr>
      <w:tr w14:paraId="1E2441DF">
        <w:tblPrEx>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0ACC73B0">
            <w:pPr>
              <w:pStyle w:val="28"/>
              <w:kinsoku w:val="0"/>
              <w:overflowPunct w:val="0"/>
              <w:jc w:val="center"/>
              <w:rPr>
                <w:rFonts w:ascii="宋体" w:hAnsi="宋体" w:cs="宋体"/>
                <w:sz w:val="21"/>
                <w:szCs w:val="21"/>
              </w:rPr>
            </w:pPr>
            <w:r>
              <w:rPr>
                <w:rFonts w:ascii="宋体" w:hAnsi="宋体" w:cs="宋体"/>
                <w:sz w:val="21"/>
                <w:szCs w:val="21"/>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3507E474">
            <w:pPr>
              <w:rPr>
                <w:rFonts w:ascii="宋体" w:hAnsi="宋体" w:cs="宋体"/>
                <w:sz w:val="21"/>
                <w:szCs w:val="21"/>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tcPr>
          <w:p w14:paraId="313553ED">
            <w:pPr>
              <w:pStyle w:val="28"/>
              <w:kinsoku w:val="0"/>
              <w:overflowPunct w:val="0"/>
              <w:spacing w:before="107"/>
              <w:ind w:left="1178"/>
              <w:rPr>
                <w:rFonts w:ascii="宋体" w:hAnsi="宋体" w:cs="宋体"/>
                <w:sz w:val="21"/>
                <w:szCs w:val="21"/>
              </w:rPr>
            </w:pPr>
            <w:r>
              <w:rPr>
                <w:rFonts w:ascii="宋体" w:hAnsi="宋体" w:cs="宋体"/>
                <w:sz w:val="21"/>
                <w:szCs w:val="21"/>
              </w:rPr>
              <w:t>员工总人数：</w:t>
            </w:r>
          </w:p>
        </w:tc>
      </w:tr>
      <w:tr w14:paraId="26B9D02F">
        <w:tblPrEx>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9B4A22D">
            <w:pPr>
              <w:pStyle w:val="28"/>
              <w:kinsoku w:val="0"/>
              <w:overflowPunct w:val="0"/>
              <w:jc w:val="center"/>
              <w:rPr>
                <w:rFonts w:ascii="宋体" w:hAnsi="宋体" w:cs="宋体"/>
                <w:sz w:val="21"/>
                <w:szCs w:val="21"/>
              </w:rPr>
            </w:pPr>
            <w:r>
              <w:rPr>
                <w:rFonts w:ascii="宋体" w:hAnsi="宋体" w:cs="宋体"/>
                <w:sz w:val="21"/>
                <w:szCs w:val="21"/>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1DE1CD89">
            <w:pPr>
              <w:rPr>
                <w:rFonts w:ascii="宋体" w:hAnsi="宋体" w:cs="宋体"/>
                <w:sz w:val="21"/>
                <w:szCs w:val="21"/>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07D799B">
            <w:pPr>
              <w:pStyle w:val="28"/>
              <w:kinsoku w:val="0"/>
              <w:overflowPunct w:val="0"/>
              <w:spacing w:line="384" w:lineRule="auto"/>
              <w:ind w:right="89"/>
              <w:jc w:val="center"/>
              <w:rPr>
                <w:rFonts w:ascii="宋体" w:hAnsi="宋体" w:cs="宋体"/>
                <w:sz w:val="21"/>
                <w:szCs w:val="21"/>
              </w:rPr>
            </w:pPr>
            <w:r>
              <w:rPr>
                <w:rFonts w:ascii="宋体" w:hAnsi="宋体" w:cs="宋体"/>
                <w:sz w:val="21"/>
                <w:szCs w:val="21"/>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DB4BBC3">
            <w:pPr>
              <w:pStyle w:val="28"/>
              <w:kinsoku w:val="0"/>
              <w:overflowPunct w:val="0"/>
              <w:jc w:val="center"/>
              <w:rPr>
                <w:rFonts w:ascii="宋体" w:hAnsi="宋体" w:cs="宋体"/>
                <w:sz w:val="21"/>
                <w:szCs w:val="21"/>
              </w:rPr>
            </w:pPr>
            <w:r>
              <w:rPr>
                <w:rFonts w:ascii="宋体" w:hAnsi="宋体" w:cs="宋体"/>
                <w:sz w:val="21"/>
                <w:szCs w:val="21"/>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31FB38F0">
            <w:pPr>
              <w:rPr>
                <w:rFonts w:ascii="宋体" w:hAnsi="宋体" w:cs="宋体"/>
                <w:sz w:val="21"/>
                <w:szCs w:val="21"/>
              </w:rPr>
            </w:pPr>
          </w:p>
        </w:tc>
      </w:tr>
      <w:tr w14:paraId="385A5BFD">
        <w:tblPrEx>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FF464A6">
            <w:pPr>
              <w:pStyle w:val="28"/>
              <w:kinsoku w:val="0"/>
              <w:overflowPunct w:val="0"/>
              <w:jc w:val="center"/>
              <w:rPr>
                <w:rFonts w:ascii="宋体" w:hAnsi="宋体" w:cs="宋体"/>
                <w:sz w:val="21"/>
                <w:szCs w:val="21"/>
              </w:rPr>
            </w:pPr>
            <w:r>
              <w:rPr>
                <w:rFonts w:ascii="宋体" w:hAnsi="宋体" w:cs="宋体"/>
                <w:sz w:val="21"/>
                <w:szCs w:val="21"/>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29A9766D">
            <w:pPr>
              <w:rPr>
                <w:rFonts w:ascii="宋体" w:hAnsi="宋体" w:cs="宋体"/>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0C957EF8">
            <w:pPr>
              <w:rPr>
                <w:rFonts w:ascii="宋体" w:hAnsi="宋体" w:cs="宋体"/>
                <w:sz w:val="21"/>
                <w:szCs w:val="21"/>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37BD2EC">
            <w:pPr>
              <w:pStyle w:val="28"/>
              <w:kinsoku w:val="0"/>
              <w:overflowPunct w:val="0"/>
              <w:jc w:val="center"/>
              <w:rPr>
                <w:rFonts w:ascii="宋体" w:hAnsi="宋体" w:cs="宋体"/>
                <w:sz w:val="21"/>
                <w:szCs w:val="21"/>
              </w:rPr>
            </w:pPr>
            <w:r>
              <w:rPr>
                <w:rFonts w:ascii="宋体" w:hAnsi="宋体" w:cs="宋体"/>
                <w:sz w:val="21"/>
                <w:szCs w:val="21"/>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4A006181">
            <w:pPr>
              <w:rPr>
                <w:rFonts w:ascii="宋体" w:hAnsi="宋体" w:cs="宋体"/>
                <w:sz w:val="21"/>
                <w:szCs w:val="21"/>
              </w:rPr>
            </w:pPr>
          </w:p>
        </w:tc>
      </w:tr>
      <w:tr w14:paraId="010AB67E">
        <w:tblPrEx>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598FD8FE">
            <w:pPr>
              <w:pStyle w:val="28"/>
              <w:kinsoku w:val="0"/>
              <w:overflowPunct w:val="0"/>
              <w:jc w:val="center"/>
              <w:rPr>
                <w:rFonts w:ascii="宋体" w:hAnsi="宋体" w:cs="宋体"/>
                <w:sz w:val="21"/>
                <w:szCs w:val="21"/>
              </w:rPr>
            </w:pPr>
            <w:r>
              <w:rPr>
                <w:rFonts w:ascii="宋体" w:hAnsi="宋体" w:cs="宋体"/>
                <w:sz w:val="21"/>
                <w:szCs w:val="21"/>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2CFDFBB2">
            <w:pPr>
              <w:rPr>
                <w:rFonts w:ascii="宋体" w:hAnsi="宋体" w:cs="宋体"/>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1019B229">
            <w:pPr>
              <w:rPr>
                <w:rFonts w:ascii="宋体" w:hAnsi="宋体" w:cs="宋体"/>
                <w:sz w:val="21"/>
                <w:szCs w:val="21"/>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E57BBDB">
            <w:pPr>
              <w:pStyle w:val="28"/>
              <w:kinsoku w:val="0"/>
              <w:overflowPunct w:val="0"/>
              <w:jc w:val="center"/>
              <w:rPr>
                <w:rFonts w:ascii="宋体" w:hAnsi="宋体" w:cs="宋体"/>
                <w:sz w:val="21"/>
                <w:szCs w:val="21"/>
              </w:rPr>
            </w:pPr>
            <w:r>
              <w:rPr>
                <w:rFonts w:ascii="宋体" w:hAnsi="宋体" w:cs="宋体"/>
                <w:sz w:val="21"/>
                <w:szCs w:val="21"/>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5D83C628">
            <w:pPr>
              <w:rPr>
                <w:rFonts w:ascii="宋体" w:hAnsi="宋体" w:cs="宋体"/>
                <w:sz w:val="21"/>
                <w:szCs w:val="21"/>
              </w:rPr>
            </w:pPr>
          </w:p>
        </w:tc>
      </w:tr>
      <w:tr w14:paraId="5EF18146">
        <w:tblPrEx>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CE8C7D2">
            <w:pPr>
              <w:pStyle w:val="28"/>
              <w:kinsoku w:val="0"/>
              <w:overflowPunct w:val="0"/>
              <w:jc w:val="center"/>
              <w:rPr>
                <w:rFonts w:ascii="宋体" w:hAnsi="宋体" w:cs="宋体"/>
                <w:sz w:val="21"/>
                <w:szCs w:val="21"/>
              </w:rPr>
            </w:pPr>
            <w:r>
              <w:rPr>
                <w:rFonts w:ascii="宋体" w:hAnsi="宋体" w:cs="宋体"/>
                <w:sz w:val="21"/>
                <w:szCs w:val="21"/>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6FAF4148">
            <w:pPr>
              <w:rPr>
                <w:rFonts w:ascii="宋体" w:hAnsi="宋体" w:cs="宋体"/>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4930CC40">
            <w:pPr>
              <w:rPr>
                <w:rFonts w:ascii="宋体" w:hAnsi="宋体" w:cs="宋体"/>
                <w:sz w:val="21"/>
                <w:szCs w:val="21"/>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A6980D2">
            <w:pPr>
              <w:pStyle w:val="28"/>
              <w:kinsoku w:val="0"/>
              <w:overflowPunct w:val="0"/>
              <w:jc w:val="center"/>
              <w:rPr>
                <w:rFonts w:ascii="宋体" w:hAnsi="宋体" w:cs="宋体"/>
                <w:sz w:val="21"/>
                <w:szCs w:val="21"/>
              </w:rPr>
            </w:pPr>
            <w:r>
              <w:rPr>
                <w:rFonts w:ascii="宋体" w:hAnsi="宋体" w:cs="宋体"/>
                <w:sz w:val="21"/>
                <w:szCs w:val="21"/>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680436EF">
            <w:pPr>
              <w:rPr>
                <w:rFonts w:ascii="宋体" w:hAnsi="宋体" w:cs="宋体"/>
                <w:sz w:val="21"/>
                <w:szCs w:val="21"/>
              </w:rPr>
            </w:pPr>
          </w:p>
        </w:tc>
      </w:tr>
      <w:tr w14:paraId="7A0B7013">
        <w:tblPrEx>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119DA8C">
            <w:pPr>
              <w:pStyle w:val="28"/>
              <w:kinsoku w:val="0"/>
              <w:overflowPunct w:val="0"/>
              <w:jc w:val="center"/>
              <w:rPr>
                <w:rFonts w:ascii="宋体" w:hAnsi="宋体" w:cs="宋体"/>
                <w:sz w:val="21"/>
                <w:szCs w:val="21"/>
              </w:rPr>
            </w:pPr>
            <w:r>
              <w:rPr>
                <w:rFonts w:ascii="宋体" w:hAnsi="宋体" w:cs="宋体"/>
                <w:sz w:val="21"/>
                <w:szCs w:val="21"/>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10C3CDB4">
            <w:pPr>
              <w:rPr>
                <w:rFonts w:ascii="宋体" w:hAnsi="宋体" w:cs="宋体"/>
                <w:sz w:val="21"/>
                <w:szCs w:val="21"/>
              </w:rPr>
            </w:pPr>
          </w:p>
        </w:tc>
      </w:tr>
      <w:tr w14:paraId="35EC93C5">
        <w:tblPrEx>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13550FE">
            <w:pPr>
              <w:pStyle w:val="28"/>
              <w:kinsoku w:val="0"/>
              <w:overflowPunct w:val="0"/>
              <w:ind w:right="96"/>
              <w:jc w:val="center"/>
              <w:rPr>
                <w:rFonts w:ascii="宋体" w:hAnsi="宋体" w:cs="宋体"/>
                <w:sz w:val="21"/>
                <w:szCs w:val="21"/>
              </w:rPr>
            </w:pPr>
            <w:r>
              <w:rPr>
                <w:rFonts w:ascii="宋体" w:hAnsi="宋体" w:cs="宋体"/>
                <w:sz w:val="21"/>
                <w:szCs w:val="21"/>
              </w:rPr>
              <w:t>投标人关联企业情</w:t>
            </w:r>
            <w:r>
              <w:rPr>
                <w:rFonts w:ascii="宋体" w:hAnsi="宋体" w:cs="宋体"/>
                <w:spacing w:val="-8"/>
                <w:sz w:val="21"/>
                <w:szCs w:val="21"/>
              </w:rPr>
              <w:t>况（包括但不限于与</w:t>
            </w:r>
            <w:r>
              <w:rPr>
                <w:rFonts w:ascii="宋体" w:hAnsi="宋体" w:cs="宋体"/>
                <w:spacing w:val="-102"/>
                <w:sz w:val="21"/>
                <w:szCs w:val="21"/>
              </w:rPr>
              <w:t xml:space="preserve"> </w:t>
            </w:r>
            <w:r>
              <w:rPr>
                <w:rFonts w:ascii="宋体" w:hAnsi="宋体" w:cs="宋体"/>
                <w:sz w:val="21"/>
                <w:szCs w:val="21"/>
              </w:rPr>
              <w:t>投标人法定代表人为同一人或者存在</w:t>
            </w:r>
            <w:r>
              <w:rPr>
                <w:rFonts w:ascii="宋体" w:hAnsi="宋体" w:cs="宋体"/>
                <w:spacing w:val="-8"/>
                <w:sz w:val="21"/>
                <w:szCs w:val="21"/>
              </w:rPr>
              <w:t>控股、管理关系的不</w:t>
            </w:r>
            <w:r>
              <w:rPr>
                <w:rFonts w:ascii="宋体" w:hAnsi="宋体" w:cs="宋体"/>
                <w:sz w:val="21"/>
                <w:szCs w:val="21"/>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7CDAF056">
            <w:pPr>
              <w:rPr>
                <w:rFonts w:ascii="宋体" w:hAnsi="宋体" w:cs="宋体"/>
                <w:sz w:val="21"/>
                <w:szCs w:val="21"/>
              </w:rPr>
            </w:pPr>
          </w:p>
        </w:tc>
      </w:tr>
      <w:tr w14:paraId="34AF84DC">
        <w:tblPrEx>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0558E19">
            <w:pPr>
              <w:pStyle w:val="28"/>
              <w:kinsoku w:val="0"/>
              <w:overflowPunct w:val="0"/>
              <w:jc w:val="center"/>
              <w:rPr>
                <w:rFonts w:ascii="宋体" w:hAnsi="宋体" w:cs="宋体"/>
                <w:sz w:val="21"/>
                <w:szCs w:val="21"/>
              </w:rPr>
            </w:pPr>
            <w:r>
              <w:rPr>
                <w:rFonts w:ascii="宋体" w:hAnsi="宋体" w:cs="宋体"/>
                <w:sz w:val="21"/>
                <w:szCs w:val="21"/>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5A9CB02B">
            <w:pPr>
              <w:rPr>
                <w:rFonts w:ascii="宋体" w:hAnsi="宋体" w:cs="宋体"/>
                <w:sz w:val="21"/>
                <w:szCs w:val="21"/>
              </w:rPr>
            </w:pPr>
          </w:p>
        </w:tc>
      </w:tr>
    </w:tbl>
    <w:p w14:paraId="5A4AA0A4">
      <w:pPr>
        <w:pStyle w:val="10"/>
        <w:kinsoku w:val="0"/>
        <w:overflowPunct w:val="0"/>
        <w:spacing w:before="240" w:line="331" w:lineRule="auto"/>
        <w:ind w:left="240" w:firstLine="410"/>
        <w:rPr>
          <w:rFonts w:cs="宋体"/>
          <w:szCs w:val="21"/>
        </w:rPr>
      </w:pPr>
      <w:r>
        <w:rPr>
          <w:rFonts w:cs="宋体"/>
          <w:spacing w:val="-5"/>
          <w:szCs w:val="21"/>
        </w:rPr>
        <w:t>注：</w:t>
      </w:r>
      <w:r>
        <w:rPr>
          <w:rFonts w:cs="宋体"/>
        </w:rPr>
        <w:t>投标人应附营业执照、资质证书等相关证明材料。</w:t>
      </w:r>
    </w:p>
    <w:p w14:paraId="47CB89EA">
      <w:pPr>
        <w:pStyle w:val="10"/>
        <w:kinsoku w:val="0"/>
        <w:overflowPunct w:val="0"/>
        <w:spacing w:before="240" w:line="331" w:lineRule="auto"/>
        <w:ind w:left="240" w:firstLine="420"/>
        <w:sectPr>
          <w:footerReference r:id="rId12" w:type="default"/>
          <w:pgSz w:w="11905" w:h="16838"/>
          <w:pgMar w:top="1417" w:right="1417" w:bottom="1417" w:left="1417" w:header="992" w:footer="992" w:gutter="0"/>
          <w:cols w:space="720" w:num="1"/>
        </w:sectPr>
      </w:pPr>
    </w:p>
    <w:p w14:paraId="55979433">
      <w:pPr>
        <w:pStyle w:val="5"/>
        <w:rPr>
          <w:b/>
          <w:sz w:val="24"/>
        </w:rPr>
      </w:pPr>
      <w:bookmarkStart w:id="182" w:name="bookmark187"/>
      <w:bookmarkEnd w:id="182"/>
      <w:bookmarkStart w:id="183" w:name="bookmark186"/>
      <w:bookmarkEnd w:id="183"/>
      <w:bookmarkStart w:id="184" w:name="_Toc12503"/>
      <w:r>
        <w:rPr>
          <w:b/>
          <w:sz w:val="24"/>
        </w:rPr>
        <w:t>（二）近年完成的类似项目情况表</w:t>
      </w:r>
      <w:bookmarkEnd w:id="184"/>
    </w:p>
    <w:p w14:paraId="5EEDA129">
      <w:pPr>
        <w:pStyle w:val="10"/>
        <w:kinsoku w:val="0"/>
        <w:overflowPunct w:val="0"/>
        <w:ind w:left="0" w:firstLine="400"/>
        <w:rPr>
          <w:sz w:val="20"/>
        </w:rPr>
      </w:pPr>
    </w:p>
    <w:p w14:paraId="5C7FC883">
      <w:pPr>
        <w:pStyle w:val="10"/>
        <w:kinsoku w:val="0"/>
        <w:overflowPunct w:val="0"/>
        <w:spacing w:before="240"/>
        <w:ind w:left="0" w:firstLine="440"/>
        <w:rPr>
          <w:sz w:val="22"/>
        </w:rPr>
      </w:pPr>
    </w:p>
    <w:tbl>
      <w:tblPr>
        <w:tblStyle w:val="22"/>
        <w:tblW w:w="8521" w:type="dxa"/>
        <w:tblInd w:w="264" w:type="dxa"/>
        <w:tblLayout w:type="fixed"/>
        <w:tblCellMar>
          <w:top w:w="0" w:type="dxa"/>
          <w:left w:w="108" w:type="dxa"/>
          <w:bottom w:w="0" w:type="dxa"/>
          <w:right w:w="108" w:type="dxa"/>
        </w:tblCellMar>
      </w:tblPr>
      <w:tblGrid>
        <w:gridCol w:w="2268"/>
        <w:gridCol w:w="6253"/>
      </w:tblGrid>
      <w:tr w14:paraId="5A0D1368">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19124DFA">
            <w:pPr>
              <w:pStyle w:val="28"/>
              <w:kinsoku w:val="0"/>
              <w:overflowPunct w:val="0"/>
              <w:jc w:val="center"/>
              <w:rPr>
                <w:sz w:val="21"/>
              </w:rPr>
            </w:pPr>
            <w:r>
              <w:rPr>
                <w:rFonts w:ascii="宋体" w:hAnsi="宋体"/>
                <w:sz w:val="21"/>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7F2582C4">
            <w:pPr>
              <w:rPr>
                <w:sz w:val="21"/>
              </w:rPr>
            </w:pPr>
          </w:p>
        </w:tc>
      </w:tr>
      <w:tr w14:paraId="5155D773">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7DA0496E">
            <w:pPr>
              <w:pStyle w:val="28"/>
              <w:kinsoku w:val="0"/>
              <w:overflowPunct w:val="0"/>
              <w:jc w:val="center"/>
              <w:rPr>
                <w:sz w:val="21"/>
              </w:rPr>
            </w:pPr>
            <w:r>
              <w:rPr>
                <w:rFonts w:ascii="宋体" w:hAnsi="宋体"/>
                <w:sz w:val="21"/>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542E76CB">
            <w:pPr>
              <w:rPr>
                <w:sz w:val="21"/>
              </w:rPr>
            </w:pPr>
          </w:p>
        </w:tc>
      </w:tr>
      <w:tr w14:paraId="65B096A3">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6258F7E4">
            <w:pPr>
              <w:pStyle w:val="28"/>
              <w:kinsoku w:val="0"/>
              <w:overflowPunct w:val="0"/>
              <w:jc w:val="center"/>
              <w:rPr>
                <w:sz w:val="21"/>
              </w:rPr>
            </w:pPr>
            <w:r>
              <w:rPr>
                <w:rFonts w:ascii="宋体" w:hAnsi="宋体"/>
                <w:sz w:val="21"/>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E5A41AB">
            <w:pPr>
              <w:rPr>
                <w:sz w:val="21"/>
              </w:rPr>
            </w:pPr>
          </w:p>
        </w:tc>
      </w:tr>
      <w:tr w14:paraId="4EF3E96B">
        <w:tblPrEx>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37611158">
            <w:pPr>
              <w:pStyle w:val="28"/>
              <w:tabs>
                <w:tab w:val="left" w:pos="668"/>
                <w:tab w:val="center" w:pos="1387"/>
              </w:tabs>
              <w:kinsoku w:val="0"/>
              <w:overflowPunct w:val="0"/>
              <w:jc w:val="center"/>
              <w:rPr>
                <w:sz w:val="21"/>
              </w:rPr>
            </w:pPr>
            <w:r>
              <w:rPr>
                <w:rFonts w:ascii="宋体" w:hAnsi="宋体"/>
                <w:sz w:val="21"/>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6C8159E1">
            <w:pPr>
              <w:rPr>
                <w:sz w:val="21"/>
              </w:rPr>
            </w:pPr>
          </w:p>
        </w:tc>
      </w:tr>
      <w:tr w14:paraId="4E64F6CA">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3F5B26BC">
            <w:pPr>
              <w:pStyle w:val="28"/>
              <w:kinsoku w:val="0"/>
              <w:overflowPunct w:val="0"/>
              <w:jc w:val="center"/>
              <w:rPr>
                <w:sz w:val="21"/>
              </w:rPr>
            </w:pPr>
            <w:r>
              <w:rPr>
                <w:rFonts w:ascii="宋体" w:hAnsi="宋体"/>
                <w:sz w:val="21"/>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20F1335A">
            <w:pPr>
              <w:rPr>
                <w:sz w:val="21"/>
              </w:rPr>
            </w:pPr>
          </w:p>
        </w:tc>
      </w:tr>
      <w:tr w14:paraId="19094184">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4B53D89C">
            <w:pPr>
              <w:pStyle w:val="28"/>
              <w:kinsoku w:val="0"/>
              <w:overflowPunct w:val="0"/>
              <w:jc w:val="center"/>
              <w:rPr>
                <w:sz w:val="21"/>
              </w:rPr>
            </w:pPr>
            <w:r>
              <w:rPr>
                <w:rFonts w:ascii="宋体" w:hAnsi="宋体"/>
                <w:sz w:val="21"/>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4FA6D93F">
            <w:pPr>
              <w:rPr>
                <w:sz w:val="21"/>
              </w:rPr>
            </w:pPr>
          </w:p>
        </w:tc>
      </w:tr>
      <w:tr w14:paraId="2F6FE319">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2DEC8693">
            <w:pPr>
              <w:pStyle w:val="28"/>
              <w:kinsoku w:val="0"/>
              <w:overflowPunct w:val="0"/>
              <w:jc w:val="center"/>
              <w:rPr>
                <w:sz w:val="21"/>
              </w:rPr>
            </w:pPr>
            <w:r>
              <w:rPr>
                <w:rFonts w:ascii="宋体" w:hAnsi="宋体"/>
                <w:sz w:val="21"/>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CB6FBC8">
            <w:pPr>
              <w:rPr>
                <w:sz w:val="21"/>
              </w:rPr>
            </w:pPr>
          </w:p>
        </w:tc>
      </w:tr>
      <w:tr w14:paraId="28D30F80">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2237C224">
            <w:pPr>
              <w:pStyle w:val="28"/>
              <w:kinsoku w:val="0"/>
              <w:overflowPunct w:val="0"/>
              <w:jc w:val="center"/>
              <w:rPr>
                <w:sz w:val="21"/>
              </w:rPr>
            </w:pPr>
            <w:r>
              <w:rPr>
                <w:rFonts w:ascii="宋体" w:hAnsi="宋体"/>
                <w:sz w:val="21"/>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C8E5E63">
            <w:pPr>
              <w:rPr>
                <w:sz w:val="21"/>
              </w:rPr>
            </w:pPr>
          </w:p>
        </w:tc>
      </w:tr>
      <w:tr w14:paraId="2ABA38F7">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76F9C4C8">
            <w:pPr>
              <w:pStyle w:val="28"/>
              <w:kinsoku w:val="0"/>
              <w:overflowPunct w:val="0"/>
              <w:jc w:val="center"/>
              <w:rPr>
                <w:sz w:val="21"/>
              </w:rPr>
            </w:pPr>
            <w:r>
              <w:rPr>
                <w:rFonts w:ascii="宋体" w:hAnsi="宋体"/>
                <w:sz w:val="21"/>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BE2C927">
            <w:pPr>
              <w:rPr>
                <w:sz w:val="21"/>
              </w:rPr>
            </w:pPr>
          </w:p>
        </w:tc>
      </w:tr>
      <w:tr w14:paraId="7050A244">
        <w:tblPrEx>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3903DF37">
            <w:pPr>
              <w:pStyle w:val="28"/>
              <w:kinsoku w:val="0"/>
              <w:overflowPunct w:val="0"/>
              <w:jc w:val="center"/>
              <w:rPr>
                <w:sz w:val="21"/>
              </w:rPr>
            </w:pPr>
            <w:r>
              <w:rPr>
                <w:rFonts w:ascii="宋体" w:hAnsi="宋体"/>
                <w:sz w:val="21"/>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7D459317">
            <w:pPr>
              <w:rPr>
                <w:sz w:val="21"/>
              </w:rPr>
            </w:pPr>
          </w:p>
        </w:tc>
      </w:tr>
      <w:tr w14:paraId="46498C83">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E724BA8">
            <w:pPr>
              <w:pStyle w:val="28"/>
              <w:kinsoku w:val="0"/>
              <w:overflowPunct w:val="0"/>
              <w:jc w:val="center"/>
              <w:rPr>
                <w:sz w:val="21"/>
              </w:rPr>
            </w:pPr>
            <w:r>
              <w:rPr>
                <w:rFonts w:ascii="宋体" w:hAnsi="宋体"/>
                <w:sz w:val="21"/>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89FD0F0">
            <w:pPr>
              <w:rPr>
                <w:sz w:val="21"/>
              </w:rPr>
            </w:pPr>
          </w:p>
        </w:tc>
      </w:tr>
    </w:tbl>
    <w:p w14:paraId="5083498B">
      <w:pPr>
        <w:pStyle w:val="10"/>
        <w:kinsoku w:val="0"/>
        <w:overflowPunct w:val="0"/>
        <w:spacing w:before="240"/>
        <w:ind w:left="0"/>
        <w:rPr>
          <w:sz w:val="24"/>
        </w:rPr>
      </w:pPr>
    </w:p>
    <w:p w14:paraId="08126FE6">
      <w:pPr>
        <w:pStyle w:val="10"/>
        <w:kinsoku w:val="0"/>
        <w:overflowPunct w:val="0"/>
        <w:spacing w:before="240"/>
        <w:ind w:left="100"/>
        <w:rPr>
          <w:sz w:val="24"/>
        </w:rPr>
      </w:pPr>
    </w:p>
    <w:p w14:paraId="4FFBF44E">
      <w:pPr>
        <w:pStyle w:val="10"/>
        <w:kinsoku w:val="0"/>
        <w:overflowPunct w:val="0"/>
        <w:spacing w:before="240"/>
        <w:ind w:left="100" w:firstLine="420"/>
        <w:sectPr>
          <w:headerReference r:id="rId13" w:type="default"/>
          <w:footerReference r:id="rId14" w:type="default"/>
          <w:pgSz w:w="11905" w:h="16838"/>
          <w:pgMar w:top="1417" w:right="1417" w:bottom="1417" w:left="1417" w:header="992" w:footer="992" w:gutter="0"/>
          <w:cols w:space="720" w:num="1"/>
        </w:sectPr>
      </w:pPr>
    </w:p>
    <w:p w14:paraId="436BB0F3">
      <w:pPr>
        <w:pStyle w:val="5"/>
        <w:rPr>
          <w:b/>
          <w:sz w:val="24"/>
        </w:rPr>
      </w:pPr>
      <w:bookmarkStart w:id="185" w:name="bookmark188"/>
      <w:bookmarkEnd w:id="185"/>
      <w:bookmarkStart w:id="186" w:name="bookmark189"/>
      <w:bookmarkEnd w:id="186"/>
      <w:bookmarkStart w:id="187" w:name="bookmark190"/>
      <w:bookmarkEnd w:id="187"/>
      <w:bookmarkStart w:id="188" w:name="_Toc12109"/>
      <w:r>
        <w:rPr>
          <w:b/>
          <w:sz w:val="24"/>
        </w:rPr>
        <w:t>（三）拟委任的主要人员汇总表</w:t>
      </w:r>
      <w:bookmarkEnd w:id="188"/>
    </w:p>
    <w:p w14:paraId="233551D7">
      <w:pPr>
        <w:pStyle w:val="10"/>
        <w:kinsoku w:val="0"/>
        <w:overflowPunct w:val="0"/>
        <w:ind w:left="0" w:firstLine="400"/>
        <w:rPr>
          <w:sz w:val="20"/>
        </w:rPr>
      </w:pPr>
    </w:p>
    <w:p w14:paraId="51D2D8F6">
      <w:pPr>
        <w:pStyle w:val="10"/>
        <w:kinsoku w:val="0"/>
        <w:overflowPunct w:val="0"/>
        <w:spacing w:before="240"/>
        <w:ind w:left="0" w:firstLine="440"/>
        <w:rPr>
          <w:sz w:val="22"/>
        </w:rPr>
      </w:pPr>
    </w:p>
    <w:tbl>
      <w:tblPr>
        <w:tblStyle w:val="22"/>
        <w:tblW w:w="8777" w:type="dxa"/>
        <w:jc w:val="center"/>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0846DC57">
        <w:tblPrEx>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500A62A">
            <w:pPr>
              <w:pStyle w:val="28"/>
              <w:kinsoku w:val="0"/>
              <w:overflowPunct w:val="0"/>
              <w:spacing w:line="240" w:lineRule="atLeast"/>
              <w:jc w:val="center"/>
              <w:rPr>
                <w:sz w:val="21"/>
              </w:rPr>
            </w:pPr>
            <w:r>
              <w:rPr>
                <w:rFonts w:ascii="宋体" w:hAnsi="宋体"/>
                <w:sz w:val="21"/>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0BF7DF5">
            <w:pPr>
              <w:pStyle w:val="28"/>
              <w:kinsoku w:val="0"/>
              <w:overflowPunct w:val="0"/>
              <w:spacing w:line="240" w:lineRule="atLeast"/>
              <w:jc w:val="center"/>
              <w:rPr>
                <w:sz w:val="21"/>
              </w:rPr>
            </w:pPr>
            <w:r>
              <w:rPr>
                <w:rFonts w:ascii="宋体" w:hAnsi="宋体"/>
                <w:sz w:val="21"/>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C6C6908">
            <w:pPr>
              <w:pStyle w:val="28"/>
              <w:kinsoku w:val="0"/>
              <w:overflowPunct w:val="0"/>
              <w:spacing w:line="240" w:lineRule="atLeast"/>
              <w:jc w:val="center"/>
              <w:rPr>
                <w:sz w:val="21"/>
              </w:rPr>
            </w:pPr>
            <w:r>
              <w:rPr>
                <w:rFonts w:ascii="宋体" w:hAnsi="宋体"/>
                <w:sz w:val="21"/>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CBC9262">
            <w:pPr>
              <w:pStyle w:val="28"/>
              <w:kinsoku w:val="0"/>
              <w:overflowPunct w:val="0"/>
              <w:spacing w:line="240" w:lineRule="atLeast"/>
              <w:jc w:val="center"/>
              <w:rPr>
                <w:sz w:val="21"/>
              </w:rPr>
            </w:pPr>
            <w:r>
              <w:rPr>
                <w:rFonts w:ascii="宋体" w:hAnsi="宋体"/>
                <w:sz w:val="21"/>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9CE54F2">
            <w:pPr>
              <w:pStyle w:val="28"/>
              <w:kinsoku w:val="0"/>
              <w:overflowPunct w:val="0"/>
              <w:spacing w:line="240" w:lineRule="atLeast"/>
              <w:jc w:val="center"/>
              <w:rPr>
                <w:sz w:val="21"/>
              </w:rPr>
            </w:pPr>
            <w:r>
              <w:rPr>
                <w:rFonts w:ascii="宋体" w:hAnsi="宋体"/>
                <w:sz w:val="21"/>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6E75C842">
            <w:pPr>
              <w:pStyle w:val="28"/>
              <w:kinsoku w:val="0"/>
              <w:overflowPunct w:val="0"/>
              <w:spacing w:line="240" w:lineRule="atLeast"/>
              <w:jc w:val="center"/>
              <w:rPr>
                <w:sz w:val="21"/>
              </w:rPr>
            </w:pPr>
            <w:r>
              <w:rPr>
                <w:rFonts w:ascii="宋体" w:hAnsi="宋体"/>
                <w:sz w:val="21"/>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47A49711">
            <w:pPr>
              <w:pStyle w:val="28"/>
              <w:kinsoku w:val="0"/>
              <w:overflowPunct w:val="0"/>
              <w:spacing w:line="240" w:lineRule="atLeast"/>
              <w:jc w:val="center"/>
              <w:rPr>
                <w:sz w:val="21"/>
              </w:rPr>
            </w:pPr>
            <w:r>
              <w:rPr>
                <w:rFonts w:ascii="宋体" w:hAnsi="宋体"/>
                <w:sz w:val="21"/>
              </w:rPr>
              <w:t>备注</w:t>
            </w:r>
          </w:p>
        </w:tc>
      </w:tr>
      <w:tr w14:paraId="09FA77EC">
        <w:tblPrEx>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E667D46">
            <w:pPr>
              <w:pStyle w:val="28"/>
              <w:kinsoku w:val="0"/>
              <w:overflowPunct w:val="0"/>
              <w:spacing w:line="240" w:lineRule="atLeast"/>
              <w:jc w:val="center"/>
              <w:rPr>
                <w:sz w:val="21"/>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D90F8F6">
            <w:pPr>
              <w:pStyle w:val="28"/>
              <w:kinsoku w:val="0"/>
              <w:overflowPunct w:val="0"/>
              <w:spacing w:line="240" w:lineRule="atLeast"/>
              <w:jc w:val="center"/>
              <w:rPr>
                <w:sz w:val="21"/>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3EC9E03">
            <w:pPr>
              <w:pStyle w:val="28"/>
              <w:kinsoku w:val="0"/>
              <w:overflowPunct w:val="0"/>
              <w:spacing w:line="240" w:lineRule="atLeast"/>
              <w:jc w:val="center"/>
              <w:rPr>
                <w:sz w:val="21"/>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4C24A42">
            <w:pPr>
              <w:pStyle w:val="28"/>
              <w:kinsoku w:val="0"/>
              <w:overflowPunct w:val="0"/>
              <w:spacing w:line="240" w:lineRule="atLeast"/>
              <w:jc w:val="center"/>
              <w:rPr>
                <w:sz w:val="21"/>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9769694">
            <w:pPr>
              <w:pStyle w:val="28"/>
              <w:kinsoku w:val="0"/>
              <w:overflowPunct w:val="0"/>
              <w:spacing w:line="240" w:lineRule="atLeast"/>
              <w:jc w:val="center"/>
              <w:rPr>
                <w:sz w:val="21"/>
              </w:rPr>
            </w:pPr>
          </w:p>
        </w:tc>
        <w:tc>
          <w:tcPr>
            <w:tcW w:w="844" w:type="dxa"/>
            <w:tcBorders>
              <w:top w:val="single" w:color="000000" w:sz="4" w:space="0"/>
              <w:left w:val="single" w:color="000000" w:sz="4" w:space="0"/>
              <w:bottom w:val="single" w:color="000000" w:sz="4" w:space="0"/>
              <w:right w:val="single" w:color="000000" w:sz="4" w:space="0"/>
              <w:tl2br w:val="nil"/>
              <w:tr2bl w:val="nil"/>
            </w:tcBorders>
            <w:vAlign w:val="center"/>
          </w:tcPr>
          <w:p w14:paraId="1C7499A7">
            <w:pPr>
              <w:pStyle w:val="28"/>
              <w:kinsoku w:val="0"/>
              <w:overflowPunct w:val="0"/>
              <w:spacing w:line="240" w:lineRule="atLeast"/>
              <w:jc w:val="center"/>
              <w:rPr>
                <w:sz w:val="21"/>
              </w:rPr>
            </w:pPr>
            <w:r>
              <w:rPr>
                <w:rFonts w:ascii="宋体" w:hAnsi="宋体"/>
                <w:sz w:val="21"/>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14:paraId="20D55872">
            <w:pPr>
              <w:pStyle w:val="28"/>
              <w:kinsoku w:val="0"/>
              <w:overflowPunct w:val="0"/>
              <w:spacing w:line="240" w:lineRule="atLeast"/>
              <w:jc w:val="center"/>
              <w:rPr>
                <w:sz w:val="21"/>
              </w:rPr>
            </w:pPr>
            <w:r>
              <w:rPr>
                <w:rFonts w:ascii="宋体" w:hAnsi="宋体"/>
                <w:sz w:val="21"/>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vAlign w:val="center"/>
          </w:tcPr>
          <w:p w14:paraId="12B1720E">
            <w:pPr>
              <w:pStyle w:val="28"/>
              <w:kinsoku w:val="0"/>
              <w:overflowPunct w:val="0"/>
              <w:spacing w:line="240" w:lineRule="atLeast"/>
              <w:jc w:val="center"/>
              <w:rPr>
                <w:sz w:val="21"/>
              </w:rPr>
            </w:pPr>
            <w:r>
              <w:rPr>
                <w:rFonts w:ascii="宋体" w:hAnsi="宋体"/>
                <w:sz w:val="21"/>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503B076E">
            <w:pPr>
              <w:spacing w:line="240" w:lineRule="atLeast"/>
              <w:jc w:val="center"/>
              <w:rPr>
                <w:sz w:val="21"/>
              </w:rPr>
            </w:pPr>
          </w:p>
        </w:tc>
      </w:tr>
      <w:tr w14:paraId="2ABCD8CF">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CBC21EB"/>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34062EB"/>
        </w:tc>
        <w:tc>
          <w:tcPr>
            <w:tcW w:w="991" w:type="dxa"/>
            <w:tcBorders>
              <w:top w:val="single" w:color="000000" w:sz="4" w:space="0"/>
              <w:left w:val="single" w:color="000000" w:sz="4" w:space="0"/>
              <w:bottom w:val="single" w:color="000000" w:sz="4" w:space="0"/>
              <w:right w:val="single" w:color="000000" w:sz="4" w:space="0"/>
              <w:tl2br w:val="nil"/>
              <w:tr2bl w:val="nil"/>
            </w:tcBorders>
          </w:tcPr>
          <w:p w14:paraId="7A5DC236"/>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A00CEBC"/>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68119BE"/>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113E745"/>
        </w:tc>
        <w:tc>
          <w:tcPr>
            <w:tcW w:w="881" w:type="dxa"/>
            <w:tcBorders>
              <w:top w:val="single" w:color="000000" w:sz="4" w:space="0"/>
              <w:left w:val="single" w:color="000000" w:sz="4" w:space="0"/>
              <w:bottom w:val="single" w:color="000000" w:sz="4" w:space="0"/>
              <w:right w:val="single" w:color="000000" w:sz="4" w:space="0"/>
              <w:tl2br w:val="nil"/>
              <w:tr2bl w:val="nil"/>
            </w:tcBorders>
          </w:tcPr>
          <w:p w14:paraId="697CE9BF"/>
        </w:tc>
        <w:tc>
          <w:tcPr>
            <w:tcW w:w="825" w:type="dxa"/>
            <w:tcBorders>
              <w:top w:val="single" w:color="000000" w:sz="4" w:space="0"/>
              <w:left w:val="single" w:color="000000" w:sz="4" w:space="0"/>
              <w:bottom w:val="single" w:color="000000" w:sz="4" w:space="0"/>
              <w:right w:val="single" w:color="000000" w:sz="4" w:space="0"/>
              <w:tl2br w:val="nil"/>
              <w:tr2bl w:val="nil"/>
            </w:tcBorders>
          </w:tcPr>
          <w:p w14:paraId="1C24A1D5"/>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5237C5C"/>
        </w:tc>
      </w:tr>
      <w:tr w14:paraId="0146D71D">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082500D"/>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9E5F496"/>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0235826"/>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5242E64"/>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F026E61"/>
        </w:tc>
        <w:tc>
          <w:tcPr>
            <w:tcW w:w="844" w:type="dxa"/>
            <w:tcBorders>
              <w:top w:val="single" w:color="000000" w:sz="4" w:space="0"/>
              <w:left w:val="single" w:color="000000" w:sz="4" w:space="0"/>
              <w:bottom w:val="single" w:color="000000" w:sz="4" w:space="0"/>
              <w:right w:val="single" w:color="000000" w:sz="4" w:space="0"/>
              <w:tl2br w:val="nil"/>
              <w:tr2bl w:val="nil"/>
            </w:tcBorders>
          </w:tcPr>
          <w:p w14:paraId="58297496"/>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FB8E948"/>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5068CD6"/>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3D3B4D6"/>
        </w:tc>
      </w:tr>
      <w:tr w14:paraId="0BD4E7DA">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BF4B875"/>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E38106B"/>
        </w:tc>
        <w:tc>
          <w:tcPr>
            <w:tcW w:w="991" w:type="dxa"/>
            <w:tcBorders>
              <w:top w:val="single" w:color="000000" w:sz="4" w:space="0"/>
              <w:left w:val="single" w:color="000000" w:sz="4" w:space="0"/>
              <w:bottom w:val="single" w:color="000000" w:sz="4" w:space="0"/>
              <w:right w:val="single" w:color="000000" w:sz="4" w:space="0"/>
              <w:tl2br w:val="nil"/>
              <w:tr2bl w:val="nil"/>
            </w:tcBorders>
          </w:tcPr>
          <w:p w14:paraId="1C349468"/>
        </w:tc>
        <w:tc>
          <w:tcPr>
            <w:tcW w:w="895" w:type="dxa"/>
            <w:tcBorders>
              <w:top w:val="single" w:color="000000" w:sz="4" w:space="0"/>
              <w:left w:val="single" w:color="000000" w:sz="4" w:space="0"/>
              <w:bottom w:val="single" w:color="000000" w:sz="4" w:space="0"/>
              <w:right w:val="single" w:color="000000" w:sz="4" w:space="0"/>
              <w:tl2br w:val="nil"/>
              <w:tr2bl w:val="nil"/>
            </w:tcBorders>
          </w:tcPr>
          <w:p w14:paraId="2EADA2BA"/>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A9A00CE"/>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BE22105"/>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52B9719"/>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8DB8403"/>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387ECAE"/>
        </w:tc>
      </w:tr>
      <w:tr w14:paraId="59BFDBA8">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460598C"/>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CB8C65E"/>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F15F2E1"/>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2CC4E0E"/>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A27B3E5"/>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BFDD489"/>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AB2A106"/>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9125487"/>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800CC3A"/>
        </w:tc>
      </w:tr>
      <w:tr w14:paraId="3E62DD11">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77EA93F"/>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C7D6357"/>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2F6EDA2"/>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E5E9C48"/>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A932628"/>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9E627D5"/>
        </w:tc>
        <w:tc>
          <w:tcPr>
            <w:tcW w:w="881" w:type="dxa"/>
            <w:tcBorders>
              <w:top w:val="single" w:color="000000" w:sz="4" w:space="0"/>
              <w:left w:val="single" w:color="000000" w:sz="4" w:space="0"/>
              <w:bottom w:val="single" w:color="000000" w:sz="4" w:space="0"/>
              <w:right w:val="single" w:color="000000" w:sz="4" w:space="0"/>
              <w:tl2br w:val="nil"/>
              <w:tr2bl w:val="nil"/>
            </w:tcBorders>
          </w:tcPr>
          <w:p w14:paraId="588370AF"/>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890A547"/>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67C3B00"/>
        </w:tc>
      </w:tr>
      <w:tr w14:paraId="6D6F36CF">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66BB9D8"/>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476FD48"/>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40C4AB4"/>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86B3324"/>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9A9B1D6"/>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D2D212C"/>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16EF58F"/>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A052C73"/>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E79B7F4"/>
        </w:tc>
      </w:tr>
      <w:tr w14:paraId="5460D9A8">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28DDFD3"/>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BF7DCA8"/>
        </w:tc>
        <w:tc>
          <w:tcPr>
            <w:tcW w:w="991" w:type="dxa"/>
            <w:tcBorders>
              <w:top w:val="single" w:color="000000" w:sz="4" w:space="0"/>
              <w:left w:val="single" w:color="000000" w:sz="4" w:space="0"/>
              <w:bottom w:val="single" w:color="000000" w:sz="4" w:space="0"/>
              <w:right w:val="single" w:color="000000" w:sz="4" w:space="0"/>
              <w:tl2br w:val="nil"/>
              <w:tr2bl w:val="nil"/>
            </w:tcBorders>
          </w:tcPr>
          <w:p w14:paraId="1B117C76"/>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F9EE365"/>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F0D2A43"/>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86BE2A3"/>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9231131"/>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757C428"/>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689F173"/>
        </w:tc>
      </w:tr>
      <w:tr w14:paraId="4C4D3CDA">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1095537"/>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352CAEE"/>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A7CB074"/>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819186F"/>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959AA97"/>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8F84B08"/>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EC716AC"/>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C946C73"/>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88A456C"/>
        </w:tc>
      </w:tr>
      <w:tr w14:paraId="6489B2BA">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093CBD0"/>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D46F37E"/>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0B38FB6"/>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CBE690B"/>
        </w:tc>
        <w:tc>
          <w:tcPr>
            <w:tcW w:w="975" w:type="dxa"/>
            <w:tcBorders>
              <w:top w:val="single" w:color="000000" w:sz="4" w:space="0"/>
              <w:left w:val="single" w:color="000000" w:sz="4" w:space="0"/>
              <w:bottom w:val="single" w:color="000000" w:sz="4" w:space="0"/>
              <w:right w:val="single" w:color="000000" w:sz="4" w:space="0"/>
              <w:tl2br w:val="nil"/>
              <w:tr2bl w:val="nil"/>
            </w:tcBorders>
          </w:tcPr>
          <w:p w14:paraId="1A459964"/>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8A6FBB5"/>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E894360"/>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FB3B35D"/>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99021B7"/>
        </w:tc>
      </w:tr>
      <w:tr w14:paraId="4874883A">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09F6F51"/>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0FACBD3"/>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AD6D245"/>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BBFE599"/>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5495E11"/>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17E842C"/>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7ECCDEC"/>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FAA05A9"/>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71316FA"/>
        </w:tc>
      </w:tr>
      <w:tr w14:paraId="5C9EF99E">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C52F0DF"/>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75DA7CE"/>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DD067F5"/>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91C68C4"/>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8C1FBF8"/>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875A44F"/>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4146D9E"/>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D0738A5"/>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4F50951"/>
        </w:tc>
      </w:tr>
      <w:tr w14:paraId="702551A5">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634C3DB"/>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EE886B2"/>
        </w:tc>
        <w:tc>
          <w:tcPr>
            <w:tcW w:w="991" w:type="dxa"/>
            <w:tcBorders>
              <w:top w:val="single" w:color="000000" w:sz="4" w:space="0"/>
              <w:left w:val="single" w:color="000000" w:sz="4" w:space="0"/>
              <w:bottom w:val="single" w:color="000000" w:sz="4" w:space="0"/>
              <w:right w:val="single" w:color="000000" w:sz="4" w:space="0"/>
              <w:tl2br w:val="nil"/>
              <w:tr2bl w:val="nil"/>
            </w:tcBorders>
          </w:tcPr>
          <w:p w14:paraId="18918935"/>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9E6AD2C"/>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7200EFB"/>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B7A4CA2"/>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4DB76A1"/>
        </w:tc>
        <w:tc>
          <w:tcPr>
            <w:tcW w:w="825" w:type="dxa"/>
            <w:tcBorders>
              <w:top w:val="single" w:color="000000" w:sz="4" w:space="0"/>
              <w:left w:val="single" w:color="000000" w:sz="4" w:space="0"/>
              <w:bottom w:val="single" w:color="000000" w:sz="4" w:space="0"/>
              <w:right w:val="single" w:color="000000" w:sz="4" w:space="0"/>
              <w:tl2br w:val="nil"/>
              <w:tr2bl w:val="nil"/>
            </w:tcBorders>
          </w:tcPr>
          <w:p w14:paraId="54600E7F"/>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122FAFC"/>
        </w:tc>
      </w:tr>
      <w:tr w14:paraId="55FDFB28">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C067EFF"/>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5E64683"/>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EE211EA"/>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1A81A99"/>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680AD83"/>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51CB08E"/>
        </w:tc>
        <w:tc>
          <w:tcPr>
            <w:tcW w:w="881" w:type="dxa"/>
            <w:tcBorders>
              <w:top w:val="single" w:color="000000" w:sz="4" w:space="0"/>
              <w:left w:val="single" w:color="000000" w:sz="4" w:space="0"/>
              <w:bottom w:val="single" w:color="000000" w:sz="4" w:space="0"/>
              <w:right w:val="single" w:color="000000" w:sz="4" w:space="0"/>
              <w:tl2br w:val="nil"/>
              <w:tr2bl w:val="nil"/>
            </w:tcBorders>
          </w:tcPr>
          <w:p w14:paraId="30473C30"/>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30C9016"/>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7D088BE"/>
        </w:tc>
      </w:tr>
      <w:tr w14:paraId="03125F19">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B101EDE"/>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6870247"/>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FB9296F"/>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83659F7"/>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E098E0A"/>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29D8D6B"/>
        </w:tc>
        <w:tc>
          <w:tcPr>
            <w:tcW w:w="881" w:type="dxa"/>
            <w:tcBorders>
              <w:top w:val="single" w:color="000000" w:sz="4" w:space="0"/>
              <w:left w:val="single" w:color="000000" w:sz="4" w:space="0"/>
              <w:bottom w:val="single" w:color="000000" w:sz="4" w:space="0"/>
              <w:right w:val="single" w:color="000000" w:sz="4" w:space="0"/>
              <w:tl2br w:val="nil"/>
              <w:tr2bl w:val="nil"/>
            </w:tcBorders>
          </w:tcPr>
          <w:p w14:paraId="3CC04A80"/>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741A04B"/>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DFF863E"/>
        </w:tc>
      </w:tr>
      <w:tr w14:paraId="319EAEC0">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F8AED35"/>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3DD643F"/>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92408DA"/>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4CBB328"/>
        </w:tc>
        <w:tc>
          <w:tcPr>
            <w:tcW w:w="975" w:type="dxa"/>
            <w:tcBorders>
              <w:top w:val="single" w:color="000000" w:sz="4" w:space="0"/>
              <w:left w:val="single" w:color="000000" w:sz="4" w:space="0"/>
              <w:bottom w:val="single" w:color="000000" w:sz="4" w:space="0"/>
              <w:right w:val="single" w:color="000000" w:sz="4" w:space="0"/>
              <w:tl2br w:val="nil"/>
              <w:tr2bl w:val="nil"/>
            </w:tcBorders>
          </w:tcPr>
          <w:p w14:paraId="33B5A978"/>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868EED5"/>
        </w:tc>
        <w:tc>
          <w:tcPr>
            <w:tcW w:w="881" w:type="dxa"/>
            <w:tcBorders>
              <w:top w:val="single" w:color="000000" w:sz="4" w:space="0"/>
              <w:left w:val="single" w:color="000000" w:sz="4" w:space="0"/>
              <w:bottom w:val="single" w:color="000000" w:sz="4" w:space="0"/>
              <w:right w:val="single" w:color="000000" w:sz="4" w:space="0"/>
              <w:tl2br w:val="nil"/>
              <w:tr2bl w:val="nil"/>
            </w:tcBorders>
          </w:tcPr>
          <w:p w14:paraId="522D883A"/>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7E09E9B"/>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5AA49FE"/>
        </w:tc>
      </w:tr>
      <w:tr w14:paraId="5DA41F69">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58E2C21"/>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6B6301F"/>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04EA534"/>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44B7C44"/>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258DE66"/>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F6C859A"/>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A933F7A"/>
        </w:tc>
        <w:tc>
          <w:tcPr>
            <w:tcW w:w="825" w:type="dxa"/>
            <w:tcBorders>
              <w:top w:val="single" w:color="000000" w:sz="4" w:space="0"/>
              <w:left w:val="single" w:color="000000" w:sz="4" w:space="0"/>
              <w:bottom w:val="single" w:color="000000" w:sz="4" w:space="0"/>
              <w:right w:val="single" w:color="000000" w:sz="4" w:space="0"/>
              <w:tl2br w:val="nil"/>
              <w:tr2bl w:val="nil"/>
            </w:tcBorders>
          </w:tcPr>
          <w:p w14:paraId="19C88796"/>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B6E451E"/>
        </w:tc>
      </w:tr>
      <w:tr w14:paraId="0DBC0C63">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2A7485D"/>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B8EF19A"/>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533CE11"/>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591313E"/>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BFC7F88"/>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23F1EBB"/>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71B028B"/>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5833D2B"/>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4C40228"/>
        </w:tc>
      </w:tr>
      <w:tr w14:paraId="2F970897">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DF89E6C"/>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49C2777"/>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5DBE1ED"/>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8A4210D"/>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2FF3FD9"/>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71810FD"/>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5B77541"/>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DE8A7A4"/>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C27842E"/>
        </w:tc>
      </w:tr>
      <w:tr w14:paraId="608912A6">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39A78E3"/>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BF1C7A3"/>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B241E48"/>
        </w:tc>
        <w:tc>
          <w:tcPr>
            <w:tcW w:w="895" w:type="dxa"/>
            <w:tcBorders>
              <w:top w:val="single" w:color="000000" w:sz="4" w:space="0"/>
              <w:left w:val="single" w:color="000000" w:sz="4" w:space="0"/>
              <w:bottom w:val="single" w:color="000000" w:sz="4" w:space="0"/>
              <w:right w:val="single" w:color="000000" w:sz="4" w:space="0"/>
              <w:tl2br w:val="nil"/>
              <w:tr2bl w:val="nil"/>
            </w:tcBorders>
          </w:tcPr>
          <w:p w14:paraId="2E8A9EAB"/>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7F9E6F9"/>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C25D6FE"/>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21C7885"/>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FAC1BAB"/>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709C440"/>
        </w:tc>
      </w:tr>
      <w:tr w14:paraId="2F833AB8">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56A35D3"/>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2A38464"/>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B7543CE"/>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329B512"/>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4CD04B4"/>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2A040CC"/>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BC2F8B4"/>
        </w:tc>
        <w:tc>
          <w:tcPr>
            <w:tcW w:w="825" w:type="dxa"/>
            <w:tcBorders>
              <w:top w:val="single" w:color="000000" w:sz="4" w:space="0"/>
              <w:left w:val="single" w:color="000000" w:sz="4" w:space="0"/>
              <w:bottom w:val="single" w:color="000000" w:sz="4" w:space="0"/>
              <w:right w:val="single" w:color="000000" w:sz="4" w:space="0"/>
              <w:tl2br w:val="nil"/>
              <w:tr2bl w:val="nil"/>
            </w:tcBorders>
          </w:tcPr>
          <w:p w14:paraId="150577AC"/>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EC8C67A"/>
        </w:tc>
      </w:tr>
      <w:tr w14:paraId="40B4B986">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2DB0ADB"/>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7D117AC"/>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799F911"/>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F29C482"/>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9A74F6E"/>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C4AE9CD"/>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484F121"/>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4576D75"/>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2B11BBF"/>
        </w:tc>
      </w:tr>
    </w:tbl>
    <w:p w14:paraId="19C09C71">
      <w:pPr>
        <w:sectPr>
          <w:headerReference r:id="rId15" w:type="default"/>
          <w:footerReference r:id="rId16" w:type="default"/>
          <w:pgSz w:w="11905" w:h="16838"/>
          <w:pgMar w:top="1417" w:right="1417" w:bottom="1417" w:left="1417" w:header="992" w:footer="992" w:gutter="0"/>
          <w:cols w:space="720" w:num="1"/>
        </w:sectPr>
      </w:pPr>
    </w:p>
    <w:p w14:paraId="23386057">
      <w:pPr>
        <w:pStyle w:val="5"/>
        <w:rPr>
          <w:b/>
          <w:sz w:val="24"/>
        </w:rPr>
      </w:pPr>
      <w:bookmarkStart w:id="189" w:name="bookmark191"/>
      <w:bookmarkEnd w:id="189"/>
      <w:bookmarkStart w:id="190" w:name="_Toc30346"/>
      <w:r>
        <w:rPr>
          <w:b/>
          <w:sz w:val="24"/>
        </w:rPr>
        <w:t>（四）主要人员简历表</w:t>
      </w:r>
      <w:bookmarkEnd w:id="190"/>
    </w:p>
    <w:p w14:paraId="78261360">
      <w:pPr>
        <w:pStyle w:val="10"/>
        <w:kinsoku w:val="0"/>
        <w:overflowPunct w:val="0"/>
        <w:ind w:left="0" w:firstLine="482"/>
        <w:rPr>
          <w:b/>
          <w:sz w:val="24"/>
        </w:rPr>
      </w:pPr>
    </w:p>
    <w:p w14:paraId="23EBE1D8">
      <w:pPr>
        <w:pStyle w:val="10"/>
        <w:kinsoku w:val="0"/>
        <w:overflowPunct w:val="0"/>
        <w:spacing w:before="240"/>
        <w:ind w:left="0" w:firstLine="320"/>
        <w:rPr>
          <w:sz w:val="16"/>
        </w:rPr>
      </w:pPr>
    </w:p>
    <w:tbl>
      <w:tblPr>
        <w:tblStyle w:val="22"/>
        <w:tblW w:w="8521" w:type="dxa"/>
        <w:tblInd w:w="264" w:type="dxa"/>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21AED993">
        <w:tblPrEx>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28D120D8">
            <w:pPr>
              <w:pStyle w:val="28"/>
              <w:tabs>
                <w:tab w:val="left" w:pos="695"/>
              </w:tabs>
              <w:kinsoku w:val="0"/>
              <w:overflowPunct w:val="0"/>
              <w:jc w:val="center"/>
              <w:rPr>
                <w:rFonts w:ascii="宋体" w:hAnsi="宋体" w:cs="宋体"/>
                <w:sz w:val="21"/>
                <w:szCs w:val="21"/>
              </w:rPr>
            </w:pPr>
            <w:r>
              <w:rPr>
                <w:rFonts w:ascii="宋体" w:hAnsi="宋体" w:cs="宋体"/>
                <w:sz w:val="21"/>
                <w:szCs w:val="21"/>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4C92A66F">
            <w:pPr>
              <w:rPr>
                <w:rFonts w:ascii="宋体" w:hAnsi="宋体" w:cs="宋体"/>
                <w:sz w:val="21"/>
                <w:szCs w:val="21"/>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1C581BB7">
            <w:pPr>
              <w:pStyle w:val="28"/>
              <w:kinsoku w:val="0"/>
              <w:overflowPunct w:val="0"/>
              <w:jc w:val="center"/>
              <w:rPr>
                <w:rFonts w:ascii="宋体" w:hAnsi="宋体" w:cs="宋体"/>
                <w:sz w:val="21"/>
                <w:szCs w:val="21"/>
              </w:rPr>
            </w:pPr>
            <w:r>
              <w:rPr>
                <w:rFonts w:ascii="宋体" w:hAnsi="宋体" w:cs="宋体"/>
                <w:sz w:val="21"/>
                <w:szCs w:val="21"/>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0758A15A">
            <w:pPr>
              <w:rPr>
                <w:rFonts w:ascii="宋体" w:hAnsi="宋体" w:cs="宋体"/>
                <w:sz w:val="21"/>
                <w:szCs w:val="21"/>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455FFCB2">
            <w:pPr>
              <w:pStyle w:val="28"/>
              <w:kinsoku w:val="0"/>
              <w:overflowPunct w:val="0"/>
              <w:spacing w:before="3" w:line="440" w:lineRule="exact"/>
              <w:ind w:right="122"/>
              <w:jc w:val="center"/>
              <w:rPr>
                <w:rFonts w:ascii="宋体" w:hAnsi="宋体" w:cs="宋体"/>
                <w:sz w:val="21"/>
                <w:szCs w:val="21"/>
              </w:rPr>
            </w:pPr>
            <w:r>
              <w:rPr>
                <w:rFonts w:ascii="宋体" w:hAnsi="宋体" w:cs="宋体"/>
                <w:spacing w:val="-2"/>
                <w:sz w:val="21"/>
                <w:szCs w:val="21"/>
              </w:rPr>
              <w:t>执业资格证书（或上岗</w:t>
            </w:r>
            <w:r>
              <w:rPr>
                <w:rFonts w:ascii="宋体" w:hAnsi="宋体" w:cs="宋体"/>
                <w:spacing w:val="-85"/>
                <w:sz w:val="21"/>
                <w:szCs w:val="21"/>
              </w:rPr>
              <w:t xml:space="preserve"> </w:t>
            </w:r>
            <w:r>
              <w:rPr>
                <w:rFonts w:ascii="宋体" w:hAnsi="宋体" w:cs="宋体"/>
                <w:sz w:val="21"/>
                <w:szCs w:val="21"/>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6467129C">
            <w:pPr>
              <w:rPr>
                <w:rFonts w:ascii="宋体" w:hAnsi="宋体" w:cs="宋体"/>
                <w:sz w:val="21"/>
                <w:szCs w:val="21"/>
              </w:rPr>
            </w:pPr>
          </w:p>
        </w:tc>
      </w:tr>
      <w:tr w14:paraId="55C10BA4">
        <w:tblPrEx>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53183CB4">
            <w:pPr>
              <w:pStyle w:val="28"/>
              <w:tabs>
                <w:tab w:val="left" w:pos="695"/>
              </w:tabs>
              <w:kinsoku w:val="0"/>
              <w:overflowPunct w:val="0"/>
              <w:jc w:val="center"/>
              <w:rPr>
                <w:rFonts w:ascii="宋体" w:hAnsi="宋体" w:cs="宋体"/>
                <w:sz w:val="21"/>
                <w:szCs w:val="21"/>
              </w:rPr>
            </w:pPr>
            <w:r>
              <w:rPr>
                <w:rFonts w:ascii="宋体" w:hAnsi="宋体" w:cs="宋体"/>
                <w:sz w:val="21"/>
                <w:szCs w:val="21"/>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316369C8">
            <w:pPr>
              <w:rPr>
                <w:rFonts w:ascii="宋体" w:hAnsi="宋体" w:cs="宋体"/>
                <w:sz w:val="21"/>
                <w:szCs w:val="21"/>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14EB9FAC">
            <w:pPr>
              <w:pStyle w:val="28"/>
              <w:kinsoku w:val="0"/>
              <w:overflowPunct w:val="0"/>
              <w:jc w:val="center"/>
              <w:rPr>
                <w:rFonts w:ascii="宋体" w:hAnsi="宋体" w:cs="宋体"/>
                <w:sz w:val="21"/>
                <w:szCs w:val="21"/>
              </w:rPr>
            </w:pPr>
            <w:r>
              <w:rPr>
                <w:rFonts w:ascii="宋体" w:hAnsi="宋体" w:cs="宋体"/>
                <w:sz w:val="21"/>
                <w:szCs w:val="21"/>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019BF298">
            <w:pPr>
              <w:rPr>
                <w:rFonts w:ascii="宋体" w:hAnsi="宋体" w:cs="宋体"/>
                <w:sz w:val="21"/>
                <w:szCs w:val="21"/>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A65260F">
            <w:pPr>
              <w:pStyle w:val="28"/>
              <w:kinsoku w:val="0"/>
              <w:overflowPunct w:val="0"/>
              <w:jc w:val="center"/>
              <w:rPr>
                <w:rFonts w:ascii="宋体" w:hAnsi="宋体" w:cs="宋体"/>
                <w:sz w:val="21"/>
                <w:szCs w:val="21"/>
              </w:rPr>
            </w:pPr>
            <w:r>
              <w:rPr>
                <w:rFonts w:ascii="宋体" w:hAnsi="宋体" w:cs="宋体"/>
                <w:sz w:val="21"/>
                <w:szCs w:val="21"/>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2E7063FD">
            <w:pPr>
              <w:rPr>
                <w:rFonts w:ascii="宋体" w:hAnsi="宋体" w:cs="宋体"/>
                <w:sz w:val="21"/>
                <w:szCs w:val="21"/>
              </w:rPr>
            </w:pPr>
          </w:p>
        </w:tc>
      </w:tr>
      <w:tr w14:paraId="508CFF67">
        <w:tblPrEx>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3AA8A0D6">
            <w:pPr>
              <w:pStyle w:val="28"/>
              <w:kinsoku w:val="0"/>
              <w:overflowPunct w:val="0"/>
              <w:jc w:val="center"/>
              <w:rPr>
                <w:rFonts w:ascii="宋体" w:hAnsi="宋体" w:cs="宋体"/>
                <w:sz w:val="21"/>
                <w:szCs w:val="21"/>
              </w:rPr>
            </w:pPr>
            <w:r>
              <w:rPr>
                <w:rFonts w:ascii="宋体" w:hAnsi="宋体" w:cs="宋体"/>
                <w:sz w:val="21"/>
                <w:szCs w:val="21"/>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tcPr>
          <w:p w14:paraId="0C07930B">
            <w:pPr>
              <w:rPr>
                <w:rFonts w:ascii="宋体" w:hAnsi="宋体" w:cs="宋体"/>
                <w:sz w:val="21"/>
                <w:szCs w:val="21"/>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6D398F6D">
            <w:pPr>
              <w:pStyle w:val="28"/>
              <w:kinsoku w:val="0"/>
              <w:overflowPunct w:val="0"/>
              <w:jc w:val="center"/>
              <w:rPr>
                <w:rFonts w:ascii="宋体" w:hAnsi="宋体" w:cs="宋体"/>
                <w:sz w:val="21"/>
                <w:szCs w:val="21"/>
              </w:rPr>
            </w:pPr>
            <w:r>
              <w:rPr>
                <w:rFonts w:ascii="宋体" w:hAnsi="宋体" w:cs="宋体"/>
                <w:sz w:val="21"/>
                <w:szCs w:val="21"/>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51160437">
            <w:pPr>
              <w:rPr>
                <w:rFonts w:ascii="宋体" w:hAnsi="宋体" w:cs="宋体"/>
                <w:sz w:val="21"/>
                <w:szCs w:val="21"/>
              </w:rPr>
            </w:pPr>
          </w:p>
        </w:tc>
      </w:tr>
      <w:tr w14:paraId="76E22F0E">
        <w:tblPrEx>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vAlign w:val="center"/>
          </w:tcPr>
          <w:p w14:paraId="6958E97E">
            <w:pPr>
              <w:pStyle w:val="28"/>
              <w:kinsoku w:val="0"/>
              <w:overflowPunct w:val="0"/>
              <w:jc w:val="both"/>
              <w:rPr>
                <w:rFonts w:ascii="宋体" w:hAnsi="宋体" w:cs="宋体"/>
                <w:sz w:val="21"/>
                <w:szCs w:val="21"/>
              </w:rPr>
            </w:pPr>
            <w:r>
              <w:rPr>
                <w:rFonts w:ascii="宋体" w:hAnsi="宋体" w:cs="宋体"/>
                <w:sz w:val="21"/>
                <w:szCs w:val="21"/>
              </w:rPr>
              <w:t>主要工作经历</w:t>
            </w:r>
          </w:p>
        </w:tc>
      </w:tr>
      <w:tr w14:paraId="04E6332E">
        <w:tblPrEx>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3D9A084">
            <w:pPr>
              <w:pStyle w:val="28"/>
              <w:tabs>
                <w:tab w:val="left" w:pos="873"/>
              </w:tabs>
              <w:kinsoku w:val="0"/>
              <w:overflowPunct w:val="0"/>
              <w:jc w:val="center"/>
              <w:rPr>
                <w:rFonts w:ascii="宋体" w:hAnsi="宋体" w:cs="宋体"/>
                <w:sz w:val="21"/>
                <w:szCs w:val="21"/>
              </w:rPr>
            </w:pPr>
            <w:r>
              <w:rPr>
                <w:rFonts w:ascii="宋体" w:hAnsi="宋体" w:cs="宋体"/>
                <w:sz w:val="21"/>
                <w:szCs w:val="21"/>
              </w:rPr>
              <w:t>时</w:t>
            </w:r>
            <w:r>
              <w:rPr>
                <w:rFonts w:ascii="宋体" w:hAnsi="宋体" w:cs="宋体"/>
                <w:sz w:val="21"/>
                <w:szCs w:val="21"/>
              </w:rPr>
              <w:tab/>
            </w:r>
            <w:r>
              <w:rPr>
                <w:rFonts w:ascii="宋体" w:hAnsi="宋体" w:cs="宋体"/>
                <w:sz w:val="21"/>
                <w:szCs w:val="21"/>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8167C13">
            <w:pPr>
              <w:pStyle w:val="28"/>
              <w:kinsoku w:val="0"/>
              <w:overflowPunct w:val="0"/>
              <w:jc w:val="center"/>
              <w:rPr>
                <w:rFonts w:ascii="宋体" w:hAnsi="宋体" w:cs="宋体"/>
                <w:sz w:val="21"/>
                <w:szCs w:val="21"/>
              </w:rPr>
            </w:pPr>
            <w:r>
              <w:rPr>
                <w:rFonts w:ascii="宋体" w:hAnsi="宋体" w:cs="宋体"/>
                <w:sz w:val="21"/>
                <w:szCs w:val="21"/>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F4A6021">
            <w:pPr>
              <w:pStyle w:val="28"/>
              <w:kinsoku w:val="0"/>
              <w:overflowPunct w:val="0"/>
              <w:jc w:val="center"/>
              <w:rPr>
                <w:rFonts w:ascii="宋体" w:hAnsi="宋体" w:cs="宋体"/>
                <w:sz w:val="21"/>
                <w:szCs w:val="21"/>
              </w:rPr>
            </w:pPr>
            <w:r>
              <w:rPr>
                <w:rFonts w:ascii="宋体" w:hAnsi="宋体" w:cs="宋体"/>
                <w:sz w:val="21"/>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6334A6B">
            <w:pPr>
              <w:pStyle w:val="28"/>
              <w:kinsoku w:val="0"/>
              <w:overflowPunct w:val="0"/>
              <w:jc w:val="center"/>
              <w:rPr>
                <w:rFonts w:ascii="宋体" w:hAnsi="宋体" w:cs="宋体"/>
                <w:sz w:val="21"/>
                <w:szCs w:val="21"/>
              </w:rPr>
            </w:pPr>
            <w:r>
              <w:rPr>
                <w:rFonts w:ascii="宋体" w:hAnsi="宋体" w:cs="宋体"/>
                <w:sz w:val="21"/>
                <w:szCs w:val="21"/>
              </w:rPr>
              <w:t>委托人及联系电话</w:t>
            </w:r>
          </w:p>
        </w:tc>
      </w:tr>
      <w:tr w14:paraId="63657E66">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4ACC532">
            <w:pPr>
              <w:jc w:val="center"/>
              <w:rPr>
                <w:rFonts w:ascii="宋体" w:hAnsi="宋体" w:cs="宋体"/>
                <w:sz w:val="21"/>
                <w:szCs w:val="21"/>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34224D4B">
            <w:pPr>
              <w:jc w:val="center"/>
              <w:rPr>
                <w:rFonts w:ascii="宋体" w:hAnsi="宋体" w:cs="宋体"/>
                <w:sz w:val="21"/>
                <w:szCs w:val="21"/>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53CC2F65">
            <w:pPr>
              <w:jc w:val="center"/>
              <w:rPr>
                <w:rFonts w:ascii="宋体" w:hAnsi="宋体" w:cs="宋体"/>
                <w:sz w:val="21"/>
                <w:szCs w:val="21"/>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F8E5F1E">
            <w:pPr>
              <w:jc w:val="center"/>
              <w:rPr>
                <w:rFonts w:ascii="宋体" w:hAnsi="宋体" w:cs="宋体"/>
                <w:sz w:val="21"/>
                <w:szCs w:val="21"/>
              </w:rPr>
            </w:pPr>
          </w:p>
        </w:tc>
      </w:tr>
      <w:tr w14:paraId="4B51504A">
        <w:tblPrEx>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A00AB77">
            <w:pPr>
              <w:jc w:val="center"/>
              <w:rPr>
                <w:rFonts w:ascii="宋体" w:hAnsi="宋体" w:cs="宋体"/>
                <w:sz w:val="21"/>
                <w:szCs w:val="21"/>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76A6A728">
            <w:pPr>
              <w:jc w:val="center"/>
              <w:rPr>
                <w:rFonts w:ascii="宋体" w:hAnsi="宋体" w:cs="宋体"/>
                <w:sz w:val="21"/>
                <w:szCs w:val="21"/>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25370F7D">
            <w:pPr>
              <w:jc w:val="center"/>
              <w:rPr>
                <w:rFonts w:ascii="宋体" w:hAnsi="宋体" w:cs="宋体"/>
                <w:sz w:val="21"/>
                <w:szCs w:val="21"/>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0AC8A78">
            <w:pPr>
              <w:jc w:val="center"/>
              <w:rPr>
                <w:rFonts w:ascii="宋体" w:hAnsi="宋体" w:cs="宋体"/>
                <w:sz w:val="21"/>
                <w:szCs w:val="21"/>
              </w:rPr>
            </w:pPr>
          </w:p>
        </w:tc>
      </w:tr>
      <w:tr w14:paraId="3A21D95A">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5C38117">
            <w:pPr>
              <w:jc w:val="center"/>
              <w:rPr>
                <w:rFonts w:ascii="宋体" w:hAnsi="宋体" w:cs="宋体"/>
                <w:sz w:val="21"/>
                <w:szCs w:val="21"/>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37A467A0">
            <w:pPr>
              <w:jc w:val="center"/>
              <w:rPr>
                <w:rFonts w:ascii="宋体" w:hAnsi="宋体" w:cs="宋体"/>
                <w:sz w:val="21"/>
                <w:szCs w:val="21"/>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3368FCB">
            <w:pPr>
              <w:jc w:val="center"/>
              <w:rPr>
                <w:rFonts w:ascii="宋体" w:hAnsi="宋体" w:cs="宋体"/>
                <w:sz w:val="21"/>
                <w:szCs w:val="21"/>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4F296AC">
            <w:pPr>
              <w:jc w:val="center"/>
              <w:rPr>
                <w:rFonts w:ascii="宋体" w:hAnsi="宋体" w:cs="宋体"/>
                <w:sz w:val="21"/>
                <w:szCs w:val="21"/>
              </w:rPr>
            </w:pPr>
          </w:p>
        </w:tc>
      </w:tr>
      <w:tr w14:paraId="40A962ED">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0D4F45A">
            <w:pPr>
              <w:jc w:val="center"/>
              <w:rPr>
                <w:rFonts w:ascii="宋体" w:hAnsi="宋体" w:cs="宋体"/>
                <w:sz w:val="21"/>
                <w:szCs w:val="21"/>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6B94DF6F">
            <w:pPr>
              <w:jc w:val="center"/>
              <w:rPr>
                <w:rFonts w:ascii="宋体" w:hAnsi="宋体" w:cs="宋体"/>
                <w:sz w:val="21"/>
                <w:szCs w:val="21"/>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612E425C">
            <w:pPr>
              <w:jc w:val="center"/>
              <w:rPr>
                <w:rFonts w:ascii="宋体" w:hAnsi="宋体" w:cs="宋体"/>
                <w:sz w:val="21"/>
                <w:szCs w:val="21"/>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7AB16B7">
            <w:pPr>
              <w:jc w:val="center"/>
              <w:rPr>
                <w:rFonts w:ascii="宋体" w:hAnsi="宋体" w:cs="宋体"/>
                <w:sz w:val="21"/>
                <w:szCs w:val="21"/>
              </w:rPr>
            </w:pPr>
          </w:p>
        </w:tc>
      </w:tr>
      <w:tr w14:paraId="1CA192DF">
        <w:tblPrEx>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3E0C226">
            <w:pPr>
              <w:jc w:val="center"/>
              <w:rPr>
                <w:rFonts w:ascii="宋体" w:hAnsi="宋体" w:cs="宋体"/>
                <w:sz w:val="21"/>
                <w:szCs w:val="21"/>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65E48D34">
            <w:pPr>
              <w:jc w:val="center"/>
              <w:rPr>
                <w:rFonts w:ascii="宋体" w:hAnsi="宋体" w:cs="宋体"/>
                <w:sz w:val="21"/>
                <w:szCs w:val="21"/>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15DEBDB5">
            <w:pPr>
              <w:jc w:val="center"/>
              <w:rPr>
                <w:rFonts w:ascii="宋体" w:hAnsi="宋体" w:cs="宋体"/>
                <w:sz w:val="21"/>
                <w:szCs w:val="21"/>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3D26ADE">
            <w:pPr>
              <w:jc w:val="center"/>
              <w:rPr>
                <w:rFonts w:ascii="宋体" w:hAnsi="宋体" w:cs="宋体"/>
                <w:sz w:val="21"/>
                <w:szCs w:val="21"/>
              </w:rPr>
            </w:pPr>
          </w:p>
        </w:tc>
      </w:tr>
      <w:tr w14:paraId="50129F84">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C94FFD1">
            <w:pPr>
              <w:jc w:val="center"/>
              <w:rPr>
                <w:rFonts w:ascii="宋体" w:hAnsi="宋体" w:cs="宋体"/>
                <w:sz w:val="21"/>
                <w:szCs w:val="21"/>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61360F25">
            <w:pPr>
              <w:jc w:val="center"/>
              <w:rPr>
                <w:rFonts w:ascii="宋体" w:hAnsi="宋体" w:cs="宋体"/>
                <w:sz w:val="21"/>
                <w:szCs w:val="21"/>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3428D480">
            <w:pPr>
              <w:jc w:val="center"/>
              <w:rPr>
                <w:rFonts w:ascii="宋体" w:hAnsi="宋体" w:cs="宋体"/>
                <w:sz w:val="21"/>
                <w:szCs w:val="21"/>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2671453">
            <w:pPr>
              <w:jc w:val="center"/>
              <w:rPr>
                <w:rFonts w:ascii="宋体" w:hAnsi="宋体" w:cs="宋体"/>
                <w:sz w:val="21"/>
                <w:szCs w:val="21"/>
              </w:rPr>
            </w:pPr>
          </w:p>
        </w:tc>
      </w:tr>
      <w:tr w14:paraId="5A6951E6">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6CE94E5">
            <w:pPr>
              <w:jc w:val="center"/>
              <w:rPr>
                <w:rFonts w:ascii="宋体" w:hAnsi="宋体" w:cs="宋体"/>
                <w:sz w:val="21"/>
                <w:szCs w:val="21"/>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1DBCD4C">
            <w:pPr>
              <w:jc w:val="center"/>
              <w:rPr>
                <w:rFonts w:ascii="宋体" w:hAnsi="宋体" w:cs="宋体"/>
                <w:sz w:val="21"/>
                <w:szCs w:val="21"/>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60390E9B">
            <w:pPr>
              <w:jc w:val="center"/>
              <w:rPr>
                <w:rFonts w:ascii="宋体" w:hAnsi="宋体" w:cs="宋体"/>
                <w:sz w:val="21"/>
                <w:szCs w:val="21"/>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B0669A9">
            <w:pPr>
              <w:jc w:val="center"/>
              <w:rPr>
                <w:rFonts w:ascii="宋体" w:hAnsi="宋体" w:cs="宋体"/>
                <w:sz w:val="21"/>
                <w:szCs w:val="21"/>
              </w:rPr>
            </w:pPr>
          </w:p>
        </w:tc>
      </w:tr>
    </w:tbl>
    <w:p w14:paraId="2CC94D9D">
      <w:pPr>
        <w:pStyle w:val="10"/>
        <w:kinsoku w:val="0"/>
        <w:overflowPunct w:val="0"/>
        <w:spacing w:before="240"/>
        <w:ind w:left="0"/>
        <w:rPr>
          <w:rFonts w:cs="宋体"/>
          <w:sz w:val="24"/>
        </w:rPr>
      </w:pPr>
    </w:p>
    <w:p w14:paraId="175F7503">
      <w:pPr>
        <w:pStyle w:val="10"/>
        <w:kinsoku w:val="0"/>
        <w:overflowPunct w:val="0"/>
        <w:spacing w:before="240"/>
        <w:ind w:left="100"/>
        <w:rPr>
          <w:rFonts w:cs="宋体"/>
          <w:sz w:val="24"/>
        </w:rPr>
      </w:pPr>
    </w:p>
    <w:p w14:paraId="619CF51F">
      <w:pPr>
        <w:pStyle w:val="10"/>
        <w:kinsoku w:val="0"/>
        <w:overflowPunct w:val="0"/>
        <w:spacing w:before="240"/>
        <w:ind w:left="100"/>
        <w:rPr>
          <w:sz w:val="24"/>
        </w:rPr>
        <w:sectPr>
          <w:headerReference r:id="rId17" w:type="default"/>
          <w:footerReference r:id="rId18" w:type="default"/>
          <w:pgSz w:w="11905" w:h="16838"/>
          <w:pgMar w:top="1417" w:right="1417" w:bottom="1417" w:left="1417" w:header="992" w:footer="992" w:gutter="0"/>
          <w:cols w:space="720" w:num="1"/>
        </w:sectPr>
      </w:pPr>
    </w:p>
    <w:p w14:paraId="6B676D26">
      <w:pPr>
        <w:pStyle w:val="5"/>
        <w:rPr>
          <w:b/>
          <w:strike/>
          <w:sz w:val="24"/>
        </w:rPr>
      </w:pPr>
      <w:bookmarkStart w:id="191" w:name="bookmark192"/>
      <w:bookmarkEnd w:id="191"/>
      <w:bookmarkStart w:id="192" w:name="_Toc6052"/>
      <w:r>
        <w:rPr>
          <w:b/>
          <w:strike/>
          <w:sz w:val="24"/>
        </w:rPr>
        <w:t>（五）拟投入本项目的主要试验检测仪器设备表</w:t>
      </w:r>
      <w:bookmarkEnd w:id="192"/>
    </w:p>
    <w:p w14:paraId="42BFD726">
      <w:pPr>
        <w:pStyle w:val="10"/>
        <w:kinsoku w:val="0"/>
        <w:overflowPunct w:val="0"/>
        <w:ind w:left="0" w:firstLine="400"/>
        <w:rPr>
          <w:strike/>
          <w:sz w:val="20"/>
        </w:rPr>
      </w:pPr>
    </w:p>
    <w:p w14:paraId="6535D1F5">
      <w:pPr>
        <w:pStyle w:val="10"/>
        <w:kinsoku w:val="0"/>
        <w:overflowPunct w:val="0"/>
        <w:spacing w:before="240"/>
        <w:ind w:left="0" w:firstLine="440"/>
        <w:rPr>
          <w:strike/>
          <w:sz w:val="22"/>
        </w:rPr>
      </w:pPr>
    </w:p>
    <w:tbl>
      <w:tblPr>
        <w:tblStyle w:val="22"/>
        <w:tblW w:w="8594" w:type="dxa"/>
        <w:tblInd w:w="448" w:type="dxa"/>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256611EA">
        <w:tblPrEx>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14:paraId="52AF01B2">
            <w:pPr>
              <w:pStyle w:val="28"/>
              <w:kinsoku w:val="0"/>
              <w:overflowPunct w:val="0"/>
              <w:spacing w:line="240" w:lineRule="atLeast"/>
              <w:jc w:val="center"/>
              <w:rPr>
                <w:strike/>
                <w:sz w:val="21"/>
              </w:rPr>
            </w:pPr>
            <w:r>
              <w:rPr>
                <w:rFonts w:ascii="宋体" w:hAnsi="宋体"/>
                <w:strike/>
                <w:sz w:val="21"/>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vAlign w:val="center"/>
          </w:tcPr>
          <w:p w14:paraId="570344FF">
            <w:pPr>
              <w:pStyle w:val="28"/>
              <w:kinsoku w:val="0"/>
              <w:overflowPunct w:val="0"/>
              <w:spacing w:line="240" w:lineRule="atLeast"/>
              <w:jc w:val="center"/>
              <w:rPr>
                <w:strike/>
                <w:sz w:val="21"/>
              </w:rPr>
            </w:pPr>
            <w:r>
              <w:rPr>
                <w:rFonts w:ascii="宋体" w:hAnsi="宋体"/>
                <w:strike/>
                <w:sz w:val="21"/>
              </w:rPr>
              <w:t>仪器设备名称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2917E2A0">
            <w:pPr>
              <w:pStyle w:val="28"/>
              <w:kinsoku w:val="0"/>
              <w:overflowPunct w:val="0"/>
              <w:spacing w:line="240" w:lineRule="atLeast"/>
              <w:jc w:val="center"/>
              <w:rPr>
                <w:strike/>
                <w:sz w:val="21"/>
              </w:rPr>
            </w:pPr>
            <w:r>
              <w:rPr>
                <w:rFonts w:ascii="宋体" w:hAnsi="宋体"/>
                <w:strike/>
                <w:sz w:val="21"/>
              </w:rPr>
              <w:t>型号</w:t>
            </w:r>
            <w:r>
              <w:rPr>
                <w:rFonts w:ascii="宋体" w:hAnsi="宋体"/>
                <w:strike/>
                <w:spacing w:val="-103"/>
                <w:sz w:val="21"/>
              </w:rPr>
              <w:t xml:space="preserve"> </w:t>
            </w:r>
            <w:r>
              <w:rPr>
                <w:rFonts w:ascii="宋体" w:hAnsi="宋体"/>
                <w:strike/>
                <w:sz w:val="21"/>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1B65D700">
            <w:pPr>
              <w:pStyle w:val="28"/>
              <w:kinsoku w:val="0"/>
              <w:overflowPunct w:val="0"/>
              <w:spacing w:line="240" w:lineRule="atLeast"/>
              <w:jc w:val="center"/>
              <w:rPr>
                <w:strike/>
                <w:sz w:val="21"/>
              </w:rPr>
            </w:pPr>
            <w:r>
              <w:rPr>
                <w:rFonts w:ascii="宋体" w:hAnsi="宋体"/>
                <w:strike/>
                <w:sz w:val="21"/>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14:paraId="200E47E6">
            <w:pPr>
              <w:pStyle w:val="28"/>
              <w:kinsoku w:val="0"/>
              <w:overflowPunct w:val="0"/>
              <w:spacing w:line="240" w:lineRule="atLeast"/>
              <w:jc w:val="center"/>
              <w:rPr>
                <w:strike/>
                <w:sz w:val="21"/>
              </w:rPr>
            </w:pPr>
            <w:r>
              <w:rPr>
                <w:rFonts w:ascii="宋体" w:hAnsi="宋体"/>
                <w:strike/>
                <w:sz w:val="21"/>
              </w:rPr>
              <w:t>国别</w:t>
            </w:r>
            <w:r>
              <w:rPr>
                <w:rFonts w:ascii="宋体" w:hAnsi="宋体"/>
                <w:strike/>
                <w:spacing w:val="-103"/>
                <w:sz w:val="21"/>
              </w:rPr>
              <w:t xml:space="preserve"> </w:t>
            </w:r>
            <w:r>
              <w:rPr>
                <w:rFonts w:ascii="宋体" w:hAnsi="宋体"/>
                <w:strike/>
                <w:sz w:val="21"/>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14:paraId="47F3C6C9">
            <w:pPr>
              <w:pStyle w:val="28"/>
              <w:kinsoku w:val="0"/>
              <w:overflowPunct w:val="0"/>
              <w:spacing w:line="240" w:lineRule="atLeast"/>
              <w:jc w:val="center"/>
              <w:rPr>
                <w:strike/>
                <w:sz w:val="21"/>
              </w:rPr>
            </w:pPr>
            <w:r>
              <w:rPr>
                <w:rFonts w:ascii="宋体" w:hAnsi="宋体"/>
                <w:strike/>
                <w:sz w:val="21"/>
              </w:rPr>
              <w:t>制造</w:t>
            </w:r>
            <w:r>
              <w:rPr>
                <w:rFonts w:ascii="宋体" w:hAnsi="宋体"/>
                <w:strike/>
                <w:spacing w:val="-103"/>
                <w:sz w:val="21"/>
              </w:rPr>
              <w:t xml:space="preserve"> </w:t>
            </w:r>
            <w:r>
              <w:rPr>
                <w:rFonts w:ascii="宋体" w:hAnsi="宋体"/>
                <w:strike/>
                <w:sz w:val="21"/>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14:paraId="438DDD1A">
            <w:pPr>
              <w:pStyle w:val="28"/>
              <w:kinsoku w:val="0"/>
              <w:overflowPunct w:val="0"/>
              <w:spacing w:line="240" w:lineRule="atLeast"/>
              <w:jc w:val="center"/>
              <w:rPr>
                <w:strike/>
                <w:sz w:val="21"/>
              </w:rPr>
            </w:pPr>
            <w:r>
              <w:rPr>
                <w:rFonts w:ascii="宋体" w:hAnsi="宋体"/>
                <w:strike/>
                <w:sz w:val="21"/>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vAlign w:val="center"/>
          </w:tcPr>
          <w:p w14:paraId="148B11B7">
            <w:pPr>
              <w:pStyle w:val="28"/>
              <w:kinsoku w:val="0"/>
              <w:overflowPunct w:val="0"/>
              <w:spacing w:line="240" w:lineRule="atLeast"/>
              <w:jc w:val="center"/>
              <w:rPr>
                <w:strike/>
                <w:sz w:val="21"/>
              </w:rPr>
            </w:pPr>
            <w:r>
              <w:rPr>
                <w:rFonts w:ascii="宋体" w:hAnsi="宋体"/>
                <w:strike/>
                <w:sz w:val="21"/>
              </w:rPr>
              <w:t>备注</w:t>
            </w:r>
          </w:p>
        </w:tc>
      </w:tr>
      <w:tr w14:paraId="35ADFEF9">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98B5EDB">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FD34D66">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E6C6D49">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AF2667E">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60E6AAB">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7FF7313">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BCC9B17">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CC2A98B">
            <w:pPr>
              <w:rPr>
                <w:strike/>
              </w:rPr>
            </w:pPr>
          </w:p>
        </w:tc>
      </w:tr>
      <w:tr w14:paraId="61FE269A">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84D8291">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A375C97">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B50322A">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FF3866F">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1438C263">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B526FD8">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27359E9E">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6B30D53">
            <w:pPr>
              <w:rPr>
                <w:strike/>
              </w:rPr>
            </w:pPr>
          </w:p>
        </w:tc>
      </w:tr>
      <w:tr w14:paraId="408DAD17">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25ED0AD">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4813F19">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EFE98A4">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B90EB3F">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E429F11">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D3A5BB8">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13C6A2BB">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93C6BF6">
            <w:pPr>
              <w:rPr>
                <w:strike/>
              </w:rPr>
            </w:pPr>
          </w:p>
        </w:tc>
      </w:tr>
      <w:tr w14:paraId="67C34ADC">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D0F506F">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4BAA854">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95F34BA">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7D9C921">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476C5D5">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3DDB3CE">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0BDEFD8">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A948A71">
            <w:pPr>
              <w:rPr>
                <w:strike/>
              </w:rPr>
            </w:pPr>
          </w:p>
        </w:tc>
      </w:tr>
      <w:tr w14:paraId="2366A66F">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4D5E434">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AB8A360">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5907958">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C2A35E3">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1FBE67A4">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062289A">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86C4911">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BE7A50F">
            <w:pPr>
              <w:rPr>
                <w:strike/>
              </w:rPr>
            </w:pPr>
          </w:p>
        </w:tc>
      </w:tr>
      <w:tr w14:paraId="674FE108">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1877BFC">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BA4E1DD">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C7D9C75">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DC38991">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3726A3D">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138F0C6A">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7DD6878">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9CDACAD">
            <w:pPr>
              <w:rPr>
                <w:strike/>
              </w:rPr>
            </w:pPr>
          </w:p>
        </w:tc>
      </w:tr>
      <w:tr w14:paraId="7C3A96A0">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EFC1CC2">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0DDCCA7">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DAF5560">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C58C72F">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9D168D3">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D2514E6">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D31C8C4">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E0C2EE7">
            <w:pPr>
              <w:rPr>
                <w:strike/>
              </w:rPr>
            </w:pPr>
          </w:p>
        </w:tc>
      </w:tr>
      <w:tr w14:paraId="6A9B16CB">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795DF77F">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E429B51">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628F7CE">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12E794A0">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0CED187">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2E797F8">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18AD7FCD">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FF10932">
            <w:pPr>
              <w:rPr>
                <w:strike/>
              </w:rPr>
            </w:pPr>
          </w:p>
        </w:tc>
      </w:tr>
      <w:tr w14:paraId="1615C24E">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326EB2D">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7414A0B">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3F8AE18A">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408A4AF">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9C7407F">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0396BFB0">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1C3B88D9">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2800F20">
            <w:pPr>
              <w:rPr>
                <w:strike/>
              </w:rPr>
            </w:pPr>
          </w:p>
        </w:tc>
      </w:tr>
      <w:tr w14:paraId="1670F9E4">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CC55498">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2B826F1A">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7AFA4F7">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03C9FDF">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1B94078">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1D51D6F">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0054D30">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4F1EB061">
            <w:pPr>
              <w:rPr>
                <w:strike/>
              </w:rPr>
            </w:pPr>
          </w:p>
        </w:tc>
      </w:tr>
      <w:tr w14:paraId="222EA776">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0CBD716B">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F7FD634">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E637E81">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4A38C0C">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4F0A4C4">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D3D55EB">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1757ECE">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03D7DE1">
            <w:pPr>
              <w:rPr>
                <w:strike/>
              </w:rPr>
            </w:pPr>
          </w:p>
        </w:tc>
      </w:tr>
      <w:tr w14:paraId="45182C47">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DFA5E1A">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8EE027A">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B345192">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C648B77">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D50852D">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102A8E12">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56FAC29">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07BBDA8E">
            <w:pPr>
              <w:rPr>
                <w:strike/>
              </w:rPr>
            </w:pPr>
          </w:p>
        </w:tc>
      </w:tr>
      <w:tr w14:paraId="019EB45D">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6440959">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99AD648">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FF7BCD4">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10665355">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24CB036">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5DFB074">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F8B7BC8">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A1EE152">
            <w:pPr>
              <w:rPr>
                <w:strike/>
              </w:rPr>
            </w:pPr>
          </w:p>
        </w:tc>
      </w:tr>
      <w:tr w14:paraId="2EC1831F">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112B21B">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148D6EBB">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94C67A7">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90542E8">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E4959BA">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102D998">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177B9FA4">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2912CB2">
            <w:pPr>
              <w:rPr>
                <w:strike/>
              </w:rPr>
            </w:pPr>
          </w:p>
        </w:tc>
      </w:tr>
      <w:tr w14:paraId="5B7DE6FE">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6C6CAB6">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0451719">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E79C116">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BCF2C2A">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589D132F">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07A44E4A">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2971FCAB">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16058CE">
            <w:pPr>
              <w:rPr>
                <w:strike/>
              </w:rPr>
            </w:pPr>
          </w:p>
        </w:tc>
      </w:tr>
      <w:tr w14:paraId="08EBDE9B">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82B724D">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1A1BD05C">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7528E494">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67FAE96">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881468C">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F8706EC">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152FB981">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CB4821A">
            <w:pPr>
              <w:rPr>
                <w:strike/>
              </w:rPr>
            </w:pPr>
          </w:p>
        </w:tc>
      </w:tr>
      <w:tr w14:paraId="2AA4364E">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07FC672B">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D2EEE1F">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3D24063C">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7CE75D7">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CFD695D">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12DC5FCA">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5C2D791">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51A40DA">
            <w:pPr>
              <w:rPr>
                <w:strike/>
              </w:rPr>
            </w:pPr>
          </w:p>
        </w:tc>
      </w:tr>
      <w:tr w14:paraId="1CDFEA3A">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92CC1A7">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C57F43F">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37F97630">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7F7D457">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74D6DF5">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85A85BE">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3EDE751">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E3B68C3">
            <w:pPr>
              <w:rPr>
                <w:strike/>
              </w:rPr>
            </w:pPr>
          </w:p>
        </w:tc>
      </w:tr>
      <w:tr w14:paraId="6A61A17A">
        <w:tblPrEx>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7706F4A">
            <w:pPr>
              <w:rPr>
                <w:strik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2DDA3F98">
            <w:pPr>
              <w:rPr>
                <w:strik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2E4BECD">
            <w:pPr>
              <w:rPr>
                <w:strik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82D1081">
            <w:pPr>
              <w:rPr>
                <w:strik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5C7CBDA">
            <w:pPr>
              <w:rPr>
                <w:strik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420EC4F">
            <w:pPr>
              <w:rPr>
                <w:strik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32A0E98">
            <w:pPr>
              <w:rPr>
                <w:strik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D21F09A">
            <w:pPr>
              <w:rPr>
                <w:strike/>
              </w:rPr>
            </w:pPr>
          </w:p>
        </w:tc>
      </w:tr>
    </w:tbl>
    <w:p w14:paraId="692244CE">
      <w:pPr>
        <w:rPr>
          <w:strike/>
        </w:rPr>
        <w:sectPr>
          <w:headerReference r:id="rId19" w:type="default"/>
          <w:footerReference r:id="rId20" w:type="default"/>
          <w:pgSz w:w="11905" w:h="16838"/>
          <w:pgMar w:top="1417" w:right="1417" w:bottom="1417" w:left="1417" w:header="992" w:footer="992" w:gutter="0"/>
          <w:cols w:space="720" w:num="1"/>
        </w:sectPr>
      </w:pPr>
    </w:p>
    <w:p w14:paraId="15B6425D">
      <w:pPr>
        <w:pStyle w:val="5"/>
        <w:rPr>
          <w:b/>
          <w:sz w:val="24"/>
        </w:rPr>
      </w:pPr>
      <w:bookmarkStart w:id="193" w:name="_Toc21460"/>
      <w:r>
        <w:rPr>
          <w:b/>
          <w:sz w:val="24"/>
        </w:rPr>
        <w:t>（六）投标人声明格式</w:t>
      </w:r>
      <w:bookmarkEnd w:id="193"/>
    </w:p>
    <w:p w14:paraId="03DC8805">
      <w:pPr>
        <w:jc w:val="center"/>
        <w:rPr>
          <w:b/>
          <w:bCs/>
          <w:sz w:val="32"/>
          <w:szCs w:val="32"/>
        </w:rPr>
      </w:pPr>
      <w:bookmarkStart w:id="194" w:name="_Toc7353"/>
      <w:r>
        <w:rPr>
          <w:b/>
          <w:bCs/>
          <w:sz w:val="32"/>
          <w:szCs w:val="32"/>
        </w:rPr>
        <w:t>投标人声明</w:t>
      </w:r>
      <w:bookmarkEnd w:id="194"/>
    </w:p>
    <w:p w14:paraId="12441E3C">
      <w:pPr>
        <w:snapToGrid w:val="0"/>
        <w:spacing w:line="360" w:lineRule="auto"/>
        <w:rPr>
          <w:rFonts w:ascii="宋体" w:hAnsi="宋体" w:cs="宋体"/>
          <w:sz w:val="21"/>
          <w:szCs w:val="21"/>
        </w:rPr>
      </w:pPr>
    </w:p>
    <w:p w14:paraId="64DEE3FD">
      <w:pPr>
        <w:snapToGrid w:val="0"/>
        <w:spacing w:line="360" w:lineRule="auto"/>
        <w:rPr>
          <w:rFonts w:ascii="宋体" w:hAnsi="宋体" w:cs="宋体"/>
          <w:sz w:val="21"/>
          <w:szCs w:val="21"/>
        </w:rPr>
      </w:pPr>
      <w:r>
        <w:rPr>
          <w:rFonts w:ascii="宋体" w:hAnsi="宋体" w:cs="宋体"/>
          <w:sz w:val="21"/>
          <w:szCs w:val="21"/>
        </w:rPr>
        <w:t>本招标项目招标人及招标监管机构：</w:t>
      </w:r>
    </w:p>
    <w:p w14:paraId="028132BF">
      <w:pPr>
        <w:snapToGrid w:val="0"/>
        <w:spacing w:line="360" w:lineRule="auto"/>
        <w:ind w:firstLine="420" w:firstLineChars="200"/>
        <w:rPr>
          <w:rFonts w:ascii="宋体" w:hAnsi="宋体" w:cs="宋体"/>
          <w:sz w:val="21"/>
          <w:szCs w:val="21"/>
        </w:rPr>
      </w:pPr>
      <w:r>
        <w:rPr>
          <w:rFonts w:ascii="宋体" w:hAnsi="宋体" w:cs="宋体"/>
          <w:sz w:val="21"/>
          <w:szCs w:val="21"/>
        </w:rPr>
        <w:t>本公司就参加</w:t>
      </w:r>
      <w:r>
        <w:rPr>
          <w:rFonts w:ascii="宋体" w:hAnsi="宋体" w:cs="宋体"/>
          <w:sz w:val="21"/>
          <w:szCs w:val="21"/>
          <w:u w:val="single"/>
        </w:rPr>
        <w:t>    （项目名称）    </w:t>
      </w:r>
      <w:r>
        <w:rPr>
          <w:rFonts w:ascii="宋体" w:hAnsi="宋体" w:cs="宋体"/>
          <w:sz w:val="21"/>
          <w:szCs w:val="21"/>
        </w:rPr>
        <w:t>项目投标工作，作出郑重声明：</w:t>
      </w:r>
    </w:p>
    <w:p w14:paraId="6216CEF0">
      <w:pPr>
        <w:snapToGrid w:val="0"/>
        <w:spacing w:line="360" w:lineRule="auto"/>
        <w:ind w:firstLine="420" w:firstLineChars="200"/>
        <w:rPr>
          <w:rFonts w:ascii="宋体" w:hAnsi="宋体" w:cs="宋体"/>
          <w:sz w:val="21"/>
          <w:szCs w:val="21"/>
        </w:rPr>
      </w:pPr>
      <w:r>
        <w:rPr>
          <w:rFonts w:ascii="宋体" w:hAnsi="宋体" w:cs="宋体"/>
          <w:sz w:val="21"/>
          <w:szCs w:val="21"/>
        </w:rPr>
        <w:t>一、本公司保证投标文件及其后提供的一切材料都是真实的。如我司成为本项目中标候选人，我司同意并授权招标人将我司投标文件商务部分的人员、业绩、奖项等资料进行公开。</w:t>
      </w:r>
    </w:p>
    <w:p w14:paraId="00AA9900">
      <w:pPr>
        <w:snapToGrid w:val="0"/>
        <w:spacing w:line="360" w:lineRule="auto"/>
        <w:ind w:firstLine="420" w:firstLineChars="200"/>
        <w:rPr>
          <w:rFonts w:ascii="宋体" w:hAnsi="宋体" w:cs="宋体"/>
          <w:sz w:val="21"/>
          <w:szCs w:val="21"/>
        </w:rPr>
      </w:pPr>
      <w:r>
        <w:rPr>
          <w:rFonts w:ascii="宋体" w:hAnsi="宋体" w:cs="宋体"/>
          <w:sz w:val="21"/>
          <w:szCs w:val="21"/>
        </w:rPr>
        <w:t>二、本公司保证不与其他单位围标、串标，不出让投标资格，不向招标人或评标委员会成员行贿。</w:t>
      </w:r>
    </w:p>
    <w:p w14:paraId="011126E0">
      <w:pPr>
        <w:snapToGrid w:val="0"/>
        <w:spacing w:line="360" w:lineRule="auto"/>
        <w:ind w:firstLine="420" w:firstLineChars="200"/>
        <w:rPr>
          <w:rFonts w:ascii="宋体" w:hAnsi="宋体" w:cs="宋体"/>
          <w:sz w:val="21"/>
          <w:szCs w:val="21"/>
        </w:rPr>
      </w:pPr>
      <w:r>
        <w:rPr>
          <w:rFonts w:ascii="宋体" w:hAnsi="宋体" w:cs="宋体"/>
          <w:sz w:val="21"/>
          <w:szCs w:val="21"/>
        </w:rPr>
        <w:t>三、本公司不存在招标文件第二章投标人须知第1.4.3项所规定的任何一种情形。</w:t>
      </w:r>
    </w:p>
    <w:p w14:paraId="59C34B03">
      <w:pPr>
        <w:snapToGrid w:val="0"/>
        <w:spacing w:line="360" w:lineRule="auto"/>
        <w:ind w:firstLine="420" w:firstLineChars="200"/>
        <w:rPr>
          <w:rFonts w:ascii="宋体" w:hAnsi="宋体" w:cs="宋体"/>
          <w:sz w:val="21"/>
          <w:szCs w:val="21"/>
        </w:rPr>
      </w:pPr>
      <w:r>
        <w:rPr>
          <w:rFonts w:ascii="宋体" w:hAnsi="宋体" w:cs="宋体"/>
          <w:sz w:val="21"/>
          <w:szCs w:val="21"/>
        </w:rPr>
        <w:t>四、本公司及其有隶属关系的机构，没有参加本项目招标文件的编写工作；本公司与本次招标的招标代理机构没有隶属关系或其他利害关系。</w:t>
      </w:r>
    </w:p>
    <w:p w14:paraId="5659EF12">
      <w:pPr>
        <w:snapToGrid w:val="0"/>
        <w:spacing w:line="360" w:lineRule="auto"/>
        <w:ind w:firstLine="420" w:firstLineChars="200"/>
        <w:rPr>
          <w:rFonts w:ascii="宋体" w:hAnsi="宋体" w:cs="宋体"/>
          <w:sz w:val="21"/>
          <w:szCs w:val="21"/>
        </w:rPr>
      </w:pPr>
      <w:bookmarkStart w:id="195" w:name="_Toc14569"/>
      <w:bookmarkStart w:id="196" w:name="_Toc29942"/>
      <w:r>
        <w:rPr>
          <w:rFonts w:ascii="宋体" w:hAnsi="宋体" w:cs="宋体"/>
          <w:sz w:val="21"/>
          <w:szCs w:val="21"/>
        </w:rPr>
        <w:t>五、本公司承诺，中标后严格执行安全生产相关管理规定。</w:t>
      </w:r>
      <w:bookmarkEnd w:id="195"/>
      <w:bookmarkEnd w:id="196"/>
    </w:p>
    <w:p w14:paraId="323C5DF2">
      <w:pPr>
        <w:snapToGrid w:val="0"/>
        <w:spacing w:line="360" w:lineRule="auto"/>
        <w:ind w:firstLine="440" w:firstLineChars="200"/>
        <w:rPr>
          <w:rFonts w:ascii="宋体" w:hAnsi="宋体" w:cs="宋体"/>
          <w:sz w:val="21"/>
          <w:szCs w:val="21"/>
        </w:rPr>
      </w:pPr>
      <w:r>
        <w:rPr>
          <w:rFonts w:hint="eastAsia" w:ascii="宋体" w:hAnsi="宋体" w:cs="宋体"/>
          <w:sz w:val="22"/>
          <w:szCs w:val="22"/>
        </w:rPr>
        <w:t>六、本公司积极响应广州市关于投身“百千万工程”的号召，主动参与政府投资类建设工程施工项目的建筑业结对帮扶等活动（市属国有企业投资项目参照执行）。</w:t>
      </w:r>
    </w:p>
    <w:p w14:paraId="24EE2178">
      <w:pPr>
        <w:snapToGrid w:val="0"/>
        <w:spacing w:line="360" w:lineRule="auto"/>
        <w:ind w:firstLine="420" w:firstLineChars="200"/>
        <w:rPr>
          <w:rFonts w:ascii="宋体" w:hAnsi="宋体" w:cs="宋体"/>
          <w:sz w:val="21"/>
          <w:szCs w:val="21"/>
        </w:rPr>
      </w:pPr>
      <w:r>
        <w:rPr>
          <w:rFonts w:ascii="宋体" w:hAnsi="宋体" w:cs="宋体"/>
          <w:sz w:val="21"/>
          <w:szCs w:val="21"/>
        </w:rPr>
        <w:t>本公司违反上述保证，或本声明陈述与事实不符，经查实，本公司愿意接受公开通报，承担由此带来的法律后果。</w:t>
      </w:r>
    </w:p>
    <w:p w14:paraId="70B0EFFC">
      <w:pPr>
        <w:widowControl/>
        <w:shd w:val="clear" w:color="auto" w:fill="FFFFFF"/>
        <w:spacing w:line="360" w:lineRule="auto"/>
        <w:ind w:firstLine="420" w:firstLineChars="200"/>
        <w:rPr>
          <w:rFonts w:ascii="宋体" w:hAnsi="宋体" w:cs="宋体"/>
          <w:sz w:val="21"/>
          <w:szCs w:val="21"/>
        </w:rPr>
      </w:pPr>
      <w:r>
        <w:rPr>
          <w:rFonts w:ascii="宋体" w:hAnsi="宋体" w:cs="宋体"/>
          <w:sz w:val="21"/>
          <w:szCs w:val="21"/>
        </w:rPr>
        <w:t>特此声明。</w:t>
      </w:r>
    </w:p>
    <w:p w14:paraId="6E9B8E19">
      <w:pPr>
        <w:pStyle w:val="34"/>
        <w:ind w:right="1449" w:firstLine="420" w:firstLineChars="200"/>
        <w:rPr>
          <w:rFonts w:hint="default" w:ascii="宋体" w:eastAsia="宋体" w:cs="宋体"/>
          <w:sz w:val="21"/>
          <w:szCs w:val="21"/>
        </w:rPr>
      </w:pPr>
    </w:p>
    <w:p w14:paraId="343E16FC">
      <w:pPr>
        <w:pStyle w:val="34"/>
        <w:spacing w:line="600" w:lineRule="exact"/>
        <w:ind w:left="629" w:right="1449" w:firstLine="420" w:firstLineChars="200"/>
        <w:rPr>
          <w:rFonts w:hint="default" w:ascii="宋体" w:eastAsia="宋体" w:cs="宋体"/>
          <w:sz w:val="21"/>
          <w:szCs w:val="21"/>
        </w:rPr>
      </w:pPr>
      <w:r>
        <w:rPr>
          <w:rFonts w:hint="default" w:ascii="宋体" w:eastAsia="宋体" w:cs="宋体"/>
          <w:sz w:val="21"/>
          <w:szCs w:val="21"/>
        </w:rPr>
        <w:t xml:space="preserve">                                           声明企业：</w:t>
      </w:r>
    </w:p>
    <w:p w14:paraId="3139645E">
      <w:pPr>
        <w:pStyle w:val="29"/>
        <w:spacing w:line="600" w:lineRule="exact"/>
        <w:ind w:right="1779" w:firstLine="473"/>
        <w:jc w:val="right"/>
        <w:rPr>
          <w:rFonts w:hint="default" w:ascii="宋体" w:eastAsia="宋体" w:cs="宋体"/>
          <w:sz w:val="21"/>
          <w:szCs w:val="21"/>
        </w:rPr>
      </w:pPr>
      <w:r>
        <w:rPr>
          <w:rFonts w:hint="default" w:ascii="宋体" w:eastAsia="宋体" w:cs="宋体"/>
          <w:sz w:val="21"/>
          <w:szCs w:val="21"/>
        </w:rPr>
        <w:t>法定代表人（签字）：</w:t>
      </w:r>
    </w:p>
    <w:p w14:paraId="56A430A5">
      <w:pPr>
        <w:pStyle w:val="29"/>
        <w:spacing w:line="600" w:lineRule="exact"/>
        <w:ind w:right="1779" w:firstLine="473"/>
        <w:jc w:val="right"/>
        <w:rPr>
          <w:rFonts w:hint="default" w:ascii="宋体" w:eastAsia="宋体" w:cs="宋体"/>
          <w:sz w:val="21"/>
          <w:szCs w:val="21"/>
        </w:rPr>
      </w:pPr>
      <w:r>
        <w:rPr>
          <w:rFonts w:hint="default" w:ascii="宋体" w:eastAsia="宋体" w:cs="宋体"/>
          <w:sz w:val="21"/>
          <w:szCs w:val="21"/>
        </w:rPr>
        <w:t>总监理工程师（签字）：</w:t>
      </w:r>
    </w:p>
    <w:p w14:paraId="723F96DD">
      <w:pPr>
        <w:pStyle w:val="29"/>
        <w:spacing w:line="600" w:lineRule="exact"/>
        <w:ind w:right="879" w:firstLine="420" w:firstLineChars="200"/>
        <w:jc w:val="right"/>
        <w:rPr>
          <w:rFonts w:hint="default" w:ascii="宋体" w:eastAsia="宋体" w:cs="宋体"/>
          <w:sz w:val="21"/>
          <w:szCs w:val="21"/>
        </w:rPr>
      </w:pPr>
      <w:r>
        <w:rPr>
          <w:rFonts w:hint="default" w:ascii="宋体" w:eastAsia="宋体" w:cs="宋体"/>
          <w:sz w:val="21"/>
          <w:szCs w:val="21"/>
        </w:rPr>
        <w:t>（企业公章）</w:t>
      </w:r>
    </w:p>
    <w:p w14:paraId="26A5837E">
      <w:pPr>
        <w:pStyle w:val="29"/>
        <w:ind w:right="879" w:firstLine="420" w:firstLineChars="200"/>
        <w:jc w:val="right"/>
        <w:rPr>
          <w:rFonts w:hint="default" w:ascii="宋体" w:eastAsia="宋体" w:cs="宋体"/>
          <w:sz w:val="21"/>
          <w:szCs w:val="21"/>
        </w:rPr>
      </w:pPr>
      <w:r>
        <w:rPr>
          <w:rFonts w:hint="default" w:ascii="宋体" w:eastAsia="宋体" w:cs="宋体"/>
          <w:sz w:val="21"/>
          <w:szCs w:val="21"/>
        </w:rPr>
        <w:t>年  月  日</w:t>
      </w:r>
    </w:p>
    <w:p w14:paraId="7EFB127A">
      <w:pPr>
        <w:pStyle w:val="25"/>
        <w:ind w:firstLine="0" w:firstLineChars="0"/>
        <w:rPr>
          <w:rFonts w:hint="default"/>
          <w:szCs w:val="24"/>
        </w:rPr>
        <w:sectPr>
          <w:pgSz w:w="11905" w:h="16838"/>
          <w:pgMar w:top="1417" w:right="1417" w:bottom="1417" w:left="1417" w:header="992" w:footer="992" w:gutter="0"/>
          <w:cols w:space="720" w:num="1"/>
        </w:sectPr>
      </w:pPr>
    </w:p>
    <w:p w14:paraId="54E5C055">
      <w:pPr>
        <w:pStyle w:val="5"/>
        <w:pageBreakBefore/>
        <w:rPr>
          <w:b/>
          <w:sz w:val="24"/>
        </w:rPr>
      </w:pPr>
      <w:r>
        <w:rPr>
          <w:rFonts w:hint="eastAsia"/>
          <w:b/>
          <w:bCs/>
          <w:sz w:val="24"/>
        </w:rPr>
        <w:t>（七）</w:t>
      </w:r>
      <w:r>
        <w:rPr>
          <w:rFonts w:hint="eastAsia"/>
          <w:b/>
          <w:sz w:val="24"/>
        </w:rPr>
        <w:t>投标人廉洁承诺书（格式）</w:t>
      </w:r>
    </w:p>
    <w:p w14:paraId="349DEC66">
      <w:pPr>
        <w:pStyle w:val="19"/>
        <w:spacing w:before="120" w:beforeLines="50" w:beforeAutospacing="0" w:after="120" w:afterLines="50" w:afterAutospacing="0" w:line="360" w:lineRule="auto"/>
        <w:jc w:val="center"/>
        <w:rPr>
          <w:rFonts w:hint="default" w:ascii="宋体" w:hAnsi="宋体" w:cs="宋体"/>
          <w:b/>
          <w:bCs/>
          <w:sz w:val="32"/>
          <w:szCs w:val="32"/>
        </w:rPr>
      </w:pPr>
      <w:r>
        <w:rPr>
          <w:rFonts w:ascii="宋体" w:hAnsi="宋体" w:eastAsia="宋体" w:cs="宋体"/>
          <w:b/>
          <w:bCs/>
          <w:sz w:val="32"/>
          <w:szCs w:val="32"/>
        </w:rPr>
        <w:t>投标人廉洁承诺书</w:t>
      </w:r>
    </w:p>
    <w:p w14:paraId="328C0399">
      <w:pPr>
        <w:pStyle w:val="19"/>
        <w:shd w:val="clear" w:color="auto" w:fill="FFFFFF"/>
        <w:spacing w:before="0" w:beforeAutospacing="0" w:after="0" w:afterAutospacing="0" w:line="360" w:lineRule="auto"/>
        <w:rPr>
          <w:rFonts w:hint="default" w:ascii="宋体" w:hAnsi="宋体" w:cs="宋体"/>
        </w:rPr>
      </w:pPr>
      <w:r>
        <w:rPr>
          <w:rFonts w:ascii="宋体" w:hAnsi="宋体" w:eastAsia="宋体" w:cs="宋体"/>
        </w:rPr>
        <w:t>广州市水务局、本招标项目招标人及招标监管机构：</w:t>
      </w:r>
    </w:p>
    <w:p w14:paraId="33E15E75">
      <w:pPr>
        <w:pStyle w:val="12"/>
        <w:spacing w:line="360" w:lineRule="auto"/>
        <w:ind w:right="420" w:firstLine="480" w:firstLineChars="200"/>
        <w:jc w:val="both"/>
        <w:rPr>
          <w:rFonts w:hAnsi="宋体" w:cs="宋体"/>
        </w:rPr>
      </w:pPr>
      <w:r>
        <w:rPr>
          <w:rFonts w:hint="eastAsia" w:hAnsi="宋体" w:cs="宋体"/>
        </w:rPr>
        <w:t>本公司参加了</w:t>
      </w:r>
      <w:r>
        <w:rPr>
          <w:rFonts w:hint="eastAsia" w:hAnsi="宋体" w:cs="宋体"/>
          <w:u w:val="single"/>
        </w:rPr>
        <w:t xml:space="preserve">   （项目名称）    </w:t>
      </w:r>
      <w:r>
        <w:rPr>
          <w:rFonts w:hint="eastAsia" w:hAnsi="宋体" w:cs="宋体"/>
        </w:rPr>
        <w:t>投标， 为确保招标工作的公平、公正、公开、有序进行，我们保证遵守《中华人民共和国招标投标法》、《中华人民</w:t>
      </w:r>
      <w:bookmarkStart w:id="203" w:name="_GoBack"/>
      <w:bookmarkEnd w:id="203"/>
      <w:r>
        <w:rPr>
          <w:rFonts w:hint="eastAsia" w:hAnsi="宋体" w:cs="宋体"/>
        </w:rPr>
        <w:t>共和国招标投标法实施条例》、《广东省实施&lt;中华人民共和国招标投标法&gt;办法》等法律法规，特承诺如下事项：</w:t>
      </w:r>
    </w:p>
    <w:p w14:paraId="34507600">
      <w:pPr>
        <w:pStyle w:val="12"/>
        <w:spacing w:line="360" w:lineRule="auto"/>
        <w:ind w:right="420" w:firstLine="480" w:firstLineChars="200"/>
        <w:rPr>
          <w:rFonts w:hAnsi="宋体" w:cs="宋体"/>
        </w:rPr>
      </w:pPr>
      <w:r>
        <w:rPr>
          <w:rFonts w:hint="eastAsia" w:hAnsi="宋体" w:cs="宋体"/>
        </w:rPr>
        <w:t>一、自觉遵守国家有关法律法规及廉洁规定。</w:t>
      </w:r>
    </w:p>
    <w:p w14:paraId="56796579">
      <w:pPr>
        <w:pStyle w:val="12"/>
        <w:spacing w:line="360" w:lineRule="auto"/>
        <w:ind w:right="420" w:firstLine="480" w:firstLineChars="200"/>
        <w:jc w:val="both"/>
        <w:rPr>
          <w:rFonts w:hAnsi="宋体" w:cs="宋体"/>
        </w:rPr>
      </w:pPr>
      <w:r>
        <w:rPr>
          <w:rFonts w:hint="eastAsia" w:hAnsi="宋体" w:cs="宋体"/>
        </w:rPr>
        <w:t>二、不与招标单位工作人员串通投标，损害国家利益、企业利益以及他人的合法利益；</w:t>
      </w:r>
    </w:p>
    <w:p w14:paraId="00A3B3AF">
      <w:pPr>
        <w:pStyle w:val="12"/>
        <w:spacing w:line="360" w:lineRule="auto"/>
        <w:ind w:right="420" w:firstLine="480" w:firstLineChars="200"/>
        <w:jc w:val="both"/>
        <w:rPr>
          <w:rFonts w:hAnsi="宋体" w:cs="宋体"/>
        </w:rPr>
      </w:pPr>
      <w:r>
        <w:rPr>
          <w:rFonts w:hint="eastAsia" w:hAnsi="宋体" w:cs="宋体"/>
        </w:rPr>
        <w:t>三、不与其他单位围标、串标，不出让投标资格，不向招标人或评标委员会成员行贿。</w:t>
      </w:r>
    </w:p>
    <w:p w14:paraId="45712B95">
      <w:pPr>
        <w:pStyle w:val="12"/>
        <w:spacing w:line="360" w:lineRule="auto"/>
        <w:ind w:right="420" w:firstLine="480" w:firstLineChars="200"/>
        <w:jc w:val="both"/>
        <w:rPr>
          <w:rFonts w:hAnsi="宋体" w:cs="宋体"/>
        </w:rPr>
      </w:pPr>
      <w:r>
        <w:rPr>
          <w:rFonts w:hint="eastAsia" w:hAnsi="宋体" w:cs="宋体"/>
        </w:rPr>
        <w:t xml:space="preserve">四、不以任何名义向参与招标、评标工作的有关人员提供高消费宴请及娱乐活动和赠送回扣、红包、礼金、购物卡、有价证券、贵重物品和好处费、感谢费等； </w:t>
      </w:r>
    </w:p>
    <w:p w14:paraId="20787F17">
      <w:pPr>
        <w:pStyle w:val="12"/>
        <w:spacing w:line="360" w:lineRule="auto"/>
        <w:ind w:right="420" w:firstLine="480" w:firstLineChars="200"/>
        <w:jc w:val="both"/>
        <w:rPr>
          <w:rFonts w:hAnsi="宋体" w:cs="宋体"/>
        </w:rPr>
      </w:pPr>
      <w:r>
        <w:rPr>
          <w:rFonts w:hint="eastAsia" w:hAnsi="宋体" w:cs="宋体"/>
        </w:rPr>
        <w:t>五、不以任何名义为参与招标、评标工作的有关人员装修住房、婚丧嫁取、配偶子女的工作安排以及境内外旅游等提供方便；</w:t>
      </w:r>
    </w:p>
    <w:p w14:paraId="2CA91490">
      <w:pPr>
        <w:pStyle w:val="12"/>
        <w:spacing w:line="360" w:lineRule="auto"/>
        <w:ind w:right="420" w:firstLine="480" w:firstLineChars="200"/>
        <w:rPr>
          <w:rFonts w:hAnsi="宋体" w:cs="宋体"/>
        </w:rPr>
      </w:pPr>
      <w:r>
        <w:rPr>
          <w:rFonts w:hint="eastAsia" w:hAnsi="宋体" w:cs="宋体"/>
        </w:rPr>
        <w:t>六、不以谋取非正当利益为目的，擅自与参与招标、评标工作的有关人员就业务问题进行私下商谈或者达成利益默契。</w:t>
      </w:r>
    </w:p>
    <w:p w14:paraId="75C225D6">
      <w:pPr>
        <w:pStyle w:val="12"/>
        <w:autoSpaceDE/>
        <w:autoSpaceDN/>
        <w:spacing w:line="360" w:lineRule="auto"/>
        <w:ind w:right="420" w:firstLine="480" w:firstLineChars="200"/>
      </w:pPr>
      <w:r>
        <w:rPr>
          <w:rFonts w:hint="eastAsia"/>
        </w:rPr>
        <w:t>本公司违反上述承诺，或本承诺陈述与事实不符，经查实，本公司愿意接受公开通报，承担由此带来的法律后果。</w:t>
      </w:r>
    </w:p>
    <w:p w14:paraId="0EE414B8">
      <w:pPr>
        <w:pStyle w:val="12"/>
        <w:autoSpaceDE/>
        <w:autoSpaceDN/>
        <w:spacing w:line="360" w:lineRule="auto"/>
        <w:ind w:right="420" w:firstLine="480" w:firstLineChars="200"/>
      </w:pPr>
      <w:r>
        <w:rPr>
          <w:rFonts w:hint="eastAsia"/>
        </w:rPr>
        <w:t>特此承诺</w:t>
      </w:r>
      <w:r>
        <w:t>。</w:t>
      </w:r>
    </w:p>
    <w:p w14:paraId="5415D79B">
      <w:pPr>
        <w:pStyle w:val="19"/>
        <w:shd w:val="clear" w:color="auto" w:fill="FFFFFF"/>
        <w:spacing w:before="0" w:beforeAutospacing="0" w:after="0" w:afterAutospacing="0" w:line="360" w:lineRule="auto"/>
        <w:ind w:right="1455" w:firstLine="2880"/>
        <w:jc w:val="right"/>
        <w:rPr>
          <w:rFonts w:hint="default" w:ascii="宋体" w:hAnsi="宋体" w:cs="宋体"/>
        </w:rPr>
      </w:pPr>
      <w:r>
        <w:rPr>
          <w:rFonts w:ascii="宋体" w:hAnsi="宋体" w:eastAsia="宋体" w:cs="宋体"/>
        </w:rPr>
        <w:t>承诺企业（</w:t>
      </w:r>
      <w:r>
        <w:rPr>
          <w:rFonts w:ascii="宋体" w:hAnsi="宋体" w:cs="宋体"/>
        </w:rPr>
        <w:t>盖</w:t>
      </w:r>
      <w:r>
        <w:rPr>
          <w:rFonts w:ascii="宋体" w:hAnsi="宋体" w:eastAsia="宋体" w:cs="宋体"/>
        </w:rPr>
        <w:t>单位章）：      </w:t>
      </w:r>
    </w:p>
    <w:p w14:paraId="7CA2C3F2">
      <w:pPr>
        <w:pStyle w:val="19"/>
        <w:shd w:val="clear" w:color="auto" w:fill="FFFFFF"/>
        <w:spacing w:before="0" w:beforeAutospacing="0" w:after="0" w:afterAutospacing="0" w:line="360" w:lineRule="auto"/>
        <w:ind w:firstLine="480"/>
        <w:jc w:val="right"/>
        <w:rPr>
          <w:rFonts w:hint="default" w:ascii="宋体" w:hAnsi="宋体" w:cs="宋体"/>
        </w:rPr>
      </w:pPr>
      <w:r>
        <w:rPr>
          <w:rFonts w:ascii="宋体" w:hAnsi="宋体" w:eastAsia="宋体" w:cs="宋体"/>
        </w:rPr>
        <w:t>法定代表人签字：</w:t>
      </w:r>
      <w:r>
        <w:rPr>
          <w:rFonts w:ascii="宋体" w:hAnsi="宋体" w:cs="宋体"/>
        </w:rPr>
        <w:t xml:space="preserve">           </w:t>
      </w:r>
    </w:p>
    <w:p w14:paraId="5E4BACE4">
      <w:pPr>
        <w:pStyle w:val="19"/>
        <w:shd w:val="clear" w:color="auto" w:fill="FFFFFF"/>
        <w:spacing w:before="0" w:after="0"/>
        <w:ind w:firstLine="480"/>
        <w:jc w:val="right"/>
        <w:rPr>
          <w:rFonts w:hint="default"/>
          <w:sz w:val="28"/>
        </w:rPr>
        <w:sectPr>
          <w:pgSz w:w="11905" w:h="16838"/>
          <w:pgMar w:top="1417" w:right="1417" w:bottom="1417" w:left="1417" w:header="992" w:footer="992" w:gutter="0"/>
          <w:cols w:space="720" w:num="1"/>
        </w:sectPr>
      </w:pPr>
      <w:r>
        <w:rPr>
          <w:rFonts w:ascii="宋体" w:hAnsi="宋体" w:eastAsia="宋体" w:cs="宋体"/>
        </w:rPr>
        <w:t>年   月   日</w:t>
      </w:r>
      <w:bookmarkStart w:id="197" w:name="bookmark193"/>
      <w:bookmarkEnd w:id="197"/>
      <w:bookmarkStart w:id="198" w:name="_Toc13291"/>
    </w:p>
    <w:p w14:paraId="0D915862">
      <w:pPr>
        <w:pStyle w:val="4"/>
        <w:spacing w:before="120" w:after="120"/>
        <w:jc w:val="center"/>
        <w:rPr>
          <w:sz w:val="28"/>
        </w:rPr>
      </w:pPr>
      <w:r>
        <w:rPr>
          <w:sz w:val="28"/>
        </w:rPr>
        <w:t>七、监理大纲</w:t>
      </w:r>
      <w:bookmarkEnd w:id="198"/>
    </w:p>
    <w:p w14:paraId="251A1561">
      <w:pPr>
        <w:pStyle w:val="10"/>
        <w:kinsoku w:val="0"/>
        <w:overflowPunct w:val="0"/>
        <w:spacing w:before="240" w:beforeLines="100" w:line="360" w:lineRule="auto"/>
        <w:ind w:left="0" w:firstLine="480" w:firstLineChars="200"/>
        <w:jc w:val="center"/>
        <w:rPr>
          <w:sz w:val="24"/>
        </w:rPr>
      </w:pPr>
      <w:r>
        <w:rPr>
          <w:rFonts w:hint="eastAsia"/>
          <w:sz w:val="24"/>
          <w:highlight w:val="none"/>
        </w:rPr>
        <w:t>（篇幅不宜超过</w:t>
      </w:r>
      <w:r>
        <w:rPr>
          <w:sz w:val="24"/>
          <w:highlight w:val="none"/>
        </w:rPr>
        <w:t>500页，超过部分不予评审）</w:t>
      </w:r>
    </w:p>
    <w:p w14:paraId="6947731D">
      <w:pPr>
        <w:pStyle w:val="10"/>
        <w:kinsoku w:val="0"/>
        <w:overflowPunct w:val="0"/>
        <w:spacing w:before="240" w:beforeLines="100" w:line="360" w:lineRule="auto"/>
        <w:ind w:left="0" w:firstLine="480" w:firstLineChars="200"/>
        <w:rPr>
          <w:sz w:val="24"/>
        </w:rPr>
      </w:pPr>
      <w:r>
        <w:rPr>
          <w:sz w:val="24"/>
        </w:rPr>
        <w:t>监理大纲应包括（但不限于）下列内容：</w:t>
      </w:r>
    </w:p>
    <w:p w14:paraId="23AD4908">
      <w:pPr>
        <w:pStyle w:val="10"/>
        <w:kinsoku w:val="0"/>
        <w:overflowPunct w:val="0"/>
        <w:spacing w:line="360" w:lineRule="auto"/>
        <w:ind w:left="480"/>
        <w:rPr>
          <w:sz w:val="24"/>
        </w:rPr>
      </w:pPr>
      <w:r>
        <w:rPr>
          <w:sz w:val="24"/>
        </w:rPr>
        <w:t>一、监理工程概况；</w:t>
      </w:r>
    </w:p>
    <w:p w14:paraId="477F1337">
      <w:pPr>
        <w:pStyle w:val="10"/>
        <w:kinsoku w:val="0"/>
        <w:overflowPunct w:val="0"/>
        <w:spacing w:line="360" w:lineRule="auto"/>
        <w:ind w:left="480"/>
        <w:rPr>
          <w:sz w:val="24"/>
        </w:rPr>
      </w:pPr>
      <w:r>
        <w:rPr>
          <w:sz w:val="24"/>
        </w:rPr>
        <w:t xml:space="preserve">二、监理范围、监理内容； </w:t>
      </w:r>
    </w:p>
    <w:p w14:paraId="70B2D003">
      <w:pPr>
        <w:pStyle w:val="10"/>
        <w:kinsoku w:val="0"/>
        <w:overflowPunct w:val="0"/>
        <w:spacing w:line="360" w:lineRule="auto"/>
        <w:ind w:left="480"/>
        <w:rPr>
          <w:sz w:val="24"/>
        </w:rPr>
      </w:pPr>
      <w:r>
        <w:rPr>
          <w:sz w:val="24"/>
        </w:rPr>
        <w:t>三、监理依据、监理工作目标；</w:t>
      </w:r>
    </w:p>
    <w:p w14:paraId="27F30901">
      <w:pPr>
        <w:pStyle w:val="10"/>
        <w:kinsoku w:val="0"/>
        <w:overflowPunct w:val="0"/>
        <w:spacing w:line="360" w:lineRule="auto"/>
        <w:ind w:left="480" w:firstLine="464"/>
        <w:rPr>
          <w:sz w:val="24"/>
        </w:rPr>
      </w:pPr>
      <w:r>
        <w:rPr>
          <w:spacing w:val="-8"/>
          <w:sz w:val="24"/>
        </w:rPr>
        <w:t>四、监理机构设置（框图）、岗位职责；</w:t>
      </w:r>
      <w:r>
        <w:rPr>
          <w:spacing w:val="-69"/>
          <w:sz w:val="24"/>
        </w:rPr>
        <w:t xml:space="preserve"> </w:t>
      </w:r>
    </w:p>
    <w:p w14:paraId="706F83EB">
      <w:pPr>
        <w:pStyle w:val="10"/>
        <w:kinsoku w:val="0"/>
        <w:overflowPunct w:val="0"/>
        <w:spacing w:line="360" w:lineRule="auto"/>
        <w:ind w:left="0" w:firstLine="480" w:firstLineChars="200"/>
        <w:rPr>
          <w:sz w:val="24"/>
        </w:rPr>
      </w:pPr>
      <w:r>
        <w:rPr>
          <w:sz w:val="24"/>
        </w:rPr>
        <w:t xml:space="preserve">五、监理工作程序、方法和制度； </w:t>
      </w:r>
    </w:p>
    <w:p w14:paraId="0A1EC453">
      <w:pPr>
        <w:pStyle w:val="10"/>
        <w:kinsoku w:val="0"/>
        <w:overflowPunct w:val="0"/>
        <w:spacing w:line="360" w:lineRule="auto"/>
        <w:ind w:left="480"/>
        <w:rPr>
          <w:sz w:val="24"/>
        </w:rPr>
      </w:pPr>
      <w:r>
        <w:rPr>
          <w:sz w:val="24"/>
        </w:rPr>
        <w:t xml:space="preserve">六、拟投入的监理人员、试验检测仪器设备； </w:t>
      </w:r>
    </w:p>
    <w:p w14:paraId="71D99D25">
      <w:pPr>
        <w:pStyle w:val="10"/>
        <w:kinsoku w:val="0"/>
        <w:overflowPunct w:val="0"/>
        <w:spacing w:line="360" w:lineRule="auto"/>
        <w:ind w:left="480" w:firstLine="476"/>
        <w:rPr>
          <w:sz w:val="24"/>
        </w:rPr>
      </w:pPr>
      <w:r>
        <w:rPr>
          <w:spacing w:val="-2"/>
          <w:sz w:val="24"/>
        </w:rPr>
        <w:t>七、质量、进度、造价、安全、环保监理措施；</w:t>
      </w:r>
      <w:r>
        <w:rPr>
          <w:spacing w:val="-66"/>
          <w:sz w:val="24"/>
        </w:rPr>
        <w:t xml:space="preserve"> </w:t>
      </w:r>
    </w:p>
    <w:p w14:paraId="0AEC84AD">
      <w:pPr>
        <w:pStyle w:val="10"/>
        <w:kinsoku w:val="0"/>
        <w:overflowPunct w:val="0"/>
        <w:spacing w:line="360" w:lineRule="auto"/>
        <w:ind w:left="480"/>
        <w:rPr>
          <w:sz w:val="24"/>
        </w:rPr>
      </w:pPr>
      <w:r>
        <w:rPr>
          <w:sz w:val="24"/>
        </w:rPr>
        <w:t>八、合同、信息管理方案；</w:t>
      </w:r>
    </w:p>
    <w:p w14:paraId="7123CE96">
      <w:pPr>
        <w:pStyle w:val="10"/>
        <w:kinsoku w:val="0"/>
        <w:overflowPunct w:val="0"/>
        <w:spacing w:line="360" w:lineRule="auto"/>
        <w:ind w:left="480"/>
        <w:rPr>
          <w:sz w:val="24"/>
        </w:rPr>
      </w:pPr>
      <w:r>
        <w:rPr>
          <w:sz w:val="24"/>
        </w:rPr>
        <w:t xml:space="preserve">九、组织协调内容及措施； </w:t>
      </w:r>
    </w:p>
    <w:p w14:paraId="5B909741">
      <w:pPr>
        <w:pStyle w:val="10"/>
        <w:kinsoku w:val="0"/>
        <w:overflowPunct w:val="0"/>
        <w:spacing w:line="360" w:lineRule="auto"/>
        <w:ind w:left="480"/>
        <w:rPr>
          <w:sz w:val="24"/>
        </w:rPr>
      </w:pPr>
      <w:r>
        <w:rPr>
          <w:sz w:val="24"/>
        </w:rPr>
        <w:t xml:space="preserve">十、监理工作重点、难点分析； </w:t>
      </w:r>
    </w:p>
    <w:p w14:paraId="7608D6A8">
      <w:pPr>
        <w:pStyle w:val="10"/>
        <w:kinsoku w:val="0"/>
        <w:overflowPunct w:val="0"/>
        <w:spacing w:line="360" w:lineRule="auto"/>
        <w:ind w:left="480"/>
        <w:rPr>
          <w:sz w:val="24"/>
        </w:rPr>
      </w:pPr>
      <w:r>
        <w:rPr>
          <w:sz w:val="24"/>
        </w:rPr>
        <w:t>十一、对本工程监理的合理化建议。</w:t>
      </w:r>
    </w:p>
    <w:p w14:paraId="7C3AD4A8">
      <w:pPr>
        <w:pStyle w:val="10"/>
        <w:kinsoku w:val="0"/>
        <w:overflowPunct w:val="0"/>
        <w:spacing w:before="240" w:line="357" w:lineRule="auto"/>
        <w:ind w:left="555" w:right="3835"/>
        <w:rPr>
          <w:sz w:val="24"/>
        </w:rPr>
        <w:sectPr>
          <w:pgSz w:w="11905" w:h="16838"/>
          <w:pgMar w:top="1417" w:right="1417" w:bottom="1417" w:left="1417" w:header="992" w:footer="992" w:gutter="0"/>
          <w:cols w:space="720" w:num="1"/>
        </w:sectPr>
      </w:pPr>
    </w:p>
    <w:p w14:paraId="50779605">
      <w:pPr>
        <w:pStyle w:val="4"/>
        <w:spacing w:before="120" w:after="120"/>
        <w:jc w:val="center"/>
        <w:rPr>
          <w:sz w:val="28"/>
        </w:rPr>
        <w:sectPr>
          <w:headerReference r:id="rId21" w:type="default"/>
          <w:footerReference r:id="rId22" w:type="default"/>
          <w:pgSz w:w="11905" w:h="16838"/>
          <w:pgMar w:top="1417" w:right="1417" w:bottom="1417" w:left="1417" w:header="992" w:footer="992" w:gutter="0"/>
          <w:cols w:space="720" w:num="1"/>
        </w:sectPr>
      </w:pPr>
      <w:bookmarkStart w:id="199" w:name="bookmark194"/>
      <w:bookmarkEnd w:id="199"/>
      <w:bookmarkStart w:id="200" w:name="_Toc26031"/>
      <w:r>
        <w:rPr>
          <w:sz w:val="28"/>
        </w:rPr>
        <w:t>八、其他资料</w:t>
      </w:r>
      <w:bookmarkEnd w:id="200"/>
    </w:p>
    <w:p w14:paraId="39F732C1">
      <w:pPr>
        <w:pStyle w:val="3"/>
        <w:rPr>
          <w:sz w:val="44"/>
          <w:szCs w:val="44"/>
        </w:rPr>
      </w:pPr>
      <w:bookmarkStart w:id="201" w:name="_Toc17258"/>
      <w:r>
        <w:rPr>
          <w:sz w:val="44"/>
          <w:szCs w:val="44"/>
        </w:rPr>
        <w:t>第七章 投标人须知前附表规定的其他资料。</w:t>
      </w:r>
      <w:bookmarkEnd w:id="201"/>
    </w:p>
    <w:p w14:paraId="0095497C"/>
    <w:p w14:paraId="2EB8B63E">
      <w:pPr>
        <w:pStyle w:val="4"/>
        <w:spacing w:before="120" w:after="120"/>
        <w:jc w:val="center"/>
        <w:rPr>
          <w:sz w:val="30"/>
        </w:rPr>
      </w:pPr>
      <w:bookmarkStart w:id="202" w:name="_Toc21589"/>
      <w:r>
        <w:rPr>
          <w:sz w:val="30"/>
        </w:rPr>
        <w:t>否决性条款汇总</w:t>
      </w:r>
      <w:bookmarkEnd w:id="202"/>
    </w:p>
    <w:p w14:paraId="72578CB9">
      <w:pPr>
        <w:widowControl/>
        <w:ind w:firstLine="482"/>
        <w:jc w:val="center"/>
        <w:rPr>
          <w:rFonts w:ascii="宋体" w:hAnsi="宋体" w:cs="宋体"/>
        </w:rPr>
      </w:pPr>
      <w:r>
        <w:rPr>
          <w:rFonts w:hint="eastAsia" w:ascii="宋体" w:hAnsi="宋体" w:cs="宋体"/>
          <w:b/>
          <w:bCs/>
        </w:rPr>
        <w:t>否决性条款单列参考格式</w:t>
      </w:r>
    </w:p>
    <w:p w14:paraId="519DC64F">
      <w:pPr>
        <w:widowControl/>
        <w:spacing w:after="135" w:line="585" w:lineRule="atLeast"/>
        <w:ind w:firstLine="480"/>
        <w:jc w:val="center"/>
        <w:rPr>
          <w:rFonts w:ascii="宋体" w:hAnsi="宋体" w:cs="宋体"/>
        </w:rPr>
      </w:pPr>
      <w:r>
        <w:rPr>
          <w:rFonts w:hint="eastAsia" w:ascii="宋体" w:hAnsi="宋体" w:cs="宋体"/>
          <w:b/>
          <w:bCs/>
        </w:rPr>
        <w:t>（*格式仅供参考，条款的实际内容应与招标文件条款相对应）</w:t>
      </w:r>
    </w:p>
    <w:p w14:paraId="6E0C5FF2">
      <w:pPr>
        <w:widowControl/>
        <w:autoSpaceDE/>
        <w:autoSpaceDN/>
        <w:adjustRightInd/>
        <w:spacing w:after="135" w:line="360" w:lineRule="auto"/>
        <w:ind w:firstLine="480" w:firstLineChars="200"/>
        <w:rPr>
          <w:rFonts w:ascii="宋体" w:hAnsi="宋体" w:cs="宋体"/>
        </w:rPr>
      </w:pPr>
      <w:r>
        <w:rPr>
          <w:rFonts w:hint="eastAsia" w:ascii="宋体" w:hAnsi="宋体" w:cs="宋体"/>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52742A08">
      <w:pPr>
        <w:widowControl/>
        <w:autoSpaceDE/>
        <w:autoSpaceDN/>
        <w:adjustRightInd/>
        <w:spacing w:after="135" w:line="360" w:lineRule="auto"/>
        <w:ind w:firstLine="480" w:firstLineChars="200"/>
        <w:rPr>
          <w:rFonts w:ascii="宋体" w:hAnsi="宋体" w:cs="宋体"/>
        </w:rPr>
      </w:pPr>
      <w:r>
        <w:rPr>
          <w:rFonts w:hint="eastAsia" w:ascii="宋体" w:hAnsi="宋体" w:cs="宋体"/>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7358DAA3">
      <w:pPr>
        <w:widowControl/>
        <w:autoSpaceDE/>
        <w:autoSpaceDN/>
        <w:adjustRightInd/>
        <w:spacing w:after="135" w:line="360" w:lineRule="auto"/>
        <w:ind w:firstLine="480" w:firstLineChars="200"/>
        <w:rPr>
          <w:rFonts w:ascii="宋体" w:hAnsi="宋体" w:cs="宋体"/>
        </w:rPr>
      </w:pPr>
      <w:r>
        <w:rPr>
          <w:rFonts w:hint="eastAsia" w:ascii="宋体" w:hAnsi="宋体" w:cs="宋体"/>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BA402EF">
      <w:pPr>
        <w:widowControl/>
        <w:spacing w:after="135" w:line="360" w:lineRule="auto"/>
        <w:ind w:firstLine="480" w:firstLineChars="200"/>
        <w:rPr>
          <w:rFonts w:ascii="宋体" w:hAnsi="宋体" w:cs="宋体"/>
        </w:rPr>
      </w:pPr>
      <w:r>
        <w:rPr>
          <w:rFonts w:hint="eastAsia" w:ascii="宋体" w:hAnsi="宋体" w:cs="宋体"/>
        </w:rPr>
        <w:t>一、开标时，出现下列情形之一的，不参与资格审查和评标</w:t>
      </w:r>
    </w:p>
    <w:p w14:paraId="4835AD07">
      <w:pPr>
        <w:widowControl/>
        <w:spacing w:after="135" w:line="360" w:lineRule="auto"/>
        <w:ind w:firstLine="480" w:firstLineChars="200"/>
        <w:rPr>
          <w:rFonts w:ascii="宋体" w:hAnsi="宋体" w:cs="宋体"/>
        </w:rPr>
      </w:pPr>
      <w:r>
        <w:rPr>
          <w:rFonts w:hint="eastAsia" w:ascii="宋体" w:hAnsi="宋体" w:cs="宋体"/>
        </w:rPr>
        <w:t>1.未成功递交投标文件的；</w:t>
      </w:r>
    </w:p>
    <w:p w14:paraId="7D48998F">
      <w:pPr>
        <w:widowControl/>
        <w:spacing w:after="135" w:line="360" w:lineRule="auto"/>
        <w:ind w:firstLine="480" w:firstLineChars="200"/>
        <w:rPr>
          <w:rFonts w:ascii="宋体" w:hAnsi="宋体" w:cs="宋体"/>
        </w:rPr>
      </w:pPr>
      <w:r>
        <w:rPr>
          <w:rFonts w:hint="eastAsia" w:ascii="宋体" w:hAnsi="宋体" w:cs="宋体"/>
        </w:rPr>
        <w:t>2.因投标人原因造成投标文件未解密的；</w:t>
      </w:r>
    </w:p>
    <w:p w14:paraId="0B4D311C">
      <w:pPr>
        <w:widowControl/>
        <w:spacing w:after="135" w:line="360" w:lineRule="auto"/>
        <w:ind w:firstLine="480" w:firstLineChars="200"/>
        <w:rPr>
          <w:rFonts w:ascii="宋体" w:hAnsi="宋体" w:cs="宋体"/>
        </w:rPr>
      </w:pPr>
      <w:r>
        <w:rPr>
          <w:rFonts w:hint="eastAsia" w:ascii="宋体" w:hAnsi="宋体" w:cs="宋体"/>
        </w:rPr>
        <w:t>3.两个（含两个）以上的投标人加密打包投标文件电脑机器特征码一致的；</w:t>
      </w:r>
    </w:p>
    <w:p w14:paraId="16CE70E7">
      <w:pPr>
        <w:widowControl/>
        <w:spacing w:after="135" w:line="360" w:lineRule="auto"/>
        <w:ind w:firstLine="480" w:firstLineChars="200"/>
        <w:rPr>
          <w:rFonts w:ascii="宋体" w:hAnsi="宋体" w:cs="宋体"/>
        </w:rPr>
      </w:pPr>
      <w:r>
        <w:rPr>
          <w:rFonts w:hint="eastAsia" w:ascii="宋体" w:hAnsi="宋体" w:cs="宋体"/>
        </w:rPr>
        <w:t>4.</w:t>
      </w:r>
      <w:r>
        <w:rPr>
          <w:rFonts w:hint="eastAsia" w:ascii="宋体" w:hAnsi="宋体" w:cs="宋体"/>
          <w:color w:val="000000"/>
        </w:rPr>
        <w:t>电子投标文件未在投标截止时间前完整上传并保存在广州公共资源交易中心电子评标系统且取得回执的；</w:t>
      </w:r>
    </w:p>
    <w:p w14:paraId="7DBC14AC">
      <w:pPr>
        <w:widowControl/>
        <w:spacing w:after="135" w:line="360" w:lineRule="auto"/>
        <w:ind w:firstLine="480" w:firstLineChars="200"/>
        <w:rPr>
          <w:rFonts w:ascii="宋体" w:hAnsi="宋体" w:cs="宋体"/>
          <w:color w:val="000000"/>
        </w:rPr>
      </w:pPr>
      <w:r>
        <w:rPr>
          <w:rFonts w:hint="eastAsia" w:ascii="宋体" w:hAnsi="宋体" w:cs="宋体"/>
        </w:rPr>
        <w:t>5.</w:t>
      </w:r>
      <w:r>
        <w:rPr>
          <w:rFonts w:hint="eastAsia" w:ascii="宋体" w:hAnsi="宋体" w:cs="宋体"/>
          <w:color w:val="000000"/>
        </w:rPr>
        <w:t>投标文件未按招标文件要求进行电子签章，并进行加密的；</w:t>
      </w:r>
    </w:p>
    <w:p w14:paraId="23B65EDF">
      <w:pPr>
        <w:widowControl/>
        <w:spacing w:after="135" w:line="360" w:lineRule="auto"/>
        <w:ind w:firstLine="480" w:firstLineChars="200"/>
        <w:rPr>
          <w:rFonts w:ascii="宋体" w:hAnsi="宋体" w:cs="宋体"/>
          <w:color w:val="000000"/>
        </w:rPr>
      </w:pPr>
      <w:r>
        <w:rPr>
          <w:rFonts w:hint="eastAsia" w:ascii="宋体" w:hAnsi="宋体" w:cs="宋体"/>
          <w:color w:val="000000"/>
        </w:rPr>
        <w:t>6.电子投标文件中投标人电子签章不完整的；</w:t>
      </w:r>
    </w:p>
    <w:p w14:paraId="653B0903">
      <w:pPr>
        <w:widowControl/>
        <w:spacing w:after="135" w:line="360" w:lineRule="auto"/>
        <w:ind w:firstLine="480" w:firstLineChars="200"/>
        <w:rPr>
          <w:rFonts w:ascii="宋体" w:hAnsi="宋体" w:cs="宋体"/>
          <w:color w:val="000000"/>
        </w:rPr>
      </w:pPr>
      <w:r>
        <w:rPr>
          <w:rFonts w:hint="eastAsia" w:ascii="宋体" w:hAnsi="宋体" w:cs="宋体"/>
        </w:rPr>
        <w:t>7.</w:t>
      </w:r>
      <w:r>
        <w:rPr>
          <w:rFonts w:hint="eastAsia" w:ascii="宋体" w:hAnsi="宋体" w:cs="宋体"/>
          <w:color w:val="000000"/>
        </w:rPr>
        <w:t>电子投标文件损坏或格式不正确的；</w:t>
      </w:r>
    </w:p>
    <w:p w14:paraId="7F2448A5">
      <w:pPr>
        <w:widowControl/>
        <w:spacing w:after="135" w:line="360" w:lineRule="auto"/>
        <w:ind w:firstLine="480" w:firstLineChars="200"/>
        <w:rPr>
          <w:rFonts w:ascii="宋体" w:hAnsi="宋体" w:cs="宋体"/>
          <w:color w:val="000000"/>
        </w:rPr>
      </w:pPr>
      <w:r>
        <w:rPr>
          <w:rFonts w:hint="eastAsia" w:ascii="宋体" w:hAnsi="宋体" w:cs="宋体"/>
        </w:rPr>
        <w:t>8.</w:t>
      </w:r>
      <w:r>
        <w:rPr>
          <w:rFonts w:hint="eastAsia" w:ascii="宋体" w:hAnsi="宋体" w:cs="宋体"/>
          <w:color w:val="000000"/>
        </w:rPr>
        <w:t>电子投标文件未加密的；</w:t>
      </w:r>
    </w:p>
    <w:p w14:paraId="1B5991EA">
      <w:pPr>
        <w:widowControl/>
        <w:spacing w:after="135" w:line="360" w:lineRule="auto"/>
        <w:ind w:firstLine="480" w:firstLineChars="200"/>
        <w:rPr>
          <w:rFonts w:ascii="宋体" w:hAnsi="宋体" w:cs="宋体"/>
        </w:rPr>
      </w:pPr>
      <w:r>
        <w:rPr>
          <w:rFonts w:hint="eastAsia" w:ascii="宋体" w:hAnsi="宋体" w:cs="宋体"/>
          <w:color w:val="000000"/>
        </w:rPr>
        <w:t>9.投标文件以纸质形式提供的。</w:t>
      </w:r>
    </w:p>
    <w:p w14:paraId="190EBC2B">
      <w:pPr>
        <w:widowControl/>
        <w:spacing w:after="135" w:line="360" w:lineRule="auto"/>
        <w:ind w:firstLine="480" w:firstLineChars="200"/>
        <w:rPr>
          <w:rFonts w:ascii="宋体" w:hAnsi="宋体" w:cs="宋体"/>
        </w:rPr>
      </w:pPr>
      <w:r>
        <w:rPr>
          <w:rFonts w:hint="eastAsia" w:ascii="宋体" w:hAnsi="宋体" w:cs="宋体"/>
        </w:rPr>
        <w:t>二、作无效投标的情形</w:t>
      </w:r>
    </w:p>
    <w:p w14:paraId="18C62C9A">
      <w:pPr>
        <w:widowControl/>
        <w:spacing w:after="135" w:line="360" w:lineRule="auto"/>
        <w:ind w:firstLine="480" w:firstLineChars="200"/>
        <w:rPr>
          <w:rFonts w:ascii="宋体" w:hAnsi="宋体" w:cs="宋体"/>
        </w:rPr>
      </w:pPr>
      <w:r>
        <w:rPr>
          <w:rFonts w:hint="eastAsia" w:ascii="宋体" w:hAnsi="宋体" w:cs="宋体"/>
        </w:rPr>
        <w:t>1. 投标文件不符合招标文件评标办法中形式评审标准、资格评审标准、响应性评审标准、技术评审标准（若有）的要求；</w:t>
      </w:r>
    </w:p>
    <w:p w14:paraId="3EA211B9">
      <w:pPr>
        <w:widowControl/>
        <w:spacing w:after="135" w:line="360" w:lineRule="auto"/>
        <w:ind w:firstLine="480" w:firstLineChars="200"/>
        <w:rPr>
          <w:rFonts w:ascii="宋体" w:hAnsi="宋体" w:cs="宋体"/>
        </w:rPr>
      </w:pPr>
      <w:r>
        <w:rPr>
          <w:rFonts w:hint="eastAsia" w:ascii="宋体" w:hAnsi="宋体" w:cs="宋体"/>
        </w:rPr>
        <w:t>三、作不合格标处理的情形</w:t>
      </w:r>
    </w:p>
    <w:p w14:paraId="4DB56505">
      <w:pPr>
        <w:spacing w:line="360" w:lineRule="auto"/>
        <w:ind w:firstLine="480" w:firstLineChars="200"/>
        <w:rPr>
          <w:rFonts w:ascii="宋体" w:hAnsi="宋体" w:cs="宋体"/>
          <w:color w:val="000000"/>
        </w:rPr>
      </w:pPr>
      <w:r>
        <w:rPr>
          <w:rFonts w:hint="eastAsia" w:ascii="宋体" w:hAnsi="宋体" w:cs="宋体"/>
          <w:color w:val="000000"/>
        </w:rPr>
        <w:t>1.投标人的报价明显低于其他投标报价或者低于成本警示价，使得其投标报价可能低于其个别成本的，应当要求该投标人作出书面说明并提供相关证明材料。投标人不能合理说明或者不能提供相关证明材料的；</w:t>
      </w:r>
    </w:p>
    <w:p w14:paraId="3546406B">
      <w:pPr>
        <w:spacing w:line="360" w:lineRule="auto"/>
        <w:ind w:firstLine="480" w:firstLineChars="200"/>
        <w:rPr>
          <w:rFonts w:ascii="宋体" w:hAnsi="宋体" w:cs="宋体"/>
          <w:color w:val="000000"/>
        </w:rPr>
      </w:pPr>
      <w:r>
        <w:rPr>
          <w:rFonts w:hint="eastAsia" w:ascii="宋体" w:hAnsi="宋体" w:cs="宋体"/>
          <w:color w:val="000000"/>
        </w:rPr>
        <w:t>2.投标报价有算术错误的，评标委员会按以下原则对投标报价进行修正，修正的价格经投标人书面确认后具有约束力。投标人不接受修正价格的，评标委员会应当否决其投标；</w:t>
      </w:r>
    </w:p>
    <w:p w14:paraId="0E457E8C">
      <w:pPr>
        <w:spacing w:line="360" w:lineRule="auto"/>
        <w:ind w:firstLine="480"/>
        <w:rPr>
          <w:rFonts w:ascii="宋体" w:hAnsi="宋体" w:cs="宋体"/>
          <w:color w:val="000000"/>
        </w:rPr>
      </w:pPr>
      <w:r>
        <w:rPr>
          <w:rFonts w:hint="eastAsia" w:ascii="宋体" w:hAnsi="宋体" w:cs="宋体"/>
          <w:color w:val="000000"/>
        </w:rPr>
        <w:t>3.投标文件有不符合招标文件评标办法初步评审标准中任何一项情形的；</w:t>
      </w:r>
    </w:p>
    <w:p w14:paraId="7BD4C019">
      <w:pPr>
        <w:spacing w:line="360" w:lineRule="auto"/>
        <w:ind w:firstLine="480"/>
        <w:rPr>
          <w:rFonts w:ascii="宋体" w:hAnsi="宋体" w:cs="宋体"/>
          <w:color w:val="000000"/>
        </w:rPr>
      </w:pPr>
      <w:r>
        <w:rPr>
          <w:rFonts w:hint="eastAsia" w:ascii="宋体" w:hAnsi="宋体" w:cs="宋体"/>
          <w:color w:val="000000"/>
        </w:rPr>
        <w:t>4.投标人存在第二章“投标人须知”第1.4.3项规定的任何一种情形的；</w:t>
      </w:r>
    </w:p>
    <w:p w14:paraId="44C2062C">
      <w:pPr>
        <w:spacing w:line="360" w:lineRule="auto"/>
        <w:ind w:firstLine="480"/>
        <w:rPr>
          <w:rFonts w:ascii="宋体" w:hAnsi="宋体" w:cs="宋体"/>
          <w:color w:val="000000"/>
        </w:rPr>
      </w:pPr>
      <w:r>
        <w:rPr>
          <w:rFonts w:hint="eastAsia" w:ascii="宋体" w:hAnsi="宋体" w:cs="宋体"/>
          <w:color w:val="000000"/>
        </w:rPr>
        <w:t>5.投标人存在串通投标或弄虚作假或有其他违法行为的；</w:t>
      </w:r>
    </w:p>
    <w:p w14:paraId="632ACD62">
      <w:pPr>
        <w:spacing w:line="360" w:lineRule="auto"/>
        <w:ind w:firstLine="480"/>
        <w:rPr>
          <w:rFonts w:ascii="宋体" w:hAnsi="宋体" w:cs="宋体"/>
          <w:color w:val="000000"/>
        </w:rPr>
      </w:pPr>
      <w:r>
        <w:rPr>
          <w:rFonts w:hint="eastAsia" w:ascii="宋体" w:hAnsi="宋体" w:cs="宋体"/>
          <w:color w:val="000000"/>
        </w:rPr>
        <w:t>6.不按评标委员会要求澄清、说明或补正的。</w:t>
      </w:r>
    </w:p>
    <w:p w14:paraId="267D4ADC">
      <w:pPr>
        <w:widowControl/>
        <w:autoSpaceDE/>
        <w:autoSpaceDN/>
        <w:adjustRightInd/>
        <w:spacing w:after="135" w:line="360" w:lineRule="auto"/>
        <w:ind w:firstLine="480" w:firstLineChars="200"/>
        <w:rPr>
          <w:rFonts w:ascii="宋体" w:hAnsi="宋体" w:cs="宋体"/>
        </w:rPr>
      </w:pPr>
    </w:p>
    <w:p w14:paraId="38AFE217">
      <w:pPr>
        <w:spacing w:line="360" w:lineRule="auto"/>
        <w:ind w:firstLine="484" w:firstLineChars="202"/>
        <w:rPr>
          <w:rFonts w:ascii="宋体" w:hAnsi="宋体" w:cs="宋体"/>
          <w:kern w:val="21"/>
        </w:rPr>
      </w:pPr>
    </w:p>
    <w:sectPr>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62C8">
    <w:pPr>
      <w:pStyle w:val="14"/>
      <w:jc w:val="center"/>
    </w:pPr>
  </w:p>
  <w:p w14:paraId="3A63AA2A">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16E4">
    <w:pPr>
      <w:pStyle w:val="10"/>
      <w:kinsoku w:val="0"/>
      <w:overflowPunct w:val="0"/>
      <w:spacing w:line="14" w:lineRule="auto"/>
      <w:ind w:left="0"/>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2726815">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60</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42726815">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60</w:t>
                    </w:r>
                    <w:r>
                      <w:rPr>
                        <w:rFonts w:ascii="Calibri" w:hAnsi="Calibri" w:eastAsia="Calibri"/>
                        <w:w w:val="99"/>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CE38">
    <w:pPr>
      <w:pStyle w:val="10"/>
      <w:kinsoku w:val="0"/>
      <w:overflowPunct w:val="0"/>
      <w:spacing w:line="14" w:lineRule="auto"/>
      <w:ind w:left="0"/>
      <w:rPr>
        <w:sz w:val="20"/>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27CD6A8">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64</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427CD6A8">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64</w:t>
                    </w:r>
                    <w:r>
                      <w:rPr>
                        <w:rFonts w:ascii="Calibri" w:hAnsi="Calibri" w:eastAsia="Calibri"/>
                        <w:w w:val="99"/>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BB25">
    <w:pPr>
      <w:pStyle w:val="10"/>
      <w:kinsoku w:val="0"/>
      <w:overflowPunct w:val="0"/>
      <w:spacing w:line="14" w:lineRule="auto"/>
      <w:ind w:left="0" w:firstLine="420"/>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AD09450">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67</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1AD09450">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67</w:t>
                    </w:r>
                    <w:r>
                      <w:rPr>
                        <w:rFonts w:ascii="Calibri" w:hAnsi="Calibri" w:eastAsia="Calibri"/>
                        <w:w w:val="99"/>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22ACD">
    <w:pPr>
      <w:pStyle w:val="10"/>
      <w:kinsoku w:val="0"/>
      <w:overflowPunct w:val="0"/>
      <w:spacing w:line="14" w:lineRule="auto"/>
      <w:ind w:left="0"/>
      <w:rPr>
        <w:sz w:val="18"/>
      </w:rPr>
    </w:pPr>
    <w:r>
      <w:rPr>
        <w:rFonts w:ascii="Calibri" w:hAnsi="Calibri" w:eastAsia="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46492D44">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46492D44">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w:t>
                    </w:r>
                    <w:r>
                      <w:rPr>
                        <w:rFonts w:ascii="Calibri" w:hAnsi="Calibri" w:eastAsia="Calibri"/>
                        <w:w w:val="99"/>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9CEE">
    <w:pPr>
      <w:pStyle w:val="10"/>
      <w:kinsoku w:val="0"/>
      <w:overflowPunct w:val="0"/>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81F04B7">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28</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081F04B7">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28</w:t>
                    </w:r>
                    <w:r>
                      <w:rPr>
                        <w:rFonts w:ascii="Calibri" w:hAnsi="Calibri" w:eastAsia="Calibri"/>
                        <w:w w:val="99"/>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C72B6">
    <w:pPr>
      <w:pStyle w:val="10"/>
      <w:kinsoku w:val="0"/>
      <w:overflowPunct w:val="0"/>
      <w:spacing w:line="14" w:lineRule="auto"/>
      <w:ind w:left="0"/>
      <w:rPr>
        <w:sz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95B9F51">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30</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595B9F51">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30</w:t>
                    </w:r>
                    <w:r>
                      <w:rPr>
                        <w:rFonts w:ascii="Calibri" w:hAnsi="Calibri" w:eastAsia="Calibri"/>
                        <w:w w:val="99"/>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0E55">
    <w:pPr>
      <w:pStyle w:val="10"/>
      <w:kinsoku w:val="0"/>
      <w:overflowPunct w:val="0"/>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C51E88A">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48</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1C51E88A">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48</w:t>
                    </w:r>
                    <w:r>
                      <w:rPr>
                        <w:rFonts w:ascii="Calibri" w:hAnsi="Calibri" w:eastAsia="Calibri"/>
                        <w:w w:val="99"/>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8BCE7">
    <w:pPr>
      <w:pStyle w:val="10"/>
      <w:kinsoku w:val="0"/>
      <w:overflowPunct w:val="0"/>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FC392D1">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56</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7FC392D1">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56</w:t>
                    </w:r>
                    <w:r>
                      <w:rPr>
                        <w:rFonts w:ascii="Calibri" w:hAnsi="Calibri" w:eastAsia="Calibri"/>
                        <w:w w:val="99"/>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C1BA">
    <w:pPr>
      <w:pStyle w:val="10"/>
      <w:kinsoku w:val="0"/>
      <w:overflowPunct w:val="0"/>
      <w:spacing w:line="14" w:lineRule="auto"/>
      <w:ind w:left="0"/>
      <w:rPr>
        <w:sz w:val="20"/>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474814C">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57</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7052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7474814C">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57</w:t>
                    </w:r>
                    <w:r>
                      <w:rPr>
                        <w:rFonts w:ascii="Calibri" w:hAnsi="Calibri" w:eastAsia="Calibri"/>
                        <w:w w:val="99"/>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89F8">
    <w:pPr>
      <w:pStyle w:val="10"/>
      <w:kinsoku w:val="0"/>
      <w:overflowPunct w:val="0"/>
      <w:spacing w:line="14" w:lineRule="auto"/>
      <w:ind w:left="0"/>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B6F3A2">
                          <w:pPr>
                            <w:pStyle w:val="14"/>
                          </w:pPr>
                          <w:r>
                            <w:fldChar w:fldCharType="begin"/>
                          </w:r>
                          <w:r>
                            <w:instrText xml:space="preserve"> PAGE  \* MERGEFORMAT </w:instrText>
                          </w:r>
                          <w:r>
                            <w:fldChar w:fldCharType="separate"/>
                          </w:r>
                          <w:r>
                            <w:t>58</w:t>
                          </w:r>
                          <w: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12B6F3A2">
                    <w:pPr>
                      <w:pStyle w:val="14"/>
                    </w:pPr>
                    <w:r>
                      <w:fldChar w:fldCharType="begin"/>
                    </w:r>
                    <w:r>
                      <w:instrText xml:space="preserve"> PAGE  \* MERGEFORMAT </w:instrText>
                    </w:r>
                    <w:r>
                      <w:fldChar w:fldCharType="separate"/>
                    </w:r>
                    <w:r>
                      <w:t>58</w:t>
                    </w:r>
                    <w: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3816350</wp:posOffset>
              </wp:positionH>
              <wp:positionV relativeFrom="page">
                <wp:posOffset>9333865</wp:posOffset>
              </wp:positionV>
              <wp:extent cx="141605" cy="1397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369E03AD">
                          <w:pPr>
                            <w:pStyle w:val="10"/>
                            <w:kinsoku w:val="0"/>
                            <w:overflowPunct w:val="0"/>
                            <w:spacing w:line="203" w:lineRule="exact"/>
                            <w:ind w:left="20"/>
                            <w:rPr>
                              <w:rFonts w:ascii="Calibri" w:hAnsi="Calibri" w:eastAsia="Calibri"/>
                              <w:sz w:val="18"/>
                            </w:rPr>
                          </w:pPr>
                          <w:r>
                            <w:rPr>
                              <w:rFonts w:ascii="Calibri" w:hAnsi="Calibri" w:eastAsia="Calibri"/>
                              <w:spacing w:val="-1"/>
                              <w:w w:val="99"/>
                              <w:sz w:val="18"/>
                            </w:rPr>
                            <w:t>80</w:t>
                          </w:r>
                        </w:p>
                      </w:txbxContent>
                    </wps:txbx>
                    <wps:bodyPr vert="horz" wrap="square" lIns="0" tIns="0" rIns="0" bIns="0" upright="1"/>
                  </wps:wsp>
                </a:graphicData>
              </a:graphic>
            </wp:anchor>
          </w:drawing>
        </mc:Choice>
        <mc:Fallback>
          <w:pict>
            <v:shape id="文本框 16" o:spid="_x0000_s1026" o:spt="202" type="#_x0000_t202" style="position:absolute;left:0pt;margin-left:300.5pt;margin-top:734.95pt;height:11pt;width:11.15pt;mso-position-horizontal-relative:page;mso-position-vertical-relative:page;z-index:-251653120;mso-width-relative:page;mso-height-relative:page;" filled="f" stroked="f" coordsize="21600,21600" o:gfxdata="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2yQofaAAAADQEAAA8AAAAAAAAAAQAgAAAAIgAA&#10;AGRycy9kb3ducmV2LnhtbFBLAQIUABQAAAAIAIdO4kCZ4bHFzQEAAIwDAAAOAAAAAAAAAAEAIAAA&#10;ACkBAABkcnMvZTJvRG9jLnhtbFBLBQYAAAAABgAGAFkBAABoBQAAAAA=&#10;">
              <v:fill on="f" focussize="0,0"/>
              <v:stroke on="f"/>
              <v:imagedata o:title=""/>
              <o:lock v:ext="edit" aspectratio="f"/>
              <v:textbox inset="0mm,0mm,0mm,0mm">
                <w:txbxContent>
                  <w:p w14:paraId="369E03AD">
                    <w:pPr>
                      <w:pStyle w:val="10"/>
                      <w:kinsoku w:val="0"/>
                      <w:overflowPunct w:val="0"/>
                      <w:spacing w:line="203" w:lineRule="exact"/>
                      <w:ind w:left="20"/>
                      <w:rPr>
                        <w:rFonts w:ascii="Calibri" w:hAnsi="Calibri" w:eastAsia="Calibri"/>
                        <w:sz w:val="18"/>
                      </w:rPr>
                    </w:pPr>
                    <w:r>
                      <w:rPr>
                        <w:rFonts w:ascii="Calibri" w:hAnsi="Calibri" w:eastAsia="Calibri"/>
                        <w:spacing w:val="-1"/>
                        <w:w w:val="99"/>
                        <w:sz w:val="18"/>
                      </w:rPr>
                      <w:t>80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694F">
    <w:pPr>
      <w:pStyle w:val="10"/>
      <w:kinsoku w:val="0"/>
      <w:overflowPunct w:val="0"/>
      <w:spacing w:line="14" w:lineRule="auto"/>
      <w:ind w:left="0"/>
      <w:rPr>
        <w:sz w:val="2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F1A683B">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59</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950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4F1A683B">
                    <w:pPr>
                      <w:pStyle w:val="10"/>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59</w:t>
                    </w:r>
                    <w:r>
                      <w:rPr>
                        <w:rFonts w:ascii="Calibri" w:hAnsi="Calibri" w:eastAsia="Calibri"/>
                        <w:w w:val="99"/>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C4A0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4F5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CC751">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ADEB7">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6D2E">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C881">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07C7">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07D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ECFD1"/>
    <w:multiLevelType w:val="singleLevel"/>
    <w:tmpl w:val="0FFECFD1"/>
    <w:lvl w:ilvl="0" w:tentative="0">
      <w:start w:val="1"/>
      <w:numFmt w:val="chineseCounting"/>
      <w:suff w:val="space"/>
      <w:lvlText w:val="第%1章"/>
      <w:lvlJc w:val="left"/>
      <w:rPr>
        <w:rFonts w:hint="eastAsia"/>
      </w:rPr>
    </w:lvl>
  </w:abstractNum>
  <w:abstractNum w:abstractNumId="1">
    <w:nsid w:val="1D7CAC94"/>
    <w:multiLevelType w:val="singleLevel"/>
    <w:tmpl w:val="1D7CAC94"/>
    <w:lvl w:ilvl="0" w:tentative="0">
      <w:start w:val="2"/>
      <w:numFmt w:val="decimal"/>
      <w:suff w:val="nothing"/>
      <w:lvlText w:val="（%1）"/>
      <w:lvlJc w:val="left"/>
      <w:pPr>
        <w:ind w:left="7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QzYTBiZDAzODI2YmViZmE2N2FmOWI0NTQ3NzcifQ=="/>
  </w:docVars>
  <w:rsids>
    <w:rsidRoot w:val="00172A27"/>
    <w:rsid w:val="00062FE9"/>
    <w:rsid w:val="00172A27"/>
    <w:rsid w:val="002C247F"/>
    <w:rsid w:val="00333A27"/>
    <w:rsid w:val="0044084E"/>
    <w:rsid w:val="004B0B39"/>
    <w:rsid w:val="00642DB0"/>
    <w:rsid w:val="0079589D"/>
    <w:rsid w:val="007A4C15"/>
    <w:rsid w:val="007D5A02"/>
    <w:rsid w:val="008E3291"/>
    <w:rsid w:val="009D1B9D"/>
    <w:rsid w:val="00A0753E"/>
    <w:rsid w:val="00A25E5A"/>
    <w:rsid w:val="00A77603"/>
    <w:rsid w:val="00AC4E85"/>
    <w:rsid w:val="00AC77D1"/>
    <w:rsid w:val="00AD3C66"/>
    <w:rsid w:val="00B5025E"/>
    <w:rsid w:val="00BB4EC8"/>
    <w:rsid w:val="00C93A50"/>
    <w:rsid w:val="00D6466C"/>
    <w:rsid w:val="00E920DF"/>
    <w:rsid w:val="00EF263F"/>
    <w:rsid w:val="00F87221"/>
    <w:rsid w:val="00FA2B9A"/>
    <w:rsid w:val="00FA5234"/>
    <w:rsid w:val="015F5C05"/>
    <w:rsid w:val="020F624B"/>
    <w:rsid w:val="0258568F"/>
    <w:rsid w:val="02FB1D51"/>
    <w:rsid w:val="04590E88"/>
    <w:rsid w:val="04FF212C"/>
    <w:rsid w:val="050B6D23"/>
    <w:rsid w:val="055A6E6C"/>
    <w:rsid w:val="0686143A"/>
    <w:rsid w:val="070204F3"/>
    <w:rsid w:val="079D30DF"/>
    <w:rsid w:val="07F817E1"/>
    <w:rsid w:val="08964EF7"/>
    <w:rsid w:val="08C473E5"/>
    <w:rsid w:val="09452310"/>
    <w:rsid w:val="09C27272"/>
    <w:rsid w:val="0BBA0517"/>
    <w:rsid w:val="0C997CA3"/>
    <w:rsid w:val="0CA35E79"/>
    <w:rsid w:val="0D4754A7"/>
    <w:rsid w:val="0D5E2DA9"/>
    <w:rsid w:val="0D737EF8"/>
    <w:rsid w:val="11702C8D"/>
    <w:rsid w:val="11E02E4A"/>
    <w:rsid w:val="12C41192"/>
    <w:rsid w:val="157825E6"/>
    <w:rsid w:val="15FA071C"/>
    <w:rsid w:val="1743589B"/>
    <w:rsid w:val="184711C8"/>
    <w:rsid w:val="187237A6"/>
    <w:rsid w:val="189B1E31"/>
    <w:rsid w:val="19CF5BDB"/>
    <w:rsid w:val="1A156DF2"/>
    <w:rsid w:val="1A1964F2"/>
    <w:rsid w:val="1AE837D0"/>
    <w:rsid w:val="1B8A22F8"/>
    <w:rsid w:val="1CDF72B4"/>
    <w:rsid w:val="1D021D8E"/>
    <w:rsid w:val="1D8B6EF6"/>
    <w:rsid w:val="1E44175B"/>
    <w:rsid w:val="1E4A3FC0"/>
    <w:rsid w:val="1E584178"/>
    <w:rsid w:val="1EAE2913"/>
    <w:rsid w:val="1F493040"/>
    <w:rsid w:val="1FB76ED1"/>
    <w:rsid w:val="207C2C81"/>
    <w:rsid w:val="20992E00"/>
    <w:rsid w:val="20CE3F4B"/>
    <w:rsid w:val="21A27D50"/>
    <w:rsid w:val="221729FA"/>
    <w:rsid w:val="22254CDF"/>
    <w:rsid w:val="2338257F"/>
    <w:rsid w:val="256234F5"/>
    <w:rsid w:val="25A44C59"/>
    <w:rsid w:val="25F53FAC"/>
    <w:rsid w:val="26CF6181"/>
    <w:rsid w:val="274F0BC7"/>
    <w:rsid w:val="283F6BE7"/>
    <w:rsid w:val="288B74C9"/>
    <w:rsid w:val="29D66917"/>
    <w:rsid w:val="2AF57974"/>
    <w:rsid w:val="2C19797C"/>
    <w:rsid w:val="2CA35449"/>
    <w:rsid w:val="2D07305C"/>
    <w:rsid w:val="2E6508F1"/>
    <w:rsid w:val="2EAD14DA"/>
    <w:rsid w:val="2F4A16AB"/>
    <w:rsid w:val="2FF80C51"/>
    <w:rsid w:val="300375DA"/>
    <w:rsid w:val="317F1D7B"/>
    <w:rsid w:val="31B76C2E"/>
    <w:rsid w:val="322B758E"/>
    <w:rsid w:val="324A2A66"/>
    <w:rsid w:val="32D57EA5"/>
    <w:rsid w:val="33EA0CA6"/>
    <w:rsid w:val="34176220"/>
    <w:rsid w:val="34C67AE0"/>
    <w:rsid w:val="36115F43"/>
    <w:rsid w:val="37090E2F"/>
    <w:rsid w:val="37246B94"/>
    <w:rsid w:val="37865B8C"/>
    <w:rsid w:val="38372F5B"/>
    <w:rsid w:val="389D47E5"/>
    <w:rsid w:val="39037C61"/>
    <w:rsid w:val="39750026"/>
    <w:rsid w:val="3A960DB6"/>
    <w:rsid w:val="3AE64F8C"/>
    <w:rsid w:val="3AF47336"/>
    <w:rsid w:val="3B533ED1"/>
    <w:rsid w:val="3C643983"/>
    <w:rsid w:val="3CB1566E"/>
    <w:rsid w:val="3CC701F0"/>
    <w:rsid w:val="3E574D8A"/>
    <w:rsid w:val="40E825E4"/>
    <w:rsid w:val="41B30504"/>
    <w:rsid w:val="42FA621E"/>
    <w:rsid w:val="44040DFF"/>
    <w:rsid w:val="44C164DB"/>
    <w:rsid w:val="453C3DB3"/>
    <w:rsid w:val="453F2561"/>
    <w:rsid w:val="462A4554"/>
    <w:rsid w:val="47B67BBB"/>
    <w:rsid w:val="489C6820"/>
    <w:rsid w:val="48D71EE3"/>
    <w:rsid w:val="48E35BA9"/>
    <w:rsid w:val="49247828"/>
    <w:rsid w:val="4948541D"/>
    <w:rsid w:val="4A742A58"/>
    <w:rsid w:val="4AB1638A"/>
    <w:rsid w:val="4B3E45F3"/>
    <w:rsid w:val="4CB6115A"/>
    <w:rsid w:val="4D0369F0"/>
    <w:rsid w:val="4D903A6C"/>
    <w:rsid w:val="4E7A004E"/>
    <w:rsid w:val="50B92434"/>
    <w:rsid w:val="5223443E"/>
    <w:rsid w:val="522C3C23"/>
    <w:rsid w:val="523C0ABB"/>
    <w:rsid w:val="52A929CD"/>
    <w:rsid w:val="53EF77F2"/>
    <w:rsid w:val="55096426"/>
    <w:rsid w:val="56D15DEC"/>
    <w:rsid w:val="57E70337"/>
    <w:rsid w:val="58E533AC"/>
    <w:rsid w:val="5A722B5D"/>
    <w:rsid w:val="5BE669AD"/>
    <w:rsid w:val="5F1B0097"/>
    <w:rsid w:val="5FB213EA"/>
    <w:rsid w:val="61EA613C"/>
    <w:rsid w:val="62AB097F"/>
    <w:rsid w:val="62C12D55"/>
    <w:rsid w:val="63DB2CB0"/>
    <w:rsid w:val="647B1300"/>
    <w:rsid w:val="64CF0DB1"/>
    <w:rsid w:val="654A3E4B"/>
    <w:rsid w:val="65D76672"/>
    <w:rsid w:val="6612702D"/>
    <w:rsid w:val="66CA3897"/>
    <w:rsid w:val="6797276F"/>
    <w:rsid w:val="69B47845"/>
    <w:rsid w:val="6ABB01AD"/>
    <w:rsid w:val="6AC8299D"/>
    <w:rsid w:val="6B195FD2"/>
    <w:rsid w:val="6BC856BE"/>
    <w:rsid w:val="6CCE6362"/>
    <w:rsid w:val="6CDB6C18"/>
    <w:rsid w:val="6DE7022A"/>
    <w:rsid w:val="6E91710D"/>
    <w:rsid w:val="6F585C48"/>
    <w:rsid w:val="6FB6545E"/>
    <w:rsid w:val="6FDC5A0F"/>
    <w:rsid w:val="6FF327A9"/>
    <w:rsid w:val="702B37BF"/>
    <w:rsid w:val="705D0AFD"/>
    <w:rsid w:val="70E44F01"/>
    <w:rsid w:val="72E01BB0"/>
    <w:rsid w:val="731E0F50"/>
    <w:rsid w:val="75567E24"/>
    <w:rsid w:val="757635DC"/>
    <w:rsid w:val="76750369"/>
    <w:rsid w:val="76A25114"/>
    <w:rsid w:val="7734735D"/>
    <w:rsid w:val="77563D2B"/>
    <w:rsid w:val="77F34C42"/>
    <w:rsid w:val="7811525D"/>
    <w:rsid w:val="781778AC"/>
    <w:rsid w:val="7838546B"/>
    <w:rsid w:val="784210E3"/>
    <w:rsid w:val="788506C7"/>
    <w:rsid w:val="793A652F"/>
    <w:rsid w:val="79BF259A"/>
    <w:rsid w:val="7A6605A1"/>
    <w:rsid w:val="7AA65250"/>
    <w:rsid w:val="7ADC0590"/>
    <w:rsid w:val="7B8A5777"/>
    <w:rsid w:val="7BE249A0"/>
    <w:rsid w:val="7D4B3C28"/>
    <w:rsid w:val="7D521B00"/>
    <w:rsid w:val="7DAF1BA7"/>
    <w:rsid w:val="7DCE4049"/>
    <w:rsid w:val="7E2056E4"/>
    <w:rsid w:val="7E8D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rPr>
  </w:style>
  <w:style w:type="paragraph" w:styleId="3">
    <w:name w:val="heading 2"/>
    <w:basedOn w:val="1"/>
    <w:next w:val="1"/>
    <w:link w:val="35"/>
    <w:unhideWhenUsed/>
    <w:qFormat/>
    <w:uiPriority w:val="1"/>
    <w:pPr>
      <w:ind w:left="3"/>
      <w:jc w:val="center"/>
      <w:outlineLvl w:val="1"/>
    </w:pPr>
    <w:rPr>
      <w:rFonts w:ascii="宋体" w:hAnsi="宋体"/>
      <w:sz w:val="30"/>
    </w:rPr>
  </w:style>
  <w:style w:type="paragraph" w:styleId="4">
    <w:name w:val="heading 3"/>
    <w:basedOn w:val="1"/>
    <w:next w:val="1"/>
    <w:link w:val="27"/>
    <w:unhideWhenUsed/>
    <w:qFormat/>
    <w:uiPriority w:val="1"/>
    <w:pPr>
      <w:spacing w:before="50" w:beforeLines="50" w:after="50" w:afterLines="50" w:line="360" w:lineRule="auto"/>
      <w:outlineLvl w:val="2"/>
    </w:pPr>
    <w:rPr>
      <w:rFonts w:ascii="宋体" w:hAnsi="宋体"/>
      <w:b/>
    </w:rPr>
  </w:style>
  <w:style w:type="paragraph" w:styleId="5">
    <w:name w:val="heading 4"/>
    <w:basedOn w:val="1"/>
    <w:next w:val="1"/>
    <w:unhideWhenUsed/>
    <w:qFormat/>
    <w:uiPriority w:val="1"/>
    <w:pPr>
      <w:outlineLvl w:val="3"/>
    </w:pPr>
    <w:rPr>
      <w:rFonts w:ascii="宋体" w:hAnsi="宋体"/>
      <w:sz w:val="28"/>
    </w:rPr>
  </w:style>
  <w:style w:type="paragraph" w:styleId="6">
    <w:name w:val="heading 5"/>
    <w:basedOn w:val="1"/>
    <w:next w:val="1"/>
    <w:unhideWhenUsed/>
    <w:qFormat/>
    <w:uiPriority w:val="1"/>
    <w:pPr>
      <w:ind w:left="237"/>
      <w:outlineLvl w:val="4"/>
    </w:pPr>
    <w:rPr>
      <w:rFonts w:ascii="宋体" w:hAnsi="宋体"/>
      <w:sz w:val="28"/>
    </w:rPr>
  </w:style>
  <w:style w:type="paragraph" w:styleId="7">
    <w:name w:val="heading 6"/>
    <w:basedOn w:val="1"/>
    <w:next w:val="1"/>
    <w:autoRedefine/>
    <w:unhideWhenUsed/>
    <w:qFormat/>
    <w:uiPriority w:val="1"/>
    <w:pPr>
      <w:ind w:left="513"/>
      <w:outlineLvl w:val="5"/>
    </w:pPr>
    <w:rPr>
      <w:rFonts w:hint="eastAsia" w:eastAsia="Times New Roman"/>
      <w:b/>
      <w:sz w:val="21"/>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2"/>
    <w:unhideWhenUsed/>
    <w:qFormat/>
    <w:uiPriority w:val="99"/>
  </w:style>
  <w:style w:type="paragraph" w:styleId="9">
    <w:name w:val="Body Text 3"/>
    <w:autoRedefine/>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0">
    <w:name w:val="Body Text"/>
    <w:basedOn w:val="1"/>
    <w:autoRedefine/>
    <w:unhideWhenUsed/>
    <w:qFormat/>
    <w:uiPriority w:val="1"/>
    <w:pPr>
      <w:ind w:left="520"/>
    </w:pPr>
    <w:rPr>
      <w:rFonts w:ascii="宋体" w:hAnsi="宋体"/>
      <w:sz w:val="21"/>
    </w:rPr>
  </w:style>
  <w:style w:type="paragraph" w:styleId="11">
    <w:name w:val="toc 3"/>
    <w:basedOn w:val="1"/>
    <w:next w:val="1"/>
    <w:qFormat/>
    <w:uiPriority w:val="99"/>
    <w:pPr>
      <w:ind w:left="840" w:leftChars="400"/>
    </w:pPr>
  </w:style>
  <w:style w:type="paragraph" w:styleId="12">
    <w:name w:val="Plain Text"/>
    <w:basedOn w:val="1"/>
    <w:next w:val="1"/>
    <w:unhideWhenUsed/>
    <w:qFormat/>
    <w:uiPriority w:val="0"/>
    <w:rPr>
      <w:rFonts w:ascii="宋体" w:hAnsi="Courier New"/>
    </w:rPr>
  </w:style>
  <w:style w:type="paragraph" w:styleId="13">
    <w:name w:val="Balloon Text"/>
    <w:basedOn w:val="1"/>
    <w:link w:val="41"/>
    <w:qFormat/>
    <w:uiPriority w:val="99"/>
    <w:rPr>
      <w:sz w:val="18"/>
      <w:szCs w:val="18"/>
    </w:rPr>
  </w:style>
  <w:style w:type="paragraph" w:styleId="14">
    <w:name w:val="footer"/>
    <w:basedOn w:val="1"/>
    <w:autoRedefine/>
    <w:unhideWhenUsed/>
    <w:qFormat/>
    <w:uiPriority w:val="99"/>
    <w:pPr>
      <w:tabs>
        <w:tab w:val="center" w:pos="4153"/>
        <w:tab w:val="right" w:pos="8306"/>
      </w:tabs>
      <w:snapToGrid w:val="0"/>
    </w:pPr>
    <w:rPr>
      <w:sz w:val="18"/>
    </w:rPr>
  </w:style>
  <w:style w:type="paragraph" w:styleId="15">
    <w:name w:val="header"/>
    <w:basedOn w:val="1"/>
    <w:autoRedefine/>
    <w:unhideWhenUsed/>
    <w:qFormat/>
    <w:uiPriority w:val="99"/>
    <w:pPr>
      <w:tabs>
        <w:tab w:val="center" w:pos="4153"/>
        <w:tab w:val="right" w:pos="8306"/>
      </w:tabs>
      <w:snapToGrid w:val="0"/>
      <w:jc w:val="both"/>
    </w:pPr>
    <w:rPr>
      <w:sz w:val="18"/>
    </w:rPr>
  </w:style>
  <w:style w:type="paragraph" w:styleId="16">
    <w:name w:val="toc 1"/>
    <w:basedOn w:val="1"/>
    <w:next w:val="1"/>
    <w:qFormat/>
    <w:uiPriority w:val="99"/>
  </w:style>
  <w:style w:type="paragraph" w:styleId="17">
    <w:name w:val="toc 2"/>
    <w:basedOn w:val="1"/>
    <w:next w:val="1"/>
    <w:qFormat/>
    <w:uiPriority w:val="99"/>
    <w:pPr>
      <w:ind w:left="420" w:leftChars="200"/>
    </w:pPr>
  </w:style>
  <w:style w:type="paragraph" w:styleId="18">
    <w:name w:val="Body Text 2"/>
    <w:basedOn w:val="1"/>
    <w:qFormat/>
    <w:uiPriority w:val="0"/>
    <w:rPr>
      <w:rFonts w:ascii="宋体" w:hAnsi="宋体"/>
      <w:sz w:val="20"/>
      <w:u w:val="single"/>
    </w:rPr>
  </w:style>
  <w:style w:type="paragraph" w:styleId="19">
    <w:name w:val="Normal (Web)"/>
    <w:basedOn w:val="1"/>
    <w:unhideWhenUsed/>
    <w:qFormat/>
    <w:uiPriority w:val="99"/>
    <w:pPr>
      <w:widowControl/>
      <w:spacing w:before="100" w:beforeAutospacing="1" w:after="100" w:afterAutospacing="1"/>
    </w:pPr>
    <w:rPr>
      <w:rFonts w:hint="eastAsia" w:eastAsia="Times New Roman"/>
    </w:rPr>
  </w:style>
  <w:style w:type="paragraph" w:styleId="20">
    <w:name w:val="Body Text First Indent"/>
    <w:basedOn w:val="10"/>
    <w:autoRedefine/>
    <w:unhideWhenUsed/>
    <w:qFormat/>
    <w:uiPriority w:val="0"/>
    <w:pPr>
      <w:ind w:firstLine="420"/>
    </w:pPr>
    <w:rPr>
      <w:rFonts w:hint="eastAsia" w:ascii="Times New Roman" w:hAnsi="Times New Roman" w:eastAsia="楷体_GB2312"/>
      <w:sz w:val="20"/>
    </w:rPr>
  </w:style>
  <w:style w:type="paragraph" w:styleId="21">
    <w:name w:val="Body Text First Indent 2"/>
    <w:autoRedefine/>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4">
    <w:name w:val="Hyperlink"/>
    <w:autoRedefine/>
    <w:unhideWhenUsed/>
    <w:qFormat/>
    <w:uiPriority w:val="99"/>
    <w:rPr>
      <w:rFonts w:hint="default" w:ascii="Arial" w:hAnsi="Arial" w:eastAsia="黑体"/>
      <w:color w:val="0000FF"/>
      <w:kern w:val="2"/>
      <w:sz w:val="21"/>
      <w:szCs w:val="24"/>
      <w:u w:val="single"/>
      <w:lang w:val="en-US" w:eastAsia="zh-CN" w:bidi="ar-SA"/>
    </w:rPr>
  </w:style>
  <w:style w:type="paragraph" w:customStyle="1" w:styleId="25">
    <w:name w:val="正文缩进1"/>
    <w:basedOn w:val="26"/>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26">
    <w:name w:val="正文1"/>
    <w:basedOn w:val="1"/>
    <w:autoRedefine/>
    <w:unhideWhenUsed/>
    <w:qFormat/>
    <w:uiPriority w:val="0"/>
    <w:pPr>
      <w:spacing w:line="240" w:lineRule="atLeast"/>
      <w:jc w:val="center"/>
      <w:textAlignment w:val="baseline"/>
    </w:pPr>
    <w:rPr>
      <w:rFonts w:ascii="Tahoma" w:hAnsi="Tahoma"/>
    </w:rPr>
  </w:style>
  <w:style w:type="character" w:customStyle="1" w:styleId="27">
    <w:name w:val="标题 3 Char"/>
    <w:link w:val="4"/>
    <w:autoRedefine/>
    <w:unhideWhenUsed/>
    <w:qFormat/>
    <w:uiPriority w:val="1"/>
    <w:rPr>
      <w:rFonts w:hint="default" w:ascii="宋体" w:hAnsi="宋体" w:eastAsia="宋体"/>
      <w:b/>
      <w:sz w:val="24"/>
      <w:szCs w:val="24"/>
    </w:rPr>
  </w:style>
  <w:style w:type="paragraph" w:customStyle="1" w:styleId="28">
    <w:name w:val="Table Paragraph"/>
    <w:basedOn w:val="1"/>
    <w:autoRedefine/>
    <w:unhideWhenUsed/>
    <w:qFormat/>
    <w:uiPriority w:val="1"/>
  </w:style>
  <w:style w:type="paragraph" w:customStyle="1" w:styleId="29">
    <w:name w:val="公文正文"/>
    <w:autoRedefine/>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0">
    <w:name w:val="p0"/>
    <w:basedOn w:val="1"/>
    <w:autoRedefine/>
    <w:unhideWhenUsed/>
    <w:qFormat/>
    <w:uiPriority w:val="0"/>
    <w:pPr>
      <w:widowControl/>
      <w:spacing w:before="75" w:after="75"/>
    </w:pPr>
    <w:rPr>
      <w:rFonts w:ascii="宋体" w:hAnsi="宋体" w:cs="宋体"/>
    </w:rPr>
  </w:style>
  <w:style w:type="paragraph" w:styleId="31">
    <w:name w:val="List Paragraph"/>
    <w:basedOn w:val="1"/>
    <w:autoRedefine/>
    <w:unhideWhenUsed/>
    <w:qFormat/>
    <w:uiPriority w:val="1"/>
  </w:style>
  <w:style w:type="paragraph" w:customStyle="1" w:styleId="32">
    <w:name w:val="文一"/>
    <w:basedOn w:val="1"/>
    <w:autoRedefine/>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3">
    <w:name w:val="样式 宋体 行距: 1.5 倍行距"/>
    <w:basedOn w:val="1"/>
    <w:autoRedefine/>
    <w:unhideWhenUsed/>
    <w:qFormat/>
    <w:uiPriority w:val="0"/>
    <w:pPr>
      <w:jc w:val="center"/>
    </w:pPr>
    <w:rPr>
      <w:b/>
    </w:rPr>
  </w:style>
  <w:style w:type="paragraph" w:customStyle="1" w:styleId="34">
    <w:name w:val="发文落款"/>
    <w:basedOn w:val="29"/>
    <w:autoRedefine/>
    <w:unhideWhenUsed/>
    <w:qFormat/>
    <w:uiPriority w:val="99"/>
    <w:pPr>
      <w:ind w:left="4094" w:right="607" w:firstLine="0"/>
      <w:jc w:val="center"/>
    </w:pPr>
    <w:rPr>
      <w:rFonts w:cs="仿宋_GB2312"/>
      <w:szCs w:val="32"/>
    </w:rPr>
  </w:style>
  <w:style w:type="character" w:customStyle="1" w:styleId="35">
    <w:name w:val="标题 2 Char"/>
    <w:link w:val="3"/>
    <w:autoRedefine/>
    <w:unhideWhenUsed/>
    <w:qFormat/>
    <w:uiPriority w:val="1"/>
    <w:rPr>
      <w:rFonts w:hint="default" w:ascii="宋体" w:hAnsi="宋体" w:eastAsia="宋体"/>
      <w:b/>
      <w:sz w:val="30"/>
      <w:szCs w:val="24"/>
    </w:rPr>
  </w:style>
  <w:style w:type="character" w:customStyle="1" w:styleId="36">
    <w:name w:val="NormalCharacter"/>
    <w:autoRedefine/>
    <w:unhideWhenUsed/>
    <w:qFormat/>
    <w:uiPriority w:val="0"/>
    <w:rPr>
      <w:rFonts w:hint="default"/>
      <w:sz w:val="24"/>
      <w:szCs w:val="24"/>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paragraph" w:customStyle="1" w:styleId="3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0">
    <w:name w:val="文二"/>
    <w:basedOn w:val="1"/>
    <w:qFormat/>
    <w:uiPriority w:val="0"/>
    <w:rPr>
      <w:rFonts w:ascii="宋体" w:hAnsi="宋体"/>
      <w:szCs w:val="21"/>
    </w:rPr>
  </w:style>
  <w:style w:type="character" w:customStyle="1" w:styleId="41">
    <w:name w:val="批注框文本 Char"/>
    <w:basedOn w:val="23"/>
    <w:link w:val="13"/>
    <w:qFormat/>
    <w:uiPriority w:val="99"/>
    <w:rPr>
      <w:sz w:val="18"/>
      <w:szCs w:val="18"/>
    </w:rPr>
  </w:style>
  <w:style w:type="character" w:customStyle="1" w:styleId="42">
    <w:name w:val="批注文字 Char"/>
    <w:basedOn w:val="23"/>
    <w:link w:val="8"/>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762</Words>
  <Characters>855</Characters>
  <Lines>59</Lines>
  <Paragraphs>69</Paragraphs>
  <TotalTime>7</TotalTime>
  <ScaleCrop>false</ScaleCrop>
  <LinksUpToDate>false</LinksUpToDate>
  <CharactersWithSpaces>910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chris</cp:lastModifiedBy>
  <cp:lastPrinted>2025-05-22T09:29:00Z</cp:lastPrinted>
  <dcterms:modified xsi:type="dcterms:W3CDTF">2025-09-05T02:39:28Z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DB253B1D98AD40E4BC7219C2343A27CB_13</vt:lpwstr>
  </property>
  <property fmtid="{D5CDD505-2E9C-101B-9397-08002B2CF9AE}" pid="4" name="KSOTemplateDocerSaveRecord">
    <vt:lpwstr>eyJoZGlkIjoiODk3YzNiMjQ0NTFlNzg0NTU3NjMwYWEzMGVmZDExYTciLCJ1c2VySWQiOiIyMzY1Mzc3MzkifQ==</vt:lpwstr>
  </property>
</Properties>
</file>