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93F53">
      <w:pPr>
        <w:pStyle w:val="10"/>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0"/>
          <w:sz w:val="36"/>
          <w:szCs w:val="36"/>
          <w:highlight w:val="none"/>
        </w:rPr>
      </w:pPr>
      <w:bookmarkStart w:id="6" w:name="_GoBack"/>
      <w:bookmarkEnd w:id="6"/>
    </w:p>
    <w:p w14:paraId="2D567091">
      <w:pPr>
        <w:pStyle w:val="10"/>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合同编号：</w:t>
      </w:r>
    </w:p>
    <w:p w14:paraId="26CACD54">
      <w:pPr>
        <w:keepNext w:val="0"/>
        <w:keepLines w:val="0"/>
        <w:pageBreakBefore w:val="0"/>
        <w:kinsoku/>
        <w:wordWrap/>
        <w:overflowPunct/>
        <w:topLinePunct w:val="0"/>
        <w:autoSpaceDE/>
        <w:autoSpaceDN/>
        <w:bidi w:val="0"/>
        <w:adjustRightInd w:val="0"/>
        <w:snapToGrid w:val="0"/>
        <w:spacing w:line="360" w:lineRule="auto"/>
        <w:ind w:right="48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44"/>
          <w:szCs w:val="44"/>
          <w:highlight w:val="none"/>
        </w:rPr>
        <w:t xml:space="preserve">     </w:t>
      </w:r>
      <w:bookmarkStart w:id="0" w:name="_Toc229219393"/>
    </w:p>
    <w:p w14:paraId="4C2E2C0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52"/>
          <w:szCs w:val="52"/>
          <w:highlight w:val="none"/>
        </w:rPr>
      </w:pPr>
    </w:p>
    <w:p w14:paraId="40C94C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color w:val="auto"/>
          <w:sz w:val="36"/>
          <w:szCs w:val="36"/>
          <w:highlight w:val="none"/>
          <w:u w:val="single"/>
          <w:lang w:eastAsia="zh-CN"/>
        </w:rPr>
      </w:pPr>
      <w:r>
        <w:rPr>
          <w:rFonts w:hint="eastAsia" w:ascii="仿宋" w:hAnsi="仿宋" w:eastAsia="仿宋" w:cs="仿宋"/>
          <w:b/>
          <w:bCs/>
          <w:color w:val="auto"/>
          <w:kern w:val="0"/>
          <w:sz w:val="36"/>
          <w:szCs w:val="36"/>
          <w:highlight w:val="none"/>
          <w:lang w:eastAsia="zh-CN"/>
        </w:rPr>
        <w:t>番禺区石碁水厂扩建工程施工监理</w:t>
      </w:r>
    </w:p>
    <w:p w14:paraId="13B3B26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52"/>
          <w:szCs w:val="52"/>
          <w:highlight w:val="none"/>
          <w:u w:val="single"/>
        </w:rPr>
      </w:pPr>
    </w:p>
    <w:p w14:paraId="1944B72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委 托 监 理 合 同</w:t>
      </w:r>
    </w:p>
    <w:p w14:paraId="2B6EFEE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582B976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4771AE9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053F7A3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52"/>
          <w:szCs w:val="52"/>
          <w:highlight w:val="none"/>
          <w:u w:val="single"/>
        </w:rPr>
      </w:pPr>
    </w:p>
    <w:p w14:paraId="1124C2C4">
      <w:pPr>
        <w:pStyle w:val="21"/>
        <w:keepNext w:val="0"/>
        <w:keepLines w:val="0"/>
        <w:pageBreakBefore w:val="0"/>
        <w:kinsoku/>
        <w:wordWrap/>
        <w:overflowPunct/>
        <w:topLinePunct w:val="0"/>
        <w:autoSpaceDE/>
        <w:autoSpaceDN/>
        <w:bidi w:val="0"/>
        <w:adjustRightInd w:val="0"/>
        <w:snapToGrid w:val="0"/>
        <w:spacing w:before="0" w:after="0" w:line="360" w:lineRule="auto"/>
        <w:ind w:firstLine="281" w:firstLineChars="100"/>
        <w:textAlignment w:val="auto"/>
        <w:rPr>
          <w:rFonts w:hint="eastAsia" w:ascii="仿宋" w:hAnsi="仿宋" w:eastAsia="仿宋" w:cs="仿宋"/>
          <w:b/>
          <w:bCs/>
          <w:color w:val="auto"/>
          <w:sz w:val="28"/>
          <w:szCs w:val="28"/>
          <w:highlight w:val="none"/>
          <w:u w:val="single"/>
          <w:lang w:eastAsia="zh-CN"/>
        </w:rPr>
      </w:pPr>
      <w:r>
        <w:rPr>
          <w:rFonts w:hint="eastAsia" w:ascii="仿宋" w:hAnsi="仿宋" w:eastAsia="仿宋" w:cs="仿宋"/>
          <w:b/>
          <w:color w:val="auto"/>
          <w:sz w:val="28"/>
          <w:szCs w:val="28"/>
          <w:highlight w:val="none"/>
        </w:rPr>
        <w:t>委托人（全称）：</w:t>
      </w:r>
      <w:r>
        <w:rPr>
          <w:rFonts w:hint="eastAsia" w:ascii="仿宋" w:hAnsi="仿宋" w:eastAsia="仿宋" w:cs="仿宋"/>
          <w:b/>
          <w:color w:val="auto"/>
          <w:sz w:val="28"/>
          <w:szCs w:val="28"/>
          <w:highlight w:val="none"/>
          <w:u w:val="single"/>
          <w:lang w:eastAsia="zh-CN"/>
        </w:rPr>
        <w:t>广州市番禺石碁自来水有限公司</w:t>
      </w:r>
    </w:p>
    <w:p w14:paraId="36355AC8">
      <w:pPr>
        <w:pStyle w:val="21"/>
        <w:keepNext w:val="0"/>
        <w:keepLines w:val="0"/>
        <w:pageBreakBefore w:val="0"/>
        <w:kinsoku/>
        <w:wordWrap/>
        <w:overflowPunct/>
        <w:topLinePunct w:val="0"/>
        <w:autoSpaceDE/>
        <w:autoSpaceDN/>
        <w:bidi w:val="0"/>
        <w:adjustRightInd w:val="0"/>
        <w:snapToGrid w:val="0"/>
        <w:spacing w:before="0" w:after="0" w:line="360" w:lineRule="auto"/>
        <w:ind w:left="3533" w:leftChars="139" w:hanging="3241" w:hangingChars="1153"/>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监理人（全称）：</w:t>
      </w:r>
      <w:r>
        <w:rPr>
          <w:rFonts w:hint="eastAsia" w:ascii="仿宋" w:hAnsi="仿宋" w:eastAsia="仿宋" w:cs="仿宋"/>
          <w:b/>
          <w:bCs/>
          <w:color w:val="auto"/>
          <w:sz w:val="28"/>
          <w:szCs w:val="28"/>
          <w:highlight w:val="none"/>
          <w:u w:val="single"/>
          <w:lang w:val="en-US" w:eastAsia="zh-CN"/>
        </w:rPr>
        <w:t xml:space="preserve">        </w:t>
      </w:r>
    </w:p>
    <w:p w14:paraId="1BF4D59F">
      <w:pPr>
        <w:keepNext w:val="0"/>
        <w:keepLines w:val="0"/>
        <w:pageBreakBefore w:val="0"/>
        <w:kinsoku/>
        <w:wordWrap/>
        <w:overflowPunct/>
        <w:topLinePunct w:val="0"/>
        <w:autoSpaceDE/>
        <w:autoSpaceDN/>
        <w:bidi w:val="0"/>
        <w:adjustRightInd w:val="0"/>
        <w:snapToGrid w:val="0"/>
        <w:spacing w:line="360" w:lineRule="auto"/>
        <w:ind w:firstLine="281" w:firstLineChars="100"/>
        <w:textAlignment w:val="auto"/>
        <w:rPr>
          <w:rFonts w:hint="eastAsia" w:ascii="仿宋" w:hAnsi="仿宋" w:eastAsia="仿宋" w:cs="仿宋"/>
          <w:b/>
          <w:bCs/>
          <w:color w:val="auto"/>
          <w:kern w:val="0"/>
          <w:sz w:val="28"/>
          <w:szCs w:val="28"/>
          <w:highlight w:val="none"/>
          <w:u w:val="single"/>
        </w:rPr>
      </w:pPr>
      <w:r>
        <w:rPr>
          <w:rFonts w:hint="eastAsia" w:ascii="仿宋" w:hAnsi="仿宋" w:eastAsia="仿宋" w:cs="仿宋"/>
          <w:b/>
          <w:color w:val="auto"/>
          <w:kern w:val="0"/>
          <w:sz w:val="28"/>
          <w:szCs w:val="28"/>
          <w:highlight w:val="none"/>
        </w:rPr>
        <w:t>合同订立时间  ：</w:t>
      </w:r>
      <w:r>
        <w:rPr>
          <w:rFonts w:hint="eastAsia" w:ascii="仿宋" w:hAnsi="仿宋" w:eastAsia="仿宋" w:cs="仿宋"/>
          <w:b/>
          <w:bCs/>
          <w:color w:val="auto"/>
          <w:kern w:val="0"/>
          <w:sz w:val="28"/>
          <w:szCs w:val="28"/>
          <w:highlight w:val="none"/>
          <w:u w:val="single"/>
        </w:rPr>
        <w:t xml:space="preserve">  </w:t>
      </w:r>
      <w:r>
        <w:rPr>
          <w:rFonts w:hint="eastAsia" w:ascii="仿宋" w:hAnsi="仿宋" w:eastAsia="仿宋" w:cs="仿宋"/>
          <w:b/>
          <w:bCs/>
          <w:color w:val="auto"/>
          <w:kern w:val="0"/>
          <w:sz w:val="28"/>
          <w:szCs w:val="28"/>
          <w:highlight w:val="none"/>
          <w:u w:val="single"/>
          <w:lang w:val="en-US" w:eastAsia="zh-CN"/>
        </w:rPr>
        <w:t>2025</w:t>
      </w:r>
      <w:r>
        <w:rPr>
          <w:rFonts w:hint="eastAsia" w:ascii="仿宋" w:hAnsi="仿宋" w:eastAsia="仿宋" w:cs="仿宋"/>
          <w:b/>
          <w:bCs/>
          <w:color w:val="auto"/>
          <w:kern w:val="0"/>
          <w:sz w:val="28"/>
          <w:szCs w:val="28"/>
          <w:highlight w:val="none"/>
          <w:u w:val="single"/>
        </w:rPr>
        <w:t xml:space="preserve">  年    月   日</w:t>
      </w:r>
    </w:p>
    <w:p w14:paraId="5BC30C9A">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仿宋" w:hAnsi="仿宋" w:eastAsia="仿宋" w:cs="仿宋"/>
          <w:color w:val="auto"/>
          <w:highlight w:val="none"/>
        </w:rPr>
      </w:pPr>
    </w:p>
    <w:p w14:paraId="070B99A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kern w:val="2"/>
          <w:sz w:val="21"/>
          <w:szCs w:val="24"/>
          <w:highlight w:val="none"/>
          <w:lang w:val="en-US" w:eastAsia="zh-CN" w:bidi="ar-SA"/>
        </w:rPr>
      </w:pPr>
    </w:p>
    <w:p w14:paraId="260A50A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36D8AD9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6DB36DD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r>
        <w:rPr>
          <w:rFonts w:hint="eastAsia"/>
          <w:highlight w:val="none"/>
          <w:lang w:val="en-US" w:eastAsia="zh-CN"/>
        </w:rPr>
        <w:br w:type="page"/>
      </w:r>
    </w:p>
    <w:p w14:paraId="1B1644F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highlight w:val="none"/>
          <w:lang w:val="en-US" w:eastAsia="zh-CN"/>
        </w:rPr>
      </w:pPr>
    </w:p>
    <w:p w14:paraId="3708974B">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bCs/>
          <w:color w:val="auto"/>
          <w:sz w:val="28"/>
          <w:szCs w:val="28"/>
          <w:highlight w:val="none"/>
        </w:rPr>
      </w:pPr>
      <w:bookmarkStart w:id="1" w:name="_Toc237755560"/>
      <w:r>
        <w:rPr>
          <w:rFonts w:hint="eastAsia" w:ascii="仿宋" w:hAnsi="仿宋" w:eastAsia="仿宋" w:cs="仿宋"/>
          <w:b/>
          <w:bCs/>
          <w:color w:val="auto"/>
          <w:sz w:val="28"/>
          <w:szCs w:val="28"/>
          <w:highlight w:val="none"/>
        </w:rPr>
        <w:t>第一部分 总则（概述）</w:t>
      </w:r>
      <w:bookmarkEnd w:id="1"/>
    </w:p>
    <w:p w14:paraId="666359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highlight w:val="none"/>
        </w:rPr>
      </w:pPr>
    </w:p>
    <w:p w14:paraId="44881929">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委托人：</w:t>
      </w:r>
      <w:r>
        <w:rPr>
          <w:rFonts w:hint="eastAsia" w:ascii="仿宋" w:hAnsi="仿宋" w:eastAsia="仿宋" w:cs="仿宋"/>
          <w:b/>
          <w:color w:val="auto"/>
          <w:highlight w:val="none"/>
          <w:lang w:eastAsia="zh-CN"/>
        </w:rPr>
        <w:t>广州市番禺石碁自来水有限公司</w:t>
      </w:r>
    </w:p>
    <w:p w14:paraId="6B5BF97E">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监理人：</w:t>
      </w:r>
      <w:r>
        <w:rPr>
          <w:rFonts w:hint="eastAsia" w:ascii="仿宋" w:hAnsi="仿宋" w:eastAsia="仿宋" w:cs="仿宋"/>
          <w:b/>
          <w:color w:val="auto"/>
          <w:highlight w:val="none"/>
          <w:lang w:val="en-US" w:eastAsia="zh-CN"/>
        </w:rPr>
        <w:t xml:space="preserve">         </w:t>
      </w:r>
    </w:p>
    <w:p w14:paraId="432A7F28">
      <w:pPr>
        <w:pStyle w:val="21"/>
        <w:keepNext w:val="0"/>
        <w:keepLines w:val="0"/>
        <w:pageBreakBefore w:val="0"/>
        <w:kinsoku/>
        <w:wordWrap/>
        <w:overflowPunct/>
        <w:topLinePunct w:val="0"/>
        <w:autoSpaceDE/>
        <w:autoSpaceDN/>
        <w:bidi w:val="0"/>
        <w:adjustRightInd w:val="0"/>
        <w:snapToGrid w:val="0"/>
        <w:spacing w:before="0" w:after="0" w:line="360" w:lineRule="auto"/>
        <w:ind w:firstLine="0" w:firstLineChars="0"/>
        <w:textAlignment w:val="auto"/>
        <w:rPr>
          <w:rFonts w:hint="eastAsia" w:ascii="仿宋" w:hAnsi="仿宋" w:eastAsia="仿宋" w:cs="仿宋"/>
          <w:b/>
          <w:color w:val="auto"/>
          <w:highlight w:val="none"/>
        </w:rPr>
      </w:pPr>
    </w:p>
    <w:p w14:paraId="01A2D7A1">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highlight w:val="none"/>
        </w:rPr>
        <w:t>一</w:t>
      </w:r>
      <w:r>
        <w:rPr>
          <w:rFonts w:hint="eastAsia" w:ascii="仿宋" w:hAnsi="仿宋" w:eastAsia="仿宋" w:cs="仿宋"/>
          <w:color w:val="auto"/>
          <w:highlight w:val="none"/>
        </w:rPr>
        <w:t>、</w:t>
      </w:r>
      <w:r>
        <w:rPr>
          <w:rFonts w:hint="eastAsia" w:ascii="仿宋" w:hAnsi="仿宋" w:eastAsia="仿宋" w:cs="仿宋"/>
          <w:b/>
          <w:color w:val="auto"/>
          <w:highlight w:val="none"/>
        </w:rPr>
        <w:t>委托人委托监理人监理的工程（以下简称“本工程”）概况如下：</w:t>
      </w:r>
    </w:p>
    <w:p w14:paraId="6CFB9AE0">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工程名称：</w:t>
      </w:r>
      <w:r>
        <w:rPr>
          <w:rFonts w:hint="eastAsia" w:ascii="仿宋" w:hAnsi="仿宋" w:eastAsia="仿宋" w:cs="仿宋"/>
          <w:color w:val="auto"/>
          <w:highlight w:val="none"/>
          <w:u w:val="single"/>
          <w:lang w:eastAsia="zh-CN"/>
        </w:rPr>
        <w:t>番禺区石碁水厂扩建工程施工监理</w:t>
      </w:r>
    </w:p>
    <w:p w14:paraId="23722691">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工程地点：</w:t>
      </w:r>
      <w:r>
        <w:rPr>
          <w:rFonts w:hint="eastAsia" w:ascii="仿宋" w:hAnsi="仿宋" w:eastAsia="仿宋" w:cs="仿宋"/>
          <w:color w:val="auto"/>
          <w:highlight w:val="none"/>
          <w:u w:val="single"/>
        </w:rPr>
        <w:t xml:space="preserve">广州市番禺区 </w:t>
      </w:r>
    </w:p>
    <w:p w14:paraId="387A9AFF">
      <w:pPr>
        <w:numPr>
          <w:ilvl w:val="0"/>
          <w:numId w:val="0"/>
        </w:numPr>
        <w:tabs>
          <w:tab w:val="left" w:pos="7513"/>
        </w:tabs>
        <w:spacing w:line="360" w:lineRule="auto"/>
        <w:ind w:firstLine="371" w:firstLineChars="177"/>
        <w:jc w:val="both"/>
        <w:rPr>
          <w:rFonts w:hint="eastAsia" w:ascii="仿宋" w:hAnsi="仿宋" w:eastAsia="仿宋" w:cs="仿宋"/>
          <w:color w:val="auto"/>
          <w:kern w:val="0"/>
          <w:sz w:val="24"/>
          <w:szCs w:val="20"/>
          <w:highlight w:val="none"/>
          <w:u w:val="none"/>
          <w:lang w:val="en-US" w:eastAsia="zh-CN" w:bidi="ar-SA"/>
        </w:rPr>
      </w:pPr>
      <w:r>
        <w:rPr>
          <w:rFonts w:hint="eastAsia" w:ascii="仿宋" w:hAnsi="仿宋" w:eastAsia="仿宋" w:cs="仿宋"/>
          <w:color w:val="auto"/>
          <w:highlight w:val="none"/>
        </w:rPr>
        <w:t>工程规模：</w:t>
      </w:r>
      <w:r>
        <w:rPr>
          <w:rFonts w:hint="eastAsia" w:ascii="仿宋" w:hAnsi="仿宋" w:eastAsia="仿宋" w:cs="仿宋"/>
          <w:color w:val="auto"/>
          <w:kern w:val="0"/>
          <w:sz w:val="24"/>
          <w:szCs w:val="20"/>
          <w:highlight w:val="none"/>
          <w:u w:val="single"/>
          <w:lang w:val="en-US" w:eastAsia="zh-CN"/>
        </w:rPr>
        <w:t>石碁水厂现状供水规模为12万吨/日，本工程扩建工程规模为15 万吨/日，扩建后总供水规模为27万吨/日，并配套服务制水规模27万吨/日的排泥水处理系统。</w:t>
      </w:r>
    </w:p>
    <w:p w14:paraId="24A48F06">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总 投 资：</w:t>
      </w:r>
      <w:r>
        <w:rPr>
          <w:rFonts w:hint="eastAsia" w:ascii="仿宋" w:hAnsi="仿宋" w:eastAsia="仿宋" w:cs="仿宋"/>
          <w:color w:val="auto"/>
          <w:highlight w:val="none"/>
          <w:u w:val="single"/>
        </w:rPr>
        <w:t>本项目</w:t>
      </w:r>
      <w:r>
        <w:rPr>
          <w:rFonts w:hint="eastAsia" w:ascii="仿宋" w:hAnsi="仿宋" w:eastAsia="仿宋" w:cs="仿宋"/>
          <w:color w:val="auto"/>
          <w:highlight w:val="none"/>
          <w:u w:val="single"/>
          <w:lang w:val="en-US" w:eastAsia="zh-CN"/>
        </w:rPr>
        <w:t>概算</w:t>
      </w:r>
      <w:r>
        <w:rPr>
          <w:rFonts w:hint="eastAsia" w:ascii="仿宋" w:hAnsi="仿宋" w:eastAsia="仿宋" w:cs="仿宋"/>
          <w:color w:val="auto"/>
          <w:highlight w:val="none"/>
          <w:u w:val="single"/>
        </w:rPr>
        <w:t>总投资约</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万元，工程费用约</w:t>
      </w:r>
      <w:r>
        <w:rPr>
          <w:rFonts w:hint="eastAsia" w:ascii="仿宋" w:hAnsi="仿宋" w:eastAsia="仿宋" w:cs="仿宋"/>
          <w:color w:val="auto"/>
          <w:highlight w:val="none"/>
          <w:u w:val="single"/>
          <w:lang w:val="en-US" w:eastAsia="zh-CN"/>
        </w:rPr>
        <w:t xml:space="preserve">    万</w:t>
      </w:r>
      <w:r>
        <w:rPr>
          <w:rFonts w:hint="eastAsia" w:ascii="仿宋" w:hAnsi="仿宋" w:eastAsia="仿宋" w:cs="仿宋"/>
          <w:color w:val="auto"/>
          <w:highlight w:val="none"/>
          <w:u w:val="single"/>
        </w:rPr>
        <w:t>元。</w:t>
      </w:r>
    </w:p>
    <w:p w14:paraId="511B82A3">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二、本合同中的有关词语含义与本合同第二部分《标准条款》中赋予它们的定义相同。</w:t>
      </w:r>
    </w:p>
    <w:p w14:paraId="184C496F">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三、</w:t>
      </w:r>
      <w:r>
        <w:rPr>
          <w:rFonts w:hint="eastAsia" w:ascii="仿宋" w:hAnsi="仿宋" w:eastAsia="仿宋" w:cs="仿宋"/>
          <w:b/>
          <w:color w:val="auto"/>
          <w:sz w:val="24"/>
          <w:highlight w:val="none"/>
        </w:rPr>
        <w:t>本合同的组成部分及解释顺序：</w:t>
      </w:r>
    </w:p>
    <w:p w14:paraId="602FA5ED">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（1）本合同履行过程中双方以书面形式签署的补充和修正文件；</w:t>
      </w:r>
    </w:p>
    <w:p w14:paraId="7E2783DD">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（2）本合同协议书（总则）；</w:t>
      </w:r>
    </w:p>
    <w:p w14:paraId="6553569A">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（3）本合同《专用条款》；</w:t>
      </w:r>
    </w:p>
    <w:p w14:paraId="6E7F576E">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（4）本合同《标准条款》；</w:t>
      </w:r>
    </w:p>
    <w:p w14:paraId="3392F4F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（5）本合同附件；</w:t>
      </w:r>
    </w:p>
    <w:p w14:paraId="73A993AC">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szCs w:val="32"/>
          <w:highlight w:val="none"/>
        </w:rPr>
        <w:t>中标通知书</w:t>
      </w:r>
      <w:r>
        <w:rPr>
          <w:rFonts w:hint="eastAsia" w:ascii="仿宋" w:hAnsi="仿宋" w:eastAsia="仿宋" w:cs="仿宋"/>
          <w:color w:val="auto"/>
          <w:sz w:val="24"/>
          <w:highlight w:val="none"/>
        </w:rPr>
        <w:t>；</w:t>
      </w:r>
    </w:p>
    <w:p w14:paraId="000BF18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（7）监理招标文件及其附件；</w:t>
      </w:r>
    </w:p>
    <w:p w14:paraId="7F73D193">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（8）监理投标书及其附件。</w:t>
      </w:r>
    </w:p>
    <w:p w14:paraId="7DF54A08">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四、监理人向委托人承诺，按照本合同的约定，承担本合同《专用条款》</w:t>
      </w:r>
      <w:r>
        <w:rPr>
          <w:rFonts w:hint="eastAsia" w:ascii="仿宋" w:hAnsi="仿宋" w:eastAsia="仿宋" w:cs="仿宋"/>
          <w:b/>
          <w:color w:val="auto"/>
          <w:highlight w:val="none"/>
        </w:rPr>
        <w:t>中</w:t>
      </w:r>
      <w:r>
        <w:rPr>
          <w:rFonts w:hint="eastAsia" w:ascii="仿宋" w:hAnsi="仿宋" w:eastAsia="仿宋" w:cs="仿宋"/>
          <w:b/>
          <w:bCs/>
          <w:color w:val="auto"/>
          <w:highlight w:val="none"/>
        </w:rPr>
        <w:t>约定</w:t>
      </w:r>
      <w:r>
        <w:rPr>
          <w:rFonts w:hint="eastAsia" w:ascii="仿宋" w:hAnsi="仿宋" w:eastAsia="仿宋" w:cs="仿宋"/>
          <w:b/>
          <w:color w:val="auto"/>
          <w:highlight w:val="none"/>
        </w:rPr>
        <w:t>范围内的监理业务。</w:t>
      </w:r>
    </w:p>
    <w:p w14:paraId="7659306E">
      <w:pPr>
        <w:pStyle w:val="21"/>
        <w:keepNext w:val="0"/>
        <w:keepLines w:val="0"/>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color w:val="auto"/>
          <w:highlight w:val="none"/>
        </w:rPr>
      </w:pPr>
      <w:r>
        <w:rPr>
          <w:rFonts w:hint="eastAsia" w:ascii="仿宋" w:hAnsi="仿宋" w:eastAsia="仿宋" w:cs="仿宋"/>
          <w:b/>
          <w:color w:val="auto"/>
          <w:highlight w:val="none"/>
        </w:rPr>
        <w:t>五、监理目标：</w:t>
      </w:r>
    </w:p>
    <w:p w14:paraId="3BCA8802">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（1）投资控制目标：以不超过投资概算为基本目标。严格控制预算外费用的支出，减少索赔事件的发生，确保委托人制定的投资控制目标得以实现。</w:t>
      </w:r>
    </w:p>
    <w:p w14:paraId="598B97FA">
      <w:pPr>
        <w:keepNext w:val="0"/>
        <w:keepLines w:val="0"/>
        <w:pageBreakBefore w:val="0"/>
        <w:kinsoku/>
        <w:wordWrap/>
        <w:overflowPunct/>
        <w:topLinePunct w:val="0"/>
        <w:autoSpaceDE/>
        <w:autoSpaceDN/>
        <w:bidi w:val="0"/>
        <w:adjustRightInd w:val="0"/>
        <w:snapToGrid w:val="0"/>
        <w:spacing w:line="360" w:lineRule="auto"/>
        <w:ind w:firstLine="466"/>
        <w:textAlignment w:val="auto"/>
        <w:rPr>
          <w:rFonts w:hint="eastAsia" w:ascii="仿宋" w:hAnsi="仿宋" w:eastAsia="仿宋" w:cs="仿宋"/>
          <w:color w:val="auto"/>
          <w:spacing w:val="-7"/>
          <w:highlight w:val="none"/>
          <w:lang w:eastAsia="zh-CN"/>
        </w:rPr>
      </w:pPr>
      <w:r>
        <w:rPr>
          <w:rFonts w:hint="eastAsia" w:ascii="仿宋" w:hAnsi="仿宋" w:eastAsia="仿宋" w:cs="仿宋"/>
          <w:color w:val="auto"/>
          <w:highlight w:val="none"/>
        </w:rPr>
        <w:t>（2）</w:t>
      </w:r>
      <w:r>
        <w:rPr>
          <w:rFonts w:hint="eastAsia" w:ascii="仿宋" w:hAnsi="仿宋" w:eastAsia="仿宋" w:cs="仿宋"/>
          <w:color w:val="auto"/>
          <w:sz w:val="24"/>
          <w:highlight w:val="none"/>
        </w:rPr>
        <w:t>进度控制目标：施工工期为委托人下达开工令或开工报告审批之日起按施工进度要求控制，</w:t>
      </w:r>
      <w:r>
        <w:rPr>
          <w:rFonts w:hint="eastAsia" w:ascii="仿宋" w:hAnsi="仿宋" w:eastAsia="仿宋" w:cs="仿宋"/>
          <w:color w:val="auto"/>
          <w:kern w:val="0"/>
          <w:sz w:val="24"/>
          <w:szCs w:val="20"/>
          <w:highlight w:val="none"/>
        </w:rPr>
        <w:t>缺陷责任期</w:t>
      </w:r>
      <w:r>
        <w:rPr>
          <w:rFonts w:hint="eastAsia" w:ascii="仿宋" w:hAnsi="仿宋" w:eastAsia="仿宋" w:cs="仿宋"/>
          <w:color w:val="auto"/>
          <w:kern w:val="0"/>
          <w:sz w:val="24"/>
          <w:szCs w:val="20"/>
          <w:highlight w:val="none"/>
          <w:u w:val="none"/>
        </w:rPr>
        <w:t>24</w:t>
      </w:r>
      <w:r>
        <w:rPr>
          <w:rFonts w:hint="eastAsia" w:ascii="仿宋" w:hAnsi="仿宋" w:eastAsia="仿宋" w:cs="仿宋"/>
          <w:color w:val="auto"/>
          <w:kern w:val="0"/>
          <w:sz w:val="24"/>
          <w:szCs w:val="20"/>
          <w:highlight w:val="none"/>
        </w:rPr>
        <w:t>个</w:t>
      </w:r>
      <w:r>
        <w:rPr>
          <w:rFonts w:hint="eastAsia" w:ascii="仿宋" w:hAnsi="仿宋" w:eastAsia="仿宋" w:cs="仿宋"/>
          <w:color w:val="auto"/>
          <w:kern w:val="0"/>
          <w:sz w:val="24"/>
          <w:szCs w:val="20"/>
          <w:highlight w:val="none"/>
          <w:lang w:val="en-US" w:eastAsia="zh-CN"/>
        </w:rPr>
        <w:t>自然</w:t>
      </w:r>
      <w:r>
        <w:rPr>
          <w:rFonts w:hint="eastAsia" w:ascii="仿宋" w:hAnsi="仿宋" w:eastAsia="仿宋" w:cs="仿宋"/>
          <w:color w:val="auto"/>
          <w:kern w:val="0"/>
          <w:sz w:val="24"/>
          <w:szCs w:val="20"/>
          <w:highlight w:val="none"/>
        </w:rPr>
        <w:t>月。</w:t>
      </w:r>
    </w:p>
    <w:p w14:paraId="3157BB57">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（3）质量控制目标：合格工程。</w:t>
      </w:r>
    </w:p>
    <w:p w14:paraId="06E3CB8E">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（4）安全管理目标：杜绝一般及以上等级生产安全事故的发生，控制工伤事故</w:t>
      </w:r>
      <w:r>
        <w:rPr>
          <w:rFonts w:hint="eastAsia" w:ascii="仿宋" w:hAnsi="仿宋" w:eastAsia="仿宋" w:cs="仿宋"/>
          <w:color w:val="auto"/>
          <w:szCs w:val="24"/>
          <w:highlight w:val="none"/>
        </w:rPr>
        <w:t>人数为零</w:t>
      </w:r>
      <w:r>
        <w:rPr>
          <w:rFonts w:hint="eastAsia" w:ascii="仿宋" w:hAnsi="仿宋" w:eastAsia="仿宋" w:cs="仿宋"/>
          <w:color w:val="auto"/>
          <w:highlight w:val="none"/>
        </w:rPr>
        <w:t>。</w:t>
      </w:r>
    </w:p>
    <w:p w14:paraId="446F7E48">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（5）文明施工管理目标：合格且不因工地文明施工管理问题受到有关政府管理部门处罚</w:t>
      </w:r>
      <w:r>
        <w:rPr>
          <w:rFonts w:hint="eastAsia" w:ascii="仿宋" w:hAnsi="仿宋" w:eastAsia="仿宋" w:cs="仿宋"/>
          <w:color w:val="auto"/>
          <w:szCs w:val="24"/>
          <w:highlight w:val="none"/>
        </w:rPr>
        <w:t>，执行《广州市建设工程现场文明施工管理办法》（穗建质[2008]940号）等广州市及番禺区有关文明施工方面的文件</w:t>
      </w:r>
      <w:r>
        <w:rPr>
          <w:rFonts w:hint="eastAsia" w:ascii="仿宋" w:hAnsi="仿宋" w:eastAsia="仿宋" w:cs="仿宋"/>
          <w:color w:val="auto"/>
          <w:highlight w:val="none"/>
        </w:rPr>
        <w:t>。</w:t>
      </w:r>
    </w:p>
    <w:p w14:paraId="58CA70CD">
      <w:pPr>
        <w:keepNext w:val="0"/>
        <w:keepLines w:val="0"/>
        <w:pageBreakBefore w:val="0"/>
        <w:numPr>
          <w:ilvl w:val="0"/>
          <w:numId w:val="1"/>
        </w:numPr>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委托人向监理人承诺按照本合同注明的期限、方式、币种向监理人支付</w:t>
      </w:r>
      <w:r>
        <w:rPr>
          <w:rFonts w:hint="eastAsia" w:ascii="仿宋" w:hAnsi="仿宋" w:eastAsia="仿宋" w:cs="仿宋"/>
          <w:b/>
          <w:bCs/>
          <w:color w:val="auto"/>
          <w:sz w:val="24"/>
          <w:highlight w:val="none"/>
          <w:lang w:val="en-US" w:eastAsia="zh-CN"/>
        </w:rPr>
        <w:t>监理费用</w:t>
      </w:r>
      <w:r>
        <w:rPr>
          <w:rFonts w:hint="eastAsia" w:ascii="仿宋" w:hAnsi="仿宋" w:eastAsia="仿宋" w:cs="仿宋"/>
          <w:b/>
          <w:bCs/>
          <w:color w:val="auto"/>
          <w:sz w:val="24"/>
          <w:highlight w:val="none"/>
          <w:lang w:eastAsia="zh-CN"/>
        </w:rPr>
        <w:t>。</w:t>
      </w:r>
    </w:p>
    <w:p w14:paraId="235CEEFF">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七、合同价款</w:t>
      </w:r>
    </w:p>
    <w:p w14:paraId="1D512B95">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szCs w:val="20"/>
          <w:highlight w:val="none"/>
        </w:rPr>
        <w:t>本工程监理</w:t>
      </w:r>
      <w:r>
        <w:rPr>
          <w:rFonts w:hint="eastAsia" w:ascii="仿宋" w:hAnsi="仿宋" w:eastAsia="仿宋" w:cs="仿宋"/>
          <w:b w:val="0"/>
          <w:bCs w:val="0"/>
          <w:color w:val="auto"/>
          <w:kern w:val="0"/>
          <w:sz w:val="24"/>
          <w:szCs w:val="20"/>
          <w:highlight w:val="none"/>
          <w:lang w:val="en-US" w:eastAsia="zh-CN"/>
        </w:rPr>
        <w:t>费用</w:t>
      </w:r>
      <w:r>
        <w:rPr>
          <w:rFonts w:hint="eastAsia" w:ascii="仿宋" w:hAnsi="仿宋" w:eastAsia="仿宋" w:cs="仿宋"/>
          <w:b w:val="0"/>
          <w:bCs w:val="0"/>
          <w:color w:val="auto"/>
          <w:kern w:val="0"/>
          <w:sz w:val="24"/>
          <w:szCs w:val="20"/>
          <w:highlight w:val="none"/>
        </w:rPr>
        <w:t>合同（含税）金额：（小写）：</w:t>
      </w:r>
      <w:r>
        <w:rPr>
          <w:rFonts w:hint="eastAsia" w:ascii="仿宋" w:hAnsi="仿宋" w:eastAsia="仿宋" w:cs="仿宋"/>
          <w:b w:val="0"/>
          <w:bCs w:val="0"/>
          <w:color w:val="auto"/>
          <w:kern w:val="0"/>
          <w:sz w:val="24"/>
          <w:szCs w:val="20"/>
          <w:highlight w:val="none"/>
          <w:lang w:val="en-US" w:eastAsia="zh-CN"/>
        </w:rPr>
        <w:t>¥</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szCs w:val="20"/>
          <w:highlight w:val="none"/>
        </w:rPr>
        <w:t>元</w:t>
      </w:r>
      <w:r>
        <w:rPr>
          <w:rFonts w:hint="eastAsia" w:ascii="仿宋" w:hAnsi="仿宋" w:eastAsia="仿宋" w:cs="仿宋"/>
          <w:b w:val="0"/>
          <w:bCs w:val="0"/>
          <w:color w:val="auto"/>
          <w:kern w:val="0"/>
          <w:sz w:val="24"/>
          <w:highlight w:val="none"/>
        </w:rPr>
        <w:t>（人民币大写）：</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rPr>
        <w:t>，</w:t>
      </w:r>
      <w:r>
        <w:rPr>
          <w:rFonts w:hint="eastAsia" w:ascii="仿宋" w:hAnsi="仿宋" w:eastAsia="仿宋" w:cs="仿宋"/>
          <w:b w:val="0"/>
          <w:bCs w:val="0"/>
          <w:color w:val="auto"/>
          <w:sz w:val="24"/>
          <w:highlight w:val="none"/>
        </w:rPr>
        <w:t>其中，不含税金额：</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元，</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%增值税金额：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val="0"/>
          <w:bCs w:val="0"/>
          <w:color w:val="auto"/>
          <w:sz w:val="24"/>
          <w:highlight w:val="none"/>
        </w:rPr>
        <w:t>元。如</w:t>
      </w:r>
      <w:r>
        <w:rPr>
          <w:rFonts w:hint="eastAsia" w:ascii="仿宋" w:hAnsi="仿宋" w:eastAsia="仿宋" w:cs="仿宋"/>
          <w:b w:val="0"/>
          <w:bCs w:val="0"/>
          <w:color w:val="auto"/>
          <w:sz w:val="24"/>
          <w:highlight w:val="none"/>
          <w:lang w:val="en-US" w:eastAsia="zh-CN"/>
        </w:rPr>
        <w:t>服务</w:t>
      </w:r>
      <w:r>
        <w:rPr>
          <w:rFonts w:hint="eastAsia" w:ascii="仿宋" w:hAnsi="仿宋" w:eastAsia="仿宋" w:cs="仿宋"/>
          <w:b w:val="0"/>
          <w:bCs w:val="0"/>
          <w:color w:val="auto"/>
          <w:sz w:val="24"/>
          <w:highlight w:val="none"/>
        </w:rPr>
        <w:t>期间国家税务政策发生变化，需调整税率，则不含税价款不变，税款根据税务政策调整。</w:t>
      </w:r>
    </w:p>
    <w:p w14:paraId="7C80B69B">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本合同子项目明细具体如下：</w:t>
      </w:r>
    </w:p>
    <w:tbl>
      <w:tblPr>
        <w:tblStyle w:val="2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2"/>
        <w:gridCol w:w="2274"/>
        <w:gridCol w:w="2274"/>
      </w:tblGrid>
      <w:tr w14:paraId="47BA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432" w:type="dxa"/>
            <w:tcBorders>
              <w:top w:val="single" w:color="auto" w:sz="4" w:space="0"/>
              <w:left w:val="single" w:color="auto" w:sz="4" w:space="0"/>
              <w:bottom w:val="single" w:color="auto" w:sz="4" w:space="0"/>
              <w:right w:val="single" w:color="auto" w:sz="4" w:space="0"/>
            </w:tcBorders>
            <w:noWrap w:val="0"/>
            <w:vAlign w:val="center"/>
          </w:tcPr>
          <w:p w14:paraId="6739B8A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lang w:val="zh-CN"/>
              </w:rPr>
              <w:t>名称</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A5BA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合同金额</w:t>
            </w:r>
            <w:r>
              <w:rPr>
                <w:rFonts w:hint="eastAsia" w:ascii="宋体" w:hAnsi="宋体" w:cs="宋体"/>
                <w:bCs/>
                <w:color w:val="auto"/>
                <w:sz w:val="24"/>
                <w:szCs w:val="24"/>
                <w:highlight w:val="none"/>
                <w:lang w:val="zh-CN"/>
              </w:rPr>
              <w:t>（元）</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EF1A41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委托人下浮率</w:t>
            </w:r>
          </w:p>
        </w:tc>
      </w:tr>
      <w:tr w14:paraId="638B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32" w:type="dxa"/>
            <w:tcBorders>
              <w:top w:val="single" w:color="auto" w:sz="4" w:space="0"/>
              <w:left w:val="single" w:color="auto" w:sz="4" w:space="0"/>
              <w:right w:val="single" w:color="auto" w:sz="4" w:space="0"/>
            </w:tcBorders>
            <w:noWrap w:val="0"/>
            <w:vAlign w:val="center"/>
          </w:tcPr>
          <w:p w14:paraId="258BB414">
            <w:pPr>
              <w:keepNext w:val="0"/>
              <w:keepLines w:val="0"/>
              <w:widowControl/>
              <w:suppressLineNumbers w:val="0"/>
              <w:spacing w:before="0" w:beforeAutospacing="0" w:after="0" w:afterAutospacing="0"/>
              <w:ind w:left="0" w:righ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highlight w:val="none"/>
                <w:u w:val="none"/>
                <w:lang w:val="zh-CN" w:eastAsia="zh-CN"/>
              </w:rPr>
              <w:t>番禺区石碁水厂扩建工程施工监理</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23A84DD2">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color w:val="auto"/>
                <w:sz w:val="24"/>
                <w:szCs w:val="24"/>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1396316E">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r>
      <w:tr w14:paraId="45CE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432" w:type="dxa"/>
            <w:tcBorders>
              <w:top w:val="single" w:color="auto" w:sz="4" w:space="0"/>
              <w:left w:val="single" w:color="auto" w:sz="4" w:space="0"/>
              <w:bottom w:val="single" w:color="auto" w:sz="4" w:space="0"/>
              <w:right w:val="single" w:color="auto" w:sz="4" w:space="0"/>
            </w:tcBorders>
            <w:noWrap w:val="0"/>
            <w:vAlign w:val="center"/>
          </w:tcPr>
          <w:p w14:paraId="3D872830">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合计（元）</w:t>
            </w:r>
          </w:p>
        </w:tc>
        <w:tc>
          <w:tcPr>
            <w:tcW w:w="2274" w:type="dxa"/>
            <w:tcBorders>
              <w:top w:val="single" w:color="auto" w:sz="4" w:space="0"/>
              <w:left w:val="single" w:color="auto" w:sz="4" w:space="0"/>
              <w:bottom w:val="single" w:color="auto" w:sz="4" w:space="0"/>
              <w:right w:val="single" w:color="auto" w:sz="4" w:space="0"/>
            </w:tcBorders>
            <w:noWrap w:val="0"/>
            <w:vAlign w:val="center"/>
          </w:tcPr>
          <w:p w14:paraId="7465200C">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14:paraId="51C23B71">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bl>
    <w:p w14:paraId="67A57BF9">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仿宋" w:hAnsi="仿宋" w:eastAsia="仿宋" w:cs="仿宋"/>
          <w:b w:val="0"/>
          <w:bCs w:val="0"/>
          <w:color w:val="auto"/>
          <w:sz w:val="24"/>
          <w:highlight w:val="none"/>
          <w:lang w:val="en-US" w:eastAsia="zh-CN"/>
        </w:rPr>
      </w:pPr>
    </w:p>
    <w:p w14:paraId="0221F82E">
      <w:pPr>
        <w:pStyle w:val="8"/>
        <w:adjustRightInd w:val="0"/>
        <w:snapToGrid w:val="0"/>
        <w:spacing w:after="0" w:line="360" w:lineRule="auto"/>
        <w:ind w:firstLine="480" w:firstLineChars="200"/>
        <w:rPr>
          <w:rFonts w:eastAsia="仿宋"/>
          <w:highlight w:val="none"/>
        </w:rPr>
      </w:pPr>
      <w:r>
        <w:rPr>
          <w:rFonts w:hint="eastAsia" w:ascii="仿宋" w:hAnsi="仿宋" w:eastAsia="仿宋" w:cs="仿宋"/>
          <w:sz w:val="24"/>
          <w:szCs w:val="24"/>
          <w:highlight w:val="none"/>
          <w:lang w:val="en-US" w:eastAsia="zh-CN"/>
        </w:rPr>
        <w:t>本合同各子项</w:t>
      </w:r>
      <w:r>
        <w:rPr>
          <w:rFonts w:hint="eastAsia" w:ascii="仿宋" w:hAnsi="仿宋" w:eastAsia="仿宋" w:cs="宋体"/>
          <w:sz w:val="24"/>
          <w:highlight w:val="none"/>
        </w:rPr>
        <w:t>监理结算基准价参照《建设工程监理与相关服务收费管理规定》（发改价格【2007】670号）规定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w:t>
      </w:r>
      <w:r>
        <w:rPr>
          <w:rFonts w:hint="eastAsia" w:ascii="仿宋" w:hAnsi="仿宋" w:eastAsia="仿宋" w:cs="仿宋"/>
          <w:sz w:val="24"/>
          <w:szCs w:val="24"/>
          <w:highlight w:val="none"/>
          <w:lang w:val="en-US" w:eastAsia="zh-CN"/>
        </w:rPr>
        <w:t>本合同各子项</w:t>
      </w:r>
      <w:r>
        <w:rPr>
          <w:rFonts w:hint="eastAsia" w:ascii="仿宋" w:hAnsi="仿宋" w:eastAsia="仿宋" w:cs="仿宋"/>
          <w:sz w:val="24"/>
          <w:szCs w:val="24"/>
          <w:highlight w:val="none"/>
        </w:rPr>
        <w:t>工程建安费结算评审金额，结合施工监理服务收费基价表计取，专业调整系数为1.0，工程复杂程度调整系数为</w:t>
      </w:r>
      <w:r>
        <w:rPr>
          <w:rFonts w:hint="eastAsia" w:ascii="仿宋" w:hAnsi="仿宋" w:eastAsia="仿宋" w:cs="仿宋"/>
          <w:sz w:val="24"/>
          <w:szCs w:val="24"/>
          <w:highlight w:val="none"/>
          <w:lang w:val="en-US" w:eastAsia="zh-CN"/>
        </w:rPr>
        <w:t>1.15</w:t>
      </w:r>
      <w:r>
        <w:rPr>
          <w:rFonts w:hint="eastAsia" w:ascii="仿宋" w:hAnsi="仿宋" w:eastAsia="仿宋" w:cs="仿宋"/>
          <w:sz w:val="24"/>
          <w:szCs w:val="24"/>
          <w:highlight w:val="none"/>
        </w:rPr>
        <w:t>，高程调整系数为1.0）。</w:t>
      </w:r>
      <w:bookmarkStart w:id="2" w:name="_Hlk137457204"/>
      <w:r>
        <w:rPr>
          <w:rFonts w:hint="eastAsia" w:ascii="仿宋" w:hAnsi="仿宋" w:eastAsia="仿宋"/>
          <w:sz w:val="24"/>
          <w:highlight w:val="none"/>
        </w:rPr>
        <w:t>计算公式：监理结算基准价×（1-</w:t>
      </w:r>
      <w:r>
        <w:rPr>
          <w:rFonts w:hint="eastAsia" w:ascii="仿宋" w:hAnsi="仿宋" w:eastAsia="仿宋" w:cs="Times New Roman"/>
          <w:bCs w:val="0"/>
          <w:color w:val="auto"/>
          <w:sz w:val="24"/>
          <w:szCs w:val="24"/>
          <w:highlight w:val="none"/>
          <w:lang w:val="en-US" w:eastAsia="zh-CN"/>
        </w:rPr>
        <w:t>委托人</w:t>
      </w:r>
      <w:r>
        <w:rPr>
          <w:rFonts w:hint="eastAsia" w:ascii="仿宋" w:hAnsi="仿宋" w:eastAsia="仿宋"/>
          <w:sz w:val="24"/>
          <w:highlight w:val="none"/>
          <w:lang w:val="en-US" w:eastAsia="zh-CN"/>
        </w:rPr>
        <w:t>下浮率</w:t>
      </w:r>
      <w:r>
        <w:rPr>
          <w:rFonts w:ascii="仿宋" w:hAnsi="仿宋" w:eastAsia="仿宋"/>
          <w:sz w:val="24"/>
          <w:highlight w:val="none"/>
        </w:rPr>
        <w:t>%</w:t>
      </w:r>
      <w:r>
        <w:rPr>
          <w:rFonts w:hint="eastAsia" w:ascii="仿宋" w:hAnsi="仿宋" w:eastAsia="仿宋"/>
          <w:sz w:val="24"/>
          <w:highlight w:val="none"/>
        </w:rPr>
        <w:t>）×（1-</w:t>
      </w:r>
      <w:r>
        <w:rPr>
          <w:rFonts w:hint="eastAsia" w:ascii="仿宋" w:hAnsi="仿宋" w:eastAsia="仿宋"/>
          <w:sz w:val="24"/>
          <w:highlight w:val="none"/>
          <w:lang w:val="en-US" w:eastAsia="zh-CN"/>
        </w:rPr>
        <w:t xml:space="preserve">中标下浮率   </w:t>
      </w:r>
      <w:r>
        <w:rPr>
          <w:rFonts w:ascii="仿宋" w:hAnsi="仿宋" w:eastAsia="仿宋"/>
          <w:sz w:val="24"/>
          <w:highlight w:val="none"/>
        </w:rPr>
        <w:t>%</w:t>
      </w:r>
      <w:r>
        <w:rPr>
          <w:rFonts w:hint="eastAsia" w:ascii="仿宋" w:hAnsi="仿宋" w:eastAsia="仿宋"/>
          <w:sz w:val="24"/>
          <w:highlight w:val="none"/>
        </w:rPr>
        <w:t>)。中标下浮率（即</w:t>
      </w:r>
      <w:r>
        <w:rPr>
          <w:rFonts w:hint="eastAsia" w:ascii="仿宋" w:hAnsi="仿宋" w:eastAsia="仿宋"/>
          <w:sz w:val="24"/>
          <w:highlight w:val="none"/>
          <w:lang w:val="en-US" w:eastAsia="zh-CN"/>
        </w:rPr>
        <w:t xml:space="preserve">   </w:t>
      </w:r>
      <w:r>
        <w:rPr>
          <w:rFonts w:ascii="仿宋" w:hAnsi="仿宋" w:eastAsia="仿宋"/>
          <w:sz w:val="24"/>
          <w:highlight w:val="none"/>
        </w:rPr>
        <w:t>%</w:t>
      </w:r>
      <w:r>
        <w:rPr>
          <w:rFonts w:hint="eastAsia" w:ascii="仿宋" w:hAnsi="仿宋" w:eastAsia="仿宋"/>
          <w:sz w:val="24"/>
          <w:highlight w:val="none"/>
        </w:rPr>
        <w:t>）=（最高投标限价-投标报价）÷最高投标限价×100%,以%为单位，精确到小数点后2位。</w:t>
      </w:r>
      <w:bookmarkEnd w:id="2"/>
    </w:p>
    <w:p w14:paraId="730542AD">
      <w:pPr>
        <w:pStyle w:val="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宋体"/>
          <w:sz w:val="24"/>
          <w:highlight w:val="none"/>
        </w:rPr>
      </w:pPr>
      <w:r>
        <w:rPr>
          <w:rFonts w:hint="eastAsia" w:ascii="仿宋" w:hAnsi="仿宋" w:eastAsia="仿宋" w:cs="宋体"/>
          <w:sz w:val="24"/>
          <w:highlight w:val="none"/>
        </w:rPr>
        <w:t>最终监理结算费用</w:t>
      </w:r>
      <w:r>
        <w:rPr>
          <w:rFonts w:hint="eastAsia" w:ascii="仿宋" w:hAnsi="仿宋" w:eastAsia="仿宋" w:cs="宋体"/>
          <w:sz w:val="24"/>
          <w:highlight w:val="none"/>
          <w:lang w:val="en-US" w:eastAsia="zh-CN"/>
        </w:rPr>
        <w:t>为</w:t>
      </w:r>
      <w:r>
        <w:rPr>
          <w:rFonts w:hint="eastAsia" w:ascii="仿宋" w:hAnsi="仿宋" w:eastAsia="仿宋" w:cs="仿宋"/>
          <w:sz w:val="24"/>
          <w:szCs w:val="24"/>
          <w:highlight w:val="none"/>
          <w:lang w:val="en-US" w:eastAsia="zh-CN"/>
        </w:rPr>
        <w:t>本合同各子项监理结算费用总和，</w:t>
      </w:r>
      <w:r>
        <w:rPr>
          <w:rFonts w:hint="eastAsia" w:ascii="仿宋" w:hAnsi="仿宋" w:eastAsia="仿宋"/>
          <w:sz w:val="24"/>
          <w:highlight w:val="none"/>
        </w:rPr>
        <w:t>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w:t>
      </w:r>
      <w:r>
        <w:rPr>
          <w:rFonts w:hint="eastAsia" w:ascii="仿宋" w:hAnsi="仿宋" w:eastAsia="仿宋" w:cs="仿宋"/>
          <w:sz w:val="24"/>
          <w:highlight w:val="none"/>
        </w:rPr>
        <w:t>资质</w:t>
      </w:r>
      <w:r>
        <w:rPr>
          <w:rFonts w:hint="eastAsia" w:ascii="仿宋" w:hAnsi="仿宋" w:eastAsia="仿宋" w:cs="宋体"/>
          <w:sz w:val="24"/>
          <w:highlight w:val="none"/>
        </w:rPr>
        <w:t>的第三方评审机构</w:t>
      </w:r>
      <w:r>
        <w:rPr>
          <w:rFonts w:hint="eastAsia" w:ascii="仿宋" w:hAnsi="仿宋" w:eastAsia="仿宋"/>
          <w:sz w:val="24"/>
          <w:highlight w:val="none"/>
        </w:rPr>
        <w:t>审核确认</w:t>
      </w:r>
      <w:r>
        <w:rPr>
          <w:rFonts w:hint="eastAsia" w:ascii="仿宋" w:hAnsi="仿宋" w:eastAsia="仿宋" w:cs="宋体"/>
          <w:sz w:val="24"/>
          <w:highlight w:val="none"/>
        </w:rPr>
        <w:t>为准，</w:t>
      </w:r>
      <w:r>
        <w:rPr>
          <w:rFonts w:hint="eastAsia" w:ascii="仿宋" w:hAnsi="仿宋" w:eastAsia="仿宋" w:cs="宋体"/>
          <w:sz w:val="24"/>
          <w:highlight w:val="none"/>
          <w:lang w:val="en-US" w:eastAsia="zh-CN"/>
        </w:rPr>
        <w:t>且</w:t>
      </w:r>
      <w:r>
        <w:rPr>
          <w:rFonts w:hint="eastAsia" w:ascii="仿宋" w:hAnsi="仿宋" w:eastAsia="仿宋" w:cs="宋体"/>
          <w:sz w:val="24"/>
          <w:highlight w:val="none"/>
        </w:rPr>
        <w:t>不得超合同价，若超合同价则按合同价支付。</w:t>
      </w:r>
    </w:p>
    <w:p w14:paraId="48326E05">
      <w:pPr>
        <w:adjustRightInd/>
        <w:snapToGrid/>
        <w:spacing w:after="0" w:line="279" w:lineRule="auto"/>
        <w:ind w:firstLine="480" w:firstLineChars="200"/>
        <w:rPr>
          <w:rFonts w:hint="eastAsia" w:ascii="仿宋" w:hAnsi="仿宋" w:eastAsia="仿宋"/>
          <w:b/>
          <w:sz w:val="24"/>
          <w:highlight w:val="none"/>
        </w:rPr>
      </w:pPr>
      <w:r>
        <w:rPr>
          <w:rFonts w:hint="eastAsia" w:ascii="仿宋" w:hAnsi="仿宋" w:eastAsia="仿宋" w:cs="仿宋"/>
          <w:sz w:val="24"/>
          <w:szCs w:val="24"/>
          <w:highlight w:val="none"/>
          <w:lang w:val="en-US" w:eastAsia="zh-CN"/>
        </w:rPr>
        <w:t>双方确认以本合同所载银行账户进行资金收支，若双方结算账户变更，应提前___天以书面形式告知对方，因任何一方未告知或迟延告知导致对方的所有损失及相关法律责任应由过错方承担。</w:t>
      </w:r>
    </w:p>
    <w:p w14:paraId="08E1B57C">
      <w:pPr>
        <w:keepNext w:val="0"/>
        <w:keepLines w:val="0"/>
        <w:pageBreakBefore w:val="0"/>
        <w:kinsoku/>
        <w:wordWrap/>
        <w:overflowPunct/>
        <w:topLinePunct w:val="0"/>
        <w:autoSpaceDE/>
        <w:autoSpaceDN/>
        <w:bidi w:val="0"/>
        <w:adjustRightInd w:val="0"/>
        <w:snapToGrid w:val="0"/>
        <w:spacing w:beforeLines="0" w:afterLines="0"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八、合同生效</w:t>
      </w:r>
    </w:p>
    <w:p w14:paraId="700D1D44">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本合同双方约定自双方法定代表人或授权代理人签字或签章及加盖公章后生效。授权代理人必须向对方提供单位法定代表人签名及加盖单位公章的授权委托书原件壹份，并注明授权事项及期限。</w:t>
      </w:r>
    </w:p>
    <w:p w14:paraId="65960BF8">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本合同履行期自</w:t>
      </w:r>
      <w:r>
        <w:rPr>
          <w:rFonts w:hint="eastAsia" w:ascii="仿宋" w:hAnsi="仿宋" w:eastAsia="仿宋" w:cs="仿宋"/>
          <w:color w:val="auto"/>
          <w:kern w:val="0"/>
          <w:sz w:val="24"/>
          <w:szCs w:val="24"/>
          <w:highlight w:val="none"/>
        </w:rPr>
        <w:t>监理人收到中标通知书或委托人通知监理人员进场之日起算，至所有工程保修期结束且办妥竣工结算之日止，包括本工程包括工程施工准备阶段、工程施工阶段、工程竣工结算期及缺陷责任期</w:t>
      </w:r>
      <w:r>
        <w:rPr>
          <w:rFonts w:hint="eastAsia" w:ascii="仿宋" w:hAnsi="仿宋" w:eastAsia="仿宋" w:cs="仿宋"/>
          <w:color w:val="auto"/>
          <w:kern w:val="0"/>
          <w:sz w:val="24"/>
          <w:szCs w:val="24"/>
          <w:highlight w:val="none"/>
          <w:lang w:val="en-US" w:eastAsia="zh-CN"/>
        </w:rPr>
        <w:t>等</w:t>
      </w:r>
      <w:r>
        <w:rPr>
          <w:rFonts w:hint="eastAsia" w:ascii="仿宋" w:hAnsi="仿宋" w:eastAsia="仿宋" w:cs="仿宋"/>
          <w:color w:val="auto"/>
          <w:kern w:val="0"/>
          <w:sz w:val="24"/>
          <w:szCs w:val="24"/>
          <w:highlight w:val="none"/>
        </w:rPr>
        <w:t>全过程监理服务时止</w:t>
      </w:r>
      <w:r>
        <w:rPr>
          <w:rFonts w:hint="eastAsia" w:ascii="仿宋" w:hAnsi="仿宋" w:eastAsia="仿宋" w:cs="仿宋"/>
          <w:bCs/>
          <w:color w:val="auto"/>
          <w:sz w:val="24"/>
          <w:highlight w:val="none"/>
        </w:rPr>
        <w:t>。</w:t>
      </w:r>
    </w:p>
    <w:p w14:paraId="7F2EA72B">
      <w:pPr>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2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4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 </w:t>
      </w:r>
      <w:r>
        <w:rPr>
          <w:rFonts w:hint="eastAsia" w:ascii="仿宋" w:hAnsi="仿宋" w:eastAsia="仿宋" w:cs="仿宋"/>
          <w:color w:val="auto"/>
          <w:sz w:val="24"/>
          <w:highlight w:val="none"/>
        </w:rPr>
        <w:t>份，监理人执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2 </w:t>
      </w:r>
      <w:r>
        <w:rPr>
          <w:rFonts w:hint="eastAsia" w:ascii="仿宋" w:hAnsi="仿宋" w:eastAsia="仿宋" w:cs="仿宋"/>
          <w:color w:val="auto"/>
          <w:sz w:val="24"/>
          <w:highlight w:val="none"/>
        </w:rPr>
        <w:t>份。合同正、副本具有同等法律效力，当正、副本所表述的内容不一致时，以正本为准。</w:t>
      </w:r>
    </w:p>
    <w:p w14:paraId="529113BB">
      <w:pPr>
        <w:pStyle w:val="21"/>
        <w:keepNext w:val="0"/>
        <w:keepLines w:val="0"/>
        <w:pageBreakBefore w:val="0"/>
        <w:kinsoku/>
        <w:wordWrap/>
        <w:overflowPunct/>
        <w:topLinePunct w:val="0"/>
        <w:autoSpaceDE/>
        <w:autoSpaceDN/>
        <w:bidi w:val="0"/>
        <w:adjustRightInd w:val="0"/>
        <w:snapToGrid w:val="0"/>
        <w:spacing w:before="0" w:after="0" w:line="360" w:lineRule="auto"/>
        <w:ind w:firstLine="0"/>
        <w:jc w:val="center"/>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（本页以下无正文）</w:t>
      </w:r>
    </w:p>
    <w:p w14:paraId="2C2FC619">
      <w:pPr>
        <w:pStyle w:val="21"/>
        <w:keepNext w:val="0"/>
        <w:keepLines w:val="0"/>
        <w:pageBreakBefore w:val="0"/>
        <w:kinsoku/>
        <w:wordWrap/>
        <w:overflowPunct/>
        <w:topLinePunct w:val="0"/>
        <w:autoSpaceDE/>
        <w:autoSpaceDN/>
        <w:bidi w:val="0"/>
        <w:adjustRightInd w:val="0"/>
        <w:snapToGrid w:val="0"/>
        <w:spacing w:before="0" w:after="0" w:line="360" w:lineRule="auto"/>
        <w:ind w:firstLine="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kern w:val="2"/>
          <w:szCs w:val="24"/>
          <w:highlight w:val="none"/>
        </w:rPr>
        <w:t>（</w:t>
      </w:r>
      <w:r>
        <w:rPr>
          <w:rFonts w:hint="eastAsia" w:ascii="仿宋" w:hAnsi="仿宋" w:eastAsia="仿宋" w:cs="仿宋"/>
          <w:color w:val="auto"/>
          <w:kern w:val="2"/>
          <w:highlight w:val="none"/>
        </w:rPr>
        <w:t>本页为签署页，无正文内容</w:t>
      </w:r>
      <w:r>
        <w:rPr>
          <w:rFonts w:hint="eastAsia" w:ascii="仿宋" w:hAnsi="仿宋" w:eastAsia="仿宋" w:cs="仿宋"/>
          <w:color w:val="auto"/>
          <w:kern w:val="2"/>
          <w:szCs w:val="24"/>
          <w:highlight w:val="none"/>
        </w:rPr>
        <w:t>）</w:t>
      </w:r>
    </w:p>
    <w:p w14:paraId="73A72229">
      <w:pPr>
        <w:pStyle w:val="21"/>
        <w:keepNext w:val="0"/>
        <w:keepLines w:val="0"/>
        <w:pageBreakBefore w:val="0"/>
        <w:kinsoku/>
        <w:wordWrap/>
        <w:overflowPunct/>
        <w:topLinePunct w:val="0"/>
        <w:autoSpaceDE/>
        <w:autoSpaceDN/>
        <w:bidi w:val="0"/>
        <w:adjustRightInd w:val="0"/>
        <w:snapToGrid w:val="0"/>
        <w:spacing w:before="0" w:after="0" w:line="360" w:lineRule="auto"/>
        <w:ind w:firstLine="0"/>
        <w:textAlignment w:val="auto"/>
        <w:rPr>
          <w:rFonts w:hint="eastAsia" w:ascii="仿宋" w:hAnsi="仿宋" w:eastAsia="仿宋" w:cs="仿宋"/>
          <w:color w:val="auto"/>
          <w:sz w:val="28"/>
          <w:szCs w:val="28"/>
          <w:highlight w:val="none"/>
        </w:rPr>
      </w:pPr>
    </w:p>
    <w:tbl>
      <w:tblPr>
        <w:tblStyle w:val="24"/>
        <w:tblW w:w="0" w:type="auto"/>
        <w:jc w:val="center"/>
        <w:tblLayout w:type="autofit"/>
        <w:tblCellMar>
          <w:top w:w="0" w:type="dxa"/>
          <w:left w:w="108" w:type="dxa"/>
          <w:bottom w:w="0" w:type="dxa"/>
          <w:right w:w="108" w:type="dxa"/>
        </w:tblCellMar>
      </w:tblPr>
      <w:tblGrid>
        <w:gridCol w:w="4643"/>
        <w:gridCol w:w="4644"/>
      </w:tblGrid>
      <w:tr w14:paraId="42ABF222">
        <w:tblPrEx>
          <w:tblCellMar>
            <w:top w:w="0" w:type="dxa"/>
            <w:left w:w="108" w:type="dxa"/>
            <w:bottom w:w="0" w:type="dxa"/>
            <w:right w:w="108" w:type="dxa"/>
          </w:tblCellMar>
        </w:tblPrEx>
        <w:trPr>
          <w:trHeight w:val="1474" w:hRule="atLeast"/>
          <w:jc w:val="center"/>
        </w:trPr>
        <w:tc>
          <w:tcPr>
            <w:tcW w:w="4643" w:type="dxa"/>
            <w:noWrap w:val="0"/>
            <w:vAlign w:val="top"/>
          </w:tcPr>
          <w:p w14:paraId="6D6CFF2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委托人：（公章）</w:t>
            </w:r>
          </w:p>
          <w:p w14:paraId="4DDAECC3">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广州市番禺石碁自来水有限公司</w:t>
            </w:r>
          </w:p>
        </w:tc>
        <w:tc>
          <w:tcPr>
            <w:tcW w:w="4644" w:type="dxa"/>
            <w:noWrap w:val="0"/>
            <w:vAlign w:val="top"/>
          </w:tcPr>
          <w:p w14:paraId="694E0FB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监理人：（公章）</w:t>
            </w:r>
          </w:p>
          <w:p w14:paraId="4BC0C64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tc>
      </w:tr>
      <w:tr w14:paraId="2C4798CC">
        <w:tblPrEx>
          <w:tblCellMar>
            <w:top w:w="0" w:type="dxa"/>
            <w:left w:w="108" w:type="dxa"/>
            <w:bottom w:w="0" w:type="dxa"/>
            <w:right w:w="108" w:type="dxa"/>
          </w:tblCellMar>
        </w:tblPrEx>
        <w:trPr>
          <w:trHeight w:val="1474" w:hRule="atLeast"/>
          <w:jc w:val="center"/>
        </w:trPr>
        <w:tc>
          <w:tcPr>
            <w:tcW w:w="4643" w:type="dxa"/>
            <w:noWrap w:val="0"/>
            <w:vAlign w:val="top"/>
          </w:tcPr>
          <w:p w14:paraId="04E754D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 xml:space="preserve">地址： </w:t>
            </w:r>
            <w:r>
              <w:rPr>
                <w:rFonts w:hint="eastAsia" w:ascii="仿宋" w:hAnsi="仿宋" w:eastAsia="仿宋" w:cs="仿宋"/>
                <w:color w:val="auto"/>
                <w:szCs w:val="20"/>
                <w:highlight w:val="none"/>
                <w:u w:val="none"/>
              </w:rPr>
              <w:t>广州市番禺区石</w:t>
            </w:r>
            <w:r>
              <w:rPr>
                <w:rFonts w:hint="eastAsia" w:ascii="仿宋" w:hAnsi="仿宋" w:eastAsia="仿宋" w:cs="仿宋"/>
                <w:color w:val="auto"/>
                <w:szCs w:val="20"/>
                <w:highlight w:val="none"/>
                <w:u w:val="none"/>
                <w:lang w:val="en-US" w:eastAsia="zh-CN"/>
              </w:rPr>
              <w:t>碁镇雁洲村沿江路2号自编1</w:t>
            </w:r>
          </w:p>
        </w:tc>
        <w:tc>
          <w:tcPr>
            <w:tcW w:w="4644" w:type="dxa"/>
            <w:noWrap w:val="0"/>
            <w:vAlign w:val="top"/>
          </w:tcPr>
          <w:p w14:paraId="192F880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 xml:space="preserve">地址： </w:t>
            </w:r>
            <w:r>
              <w:rPr>
                <w:rFonts w:hint="eastAsia" w:ascii="仿宋" w:hAnsi="仿宋" w:eastAsia="仿宋" w:cs="仿宋"/>
                <w:color w:val="auto"/>
                <w:highlight w:val="none"/>
                <w:lang w:val="en-US" w:eastAsia="zh-CN"/>
              </w:rPr>
              <w:t xml:space="preserve"> </w:t>
            </w:r>
          </w:p>
        </w:tc>
      </w:tr>
      <w:tr w14:paraId="43893224">
        <w:tblPrEx>
          <w:tblCellMar>
            <w:top w:w="0" w:type="dxa"/>
            <w:left w:w="108" w:type="dxa"/>
            <w:bottom w:w="0" w:type="dxa"/>
            <w:right w:w="108" w:type="dxa"/>
          </w:tblCellMar>
        </w:tblPrEx>
        <w:trPr>
          <w:trHeight w:val="1474" w:hRule="atLeast"/>
          <w:jc w:val="center"/>
        </w:trPr>
        <w:tc>
          <w:tcPr>
            <w:tcW w:w="4643" w:type="dxa"/>
            <w:noWrap w:val="0"/>
            <w:vAlign w:val="top"/>
          </w:tcPr>
          <w:p w14:paraId="08EE7629">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8E29BD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c>
          <w:tcPr>
            <w:tcW w:w="4644" w:type="dxa"/>
            <w:noWrap w:val="0"/>
            <w:vAlign w:val="top"/>
          </w:tcPr>
          <w:p w14:paraId="3C6916B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769DA60D">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r>
      <w:tr w14:paraId="4195E9C6">
        <w:tblPrEx>
          <w:tblCellMar>
            <w:top w:w="0" w:type="dxa"/>
            <w:left w:w="108" w:type="dxa"/>
            <w:bottom w:w="0" w:type="dxa"/>
            <w:right w:w="108" w:type="dxa"/>
          </w:tblCellMar>
        </w:tblPrEx>
        <w:trPr>
          <w:trHeight w:val="1474" w:hRule="atLeast"/>
          <w:jc w:val="center"/>
        </w:trPr>
        <w:tc>
          <w:tcPr>
            <w:tcW w:w="4643" w:type="dxa"/>
            <w:noWrap w:val="0"/>
            <w:vAlign w:val="top"/>
          </w:tcPr>
          <w:p w14:paraId="1AEEF2A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项目负责人（签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p>
        </w:tc>
        <w:tc>
          <w:tcPr>
            <w:tcW w:w="4644" w:type="dxa"/>
            <w:noWrap w:val="0"/>
            <w:vAlign w:val="top"/>
          </w:tcPr>
          <w:p w14:paraId="22BBADA1">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项目总监（签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tc>
      </w:tr>
      <w:tr w14:paraId="14A36D31">
        <w:tblPrEx>
          <w:tblCellMar>
            <w:top w:w="0" w:type="dxa"/>
            <w:left w:w="108" w:type="dxa"/>
            <w:bottom w:w="0" w:type="dxa"/>
            <w:right w:w="108" w:type="dxa"/>
          </w:tblCellMar>
        </w:tblPrEx>
        <w:trPr>
          <w:trHeight w:val="1077" w:hRule="atLeast"/>
          <w:jc w:val="center"/>
        </w:trPr>
        <w:tc>
          <w:tcPr>
            <w:tcW w:w="4643" w:type="dxa"/>
            <w:noWrap w:val="0"/>
            <w:vAlign w:val="top"/>
          </w:tcPr>
          <w:p w14:paraId="255D840A">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highlight w:val="none"/>
              </w:rPr>
              <w:t>电话：</w:t>
            </w:r>
          </w:p>
        </w:tc>
        <w:tc>
          <w:tcPr>
            <w:tcW w:w="4644" w:type="dxa"/>
            <w:noWrap w:val="0"/>
            <w:vAlign w:val="top"/>
          </w:tcPr>
          <w:p w14:paraId="72311260">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电话</w:t>
            </w:r>
            <w:r>
              <w:rPr>
                <w:rFonts w:hint="eastAsia" w:ascii="仿宋" w:hAnsi="仿宋" w:eastAsia="仿宋" w:cs="仿宋"/>
                <w:color w:val="auto"/>
                <w:highlight w:val="none"/>
                <w:lang w:eastAsia="zh-CN"/>
              </w:rPr>
              <w:t>：</w:t>
            </w:r>
          </w:p>
        </w:tc>
      </w:tr>
      <w:tr w14:paraId="3C914CC3">
        <w:tblPrEx>
          <w:tblCellMar>
            <w:top w:w="0" w:type="dxa"/>
            <w:left w:w="108" w:type="dxa"/>
            <w:bottom w:w="0" w:type="dxa"/>
            <w:right w:w="108" w:type="dxa"/>
          </w:tblCellMar>
        </w:tblPrEx>
        <w:trPr>
          <w:trHeight w:val="1077" w:hRule="atLeast"/>
          <w:jc w:val="center"/>
        </w:trPr>
        <w:tc>
          <w:tcPr>
            <w:tcW w:w="4643" w:type="dxa"/>
            <w:noWrap w:val="0"/>
            <w:vAlign w:val="top"/>
          </w:tcPr>
          <w:p w14:paraId="4B70629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传真：</w:t>
            </w:r>
          </w:p>
        </w:tc>
        <w:tc>
          <w:tcPr>
            <w:tcW w:w="4644" w:type="dxa"/>
            <w:noWrap w:val="0"/>
            <w:vAlign w:val="top"/>
          </w:tcPr>
          <w:p w14:paraId="04458856">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highlight w:val="none"/>
              </w:rPr>
              <w:t>传真</w:t>
            </w:r>
            <w:r>
              <w:rPr>
                <w:rFonts w:hint="eastAsia" w:ascii="仿宋" w:hAnsi="仿宋" w:eastAsia="仿宋" w:cs="仿宋"/>
                <w:color w:val="auto"/>
                <w:highlight w:val="none"/>
                <w:lang w:eastAsia="zh-CN"/>
              </w:rPr>
              <w:t>：</w:t>
            </w:r>
          </w:p>
        </w:tc>
      </w:tr>
      <w:tr w14:paraId="1CCEE92E">
        <w:tblPrEx>
          <w:tblCellMar>
            <w:top w:w="0" w:type="dxa"/>
            <w:left w:w="108" w:type="dxa"/>
            <w:bottom w:w="0" w:type="dxa"/>
            <w:right w:w="108" w:type="dxa"/>
          </w:tblCellMar>
        </w:tblPrEx>
        <w:trPr>
          <w:trHeight w:val="1077" w:hRule="atLeast"/>
          <w:jc w:val="center"/>
        </w:trPr>
        <w:tc>
          <w:tcPr>
            <w:tcW w:w="4643" w:type="dxa"/>
            <w:noWrap w:val="0"/>
            <w:vAlign w:val="top"/>
          </w:tcPr>
          <w:p w14:paraId="7828BD15">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开户银行：</w:t>
            </w:r>
          </w:p>
        </w:tc>
        <w:tc>
          <w:tcPr>
            <w:tcW w:w="4644" w:type="dxa"/>
            <w:noWrap w:val="0"/>
            <w:vAlign w:val="top"/>
          </w:tcPr>
          <w:p w14:paraId="359A8BF7">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highlight w:val="none"/>
              </w:rPr>
              <w:t>开户银行</w:t>
            </w:r>
            <w:r>
              <w:rPr>
                <w:rFonts w:hint="eastAsia" w:ascii="仿宋" w:hAnsi="仿宋" w:eastAsia="仿宋" w:cs="仿宋"/>
                <w:color w:val="auto"/>
                <w:highlight w:val="none"/>
                <w:lang w:eastAsia="zh-CN"/>
              </w:rPr>
              <w:t>：</w:t>
            </w:r>
          </w:p>
        </w:tc>
      </w:tr>
      <w:tr w14:paraId="731FB6AB">
        <w:tblPrEx>
          <w:tblCellMar>
            <w:top w:w="0" w:type="dxa"/>
            <w:left w:w="108" w:type="dxa"/>
            <w:bottom w:w="0" w:type="dxa"/>
            <w:right w:w="108" w:type="dxa"/>
          </w:tblCellMar>
        </w:tblPrEx>
        <w:trPr>
          <w:trHeight w:val="1077" w:hRule="atLeast"/>
          <w:jc w:val="center"/>
        </w:trPr>
        <w:tc>
          <w:tcPr>
            <w:tcW w:w="4643" w:type="dxa"/>
            <w:noWrap w:val="0"/>
            <w:vAlign w:val="top"/>
          </w:tcPr>
          <w:p w14:paraId="24351F6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银行账号：</w:t>
            </w:r>
          </w:p>
        </w:tc>
        <w:tc>
          <w:tcPr>
            <w:tcW w:w="4644" w:type="dxa"/>
            <w:noWrap w:val="0"/>
            <w:vAlign w:val="top"/>
          </w:tcPr>
          <w:p w14:paraId="269D3D2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highlight w:val="none"/>
              </w:rPr>
              <w:t>银行账号</w:t>
            </w:r>
            <w:r>
              <w:rPr>
                <w:rFonts w:hint="eastAsia" w:ascii="仿宋" w:hAnsi="仿宋" w:eastAsia="仿宋" w:cs="仿宋"/>
                <w:color w:val="auto"/>
                <w:highlight w:val="none"/>
                <w:lang w:eastAsia="zh-CN"/>
              </w:rPr>
              <w:t>：</w:t>
            </w:r>
          </w:p>
        </w:tc>
      </w:tr>
      <w:tr w14:paraId="16C4918A">
        <w:tblPrEx>
          <w:tblCellMar>
            <w:top w:w="0" w:type="dxa"/>
            <w:left w:w="108" w:type="dxa"/>
            <w:bottom w:w="0" w:type="dxa"/>
            <w:right w:w="108" w:type="dxa"/>
          </w:tblCellMar>
        </w:tblPrEx>
        <w:trPr>
          <w:trHeight w:val="1077" w:hRule="atLeast"/>
          <w:jc w:val="center"/>
        </w:trPr>
        <w:tc>
          <w:tcPr>
            <w:tcW w:w="4643" w:type="dxa"/>
            <w:noWrap w:val="0"/>
            <w:vAlign w:val="top"/>
          </w:tcPr>
          <w:p w14:paraId="7562E543">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highlight w:val="none"/>
              </w:rPr>
              <w:t>邮政编码：</w:t>
            </w:r>
          </w:p>
        </w:tc>
        <w:tc>
          <w:tcPr>
            <w:tcW w:w="4644" w:type="dxa"/>
            <w:noWrap w:val="0"/>
            <w:vAlign w:val="top"/>
          </w:tcPr>
          <w:p w14:paraId="6ACA926B">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邮政编码</w:t>
            </w:r>
            <w:r>
              <w:rPr>
                <w:rFonts w:hint="eastAsia" w:ascii="仿宋" w:hAnsi="仿宋" w:eastAsia="仿宋" w:cs="仿宋"/>
                <w:color w:val="auto"/>
                <w:highlight w:val="none"/>
                <w:lang w:eastAsia="zh-CN"/>
              </w:rPr>
              <w:t>：</w:t>
            </w:r>
          </w:p>
        </w:tc>
      </w:tr>
    </w:tbl>
    <w:p w14:paraId="2615ECA7">
      <w:pPr>
        <w:pStyle w:val="21"/>
        <w:keepNext w:val="0"/>
        <w:keepLines w:val="0"/>
        <w:pageBreakBefore w:val="0"/>
        <w:kinsoku/>
        <w:wordWrap/>
        <w:overflowPunct/>
        <w:topLinePunct w:val="0"/>
        <w:autoSpaceDE/>
        <w:autoSpaceDN/>
        <w:bidi w:val="0"/>
        <w:adjustRightInd w:val="0"/>
        <w:snapToGrid w:val="0"/>
        <w:spacing w:before="0" w:after="0" w:line="360" w:lineRule="auto"/>
        <w:ind w:firstLine="0"/>
        <w:textAlignment w:val="auto"/>
        <w:rPr>
          <w:rFonts w:hint="eastAsia" w:ascii="仿宋" w:hAnsi="仿宋" w:eastAsia="仿宋" w:cs="仿宋"/>
          <w:color w:val="auto"/>
          <w:sz w:val="28"/>
          <w:szCs w:val="28"/>
          <w:highlight w:val="none"/>
        </w:rPr>
        <w:sectPr>
          <w:headerReference r:id="rId4" w:type="first"/>
          <w:footerReference r:id="rId6" w:type="first"/>
          <w:headerReference r:id="rId3" w:type="default"/>
          <w:footerReference r:id="rId5" w:type="default"/>
          <w:pgSz w:w="11907" w:h="16840"/>
          <w:pgMar w:top="1418" w:right="1418" w:bottom="1246" w:left="1418" w:header="851" w:footer="851" w:gutter="0"/>
          <w:pgBorders>
            <w:top w:val="none" w:sz="0" w:space="0"/>
            <w:left w:val="none" w:sz="0" w:space="0"/>
            <w:bottom w:val="none" w:sz="0" w:space="0"/>
            <w:right w:val="none" w:sz="0" w:space="0"/>
          </w:pgBorders>
          <w:pgNumType w:fmt="decimal" w:start="1"/>
          <w:cols w:space="720" w:num="1"/>
          <w:titlePg/>
          <w:docGrid w:linePitch="350" w:charSpace="0"/>
        </w:sectPr>
      </w:pPr>
    </w:p>
    <w:p w14:paraId="0439763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sz w:val="28"/>
          <w:szCs w:val="28"/>
          <w:highlight w:val="none"/>
        </w:rPr>
        <w:sectPr>
          <w:type w:val="continuous"/>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753AFCE5">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28"/>
          <w:szCs w:val="28"/>
          <w:highlight w:val="none"/>
        </w:rPr>
      </w:pPr>
      <w:bookmarkStart w:id="3" w:name="_Toc237755561"/>
      <w:r>
        <w:rPr>
          <w:rFonts w:hint="eastAsia" w:ascii="仿宋" w:hAnsi="仿宋" w:eastAsia="仿宋" w:cs="仿宋"/>
          <w:b/>
          <w:bCs/>
          <w:color w:val="auto"/>
          <w:sz w:val="28"/>
          <w:szCs w:val="28"/>
          <w:highlight w:val="none"/>
        </w:rPr>
        <w:t>第二部分 标准</w:t>
      </w:r>
      <w:bookmarkEnd w:id="3"/>
      <w:r>
        <w:rPr>
          <w:rFonts w:hint="eastAsia" w:ascii="仿宋" w:hAnsi="仿宋" w:eastAsia="仿宋" w:cs="仿宋"/>
          <w:b/>
          <w:bCs/>
          <w:color w:val="auto"/>
          <w:sz w:val="28"/>
          <w:szCs w:val="28"/>
          <w:highlight w:val="none"/>
        </w:rPr>
        <w:t>条款</w:t>
      </w:r>
    </w:p>
    <w:p w14:paraId="315D436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03CD3B2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词语定义、适用范围和法规</w:t>
      </w:r>
    </w:p>
    <w:p w14:paraId="246AE8C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p>
    <w:p w14:paraId="4EC5DAFE">
      <w:pPr>
        <w:keepNext w:val="0"/>
        <w:keepLines w:val="0"/>
        <w:pageBreakBefore w:val="0"/>
        <w:kinsoku/>
        <w:wordWrap/>
        <w:overflowPunct/>
        <w:topLinePunct w:val="0"/>
        <w:autoSpaceDE/>
        <w:autoSpaceDN/>
        <w:bidi w:val="0"/>
        <w:adjustRightInd w:val="0"/>
        <w:snapToGrid w:val="0"/>
        <w:spacing w:line="360" w:lineRule="auto"/>
        <w:ind w:left="42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第一条</w:t>
      </w:r>
      <w:r>
        <w:rPr>
          <w:rFonts w:hint="eastAsia" w:ascii="仿宋" w:hAnsi="仿宋" w:eastAsia="仿宋" w:cs="仿宋"/>
          <w:color w:val="auto"/>
          <w:sz w:val="24"/>
          <w:highlight w:val="none"/>
        </w:rPr>
        <w:t xml:space="preserve">  下列名词和用语，除上下文另有约定外，有如下含义：</w:t>
      </w:r>
    </w:p>
    <w:p w14:paraId="261E0E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⑴“工程”是指委托人委托实施监理的工程。</w:t>
      </w:r>
    </w:p>
    <w:p w14:paraId="7113E51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⑵“委托人”是指承担直接投资责任和委托监理业务的一方以及其合法继承人。</w:t>
      </w:r>
    </w:p>
    <w:p w14:paraId="23BD3DD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⑶“监理人”是指承担监理业务和监理责任的一方，以及其合法继承人。</w:t>
      </w:r>
    </w:p>
    <w:p w14:paraId="3E77065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⑷“监理机构”是指监理人派驻本工程现场实施监理业务的组织。</w:t>
      </w:r>
    </w:p>
    <w:p w14:paraId="0C1186D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⑸“总监理工程师”是指经委托人同意，监理人为全面履行本合同而派到监理机构的全权负责人。</w:t>
      </w:r>
    </w:p>
    <w:p w14:paraId="14E043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⑹“承包人”是指除监理人以外，委托人就工程建设有关事宜与之签订合同的当事人。</w:t>
      </w:r>
    </w:p>
    <w:p w14:paraId="358A2D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⑺“工程监理的正常工作”是指双方在《专用条款》中约定，委托人委托的监理工作范围和内容。</w:t>
      </w:r>
    </w:p>
    <w:p w14:paraId="531F003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⑻“工程监理的附加工作”是指：①委托人委托的在工程监理的正常工作以外，通过双方书面协议另行增加的工作内容；②由于委托人或承包人原因，使监理工作受到阻碍或延误，因增加工作量或持续时间而增加的工作。</w:t>
      </w:r>
    </w:p>
    <w:p w14:paraId="7A95781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⑼“工程监理的额外工作”是指因委托人原因导致监理人暂停或终止本合同的履行，其善后工作及恢复履行本合同的工作。</w:t>
      </w:r>
    </w:p>
    <w:p w14:paraId="14EC1C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⑽“日”是指任何一天零时至第二天零时止的时间段。</w:t>
      </w:r>
    </w:p>
    <w:p w14:paraId="66009A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⑾“月”是指根据公历从一个月份中任何一天开始至下一个月相对应日期的前一天的24时止的时间段。</w:t>
      </w:r>
    </w:p>
    <w:p w14:paraId="60104F3A">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第二条  </w:t>
      </w:r>
      <w:r>
        <w:rPr>
          <w:rFonts w:hint="eastAsia" w:ascii="仿宋" w:hAnsi="仿宋" w:eastAsia="仿宋" w:cs="仿宋"/>
          <w:color w:val="auto"/>
          <w:sz w:val="24"/>
          <w:highlight w:val="none"/>
        </w:rPr>
        <w:t>建设工程委托监理合同适用的法律是指国家的法律、行政法规，以及《专用条款》中议定的部门规章或工程所在地的地方法规、地方规章。</w:t>
      </w:r>
    </w:p>
    <w:p w14:paraId="1D20973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第三条  </w:t>
      </w:r>
      <w:r>
        <w:rPr>
          <w:rFonts w:hint="eastAsia" w:ascii="仿宋" w:hAnsi="仿宋" w:eastAsia="仿宋" w:cs="仿宋"/>
          <w:color w:val="auto"/>
          <w:sz w:val="24"/>
          <w:highlight w:val="none"/>
        </w:rPr>
        <w:t>本合同文件使用汉语语言文字书写、解释和说明。如《专用条款》约定使用两种以上（含两种）语言文字时，汉语应为解释和说明本合同的标准语言文字。</w:t>
      </w:r>
    </w:p>
    <w:p w14:paraId="12F4D2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61EB18D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监理人义务</w:t>
      </w:r>
    </w:p>
    <w:p w14:paraId="03396C4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b/>
          <w:color w:val="auto"/>
          <w:sz w:val="24"/>
          <w:highlight w:val="none"/>
        </w:rPr>
        <w:t xml:space="preserve">第四条  </w:t>
      </w:r>
      <w:r>
        <w:rPr>
          <w:rFonts w:hint="eastAsia" w:ascii="仿宋" w:hAnsi="仿宋" w:eastAsia="仿宋" w:cs="仿宋"/>
          <w:color w:val="auto"/>
          <w:sz w:val="24"/>
          <w:highlight w:val="none"/>
        </w:rPr>
        <w:t>监理人按合同约定派出监理工作需要的</w:t>
      </w:r>
      <w:r>
        <w:rPr>
          <w:rFonts w:hint="eastAsia" w:ascii="仿宋" w:hAnsi="仿宋" w:eastAsia="仿宋" w:cs="仿宋"/>
          <w:color w:val="auto"/>
          <w:sz w:val="24"/>
          <w:highlight w:val="none"/>
          <w:lang w:val="en-US" w:eastAsia="zh-CN"/>
        </w:rPr>
        <w:t>合格</w:t>
      </w:r>
      <w:r>
        <w:rPr>
          <w:rFonts w:hint="eastAsia" w:ascii="仿宋" w:hAnsi="仿宋" w:eastAsia="仿宋" w:cs="仿宋"/>
          <w:color w:val="auto"/>
          <w:sz w:val="24"/>
          <w:highlight w:val="none"/>
        </w:rPr>
        <w:t>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2DC9BE01">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第五条  </w:t>
      </w:r>
      <w:r>
        <w:rPr>
          <w:rFonts w:hint="eastAsia" w:ascii="仿宋" w:hAnsi="仿宋" w:eastAsia="仿宋" w:cs="仿宋"/>
          <w:color w:val="auto"/>
          <w:sz w:val="24"/>
          <w:highlight w:val="none"/>
        </w:rPr>
        <w:t>监理人在履行本合同的义务期间，应认真、勤奋地工作，为委托人提供与其水平相适应的咨询意见，公正维护各方面的合法权益。</w:t>
      </w:r>
    </w:p>
    <w:p w14:paraId="6D4DFE8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第六条  </w:t>
      </w:r>
      <w:r>
        <w:rPr>
          <w:rFonts w:hint="eastAsia" w:ascii="仿宋" w:hAnsi="仿宋" w:eastAsia="仿宋" w:cs="仿宋"/>
          <w:color w:val="auto"/>
          <w:sz w:val="24"/>
          <w:highlight w:val="none"/>
        </w:rPr>
        <w:t>监理人使用委托人提供的设施和物品属委托人的财产。在监理工作完成或中止时，应将其设施和剩余的物品按合同约定的时间和方式移交给委托人。</w:t>
      </w:r>
    </w:p>
    <w:p w14:paraId="036AA91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第七条  </w:t>
      </w:r>
      <w:r>
        <w:rPr>
          <w:rFonts w:hint="eastAsia" w:ascii="仿宋" w:hAnsi="仿宋" w:eastAsia="仿宋" w:cs="仿宋"/>
          <w:color w:val="auto"/>
          <w:sz w:val="24"/>
          <w:highlight w:val="none"/>
        </w:rPr>
        <w:t>在合同期内或合同终止后，未征得有关方同意，不得泄露与本工程、本合同业务有关的资料。</w:t>
      </w:r>
    </w:p>
    <w:p w14:paraId="13DF1B3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89FC4F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委托人义务</w:t>
      </w:r>
    </w:p>
    <w:p w14:paraId="0F483893">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 xml:space="preserve">第八条  </w:t>
      </w:r>
      <w:r>
        <w:rPr>
          <w:rFonts w:hint="eastAsia" w:ascii="仿宋" w:hAnsi="仿宋" w:eastAsia="仿宋" w:cs="仿宋"/>
          <w:color w:val="auto"/>
          <w:sz w:val="24"/>
          <w:highlight w:val="none"/>
        </w:rPr>
        <w:t>委托人应依约向监理人支付监理费。</w:t>
      </w:r>
    </w:p>
    <w:p w14:paraId="5E46AD3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第九条  </w:t>
      </w:r>
      <w:r>
        <w:rPr>
          <w:rFonts w:hint="eastAsia" w:ascii="仿宋" w:hAnsi="仿宋" w:eastAsia="仿宋" w:cs="仿宋"/>
          <w:color w:val="auto"/>
          <w:sz w:val="24"/>
          <w:highlight w:val="none"/>
        </w:rPr>
        <w:t>委托人应当负责工程建设的所有外部关系的协调，为监理工作提供外部条件。根据需要，如将部分或全部协调工作委托监理人承担，则应在《专用条款》中明确委托的工作和相应的报酬。</w:t>
      </w:r>
    </w:p>
    <w:p w14:paraId="4959CBD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第十条  </w:t>
      </w:r>
      <w:r>
        <w:rPr>
          <w:rFonts w:hint="eastAsia" w:ascii="仿宋" w:hAnsi="仿宋" w:eastAsia="仿宋" w:cs="仿宋"/>
          <w:color w:val="auto"/>
          <w:sz w:val="24"/>
          <w:highlight w:val="none"/>
        </w:rPr>
        <w:t>委托人应当在双方约定的时间内免费向监理人提供与工程有关的为监理工作所需要的工程资料。</w:t>
      </w:r>
    </w:p>
    <w:p w14:paraId="7D9B5CF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第十一条  </w:t>
      </w:r>
      <w:r>
        <w:rPr>
          <w:rFonts w:hint="eastAsia" w:ascii="仿宋" w:hAnsi="仿宋" w:eastAsia="仿宋" w:cs="仿宋"/>
          <w:color w:val="auto"/>
          <w:sz w:val="24"/>
          <w:highlight w:val="none"/>
        </w:rPr>
        <w:t>委托人应当在《专用条款》约定的时间内就监理人书面提交并要求作出决定的一切事宜作出书面决定。</w:t>
      </w:r>
    </w:p>
    <w:p w14:paraId="2888D5C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第十二条  </w:t>
      </w:r>
      <w:r>
        <w:rPr>
          <w:rFonts w:hint="eastAsia" w:ascii="仿宋" w:hAnsi="仿宋" w:eastAsia="仿宋" w:cs="仿宋"/>
          <w:color w:val="auto"/>
          <w:sz w:val="24"/>
          <w:highlight w:val="none"/>
        </w:rPr>
        <w:t>委托人应当授权一名熟悉工程情况、能在规定时间内作出决定的常驻代表（在《专用条款》中约定），负责与监理人联系。更换常驻代表，要提前通知监理人。</w:t>
      </w:r>
    </w:p>
    <w:p w14:paraId="7CB5B3C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第十三条  </w:t>
      </w:r>
      <w:r>
        <w:rPr>
          <w:rFonts w:hint="eastAsia" w:ascii="仿宋" w:hAnsi="仿宋" w:eastAsia="仿宋" w:cs="仿宋"/>
          <w:color w:val="auto"/>
          <w:sz w:val="24"/>
          <w:highlight w:val="none"/>
        </w:rPr>
        <w:t>委托人应当将授予监理人的监理权利，以及监理人主要成员的职能分工（须监理人书面作出说明）、监理权限及时书面通知已选定的承包合同的承包人，并在与第三人签订的合同中予以明确。</w:t>
      </w:r>
    </w:p>
    <w:p w14:paraId="352D7BCF">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第十四条  </w:t>
      </w:r>
      <w:r>
        <w:rPr>
          <w:rFonts w:hint="eastAsia" w:ascii="仿宋" w:hAnsi="仿宋" w:eastAsia="仿宋" w:cs="仿宋"/>
          <w:color w:val="auto"/>
          <w:sz w:val="24"/>
          <w:highlight w:val="none"/>
        </w:rPr>
        <w:t>委托人按监理人要求提供如下资料：</w:t>
      </w:r>
    </w:p>
    <w:p w14:paraId="7FC691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 与本工程合作的原材料、构配件、设备等生产厂家名录。</w:t>
      </w:r>
    </w:p>
    <w:p w14:paraId="7C12DF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 提供与本工程有关的协作单位、配合单位的名录。</w:t>
      </w:r>
    </w:p>
    <w:p w14:paraId="24129872">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第十五条  </w:t>
      </w:r>
      <w:r>
        <w:rPr>
          <w:rFonts w:hint="eastAsia" w:ascii="仿宋" w:hAnsi="仿宋" w:eastAsia="仿宋" w:cs="仿宋"/>
          <w:color w:val="auto"/>
          <w:sz w:val="24"/>
          <w:highlight w:val="none"/>
        </w:rPr>
        <w:t>委托人应免费向监理人提供办公用房、通讯设施、监理人员工地住房及合同《专用条款》约定的设施，对监理人自备的设施的经济补偿已包含在本合同的监理费中。</w:t>
      </w:r>
    </w:p>
    <w:p w14:paraId="1C1D6195">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第十六条  </w:t>
      </w:r>
      <w:r>
        <w:rPr>
          <w:rFonts w:hint="eastAsia" w:ascii="仿宋" w:hAnsi="仿宋" w:eastAsia="仿宋" w:cs="仿宋"/>
          <w:color w:val="auto"/>
          <w:sz w:val="24"/>
          <w:highlight w:val="none"/>
        </w:rPr>
        <w:t>根据情况需要，如果双方约定，由委托人免费向监理人提供其他人员，应在监理合同《专用条款》中予以明确。</w:t>
      </w:r>
    </w:p>
    <w:p w14:paraId="51F3E204">
      <w:pPr>
        <w:keepNext w:val="0"/>
        <w:keepLines w:val="0"/>
        <w:pageBreakBefore w:val="0"/>
        <w:tabs>
          <w:tab w:val="left" w:pos="154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4548300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监理人权利</w:t>
      </w:r>
    </w:p>
    <w:p w14:paraId="36EBDBFB">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第十七条  </w:t>
      </w:r>
      <w:r>
        <w:rPr>
          <w:rFonts w:hint="eastAsia" w:ascii="仿宋" w:hAnsi="仿宋" w:eastAsia="仿宋" w:cs="仿宋"/>
          <w:color w:val="auto"/>
          <w:sz w:val="24"/>
          <w:highlight w:val="none"/>
        </w:rPr>
        <w:t>监理人在委托人委托的工程范围内，享有以下权利：</w:t>
      </w:r>
    </w:p>
    <w:p w14:paraId="633674A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⑴ 选择工程总承包人的建议权。</w:t>
      </w:r>
    </w:p>
    <w:p w14:paraId="1BA42A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⑵ 选择工程分包人的认可权。</w:t>
      </w:r>
    </w:p>
    <w:p w14:paraId="721FB46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⑶ 对工程建设有关事项包括工程规模、设计标准、规划设计、生产工艺设计和使用功能要求，向委托人的建议权。</w:t>
      </w:r>
    </w:p>
    <w:p w14:paraId="460D82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⑷ 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14D75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⑸ 审批工程施工组织设计和技术方案，按照保质量、保工期和降低成本的原则，向承包人提出建议，并向委托人提出书面报告。</w:t>
      </w:r>
    </w:p>
    <w:p w14:paraId="6E31B36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⑹ 主持工程建设有关协作单位的组织协调，协调事项应当事先向委托人报告。</w:t>
      </w:r>
    </w:p>
    <w:p w14:paraId="279774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⑺ 征得委托人同意，监理人有权发布开工令、停工令、复工令，但应当事先向委托人报告。如在紧急情况下未能事先报告时，则应在相关指令发出时起计的24小时内向委托人作出书面报告。</w:t>
      </w:r>
    </w:p>
    <w:p w14:paraId="19C8F62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⑻ 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并应向承包人明确：在承包人得到委托人或监理机构复工令后才能复工。</w:t>
      </w:r>
    </w:p>
    <w:p w14:paraId="030CC1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⑼ 工程施工进度的检查、监督权，以及工程实际竣工日期提前或超过工程施工合同规定的竣工期限的签认权。</w:t>
      </w:r>
    </w:p>
    <w:p w14:paraId="0152C1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⑽ 在工程施工合同约定的工程价格范围内，工程款支付的审核和签认权，以及工程结算的复核确认权与否决权。未经总监理工程师签字确认，委托人不支付工程款。</w:t>
      </w:r>
    </w:p>
    <w:p w14:paraId="7CB1C8B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第十八条  </w:t>
      </w:r>
      <w:r>
        <w:rPr>
          <w:rFonts w:hint="eastAsia" w:ascii="仿宋" w:hAnsi="仿宋" w:eastAsia="仿宋" w:cs="仿宋"/>
          <w:color w:val="auto"/>
          <w:sz w:val="24"/>
          <w:highlight w:val="none"/>
        </w:rPr>
        <w:t>监理人在委托人授权下，可对任何承包人合同规定的义务提出变更。如果由此影响了工作费用或质量、或进度，则这种变更须经委托人事先批准。在紧急情况下未能事先报委托人批准时，监理人在作出变更时起计的1小时内通知委托人。在监理过程中如发现工程承包人人员工作不力，监理机构可要求承包人调换有关人员。</w:t>
      </w:r>
    </w:p>
    <w:p w14:paraId="0304FB0B">
      <w:pPr>
        <w:keepNext w:val="0"/>
        <w:keepLines w:val="0"/>
        <w:pageBreakBefore w:val="0"/>
        <w:tabs>
          <w:tab w:val="left" w:pos="154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第十九条  </w:t>
      </w:r>
      <w:r>
        <w:rPr>
          <w:rFonts w:hint="eastAsia" w:ascii="仿宋" w:hAnsi="仿宋" w:eastAsia="仿宋" w:cs="仿宋"/>
          <w:color w:val="auto"/>
          <w:sz w:val="24"/>
          <w:highlight w:val="none"/>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14:paraId="1987D97D">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7A5842E4">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委托人权利</w:t>
      </w:r>
    </w:p>
    <w:p w14:paraId="7CFAA264">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第二十条   </w:t>
      </w:r>
      <w:r>
        <w:rPr>
          <w:rFonts w:hint="eastAsia" w:ascii="仿宋" w:hAnsi="仿宋" w:eastAsia="仿宋" w:cs="仿宋"/>
          <w:color w:val="auto"/>
          <w:sz w:val="24"/>
          <w:highlight w:val="none"/>
        </w:rPr>
        <w:t>委托人有选定工程总承包人，以及与其订立合同的权利。</w:t>
      </w:r>
    </w:p>
    <w:p w14:paraId="67B70404">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第二十一条  </w:t>
      </w:r>
      <w:r>
        <w:rPr>
          <w:rFonts w:hint="eastAsia" w:ascii="仿宋" w:hAnsi="仿宋" w:eastAsia="仿宋" w:cs="仿宋"/>
          <w:color w:val="auto"/>
          <w:sz w:val="24"/>
          <w:highlight w:val="none"/>
        </w:rPr>
        <w:t>委托人有对工程规模、设计标准、规划设计、生产工艺设计和设计使用功能要求的认定权，以及对工程设计变更的审批权。</w:t>
      </w:r>
    </w:p>
    <w:p w14:paraId="01F6B41E">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第二十二条  </w:t>
      </w:r>
      <w:r>
        <w:rPr>
          <w:rFonts w:hint="eastAsia" w:ascii="仿宋" w:hAnsi="仿宋" w:eastAsia="仿宋" w:cs="仿宋"/>
          <w:color w:val="auto"/>
          <w:sz w:val="24"/>
          <w:highlight w:val="none"/>
        </w:rPr>
        <w:t>监理人调换总监理工程师须事先经委托人同意。</w:t>
      </w:r>
    </w:p>
    <w:p w14:paraId="7C1E8CCD">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第二十三条 </w:t>
      </w:r>
      <w:r>
        <w:rPr>
          <w:rFonts w:hint="eastAsia" w:ascii="仿宋" w:hAnsi="仿宋" w:eastAsia="仿宋" w:cs="仿宋"/>
          <w:color w:val="auto"/>
          <w:sz w:val="24"/>
          <w:highlight w:val="none"/>
        </w:rPr>
        <w:t>委托人有权要求监理人提交监理工作月报及监理业务范围内的专项报告。</w:t>
      </w:r>
    </w:p>
    <w:p w14:paraId="10963B16">
      <w:pPr>
        <w:keepNext w:val="0"/>
        <w:keepLines w:val="0"/>
        <w:pageBreakBefore w:val="0"/>
        <w:tabs>
          <w:tab w:val="left" w:pos="288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第二十四条</w:t>
      </w:r>
      <w:r>
        <w:rPr>
          <w:rFonts w:hint="eastAsia" w:ascii="仿宋" w:hAnsi="仿宋" w:eastAsia="仿宋" w:cs="仿宋"/>
          <w:color w:val="auto"/>
          <w:sz w:val="24"/>
          <w:highlight w:val="none"/>
        </w:rPr>
        <w:t xml:space="preserve">  当委托人发现监理人员不按监理合同履行监理职责，或与承包人串通给委托人或工程造成损失的，或未经委托人同意擅自调换总监理工程师的，委托人有权要求监理人更换监理人员，或有权解除合同并要求监理人承担相应的赔偿责任或连带赔偿责任。</w:t>
      </w:r>
    </w:p>
    <w:p w14:paraId="071D62C0">
      <w:pPr>
        <w:keepNext w:val="0"/>
        <w:keepLines w:val="0"/>
        <w:pageBreakBefore w:val="0"/>
        <w:tabs>
          <w:tab w:val="left" w:pos="288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监理人责任</w:t>
      </w:r>
    </w:p>
    <w:p w14:paraId="0510BFCE">
      <w:pPr>
        <w:pStyle w:val="8"/>
        <w:keepNext w:val="0"/>
        <w:keepLines w:val="0"/>
        <w:pageBreakBefore w:val="0"/>
        <w:kinsoku/>
        <w:wordWrap/>
        <w:overflowPunct/>
        <w:topLinePunct w:val="0"/>
        <w:autoSpaceDE/>
        <w:autoSpaceDN/>
        <w:bidi w:val="0"/>
        <w:adjustRightInd w:val="0"/>
        <w:snapToGrid w:val="0"/>
        <w:spacing w:after="0"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第二十五条</w:t>
      </w:r>
      <w:r>
        <w:rPr>
          <w:rFonts w:hint="eastAsia" w:ascii="仿宋" w:hAnsi="仿宋" w:eastAsia="仿宋" w:cs="仿宋"/>
          <w:color w:val="auto"/>
          <w:sz w:val="24"/>
          <w:highlight w:val="none"/>
        </w:rPr>
        <w:t xml:space="preserve">  监理人的责任期即委托监理合同有效期。在监理过程中，如须延长本合同期间的，应另行协商确定。</w:t>
      </w:r>
    </w:p>
    <w:p w14:paraId="3CB4C0EC">
      <w:pPr>
        <w:keepNext w:val="0"/>
        <w:keepLines w:val="0"/>
        <w:pageBreakBefore w:val="0"/>
        <w:tabs>
          <w:tab w:val="left" w:pos="288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第二十六条  </w:t>
      </w:r>
      <w:r>
        <w:rPr>
          <w:rFonts w:hint="eastAsia" w:ascii="仿宋" w:hAnsi="仿宋" w:eastAsia="仿宋" w:cs="仿宋"/>
          <w:color w:val="auto"/>
          <w:sz w:val="24"/>
          <w:highlight w:val="none"/>
        </w:rPr>
        <w:t>监理人在责任期内，应当履行约定的义务。如果因监理人的过失或违约而造成了委托人的经济损失，应当向委托人赔偿。</w:t>
      </w:r>
    </w:p>
    <w:p w14:paraId="6182965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第二十七条  </w:t>
      </w:r>
      <w:r>
        <w:rPr>
          <w:rFonts w:hint="eastAsia" w:ascii="仿宋" w:hAnsi="仿宋" w:eastAsia="仿宋" w:cs="仿宋"/>
          <w:color w:val="auto"/>
          <w:sz w:val="24"/>
          <w:highlight w:val="none"/>
        </w:rPr>
        <w:t>因监理人过失对承包人的违约行为不能及时发现及纠正，致承包人违反合同规定的质量要求和完工（交图、交货）时限的，承担连带赔偿责任。因不可抗力导致委托监理合同不能全部或部份履行，监理人不承担责任。但对违反本合同《标准条款》第五条规定引起的与之有关的事宜，向委托人承担赔偿责任。</w:t>
      </w:r>
    </w:p>
    <w:p w14:paraId="667060FC">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第二十八条  </w:t>
      </w:r>
      <w:r>
        <w:rPr>
          <w:rFonts w:hint="eastAsia" w:ascii="仿宋" w:hAnsi="仿宋" w:eastAsia="仿宋" w:cs="仿宋"/>
          <w:color w:val="auto"/>
          <w:sz w:val="24"/>
          <w:highlight w:val="none"/>
        </w:rPr>
        <w:t>监理人向委托人提出赔偿要求不能成立时，监理人应当补偿由于该索赔所导致委托人的各种费用支出。</w:t>
      </w:r>
    </w:p>
    <w:p w14:paraId="599494EA">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516FA663">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委托人责任</w:t>
      </w:r>
    </w:p>
    <w:p w14:paraId="0BBB28B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第二十九条  </w:t>
      </w:r>
      <w:r>
        <w:rPr>
          <w:rFonts w:hint="eastAsia" w:ascii="仿宋" w:hAnsi="仿宋" w:eastAsia="仿宋" w:cs="仿宋"/>
          <w:color w:val="auto"/>
          <w:sz w:val="24"/>
          <w:highlight w:val="none"/>
        </w:rPr>
        <w:t>委托人应当履行委托监理合同约定的义务，如有违反则应当承担违约责任，赔偿给监理人造成的经济损失。</w:t>
      </w:r>
    </w:p>
    <w:p w14:paraId="78BE82BB">
      <w:pPr>
        <w:keepNext w:val="0"/>
        <w:keepLines w:val="0"/>
        <w:pageBreakBefore w:val="0"/>
        <w:tabs>
          <w:tab w:val="left" w:pos="2760"/>
        </w:tabs>
        <w:kinsoku/>
        <w:wordWrap/>
        <w:overflowPunct/>
        <w:topLinePunct w:val="0"/>
        <w:autoSpaceDE/>
        <w:autoSpaceDN/>
        <w:bidi w:val="0"/>
        <w:adjustRightInd w:val="0"/>
        <w:snapToGrid w:val="0"/>
        <w:spacing w:line="360" w:lineRule="auto"/>
        <w:ind w:left="240" w:hanging="240" w:hanging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监理人处理委托业务时，因非监理人原因的事由受到损失的，可以向加害人要求赔偿损失。</w:t>
      </w:r>
    </w:p>
    <w:p w14:paraId="036B6F5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第三十条  </w:t>
      </w:r>
      <w:r>
        <w:rPr>
          <w:rFonts w:hint="eastAsia" w:ascii="仿宋" w:hAnsi="仿宋" w:eastAsia="仿宋" w:cs="仿宋"/>
          <w:color w:val="auto"/>
          <w:sz w:val="24"/>
          <w:highlight w:val="none"/>
        </w:rPr>
        <w:t>委托人如果向监理人提出赔偿的要求不能成立，则应当补偿由该索赔所引起的监理人的各种费用支出。</w:t>
      </w:r>
    </w:p>
    <w:p w14:paraId="30E07DBC">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p>
    <w:p w14:paraId="3A5969AA">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合同生效、变更与终止</w:t>
      </w:r>
    </w:p>
    <w:p w14:paraId="22715E5D">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第三十一条  </w:t>
      </w:r>
      <w:r>
        <w:rPr>
          <w:rFonts w:hint="eastAsia" w:ascii="仿宋" w:hAnsi="仿宋" w:eastAsia="仿宋" w:cs="仿宋"/>
          <w:color w:val="auto"/>
          <w:sz w:val="24"/>
          <w:highlight w:val="none"/>
        </w:rPr>
        <w:t>由于委托人的原因使监理工作受到阻碍或延误，以致可能发生附加工作或延长合同期间的，则监理人应当将此情况及可能产生的影响于前述事件发生时起计的24小时内通知委托人。完成监理业务的时间可相应延长，并可得到附加工作的报酬。</w:t>
      </w:r>
    </w:p>
    <w:p w14:paraId="342D28BC">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若由承包人引起本条前述事件发生的，监理人可直接或通过委托人向承包人索赔，完成监理业务的时间可相应延长。</w:t>
      </w:r>
    </w:p>
    <w:p w14:paraId="3D492C6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第三十二条  </w:t>
      </w:r>
      <w:r>
        <w:rPr>
          <w:rFonts w:hint="eastAsia" w:ascii="仿宋" w:hAnsi="仿宋" w:eastAsia="仿宋" w:cs="仿宋"/>
          <w:color w:val="auto"/>
          <w:sz w:val="24"/>
          <w:highlight w:val="none"/>
        </w:rPr>
        <w:t>在本合同签订后，情况发生变化，因委托人的上级决定或行政指令导致本合同项下监理业务所指向的工程（或工作）停建或缓建的，委托人应立即通知监理人，并按如下方式处理：（一）停建的，（1）工程（或工作）未开始施工的，本合同解除，委托人无须支付任何费用。（2）工程（或工作）已开始施工的，按已完工程进度的为比例结算监理费，并解除合同。（二）缓建的该监理业务应暂停。当恢复执行监理业务时，应当增加不超过10日的时间用于恢复执行监理业务，并可按双方约定支付相应的补偿费用。</w:t>
      </w:r>
    </w:p>
    <w:p w14:paraId="1FA4AA9C">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除依上述约定方式处理外，委托人不再承担其他的赔偿或支付责任。</w:t>
      </w:r>
    </w:p>
    <w:p w14:paraId="02F8FDF1">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第三十三条  </w:t>
      </w:r>
      <w:r>
        <w:rPr>
          <w:rFonts w:hint="eastAsia" w:ascii="仿宋" w:hAnsi="仿宋" w:eastAsia="仿宋" w:cs="仿宋"/>
          <w:color w:val="auto"/>
          <w:sz w:val="24"/>
          <w:highlight w:val="none"/>
        </w:rPr>
        <w:t>监理人向委托人办理完竣工（或工作）验收或工程移交手续，承包人和委托人已签订工程保修责任书，本合同双方当事人于本合同项下的义务履行完毕（保密义务除外），且本合同的期间届满，本合同的期间届满即终止。保修期间的责任，按双方的约定执行。</w:t>
      </w:r>
    </w:p>
    <w:p w14:paraId="2A1B57B9">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第三十四条  </w:t>
      </w:r>
      <w:r>
        <w:rPr>
          <w:rFonts w:hint="eastAsia" w:ascii="仿宋" w:hAnsi="仿宋" w:eastAsia="仿宋" w:cs="仿宋"/>
          <w:color w:val="auto"/>
          <w:sz w:val="24"/>
          <w:highlight w:val="none"/>
        </w:rPr>
        <w:t>当事人一方要求变更或解除合同时，应当在3日前通知对方，因解除合同使一方遭受损失的，除依法可以免除责任的外，应由责任方负责赔偿。本合同《标准条款》第三十二条约定的情形不受本条约束。</w:t>
      </w:r>
    </w:p>
    <w:p w14:paraId="74C65A1A">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sq-AL"/>
        </w:rPr>
        <w:t>变更或解除合同的通知或协议必须采取书面形式</w:t>
      </w:r>
      <w:r>
        <w:rPr>
          <w:rFonts w:hint="eastAsia" w:ascii="仿宋" w:hAnsi="仿宋" w:eastAsia="仿宋" w:cs="仿宋"/>
          <w:color w:val="auto"/>
          <w:sz w:val="24"/>
          <w:highlight w:val="none"/>
        </w:rPr>
        <w:t>，协议未达成之前，原合同仍然有效。</w:t>
      </w:r>
    </w:p>
    <w:p w14:paraId="205B6E90">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第三十五条  </w:t>
      </w:r>
      <w:r>
        <w:rPr>
          <w:rFonts w:hint="eastAsia" w:ascii="仿宋" w:hAnsi="仿宋" w:eastAsia="仿宋" w:cs="仿宋"/>
          <w:color w:val="auto"/>
          <w:sz w:val="24"/>
          <w:highlight w:val="none"/>
        </w:rPr>
        <w:t>监理人在应当获得监理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之日起30日内仍未收到支付单据，而委托人又未对监理人提出任何书面解释时，或根据第三十一条及第三十二条已暂停执行监理业务时限超过六个月的，监理人可向委托人发出解除合同的通知，发出通知后14日内仍未得到委托人答复，可进一步发出解除合同的通知，如果第二份通知发出后42日内仍未得到委托人答复，可解除合同或自行暂停或继续暂停执行全部或部分监理业务。委托人承担违约责任。</w:t>
      </w:r>
    </w:p>
    <w:p w14:paraId="39E1502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第三十六条  </w:t>
      </w:r>
      <w:r>
        <w:rPr>
          <w:rFonts w:hint="eastAsia" w:ascii="仿宋" w:hAnsi="仿宋" w:eastAsia="仿宋" w:cs="仿宋"/>
          <w:color w:val="auto"/>
          <w:sz w:val="24"/>
          <w:highlight w:val="none"/>
        </w:rPr>
        <w:t>监理人由于委托人的原因（非本合同《标准条款》第三十二条约定的情形）而暂停或终止执行监理业务，其善后工作以及恢复执行监理业务的工作，应当视为额外工作，有权得到额外的报酬。</w:t>
      </w:r>
    </w:p>
    <w:p w14:paraId="0EE5FB83">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第三十七条  </w:t>
      </w:r>
      <w:r>
        <w:rPr>
          <w:rFonts w:hint="eastAsia" w:ascii="仿宋" w:hAnsi="仿宋" w:eastAsia="仿宋" w:cs="仿宋"/>
          <w:color w:val="auto"/>
          <w:sz w:val="24"/>
          <w:highlight w:val="none"/>
        </w:rPr>
        <w:t>当委托人认为监理人无正当理由而又未履行监理义务</w:t>
      </w:r>
      <w:r>
        <w:rPr>
          <w:rFonts w:hint="eastAsia" w:ascii="仿宋" w:hAnsi="仿宋" w:eastAsia="仿宋" w:cs="仿宋"/>
          <w:color w:val="auto"/>
          <w:sz w:val="24"/>
          <w:highlight w:val="none"/>
          <w:lang w:val="en-US" w:eastAsia="zh-CN"/>
        </w:rPr>
        <w:t>或不按合同约定履行监理义务</w:t>
      </w:r>
      <w:r>
        <w:rPr>
          <w:rFonts w:hint="eastAsia" w:ascii="仿宋" w:hAnsi="仿宋" w:eastAsia="仿宋" w:cs="仿宋"/>
          <w:color w:val="auto"/>
          <w:sz w:val="24"/>
          <w:highlight w:val="none"/>
        </w:rPr>
        <w:t>时，可向监理人发出指明其未履行义务</w:t>
      </w:r>
      <w:r>
        <w:rPr>
          <w:rFonts w:hint="eastAsia" w:ascii="仿宋" w:hAnsi="仿宋" w:eastAsia="仿宋" w:cs="仿宋"/>
          <w:color w:val="auto"/>
          <w:sz w:val="24"/>
          <w:highlight w:val="none"/>
          <w:lang w:val="en-US" w:eastAsia="zh-CN"/>
        </w:rPr>
        <w:t>或不按合同约定履行义务</w:t>
      </w:r>
      <w:r>
        <w:rPr>
          <w:rFonts w:hint="eastAsia" w:ascii="仿宋" w:hAnsi="仿宋" w:eastAsia="仿宋" w:cs="仿宋"/>
          <w:color w:val="auto"/>
          <w:sz w:val="24"/>
          <w:highlight w:val="none"/>
        </w:rPr>
        <w:t>的通知。若委托人发出通知后3日内没有收到书面答复，可在第一个通知发出后次日起计的7日内发出解除委托监理合同的通知，合同即行终止。监理人承担违约责任。</w:t>
      </w:r>
    </w:p>
    <w:p w14:paraId="54A775B3">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第三十八条  </w:t>
      </w:r>
      <w:r>
        <w:rPr>
          <w:rFonts w:hint="eastAsia" w:ascii="仿宋" w:hAnsi="仿宋" w:eastAsia="仿宋" w:cs="仿宋"/>
          <w:color w:val="auto"/>
          <w:sz w:val="24"/>
          <w:highlight w:val="none"/>
        </w:rPr>
        <w:t>合同协议的终止并不影响各方应继续享有的权利和应当继续承担的责任。</w:t>
      </w:r>
    </w:p>
    <w:p w14:paraId="4DE24370">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p>
    <w:p w14:paraId="61E72203">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监理</w:t>
      </w:r>
      <w:r>
        <w:rPr>
          <w:rFonts w:hint="eastAsia" w:ascii="仿宋" w:hAnsi="仿宋" w:eastAsia="仿宋" w:cs="仿宋"/>
          <w:b/>
          <w:bCs/>
          <w:color w:val="auto"/>
          <w:sz w:val="24"/>
          <w:highlight w:val="none"/>
          <w:lang w:val="en-US" w:eastAsia="zh-CN"/>
        </w:rPr>
        <w:t>费用</w:t>
      </w:r>
    </w:p>
    <w:p w14:paraId="540B7C1C">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第三十九条  </w:t>
      </w:r>
      <w:r>
        <w:rPr>
          <w:rFonts w:hint="eastAsia" w:ascii="仿宋" w:hAnsi="仿宋" w:eastAsia="仿宋" w:cs="仿宋"/>
          <w:color w:val="auto"/>
          <w:sz w:val="24"/>
          <w:highlight w:val="none"/>
        </w:rPr>
        <w:t>正常的监理工作、附加工作和额外工作的</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，按照监理合同《专用条款》中约定的方法计算，并按约定的时间和数额支付。</w:t>
      </w:r>
    </w:p>
    <w:p w14:paraId="5C99E729">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第四十条  </w:t>
      </w:r>
      <w:r>
        <w:rPr>
          <w:rFonts w:hint="eastAsia" w:ascii="仿宋" w:hAnsi="仿宋" w:eastAsia="仿宋" w:cs="仿宋"/>
          <w:color w:val="auto"/>
          <w:sz w:val="24"/>
          <w:highlight w:val="none"/>
        </w:rPr>
        <w:t>如果委托人在规定的支付期限内未支付监理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，自规定之日起，还应按中国人民银行同期同类贷款利率向监理人支付违约金。违约金从规定支付期限最后一日</w:t>
      </w:r>
      <w:r>
        <w:rPr>
          <w:rFonts w:hint="eastAsia" w:ascii="仿宋" w:hAnsi="仿宋" w:eastAsia="仿宋" w:cs="仿宋"/>
          <w:color w:val="auto"/>
          <w:sz w:val="24"/>
          <w:highlight w:val="none"/>
          <w:lang w:val="en-US" w:eastAsia="zh-CN"/>
        </w:rPr>
        <w:t>次日</w:t>
      </w:r>
      <w:r>
        <w:rPr>
          <w:rFonts w:hint="eastAsia" w:ascii="仿宋" w:hAnsi="仿宋" w:eastAsia="仿宋" w:cs="仿宋"/>
          <w:color w:val="auto"/>
          <w:sz w:val="24"/>
          <w:highlight w:val="none"/>
        </w:rPr>
        <w:t>起计算至实际清偿之日止。</w:t>
      </w:r>
    </w:p>
    <w:p w14:paraId="61DA885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第四十一条  </w:t>
      </w:r>
      <w:r>
        <w:rPr>
          <w:rFonts w:hint="eastAsia" w:ascii="仿宋" w:hAnsi="仿宋" w:eastAsia="仿宋" w:cs="仿宋"/>
          <w:color w:val="auto"/>
          <w:sz w:val="24"/>
          <w:highlight w:val="none"/>
        </w:rPr>
        <w:t>支付监理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所采取的货币币种、汇率由合同《专用条款》约定。</w:t>
      </w:r>
    </w:p>
    <w:p w14:paraId="3D1D40E0">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第四十二条  </w:t>
      </w:r>
      <w:r>
        <w:rPr>
          <w:rFonts w:hint="eastAsia" w:ascii="仿宋" w:hAnsi="仿宋" w:eastAsia="仿宋" w:cs="仿宋"/>
          <w:color w:val="auto"/>
          <w:sz w:val="24"/>
          <w:highlight w:val="none"/>
        </w:rPr>
        <w:t>如果委托人对监理人提交的支付通知中</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或部分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项目提出异议，应当在收到支付通知书的24小时内向监理人发出表示异议的通知，但委托人不得拖延其他无异议</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项目的支付。</w:t>
      </w:r>
    </w:p>
    <w:p w14:paraId="1164A66C">
      <w:pPr>
        <w:keepNext w:val="0"/>
        <w:keepLines w:val="0"/>
        <w:pageBreakBefore w:val="0"/>
        <w:tabs>
          <w:tab w:val="left" w:pos="2760"/>
        </w:tabs>
        <w:kinsoku/>
        <w:wordWrap/>
        <w:overflowPunct/>
        <w:topLinePunct w:val="0"/>
        <w:autoSpaceDE/>
        <w:autoSpaceDN/>
        <w:bidi w:val="0"/>
        <w:adjustRightInd w:val="0"/>
        <w:snapToGrid w:val="0"/>
        <w:spacing w:line="360" w:lineRule="auto"/>
        <w:ind w:firstLine="612"/>
        <w:jc w:val="center"/>
        <w:textAlignment w:val="auto"/>
        <w:rPr>
          <w:rFonts w:hint="eastAsia" w:ascii="仿宋" w:hAnsi="仿宋" w:eastAsia="仿宋" w:cs="仿宋"/>
          <w:b/>
          <w:color w:val="auto"/>
          <w:sz w:val="24"/>
          <w:highlight w:val="none"/>
        </w:rPr>
      </w:pPr>
    </w:p>
    <w:p w14:paraId="0D7ACC0B">
      <w:pPr>
        <w:keepNext w:val="0"/>
        <w:keepLines w:val="0"/>
        <w:pageBreakBefore w:val="0"/>
        <w:tabs>
          <w:tab w:val="left" w:pos="2760"/>
        </w:tabs>
        <w:kinsoku/>
        <w:wordWrap/>
        <w:overflowPunct/>
        <w:topLinePunct w:val="0"/>
        <w:autoSpaceDE/>
        <w:autoSpaceDN/>
        <w:bidi w:val="0"/>
        <w:adjustRightInd w:val="0"/>
        <w:snapToGrid w:val="0"/>
        <w:spacing w:line="360" w:lineRule="auto"/>
        <w:ind w:firstLine="612"/>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      他</w:t>
      </w:r>
    </w:p>
    <w:p w14:paraId="4D39C537">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第四十三条  </w:t>
      </w:r>
      <w:r>
        <w:rPr>
          <w:rFonts w:hint="eastAsia" w:ascii="仿宋" w:hAnsi="仿宋" w:eastAsia="仿宋" w:cs="仿宋"/>
          <w:color w:val="auto"/>
          <w:sz w:val="24"/>
          <w:highlight w:val="none"/>
        </w:rPr>
        <w:t>委托的建设工程监理所必要的监理人员出外考察、材料、设备复试，其费用支出经委托人同意的，在预算范围内向委托人实报实销。</w:t>
      </w:r>
    </w:p>
    <w:p w14:paraId="0E63F912">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第四十四条  </w:t>
      </w:r>
      <w:r>
        <w:rPr>
          <w:rFonts w:hint="eastAsia" w:ascii="仿宋" w:hAnsi="仿宋" w:eastAsia="仿宋" w:cs="仿宋"/>
          <w:color w:val="auto"/>
          <w:sz w:val="24"/>
          <w:highlight w:val="none"/>
        </w:rPr>
        <w:t>在监理业务范围内，如需聘用专家咨询或协助，由监理人聘用的，其费用由监理人承担；由委托人聘用的，其费用由委托人承担。</w:t>
      </w:r>
    </w:p>
    <w:p w14:paraId="0AFCC774">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第四十五条  </w:t>
      </w:r>
      <w:r>
        <w:rPr>
          <w:rFonts w:hint="eastAsia" w:ascii="仿宋" w:hAnsi="仿宋" w:eastAsia="仿宋" w:cs="仿宋"/>
          <w:color w:val="auto"/>
          <w:sz w:val="24"/>
          <w:highlight w:val="none"/>
        </w:rPr>
        <w:t>监理人在监理工作过程中提出的合理化建议，使委托人得到了经济效益，委托人应按《专用条款》中的约定给予经济奖励。</w:t>
      </w:r>
    </w:p>
    <w:p w14:paraId="7F688C95">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第四十六条  </w:t>
      </w:r>
      <w:r>
        <w:rPr>
          <w:rFonts w:hint="eastAsia" w:ascii="仿宋" w:hAnsi="仿宋" w:eastAsia="仿宋" w:cs="仿宋"/>
          <w:color w:val="auto"/>
          <w:sz w:val="24"/>
          <w:highlight w:val="none"/>
        </w:rPr>
        <w:t>监理人驻地监理机构及其职员不得接受监理工程项目施工承包人的任何报酬或者经济利益。</w:t>
      </w:r>
    </w:p>
    <w:p w14:paraId="0F4613BB">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监理人不得参与可能与合同规定的与委托人的利益相冲突的任何活动。</w:t>
      </w:r>
    </w:p>
    <w:p w14:paraId="2A8E047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第四十七条  </w:t>
      </w:r>
      <w:r>
        <w:rPr>
          <w:rFonts w:hint="eastAsia" w:ascii="仿宋" w:hAnsi="仿宋" w:eastAsia="仿宋" w:cs="仿宋"/>
          <w:color w:val="auto"/>
          <w:sz w:val="24"/>
          <w:highlight w:val="none"/>
        </w:rPr>
        <w:t>监理人在监理过程中，不得泄露委托人申明的秘密，监理人亦不得泄露设计人、承包人等提供并申明的秘密。不得将委托人提供的用于本合同履行的任何资料外泄或交予他人。本条约定不因本合同的无效而失效或免除。</w:t>
      </w:r>
    </w:p>
    <w:p w14:paraId="08754A1F">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第四十八条  </w:t>
      </w:r>
      <w:r>
        <w:rPr>
          <w:rFonts w:hint="eastAsia" w:ascii="仿宋" w:hAnsi="仿宋" w:eastAsia="仿宋" w:cs="仿宋"/>
          <w:color w:val="auto"/>
          <w:sz w:val="24"/>
          <w:highlight w:val="none"/>
        </w:rPr>
        <w:t>监理人对于由其编制的所有文件拥有版权，委托人仅有为本工程使用或复制此类文件的权利。</w:t>
      </w:r>
    </w:p>
    <w:p w14:paraId="7D5F86D4">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p>
    <w:p w14:paraId="792593DC">
      <w:pPr>
        <w:keepNext w:val="0"/>
        <w:keepLines w:val="0"/>
        <w:pageBreakBefore w:val="0"/>
        <w:tabs>
          <w:tab w:val="left" w:pos="2760"/>
        </w:tabs>
        <w:kinsoku/>
        <w:wordWrap/>
        <w:overflowPunct/>
        <w:topLinePunct w:val="0"/>
        <w:autoSpaceDE/>
        <w:autoSpaceDN/>
        <w:bidi w:val="0"/>
        <w:adjustRightInd w:val="0"/>
        <w:snapToGrid w:val="0"/>
        <w:spacing w:line="360" w:lineRule="auto"/>
        <w:ind w:firstLine="615"/>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争议的解决</w:t>
      </w:r>
    </w:p>
    <w:p w14:paraId="3BC00868">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 xml:space="preserve">第四十九条  </w:t>
      </w:r>
      <w:r>
        <w:rPr>
          <w:rFonts w:hint="eastAsia" w:ascii="仿宋" w:hAnsi="仿宋" w:eastAsia="仿宋" w:cs="仿宋"/>
          <w:bCs/>
          <w:color w:val="auto"/>
          <w:sz w:val="24"/>
          <w:highlight w:val="none"/>
        </w:rPr>
        <w:t>因违反或终止合同而引起的对对方损失或损害的赔偿，双方应当协商解决，如未能达成一致，可提交主管部门协调，如仍未能达成一致时，根据双方约定向广州市番禺区人民法院起诉。违约方应承担守约方因此所产生的包括但不限于诉讼费用、律师费用、公证费用、执行费用、保全费用等费用。</w:t>
      </w:r>
    </w:p>
    <w:p w14:paraId="76EBB98B">
      <w:pPr>
        <w:keepNext w:val="0"/>
        <w:keepLines w:val="0"/>
        <w:pageBreakBefore w:val="0"/>
        <w:tabs>
          <w:tab w:val="left" w:pos="2760"/>
        </w:tabs>
        <w:kinsoku/>
        <w:wordWrap/>
        <w:overflowPunct/>
        <w:topLinePunct w:val="0"/>
        <w:autoSpaceDE/>
        <w:autoSpaceDN/>
        <w:bidi w:val="0"/>
        <w:adjustRightInd w:val="0"/>
        <w:snapToGrid w:val="0"/>
        <w:spacing w:line="360" w:lineRule="auto"/>
        <w:ind w:firstLine="2650" w:firstLineChars="1100"/>
        <w:textAlignment w:val="auto"/>
        <w:rPr>
          <w:rFonts w:hint="eastAsia" w:ascii="仿宋" w:hAnsi="仿宋" w:eastAsia="仿宋" w:cs="仿宋"/>
          <w:b/>
          <w:bCs/>
          <w:color w:val="auto"/>
          <w:sz w:val="24"/>
          <w:highlight w:val="none"/>
        </w:rPr>
      </w:pPr>
    </w:p>
    <w:p w14:paraId="7F46B04B">
      <w:pPr>
        <w:keepNext w:val="0"/>
        <w:keepLines w:val="0"/>
        <w:pageBreakBefore w:val="0"/>
        <w:tabs>
          <w:tab w:val="left" w:pos="2760"/>
        </w:tabs>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rPr>
        <w:br w:type="page"/>
      </w:r>
      <w:bookmarkStart w:id="4" w:name="_Toc237755562"/>
      <w:r>
        <w:rPr>
          <w:rFonts w:hint="eastAsia" w:ascii="仿宋" w:hAnsi="仿宋" w:eastAsia="仿宋" w:cs="仿宋"/>
          <w:b/>
          <w:bCs/>
          <w:color w:val="auto"/>
          <w:sz w:val="28"/>
          <w:szCs w:val="28"/>
          <w:highlight w:val="none"/>
        </w:rPr>
        <w:t xml:space="preserve">第三部分 </w:t>
      </w:r>
      <w:bookmarkEnd w:id="4"/>
      <w:r>
        <w:rPr>
          <w:rFonts w:hint="eastAsia" w:ascii="仿宋" w:hAnsi="仿宋" w:eastAsia="仿宋" w:cs="仿宋"/>
          <w:b/>
          <w:bCs/>
          <w:color w:val="auto"/>
          <w:sz w:val="28"/>
          <w:szCs w:val="28"/>
          <w:highlight w:val="none"/>
        </w:rPr>
        <w:t>专用条款</w:t>
      </w:r>
    </w:p>
    <w:p w14:paraId="2063FB4D">
      <w:pPr>
        <w:keepNext w:val="0"/>
        <w:keepLines w:val="0"/>
        <w:pageBreakBefore w:val="0"/>
        <w:tabs>
          <w:tab w:val="left" w:pos="2760"/>
        </w:tabs>
        <w:kinsoku/>
        <w:wordWrap/>
        <w:overflowPunct/>
        <w:topLinePunct w:val="0"/>
        <w:autoSpaceDE/>
        <w:autoSpaceDN/>
        <w:bidi w:val="0"/>
        <w:adjustRightInd w:val="0"/>
        <w:snapToGrid w:val="0"/>
        <w:spacing w:line="360" w:lineRule="auto"/>
        <w:ind w:firstLine="2650" w:firstLineChars="1100"/>
        <w:textAlignment w:val="auto"/>
        <w:rPr>
          <w:rFonts w:hint="eastAsia" w:ascii="仿宋" w:hAnsi="仿宋" w:eastAsia="仿宋" w:cs="仿宋"/>
          <w:b/>
          <w:bCs/>
          <w:color w:val="auto"/>
          <w:sz w:val="24"/>
          <w:highlight w:val="none"/>
        </w:rPr>
      </w:pPr>
    </w:p>
    <w:p w14:paraId="28BBD5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专用条款对本合同标准条款中有需要进行定义、解释或具体约定的条款内容进行补充、删除或修改，其条款序号与标准条款中的一一对应，并且专用条款较标准条款具优先解释权。专用条款中缺号的条款表示按标准条款中对应的条款执行。</w:t>
      </w:r>
    </w:p>
    <w:p w14:paraId="632A79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039C811F">
      <w:pPr>
        <w:keepNext w:val="0"/>
        <w:keepLines w:val="0"/>
        <w:pageBreakBefore w:val="0"/>
        <w:kinsoku/>
        <w:wordWrap/>
        <w:overflowPunct/>
        <w:topLinePunct w:val="0"/>
        <w:autoSpaceDE/>
        <w:autoSpaceDN/>
        <w:bidi w:val="0"/>
        <w:adjustRightInd w:val="0"/>
        <w:snapToGrid w:val="0"/>
        <w:spacing w:line="360" w:lineRule="auto"/>
        <w:ind w:left="44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第二条</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本合同适用的法律及监理依据：</w:t>
      </w:r>
    </w:p>
    <w:p w14:paraId="5722BB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一、适用的法律：《中华人民共和国建筑法》、《中华人民共和国民法典》、《建设工程质量管理条例》、《建设工程安全生产管理条例》、《广东省建设工程监理条例》及现行建设工程监理管理规定。</w:t>
      </w:r>
    </w:p>
    <w:p w14:paraId="0B41506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二、监理依据：</w:t>
      </w:r>
    </w:p>
    <w:p w14:paraId="5769D23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1、《建设工程监理规范》、《房屋建筑工程施工旁站监理管理办法（试行）》、现行设计规范（规程）、市政工程质量检验评定标准、施工和验收规范；</w:t>
      </w:r>
    </w:p>
    <w:p w14:paraId="2BCDE8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2、本委托监理合同、监理规划、本工程承包合同、本工程的招标文件和投标文件；</w:t>
      </w:r>
    </w:p>
    <w:p w14:paraId="69A3309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3、经委托人审查认可的本工程正式的工程地质勘察报告、施工图纸、说明以及会审记录、有关工程洽商的技术、施工洽商记录、设计修改和变更文件；</w:t>
      </w:r>
    </w:p>
    <w:p w14:paraId="467BC20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4、广州地区现行的有关工程预结算定额和文件。   </w:t>
      </w:r>
    </w:p>
    <w:p w14:paraId="0EB8347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highlight w:val="none"/>
        </w:rPr>
      </w:pPr>
    </w:p>
    <w:p w14:paraId="3BFB0941">
      <w:pPr>
        <w:keepNext w:val="0"/>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第四条   监理范围和监理工作内容：</w:t>
      </w:r>
    </w:p>
    <w:p w14:paraId="4011A6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一、监理范围：本合同工程施工图设计中包含的全部施工阶段，具体包括：</w:t>
      </w:r>
    </w:p>
    <w:p w14:paraId="5B278A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 施工准备阶段、施工阶段、竣工结算期、质量保修期全过程，对包括工程质量、进度、 投资控制、安全生产和文明施工等进行监控，其中安全生产和文明施工包括施工扬尘污染防治、噪音控制等，监理人在监理规划中提出有针对性的监理措施，并加强对施工单位安全生产和文明施工情况的检查，督促施工单位落实安全生产和文明施工措施。</w:t>
      </w:r>
    </w:p>
    <w:p w14:paraId="0844C1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2、工程施工图预算（或承包商投标报价书）和竣工结算审核，及协调等相关工作。</w:t>
      </w:r>
    </w:p>
    <w:p w14:paraId="59975E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3、对完成本工程所必需的附属临时工程项目施工进行监理。</w:t>
      </w:r>
    </w:p>
    <w:p w14:paraId="5DC52F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二、监理工作内容，包括但不限于：</w:t>
      </w:r>
    </w:p>
    <w:p w14:paraId="3512D69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按国家《建设工程监理规范》及广东省、广州市、番禺区有关工程监理规定和要求完成本合同项下的监理工作，组成项目监理机构，委派驻现场监理，作全过程的质量、安全、文明施工、工期、投资的监控及合同的管理。</w:t>
      </w:r>
    </w:p>
    <w:p w14:paraId="314C0057">
      <w:pPr>
        <w:keepNext w:val="0"/>
        <w:keepLines w:val="0"/>
        <w:pageBreakBefore w:val="0"/>
        <w:kinsoku/>
        <w:wordWrap/>
        <w:overflowPunct/>
        <w:topLinePunct w:val="0"/>
        <w:autoSpaceDE/>
        <w:autoSpaceDN/>
        <w:bidi w:val="0"/>
        <w:adjustRightInd w:val="0"/>
        <w:snapToGrid w:val="0"/>
        <w:spacing w:after="120" w:afterLines="50" w:line="360" w:lineRule="auto"/>
        <w:jc w:val="center"/>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2、就工程的建设规模，根据工程的进展情况，按照《项目监理机构人员进场计划   表》（附件1）派驻相应数量的监理人员于现场，保证监理的管理力度，直到工程完成。</w:t>
      </w:r>
    </w:p>
    <w:p w14:paraId="3AD8C45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3、现场监理人员在施工过程中严格按照设计要求和国家规范要求实行监理。把好工程原材料的质量关和试件见证取样试验关以及隐蔽工程和关键部位的旁站监理</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做好影像记录</w:t>
      </w:r>
      <w:r>
        <w:rPr>
          <w:rFonts w:hint="eastAsia" w:ascii="仿宋" w:hAnsi="仿宋" w:eastAsia="仿宋" w:cs="仿宋"/>
          <w:bCs/>
          <w:color w:val="auto"/>
          <w:sz w:val="24"/>
          <w:highlight w:val="none"/>
        </w:rPr>
        <w:t>。并在监理工作中做到公正、廉洁。</w:t>
      </w:r>
    </w:p>
    <w:p w14:paraId="5859D66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4、总监理工程师须按照规定驻现场管理项目监理机构，监理人定期组织单位技术人员到现场检查工作。</w:t>
      </w:r>
    </w:p>
    <w:p w14:paraId="3E0C592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5、设立监理日志制度，现场监理人员每日如实填写，以便查验。</w:t>
      </w:r>
    </w:p>
    <w:p w14:paraId="087FA0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6、设立工程例会制度，加强各方沟通，解决技术问题。</w:t>
      </w:r>
    </w:p>
    <w:p w14:paraId="708B9A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7、编写监理月报，每月向委托人汇报工程情况。</w:t>
      </w:r>
    </w:p>
    <w:p w14:paraId="00A90F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8、编制工程变更费用平衡表，每月向委托人汇报增加工程费用情况。</w:t>
      </w:r>
    </w:p>
    <w:p w14:paraId="327A57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9、就本工程的重大设计修改和技术洽商向委托人提出监理意见。</w:t>
      </w:r>
    </w:p>
    <w:p w14:paraId="5F1352C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10、定期向委托人书面报告监理工作，专项报告按委托人要求提交。</w:t>
      </w:r>
    </w:p>
    <w:p w14:paraId="76606C7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在实施监理过程中，发现施工单位未落实扬尘污染防治措施的行为，应当要求施工单位予以整改，情节严重的应当要求施工单位暂时停止施工，并及时报告委托人。施工单位拒不整改或者不停止施工的，监理人应当向工程所在地相关行业主管部门报告。</w:t>
      </w:r>
    </w:p>
    <w:p w14:paraId="22BEF6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12、根据有关文件规定，督促检查承包人同步完成各阶段施工验收资料及全套竣工图，交委托人归档。</w:t>
      </w:r>
    </w:p>
    <w:p w14:paraId="34D4C127">
      <w:pPr>
        <w:keepNext w:val="0"/>
        <w:keepLines w:val="0"/>
        <w:pageBreakBefore w:val="0"/>
        <w:tabs>
          <w:tab w:val="left" w:pos="276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第九条  </w:t>
      </w:r>
      <w:r>
        <w:rPr>
          <w:rFonts w:hint="eastAsia" w:ascii="仿宋" w:hAnsi="仿宋" w:eastAsia="仿宋" w:cs="仿宋"/>
          <w:color w:val="auto"/>
          <w:sz w:val="24"/>
          <w:highlight w:val="none"/>
        </w:rPr>
        <w:t>外部条件包括：无约定。</w:t>
      </w:r>
    </w:p>
    <w:p w14:paraId="29DD088E">
      <w:pPr>
        <w:keepNext w:val="0"/>
        <w:keepLines w:val="0"/>
        <w:pageBreakBefore w:val="0"/>
        <w:tabs>
          <w:tab w:val="left" w:pos="2760"/>
        </w:tabs>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委托人负责工程建设的外部关系协调，如委托人需委托监理人承担部分或全部协调工作，双方另行协商。</w:t>
      </w:r>
    </w:p>
    <w:p w14:paraId="0A9729F8">
      <w:pPr>
        <w:keepNext w:val="0"/>
        <w:keepLines w:val="0"/>
        <w:pageBreakBefore w:val="0"/>
        <w:tabs>
          <w:tab w:val="left" w:pos="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第十条  </w:t>
      </w:r>
      <w:r>
        <w:rPr>
          <w:rFonts w:hint="eastAsia" w:ascii="仿宋" w:hAnsi="仿宋" w:eastAsia="仿宋" w:cs="仿宋"/>
          <w:color w:val="auto"/>
          <w:sz w:val="24"/>
          <w:highlight w:val="none"/>
        </w:rPr>
        <w:t xml:space="preserve">委托人应提供的工程资料及提供时间：签订合同后七天内提供初步设计图纸和工程承包合同及其它工程资料。 </w:t>
      </w:r>
    </w:p>
    <w:p w14:paraId="4876A68B">
      <w:pPr>
        <w:keepNext w:val="0"/>
        <w:keepLines w:val="0"/>
        <w:pageBreakBefore w:val="0"/>
        <w:tabs>
          <w:tab w:val="left" w:pos="276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第十一条  </w:t>
      </w:r>
      <w:r>
        <w:rPr>
          <w:rFonts w:hint="eastAsia" w:ascii="仿宋" w:hAnsi="仿宋" w:eastAsia="仿宋" w:cs="仿宋"/>
          <w:color w:val="auto"/>
          <w:sz w:val="24"/>
          <w:highlight w:val="none"/>
        </w:rPr>
        <w:t>委托人应在收到监理人书面报告后三天内对监理人要求作出决定的事宜作出书面答复。</w:t>
      </w:r>
    </w:p>
    <w:p w14:paraId="7EA74A93">
      <w:pPr>
        <w:keepNext w:val="0"/>
        <w:keepLines w:val="0"/>
        <w:pageBreakBefore w:val="0"/>
        <w:tabs>
          <w:tab w:val="left" w:pos="2760"/>
        </w:tabs>
        <w:kinsoku/>
        <w:wordWrap/>
        <w:overflowPunct/>
        <w:topLinePunct w:val="0"/>
        <w:autoSpaceDE/>
        <w:autoSpaceDN/>
        <w:bidi w:val="0"/>
        <w:adjustRightInd w:val="0"/>
        <w:snapToGrid w:val="0"/>
        <w:spacing w:line="360" w:lineRule="auto"/>
        <w:ind w:firstLine="472" w:firstLineChars="196"/>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第十二条 </w:t>
      </w:r>
      <w:r>
        <w:rPr>
          <w:rFonts w:hint="eastAsia" w:ascii="仿宋" w:hAnsi="仿宋" w:eastAsia="仿宋" w:cs="仿宋"/>
          <w:color w:val="auto"/>
          <w:sz w:val="24"/>
          <w:highlight w:val="none"/>
        </w:rPr>
        <w:t xml:space="preserve"> 委托人的常驻代表为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none"/>
        </w:rPr>
        <w:t>，</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；监理人的常驻代表为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A77C14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第十五条  </w:t>
      </w:r>
      <w:r>
        <w:rPr>
          <w:rFonts w:hint="eastAsia" w:ascii="仿宋" w:hAnsi="仿宋" w:eastAsia="仿宋" w:cs="仿宋"/>
          <w:color w:val="auto"/>
          <w:sz w:val="24"/>
          <w:highlight w:val="none"/>
        </w:rPr>
        <w:t>监理办公、通讯以及其它一切设施由监理人自行解决，费用已在本合同的监理费内，委托人不再补偿。</w:t>
      </w:r>
    </w:p>
    <w:p w14:paraId="4D35645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监理人自备的、委托人给予补偿的设施如下：本合同监理费已考虑有关费用，委托人对监理人自备的一切设施不再予以补偿。</w:t>
      </w:r>
    </w:p>
    <w:p w14:paraId="7BDFB96C">
      <w:pPr>
        <w:keepNext w:val="0"/>
        <w:keepLines w:val="0"/>
        <w:pageBreakBefore w:val="0"/>
        <w:kinsoku/>
        <w:wordWrap/>
        <w:overflowPunct/>
        <w:topLinePunct w:val="0"/>
        <w:autoSpaceDE/>
        <w:autoSpaceDN/>
        <w:bidi w:val="0"/>
        <w:adjustRightInd w:val="0"/>
        <w:snapToGrid w:val="0"/>
        <w:spacing w:line="360" w:lineRule="auto"/>
        <w:ind w:firstLine="63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补偿金额：无补偿金额。                                                             </w:t>
      </w:r>
    </w:p>
    <w:p w14:paraId="14CEBD8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第二十六条　</w:t>
      </w:r>
      <w:r>
        <w:rPr>
          <w:rFonts w:hint="eastAsia" w:ascii="仿宋" w:hAnsi="仿宋" w:eastAsia="仿宋" w:cs="仿宋"/>
          <w:color w:val="auto"/>
          <w:sz w:val="24"/>
          <w:highlight w:val="none"/>
        </w:rPr>
        <w:t>监理人在责任期内，因自身原因造成委托人经济损失的，应向委托人赔偿所有经济损失，包括直接损失和间接损失，具体违约责任如下：</w:t>
      </w:r>
    </w:p>
    <w:p w14:paraId="1B8066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26.1因下列监理人原因：</w:t>
      </w:r>
    </w:p>
    <w:p w14:paraId="08A1B7C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（1）在施工过程中，监理人发出错误指令或指令不及时；</w:t>
      </w:r>
    </w:p>
    <w:p w14:paraId="4F74C7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（2）监理人越权审批设计变更；</w:t>
      </w:r>
    </w:p>
    <w:p w14:paraId="3598D45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（3）旁站不到位；</w:t>
      </w:r>
    </w:p>
    <w:p w14:paraId="3E41EC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（4）其它因监理人故意或过失造成的原因。</w:t>
      </w:r>
    </w:p>
    <w:p w14:paraId="5245FA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致使本工程在投资、工期、质量、安全、文明施工等方面给委托人造成损失的，委托人将要求监理人进行赔偿，累计赔偿总额不受监理总额的限制。具体约定为：</w:t>
      </w:r>
    </w:p>
    <w:p w14:paraId="6ED1BE2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26.1.1因监理人原因造成工程投资增加的，委托人将根据新增工程投资与原合同价款的比率，按相应比例双倍扣减监理费；若新增工程投资超过原合同价款的20%时，委托人除有权按上述约定扣减监理费外，还有权单方解除监理合同，并要求监理人赔偿委托人由此遭受的实际损失。     </w:t>
      </w:r>
    </w:p>
    <w:p w14:paraId="76A537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26.1.2因监理人责任导致工期延误，其中工期延误天数占总工期的30%时，则委托人有权扣除工程监理费的</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并有权要求监理人另行向委托人支付合同价款10%作为违约金；任一分段工期延误天数达到该段总工期的50%，则委托人有权单方解除本合同。由于监理人责任导致工期延误，致使委托人要对第三方承担任何法律和赔偿责任的，监理人必须承担赔偿委托人由此遭受的实际损失。</w:t>
      </w:r>
    </w:p>
    <w:p w14:paraId="414AF7B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26.1.3因监理人监督不力造成安全质量事故，导致返工或人员伤亡的，视为监理人严重违约，除需承担由此产生的一切费用和赔偿责任外，委托人有权单方解除合同，委托人可以向监理人一次性扣减合同价款5%作为违约金，若违约金不足以弥补委托人遭受的损失，监理人仍须继续承担赔偿责任。     </w:t>
      </w:r>
    </w:p>
    <w:p w14:paraId="53A1286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26.1.4因监理人责任导致工程（各分部、单位及整体工程）质量一次验收不合格而造成委托人的直接损失达30万元（或工期延误30天以上）时，委托人有权单方解除本合同，要求监理人赔偿委托人由此遭受的实际损失，委托人可以向监理人一次性扣减合同价款5%作为违约金。</w:t>
      </w:r>
    </w:p>
    <w:p w14:paraId="71CAC92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26.2当监理人无正当理由不履行或没有充分履行其相关承诺及监理义务、本专用条款中约定的监理工作内容，委托人可书面通知监理人，指明其未能履约的内容和委托人要求其承担违约责任的等级。</w:t>
      </w:r>
    </w:p>
    <w:p w14:paraId="22B423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监理人具体违约行为所需承担违约责任的约定如下：</w:t>
      </w:r>
    </w:p>
    <w:p w14:paraId="7C19481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26.2.1监理人未按照本合同、投标文件和《监理规划》的承诺建立组织架构、派驻监理人员和投入设备，监理人必须按委托人要求限期整改，并承担相应违约责任。具体约定为：</w:t>
      </w:r>
    </w:p>
    <w:p w14:paraId="46EF35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在委托人书面通知监理人进场后3天内，监理人承诺的总监理工程师或总监代表不到位，或到位后又离开，造成该岗位空缺。委托人一旦发现，将要求监理人做出书面解释并保证人员限期到位，同时将要求监理人承担一般违约责任1次；如果监理人拒不配合，情节严重，影响工程进度和质量的，委托人将要求监理人承担严重违约责任直至解除合同，并要求监理人承担由此造成的委托人损失。</w:t>
      </w:r>
    </w:p>
    <w:p w14:paraId="072338D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总监理工程师代表必须负责本项目的日常监理工作，不得兼任其他项目总监。否则委托人一经发现，除必须限期纠正外，监理人必须承担一般违约责任1次；限期内未纠正或被委托人再次发现的，委托人有权解除合同，由此造成委托人的损失由监理人承担。</w:t>
      </w:r>
    </w:p>
    <w:p w14:paraId="450CE0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追究以上违约责任从发生并以各种书面形式（公司函件、会议纪要等）确认后，从监理人下一次申请的工程款中扣除相应违约金。</w:t>
      </w:r>
    </w:p>
    <w:p w14:paraId="574BEE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在委托人书面通知监理人进场后3天内，监理人承诺的主要监理人员（总监理工程师和总监代表除外）不到位，或到位后又离开，造成该岗位空缺，以及未按承诺依时、足额投入有关设备，委托人一经发现将要求监理人做出书面解释并保证人员、设备限期到位；上述情况每累计出现三次，监理人承担一般违约责任1次；如果监理人拒不配合，情节严重，影响工程进度和质量的，监理人承担严重违约责任1次，直至解除合同，由此造成委托人的损失由监理人承担。</w:t>
      </w:r>
    </w:p>
    <w:p w14:paraId="254DDC1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监理单位用没有注册监理证人员替换投标时承诺的有注册监理证人员，如果事先没有提出申请，并取得委托人书面同意的，委托人一经发现，除必须限期纠正外，每累计出现三次，监理人承担一般违约责任1次；监理单位在场人员少于投标承诺的人数时，每少三人监理人承担一般违约责任1次；</w:t>
      </w:r>
    </w:p>
    <w:p w14:paraId="4247A9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26.2.2非因不可抗力因素一般不得调换总监理工程师、总监代表或其他主要监理人员。监理人如需要调换总监理工程师、总监代表及其他主要监理人员，必须事先经过委托人书面同意。如监理人未经委托人书面同意，擅自调换上述人员的，除必须限期纠正外，监理人必须承担一般违约责任1次。</w:t>
      </w:r>
    </w:p>
    <w:p w14:paraId="6616F1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26.2.3工程施工过程中，按有关规定需要监理人进行旁站监督的，监理人没有到场，或者到场后没有进行监督，或发现质量问题后没有及时处理，没有向委托人报告，被委托人发现后，监理人必须承担一般违约责任1次。累计三次，委托人将要求监理人承担严重违约责任1次。</w:t>
      </w:r>
    </w:p>
    <w:p w14:paraId="47F141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26.2.4对于工程施工监理人现场的管理机构人员不到位、擅自离场，管理人员工作能力、工作态度存在严重不足，监理人不进行检查、督促、处理，不向委托人报告，被委托人发现后，监理人除必须限期纠正外，每累计三次，监理人承担一般违约责任1次。</w:t>
      </w:r>
    </w:p>
    <w:p w14:paraId="75FEBF3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26.2.5工程承包人未按经审批的施工组织方案的承诺投入机械、设备、材料等，监理人对此不进行检查、督促、处理，不向委托人报告，被委托人发现后，监理人除必须限期纠正外，每累计三次，监理人必须承担一般违约责任1次。</w:t>
      </w:r>
    </w:p>
    <w:p w14:paraId="1B2E2B3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26.2.6工程施工的各主要节点工期比计划滞后5天以上（包括5天），监理人不督促承包人进行整改，不向委托人报告，对整个工程的按期完工不能起到监管作用，被委托人发现后，除必须限期纠正外，监理人必须承担一般违约责任1次。</w:t>
      </w:r>
    </w:p>
    <w:p w14:paraId="103E45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26.2.7对于工程承包人每次材料进场，监理人不进行检查；对已进场的材料，监理人不按有关规定及时进行抽查、送检，监理人承担一般违约责任1次。如发现有不合格材料使用于工程上并造成无法弥补的损失时，视为质量事故，监理人必须承担严重违约责任1次。</w:t>
      </w:r>
    </w:p>
    <w:p w14:paraId="67F59B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26.2.8工程承包人未按经审批的施工组织方案的承诺做好安全防护、文明施工措施，没有按有关规定做到安全生产，监理人不督促施工单位进行整改，不作处理，不向委托人报告，被委托人发现后，监理人除必须限期纠正外，每累计出现三次，监理人必须承担一般违约责任1次。由此而发生安全生产事故，或被上级主管部门通报批评，或被新闻媒体曝光的，委托人将要求监理人承担严重违约责任1次。</w:t>
      </w:r>
    </w:p>
    <w:p w14:paraId="57112D6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26.2.9承包人的施工质量，经监理人检验为合格，但经委托人或工程质量监督机构抽查，发现质量不合格、或未按设计要求和有关规范进行施工的，委托人将要求监理人承担严重违约责任1次和赔偿委托人由此产生的经济损失，包括直接损失和间接损失。</w:t>
      </w:r>
    </w:p>
    <w:p w14:paraId="036859F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26.2.10对于承包人提交的现场签证资料，监理人未有准确、真实的现场原始记录或不进行现场复核就给予签认，经委托人检查，发现签认的文件有误的，除必须限期纠正外，监理人必须承担严重违约责任1次。对于现场签证未经过注册造价工程师审核、或经过注册造价工程师审核但未在规定时间内报送委托人，除必须限期纠正外，监理人也必须承担严重违约责任1次。</w:t>
      </w:r>
    </w:p>
    <w:p w14:paraId="505386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26.2.11对承包人提交的施工方案、设计变更，监理人对其中明显不符合现场实际的部分，或者与招投标文件不符、会引起委托人投资增加和工期延误的部分，不进行认真审核就给予同意，被审查发现后，除必须限期纠正外，监理人必须承担严重违约责任1次。</w:t>
      </w:r>
    </w:p>
    <w:p w14:paraId="747BD93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26.2.12对于承包人提交的请款报告，监理人不按实际完成的工作量进行审核，不按合同要求签署拨款意见，被审查发现后，除必须限期纠正外，监理人必须承担严重违约责任1次；如造成委托人超进度支付工程款，监理人必须承担严重违约责任2次。 </w:t>
      </w:r>
    </w:p>
    <w:p w14:paraId="242E6E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26.2.13监理人违约行为的直接责任人，其违约行为达到严重违约（或相当于严重违约）1次，主管人员因其下属的严重违约（或相当于严重违约）累计次数达到3次，则委托人有权认为该直接责任人或主管人员已不适于继续担任本工程的监理工作，并有权要求监理人限期更换该人员，直到终止合同，监理人必须无条件接受。并承担由此引起的后果及费用；如监理人拒不执行，则自收到委托人的更换要求7天后，委托人可认为该岗位已空缺，按26.2.1条规定执行。</w:t>
      </w:r>
    </w:p>
    <w:p w14:paraId="727FCB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26.2.14当监理人同时出现了本《专用条款》第26.2.10、第26.2.11和第26.2.12三项的行为，将视为监理人和承包人串通作假，委托人有权单方解除合同，造成委托人损失的，委托人可按26.1中的各条款要求监理人承担赔偿责任。</w:t>
      </w:r>
    </w:p>
    <w:p w14:paraId="19DC64D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26.2.15若监理人没有认真、充分履行本《专用条款》第四条的义务，造成材料供应商或施工人员闹事产生不良社会影响，情节严重或被新闻媒体曝光的，监理人必须承担严重违约责任1次，委托人有权认为监理人该项目主管人员已不适于继续承担本项目监理工作，并有权要求监理人限期更换该人员。监理人必须无条件接受，并承担由此引起的后果及费用。</w:t>
      </w:r>
    </w:p>
    <w:p w14:paraId="6769E6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 违约责任说明</w:t>
      </w:r>
    </w:p>
    <w:p w14:paraId="18C9B90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26.3.1监理人承担违约责任的等级划分具体为：承担一般违约责任、承担严重违约责任、解除合同。委托人将根据监理人违约的情节轻重和本合同的约定，要求监理人承担不同等级的违约责任。</w:t>
      </w:r>
    </w:p>
    <w:p w14:paraId="77AA1C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26.3.2违约责任的具体规定为：</w:t>
      </w:r>
    </w:p>
    <w:p w14:paraId="211D354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（1）监理人承担一般违约责任的，监理人必须向委托人交纳违约金；违约金数额不足以支付委托人损失的，委托人保留向监理人追偿的权利；（合同价10万以下的，交纳违约金</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千元/次；合同价10万（含10万）到50万以下的，交纳违约金</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千元/次；合同价50万以上（含50万）的，交纳违约金</w:t>
      </w:r>
      <w:r>
        <w:rPr>
          <w:rFonts w:hint="eastAsia" w:ascii="仿宋" w:hAnsi="仿宋" w:eastAsia="仿宋" w:cs="仿宋"/>
          <w:color w:val="auto"/>
          <w:sz w:val="24"/>
          <w:highlight w:val="none"/>
          <w:lang w:val="en-US" w:eastAsia="zh-CN"/>
        </w:rPr>
        <w:t>3千</w:t>
      </w:r>
      <w:r>
        <w:rPr>
          <w:rFonts w:hint="eastAsia" w:ascii="仿宋" w:hAnsi="仿宋" w:eastAsia="仿宋" w:cs="仿宋"/>
          <w:color w:val="auto"/>
          <w:sz w:val="24"/>
          <w:highlight w:val="none"/>
        </w:rPr>
        <w:t>元/次）</w:t>
      </w:r>
    </w:p>
    <w:p w14:paraId="29CAB7C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（2）监理人承担严重违约责任的，监理人必须向委托人交纳违约金，违约金数额不足以支付委托人损失的，委托人保留向监理人追偿的权利；（合同价10万以下的，交纳违约金</w:t>
      </w:r>
      <w:r>
        <w:rPr>
          <w:rFonts w:hint="default" w:ascii="仿宋" w:hAnsi="仿宋" w:eastAsia="仿宋" w:cs="仿宋"/>
          <w:color w:val="auto"/>
          <w:sz w:val="24"/>
          <w:highlight w:val="none"/>
          <w:lang w:val="en-US"/>
        </w:rPr>
        <w:t>5</w:t>
      </w:r>
      <w:r>
        <w:rPr>
          <w:rFonts w:hint="eastAsia" w:ascii="仿宋" w:hAnsi="仿宋" w:eastAsia="仿宋" w:cs="仿宋"/>
          <w:color w:val="auto"/>
          <w:sz w:val="24"/>
          <w:highlight w:val="none"/>
        </w:rPr>
        <w:t>千元/次；合同价10万（含10万）到50万以下的，交纳违约金1万元/次；合同价50万以上（含50万）的，交纳违约金4万元/次）</w:t>
      </w:r>
    </w:p>
    <w:p w14:paraId="136B677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（3）三次一般违约责任相当于一次严重违约责任，累计五次严重违约责任，委托人有权单方解除合同。</w:t>
      </w:r>
    </w:p>
    <w:p w14:paraId="009F4F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委托人单方解除合同的，除本合同有特殊约定外，委托人应当根据监理人实际的工作情况支付监理费。监理人单方解除合同的，监理人除应赔偿委托人由此产生的经济损失，包括直接损失和间接损失。此外，未经对方同意，单方解除合同的，违约方应按合同价款的5%向守约方支付违约金并赔偿守约方遭受的损失。</w:t>
      </w:r>
    </w:p>
    <w:p w14:paraId="3F9476A7">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第三十九条  </w:t>
      </w:r>
      <w:r>
        <w:rPr>
          <w:rFonts w:hint="eastAsia" w:ascii="仿宋" w:hAnsi="仿宋" w:eastAsia="仿宋" w:cs="仿宋"/>
          <w:color w:val="auto"/>
          <w:sz w:val="24"/>
          <w:highlight w:val="none"/>
        </w:rPr>
        <w:t>委托人同意按以下的计算方法、支付时间与金额，支付监理人的</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w:t>
      </w:r>
    </w:p>
    <w:p w14:paraId="39ED65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、合同签订后，监理人交齐完整请款资料后</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个工作日内</w:t>
      </w:r>
      <w:r>
        <w:rPr>
          <w:rFonts w:hint="eastAsia" w:ascii="仿宋" w:hAnsi="仿宋" w:eastAsia="仿宋" w:cs="仿宋"/>
          <w:color w:val="auto"/>
          <w:sz w:val="24"/>
          <w:highlight w:val="none"/>
          <w:lang w:eastAsia="zh-CN"/>
        </w:rPr>
        <w:t>，</w:t>
      </w:r>
      <w:r>
        <w:rPr>
          <w:rFonts w:hint="eastAsia" w:ascii="仿宋" w:hAnsi="仿宋" w:eastAsia="仿宋"/>
          <w:sz w:val="24"/>
          <w:highlight w:val="none"/>
        </w:rPr>
        <w:t>委托人向监理人支付合同价的30%作为预付款</w:t>
      </w:r>
      <w:r>
        <w:rPr>
          <w:rFonts w:hint="eastAsia" w:ascii="仿宋" w:hAnsi="仿宋" w:eastAsia="仿宋" w:cs="仿宋"/>
          <w:color w:val="auto"/>
          <w:sz w:val="24"/>
          <w:highlight w:val="none"/>
        </w:rPr>
        <w:t>；</w:t>
      </w:r>
    </w:p>
    <w:p w14:paraId="1AE4E3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sz w:val="24"/>
          <w:highlight w:val="none"/>
        </w:rPr>
        <w:t>委托人每月根据工程进度支付监理费，按每月完成工程量的80%计算（计算公式：每月完成工程量相应的监理费基准价×（1-</w:t>
      </w:r>
      <w:r>
        <w:rPr>
          <w:rFonts w:hint="eastAsia" w:ascii="仿宋" w:hAnsi="仿宋" w:eastAsia="仿宋" w:cs="Times New Roman"/>
          <w:bCs w:val="0"/>
          <w:sz w:val="24"/>
          <w:szCs w:val="24"/>
          <w:highlight w:val="none"/>
          <w:lang w:val="en-US" w:eastAsia="zh-CN"/>
        </w:rPr>
        <w:t>委托人</w:t>
      </w:r>
      <w:r>
        <w:rPr>
          <w:rFonts w:hint="eastAsia" w:ascii="仿宋" w:hAnsi="仿宋" w:eastAsia="仿宋"/>
          <w:sz w:val="24"/>
          <w:highlight w:val="none"/>
          <w:lang w:val="en-US" w:eastAsia="zh-CN"/>
        </w:rPr>
        <w:t>下浮率</w:t>
      </w:r>
      <w:r>
        <w:rPr>
          <w:rFonts w:hint="eastAsia" w:ascii="仿宋" w:hAnsi="仿宋" w:eastAsia="仿宋"/>
          <w:sz w:val="24"/>
          <w:highlight w:val="none"/>
        </w:rPr>
        <w:t>）×（1-中标下浮率</w:t>
      </w:r>
      <w:r>
        <w:rPr>
          <w:rFonts w:hint="eastAsia" w:ascii="仿宋" w:hAnsi="仿宋" w:eastAsia="仿宋"/>
          <w:sz w:val="24"/>
          <w:highlight w:val="none"/>
          <w:lang w:val="en-US" w:eastAsia="zh-CN"/>
        </w:rPr>
        <w:t xml:space="preserve">     %</w:t>
      </w:r>
      <w:r>
        <w:rPr>
          <w:rFonts w:hint="eastAsia" w:ascii="仿宋" w:hAnsi="仿宋" w:eastAsia="仿宋"/>
          <w:sz w:val="24"/>
          <w:highlight w:val="none"/>
        </w:rPr>
        <w:t>)×80%【基准价</w:t>
      </w:r>
      <w:r>
        <w:rPr>
          <w:rFonts w:hint="eastAsia" w:ascii="仿宋" w:hAnsi="仿宋" w:eastAsia="仿宋" w:cs="宋体"/>
          <w:sz w:val="24"/>
          <w:highlight w:val="none"/>
        </w:rPr>
        <w:t>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每月审定的工程进度款金额，结合施工监理服务收费基价表计取，专业调整系数为1.0，工程复杂程度调整系数为0.85，高程调整系数为1.0）</w:t>
      </w:r>
      <w:r>
        <w:rPr>
          <w:rFonts w:hint="eastAsia" w:ascii="仿宋" w:hAnsi="仿宋" w:eastAsia="仿宋"/>
          <w:sz w:val="24"/>
          <w:highlight w:val="none"/>
        </w:rPr>
        <w:t>，委托人收到监理人完整的请款资料后</w:t>
      </w:r>
      <w:r>
        <w:rPr>
          <w:rFonts w:hint="eastAsia" w:ascii="仿宋" w:hAnsi="仿宋" w:eastAsia="仿宋"/>
          <w:sz w:val="24"/>
          <w:highlight w:val="none"/>
          <w:lang w:val="en-US" w:eastAsia="zh-CN"/>
        </w:rPr>
        <w:t>30</w:t>
      </w:r>
      <w:r>
        <w:rPr>
          <w:rFonts w:hint="eastAsia" w:ascii="仿宋" w:hAnsi="仿宋" w:eastAsia="仿宋"/>
          <w:sz w:val="24"/>
          <w:highlight w:val="none"/>
        </w:rPr>
        <w:t>个工作日内支付相应进度款，最多支付至合同价的80%；</w:t>
      </w:r>
    </w:p>
    <w:p w14:paraId="4F3A4FAA">
      <w:pPr>
        <w:adjustRightInd w:val="0"/>
        <w:snapToGrid w:val="0"/>
        <w:spacing w:after="0" w:line="360" w:lineRule="auto"/>
        <w:ind w:firstLine="480" w:firstLineChars="200"/>
        <w:rPr>
          <w:rFonts w:hint="eastAsia" w:ascii="仿宋" w:hAnsi="仿宋" w:eastAsia="仿宋" w:cs="宋体"/>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sz w:val="24"/>
          <w:highlight w:val="none"/>
        </w:rPr>
        <w:t>工程竣工验收合格并工程结算评审后，监理人向委托人提供监理结算书，结算经委托人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具备相应资质的第三方评审机构</w:t>
      </w:r>
      <w:r>
        <w:rPr>
          <w:rFonts w:hint="eastAsia" w:ascii="仿宋" w:hAnsi="仿宋" w:eastAsia="仿宋"/>
          <w:sz w:val="24"/>
          <w:highlight w:val="none"/>
        </w:rPr>
        <w:t>审核确认并监理人提供完整的监理资料和请款资料后</w:t>
      </w:r>
      <w:r>
        <w:rPr>
          <w:rFonts w:hint="eastAsia" w:ascii="仿宋" w:hAnsi="仿宋" w:eastAsia="仿宋"/>
          <w:sz w:val="24"/>
          <w:highlight w:val="none"/>
          <w:lang w:val="en-US" w:eastAsia="zh-CN"/>
        </w:rPr>
        <w:t>30</w:t>
      </w:r>
      <w:r>
        <w:rPr>
          <w:rFonts w:hint="eastAsia" w:ascii="仿宋" w:hAnsi="仿宋" w:eastAsia="仿宋"/>
          <w:sz w:val="24"/>
          <w:highlight w:val="none"/>
        </w:rPr>
        <w:t>个工作日内，支付至监理费用结算价的100%。本合同各子项</w:t>
      </w:r>
      <w:r>
        <w:rPr>
          <w:rFonts w:hint="eastAsia" w:ascii="仿宋" w:hAnsi="仿宋" w:eastAsia="仿宋" w:cs="宋体"/>
          <w:sz w:val="24"/>
          <w:highlight w:val="none"/>
        </w:rPr>
        <w:t>监理结算基准价参照《建设工程监理与相关服务收费管理规定》（发改价格【2007】670号）规定</w:t>
      </w:r>
      <w:r>
        <w:rPr>
          <w:rFonts w:hint="eastAsia" w:ascii="仿宋" w:hAnsi="仿宋" w:eastAsia="仿宋" w:cs="仿宋"/>
          <w:sz w:val="24"/>
          <w:szCs w:val="24"/>
          <w:highlight w:val="none"/>
        </w:rPr>
        <w:t>（其中：基准价=计算基价*专业调整系数*工程复杂程度调整系数*高程调整系数；计算基价根据</w:t>
      </w:r>
      <w:r>
        <w:rPr>
          <w:rFonts w:hint="eastAsia" w:ascii="仿宋" w:hAnsi="仿宋" w:eastAsia="仿宋"/>
          <w:sz w:val="24"/>
          <w:highlight w:val="none"/>
        </w:rPr>
        <w:t>本合同各子项</w:t>
      </w:r>
      <w:r>
        <w:rPr>
          <w:rFonts w:hint="eastAsia" w:ascii="仿宋" w:hAnsi="仿宋" w:eastAsia="仿宋" w:cs="仿宋"/>
          <w:sz w:val="24"/>
          <w:szCs w:val="24"/>
          <w:highlight w:val="none"/>
        </w:rPr>
        <w:t>工程建安费结算评审金额，结合施工监理服务收费基价表计取，专业调整系数为1.0，工程复杂程度调整系数为0.85，高程调整系数为1.0），</w:t>
      </w:r>
      <w:r>
        <w:rPr>
          <w:rFonts w:hint="eastAsia" w:ascii="仿宋" w:hAnsi="仿宋" w:eastAsia="仿宋"/>
          <w:sz w:val="24"/>
          <w:highlight w:val="none"/>
        </w:rPr>
        <w:t>计算公式：监理结算基准价×（1-</w:t>
      </w:r>
      <w:r>
        <w:rPr>
          <w:rFonts w:hint="eastAsia" w:ascii="仿宋" w:hAnsi="仿宋" w:eastAsia="仿宋" w:cs="Times New Roman"/>
          <w:bCs w:val="0"/>
          <w:sz w:val="24"/>
          <w:szCs w:val="24"/>
          <w:highlight w:val="none"/>
          <w:lang w:val="en-US" w:eastAsia="zh-CN"/>
        </w:rPr>
        <w:t>委托人</w:t>
      </w:r>
      <w:r>
        <w:rPr>
          <w:rFonts w:hint="eastAsia" w:ascii="仿宋" w:hAnsi="仿宋" w:eastAsia="仿宋"/>
          <w:sz w:val="24"/>
          <w:highlight w:val="none"/>
          <w:lang w:val="en-US" w:eastAsia="zh-CN"/>
        </w:rPr>
        <w:t>下浮率</w:t>
      </w:r>
      <w:r>
        <w:rPr>
          <w:rFonts w:hint="eastAsia" w:ascii="仿宋" w:hAnsi="仿宋" w:eastAsia="仿宋"/>
          <w:sz w:val="24"/>
          <w:highlight w:val="none"/>
        </w:rPr>
        <w:t>）×（1-</w:t>
      </w:r>
      <w:r>
        <w:rPr>
          <w:rFonts w:hint="eastAsia" w:ascii="仿宋" w:hAnsi="仿宋" w:eastAsia="仿宋"/>
          <w:sz w:val="24"/>
          <w:highlight w:val="none"/>
          <w:lang w:val="en-US" w:eastAsia="zh-CN"/>
        </w:rPr>
        <w:t xml:space="preserve">中标下浮率   </w:t>
      </w:r>
      <w:r>
        <w:rPr>
          <w:rFonts w:hint="eastAsia" w:ascii="仿宋" w:hAnsi="仿宋" w:eastAsia="仿宋"/>
          <w:sz w:val="24"/>
          <w:highlight w:val="none"/>
        </w:rPr>
        <w:t>%)。中标下浮率（即</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%）=（最高投标限价-投标报价）÷最高投标限价×100%,以%为单位，精确到小数点后2位。</w:t>
      </w:r>
    </w:p>
    <w:p w14:paraId="6246C05F">
      <w:pPr>
        <w:adjustRightInd w:val="0"/>
        <w:snapToGrid w:val="0"/>
        <w:spacing w:after="0" w:line="360" w:lineRule="auto"/>
        <w:ind w:firstLine="480" w:firstLineChars="200"/>
        <w:rPr>
          <w:rFonts w:ascii="仿宋" w:hAnsi="仿宋" w:eastAsia="仿宋"/>
          <w:sz w:val="24"/>
          <w:highlight w:val="none"/>
        </w:rPr>
      </w:pPr>
      <w:r>
        <w:rPr>
          <w:rFonts w:hint="eastAsia" w:ascii="仿宋" w:hAnsi="仿宋" w:eastAsia="仿宋"/>
          <w:sz w:val="24"/>
          <w:highlight w:val="none"/>
        </w:rPr>
        <w:t>计算监理费用结算价,同时执行《附加协议条款》第11条，及其它相关的违约处罚管理制度。最终监理结算费用为本合同各子项监理结算费用总和，经委托人</w:t>
      </w:r>
      <w:r>
        <w:rPr>
          <w:rFonts w:hint="eastAsia" w:ascii="仿宋" w:hAnsi="仿宋" w:eastAsia="仿宋"/>
          <w:sz w:val="24"/>
          <w:highlight w:val="none"/>
          <w:lang w:val="en-US" w:eastAsia="zh-CN"/>
        </w:rPr>
        <w:t>审核确认或经委托人委托的</w:t>
      </w:r>
      <w:r>
        <w:rPr>
          <w:rFonts w:hint="eastAsia" w:ascii="仿宋" w:hAnsi="仿宋" w:eastAsia="仿宋" w:cs="宋体"/>
          <w:sz w:val="24"/>
          <w:highlight w:val="none"/>
        </w:rPr>
        <w:t>具备相应资质的第三方评审机构</w:t>
      </w:r>
      <w:r>
        <w:rPr>
          <w:rFonts w:hint="eastAsia" w:ascii="仿宋" w:hAnsi="仿宋" w:eastAsia="仿宋"/>
          <w:sz w:val="24"/>
          <w:highlight w:val="none"/>
        </w:rPr>
        <w:t>审核确认</w:t>
      </w:r>
      <w:r>
        <w:rPr>
          <w:rFonts w:hint="eastAsia" w:ascii="仿宋" w:hAnsi="仿宋" w:eastAsia="仿宋" w:cs="宋体"/>
          <w:sz w:val="24"/>
          <w:highlight w:val="none"/>
        </w:rPr>
        <w:t>为准，</w:t>
      </w:r>
      <w:r>
        <w:rPr>
          <w:rFonts w:hint="eastAsia" w:ascii="仿宋" w:hAnsi="仿宋" w:eastAsia="仿宋" w:cs="宋体"/>
          <w:sz w:val="24"/>
          <w:highlight w:val="none"/>
          <w:lang w:val="en-US" w:eastAsia="zh-CN"/>
        </w:rPr>
        <w:t>且</w:t>
      </w:r>
      <w:r>
        <w:rPr>
          <w:rFonts w:hint="eastAsia" w:ascii="仿宋" w:hAnsi="仿宋" w:eastAsia="仿宋"/>
          <w:sz w:val="24"/>
          <w:highlight w:val="none"/>
        </w:rPr>
        <w:t>不得超合同价，若超合同价则按合同价支付。</w:t>
      </w:r>
    </w:p>
    <w:p w14:paraId="7C354E4E">
      <w:pPr>
        <w:keepNext w:val="0"/>
        <w:keepLines w:val="0"/>
        <w:pageBreakBefore w:val="0"/>
        <w:kinsoku/>
        <w:wordWrap/>
        <w:overflowPunct/>
        <w:topLinePunct w:val="0"/>
        <w:autoSpaceDE/>
        <w:autoSpaceDN/>
        <w:bidi w:val="0"/>
        <w:adjustRightInd w:val="0"/>
        <w:snapToGrid w:val="0"/>
        <w:spacing w:before="104" w:after="104" w:line="360" w:lineRule="auto"/>
        <w:ind w:firstLine="480" w:firstLineChars="200"/>
        <w:textAlignment w:val="auto"/>
        <w:outlineLvl w:val="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sz w:val="24"/>
          <w:highlight w:val="none"/>
        </w:rPr>
        <w:t>监理人收款时必须按国家税收法规提供税率</w:t>
      </w:r>
      <w:r>
        <w:rPr>
          <w:rFonts w:hint="eastAsia" w:ascii="仿宋" w:hAnsi="仿宋" w:eastAsia="仿宋"/>
          <w:sz w:val="24"/>
          <w:highlight w:val="none"/>
          <w:lang w:val="en-US" w:eastAsia="zh-CN"/>
        </w:rPr>
        <w:t xml:space="preserve">  </w:t>
      </w:r>
      <w:r>
        <w:rPr>
          <w:rFonts w:hint="eastAsia" w:ascii="仿宋" w:hAnsi="仿宋" w:eastAsia="仿宋"/>
          <w:sz w:val="24"/>
          <w:highlight w:val="none"/>
        </w:rPr>
        <w:t>%的增值税专用发票（如本合同履行期间国家税率政策发生调整，则按最新税率政策执行，具体以开具发票时间为准），如监理人逾期提供前述发票的，付款时间相应顺延，直至监理人提供前述发票为止，委托人才予以付款，且不视为委托人违约。</w:t>
      </w:r>
    </w:p>
    <w:p w14:paraId="7B2F64D2">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注：请款资料包括但不限于请款函、项目相关批文、相关合同、开户许可证、发票等，最终以</w:t>
      </w:r>
      <w:r>
        <w:rPr>
          <w:rFonts w:hint="eastAsia" w:ascii="仿宋" w:hAnsi="仿宋" w:eastAsia="仿宋" w:cs="仿宋"/>
          <w:bCs/>
          <w:color w:val="auto"/>
          <w:sz w:val="24"/>
          <w:highlight w:val="none"/>
        </w:rPr>
        <w:t>委托人</w:t>
      </w:r>
      <w:r>
        <w:rPr>
          <w:rFonts w:hint="eastAsia" w:ascii="仿宋" w:hAnsi="仿宋" w:eastAsia="仿宋" w:cs="仿宋"/>
          <w:color w:val="auto"/>
          <w:sz w:val="24"/>
          <w:highlight w:val="none"/>
        </w:rPr>
        <w:t>最新的要求为准。</w:t>
      </w:r>
    </w:p>
    <w:p w14:paraId="4CD031E1">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、按以下的计算方法、支付时间与金额，支付附加工作</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w:t>
      </w:r>
    </w:p>
    <w:p w14:paraId="4D9EE9CB">
      <w:pPr>
        <w:keepNext w:val="0"/>
        <w:keepLines w:val="0"/>
        <w:pageBreakBefore w:val="0"/>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按工程结算总造价计收，附加工作监理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已包含在监理</w:t>
      </w:r>
      <w:r>
        <w:rPr>
          <w:rFonts w:hint="eastAsia" w:ascii="仿宋" w:hAnsi="仿宋" w:eastAsia="仿宋" w:cs="仿宋"/>
          <w:color w:val="auto"/>
          <w:sz w:val="24"/>
          <w:highlight w:val="none"/>
          <w:lang w:val="en-US" w:eastAsia="zh-CN"/>
        </w:rPr>
        <w:t>费用</w:t>
      </w:r>
      <w:r>
        <w:rPr>
          <w:rFonts w:hint="eastAsia" w:ascii="仿宋" w:hAnsi="仿宋" w:eastAsia="仿宋" w:cs="仿宋"/>
          <w:color w:val="auto"/>
          <w:sz w:val="24"/>
          <w:highlight w:val="none"/>
        </w:rPr>
        <w:t>结算总价内，委托人不再另行计付。</w:t>
      </w:r>
    </w:p>
    <w:p w14:paraId="4AB7244B">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第四十一条 </w:t>
      </w:r>
      <w:r>
        <w:rPr>
          <w:rFonts w:hint="eastAsia" w:ascii="仿宋" w:hAnsi="仿宋" w:eastAsia="仿宋" w:cs="仿宋"/>
          <w:color w:val="auto"/>
          <w:sz w:val="24"/>
          <w:highlight w:val="none"/>
        </w:rPr>
        <w:t xml:space="preserve"> 双方同意以人民币支付</w:t>
      </w:r>
      <w:r>
        <w:rPr>
          <w:rFonts w:hint="eastAsia" w:ascii="仿宋" w:hAnsi="仿宋" w:eastAsia="仿宋" w:cs="仿宋"/>
          <w:color w:val="auto"/>
          <w:sz w:val="24"/>
          <w:highlight w:val="none"/>
          <w:lang w:val="en-US" w:eastAsia="zh-CN"/>
        </w:rPr>
        <w:t>监理费用</w:t>
      </w:r>
      <w:r>
        <w:rPr>
          <w:rFonts w:hint="eastAsia" w:ascii="仿宋" w:hAnsi="仿宋" w:eastAsia="仿宋" w:cs="仿宋"/>
          <w:color w:val="auto"/>
          <w:sz w:val="24"/>
          <w:highlight w:val="none"/>
        </w:rPr>
        <w:t>。</w:t>
      </w:r>
    </w:p>
    <w:p w14:paraId="0C080FF9">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第四十五条  </w:t>
      </w:r>
      <w:r>
        <w:rPr>
          <w:rFonts w:hint="eastAsia" w:ascii="仿宋" w:hAnsi="仿宋" w:eastAsia="仿宋" w:cs="仿宋"/>
          <w:color w:val="auto"/>
          <w:sz w:val="24"/>
          <w:highlight w:val="none"/>
        </w:rPr>
        <w:t>奖励方法：不适用</w:t>
      </w:r>
    </w:p>
    <w:p w14:paraId="017C29AA">
      <w:pPr>
        <w:keepNext w:val="0"/>
        <w:keepLines w:val="0"/>
        <w:pageBreakBefore w:val="0"/>
        <w:kinsoku/>
        <w:wordWrap/>
        <w:overflowPunct/>
        <w:topLinePunct w:val="0"/>
        <w:autoSpaceDE/>
        <w:autoSpaceDN/>
        <w:bidi w:val="0"/>
        <w:adjustRightInd w:val="0"/>
        <w:snapToGrid w:val="0"/>
        <w:spacing w:line="48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第四十九条  </w:t>
      </w:r>
      <w:r>
        <w:rPr>
          <w:rFonts w:hint="eastAsia" w:ascii="仿宋" w:hAnsi="仿宋" w:eastAsia="仿宋" w:cs="仿宋"/>
          <w:color w:val="auto"/>
          <w:sz w:val="24"/>
          <w:highlight w:val="none"/>
        </w:rPr>
        <w:t>本合同在履行过程中发生争议时，当事人双方应及时协商解决。协商不成时，双方同意依法向广州市番禺区人民法院起诉，违约方应承担守约方处理本合同项下纠纷所产生的诉讼费、担保费、差旅费、律师费等全部费用。</w:t>
      </w:r>
    </w:p>
    <w:p w14:paraId="3C81B734">
      <w:pPr>
        <w:keepNext w:val="0"/>
        <w:keepLines w:val="0"/>
        <w:pageBreakBefore w:val="0"/>
        <w:kinsoku/>
        <w:wordWrap/>
        <w:overflowPunct/>
        <w:topLinePunct w:val="0"/>
        <w:autoSpaceDE/>
        <w:autoSpaceDN/>
        <w:bidi w:val="0"/>
        <w:adjustRightInd w:val="0"/>
        <w:snapToGrid w:val="0"/>
        <w:spacing w:line="360" w:lineRule="auto"/>
        <w:ind w:left="1161" w:leftChars="149" w:hanging="848" w:hangingChars="352"/>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附加协议条款：</w:t>
      </w:r>
    </w:p>
    <w:p w14:paraId="2CD793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委托人应严格执行广州市建委《转发省建设厅关于安全防护、文明施工措施费用计算补充规定的通知》（穗建筑[2008]967号文）文件要求，单独设立专项安全生产措施费，监理人应按照政府有关部门对安全生产文明施工监理的要求，对安全文明施工进行监理，并承担安全文明施工监理责任。</w:t>
      </w:r>
    </w:p>
    <w:p w14:paraId="00572E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2、监理人负责审核专项安全生产措施费并报委托人支付。</w:t>
      </w:r>
    </w:p>
    <w:p w14:paraId="3FFC16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3、监理人协助委托人对工程进度款的支付、变更工程预算及结算的审核</w:t>
      </w:r>
      <w:r>
        <w:rPr>
          <w:rFonts w:hint="eastAsia" w:ascii="仿宋" w:hAnsi="仿宋" w:eastAsia="仿宋" w:cs="仿宋"/>
          <w:b/>
          <w:color w:val="auto"/>
          <w:sz w:val="24"/>
          <w:highlight w:val="none"/>
        </w:rPr>
        <w:t>（注：各项</w:t>
      </w:r>
      <w:r>
        <w:rPr>
          <w:rFonts w:hint="eastAsia" w:ascii="仿宋" w:hAnsi="仿宋" w:eastAsia="仿宋" w:cs="仿宋"/>
          <w:b/>
          <w:color w:val="auto"/>
          <w:kern w:val="0"/>
          <w:sz w:val="24"/>
          <w:highlight w:val="none"/>
        </w:rPr>
        <w:t>变更工程的结算价不得超过委托人批准的设计变更预算价）</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审核工作应在5个工作日内完成并向委托人出具意见，审核意见书中必须有投标承诺派出的总监理工程师、注册造价工程师及工程造价员执业签章，监理单位公章；</w:t>
      </w:r>
      <w:r>
        <w:rPr>
          <w:rFonts w:hint="eastAsia" w:ascii="仿宋" w:hAnsi="仿宋" w:eastAsia="仿宋" w:cs="仿宋"/>
          <w:color w:val="auto"/>
          <w:kern w:val="0"/>
          <w:sz w:val="24"/>
          <w:highlight w:val="none"/>
        </w:rPr>
        <w:t>设计变更必须经委托人审批并在设计变更通知单上加盖“同意用于施工”专用章确认后，监理人方可向承包人发出设计变更指令。</w:t>
      </w:r>
    </w:p>
    <w:p w14:paraId="7040191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kern w:val="0"/>
          <w:sz w:val="24"/>
          <w:highlight w:val="none"/>
        </w:rPr>
        <w:t>监理人须严格按照广东省建设厅《转发建设部关于印发&lt;房屋建筑工程施工旁站监理管理办法（试行）&gt;的通知》（粤建管字[2002]97号）附件规定的工程项目监理最少人数配置要求配备监理人员，施工各阶段配置的监理人员须经过监理业务培训和持证上岗，其中中级以上职称的监理人员不少于60%（注：配备监理人员必须包括但不限于投标文件中列示的拟派驻本项目工作组成员）。</w:t>
      </w:r>
    </w:p>
    <w:p w14:paraId="7116D1A8">
      <w:pPr>
        <w:keepNext w:val="0"/>
        <w:keepLines w:val="0"/>
        <w:pageBreakBefore w:val="0"/>
        <w:kinsoku/>
        <w:wordWrap/>
        <w:overflowPunct/>
        <w:topLinePunct w:val="0"/>
        <w:autoSpaceDE/>
        <w:autoSpaceDN/>
        <w:bidi w:val="0"/>
        <w:adjustRightInd w:val="0"/>
        <w:snapToGrid w:val="0"/>
        <w:spacing w:line="360" w:lineRule="auto"/>
        <w:ind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5、</w:t>
      </w:r>
      <w:r>
        <w:rPr>
          <w:rFonts w:hint="eastAsia" w:ascii="仿宋" w:hAnsi="仿宋" w:eastAsia="仿宋" w:cs="仿宋"/>
          <w:color w:val="auto"/>
          <w:sz w:val="24"/>
          <w:highlight w:val="none"/>
        </w:rPr>
        <w:t>监理人的工作人员必须遵守工作制度，委托人将对监理人员进行考勤。总监理工程师不得挂虚名，每周检查工地不得少于三天（以总监理工程师填写的监理日志记录为准）；其他监理人员保证每月驻工地时间不得少于24天，否则委托人将按照每人每天（次）500元对监理人扣罚违约金。另外，监理人员的出勤要遵循监理方案及投标的承诺；如有突发事件要暂时离开监理现场应及时向委托人现场代表或委托人工程部负责人请假，经上述人员批准后方可离开，否则，视为擅自缺勤，委托人有权按每人每天（次）500元对监理人扣罚违约金。离开时应向其他监理员交待清楚项目的状况及需要跟进的事情；监理员连续3次被发现不在现场的，委托人有权要求更换监理员，监理方不得有异议；</w:t>
      </w:r>
    </w:p>
    <w:p w14:paraId="382E167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监理人应按委托人要求进行旁站监理，如委托人或委托人母公司、建设单位等开展安全检查时发现监理旁站实施不到位，作出如下处理：</w:t>
      </w:r>
    </w:p>
    <w:p w14:paraId="141BA1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出现一次旁站不到位，则作出口头警告，并限期责令整改；</w:t>
      </w:r>
    </w:p>
    <w:p w14:paraId="5BDD2B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出现两次旁站不到位，则作出书面警告并进行通报，并限期责令整改；</w:t>
      </w:r>
    </w:p>
    <w:p w14:paraId="6D7632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出现三次及以上旁站不到位，均按一般违约处理。</w:t>
      </w:r>
    </w:p>
    <w:p w14:paraId="32F4C0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委托人于每月月底对监理人的工程项目监理人员进行月度考核评分，考核内容包括但不限于及时发现施工过程中的安全和质量问题，协调参建单位处理问题能力；对规范规程、图纸、施工组织设计方案的熟悉程度；按规范落实旁站工作等（具体内容以工程项目监理人员考核评分表为准）。评分表综合得分为各分项的平均分之和，满分为100分，总分80分以上（含80分）为合格，低于80分为不合格。如月度考核评分不合格，作出如下处理：</w:t>
      </w:r>
    </w:p>
    <w:p w14:paraId="6DE1C5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出现一次不合格，则作出口头警告，并责令更换监理人员；</w:t>
      </w:r>
    </w:p>
    <w:p w14:paraId="449D36C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出现两次不合格，则作出书面警告并进行通报，并限期责令整改；</w:t>
      </w:r>
    </w:p>
    <w:p w14:paraId="109165D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出现三次及以上不合格，均按一般违约处理。</w:t>
      </w:r>
    </w:p>
    <w:p w14:paraId="3894285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除委托人批准更换外，派驻人必须与投标时所承诺的人员一致。</w:t>
      </w:r>
      <w:r>
        <w:rPr>
          <w:rFonts w:hint="eastAsia" w:ascii="仿宋" w:hAnsi="仿宋" w:eastAsia="仿宋" w:cs="仿宋"/>
          <w:color w:val="auto"/>
          <w:sz w:val="24"/>
          <w:highlight w:val="none"/>
        </w:rPr>
        <w:t>总监理工程师、总监代表保证驻场时间不得少于</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所承诺的驻场时间，否则委托人将按照总监理工程师2000元/天、总监代表1500元/天对监理人扣收违约金。</w:t>
      </w:r>
    </w:p>
    <w:p w14:paraId="045CF9A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9</w:t>
      </w:r>
      <w:r>
        <w:rPr>
          <w:rFonts w:hint="eastAsia" w:ascii="仿宋" w:hAnsi="仿宋" w:eastAsia="仿宋" w:cs="仿宋"/>
          <w:color w:val="auto"/>
          <w:kern w:val="0"/>
          <w:sz w:val="24"/>
          <w:highlight w:val="none"/>
        </w:rPr>
        <w:t>、施工过程中，监理人必须派出一名与投标承诺一致的工程造价人员驻工地现场，不得缺勤。否则，委托人有权对监理人处以每天10OO元的罚款（因特殊情况</w:t>
      </w:r>
      <w:r>
        <w:rPr>
          <w:rFonts w:hint="eastAsia" w:ascii="仿宋" w:hAnsi="仿宋" w:eastAsia="仿宋" w:cs="仿宋"/>
          <w:color w:val="auto"/>
          <w:sz w:val="24"/>
          <w:highlight w:val="none"/>
        </w:rPr>
        <w:t>经委托人现场代表批准</w:t>
      </w:r>
      <w:r>
        <w:rPr>
          <w:rFonts w:hint="eastAsia" w:ascii="仿宋" w:hAnsi="仿宋" w:eastAsia="仿宋" w:cs="仿宋"/>
          <w:color w:val="auto"/>
          <w:kern w:val="0"/>
          <w:sz w:val="24"/>
          <w:highlight w:val="none"/>
        </w:rPr>
        <w:t>除外）。</w:t>
      </w:r>
    </w:p>
    <w:p w14:paraId="1A8C70C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、总监理工程师应为</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列示的总监理工程师，监理人若计划更换人员，须提前三日书面向委托人申请，征得委托人书面同意后再更换。若未经委托人书面同意，擅自更换总监理工程师的，委托人将视为监理人员缺勤并对监理人按每人每天1000元的标准扣收违约金。</w:t>
      </w:r>
    </w:p>
    <w:p w14:paraId="2D363F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、材料、设备生产厂家名录及协作单位名录的提供：在收到监理人书面报告后三天内提供。</w:t>
      </w:r>
    </w:p>
    <w:p w14:paraId="36987C03">
      <w:pPr>
        <w:pStyle w:val="21"/>
        <w:keepNext w:val="0"/>
        <w:keepLines w:val="0"/>
        <w:pageBreakBefore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、工程验收不合格或工地发生重大安全事故的，监理人除按</w:t>
      </w:r>
      <w:r>
        <w:rPr>
          <w:rFonts w:hint="eastAsia" w:ascii="仿宋" w:hAnsi="仿宋" w:eastAsia="仿宋" w:cs="仿宋"/>
          <w:color w:val="auto"/>
          <w:kern w:val="2"/>
          <w:highlight w:val="none"/>
        </w:rPr>
        <w:t>照专用条款</w:t>
      </w:r>
      <w:r>
        <w:rPr>
          <w:rFonts w:hint="eastAsia" w:ascii="仿宋" w:hAnsi="仿宋" w:eastAsia="仿宋" w:cs="仿宋"/>
          <w:bCs/>
          <w:color w:val="auto"/>
          <w:highlight w:val="none"/>
        </w:rPr>
        <w:t>第二十六条</w:t>
      </w:r>
      <w:r>
        <w:rPr>
          <w:rFonts w:hint="eastAsia" w:ascii="仿宋" w:hAnsi="仿宋" w:eastAsia="仿宋" w:cs="仿宋"/>
          <w:color w:val="auto"/>
          <w:highlight w:val="none"/>
        </w:rPr>
        <w:t>向委托人支付赔偿金外，还须向委托人全额退回已收取的监理酬金；工地因严重违反文明施工管理规定受到政府管理部门处罚的，每处罚一次，委托人将扣收监理人10%的监理酬金。</w:t>
      </w:r>
    </w:p>
    <w:p w14:paraId="6387699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、监理人须认真审核施工单位编制的工程结算书并对审核结果的准确性负责。</w:t>
      </w:r>
    </w:p>
    <w:p w14:paraId="1D37DC3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监理</w:t>
      </w:r>
      <w:r>
        <w:rPr>
          <w:rFonts w:hint="eastAsia" w:ascii="仿宋" w:hAnsi="仿宋" w:eastAsia="仿宋" w:cs="仿宋"/>
          <w:color w:val="auto"/>
          <w:kern w:val="0"/>
          <w:sz w:val="24"/>
          <w:highlight w:val="none"/>
          <w:lang w:val="en-US" w:eastAsia="zh-CN"/>
        </w:rPr>
        <w:t>费用</w:t>
      </w:r>
      <w:r>
        <w:rPr>
          <w:rFonts w:hint="eastAsia" w:ascii="仿宋" w:hAnsi="仿宋" w:eastAsia="仿宋" w:cs="仿宋"/>
          <w:color w:val="auto"/>
          <w:kern w:val="0"/>
          <w:sz w:val="24"/>
          <w:highlight w:val="none"/>
        </w:rPr>
        <w:t>的总结算价的计算公式=A－B，其中：</w:t>
      </w:r>
    </w:p>
    <w:p w14:paraId="29D02D7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A=以审定的工程结算</w:t>
      </w:r>
      <w:r>
        <w:rPr>
          <w:rFonts w:hint="eastAsia" w:ascii="仿宋" w:hAnsi="仿宋" w:eastAsia="仿宋" w:cs="仿宋"/>
          <w:color w:val="auto"/>
          <w:kern w:val="0"/>
          <w:sz w:val="24"/>
          <w:highlight w:val="none"/>
          <w:lang w:val="en-US" w:eastAsia="zh-CN"/>
        </w:rPr>
        <w:t>评审</w:t>
      </w:r>
      <w:r>
        <w:rPr>
          <w:rFonts w:hint="eastAsia" w:ascii="仿宋" w:hAnsi="仿宋" w:eastAsia="仿宋" w:cs="仿宋"/>
          <w:color w:val="auto"/>
          <w:kern w:val="0"/>
          <w:sz w:val="24"/>
          <w:highlight w:val="none"/>
        </w:rPr>
        <w:t>价为基数计算出的监理</w:t>
      </w:r>
      <w:r>
        <w:rPr>
          <w:rFonts w:hint="eastAsia" w:ascii="仿宋" w:hAnsi="仿宋" w:eastAsia="仿宋" w:cs="仿宋"/>
          <w:color w:val="auto"/>
          <w:kern w:val="0"/>
          <w:sz w:val="24"/>
          <w:highlight w:val="none"/>
          <w:lang w:val="en-US" w:eastAsia="zh-CN"/>
        </w:rPr>
        <w:t>费用</w:t>
      </w:r>
      <w:r>
        <w:rPr>
          <w:rFonts w:hint="eastAsia" w:ascii="仿宋" w:hAnsi="仿宋" w:eastAsia="仿宋" w:cs="仿宋"/>
          <w:color w:val="auto"/>
          <w:kern w:val="0"/>
          <w:sz w:val="24"/>
          <w:highlight w:val="none"/>
        </w:rPr>
        <w:t>基准价×（1－合同中约定下浮率）</w:t>
      </w:r>
    </w:p>
    <w:p w14:paraId="5894BFD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B=A×（审定的变更工程价/审定的工程总结算价）×（平均调整率C×倍数N）</w:t>
      </w:r>
    </w:p>
    <w:p w14:paraId="31DDA4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注1：C为工程变更价（不含施工合同价）审核的平均调整率(取正值)</w:t>
      </w:r>
    </w:p>
    <w:p w14:paraId="0193DC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注2：N的取值如下：</w:t>
      </w:r>
    </w:p>
    <w:p w14:paraId="4494FE00">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（1）当平均调整率C小于5%（不含5%），N=0</w:t>
      </w:r>
    </w:p>
    <w:p w14:paraId="052DC3F1">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（2）当平均调整率C为5%（含5%）～10%（不含10%）时，N=2</w:t>
      </w:r>
    </w:p>
    <w:p w14:paraId="66CCF6E4">
      <w:pPr>
        <w:keepNext w:val="0"/>
        <w:keepLines w:val="0"/>
        <w:pageBreakBefore w:val="0"/>
        <w:kinsoku/>
        <w:wordWrap/>
        <w:overflowPunct/>
        <w:topLinePunct w:val="0"/>
        <w:autoSpaceDE/>
        <w:autoSpaceDN/>
        <w:bidi w:val="0"/>
        <w:adjustRightInd w:val="0"/>
        <w:snapToGrid w:val="0"/>
        <w:spacing w:line="360" w:lineRule="auto"/>
        <w:ind w:firstLine="960" w:firstLineChars="4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（3）当平均调整率C大于10%（含10%）时，N=4</w:t>
      </w:r>
    </w:p>
    <w:p w14:paraId="65BDFF1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、监理人除按审批的监理方案及监理规划进行监理外，还要按委托人的工作流程进行督促和配合委托人现场代表的管理工作；</w:t>
      </w:r>
    </w:p>
    <w:p w14:paraId="4563819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、施工期间，监理人要认真做好施工期间的监理日记；项目结束，监理人要提交项目总结；竣工验收时，同监理日记一并提交存档。 </w:t>
      </w:r>
    </w:p>
    <w:p w14:paraId="4C8566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、监理人在竣工验收后三十个工作日内，向委托人提交完整监理竣工资料2套。竣工验收资料须按工程档案管理的有关要求编制成册，监理人所提供监理竣工资料必须满足相关职能部门要求。</w:t>
      </w:r>
    </w:p>
    <w:p w14:paraId="3D99F5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trike/>
          <w:color w:val="auto"/>
          <w:sz w:val="24"/>
          <w:highlight w:val="none"/>
        </w:rPr>
      </w:pPr>
      <w:r>
        <w:rPr>
          <w:rFonts w:hint="eastAsia" w:ascii="仿宋" w:hAnsi="仿宋" w:eastAsia="仿宋" w:cs="仿宋"/>
          <w:strike/>
          <w:color w:val="auto"/>
          <w:sz w:val="24"/>
          <w:highlight w:val="none"/>
        </w:rPr>
        <w:t>1</w:t>
      </w:r>
      <w:r>
        <w:rPr>
          <w:rFonts w:hint="eastAsia" w:ascii="仿宋" w:hAnsi="仿宋" w:eastAsia="仿宋" w:cs="仿宋"/>
          <w:strike/>
          <w:color w:val="auto"/>
          <w:sz w:val="24"/>
          <w:highlight w:val="none"/>
          <w:lang w:eastAsia="zh-CN"/>
        </w:rPr>
        <w:t>7</w:t>
      </w:r>
      <w:r>
        <w:rPr>
          <w:rFonts w:hint="eastAsia" w:ascii="仿宋" w:hAnsi="仿宋" w:eastAsia="仿宋" w:cs="仿宋"/>
          <w:strike/>
          <w:color w:val="auto"/>
          <w:sz w:val="24"/>
          <w:highlight w:val="none"/>
        </w:rPr>
        <w:t>、委托人参照《番禺区水务工程参建单位管理人员考核要求》对监理人进行考核评价及执行相关规定。【本条款适用于监理费最高投标限价在300万元（含）以上项目】</w:t>
      </w:r>
    </w:p>
    <w:p w14:paraId="426B7A8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监理人在竣工验收后三十个工作日内，向委托人提交完整监理竣工资料4套（二套原件二套复印件）。竣工验收资料须按工程档案管理的有关要求编制成册，监理人所提供监理竣工资料必须满足相关职能部门要求。监理人需要提供施工组卷资料共四套，其中原件至少两套，复印件两套；原件每卷需要扫描成册；竣工图需要提供CAD版以及PDF版（已签字确认的竣工图）;最后移交档案时，需要用U盘提交。</w:t>
      </w:r>
    </w:p>
    <w:p w14:paraId="20B12D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、监理人负责对施工单位的工程档案资料进行审核，在单位工程验收后</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个工作日内，施工单位及监理单位的档案资料需提交给委托人，档案资料组卷必须符合规范以及档案管理规定的相关要求。如发现档案资料不符规范以及档案管理规定的相关要求，存在弄虚作假、与现场不符等重大问题的，将对监理单位对行罚款，一次罚款叁万元整，累计最高可罚款拾万元整。逾期处罚：若逾期60日未能提交监理单位的组卷资料给委托人，将对监理单位进行一次罚款叁万元整，若监理人逾期90日未能提交监理单位的组卷资料给委托人，则在诚信评价系统进行扣分，逾期180日未能提交监理单位的组卷资料的，将报请上级主管部门对其全区通报批评。</w:t>
      </w:r>
    </w:p>
    <w:p w14:paraId="7C5289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、监理人必须按广州市番禺区安全生产委员会办公室文件（番安委办[2022]25号）精神购买保险。</w:t>
      </w:r>
    </w:p>
    <w:p w14:paraId="57723CBF">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（本页以下无正文）</w:t>
      </w:r>
    </w:p>
    <w:p w14:paraId="3AD8217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bookmarkStart w:id="5" w:name="_Toc237755563"/>
    </w:p>
    <w:p w14:paraId="47EC29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9C05A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714C7A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6EB41AA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527957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p w14:paraId="1E9A743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pacing w:val="2"/>
          <w:position w:val="2"/>
          <w:sz w:val="24"/>
          <w:szCs w:val="24"/>
          <w:highlight w:val="none"/>
        </w:rPr>
      </w:pPr>
      <w:r>
        <w:rPr>
          <w:rFonts w:hint="eastAsia" w:ascii="仿宋" w:hAnsi="仿宋" w:eastAsia="仿宋" w:cs="仿宋"/>
          <w:color w:val="auto"/>
          <w:spacing w:val="2"/>
          <w:position w:val="2"/>
          <w:sz w:val="24"/>
          <w:szCs w:val="24"/>
          <w:highlight w:val="none"/>
        </w:rPr>
        <w:t xml:space="preserve">附件1  </w:t>
      </w:r>
    </w:p>
    <w:p w14:paraId="313BD867">
      <w:pPr>
        <w:keepNext w:val="0"/>
        <w:keepLines w:val="0"/>
        <w:pageBreakBefore w:val="0"/>
        <w:kinsoku/>
        <w:wordWrap/>
        <w:overflowPunct/>
        <w:topLinePunct w:val="0"/>
        <w:autoSpaceDE/>
        <w:autoSpaceDN/>
        <w:bidi w:val="0"/>
        <w:adjustRightInd w:val="0"/>
        <w:snapToGrid w:val="0"/>
        <w:spacing w:after="0" w:afterLines="-2147483648" w:line="360" w:lineRule="auto"/>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项目监理机构人员进场</w:t>
      </w:r>
      <w:r>
        <w:rPr>
          <w:rFonts w:hint="eastAsia" w:ascii="仿宋" w:hAnsi="仿宋" w:eastAsia="仿宋" w:cs="仿宋"/>
          <w:b/>
          <w:bCs/>
          <w:color w:val="auto"/>
          <w:sz w:val="28"/>
          <w:szCs w:val="28"/>
          <w:highlight w:val="none"/>
          <w:lang w:val="en-US" w:eastAsia="zh-CN"/>
        </w:rPr>
        <w:t>名单</w:t>
      </w:r>
    </w:p>
    <w:tbl>
      <w:tblPr>
        <w:tblStyle w:val="24"/>
        <w:tblpPr w:leftFromText="180" w:rightFromText="180" w:vertAnchor="text" w:horzAnchor="page" w:tblpX="1757" w:tblpY="726"/>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1"/>
        <w:gridCol w:w="3349"/>
        <w:gridCol w:w="1764"/>
        <w:gridCol w:w="1626"/>
        <w:tblGridChange w:id="0">
          <w:tblGrid>
            <w:gridCol w:w="2541"/>
            <w:gridCol w:w="1"/>
            <w:gridCol w:w="3348"/>
            <w:gridCol w:w="2"/>
            <w:gridCol w:w="1762"/>
            <w:gridCol w:w="1626"/>
          </w:tblGrid>
        </w:tblGridChange>
      </w:tblGrid>
      <w:tr w14:paraId="0DD0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69"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FB0C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val="0"/>
                <w:bCs/>
                <w:color w:val="000000"/>
                <w:kern w:val="0"/>
                <w:sz w:val="21"/>
                <w:szCs w:val="21"/>
                <w:highlight w:val="none"/>
              </w:rPr>
            </w:pPr>
            <w:r>
              <w:rPr>
                <w:rFonts w:hint="eastAsia" w:ascii="仿宋" w:hAnsi="仿宋" w:eastAsia="仿宋" w:cs="仿宋"/>
                <w:b/>
                <w:bCs w:val="0"/>
                <w:color w:val="000000"/>
                <w:kern w:val="0"/>
                <w:sz w:val="21"/>
                <w:szCs w:val="21"/>
                <w:highlight w:val="none"/>
                <w:lang w:val="en-US" w:eastAsia="zh-CN"/>
              </w:rPr>
              <w:t>项目</w:t>
            </w:r>
            <w:r>
              <w:rPr>
                <w:rFonts w:hint="eastAsia" w:ascii="仿宋" w:hAnsi="仿宋" w:eastAsia="仿宋" w:cs="仿宋"/>
                <w:b/>
                <w:bCs w:val="0"/>
                <w:color w:val="000000"/>
                <w:kern w:val="0"/>
                <w:sz w:val="21"/>
                <w:szCs w:val="21"/>
                <w:highlight w:val="none"/>
              </w:rPr>
              <w:t>名称</w:t>
            </w:r>
          </w:p>
        </w:tc>
        <w:tc>
          <w:tcPr>
            <w:tcW w:w="18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54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番禺区石碁水厂扩建工程施工监理</w:t>
            </w: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73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val="0"/>
                <w:bCs/>
                <w:color w:val="000000"/>
                <w:kern w:val="0"/>
                <w:sz w:val="21"/>
                <w:szCs w:val="21"/>
                <w:highlight w:val="none"/>
              </w:rPr>
            </w:pPr>
            <w:r>
              <w:rPr>
                <w:rFonts w:hint="eastAsia" w:ascii="仿宋" w:hAnsi="仿宋" w:eastAsia="仿宋" w:cs="仿宋"/>
                <w:b/>
                <w:bCs w:val="0"/>
                <w:color w:val="000000"/>
                <w:kern w:val="0"/>
                <w:sz w:val="21"/>
                <w:szCs w:val="21"/>
                <w:highlight w:val="none"/>
              </w:rPr>
              <w:t>工程类别</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3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市政工程</w:t>
            </w:r>
          </w:p>
        </w:tc>
      </w:tr>
      <w:tr w14:paraId="3832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369"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70FA07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仿宋" w:hAnsi="仿宋" w:eastAsia="仿宋" w:cs="仿宋"/>
                <w:b/>
                <w:bCs w:val="0"/>
                <w:color w:val="000000"/>
                <w:kern w:val="0"/>
                <w:sz w:val="21"/>
                <w:szCs w:val="21"/>
                <w:highlight w:val="none"/>
                <w:lang w:val="en-US" w:eastAsia="zh-CN"/>
              </w:rPr>
            </w:pPr>
            <w:r>
              <w:rPr>
                <w:rFonts w:hint="eastAsia" w:ascii="仿宋" w:hAnsi="仿宋" w:eastAsia="仿宋" w:cs="仿宋"/>
                <w:b/>
                <w:bCs w:val="0"/>
                <w:color w:val="000000"/>
                <w:kern w:val="0"/>
                <w:sz w:val="21"/>
                <w:szCs w:val="21"/>
                <w:highlight w:val="none"/>
              </w:rPr>
              <w:t>项目总监</w:t>
            </w:r>
          </w:p>
        </w:tc>
        <w:tc>
          <w:tcPr>
            <w:tcW w:w="18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8A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eastAsia="zh-CN"/>
              </w:rPr>
            </w:pPr>
          </w:p>
        </w:tc>
        <w:tc>
          <w:tcPr>
            <w:tcW w:w="9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372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b/>
                <w:bCs w:val="0"/>
                <w:color w:val="000000"/>
                <w:kern w:val="0"/>
                <w:sz w:val="21"/>
                <w:szCs w:val="21"/>
                <w:highlight w:val="none"/>
                <w:lang w:val="en-US" w:eastAsia="zh-CN" w:bidi="ar"/>
              </w:rPr>
              <w:t>现场安全负责人</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E24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0"/>
                <w:sz w:val="21"/>
                <w:szCs w:val="21"/>
                <w:highlight w:val="none"/>
                <w:lang w:val="en-US" w:eastAsia="zh-CN"/>
              </w:rPr>
            </w:pPr>
          </w:p>
        </w:tc>
      </w:tr>
      <w:tr w14:paraId="5447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F4D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0"/>
                <w:sz w:val="21"/>
                <w:szCs w:val="21"/>
                <w:highlight w:val="none"/>
              </w:rPr>
            </w:pPr>
            <w:r>
              <w:rPr>
                <w:rFonts w:hint="eastAsia" w:ascii="仿宋" w:hAnsi="仿宋" w:eastAsia="仿宋" w:cs="仿宋"/>
                <w:b/>
                <w:bCs w:val="0"/>
                <w:color w:val="000000"/>
                <w:kern w:val="0"/>
                <w:sz w:val="21"/>
                <w:szCs w:val="21"/>
                <w:highlight w:val="none"/>
                <w:lang w:val="en-US" w:eastAsia="zh-CN" w:bidi="ar"/>
              </w:rPr>
              <w:t>现场监理</w:t>
            </w:r>
          </w:p>
        </w:tc>
        <w:tc>
          <w:tcPr>
            <w:tcW w:w="3630"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80D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color w:val="000000"/>
                <w:kern w:val="0"/>
                <w:sz w:val="21"/>
                <w:szCs w:val="21"/>
                <w:highlight w:val="none"/>
                <w:lang w:val="en-US" w:eastAsia="zh-CN"/>
              </w:rPr>
            </w:pPr>
          </w:p>
        </w:tc>
      </w:tr>
    </w:tbl>
    <w:p w14:paraId="18CF1B4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rPr>
      </w:pPr>
    </w:p>
    <w:p w14:paraId="14FE979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rPr>
      </w:pPr>
    </w:p>
    <w:bookmarkEnd w:id="5"/>
    <w:p w14:paraId="60C07DC0">
      <w:pPr>
        <w:keepNext w:val="0"/>
        <w:keepLines w:val="0"/>
        <w:pageBreakBefore w:val="0"/>
        <w:tabs>
          <w:tab w:val="left" w:pos="1384"/>
        </w:tabs>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注：按粤建管字[2002]97号文规定人数及委托人要求配备监理人员。驻地办的文秘、驾驶、后勤等辅助人员，由监理单位按需要自行配备，其费用列入综合费用报价表中。</w:t>
      </w:r>
    </w:p>
    <w:p w14:paraId="581126AE">
      <w:pPr>
        <w:pStyle w:val="2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rPr>
        <w:sectPr>
          <w:footerReference r:id="rId8" w:type="first"/>
          <w:footerReference r:id="rId7"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1E519239">
      <w:pPr>
        <w:pStyle w:val="21"/>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附件2  </w:t>
      </w:r>
    </w:p>
    <w:p w14:paraId="7EF58CE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工程质量责任合同</w:t>
      </w:r>
    </w:p>
    <w:p w14:paraId="14F50F8B">
      <w:pPr>
        <w:keepNext w:val="0"/>
        <w:keepLines w:val="0"/>
        <w:pageBreakBefore w:val="0"/>
        <w:kinsoku/>
        <w:wordWrap/>
        <w:overflowPunct/>
        <w:topLinePunct w:val="0"/>
        <w:autoSpaceDE/>
        <w:autoSpaceDN/>
        <w:bidi w:val="0"/>
        <w:adjustRightInd w:val="0"/>
        <w:snapToGrid w:val="0"/>
        <w:spacing w:line="360" w:lineRule="auto"/>
        <w:ind w:firstLine="450"/>
        <w:textAlignment w:val="auto"/>
        <w:rPr>
          <w:rFonts w:hint="eastAsia" w:ascii="仿宋" w:hAnsi="仿宋" w:eastAsia="仿宋" w:cs="仿宋"/>
          <w:color w:val="auto"/>
          <w:sz w:val="24"/>
          <w:highlight w:val="none"/>
        </w:rPr>
      </w:pPr>
    </w:p>
    <w:p w14:paraId="65051DCE">
      <w:pPr>
        <w:keepNext w:val="0"/>
        <w:keepLines w:val="0"/>
        <w:pageBreakBefore w:val="0"/>
        <w:kinsoku/>
        <w:wordWrap/>
        <w:overflowPunct/>
        <w:topLinePunct w:val="0"/>
        <w:autoSpaceDE/>
        <w:autoSpaceDN/>
        <w:bidi w:val="0"/>
        <w:adjustRightInd w:val="0"/>
        <w:snapToGrid w:val="0"/>
        <w:spacing w:line="360" w:lineRule="auto"/>
        <w:ind w:firstLine="4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根据国务院《建设工程质量管理条例》，为保证在设计使用年限内建设工程质量，本项目工程</w:t>
      </w:r>
      <w:r>
        <w:rPr>
          <w:rFonts w:hint="eastAsia" w:ascii="仿宋" w:hAnsi="仿宋" w:eastAsia="仿宋" w:cs="仿宋"/>
          <w:color w:val="auto"/>
          <w:spacing w:val="2"/>
          <w:sz w:val="24"/>
          <w:highlight w:val="none"/>
        </w:rPr>
        <w:t>的建设单位</w:t>
      </w:r>
      <w:r>
        <w:rPr>
          <w:rFonts w:hint="eastAsia" w:ascii="仿宋" w:hAnsi="仿宋" w:eastAsia="仿宋" w:cs="仿宋"/>
          <w:color w:val="auto"/>
          <w:spacing w:val="2"/>
          <w:sz w:val="24"/>
          <w:highlight w:val="none"/>
          <w:u w:val="single"/>
          <w:lang w:eastAsia="zh-CN"/>
        </w:rPr>
        <w:t>广州市番禺石碁自来水有限公司</w:t>
      </w:r>
      <w:r>
        <w:rPr>
          <w:rFonts w:hint="eastAsia" w:ascii="仿宋" w:hAnsi="仿宋" w:eastAsia="仿宋" w:cs="仿宋"/>
          <w:color w:val="auto"/>
          <w:spacing w:val="2"/>
          <w:sz w:val="24"/>
          <w:highlight w:val="none"/>
        </w:rPr>
        <w:t>（以下称甲方）与监理</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（以下称乙方），特订立如下质量责任合同。</w:t>
      </w:r>
    </w:p>
    <w:p w14:paraId="1F9112C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第一条</w:t>
      </w:r>
      <w:r>
        <w:rPr>
          <w:rFonts w:hint="eastAsia" w:ascii="仿宋" w:hAnsi="仿宋" w:eastAsia="仿宋" w:cs="仿宋"/>
          <w:color w:val="auto"/>
          <w:sz w:val="24"/>
          <w:highlight w:val="none"/>
        </w:rPr>
        <w:t xml:space="preserve">  本建设项目的工程质量目标为</w:t>
      </w:r>
      <w:r>
        <w:rPr>
          <w:rFonts w:hint="eastAsia" w:ascii="仿宋" w:hAnsi="仿宋" w:eastAsia="仿宋" w:cs="仿宋"/>
          <w:color w:val="auto"/>
          <w:sz w:val="24"/>
          <w:highlight w:val="none"/>
          <w:u w:val="single"/>
        </w:rPr>
        <w:t xml:space="preserve"> 合格 </w:t>
      </w:r>
      <w:r>
        <w:rPr>
          <w:rFonts w:hint="eastAsia" w:ascii="仿宋" w:hAnsi="仿宋" w:eastAsia="仿宋" w:cs="仿宋"/>
          <w:color w:val="auto"/>
          <w:sz w:val="24"/>
          <w:highlight w:val="none"/>
        </w:rPr>
        <w:t>工程，监理单位对本建设工程的监理质量在设计使用年限内依法终身负责。具体监理责任人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3A2D43B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第二条</w:t>
      </w:r>
      <w:r>
        <w:rPr>
          <w:rFonts w:hint="eastAsia" w:ascii="仿宋" w:hAnsi="仿宋" w:eastAsia="仿宋" w:cs="仿宋"/>
          <w:color w:val="auto"/>
          <w:sz w:val="24"/>
          <w:highlight w:val="none"/>
        </w:rPr>
        <w:t xml:space="preserve">  甲乙双方的权利和义务</w:t>
      </w:r>
    </w:p>
    <w:p w14:paraId="0B2A5BA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（一）严格遵守国家有关法律法规及交通部的有关规定。</w:t>
      </w:r>
    </w:p>
    <w:p w14:paraId="1B256CE5">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（二）严格执行本工程监理服务合同协议书，自觉按协议书办事。</w:t>
      </w:r>
    </w:p>
    <w:p w14:paraId="05980350">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（三）双方的施工监理业务活动坚持科学、公正、诚信、平等的原则，不得损害国家、集体的利益，不得违反工程建设管理规章制度。</w:t>
      </w:r>
    </w:p>
    <w:p w14:paraId="428C2A7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（四）发现对方在施工监理业务活动中，有违反有关规定的行为，有及时提醒对方纠正的权利和义务。</w:t>
      </w:r>
    </w:p>
    <w:p w14:paraId="1B63778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（五）发现对方严重违反监理合同文件的行为，有向其上级有关部门举报，建议给予处理并要求告知处理结果的权利。</w:t>
      </w:r>
    </w:p>
    <w:p w14:paraId="74A0BD5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第三条</w:t>
      </w:r>
      <w:r>
        <w:rPr>
          <w:rFonts w:hint="eastAsia" w:ascii="仿宋" w:hAnsi="仿宋" w:eastAsia="仿宋" w:cs="仿宋"/>
          <w:color w:val="auto"/>
          <w:sz w:val="24"/>
          <w:highlight w:val="none"/>
        </w:rPr>
        <w:t xml:space="preserve">  甲方的义务</w:t>
      </w:r>
    </w:p>
    <w:p w14:paraId="7666D5A0">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（一）甲方向乙方及时提供与承包人签订的施工合同文件及有关资料（包括技术规范、工程量清单、施工图等）。</w:t>
      </w:r>
    </w:p>
    <w:p w14:paraId="505B537F">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（二）甲方不得指使乙方不按法律、法规、工程建设强制性标准和监理规范进行现场监理。</w:t>
      </w:r>
    </w:p>
    <w:p w14:paraId="6866CF0C">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（三）甲方应按施工监理合同的约定支付监理费，除施工监理合同的约定外，甲方不得以任何借口克扣监理费或拖延监理费的支付。</w:t>
      </w:r>
    </w:p>
    <w:p w14:paraId="1C24477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（四）甲方不得明示或暗示向乙方推荐单位或个人承包或分包本工程的施工监理任务。</w:t>
      </w:r>
    </w:p>
    <w:p w14:paraId="5B2D9076">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（五）甲方不得以任何理由索取回扣或其它好处。</w:t>
      </w:r>
    </w:p>
    <w:p w14:paraId="0250B13C">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第四条</w:t>
      </w:r>
      <w:r>
        <w:rPr>
          <w:rFonts w:hint="eastAsia" w:ascii="仿宋" w:hAnsi="仿宋" w:eastAsia="仿宋" w:cs="仿宋"/>
          <w:color w:val="auto"/>
          <w:sz w:val="24"/>
          <w:highlight w:val="none"/>
        </w:rPr>
        <w:t xml:space="preserve">  乙方的义务</w:t>
      </w:r>
    </w:p>
    <w:p w14:paraId="3A92ACAA">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（一）乙方应具备与本工程相应等级的监理资质证书。</w:t>
      </w:r>
    </w:p>
    <w:p w14:paraId="1A377157">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（二）乙方不得允许其它单位或个人以乙方的名义承揽本工程的施工监理任务，不得转包或违法分包所承揽的本工程的施工监理任务。</w:t>
      </w:r>
    </w:p>
    <w:p w14:paraId="32D7C578">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（三）乙方必须严格履行施工监理合同，按投标承诺的监理人员及时到位。监理人员不能擅自调换，如有特殊原因确需调换的，须经委托人书面同意方能换人。</w:t>
      </w:r>
    </w:p>
    <w:p w14:paraId="6BB2BF64">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（四）乙方必须建立工地临时试验室，按要求配备相应的试验检测人员和设备，并取得工地临时试验室资质证书。按有关规定做好各类试验，试验资料应真实、完整，统一归档。</w:t>
      </w:r>
    </w:p>
    <w:p w14:paraId="004C52CB">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乙方必须按照“严格监理、热情服务、秉公办事、一丝不苟”的原则，认真贯彻执行有关施工监理的各项方针政策、法规，制定详细监理工作计划，明确监理岗位职责，严格监理检查制度。对工程的重要环节和关键部位，必须实施全过程的现场监理旁站，并有完整的监理旁站记录；严格计量支付；合理有效地控制进度。</w:t>
      </w:r>
    </w:p>
    <w:p w14:paraId="4B1AB521">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（六）乙方与甲方、承包人或指定分包人之间有关工程质量、进度和费用的一切往来函件、报表均应分类编号归档保存；监理资料应真实、完整。</w:t>
      </w:r>
    </w:p>
    <w:p w14:paraId="252498E2">
      <w:pPr>
        <w:keepNext w:val="0"/>
        <w:keepLines w:val="0"/>
        <w:pageBreakBefore w:val="0"/>
        <w:kinsoku/>
        <w:wordWrap/>
        <w:overflowPunct/>
        <w:topLinePunct w:val="0"/>
        <w:autoSpaceDE/>
        <w:autoSpaceDN/>
        <w:bidi w:val="0"/>
        <w:adjustRightInd w:val="0"/>
        <w:snapToGrid w:val="0"/>
        <w:spacing w:line="360" w:lineRule="auto"/>
        <w:ind w:firstLine="590" w:firstLineChars="24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第五条</w:t>
      </w:r>
      <w:r>
        <w:rPr>
          <w:rFonts w:hint="eastAsia" w:ascii="仿宋" w:hAnsi="仿宋" w:eastAsia="仿宋" w:cs="仿宋"/>
          <w:color w:val="auto"/>
          <w:sz w:val="24"/>
          <w:highlight w:val="none"/>
        </w:rPr>
        <w:t xml:space="preserve">  违约责任</w:t>
      </w:r>
    </w:p>
    <w:p w14:paraId="30B536C5">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14:paraId="24E1C1C8">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（二）乙方及其工作人员违反本合同第二、四条，按管理权限，依国务院《建设工程质量管理条例》有关规定给予相应的处罚；涉嫌犯罪的，依法追究刑事责任；给甲方单位造成经济损失的，应予以赔偿。</w:t>
      </w:r>
    </w:p>
    <w:p w14:paraId="68F62726">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第六条</w:t>
      </w:r>
      <w:r>
        <w:rPr>
          <w:rFonts w:hint="eastAsia" w:ascii="仿宋" w:hAnsi="仿宋" w:eastAsia="仿宋" w:cs="仿宋"/>
          <w:color w:val="auto"/>
          <w:sz w:val="24"/>
          <w:highlight w:val="none"/>
        </w:rPr>
        <w:t xml:space="preserve">  本合同有效期为自甲乙双方签署之日起至该工程项目设计使用年限届满之日止。</w:t>
      </w:r>
    </w:p>
    <w:p w14:paraId="0A29BDAE">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第七条  </w:t>
      </w:r>
      <w:r>
        <w:rPr>
          <w:rFonts w:hint="eastAsia" w:ascii="仿宋" w:hAnsi="仿宋" w:eastAsia="仿宋" w:cs="仿宋"/>
          <w:color w:val="auto"/>
          <w:sz w:val="24"/>
          <w:highlight w:val="none"/>
        </w:rPr>
        <w:t>本合同作为本工程监理服务合同协议书的附件。</w:t>
      </w:r>
    </w:p>
    <w:p w14:paraId="41312F0E">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第八条  </w:t>
      </w: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份，监理人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2E2938F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第九条</w:t>
      </w:r>
      <w:r>
        <w:rPr>
          <w:rFonts w:hint="eastAsia" w:ascii="仿宋" w:hAnsi="仿宋" w:eastAsia="仿宋" w:cs="仿宋"/>
          <w:color w:val="auto"/>
          <w:sz w:val="24"/>
          <w:highlight w:val="none"/>
        </w:rPr>
        <w:t xml:space="preserve">  本合同经甲、乙双方法定代表人或授权代理人签字或签章并加盖公章后生效。</w:t>
      </w:r>
    </w:p>
    <w:p w14:paraId="7F144987">
      <w:pPr>
        <w:pStyle w:val="8"/>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以下无正文</w:t>
      </w:r>
      <w:r>
        <w:rPr>
          <w:rFonts w:hint="eastAsia" w:ascii="仿宋" w:hAnsi="仿宋" w:eastAsia="仿宋" w:cs="仿宋"/>
          <w:sz w:val="24"/>
          <w:szCs w:val="24"/>
          <w:highlight w:val="none"/>
          <w:lang w:eastAsia="zh-CN"/>
        </w:rPr>
        <w:t>）</w:t>
      </w:r>
    </w:p>
    <w:p w14:paraId="239E873A">
      <w:pPr>
        <w:rPr>
          <w:rFonts w:hint="eastAsia" w:ascii="仿宋" w:hAnsi="仿宋" w:eastAsia="仿宋" w:cs="仿宋"/>
          <w:sz w:val="24"/>
          <w:szCs w:val="24"/>
          <w:highlight w:val="none"/>
          <w:lang w:eastAsia="zh-CN"/>
        </w:rPr>
      </w:pPr>
    </w:p>
    <w:p w14:paraId="58DA055C">
      <w:pPr>
        <w:pStyle w:val="8"/>
        <w:rPr>
          <w:rFonts w:hint="eastAsia" w:ascii="仿宋" w:hAnsi="仿宋" w:eastAsia="仿宋" w:cs="仿宋"/>
          <w:sz w:val="24"/>
          <w:szCs w:val="24"/>
          <w:highlight w:val="none"/>
          <w:lang w:eastAsia="zh-CN"/>
        </w:rPr>
      </w:pPr>
    </w:p>
    <w:p w14:paraId="13C4D393">
      <w:pPr>
        <w:rPr>
          <w:rFonts w:hint="eastAsia" w:ascii="仿宋" w:hAnsi="仿宋" w:eastAsia="仿宋" w:cs="仿宋"/>
          <w:sz w:val="24"/>
          <w:szCs w:val="24"/>
          <w:highlight w:val="none"/>
          <w:lang w:eastAsia="zh-CN"/>
        </w:rPr>
      </w:pPr>
    </w:p>
    <w:p w14:paraId="10EFBCC7">
      <w:pPr>
        <w:rPr>
          <w:rFonts w:hint="eastAsia" w:ascii="仿宋" w:hAnsi="仿宋" w:eastAsia="仿宋" w:cs="仿宋"/>
          <w:sz w:val="24"/>
          <w:szCs w:val="24"/>
          <w:highlight w:val="none"/>
          <w:lang w:eastAsia="zh-CN"/>
        </w:rPr>
      </w:pPr>
    </w:p>
    <w:p w14:paraId="6A6B66B0">
      <w:pPr>
        <w:pStyle w:val="8"/>
        <w:jc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本页为签署页，无正文内容</w:t>
      </w:r>
      <w:r>
        <w:rPr>
          <w:rFonts w:hint="eastAsia" w:ascii="仿宋" w:hAnsi="仿宋" w:eastAsia="仿宋" w:cs="仿宋"/>
          <w:sz w:val="24"/>
          <w:szCs w:val="24"/>
          <w:highlight w:val="none"/>
          <w:lang w:eastAsia="zh-CN"/>
        </w:rPr>
        <w:t>）</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36DC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532F9E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甲方：（单位全称）（盖章）   </w:t>
            </w:r>
          </w:p>
          <w:p w14:paraId="0A9B8C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eastAsia="zh-CN"/>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pacing w:val="0"/>
                <w:sz w:val="24"/>
                <w:highlight w:val="none"/>
                <w:u w:val="none"/>
                <w:lang w:eastAsia="zh-CN"/>
              </w:rPr>
              <w:t>广州市番禺石碁自来水有限公司</w:t>
            </w:r>
          </w:p>
        </w:tc>
        <w:tc>
          <w:tcPr>
            <w:tcW w:w="4644" w:type="dxa"/>
            <w:noWrap w:val="0"/>
            <w:vAlign w:val="top"/>
          </w:tcPr>
          <w:p w14:paraId="0862BC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乙方：（单位全称）（盖章）   </w:t>
            </w:r>
          </w:p>
          <w:p w14:paraId="0776D5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val="en-US" w:eastAsia="zh-CN"/>
              </w:rPr>
            </w:pPr>
            <w:r>
              <w:rPr>
                <w:rFonts w:hint="eastAsia" w:ascii="仿宋" w:hAnsi="仿宋" w:eastAsia="仿宋" w:cs="仿宋"/>
                <w:color w:val="auto"/>
                <w:sz w:val="24"/>
                <w:highlight w:val="none"/>
                <w:u w:val="none"/>
                <w:vertAlign w:val="baseline"/>
                <w:lang w:val="en-US" w:eastAsia="zh-CN"/>
              </w:rPr>
              <w:t xml:space="preserve">        </w:t>
            </w:r>
          </w:p>
        </w:tc>
      </w:tr>
      <w:tr w14:paraId="272D6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5706833C">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26965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rPr>
              <w:t xml:space="preserve">   </w:t>
            </w:r>
          </w:p>
        </w:tc>
        <w:tc>
          <w:tcPr>
            <w:tcW w:w="4644" w:type="dxa"/>
            <w:noWrap w:val="0"/>
            <w:vAlign w:val="top"/>
          </w:tcPr>
          <w:p w14:paraId="746420A6">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59F474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p>
        </w:tc>
      </w:tr>
      <w:tr w14:paraId="577B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4C0C5D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项目负责人</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c>
          <w:tcPr>
            <w:tcW w:w="4644" w:type="dxa"/>
            <w:noWrap w:val="0"/>
            <w:vAlign w:val="top"/>
          </w:tcPr>
          <w:p w14:paraId="625199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项目总监</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r>
      <w:tr w14:paraId="282E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4643" w:type="dxa"/>
            <w:noWrap w:val="0"/>
            <w:vAlign w:val="top"/>
          </w:tcPr>
          <w:p w14:paraId="0645E8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c>
          <w:tcPr>
            <w:tcW w:w="4644" w:type="dxa"/>
            <w:noWrap w:val="0"/>
            <w:vAlign w:val="top"/>
          </w:tcPr>
          <w:p w14:paraId="40AB8B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r>
    </w:tbl>
    <w:p w14:paraId="266A97F9">
      <w:pPr>
        <w:keepNext w:val="0"/>
        <w:keepLines w:val="0"/>
        <w:pageBreakBefore w:val="0"/>
        <w:kinsoku/>
        <w:wordWrap/>
        <w:overflowPunct/>
        <w:topLinePunct w:val="0"/>
        <w:autoSpaceDE/>
        <w:autoSpaceDN/>
        <w:bidi w:val="0"/>
        <w:adjustRightInd w:val="0"/>
        <w:snapToGrid w:val="0"/>
        <w:spacing w:line="360" w:lineRule="auto"/>
        <w:ind w:firstLine="435"/>
        <w:textAlignment w:val="auto"/>
        <w:rPr>
          <w:rFonts w:hint="eastAsia" w:ascii="仿宋" w:hAnsi="仿宋" w:eastAsia="仿宋" w:cs="仿宋"/>
          <w:color w:val="auto"/>
          <w:sz w:val="24"/>
          <w:highlight w:val="none"/>
        </w:rPr>
      </w:pPr>
    </w:p>
    <w:p w14:paraId="677EBCDE">
      <w:pPr>
        <w:keepNext w:val="0"/>
        <w:keepLines w:val="0"/>
        <w:pageBreakBefore w:val="0"/>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color w:val="auto"/>
          <w:sz w:val="24"/>
          <w:highlight w:val="none"/>
        </w:rPr>
      </w:pPr>
    </w:p>
    <w:p w14:paraId="6319CB3D">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sectPr>
          <w:footerReference r:id="rId10" w:type="first"/>
          <w:footerReference r:id="rId9"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7C31A31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附件3</w:t>
      </w:r>
    </w:p>
    <w:p w14:paraId="2538E77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安全监理责任合同</w:t>
      </w:r>
    </w:p>
    <w:p w14:paraId="517BCBC2">
      <w:pPr>
        <w:keepNext w:val="0"/>
        <w:keepLines w:val="0"/>
        <w:pageBreakBefore w:val="0"/>
        <w:kinsoku/>
        <w:wordWrap/>
        <w:overflowPunct/>
        <w:topLinePunct w:val="0"/>
        <w:autoSpaceDE/>
        <w:autoSpaceDN/>
        <w:bidi w:val="0"/>
        <w:adjustRightInd w:val="0"/>
        <w:snapToGrid w:val="0"/>
        <w:spacing w:line="360" w:lineRule="auto"/>
        <w:ind w:firstLine="2400"/>
        <w:jc w:val="center"/>
        <w:textAlignment w:val="auto"/>
        <w:rPr>
          <w:rFonts w:hint="eastAsia" w:ascii="仿宋" w:hAnsi="仿宋" w:eastAsia="仿宋" w:cs="仿宋"/>
          <w:b/>
          <w:bCs/>
          <w:color w:val="auto"/>
          <w:sz w:val="24"/>
          <w:highlight w:val="none"/>
        </w:rPr>
      </w:pPr>
    </w:p>
    <w:p w14:paraId="048B599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根据国务院《建设工程安全生产管理条例》，为在</w:t>
      </w:r>
      <w:r>
        <w:rPr>
          <w:rFonts w:hint="eastAsia" w:ascii="仿宋" w:hAnsi="仿宋" w:eastAsia="仿宋" w:cs="仿宋"/>
          <w:color w:val="auto"/>
          <w:sz w:val="24"/>
          <w:highlight w:val="none"/>
          <w:u w:val="single"/>
          <w:lang w:eastAsia="zh-CN"/>
        </w:rPr>
        <w:t>番禺区石碁水厂扩建工程施工监理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项目工程监理服务合同的实施过程中切实搞好本工程的安全生产管理工作，委托人</w:t>
      </w:r>
      <w:r>
        <w:rPr>
          <w:rFonts w:hint="eastAsia" w:ascii="仿宋" w:hAnsi="仿宋" w:eastAsia="仿宋" w:cs="仿宋"/>
          <w:color w:val="auto"/>
          <w:sz w:val="24"/>
          <w:highlight w:val="none"/>
          <w:u w:val="single"/>
          <w:lang w:eastAsia="zh-CN"/>
        </w:rPr>
        <w:t>广州市番禺石碁自来水有限公司</w:t>
      </w:r>
      <w:r>
        <w:rPr>
          <w:rFonts w:hint="eastAsia" w:ascii="仿宋" w:hAnsi="仿宋" w:eastAsia="仿宋" w:cs="仿宋"/>
          <w:color w:val="auto"/>
          <w:sz w:val="24"/>
          <w:highlight w:val="none"/>
        </w:rPr>
        <w:t>（以下简称“甲方”）与监理单位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（以下简称“乙方”）签订如下安全监理责任合同：</w:t>
      </w:r>
    </w:p>
    <w:p w14:paraId="3B024D7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一、甲方职责</w:t>
      </w:r>
    </w:p>
    <w:p w14:paraId="567DA1B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1．严格遵守国家有关安全生产的法律法规，支持乙方按条例要求对规定的施工安全实施监理。</w:t>
      </w:r>
    </w:p>
    <w:p w14:paraId="02AFCF0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2．按照“安全第一、预防为主”和坚持“管生产必须管安全”的原则进行安全生产管理，做到生产与安全工作同时计划、布置、检查、总结和评比。</w:t>
      </w:r>
    </w:p>
    <w:p w14:paraId="62F194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3．重要的安全设施必须坚持与主体工程“三同时”的原则，即：同时设计、审批，同时施工，同时验收、投入使用。</w:t>
      </w:r>
    </w:p>
    <w:p w14:paraId="133229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4．定期召开安全生产调度会，及时传达中央及地方有关安全生产的精神。</w:t>
      </w:r>
    </w:p>
    <w:p w14:paraId="067611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5．组织对施工现场的安全生产检查，监督施工单位及时处理发现的各项安全隐患。</w:t>
      </w:r>
    </w:p>
    <w:p w14:paraId="42EBD84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二、乙方职责</w:t>
      </w:r>
    </w:p>
    <w:p w14:paraId="08D50C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督促施工单位严格遵守国家有关安全生产的法律法规、交通部颁发的《公路工程施工安全技术规程》、《公路水运工程安全生产监督管理办法》和《公路筑养路机械操作规程》有关安全生产的规定，认真执行工程承包合同中的有关安全要求。</w:t>
      </w:r>
    </w:p>
    <w:p w14:paraId="1756B4E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w:t>
      </w:r>
    </w:p>
    <w:p w14:paraId="0DE194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 建立健全安全监理制度，加强安全知识教育培训，明确各岗位监理人员的安全监理职责，增强安全意识。</w:t>
      </w:r>
    </w:p>
    <w:p w14:paraId="4A9069E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4．在审查施工组织设计的同时，要同步审查施工组织设计中的安全技术措施，审查专项施工方案是否符合工程建设强制性标准。</w:t>
      </w:r>
    </w:p>
    <w:p w14:paraId="4B3723C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5387D5A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6．乙方及其监理工程师应当按照法律、法规和工程建设强制性标准实施监理，并对建设工程安全生产承担监理责任。</w:t>
      </w:r>
    </w:p>
    <w:p w14:paraId="764A925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乙方应督促施工单位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06DA3E6">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三、违约责任</w:t>
      </w:r>
    </w:p>
    <w:p w14:paraId="19EE51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如因甲方或乙方违约造成安全事故，将依法追究责任。</w:t>
      </w:r>
    </w:p>
    <w:p w14:paraId="16D4800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双方约定本合同正本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份，委托人执</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份，监理人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份。由双方法定代表人或其授权的代理人签署并加盖公章后生效，全部工程竣工验收后失效。</w:t>
      </w:r>
    </w:p>
    <w:p w14:paraId="329F4DC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9"/>
        <w:gridCol w:w="4590"/>
      </w:tblGrid>
      <w:tr w14:paraId="7D29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51C8BA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甲方：（单位全称）（盖章）   </w:t>
            </w:r>
          </w:p>
          <w:p w14:paraId="175DCB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eastAsia="zh-CN"/>
              </w:rPr>
            </w:pP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eastAsia="zh-CN"/>
              </w:rPr>
              <w:t>广州市番禺石碁自来水有限公司</w:t>
            </w:r>
          </w:p>
        </w:tc>
        <w:tc>
          <w:tcPr>
            <w:tcW w:w="4590" w:type="dxa"/>
            <w:noWrap w:val="0"/>
            <w:vAlign w:val="top"/>
          </w:tcPr>
          <w:p w14:paraId="06840B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 xml:space="preserve">乙方：（单位全称）（盖章）   </w:t>
            </w:r>
          </w:p>
          <w:p w14:paraId="5AC7D5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u w:val="none"/>
                <w:vertAlign w:val="baseline"/>
                <w:lang w:val="en-US" w:eastAsia="zh-CN"/>
              </w:rPr>
            </w:pPr>
            <w:r>
              <w:rPr>
                <w:rFonts w:hint="eastAsia" w:ascii="仿宋" w:hAnsi="仿宋" w:eastAsia="仿宋" w:cs="仿宋"/>
                <w:color w:val="auto"/>
                <w:sz w:val="24"/>
                <w:highlight w:val="none"/>
                <w:u w:val="none"/>
                <w:vertAlign w:val="baseline"/>
                <w:lang w:val="en-US" w:eastAsia="zh-CN"/>
              </w:rPr>
              <w:t xml:space="preserve">         </w:t>
            </w:r>
          </w:p>
        </w:tc>
      </w:tr>
      <w:tr w14:paraId="5DAF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641A6394">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500EF6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c>
          <w:tcPr>
            <w:tcW w:w="4590" w:type="dxa"/>
            <w:noWrap w:val="0"/>
            <w:vAlign w:val="top"/>
          </w:tcPr>
          <w:p w14:paraId="0ADD1BD2">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408DAB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highlight w:val="none"/>
                <w:u w:val="none"/>
              </w:rPr>
              <w:t xml:space="preserve">               </w:t>
            </w:r>
          </w:p>
        </w:tc>
      </w:tr>
      <w:tr w14:paraId="029E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0F044C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项目负责人</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c>
          <w:tcPr>
            <w:tcW w:w="4590" w:type="dxa"/>
            <w:noWrap w:val="0"/>
            <w:vAlign w:val="top"/>
          </w:tcPr>
          <w:p w14:paraId="483CDA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项目总监</w:t>
            </w:r>
            <w:r>
              <w:rPr>
                <w:rFonts w:hint="eastAsia" w:ascii="仿宋" w:hAnsi="仿宋" w:eastAsia="仿宋" w:cs="仿宋"/>
                <w:color w:val="auto"/>
                <w:sz w:val="24"/>
                <w:highlight w:val="none"/>
                <w:u w:val="none"/>
              </w:rPr>
              <w:t>（签字）</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rPr>
              <w:t xml:space="preserve">                  </w:t>
            </w:r>
          </w:p>
        </w:tc>
      </w:tr>
      <w:tr w14:paraId="0AA8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614CCA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none"/>
              </w:rPr>
              <w:t xml:space="preserve">                 </w:t>
            </w:r>
          </w:p>
        </w:tc>
        <w:tc>
          <w:tcPr>
            <w:tcW w:w="4590" w:type="dxa"/>
            <w:noWrap w:val="0"/>
            <w:vAlign w:val="top"/>
          </w:tcPr>
          <w:p w14:paraId="77A09E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none"/>
              </w:rPr>
              <w:t xml:space="preserve">                        </w:t>
            </w:r>
          </w:p>
        </w:tc>
      </w:tr>
      <w:tr w14:paraId="4C78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3DACF2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c>
          <w:tcPr>
            <w:tcW w:w="4590" w:type="dxa"/>
            <w:noWrap w:val="0"/>
            <w:vAlign w:val="top"/>
          </w:tcPr>
          <w:p w14:paraId="399315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   </w:t>
            </w:r>
          </w:p>
        </w:tc>
      </w:tr>
      <w:tr w14:paraId="7B03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4589" w:type="dxa"/>
            <w:noWrap w:val="0"/>
            <w:vAlign w:val="top"/>
          </w:tcPr>
          <w:p w14:paraId="4740BF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lang w:val="en-US" w:eastAsia="zh-CN"/>
              </w:rPr>
              <w:t>2025</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c>
          <w:tcPr>
            <w:tcW w:w="4590" w:type="dxa"/>
            <w:noWrap w:val="0"/>
            <w:vAlign w:val="top"/>
          </w:tcPr>
          <w:p w14:paraId="15B6BA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2025</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 xml:space="preserve">日  </w:t>
            </w:r>
          </w:p>
        </w:tc>
      </w:tr>
    </w:tbl>
    <w:p w14:paraId="5B20BEA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highlight w:val="none"/>
        </w:rPr>
        <w:sectPr>
          <w:footerReference r:id="rId12" w:type="first"/>
          <w:footerReference r:id="rId11"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bookmarkEnd w:id="0"/>
    <w:p w14:paraId="50383BF7">
      <w:pPr>
        <w:pStyle w:val="21"/>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t>附件4</w:t>
      </w:r>
    </w:p>
    <w:p w14:paraId="1288C1A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监理人的银行开户许可证（或开户申请）</w:t>
      </w:r>
    </w:p>
    <w:p w14:paraId="4161AB7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highlight w:val="none"/>
          <w:bdr w:val="single" w:color="auto" w:sz="18" w:space="0"/>
        </w:rPr>
        <w:sectPr>
          <w:footerReference r:id="rId14" w:type="first"/>
          <w:footerReference r:id="rId13"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pPr>
    </w:p>
    <w:p w14:paraId="29549687">
      <w:pPr>
        <w:pStyle w:val="21"/>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附件5 </w:t>
      </w:r>
    </w:p>
    <w:p w14:paraId="0639077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廉政协议书</w:t>
      </w:r>
    </w:p>
    <w:p w14:paraId="370C9E8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lang w:eastAsia="zh-CN"/>
        </w:rPr>
        <w:t>广州市番禺石碁自来水有限公司</w:t>
      </w:r>
    </w:p>
    <w:p w14:paraId="6E56B2A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承包人：（全称）</w:t>
      </w:r>
      <w:r>
        <w:rPr>
          <w:rFonts w:hint="eastAsia" w:ascii="仿宋" w:hAnsi="仿宋" w:eastAsia="仿宋" w:cs="仿宋"/>
          <w:color w:val="auto"/>
          <w:sz w:val="24"/>
          <w:szCs w:val="24"/>
          <w:highlight w:val="none"/>
          <w:u w:val="single"/>
          <w:lang w:val="en-US" w:eastAsia="zh-CN"/>
        </w:rPr>
        <w:t xml:space="preserve">        </w:t>
      </w:r>
    </w:p>
    <w:p w14:paraId="46CC59D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01565A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根据国家、省有关廉政建设的规定，为做好合同工程的廉政建设，保证工程质量与施工安</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全，提高建设资金的有效使用和投资效益，合同双方当事人就加强合同工程的廉政建设，订立本合同</w:t>
      </w:r>
      <w:r>
        <w:rPr>
          <w:rFonts w:hint="eastAsia" w:ascii="仿宋" w:hAnsi="仿宋" w:eastAsia="仿宋" w:cs="仿宋"/>
          <w:color w:val="auto"/>
          <w:sz w:val="24"/>
          <w:szCs w:val="24"/>
          <w:highlight w:val="none"/>
        </w:rPr>
        <w:t>。</w:t>
      </w:r>
    </w:p>
    <w:p w14:paraId="7AF6B737">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双方权利和义务</w:t>
      </w:r>
    </w:p>
    <w:p w14:paraId="134BD3B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严格遵守国家、省有关法律法规的规定。</w:t>
      </w:r>
    </w:p>
    <w:p w14:paraId="2D8679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严格执行合同工程一切合同文件，自觉按合同办事。</w:t>
      </w:r>
    </w:p>
    <w:p w14:paraId="6C636F7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kern w:val="0"/>
          <w:sz w:val="24"/>
          <w:szCs w:val="24"/>
          <w:highlight w:val="none"/>
          <w:lang w:val="zh-CN"/>
        </w:rPr>
        <w:t>合同双方当事人的业务活动应坚持公平、公开、公正和诚信的原则（法律认定的商业</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color w:val="auto"/>
          <w:sz w:val="24"/>
          <w:szCs w:val="24"/>
          <w:highlight w:val="none"/>
        </w:rPr>
        <w:t>。</w:t>
      </w:r>
    </w:p>
    <w:p w14:paraId="495FFD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建立健全廉政制度，开展廉政教育，设立廉政告示牌，公布举报电话，监督并认真查处违法违纪行为。</w:t>
      </w:r>
    </w:p>
    <w:p w14:paraId="20BA709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发现对方在业务活动中有违反廉政建设规定的行为，应及时给予提醒和纠正。</w:t>
      </w:r>
    </w:p>
    <w:p w14:paraId="4F56850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发现对方严重违反合同的行为，有向其上级部门举报、建议给予处理并要求告知处理结果的权利。</w:t>
      </w:r>
    </w:p>
    <w:p w14:paraId="1C9DE83A">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发包人义务</w:t>
      </w:r>
    </w:p>
    <w:p w14:paraId="31831FF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发包人及其工作人员不得索要或接受承包人的礼金、有价证券和贵重物品，不得在承包人报销任何应由发包人或工作人员个人支付的费用等。</w:t>
      </w:r>
    </w:p>
    <w:p w14:paraId="4C832CF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发包人及其工作人员不得参加承包人安排的宴请（工作餐除外）和娱乐活动；不得接受承包人提供的通讯工具、交通工具和高档办公用品等。</w:t>
      </w:r>
    </w:p>
    <w:p w14:paraId="67D1691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发包人及其工作人员不得要求或者接受承包人为其住房装修、婚丧嫁娶活动、配偶子女的工作安排以及出国出境、旅游等提供方便等。</w:t>
      </w:r>
    </w:p>
    <w:p w14:paraId="0587C0E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color w:val="auto"/>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szCs w:val="24"/>
          <w:highlight w:val="none"/>
        </w:rPr>
        <w:t>。</w:t>
      </w:r>
    </w:p>
    <w:p w14:paraId="5B744FF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szCs w:val="24"/>
          <w:highlight w:val="none"/>
        </w:rPr>
        <w:t>。</w:t>
      </w:r>
    </w:p>
    <w:p w14:paraId="14BD9C1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  </w:t>
      </w:r>
      <w:r>
        <w:rPr>
          <w:rFonts w:hint="eastAsia" w:ascii="仿宋" w:hAnsi="仿宋" w:eastAsia="仿宋" w:cs="仿宋"/>
          <w:color w:val="auto"/>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szCs w:val="24"/>
          <w:highlight w:val="none"/>
        </w:rPr>
        <w:t>。</w:t>
      </w:r>
    </w:p>
    <w:p w14:paraId="372AA1B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  承包人义务</w:t>
      </w:r>
    </w:p>
    <w:p w14:paraId="0CEAC24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承包人不得以任何理由向发包人及其工作人员行贿或馈赠礼金、有价证券、贵重礼品。</w:t>
      </w:r>
    </w:p>
    <w:p w14:paraId="17670D5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承包人不得以任何名义为发包人及其工作人员报销应由发包人或工作人员个人支付的任何费用。</w:t>
      </w:r>
    </w:p>
    <w:p w14:paraId="432D4BB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承包人不得以任何理由安排发包人及其工作人员参加宴请（工作餐除外）及娱乐活动。</w:t>
      </w:r>
    </w:p>
    <w:p w14:paraId="05A9C43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承包人不得为发包人和个人购置或提供通讯工具、交通工具和高档办公用品等。</w:t>
      </w:r>
    </w:p>
    <w:p w14:paraId="1CF346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3.5  </w:t>
      </w:r>
      <w:r>
        <w:rPr>
          <w:rFonts w:hint="eastAsia" w:ascii="仿宋" w:hAnsi="仿宋" w:eastAsia="仿宋" w:cs="仿宋"/>
          <w:color w:val="auto"/>
          <w:kern w:val="0"/>
          <w:sz w:val="24"/>
          <w:szCs w:val="24"/>
          <w:highlight w:val="none"/>
          <w:lang w:val="zh-CN"/>
        </w:rPr>
        <w:t>承包人不得为发包人及其工作人员的住房装修、婚丧嫁娶活动、配偶子女工作安排以及出国出境、旅游等提供方便。</w:t>
      </w:r>
    </w:p>
    <w:p w14:paraId="57ED6B12">
      <w:pPr>
        <w:keepNext w:val="0"/>
        <w:keepLines w:val="0"/>
        <w:pageBreakBefore w:val="0"/>
        <w:tabs>
          <w:tab w:val="left" w:pos="90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违约责任</w:t>
      </w:r>
    </w:p>
    <w:p w14:paraId="0E98652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  发包人及其工作人员违反本合同第1条和第2条规定，应依据有关规定给予廉政建设规定的处分；涉嫌犯罪的，移交司法机关追究刑事责任；给承包人造成经济损失的，应予赔偿。</w:t>
      </w:r>
    </w:p>
    <w:p w14:paraId="09C27A9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  </w:t>
      </w:r>
      <w:r>
        <w:rPr>
          <w:rFonts w:hint="eastAsia" w:ascii="仿宋" w:hAnsi="仿宋" w:eastAsia="仿宋" w:cs="仿宋"/>
          <w:color w:val="auto"/>
          <w:kern w:val="0"/>
          <w:sz w:val="24"/>
          <w:szCs w:val="24"/>
          <w:highlight w:val="none"/>
          <w:lang w:val="zh-CN"/>
        </w:rPr>
        <w:t>承包人及其工作人员违反本合同第</w:t>
      </w:r>
      <w:r>
        <w:rPr>
          <w:rFonts w:hint="eastAsia" w:ascii="仿宋" w:hAnsi="仿宋" w:eastAsia="仿宋" w:cs="仿宋"/>
          <w:color w:val="auto"/>
          <w:kern w:val="0"/>
          <w:sz w:val="24"/>
          <w:szCs w:val="24"/>
          <w:highlight w:val="none"/>
        </w:rPr>
        <w:t xml:space="preserve"> 1 </w:t>
      </w:r>
      <w:r>
        <w:rPr>
          <w:rFonts w:hint="eastAsia" w:ascii="仿宋" w:hAnsi="仿宋" w:eastAsia="仿宋" w:cs="仿宋"/>
          <w:color w:val="auto"/>
          <w:kern w:val="0"/>
          <w:sz w:val="24"/>
          <w:szCs w:val="24"/>
          <w:highlight w:val="none"/>
          <w:lang w:val="zh-CN"/>
        </w:rPr>
        <w:t>条和第</w:t>
      </w:r>
      <w:r>
        <w:rPr>
          <w:rFonts w:hint="eastAsia" w:ascii="仿宋" w:hAnsi="仿宋" w:eastAsia="仿宋" w:cs="仿宋"/>
          <w:color w:val="auto"/>
          <w:kern w:val="0"/>
          <w:sz w:val="24"/>
          <w:szCs w:val="24"/>
          <w:highlight w:val="none"/>
        </w:rPr>
        <w:t xml:space="preserve"> 3 </w:t>
      </w:r>
      <w:r>
        <w:rPr>
          <w:rFonts w:hint="eastAsia" w:ascii="仿宋" w:hAnsi="仿宋" w:eastAsia="仿宋" w:cs="仿宋"/>
          <w:color w:val="auto"/>
          <w:kern w:val="0"/>
          <w:sz w:val="24"/>
          <w:szCs w:val="24"/>
          <w:highlight w:val="none"/>
          <w:lang w:val="zh-CN"/>
        </w:rPr>
        <w:t>条规定，应按照廉政建设的有关规定给</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予处分；情节严重的，给予承包人</w:t>
      </w:r>
      <w:r>
        <w:rPr>
          <w:rFonts w:hint="eastAsia" w:ascii="仿宋" w:hAnsi="仿宋" w:eastAsia="仿宋" w:cs="仿宋"/>
          <w:color w:val="auto"/>
          <w:kern w:val="0"/>
          <w:sz w:val="24"/>
          <w:szCs w:val="24"/>
          <w:highlight w:val="none"/>
        </w:rPr>
        <w:t xml:space="preserve"> 1</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lang w:val="zh-CN"/>
        </w:rPr>
        <w:t>年内不得进入工程建设市场的处罚；涉嫌犯罪的，移交</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司法机关追究刑事责任；给发包人造成损失的，应予赔偿；</w:t>
      </w:r>
    </w:p>
    <w:p w14:paraId="7CF6066E">
      <w:pPr>
        <w:keepNext w:val="0"/>
        <w:keepLines w:val="0"/>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双方约定</w:t>
      </w:r>
    </w:p>
    <w:p w14:paraId="0F3E8E73">
      <w:pPr>
        <w:pStyle w:val="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本合同由合同双方当事人或其上级部门负责监督执行，并由合同双方当事人或其上级部门</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相互约请对本合同执行情况进行检查</w:t>
      </w:r>
      <w:r>
        <w:rPr>
          <w:rFonts w:hint="eastAsia" w:ascii="仿宋" w:hAnsi="仿宋" w:eastAsia="仿宋" w:cs="仿宋"/>
          <w:color w:val="auto"/>
          <w:sz w:val="24"/>
          <w:szCs w:val="24"/>
          <w:highlight w:val="none"/>
        </w:rPr>
        <w:t>。</w:t>
      </w:r>
    </w:p>
    <w:p w14:paraId="489F960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  合同法律效力</w:t>
      </w:r>
    </w:p>
    <w:p w14:paraId="4D1518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本合同作为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番禺区石碁水厂扩建工程施工监理</w:t>
      </w:r>
      <w:r>
        <w:rPr>
          <w:rFonts w:hint="eastAsia" w:ascii="仿宋" w:hAnsi="仿宋" w:eastAsia="仿宋" w:cs="仿宋"/>
          <w:color w:val="auto"/>
          <w:sz w:val="24"/>
          <w:szCs w:val="24"/>
          <w:highlight w:val="none"/>
        </w:rPr>
        <w:t>监理合同的附件，与监理合同具有同等的法律效力。</w:t>
      </w:r>
    </w:p>
    <w:p w14:paraId="43F449B5">
      <w:pPr>
        <w:pStyle w:val="8"/>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以下无正文</w:t>
      </w:r>
      <w:r>
        <w:rPr>
          <w:rFonts w:hint="eastAsia" w:ascii="仿宋" w:hAnsi="仿宋" w:eastAsia="仿宋" w:cs="仿宋"/>
          <w:color w:val="auto"/>
          <w:sz w:val="24"/>
          <w:szCs w:val="24"/>
          <w:highlight w:val="none"/>
          <w:lang w:eastAsia="zh-CN"/>
        </w:rPr>
        <w:t>）</w:t>
      </w:r>
    </w:p>
    <w:p w14:paraId="66D5A895">
      <w:pPr>
        <w:rPr>
          <w:rFonts w:hint="eastAsia" w:ascii="仿宋" w:hAnsi="仿宋" w:eastAsia="仿宋" w:cs="仿宋"/>
          <w:color w:val="auto"/>
          <w:sz w:val="24"/>
          <w:szCs w:val="24"/>
          <w:highlight w:val="none"/>
        </w:rPr>
      </w:pPr>
    </w:p>
    <w:p w14:paraId="4DC0D39E">
      <w:pPr>
        <w:pStyle w:val="8"/>
        <w:rPr>
          <w:rFonts w:hint="eastAsia" w:ascii="仿宋" w:hAnsi="仿宋" w:eastAsia="仿宋" w:cs="仿宋"/>
          <w:color w:val="auto"/>
          <w:sz w:val="24"/>
          <w:szCs w:val="24"/>
          <w:highlight w:val="none"/>
        </w:rPr>
      </w:pPr>
    </w:p>
    <w:p w14:paraId="1454220B">
      <w:pPr>
        <w:rPr>
          <w:rFonts w:hint="eastAsia" w:ascii="仿宋" w:hAnsi="仿宋" w:eastAsia="仿宋" w:cs="仿宋"/>
          <w:color w:val="auto"/>
          <w:sz w:val="24"/>
          <w:szCs w:val="24"/>
          <w:highlight w:val="none"/>
        </w:rPr>
      </w:pPr>
    </w:p>
    <w:p w14:paraId="07484FE1">
      <w:pPr>
        <w:pStyle w:val="8"/>
        <w:rPr>
          <w:rFonts w:hint="eastAsia" w:ascii="仿宋" w:hAnsi="仿宋" w:eastAsia="仿宋" w:cs="仿宋"/>
          <w:color w:val="auto"/>
          <w:sz w:val="24"/>
          <w:szCs w:val="24"/>
          <w:highlight w:val="none"/>
        </w:rPr>
      </w:pPr>
    </w:p>
    <w:p w14:paraId="72131E3A">
      <w:pPr>
        <w:jc w:val="center"/>
        <w:rPr>
          <w:rFonts w:hint="eastAsia" w:eastAsia="仿宋"/>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本页为签署页，无正文内容</w:t>
      </w:r>
      <w:r>
        <w:rPr>
          <w:rFonts w:hint="eastAsia" w:ascii="仿宋" w:hAnsi="仿宋" w:eastAsia="仿宋" w:cs="仿宋"/>
          <w:color w:val="auto"/>
          <w:sz w:val="24"/>
          <w:szCs w:val="24"/>
          <w:highlight w:val="none"/>
          <w:lang w:eastAsia="zh-CN"/>
        </w:rPr>
        <w:t>）</w:t>
      </w:r>
    </w:p>
    <w:tbl>
      <w:tblPr>
        <w:tblStyle w:val="25"/>
        <w:tblpPr w:leftFromText="180" w:rightFromText="180" w:vertAnchor="text" w:horzAnchor="page" w:tblpX="1029" w:tblpY="41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9"/>
        <w:gridCol w:w="4590"/>
      </w:tblGrid>
      <w:tr w14:paraId="3AD6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68D917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甲方：（单位全称）（盖章）   </w:t>
            </w:r>
          </w:p>
          <w:p w14:paraId="4D07F3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vertAlign w:val="baseline"/>
                <w:lang w:eastAsia="zh-CN"/>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广州市番禺石碁自来水有限公司</w:t>
            </w:r>
          </w:p>
        </w:tc>
        <w:tc>
          <w:tcPr>
            <w:tcW w:w="4590" w:type="dxa"/>
            <w:noWrap w:val="0"/>
            <w:vAlign w:val="top"/>
          </w:tcPr>
          <w:p w14:paraId="100DD4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 xml:space="preserve">乙方：（单位全称）（盖章）   </w:t>
            </w:r>
          </w:p>
          <w:p w14:paraId="5AEACE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u w:val="none"/>
                <w:vertAlign w:val="baseline"/>
                <w:lang w:val="en-US" w:eastAsia="zh-CN"/>
              </w:rPr>
            </w:pPr>
            <w:r>
              <w:rPr>
                <w:rFonts w:hint="eastAsia" w:ascii="仿宋" w:hAnsi="仿宋" w:eastAsia="仿宋" w:cs="仿宋"/>
                <w:color w:val="auto"/>
                <w:sz w:val="24"/>
                <w:szCs w:val="24"/>
                <w:highlight w:val="none"/>
                <w:u w:val="none"/>
                <w:vertAlign w:val="baseline"/>
                <w:lang w:val="en-US" w:eastAsia="zh-CN"/>
              </w:rPr>
              <w:t xml:space="preserve">         </w:t>
            </w:r>
          </w:p>
        </w:tc>
      </w:tr>
      <w:tr w14:paraId="4F9A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3A5B3C1F">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0AC598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    </w:t>
            </w:r>
          </w:p>
        </w:tc>
        <w:tc>
          <w:tcPr>
            <w:tcW w:w="4590" w:type="dxa"/>
            <w:noWrap w:val="0"/>
            <w:vAlign w:val="top"/>
          </w:tcPr>
          <w:p w14:paraId="71CADB2D">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法定代表人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签字或盖章</w:t>
            </w:r>
            <w:r>
              <w:rPr>
                <w:rFonts w:hint="eastAsia" w:ascii="仿宋" w:hAnsi="仿宋" w:eastAsia="仿宋" w:cs="仿宋"/>
                <w:color w:val="auto"/>
                <w:highlight w:val="none"/>
                <w:lang w:eastAsia="zh-CN"/>
              </w:rPr>
              <w:t>）</w:t>
            </w:r>
          </w:p>
          <w:p w14:paraId="302EBD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highlight w:val="none"/>
              </w:rPr>
              <w:t>或其授权代理人（签</w:t>
            </w:r>
            <w:r>
              <w:rPr>
                <w:rFonts w:hint="eastAsia" w:ascii="仿宋" w:hAnsi="仿宋" w:eastAsia="仿宋" w:cs="仿宋"/>
                <w:color w:val="auto"/>
                <w:highlight w:val="none"/>
                <w:lang w:val="en-US" w:eastAsia="zh-CN"/>
              </w:rPr>
              <w:t>字</w:t>
            </w:r>
            <w:r>
              <w:rPr>
                <w:rFonts w:hint="eastAsia" w:ascii="仿宋" w:hAnsi="仿宋" w:eastAsia="仿宋" w:cs="仿宋"/>
                <w:color w:val="auto"/>
                <w:highlight w:val="none"/>
              </w:rPr>
              <w:t>）：</w:t>
            </w:r>
            <w:r>
              <w:rPr>
                <w:rFonts w:hint="eastAsia" w:ascii="仿宋" w:hAnsi="仿宋" w:eastAsia="仿宋" w:cs="仿宋"/>
                <w:color w:val="auto"/>
                <w:sz w:val="24"/>
                <w:szCs w:val="24"/>
                <w:highlight w:val="none"/>
                <w:u w:val="none"/>
              </w:rPr>
              <w:t xml:space="preserve">                </w:t>
            </w:r>
          </w:p>
        </w:tc>
      </w:tr>
      <w:tr w14:paraId="3768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75ABE8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u w:val="none"/>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 xml:space="preserve">                  </w:t>
            </w:r>
          </w:p>
        </w:tc>
        <w:tc>
          <w:tcPr>
            <w:tcW w:w="4590" w:type="dxa"/>
            <w:noWrap w:val="0"/>
            <w:vAlign w:val="top"/>
          </w:tcPr>
          <w:p w14:paraId="0CA234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项目总监</w:t>
            </w:r>
            <w:r>
              <w:rPr>
                <w:rFonts w:hint="eastAsia" w:ascii="仿宋" w:hAnsi="仿宋" w:eastAsia="仿宋" w:cs="仿宋"/>
                <w:color w:val="auto"/>
                <w:sz w:val="24"/>
                <w:szCs w:val="24"/>
                <w:highlight w:val="none"/>
                <w:u w:val="none"/>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rPr>
              <w:t xml:space="preserve">                  </w:t>
            </w:r>
          </w:p>
        </w:tc>
      </w:tr>
      <w:tr w14:paraId="0EA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4589" w:type="dxa"/>
            <w:noWrap w:val="0"/>
            <w:vAlign w:val="top"/>
          </w:tcPr>
          <w:p w14:paraId="7B4847F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p>
        </w:tc>
        <w:tc>
          <w:tcPr>
            <w:tcW w:w="4590" w:type="dxa"/>
            <w:noWrap w:val="0"/>
            <w:vAlign w:val="top"/>
          </w:tcPr>
          <w:p w14:paraId="0ABA1A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p>
        </w:tc>
      </w:tr>
      <w:tr w14:paraId="0690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4589" w:type="dxa"/>
            <w:noWrap w:val="0"/>
            <w:vAlign w:val="top"/>
          </w:tcPr>
          <w:p w14:paraId="21E057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监督部门：（盖章）</w:t>
            </w:r>
          </w:p>
        </w:tc>
        <w:tc>
          <w:tcPr>
            <w:tcW w:w="4590" w:type="dxa"/>
            <w:noWrap w:val="0"/>
            <w:vAlign w:val="top"/>
          </w:tcPr>
          <w:p w14:paraId="2AA681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签订</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2025</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rPr>
              <w:t xml:space="preserve">日  </w:t>
            </w:r>
          </w:p>
        </w:tc>
      </w:tr>
    </w:tbl>
    <w:p w14:paraId="013880F2">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仿宋" w:hAnsi="仿宋" w:eastAsia="仿宋" w:cs="仿宋"/>
          <w:color w:val="auto"/>
          <w:sz w:val="22"/>
          <w:szCs w:val="22"/>
          <w:highlight w:val="none"/>
        </w:rPr>
      </w:pPr>
    </w:p>
    <w:p w14:paraId="2520C7A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p>
    <w:p w14:paraId="3838B4EB">
      <w:pPr>
        <w:rPr>
          <w:highlight w:val="none"/>
        </w:rPr>
      </w:pPr>
    </w:p>
    <w:p w14:paraId="6425E1BB">
      <w:pPr>
        <w:rPr>
          <w:highlight w:val="none"/>
        </w:rPr>
      </w:pPr>
    </w:p>
    <w:p w14:paraId="74277533">
      <w:pPr>
        <w:rPr>
          <w:highlight w:val="none"/>
        </w:rPr>
      </w:pPr>
    </w:p>
    <w:sectPr>
      <w:footerReference r:id="rId16" w:type="first"/>
      <w:footerReference r:id="rId15" w:type="default"/>
      <w:pgSz w:w="11907" w:h="16840"/>
      <w:pgMar w:top="1418" w:right="1418" w:bottom="1246" w:left="1418" w:header="851" w:footer="851" w:gutter="0"/>
      <w:pgBorders>
        <w:top w:val="none" w:sz="0" w:space="0"/>
        <w:left w:val="none" w:sz="0" w:space="0"/>
        <w:bottom w:val="none" w:sz="0" w:space="0"/>
        <w:right w:val="none" w:sz="0" w:space="0"/>
      </w:pgBorders>
      <w:pgNumType w:fmt="decimal"/>
      <w:cols w:space="720" w:num="1"/>
      <w:titlePg/>
      <w:docGrid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FFC18A3-E2E5-4D25-9248-40D6F31A8459}"/>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DCD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CF50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2ECF50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5A13">
    <w:pPr>
      <w:pStyle w:val="14"/>
      <w:jc w:val="center"/>
      <w:rPr>
        <w:rFonts w:hint="eastAsia"/>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0CB4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dDeBndAQAAvwMAAA4AAAAAAAAA&#10;AQAgAAAAHgEAAGRycy9lMm9Eb2MueG1sUEsFBgAAAAAGAAYAWQEAAG0FAAAAAA==&#10;">
              <v:fill on="f" focussize="0,0"/>
              <v:stroke on="f"/>
              <v:imagedata o:title=""/>
              <o:lock v:ext="edit" aspectratio="f"/>
              <v:textbox inset="0mm,0mm,0mm,0mm" style="mso-fit-shape-to-text:t;">
                <w:txbxContent>
                  <w:p w14:paraId="220CB4A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CEC0">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9AB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N4d4BAAC/AwAADgAAAGRycy9lMm9Eb2MueG1srVPNjtMwEL4j8Q6W&#10;7zTZSou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Ic3h3gEAAL8DAAAOAAAAAAAA&#10;AAEAIAAAAB4BAABkcnMvZTJvRG9jLnhtbFBLBQYAAAAABgAGAFkBAABuBQAAAAA=&#10;">
              <v:fill on="f" focussize="0,0"/>
              <v:stroke on="f"/>
              <v:imagedata o:title=""/>
              <o:lock v:ext="edit" aspectratio="f"/>
              <v:textbox inset="0mm,0mm,0mm,0mm" style="mso-fit-shape-to-text:t;">
                <w:txbxContent>
                  <w:p w14:paraId="3159AB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4D477">
    <w:pPr>
      <w:pStyle w:val="14"/>
      <w:jc w:val="center"/>
      <w:rPr>
        <w:rFonts w:hint="eastAsia"/>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4631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91lXI3gEAAL8DAAAOAAAAAAAA&#10;AAEAIAAAAB4BAABkcnMvZTJvRG9jLnhtbFBLBQYAAAAABgAGAFkBAABuBQAAAAA=&#10;">
              <v:fill on="f" focussize="0,0"/>
              <v:stroke on="f"/>
              <v:imagedata o:title=""/>
              <o:lock v:ext="edit" aspectratio="f"/>
              <v:textbox inset="0mm,0mm,0mm,0mm" style="mso-fit-shape-to-text:t;">
                <w:txbxContent>
                  <w:p w14:paraId="7704631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AE0C">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1D70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2EB1D70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1782">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3745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0E23745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A829">
    <w:pPr>
      <w:pStyle w:val="14"/>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60F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m9G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Ob0a3gEAAL4DAAAOAAAAAAAA&#10;AAEAIAAAAB4BAABkcnMvZTJvRG9jLnhtbFBLBQYAAAAABgAGAFkBAABuBQAAAAA=&#10;">
              <v:fill on="f" focussize="0,0"/>
              <v:stroke on="f"/>
              <v:imagedata o:title=""/>
              <o:lock v:ext="edit" aspectratio="f"/>
              <v:textbox inset="0mm,0mm,0mm,0mm" style="mso-fit-shape-to-text:t;">
                <w:txbxContent>
                  <w:p w14:paraId="66360F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434F">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450E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sI4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Wwji3gEAAL4DAAAOAAAAAAAA&#10;AAEAIAAAAB4BAABkcnMvZTJvRG9jLnhtbFBLBQYAAAAABgAGAFkBAABuBQAAAAA=&#10;">
              <v:fill on="f" focussize="0,0"/>
              <v:stroke on="f"/>
              <v:imagedata o:title=""/>
              <o:lock v:ext="edit" aspectratio="f"/>
              <v:textbox inset="0mm,0mm,0mm,0mm" style="mso-fit-shape-to-text:t;">
                <w:txbxContent>
                  <w:p w14:paraId="152450E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45866">
    <w:pPr>
      <w:pStyle w:val="14"/>
      <w:jc w:val="center"/>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CA4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yQy9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X/J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iskMvdAQAAvgMAAA4AAAAAAAAA&#10;AQAgAAAAHgEAAGRycy9lMm9Eb2MueG1sUEsFBgAAAAAGAAYAWQEAAG0FAAAAAA==&#10;">
              <v:fill on="f" focussize="0,0"/>
              <v:stroke on="f"/>
              <v:imagedata o:title=""/>
              <o:lock v:ext="edit" aspectratio="f"/>
              <v:textbox inset="0mm,0mm,0mm,0mm" style="mso-fit-shape-to-text:t;">
                <w:txbxContent>
                  <w:p w14:paraId="46BCA4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55F8">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E47ED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m7W7jdAQAAvgMAAA4AAAAAAAAA&#10;AQAgAAAAHgEAAGRycy9lMm9Eb2MueG1sUEsFBgAAAAAGAAYAWQEAAG0FAAAAAA==&#10;">
              <v:fill on="f" focussize="0,0"/>
              <v:stroke on="f"/>
              <v:imagedata o:title=""/>
              <o:lock v:ext="edit" aspectratio="f"/>
              <v:textbox inset="0mm,0mm,0mm,0mm" style="mso-fit-shape-to-text:t;">
                <w:txbxContent>
                  <w:p w14:paraId="0BE47ED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4DDB">
    <w:pPr>
      <w:pStyle w:val="14"/>
      <w:jc w:val="center"/>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F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zDkd0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dZKnD1BR1l2gPBxe+4GWZvYDORProY02/YkPoziJe7qIqwZkMl1aLVerkkKSYvOB8IuH6yECvlXe&#10;smTUPNL0sqji+B5wTJ1TUjXnb7UxeYLG/eUgzOQpUu9jj8nCYTdMhHa+OREfegZUp/PxC2c9LUHN&#10;He08Z+adI43TvsxGnI3dbAgn6WLNkbPRfIPjXh1C1Psub1pqCsK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1Mw5HdAQAAvgMAAA4AAAAAAAAA&#10;AQAgAAAAHgEAAGRycy9lMm9Eb2MueG1sUEsFBgAAAAAGAAYAWQEAAG0FAAAAAA==&#10;">
              <v:fill on="f" focussize="0,0"/>
              <v:stroke on="f"/>
              <v:imagedata o:title=""/>
              <o:lock v:ext="edit" aspectratio="f"/>
              <v:textbox inset="0mm,0mm,0mm,0mm" style="mso-fit-shape-to-text:t;">
                <w:txbxContent>
                  <w:p w14:paraId="596FCBF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F81F">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D78C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TgMN0BAAC/AwAADgAAAGRycy9lMm9Eb2MueG1srVPNjtMwEL4j8Q6W&#10;7zTZSou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LHHC0o2fv387//h1/vmV&#10;XSd/+gAVld0HKsThtR+ods4DJZPsoY02/UkQo32COl3cVQMymQ6tlqtVSVuS9uYF4RcPx0MEfKO8&#10;ZSmoeaTry66K4zvAsXQuSd2cv9PG5Cs07q8EYaZMkbiPHFOEw26YBO18cyI99A6oT+fjF856moKa&#10;Oxp6zsxbRyYTV5yDOAe7ORBO0sGaI2djeIvjYB1C1Psuj1oiBeHVAYlpFpBojL0ndnSv2YJpBtPg&#10;/LnOVQ/v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O04DDdAQAAvwMAAA4AAAAAAAAA&#10;AQAgAAAAHgEAAGRycy9lMm9Eb2MueG1sUEsFBgAAAAAGAAYAWQEAAG0FAAAAAA==&#10;">
              <v:fill on="f" focussize="0,0"/>
              <v:stroke on="f"/>
              <v:imagedata o:title=""/>
              <o:lock v:ext="edit" aspectratio="f"/>
              <v:textbox inset="0mm,0mm,0mm,0mm" style="mso-fit-shape-to-text:t;">
                <w:txbxContent>
                  <w:p w14:paraId="1ED78C5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8778C">
    <w:pPr>
      <w:snapToGrid w:val="0"/>
      <w:ind w:right="-193"/>
      <w:jc w:val="center"/>
      <w:rPr>
        <w:rFonts w:hint="eastAsia" w:ascii="宋体" w:hAnsi="宋体"/>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B8B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75F1B"/>
    <w:multiLevelType w:val="singleLevel"/>
    <w:tmpl w:val="06975F1B"/>
    <w:lvl w:ilvl="0" w:tentative="0">
      <w:start w:val="6"/>
      <w:numFmt w:val="chineseCounting"/>
      <w:suff w:val="nothing"/>
      <w:lvlText w:val="%1、"/>
      <w:lvlJc w:val="left"/>
      <w:rPr>
        <w:rFonts w:hint="eastAsia"/>
      </w:rPr>
    </w:lvl>
  </w:abstractNum>
  <w:abstractNum w:abstractNumId="1">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TU2YzYwN2FkZTdjZGU0NmQxZThkYTI0YjFjZGYifQ=="/>
  </w:docVars>
  <w:rsids>
    <w:rsidRoot w:val="00172A27"/>
    <w:rsid w:val="0000276A"/>
    <w:rsid w:val="0000699C"/>
    <w:rsid w:val="00014828"/>
    <w:rsid w:val="0001506A"/>
    <w:rsid w:val="0001552B"/>
    <w:rsid w:val="00015808"/>
    <w:rsid w:val="00016EB5"/>
    <w:rsid w:val="0001761B"/>
    <w:rsid w:val="00017929"/>
    <w:rsid w:val="000214DA"/>
    <w:rsid w:val="0002337F"/>
    <w:rsid w:val="00024DD9"/>
    <w:rsid w:val="00025CEB"/>
    <w:rsid w:val="00025F5D"/>
    <w:rsid w:val="00030E17"/>
    <w:rsid w:val="00037595"/>
    <w:rsid w:val="00040F26"/>
    <w:rsid w:val="000417F7"/>
    <w:rsid w:val="000421A0"/>
    <w:rsid w:val="000426B5"/>
    <w:rsid w:val="00044825"/>
    <w:rsid w:val="000459AE"/>
    <w:rsid w:val="00052F3C"/>
    <w:rsid w:val="00053B59"/>
    <w:rsid w:val="00056774"/>
    <w:rsid w:val="000602B9"/>
    <w:rsid w:val="00060820"/>
    <w:rsid w:val="00072074"/>
    <w:rsid w:val="00083222"/>
    <w:rsid w:val="000838F6"/>
    <w:rsid w:val="000944B1"/>
    <w:rsid w:val="00094B6B"/>
    <w:rsid w:val="000950DD"/>
    <w:rsid w:val="000952FF"/>
    <w:rsid w:val="00095464"/>
    <w:rsid w:val="000A2740"/>
    <w:rsid w:val="000A50E2"/>
    <w:rsid w:val="000B558B"/>
    <w:rsid w:val="000B7F76"/>
    <w:rsid w:val="000C10E7"/>
    <w:rsid w:val="000C373C"/>
    <w:rsid w:val="000C38A2"/>
    <w:rsid w:val="000E0648"/>
    <w:rsid w:val="000E196A"/>
    <w:rsid w:val="000E4AC1"/>
    <w:rsid w:val="000E51C9"/>
    <w:rsid w:val="000E64E7"/>
    <w:rsid w:val="000E7D9C"/>
    <w:rsid w:val="000F3191"/>
    <w:rsid w:val="000F66DE"/>
    <w:rsid w:val="001001C0"/>
    <w:rsid w:val="001011A6"/>
    <w:rsid w:val="00101DE7"/>
    <w:rsid w:val="00104D2B"/>
    <w:rsid w:val="001058A8"/>
    <w:rsid w:val="00106B36"/>
    <w:rsid w:val="0011008E"/>
    <w:rsid w:val="001101B2"/>
    <w:rsid w:val="00112422"/>
    <w:rsid w:val="00112BCE"/>
    <w:rsid w:val="0011351E"/>
    <w:rsid w:val="00123BCC"/>
    <w:rsid w:val="00124063"/>
    <w:rsid w:val="00136737"/>
    <w:rsid w:val="00136F9C"/>
    <w:rsid w:val="00137848"/>
    <w:rsid w:val="0014113F"/>
    <w:rsid w:val="00143E95"/>
    <w:rsid w:val="001478E1"/>
    <w:rsid w:val="00147A19"/>
    <w:rsid w:val="00147DE7"/>
    <w:rsid w:val="001528C7"/>
    <w:rsid w:val="001538F3"/>
    <w:rsid w:val="001554BD"/>
    <w:rsid w:val="00155D4D"/>
    <w:rsid w:val="001560C7"/>
    <w:rsid w:val="00157614"/>
    <w:rsid w:val="00162C4C"/>
    <w:rsid w:val="00165674"/>
    <w:rsid w:val="00166B9B"/>
    <w:rsid w:val="00170450"/>
    <w:rsid w:val="0017088C"/>
    <w:rsid w:val="00172256"/>
    <w:rsid w:val="00173486"/>
    <w:rsid w:val="00174FE1"/>
    <w:rsid w:val="00176C1C"/>
    <w:rsid w:val="00184E6C"/>
    <w:rsid w:val="00187694"/>
    <w:rsid w:val="00193804"/>
    <w:rsid w:val="00197113"/>
    <w:rsid w:val="00197EC2"/>
    <w:rsid w:val="001A1A73"/>
    <w:rsid w:val="001A2526"/>
    <w:rsid w:val="001A4DA6"/>
    <w:rsid w:val="001A52B1"/>
    <w:rsid w:val="001B3983"/>
    <w:rsid w:val="001B4B46"/>
    <w:rsid w:val="001C046B"/>
    <w:rsid w:val="001C1376"/>
    <w:rsid w:val="001C4EDE"/>
    <w:rsid w:val="001D112B"/>
    <w:rsid w:val="001D33A2"/>
    <w:rsid w:val="001D3CAC"/>
    <w:rsid w:val="001D47A3"/>
    <w:rsid w:val="001D617D"/>
    <w:rsid w:val="001D6429"/>
    <w:rsid w:val="001D693C"/>
    <w:rsid w:val="001E01AA"/>
    <w:rsid w:val="001E23E5"/>
    <w:rsid w:val="001E40C6"/>
    <w:rsid w:val="001E4794"/>
    <w:rsid w:val="001E5FDE"/>
    <w:rsid w:val="001E748B"/>
    <w:rsid w:val="001E7EE7"/>
    <w:rsid w:val="001F239D"/>
    <w:rsid w:val="001F461C"/>
    <w:rsid w:val="001F4C36"/>
    <w:rsid w:val="001F6BAE"/>
    <w:rsid w:val="00202C15"/>
    <w:rsid w:val="002100FC"/>
    <w:rsid w:val="00211612"/>
    <w:rsid w:val="00212258"/>
    <w:rsid w:val="00213775"/>
    <w:rsid w:val="00213B5D"/>
    <w:rsid w:val="0021587A"/>
    <w:rsid w:val="00220CA8"/>
    <w:rsid w:val="002214A8"/>
    <w:rsid w:val="0023070E"/>
    <w:rsid w:val="00230824"/>
    <w:rsid w:val="00230CF2"/>
    <w:rsid w:val="00243A45"/>
    <w:rsid w:val="0024678B"/>
    <w:rsid w:val="00246D43"/>
    <w:rsid w:val="00252007"/>
    <w:rsid w:val="00257112"/>
    <w:rsid w:val="00257244"/>
    <w:rsid w:val="0025780C"/>
    <w:rsid w:val="002657FE"/>
    <w:rsid w:val="00266408"/>
    <w:rsid w:val="00267E5F"/>
    <w:rsid w:val="00273667"/>
    <w:rsid w:val="00273E9A"/>
    <w:rsid w:val="00276BB1"/>
    <w:rsid w:val="00280D3F"/>
    <w:rsid w:val="002818D9"/>
    <w:rsid w:val="00282550"/>
    <w:rsid w:val="002825C7"/>
    <w:rsid w:val="00285229"/>
    <w:rsid w:val="00285F15"/>
    <w:rsid w:val="00286AAA"/>
    <w:rsid w:val="00290302"/>
    <w:rsid w:val="00295EA2"/>
    <w:rsid w:val="002A1508"/>
    <w:rsid w:val="002A32B0"/>
    <w:rsid w:val="002A4398"/>
    <w:rsid w:val="002A6033"/>
    <w:rsid w:val="002B1E58"/>
    <w:rsid w:val="002B3A00"/>
    <w:rsid w:val="002B75F1"/>
    <w:rsid w:val="002C047D"/>
    <w:rsid w:val="002D08F4"/>
    <w:rsid w:val="002D1B4F"/>
    <w:rsid w:val="002D28B9"/>
    <w:rsid w:val="002D2FAA"/>
    <w:rsid w:val="002D3678"/>
    <w:rsid w:val="002D41D6"/>
    <w:rsid w:val="002D488F"/>
    <w:rsid w:val="002D4B6A"/>
    <w:rsid w:val="002D5D58"/>
    <w:rsid w:val="002E38AE"/>
    <w:rsid w:val="002E3939"/>
    <w:rsid w:val="002E5596"/>
    <w:rsid w:val="002E586C"/>
    <w:rsid w:val="002F0090"/>
    <w:rsid w:val="002F2348"/>
    <w:rsid w:val="002F484E"/>
    <w:rsid w:val="0030007D"/>
    <w:rsid w:val="0030109E"/>
    <w:rsid w:val="00307E1A"/>
    <w:rsid w:val="00314650"/>
    <w:rsid w:val="00316505"/>
    <w:rsid w:val="00317F6B"/>
    <w:rsid w:val="003241CD"/>
    <w:rsid w:val="00326601"/>
    <w:rsid w:val="00326EF9"/>
    <w:rsid w:val="00330AF6"/>
    <w:rsid w:val="00332031"/>
    <w:rsid w:val="00334CA0"/>
    <w:rsid w:val="003350DA"/>
    <w:rsid w:val="00340BCC"/>
    <w:rsid w:val="00341A13"/>
    <w:rsid w:val="0034400D"/>
    <w:rsid w:val="0034427D"/>
    <w:rsid w:val="0035561D"/>
    <w:rsid w:val="003564E9"/>
    <w:rsid w:val="00361A92"/>
    <w:rsid w:val="00363401"/>
    <w:rsid w:val="00364077"/>
    <w:rsid w:val="00364AEA"/>
    <w:rsid w:val="0036647D"/>
    <w:rsid w:val="00371A8E"/>
    <w:rsid w:val="00371DE2"/>
    <w:rsid w:val="00374571"/>
    <w:rsid w:val="00376565"/>
    <w:rsid w:val="003778EC"/>
    <w:rsid w:val="00382370"/>
    <w:rsid w:val="00382F6F"/>
    <w:rsid w:val="0038358B"/>
    <w:rsid w:val="003835D0"/>
    <w:rsid w:val="00397A48"/>
    <w:rsid w:val="003A055B"/>
    <w:rsid w:val="003A069C"/>
    <w:rsid w:val="003A49C7"/>
    <w:rsid w:val="003A5152"/>
    <w:rsid w:val="003A535B"/>
    <w:rsid w:val="003A73F2"/>
    <w:rsid w:val="003A7D07"/>
    <w:rsid w:val="003B32E3"/>
    <w:rsid w:val="003B3EF6"/>
    <w:rsid w:val="003C2403"/>
    <w:rsid w:val="003C2BF4"/>
    <w:rsid w:val="003C32AD"/>
    <w:rsid w:val="003C3C4A"/>
    <w:rsid w:val="003C5FC2"/>
    <w:rsid w:val="003C7CD3"/>
    <w:rsid w:val="003D03F8"/>
    <w:rsid w:val="003D04FE"/>
    <w:rsid w:val="003D25E6"/>
    <w:rsid w:val="003D3B81"/>
    <w:rsid w:val="003D443C"/>
    <w:rsid w:val="003D797E"/>
    <w:rsid w:val="003E115B"/>
    <w:rsid w:val="003E34F8"/>
    <w:rsid w:val="003E55C1"/>
    <w:rsid w:val="003E7AE7"/>
    <w:rsid w:val="003F0CDB"/>
    <w:rsid w:val="003F645B"/>
    <w:rsid w:val="003F72D4"/>
    <w:rsid w:val="003F7C06"/>
    <w:rsid w:val="0040209A"/>
    <w:rsid w:val="00404970"/>
    <w:rsid w:val="00404E87"/>
    <w:rsid w:val="00406A10"/>
    <w:rsid w:val="00412C24"/>
    <w:rsid w:val="00414FE9"/>
    <w:rsid w:val="00415234"/>
    <w:rsid w:val="00415FEE"/>
    <w:rsid w:val="004202AE"/>
    <w:rsid w:val="0042180B"/>
    <w:rsid w:val="00422A2E"/>
    <w:rsid w:val="00425CBF"/>
    <w:rsid w:val="004300D4"/>
    <w:rsid w:val="00430F06"/>
    <w:rsid w:val="00432BB2"/>
    <w:rsid w:val="00436CD9"/>
    <w:rsid w:val="00440CE8"/>
    <w:rsid w:val="00440D53"/>
    <w:rsid w:val="00442301"/>
    <w:rsid w:val="0044633F"/>
    <w:rsid w:val="00447187"/>
    <w:rsid w:val="00451CBA"/>
    <w:rsid w:val="0045531D"/>
    <w:rsid w:val="00456490"/>
    <w:rsid w:val="00460BFD"/>
    <w:rsid w:val="0046149F"/>
    <w:rsid w:val="00462256"/>
    <w:rsid w:val="00464386"/>
    <w:rsid w:val="00470209"/>
    <w:rsid w:val="00470819"/>
    <w:rsid w:val="00470E1E"/>
    <w:rsid w:val="00471A06"/>
    <w:rsid w:val="004722E1"/>
    <w:rsid w:val="0047368F"/>
    <w:rsid w:val="00474479"/>
    <w:rsid w:val="004744C2"/>
    <w:rsid w:val="0047751A"/>
    <w:rsid w:val="00482E6F"/>
    <w:rsid w:val="00486C02"/>
    <w:rsid w:val="0049236F"/>
    <w:rsid w:val="00492FFB"/>
    <w:rsid w:val="00495BB7"/>
    <w:rsid w:val="00495D1F"/>
    <w:rsid w:val="00495E8E"/>
    <w:rsid w:val="00496684"/>
    <w:rsid w:val="004967D8"/>
    <w:rsid w:val="004977B9"/>
    <w:rsid w:val="004A4E5B"/>
    <w:rsid w:val="004A6633"/>
    <w:rsid w:val="004A6F98"/>
    <w:rsid w:val="004B32A3"/>
    <w:rsid w:val="004B59F3"/>
    <w:rsid w:val="004B6030"/>
    <w:rsid w:val="004C4A31"/>
    <w:rsid w:val="004C795E"/>
    <w:rsid w:val="004D2316"/>
    <w:rsid w:val="004D5DA3"/>
    <w:rsid w:val="004E1B03"/>
    <w:rsid w:val="004E437C"/>
    <w:rsid w:val="004E6838"/>
    <w:rsid w:val="004F4A6D"/>
    <w:rsid w:val="004F50DA"/>
    <w:rsid w:val="004F7A0B"/>
    <w:rsid w:val="0050136A"/>
    <w:rsid w:val="00501C86"/>
    <w:rsid w:val="005043C0"/>
    <w:rsid w:val="00506799"/>
    <w:rsid w:val="00507569"/>
    <w:rsid w:val="005147D6"/>
    <w:rsid w:val="005206E5"/>
    <w:rsid w:val="00524DEC"/>
    <w:rsid w:val="00525A5F"/>
    <w:rsid w:val="00531458"/>
    <w:rsid w:val="00531637"/>
    <w:rsid w:val="0053168A"/>
    <w:rsid w:val="005322BE"/>
    <w:rsid w:val="00532EC2"/>
    <w:rsid w:val="00535C48"/>
    <w:rsid w:val="005479AA"/>
    <w:rsid w:val="00554A72"/>
    <w:rsid w:val="00557411"/>
    <w:rsid w:val="005578BD"/>
    <w:rsid w:val="00561D73"/>
    <w:rsid w:val="00563705"/>
    <w:rsid w:val="00564262"/>
    <w:rsid w:val="00564D55"/>
    <w:rsid w:val="00566C7A"/>
    <w:rsid w:val="00566D1D"/>
    <w:rsid w:val="00567E41"/>
    <w:rsid w:val="00570994"/>
    <w:rsid w:val="00573CEF"/>
    <w:rsid w:val="00574580"/>
    <w:rsid w:val="00574B7F"/>
    <w:rsid w:val="005831C2"/>
    <w:rsid w:val="00585A1F"/>
    <w:rsid w:val="005911D2"/>
    <w:rsid w:val="005923DC"/>
    <w:rsid w:val="00592E5F"/>
    <w:rsid w:val="00594CD7"/>
    <w:rsid w:val="00597955"/>
    <w:rsid w:val="00597EF4"/>
    <w:rsid w:val="005A059D"/>
    <w:rsid w:val="005A295E"/>
    <w:rsid w:val="005A46B0"/>
    <w:rsid w:val="005A4C15"/>
    <w:rsid w:val="005A4EBF"/>
    <w:rsid w:val="005A6D71"/>
    <w:rsid w:val="005B0F88"/>
    <w:rsid w:val="005B1E1C"/>
    <w:rsid w:val="005B2F3E"/>
    <w:rsid w:val="005B4D87"/>
    <w:rsid w:val="005B4FB2"/>
    <w:rsid w:val="005C27C8"/>
    <w:rsid w:val="005D019E"/>
    <w:rsid w:val="005D7F18"/>
    <w:rsid w:val="005E1770"/>
    <w:rsid w:val="005E1BDA"/>
    <w:rsid w:val="005E1E13"/>
    <w:rsid w:val="005E50E0"/>
    <w:rsid w:val="005E5676"/>
    <w:rsid w:val="005E6555"/>
    <w:rsid w:val="005F0782"/>
    <w:rsid w:val="005F4EB2"/>
    <w:rsid w:val="005F7701"/>
    <w:rsid w:val="0060098A"/>
    <w:rsid w:val="00601148"/>
    <w:rsid w:val="00602C7C"/>
    <w:rsid w:val="00603821"/>
    <w:rsid w:val="00603B2D"/>
    <w:rsid w:val="006078C3"/>
    <w:rsid w:val="00613B0C"/>
    <w:rsid w:val="00613B4E"/>
    <w:rsid w:val="00630273"/>
    <w:rsid w:val="006318B5"/>
    <w:rsid w:val="00631D06"/>
    <w:rsid w:val="00633A28"/>
    <w:rsid w:val="006375FB"/>
    <w:rsid w:val="00637A10"/>
    <w:rsid w:val="00647545"/>
    <w:rsid w:val="00647E05"/>
    <w:rsid w:val="00651D30"/>
    <w:rsid w:val="00652EC8"/>
    <w:rsid w:val="0065569D"/>
    <w:rsid w:val="00663923"/>
    <w:rsid w:val="00665DB9"/>
    <w:rsid w:val="00672834"/>
    <w:rsid w:val="006744BC"/>
    <w:rsid w:val="006748F7"/>
    <w:rsid w:val="006766DE"/>
    <w:rsid w:val="00677AE4"/>
    <w:rsid w:val="0068027B"/>
    <w:rsid w:val="00690130"/>
    <w:rsid w:val="00693908"/>
    <w:rsid w:val="00693F77"/>
    <w:rsid w:val="00694334"/>
    <w:rsid w:val="006957F1"/>
    <w:rsid w:val="006975D8"/>
    <w:rsid w:val="006A5B84"/>
    <w:rsid w:val="006A7020"/>
    <w:rsid w:val="006A7457"/>
    <w:rsid w:val="006A7876"/>
    <w:rsid w:val="006B5C71"/>
    <w:rsid w:val="006C1D04"/>
    <w:rsid w:val="006C28F7"/>
    <w:rsid w:val="006C2B52"/>
    <w:rsid w:val="006C37E1"/>
    <w:rsid w:val="006C4BD7"/>
    <w:rsid w:val="006C4FC4"/>
    <w:rsid w:val="006C71A1"/>
    <w:rsid w:val="006D14B6"/>
    <w:rsid w:val="006D1912"/>
    <w:rsid w:val="006D1EB8"/>
    <w:rsid w:val="006D2F81"/>
    <w:rsid w:val="006D40A7"/>
    <w:rsid w:val="006D67C5"/>
    <w:rsid w:val="006D6C91"/>
    <w:rsid w:val="006F002F"/>
    <w:rsid w:val="006F00B8"/>
    <w:rsid w:val="006F0226"/>
    <w:rsid w:val="006F7546"/>
    <w:rsid w:val="007015E8"/>
    <w:rsid w:val="007038C7"/>
    <w:rsid w:val="00710CD1"/>
    <w:rsid w:val="0071186C"/>
    <w:rsid w:val="00711F9E"/>
    <w:rsid w:val="00713862"/>
    <w:rsid w:val="0071386F"/>
    <w:rsid w:val="00715111"/>
    <w:rsid w:val="00715637"/>
    <w:rsid w:val="0072058A"/>
    <w:rsid w:val="0072151B"/>
    <w:rsid w:val="00724161"/>
    <w:rsid w:val="007265DE"/>
    <w:rsid w:val="00727FF3"/>
    <w:rsid w:val="0073035D"/>
    <w:rsid w:val="0073196D"/>
    <w:rsid w:val="00734754"/>
    <w:rsid w:val="007369DF"/>
    <w:rsid w:val="007415D9"/>
    <w:rsid w:val="007419DB"/>
    <w:rsid w:val="00742253"/>
    <w:rsid w:val="0074297C"/>
    <w:rsid w:val="0074657D"/>
    <w:rsid w:val="00751244"/>
    <w:rsid w:val="0075519F"/>
    <w:rsid w:val="00756D37"/>
    <w:rsid w:val="00762BA4"/>
    <w:rsid w:val="00763852"/>
    <w:rsid w:val="00763891"/>
    <w:rsid w:val="00766BAB"/>
    <w:rsid w:val="00773D62"/>
    <w:rsid w:val="007756A9"/>
    <w:rsid w:val="00776972"/>
    <w:rsid w:val="00776FE5"/>
    <w:rsid w:val="00780719"/>
    <w:rsid w:val="007821E4"/>
    <w:rsid w:val="007834E0"/>
    <w:rsid w:val="00784D61"/>
    <w:rsid w:val="00785795"/>
    <w:rsid w:val="00785D05"/>
    <w:rsid w:val="00787186"/>
    <w:rsid w:val="00793457"/>
    <w:rsid w:val="00795277"/>
    <w:rsid w:val="00796890"/>
    <w:rsid w:val="007A4D2E"/>
    <w:rsid w:val="007A7B03"/>
    <w:rsid w:val="007A7C02"/>
    <w:rsid w:val="007B1961"/>
    <w:rsid w:val="007B2F03"/>
    <w:rsid w:val="007B4740"/>
    <w:rsid w:val="007B5C50"/>
    <w:rsid w:val="007C2F84"/>
    <w:rsid w:val="007C71ED"/>
    <w:rsid w:val="007D2A58"/>
    <w:rsid w:val="007D482F"/>
    <w:rsid w:val="007D59CB"/>
    <w:rsid w:val="007D5CAF"/>
    <w:rsid w:val="007D61F5"/>
    <w:rsid w:val="007D6E80"/>
    <w:rsid w:val="007E23AC"/>
    <w:rsid w:val="007E5E13"/>
    <w:rsid w:val="007E67D3"/>
    <w:rsid w:val="007E7B85"/>
    <w:rsid w:val="007F2545"/>
    <w:rsid w:val="007F7771"/>
    <w:rsid w:val="00800ECA"/>
    <w:rsid w:val="00802ECD"/>
    <w:rsid w:val="008104B6"/>
    <w:rsid w:val="0081260F"/>
    <w:rsid w:val="008137C5"/>
    <w:rsid w:val="00816638"/>
    <w:rsid w:val="0081710C"/>
    <w:rsid w:val="00820DEE"/>
    <w:rsid w:val="0082633D"/>
    <w:rsid w:val="00826398"/>
    <w:rsid w:val="0082737B"/>
    <w:rsid w:val="00827A08"/>
    <w:rsid w:val="00827C47"/>
    <w:rsid w:val="00831173"/>
    <w:rsid w:val="00835EA6"/>
    <w:rsid w:val="00841E2C"/>
    <w:rsid w:val="00843C97"/>
    <w:rsid w:val="00850EFE"/>
    <w:rsid w:val="00856CD5"/>
    <w:rsid w:val="00862386"/>
    <w:rsid w:val="008624D4"/>
    <w:rsid w:val="0086416A"/>
    <w:rsid w:val="00864EE7"/>
    <w:rsid w:val="00865ED0"/>
    <w:rsid w:val="00873935"/>
    <w:rsid w:val="00873B63"/>
    <w:rsid w:val="0087586D"/>
    <w:rsid w:val="00883387"/>
    <w:rsid w:val="00884648"/>
    <w:rsid w:val="00885A2A"/>
    <w:rsid w:val="00891A01"/>
    <w:rsid w:val="00895FDD"/>
    <w:rsid w:val="00896FB4"/>
    <w:rsid w:val="008A465B"/>
    <w:rsid w:val="008B3102"/>
    <w:rsid w:val="008B3F87"/>
    <w:rsid w:val="008B76EA"/>
    <w:rsid w:val="008B7D24"/>
    <w:rsid w:val="008C044F"/>
    <w:rsid w:val="008C152F"/>
    <w:rsid w:val="008C1587"/>
    <w:rsid w:val="008C2738"/>
    <w:rsid w:val="008C28A6"/>
    <w:rsid w:val="008C4DFE"/>
    <w:rsid w:val="008C6DD6"/>
    <w:rsid w:val="008D0E1C"/>
    <w:rsid w:val="008D678F"/>
    <w:rsid w:val="008D6D98"/>
    <w:rsid w:val="008E0024"/>
    <w:rsid w:val="008E1685"/>
    <w:rsid w:val="008F1456"/>
    <w:rsid w:val="008F2013"/>
    <w:rsid w:val="00900B25"/>
    <w:rsid w:val="00900E80"/>
    <w:rsid w:val="00902DA1"/>
    <w:rsid w:val="009035A9"/>
    <w:rsid w:val="009037DD"/>
    <w:rsid w:val="009039A9"/>
    <w:rsid w:val="0090442A"/>
    <w:rsid w:val="00904463"/>
    <w:rsid w:val="00907BCE"/>
    <w:rsid w:val="00911916"/>
    <w:rsid w:val="00915293"/>
    <w:rsid w:val="00915C01"/>
    <w:rsid w:val="009207C4"/>
    <w:rsid w:val="00921EE5"/>
    <w:rsid w:val="0092201E"/>
    <w:rsid w:val="00922BC9"/>
    <w:rsid w:val="009275CE"/>
    <w:rsid w:val="00930E73"/>
    <w:rsid w:val="00931312"/>
    <w:rsid w:val="00935767"/>
    <w:rsid w:val="009367C6"/>
    <w:rsid w:val="00937385"/>
    <w:rsid w:val="0094073B"/>
    <w:rsid w:val="00941F04"/>
    <w:rsid w:val="00946509"/>
    <w:rsid w:val="00950F60"/>
    <w:rsid w:val="00951145"/>
    <w:rsid w:val="009511FD"/>
    <w:rsid w:val="00951A56"/>
    <w:rsid w:val="00954C69"/>
    <w:rsid w:val="00955705"/>
    <w:rsid w:val="00957674"/>
    <w:rsid w:val="0096032A"/>
    <w:rsid w:val="0096245D"/>
    <w:rsid w:val="00963ECA"/>
    <w:rsid w:val="00964698"/>
    <w:rsid w:val="00966B02"/>
    <w:rsid w:val="00967BDC"/>
    <w:rsid w:val="0097260E"/>
    <w:rsid w:val="00973A93"/>
    <w:rsid w:val="009812E8"/>
    <w:rsid w:val="00984191"/>
    <w:rsid w:val="00984747"/>
    <w:rsid w:val="00984F8D"/>
    <w:rsid w:val="00990DB3"/>
    <w:rsid w:val="009910A5"/>
    <w:rsid w:val="00991735"/>
    <w:rsid w:val="00991C57"/>
    <w:rsid w:val="00991E3D"/>
    <w:rsid w:val="009927F4"/>
    <w:rsid w:val="00992E4B"/>
    <w:rsid w:val="00996A66"/>
    <w:rsid w:val="00996E03"/>
    <w:rsid w:val="009A02F2"/>
    <w:rsid w:val="009A496C"/>
    <w:rsid w:val="009A729F"/>
    <w:rsid w:val="009A78F2"/>
    <w:rsid w:val="009B040F"/>
    <w:rsid w:val="009B208D"/>
    <w:rsid w:val="009B3765"/>
    <w:rsid w:val="009B38E5"/>
    <w:rsid w:val="009B49B7"/>
    <w:rsid w:val="009B4CC8"/>
    <w:rsid w:val="009B59BC"/>
    <w:rsid w:val="009B63E8"/>
    <w:rsid w:val="009B7DB6"/>
    <w:rsid w:val="009D48A4"/>
    <w:rsid w:val="009E06C7"/>
    <w:rsid w:val="009E311C"/>
    <w:rsid w:val="009E3B15"/>
    <w:rsid w:val="009E5103"/>
    <w:rsid w:val="009E5FBA"/>
    <w:rsid w:val="009E65BC"/>
    <w:rsid w:val="009E6FA1"/>
    <w:rsid w:val="009E735D"/>
    <w:rsid w:val="009F3EB0"/>
    <w:rsid w:val="009F4554"/>
    <w:rsid w:val="009F62B2"/>
    <w:rsid w:val="009F7070"/>
    <w:rsid w:val="00A019EA"/>
    <w:rsid w:val="00A01B81"/>
    <w:rsid w:val="00A046B4"/>
    <w:rsid w:val="00A0744E"/>
    <w:rsid w:val="00A07874"/>
    <w:rsid w:val="00A10B44"/>
    <w:rsid w:val="00A12928"/>
    <w:rsid w:val="00A129F3"/>
    <w:rsid w:val="00A12A8D"/>
    <w:rsid w:val="00A13ABF"/>
    <w:rsid w:val="00A15DC9"/>
    <w:rsid w:val="00A16629"/>
    <w:rsid w:val="00A2019D"/>
    <w:rsid w:val="00A20E8A"/>
    <w:rsid w:val="00A24747"/>
    <w:rsid w:val="00A343A0"/>
    <w:rsid w:val="00A3694D"/>
    <w:rsid w:val="00A37539"/>
    <w:rsid w:val="00A41257"/>
    <w:rsid w:val="00A42490"/>
    <w:rsid w:val="00A43FF0"/>
    <w:rsid w:val="00A45740"/>
    <w:rsid w:val="00A476B3"/>
    <w:rsid w:val="00A47ED7"/>
    <w:rsid w:val="00A526DD"/>
    <w:rsid w:val="00A529C3"/>
    <w:rsid w:val="00A536D7"/>
    <w:rsid w:val="00A547F9"/>
    <w:rsid w:val="00A54A6F"/>
    <w:rsid w:val="00A55B47"/>
    <w:rsid w:val="00A5610A"/>
    <w:rsid w:val="00A56C5C"/>
    <w:rsid w:val="00A616A6"/>
    <w:rsid w:val="00A6342A"/>
    <w:rsid w:val="00A67561"/>
    <w:rsid w:val="00A7179D"/>
    <w:rsid w:val="00A76F83"/>
    <w:rsid w:val="00A7771E"/>
    <w:rsid w:val="00A80770"/>
    <w:rsid w:val="00A8150A"/>
    <w:rsid w:val="00A83AE0"/>
    <w:rsid w:val="00A8474E"/>
    <w:rsid w:val="00A84F1C"/>
    <w:rsid w:val="00A8670E"/>
    <w:rsid w:val="00A91DC2"/>
    <w:rsid w:val="00A93A7E"/>
    <w:rsid w:val="00A93AFE"/>
    <w:rsid w:val="00A96F83"/>
    <w:rsid w:val="00A97216"/>
    <w:rsid w:val="00AA126E"/>
    <w:rsid w:val="00AA4D1B"/>
    <w:rsid w:val="00AA7672"/>
    <w:rsid w:val="00AB519D"/>
    <w:rsid w:val="00AB71B5"/>
    <w:rsid w:val="00AB7C87"/>
    <w:rsid w:val="00AC2C5C"/>
    <w:rsid w:val="00AC3BA7"/>
    <w:rsid w:val="00AC7D2F"/>
    <w:rsid w:val="00AD1341"/>
    <w:rsid w:val="00AD355A"/>
    <w:rsid w:val="00AE1510"/>
    <w:rsid w:val="00AF0172"/>
    <w:rsid w:val="00AF55B9"/>
    <w:rsid w:val="00AF5A88"/>
    <w:rsid w:val="00B00F55"/>
    <w:rsid w:val="00B01020"/>
    <w:rsid w:val="00B031D5"/>
    <w:rsid w:val="00B0457F"/>
    <w:rsid w:val="00B04D0A"/>
    <w:rsid w:val="00B07D6B"/>
    <w:rsid w:val="00B170E7"/>
    <w:rsid w:val="00B17CC1"/>
    <w:rsid w:val="00B17DC2"/>
    <w:rsid w:val="00B205EC"/>
    <w:rsid w:val="00B2110E"/>
    <w:rsid w:val="00B211EC"/>
    <w:rsid w:val="00B2358B"/>
    <w:rsid w:val="00B25270"/>
    <w:rsid w:val="00B30AFC"/>
    <w:rsid w:val="00B3107E"/>
    <w:rsid w:val="00B31A1F"/>
    <w:rsid w:val="00B31BCB"/>
    <w:rsid w:val="00B32DFF"/>
    <w:rsid w:val="00B35C98"/>
    <w:rsid w:val="00B409B3"/>
    <w:rsid w:val="00B45E23"/>
    <w:rsid w:val="00B475AC"/>
    <w:rsid w:val="00B5164A"/>
    <w:rsid w:val="00B52939"/>
    <w:rsid w:val="00B544A8"/>
    <w:rsid w:val="00B5574A"/>
    <w:rsid w:val="00B55ECA"/>
    <w:rsid w:val="00B6110E"/>
    <w:rsid w:val="00B654E7"/>
    <w:rsid w:val="00B772E6"/>
    <w:rsid w:val="00B8100C"/>
    <w:rsid w:val="00B81BEC"/>
    <w:rsid w:val="00B84422"/>
    <w:rsid w:val="00B867AF"/>
    <w:rsid w:val="00B87D55"/>
    <w:rsid w:val="00B9001A"/>
    <w:rsid w:val="00B90CB7"/>
    <w:rsid w:val="00B9131F"/>
    <w:rsid w:val="00B91B88"/>
    <w:rsid w:val="00B91CDB"/>
    <w:rsid w:val="00B933C7"/>
    <w:rsid w:val="00B94352"/>
    <w:rsid w:val="00B944CB"/>
    <w:rsid w:val="00B96802"/>
    <w:rsid w:val="00B96986"/>
    <w:rsid w:val="00B97A44"/>
    <w:rsid w:val="00BA5FBA"/>
    <w:rsid w:val="00BA6E8F"/>
    <w:rsid w:val="00BA7976"/>
    <w:rsid w:val="00BB0176"/>
    <w:rsid w:val="00BB1348"/>
    <w:rsid w:val="00BB4C65"/>
    <w:rsid w:val="00BB5D4F"/>
    <w:rsid w:val="00BB6693"/>
    <w:rsid w:val="00BC33FF"/>
    <w:rsid w:val="00BC6E84"/>
    <w:rsid w:val="00BC7EDB"/>
    <w:rsid w:val="00BD03B8"/>
    <w:rsid w:val="00BD40CD"/>
    <w:rsid w:val="00BD6094"/>
    <w:rsid w:val="00BE06EB"/>
    <w:rsid w:val="00BE1127"/>
    <w:rsid w:val="00BE30BD"/>
    <w:rsid w:val="00BE4923"/>
    <w:rsid w:val="00BE524E"/>
    <w:rsid w:val="00BF22A7"/>
    <w:rsid w:val="00BF248C"/>
    <w:rsid w:val="00BF2579"/>
    <w:rsid w:val="00C03E9D"/>
    <w:rsid w:val="00C1206C"/>
    <w:rsid w:val="00C160CC"/>
    <w:rsid w:val="00C178FF"/>
    <w:rsid w:val="00C17ECB"/>
    <w:rsid w:val="00C20AAE"/>
    <w:rsid w:val="00C23F56"/>
    <w:rsid w:val="00C25769"/>
    <w:rsid w:val="00C2761D"/>
    <w:rsid w:val="00C312F4"/>
    <w:rsid w:val="00C346BF"/>
    <w:rsid w:val="00C37230"/>
    <w:rsid w:val="00C41639"/>
    <w:rsid w:val="00C42FE8"/>
    <w:rsid w:val="00C53792"/>
    <w:rsid w:val="00C56212"/>
    <w:rsid w:val="00C570C1"/>
    <w:rsid w:val="00C57FF5"/>
    <w:rsid w:val="00C606A3"/>
    <w:rsid w:val="00C6231A"/>
    <w:rsid w:val="00C62D8D"/>
    <w:rsid w:val="00C659C9"/>
    <w:rsid w:val="00C67585"/>
    <w:rsid w:val="00C730CA"/>
    <w:rsid w:val="00C73211"/>
    <w:rsid w:val="00C77DD8"/>
    <w:rsid w:val="00C8195A"/>
    <w:rsid w:val="00C843CC"/>
    <w:rsid w:val="00C84611"/>
    <w:rsid w:val="00C85DF3"/>
    <w:rsid w:val="00C85EA3"/>
    <w:rsid w:val="00C90808"/>
    <w:rsid w:val="00C95718"/>
    <w:rsid w:val="00C96A81"/>
    <w:rsid w:val="00C96E00"/>
    <w:rsid w:val="00CA000F"/>
    <w:rsid w:val="00CA0DAD"/>
    <w:rsid w:val="00CA49DF"/>
    <w:rsid w:val="00CA4AF4"/>
    <w:rsid w:val="00CA51F9"/>
    <w:rsid w:val="00CA5452"/>
    <w:rsid w:val="00CA6B93"/>
    <w:rsid w:val="00CA7787"/>
    <w:rsid w:val="00CB0785"/>
    <w:rsid w:val="00CB14BC"/>
    <w:rsid w:val="00CB1DE4"/>
    <w:rsid w:val="00CB22FA"/>
    <w:rsid w:val="00CB5068"/>
    <w:rsid w:val="00CB56C3"/>
    <w:rsid w:val="00CC0595"/>
    <w:rsid w:val="00CC0B7A"/>
    <w:rsid w:val="00CC3DEF"/>
    <w:rsid w:val="00CD625D"/>
    <w:rsid w:val="00CD72CE"/>
    <w:rsid w:val="00CE007C"/>
    <w:rsid w:val="00CE0851"/>
    <w:rsid w:val="00CE259E"/>
    <w:rsid w:val="00CE3B6A"/>
    <w:rsid w:val="00CF14B9"/>
    <w:rsid w:val="00CF5782"/>
    <w:rsid w:val="00CF588F"/>
    <w:rsid w:val="00CF7BBE"/>
    <w:rsid w:val="00D016FC"/>
    <w:rsid w:val="00D01A77"/>
    <w:rsid w:val="00D0567C"/>
    <w:rsid w:val="00D07560"/>
    <w:rsid w:val="00D10D80"/>
    <w:rsid w:val="00D10FCF"/>
    <w:rsid w:val="00D1135D"/>
    <w:rsid w:val="00D14652"/>
    <w:rsid w:val="00D14CC5"/>
    <w:rsid w:val="00D15245"/>
    <w:rsid w:val="00D169FC"/>
    <w:rsid w:val="00D17BE6"/>
    <w:rsid w:val="00D24274"/>
    <w:rsid w:val="00D26DB3"/>
    <w:rsid w:val="00D27024"/>
    <w:rsid w:val="00D3169F"/>
    <w:rsid w:val="00D32759"/>
    <w:rsid w:val="00D33C40"/>
    <w:rsid w:val="00D35296"/>
    <w:rsid w:val="00D3773B"/>
    <w:rsid w:val="00D40497"/>
    <w:rsid w:val="00D41546"/>
    <w:rsid w:val="00D47EBC"/>
    <w:rsid w:val="00D553DA"/>
    <w:rsid w:val="00D5716D"/>
    <w:rsid w:val="00D62D5A"/>
    <w:rsid w:val="00D6498B"/>
    <w:rsid w:val="00D652C4"/>
    <w:rsid w:val="00D74EAF"/>
    <w:rsid w:val="00D807D4"/>
    <w:rsid w:val="00D871F6"/>
    <w:rsid w:val="00D87447"/>
    <w:rsid w:val="00D927A5"/>
    <w:rsid w:val="00D92AA7"/>
    <w:rsid w:val="00D94EC4"/>
    <w:rsid w:val="00D9708E"/>
    <w:rsid w:val="00D9721C"/>
    <w:rsid w:val="00DA2C72"/>
    <w:rsid w:val="00DA4CBC"/>
    <w:rsid w:val="00DA6081"/>
    <w:rsid w:val="00DA60B1"/>
    <w:rsid w:val="00DB0585"/>
    <w:rsid w:val="00DB4A57"/>
    <w:rsid w:val="00DB6D66"/>
    <w:rsid w:val="00DC1E88"/>
    <w:rsid w:val="00DC4E0F"/>
    <w:rsid w:val="00DC70BA"/>
    <w:rsid w:val="00DC7312"/>
    <w:rsid w:val="00DD06B3"/>
    <w:rsid w:val="00DD1A89"/>
    <w:rsid w:val="00DD1EDB"/>
    <w:rsid w:val="00DD680E"/>
    <w:rsid w:val="00DD79C7"/>
    <w:rsid w:val="00DE3115"/>
    <w:rsid w:val="00DE5403"/>
    <w:rsid w:val="00DE59EC"/>
    <w:rsid w:val="00DF1083"/>
    <w:rsid w:val="00DF3301"/>
    <w:rsid w:val="00DF6405"/>
    <w:rsid w:val="00DF689F"/>
    <w:rsid w:val="00E06B6C"/>
    <w:rsid w:val="00E1141A"/>
    <w:rsid w:val="00E11786"/>
    <w:rsid w:val="00E13309"/>
    <w:rsid w:val="00E133AC"/>
    <w:rsid w:val="00E13930"/>
    <w:rsid w:val="00E20A0F"/>
    <w:rsid w:val="00E22AE7"/>
    <w:rsid w:val="00E24FBB"/>
    <w:rsid w:val="00E266CA"/>
    <w:rsid w:val="00E30BDC"/>
    <w:rsid w:val="00E3142B"/>
    <w:rsid w:val="00E331E3"/>
    <w:rsid w:val="00E52740"/>
    <w:rsid w:val="00E575E9"/>
    <w:rsid w:val="00E61E4C"/>
    <w:rsid w:val="00E64355"/>
    <w:rsid w:val="00E667D0"/>
    <w:rsid w:val="00E7177D"/>
    <w:rsid w:val="00E8077A"/>
    <w:rsid w:val="00E82FAD"/>
    <w:rsid w:val="00E833CF"/>
    <w:rsid w:val="00E86610"/>
    <w:rsid w:val="00E9069D"/>
    <w:rsid w:val="00E9303F"/>
    <w:rsid w:val="00E937B8"/>
    <w:rsid w:val="00E95963"/>
    <w:rsid w:val="00EA0BC7"/>
    <w:rsid w:val="00EA3303"/>
    <w:rsid w:val="00EB1241"/>
    <w:rsid w:val="00EB5CCC"/>
    <w:rsid w:val="00EB7647"/>
    <w:rsid w:val="00EC052C"/>
    <w:rsid w:val="00ED0569"/>
    <w:rsid w:val="00ED56F6"/>
    <w:rsid w:val="00ED5F03"/>
    <w:rsid w:val="00ED7F9F"/>
    <w:rsid w:val="00EE1092"/>
    <w:rsid w:val="00EE27DC"/>
    <w:rsid w:val="00EF1E24"/>
    <w:rsid w:val="00F03451"/>
    <w:rsid w:val="00F042BD"/>
    <w:rsid w:val="00F0498B"/>
    <w:rsid w:val="00F0618F"/>
    <w:rsid w:val="00F13E31"/>
    <w:rsid w:val="00F14437"/>
    <w:rsid w:val="00F16911"/>
    <w:rsid w:val="00F16C31"/>
    <w:rsid w:val="00F17EA1"/>
    <w:rsid w:val="00F204FC"/>
    <w:rsid w:val="00F2070D"/>
    <w:rsid w:val="00F2469D"/>
    <w:rsid w:val="00F24734"/>
    <w:rsid w:val="00F25569"/>
    <w:rsid w:val="00F2793F"/>
    <w:rsid w:val="00F317C0"/>
    <w:rsid w:val="00F31F5E"/>
    <w:rsid w:val="00F33D2B"/>
    <w:rsid w:val="00F374DE"/>
    <w:rsid w:val="00F45EC8"/>
    <w:rsid w:val="00F50A8D"/>
    <w:rsid w:val="00F52E6D"/>
    <w:rsid w:val="00F52F5A"/>
    <w:rsid w:val="00F53BAA"/>
    <w:rsid w:val="00F57D6F"/>
    <w:rsid w:val="00F6159A"/>
    <w:rsid w:val="00F64B5C"/>
    <w:rsid w:val="00F64B6C"/>
    <w:rsid w:val="00F67EF0"/>
    <w:rsid w:val="00F70D05"/>
    <w:rsid w:val="00F72C1C"/>
    <w:rsid w:val="00F83727"/>
    <w:rsid w:val="00F870BE"/>
    <w:rsid w:val="00F877CF"/>
    <w:rsid w:val="00F907D6"/>
    <w:rsid w:val="00F94278"/>
    <w:rsid w:val="00F946D1"/>
    <w:rsid w:val="00F95761"/>
    <w:rsid w:val="00FA4740"/>
    <w:rsid w:val="00FA4B3C"/>
    <w:rsid w:val="00FB0475"/>
    <w:rsid w:val="00FB1CA3"/>
    <w:rsid w:val="00FB38F0"/>
    <w:rsid w:val="00FB74E0"/>
    <w:rsid w:val="00FC186B"/>
    <w:rsid w:val="00FC1913"/>
    <w:rsid w:val="00FC4295"/>
    <w:rsid w:val="00FC5682"/>
    <w:rsid w:val="00FC79B2"/>
    <w:rsid w:val="00FD10F1"/>
    <w:rsid w:val="00FD7825"/>
    <w:rsid w:val="00FE0A14"/>
    <w:rsid w:val="00FE3FF1"/>
    <w:rsid w:val="00FE48D8"/>
    <w:rsid w:val="00FF2819"/>
    <w:rsid w:val="00FF3BCD"/>
    <w:rsid w:val="0131211D"/>
    <w:rsid w:val="01735601"/>
    <w:rsid w:val="01A86BBB"/>
    <w:rsid w:val="02485638"/>
    <w:rsid w:val="044B6A31"/>
    <w:rsid w:val="04CD667F"/>
    <w:rsid w:val="05277382"/>
    <w:rsid w:val="06330FC7"/>
    <w:rsid w:val="06545EB7"/>
    <w:rsid w:val="06E8270F"/>
    <w:rsid w:val="07670F35"/>
    <w:rsid w:val="07DF7792"/>
    <w:rsid w:val="07E75AAE"/>
    <w:rsid w:val="07ED56D9"/>
    <w:rsid w:val="08BD2035"/>
    <w:rsid w:val="0ACF072F"/>
    <w:rsid w:val="0C321293"/>
    <w:rsid w:val="0CB20A8D"/>
    <w:rsid w:val="0D9D4636"/>
    <w:rsid w:val="0ECA3610"/>
    <w:rsid w:val="0EED3DDF"/>
    <w:rsid w:val="10D61204"/>
    <w:rsid w:val="11463995"/>
    <w:rsid w:val="11752A58"/>
    <w:rsid w:val="12B8127F"/>
    <w:rsid w:val="14506DD9"/>
    <w:rsid w:val="148204A5"/>
    <w:rsid w:val="15E564B1"/>
    <w:rsid w:val="161359DD"/>
    <w:rsid w:val="19336A0C"/>
    <w:rsid w:val="1AA44F52"/>
    <w:rsid w:val="1B181A46"/>
    <w:rsid w:val="1B2E1125"/>
    <w:rsid w:val="1CC66A6C"/>
    <w:rsid w:val="217877BC"/>
    <w:rsid w:val="21BE6C4D"/>
    <w:rsid w:val="221F5CE1"/>
    <w:rsid w:val="226570F1"/>
    <w:rsid w:val="23272900"/>
    <w:rsid w:val="232748D0"/>
    <w:rsid w:val="245A4635"/>
    <w:rsid w:val="25A03AAC"/>
    <w:rsid w:val="26B43271"/>
    <w:rsid w:val="26E162D0"/>
    <w:rsid w:val="28D0330E"/>
    <w:rsid w:val="299643AC"/>
    <w:rsid w:val="29FA6151"/>
    <w:rsid w:val="2AC656F7"/>
    <w:rsid w:val="2BE73514"/>
    <w:rsid w:val="2DCF11FB"/>
    <w:rsid w:val="2EB7137A"/>
    <w:rsid w:val="2F7421E8"/>
    <w:rsid w:val="2FCB3C1D"/>
    <w:rsid w:val="30004E27"/>
    <w:rsid w:val="32394572"/>
    <w:rsid w:val="34F62354"/>
    <w:rsid w:val="351D446A"/>
    <w:rsid w:val="3616561E"/>
    <w:rsid w:val="36DC4BB1"/>
    <w:rsid w:val="370A1B98"/>
    <w:rsid w:val="37853C30"/>
    <w:rsid w:val="382E3A24"/>
    <w:rsid w:val="3842422E"/>
    <w:rsid w:val="3AED697A"/>
    <w:rsid w:val="3B39734A"/>
    <w:rsid w:val="3B730E6B"/>
    <w:rsid w:val="452C5481"/>
    <w:rsid w:val="45557B49"/>
    <w:rsid w:val="46DF1B21"/>
    <w:rsid w:val="47987D2E"/>
    <w:rsid w:val="48B00A3D"/>
    <w:rsid w:val="4A5014CD"/>
    <w:rsid w:val="4C091AF8"/>
    <w:rsid w:val="4EC70B92"/>
    <w:rsid w:val="50B9275C"/>
    <w:rsid w:val="51103F97"/>
    <w:rsid w:val="520A7C6E"/>
    <w:rsid w:val="524B68FF"/>
    <w:rsid w:val="531058EC"/>
    <w:rsid w:val="54223870"/>
    <w:rsid w:val="55134479"/>
    <w:rsid w:val="55BD09E1"/>
    <w:rsid w:val="56E55ACA"/>
    <w:rsid w:val="57381C34"/>
    <w:rsid w:val="5758119E"/>
    <w:rsid w:val="57ED161A"/>
    <w:rsid w:val="58097460"/>
    <w:rsid w:val="583A4F4D"/>
    <w:rsid w:val="5A6D3BE8"/>
    <w:rsid w:val="5AE05DFF"/>
    <w:rsid w:val="5BAD55B3"/>
    <w:rsid w:val="5CE23653"/>
    <w:rsid w:val="5DDD342A"/>
    <w:rsid w:val="5E19625D"/>
    <w:rsid w:val="60950C75"/>
    <w:rsid w:val="60B573F8"/>
    <w:rsid w:val="62AE4E63"/>
    <w:rsid w:val="63A5052E"/>
    <w:rsid w:val="675B19D1"/>
    <w:rsid w:val="681C2055"/>
    <w:rsid w:val="68575A89"/>
    <w:rsid w:val="68AA7521"/>
    <w:rsid w:val="69673FE6"/>
    <w:rsid w:val="6AAC777F"/>
    <w:rsid w:val="6B240E79"/>
    <w:rsid w:val="6C7A6EA4"/>
    <w:rsid w:val="6D7A2849"/>
    <w:rsid w:val="6D9606DC"/>
    <w:rsid w:val="6E9422D4"/>
    <w:rsid w:val="71763D0C"/>
    <w:rsid w:val="719B7E8D"/>
    <w:rsid w:val="722B2317"/>
    <w:rsid w:val="728E6968"/>
    <w:rsid w:val="74BC50EF"/>
    <w:rsid w:val="74DF0134"/>
    <w:rsid w:val="7556245D"/>
    <w:rsid w:val="75824C79"/>
    <w:rsid w:val="77916493"/>
    <w:rsid w:val="78D20924"/>
    <w:rsid w:val="798E7444"/>
    <w:rsid w:val="79FC2CB0"/>
    <w:rsid w:val="7BC168A4"/>
    <w:rsid w:val="7E3B384D"/>
    <w:rsid w:val="7F210038"/>
    <w:rsid w:val="7FE00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link w:val="30"/>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before="260" w:beforeLines="0" w:after="260" w:afterLines="0" w:line="416" w:lineRule="auto"/>
      <w:jc w:val="left"/>
      <w:outlineLvl w:val="2"/>
    </w:pPr>
    <w:rPr>
      <w:rFonts w:ascii="宋体"/>
      <w:b/>
      <w:bCs/>
      <w:kern w:val="0"/>
      <w:sz w:val="32"/>
      <w:szCs w:val="32"/>
      <w:lang w:val="zh-CN"/>
    </w:rPr>
  </w:style>
  <w:style w:type="character" w:default="1" w:styleId="26">
    <w:name w:val="Default Paragraph Font"/>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1"/>
    <w:qFormat/>
    <w:uiPriority w:val="0"/>
    <w:pPr>
      <w:jc w:val="left"/>
    </w:pPr>
  </w:style>
  <w:style w:type="paragraph" w:styleId="7">
    <w:name w:val="Body Text 3"/>
    <w:basedOn w:val="1"/>
    <w:qFormat/>
    <w:uiPriority w:val="0"/>
    <w:pPr>
      <w:snapToGrid w:val="0"/>
      <w:spacing w:line="400" w:lineRule="exact"/>
    </w:pPr>
    <w:rPr>
      <w:rFonts w:ascii="华文中宋" w:hAnsi="华文中宋" w:eastAsia="华文中宋"/>
      <w:color w:val="000000"/>
      <w:sz w:val="24"/>
    </w:rPr>
  </w:style>
  <w:style w:type="paragraph" w:styleId="8">
    <w:name w:val="Body Text"/>
    <w:basedOn w:val="1"/>
    <w:next w:val="1"/>
    <w:qFormat/>
    <w:uiPriority w:val="0"/>
    <w:pPr>
      <w:spacing w:after="120" w:afterLines="0"/>
    </w:pPr>
  </w:style>
  <w:style w:type="paragraph" w:styleId="9">
    <w:name w:val="Body Text Indent"/>
    <w:basedOn w:val="1"/>
    <w:next w:val="1"/>
    <w:qFormat/>
    <w:uiPriority w:val="0"/>
    <w:pPr>
      <w:ind w:firstLine="600"/>
    </w:pPr>
    <w:rPr>
      <w:sz w:val="28"/>
      <w:szCs w:val="28"/>
    </w:rPr>
  </w:style>
  <w:style w:type="paragraph" w:styleId="10">
    <w:name w:val="Plain Text"/>
    <w:basedOn w:val="1"/>
    <w:next w:val="1"/>
    <w:qFormat/>
    <w:uiPriority w:val="0"/>
    <w:rPr>
      <w:rFonts w:ascii="宋体" w:hAnsi="Courier New"/>
      <w:sz w:val="28"/>
      <w:szCs w:val="28"/>
    </w:rPr>
  </w:style>
  <w:style w:type="paragraph" w:styleId="11">
    <w:name w:val="Date"/>
    <w:basedOn w:val="1"/>
    <w:next w:val="1"/>
    <w:qFormat/>
    <w:uiPriority w:val="0"/>
    <w:pPr>
      <w:ind w:left="100" w:leftChars="2500"/>
    </w:pPr>
    <w:rPr>
      <w:b/>
      <w:bCs/>
      <w:sz w:val="28"/>
      <w:szCs w:val="28"/>
    </w:rPr>
  </w:style>
  <w:style w:type="paragraph" w:styleId="12">
    <w:name w:val="Body Text Indent 2"/>
    <w:basedOn w:val="1"/>
    <w:qFormat/>
    <w:uiPriority w:val="0"/>
    <w:pPr>
      <w:spacing w:line="360" w:lineRule="auto"/>
      <w:ind w:firstLine="11"/>
    </w:pPr>
    <w:rPr>
      <w:rFonts w:ascii="宋体" w:hAnsi="宋体"/>
      <w:sz w:val="24"/>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qFormat/>
    <w:uiPriority w:val="0"/>
    <w:pPr>
      <w:spacing w:line="300" w:lineRule="auto"/>
      <w:ind w:firstLine="480" w:firstLineChars="200"/>
    </w:pPr>
    <w:rPr>
      <w:rFonts w:ascii="宋体" w:hAnsi="宋体"/>
      <w:sz w:val="24"/>
      <w:szCs w:val="28"/>
    </w:rPr>
  </w:style>
  <w:style w:type="paragraph" w:styleId="18">
    <w:name w:val="toc 2"/>
    <w:basedOn w:val="1"/>
    <w:next w:val="1"/>
    <w:qFormat/>
    <w:uiPriority w:val="39"/>
    <w:pPr>
      <w:ind w:left="420" w:leftChars="200"/>
    </w:pPr>
  </w:style>
  <w:style w:type="paragraph" w:styleId="19">
    <w:name w:val="List Continue 2"/>
    <w:basedOn w:val="1"/>
    <w:qFormat/>
    <w:uiPriority w:val="0"/>
    <w:pPr>
      <w:spacing w:after="120" w:afterLines="0"/>
      <w:ind w:left="840" w:leftChars="400"/>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kern w:val="0"/>
      <w:sz w:val="24"/>
      <w:szCs w:val="28"/>
    </w:rPr>
  </w:style>
  <w:style w:type="paragraph" w:styleId="21">
    <w:name w:val="Normal (Web)"/>
    <w:basedOn w:val="1"/>
    <w:qFormat/>
    <w:uiPriority w:val="0"/>
    <w:pPr>
      <w:widowControl/>
      <w:spacing w:before="100" w:beforeLines="0" w:after="100" w:afterLines="0"/>
      <w:jc w:val="left"/>
    </w:pPr>
    <w:rPr>
      <w:rFonts w:ascii="Arial Unicode MS" w:hAnsi="Arial Unicode MS" w:eastAsia="Arial Unicode MS"/>
      <w:kern w:val="0"/>
      <w:sz w:val="24"/>
      <w:szCs w:val="20"/>
    </w:rPr>
  </w:style>
  <w:style w:type="paragraph" w:styleId="22">
    <w:name w:val="annotation subject"/>
    <w:basedOn w:val="6"/>
    <w:next w:val="6"/>
    <w:qFormat/>
    <w:uiPriority w:val="0"/>
    <w:rPr>
      <w:b/>
      <w:bCs/>
    </w:rPr>
  </w:style>
  <w:style w:type="paragraph" w:styleId="23">
    <w:name w:val="Body Text First Indent"/>
    <w:basedOn w:val="8"/>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标题 2 字符"/>
    <w:link w:val="2"/>
    <w:qFormat/>
    <w:uiPriority w:val="0"/>
    <w:rPr>
      <w:rFonts w:ascii="Arial" w:hAnsi="Arial" w:eastAsia="黑体"/>
      <w:b/>
      <w:bCs/>
      <w:kern w:val="2"/>
      <w:sz w:val="32"/>
      <w:szCs w:val="32"/>
    </w:rPr>
  </w:style>
  <w:style w:type="character" w:customStyle="1" w:styleId="31">
    <w:name w:val="批注文字 字符"/>
    <w:link w:val="6"/>
    <w:qFormat/>
    <w:uiPriority w:val="0"/>
    <w:rPr>
      <w:rFonts w:eastAsia="宋体"/>
      <w:kern w:val="2"/>
      <w:sz w:val="21"/>
      <w:szCs w:val="24"/>
      <w:lang w:val="en-US" w:eastAsia="zh-CN" w:bidi="ar-SA"/>
    </w:rPr>
  </w:style>
  <w:style w:type="character" w:customStyle="1" w:styleId="32">
    <w:name w:val="ggnr1"/>
    <w:qFormat/>
    <w:uiPriority w:val="0"/>
    <w:rPr>
      <w:sz w:val="26"/>
      <w:szCs w:val="26"/>
    </w:rPr>
  </w:style>
  <w:style w:type="character" w:customStyle="1" w:styleId="33">
    <w:name w:val=" Char Char10"/>
    <w:qFormat/>
    <w:uiPriority w:val="0"/>
    <w:rPr>
      <w:rFonts w:ascii="Times New Roman" w:hAnsi="Times New Roman" w:eastAsia="宋体" w:cs="Times New Roman"/>
      <w:szCs w:val="24"/>
    </w:rPr>
  </w:style>
  <w:style w:type="paragraph" w:customStyle="1" w:styleId="34">
    <w:name w:val="Char"/>
    <w:basedOn w:val="1"/>
    <w:qFormat/>
    <w:uiPriority w:val="0"/>
    <w:pPr>
      <w:spacing w:line="360" w:lineRule="auto"/>
      <w:jc w:val="center"/>
    </w:pPr>
    <w:rPr>
      <w:rFonts w:eastAsia="仿宋_GB2312"/>
      <w:b/>
      <w:sz w:val="32"/>
    </w:rPr>
  </w:style>
  <w:style w:type="paragraph" w:customStyle="1" w:styleId="35">
    <w:name w:val="Plain Text"/>
    <w:basedOn w:val="1"/>
    <w:qFormat/>
    <w:uiPriority w:val="0"/>
    <w:pPr>
      <w:adjustRightInd w:val="0"/>
      <w:textAlignment w:val="baseline"/>
    </w:pPr>
    <w:rPr>
      <w:rFonts w:ascii="宋体"/>
      <w:kern w:val="0"/>
      <w:sz w:val="24"/>
      <w:szCs w:val="20"/>
    </w:rPr>
  </w:style>
  <w:style w:type="paragraph" w:customStyle="1" w:styleId="36">
    <w:name w:val=" Char Char Char Char Char Char Char"/>
    <w:basedOn w:val="1"/>
    <w:qFormat/>
    <w:uiPriority w:val="0"/>
    <w:pPr>
      <w:widowControl/>
      <w:spacing w:after="160" w:afterLines="0" w:line="240" w:lineRule="exact"/>
      <w:jc w:val="left"/>
    </w:pPr>
  </w:style>
  <w:style w:type="paragraph" w:customStyle="1" w:styleId="37">
    <w:name w:val=" 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8">
    <w:name w:val="标题2"/>
    <w:basedOn w:val="2"/>
    <w:next w:val="1"/>
    <w:qFormat/>
    <w:uiPriority w:val="0"/>
    <w:pPr>
      <w:keepNext w:val="0"/>
      <w:keepLines w:val="0"/>
      <w:spacing w:before="0" w:beforeLines="0" w:after="0" w:afterLines="0" w:line="360" w:lineRule="auto"/>
      <w:jc w:val="center"/>
      <w:outlineLvl w:val="9"/>
    </w:pPr>
    <w:rPr>
      <w:rFonts w:ascii="宋体" w:hAnsi="宋体" w:eastAsia="宋体"/>
      <w:bCs w:val="0"/>
      <w:kern w:val="0"/>
      <w:szCs w:val="20"/>
    </w:rPr>
  </w:style>
  <w:style w:type="paragraph" w:customStyle="1" w:styleId="39">
    <w:name w:val=" Char"/>
    <w:basedOn w:val="1"/>
    <w:qFormat/>
    <w:uiPriority w:val="0"/>
    <w:pPr>
      <w:spacing w:line="360" w:lineRule="auto"/>
      <w:jc w:val="center"/>
    </w:pPr>
    <w:rPr>
      <w:rFonts w:eastAsia="仿宋_GB2312"/>
      <w:b/>
      <w:sz w:val="32"/>
    </w:rPr>
  </w:style>
  <w:style w:type="paragraph" w:customStyle="1" w:styleId="40">
    <w:name w:val=" Char Char Char 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41">
    <w:name w:val="p0"/>
    <w:basedOn w:val="1"/>
    <w:qFormat/>
    <w:uiPriority w:val="0"/>
    <w:pPr>
      <w:widowControl/>
    </w:pPr>
    <w:rPr>
      <w:kern w:val="0"/>
      <w:szCs w:val="21"/>
    </w:rPr>
  </w:style>
  <w:style w:type="paragraph" w:customStyle="1" w:styleId="42">
    <w:name w:val="xl38"/>
    <w:basedOn w:val="1"/>
    <w:qFormat/>
    <w:uiPriority w:val="0"/>
    <w:pPr>
      <w:widowControl/>
      <w:pBdr>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43">
    <w:name w:val="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44">
    <w:name w:val="_Style 4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cy</Company>
  <Pages>33</Pages>
  <Words>19459</Words>
  <Characters>20028</Characters>
  <Lines>196</Lines>
  <Paragraphs>55</Paragraphs>
  <TotalTime>2</TotalTime>
  <ScaleCrop>false</ScaleCrop>
  <LinksUpToDate>false</LinksUpToDate>
  <CharactersWithSpaces>20482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2024-04-01T07:04:00Z</dcterms:created>
  <dc:creator>hgf</dc:creator>
  <cp:lastModifiedBy>元老</cp:lastModifiedBy>
  <cp:lastPrinted>2025-05-23T06:18:00Z</cp:lastPrinted>
  <dcterms:modified xsi:type="dcterms:W3CDTF">2025-08-14T08:30:08Z</dcterms:modified>
  <dc:title>广州市番禺区市石联围堤围达标加固工程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930B1920DBAD423ABE7F1F4049566B02_13</vt:lpwstr>
  </property>
  <property fmtid="{D5CDD505-2E9C-101B-9397-08002B2CF9AE}" pid="4" name="KSOTemplateDocerSaveRecord">
    <vt:lpwstr>eyJoZGlkIjoiNTdkNTljNmZmNWIwMTllNTJmZmMzNTg2M2ZmZTVhMWEiLCJ1c2VySWQiOiI0MDM4Mzk4NDIifQ==</vt:lpwstr>
  </property>
</Properties>
</file>