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rPr>
        <w:t>附件：资格审查条件</w:t>
      </w:r>
    </w:p>
    <w:p>
      <w:pPr>
        <w:adjustRightInd w:val="0"/>
        <w:snapToGrid w:val="0"/>
        <w:spacing w:line="300" w:lineRule="exact"/>
        <w:jc w:val="center"/>
        <w:rPr>
          <w:rFonts w:hint="eastAsia" w:ascii="宋体" w:hAnsi="宋体"/>
          <w:color w:val="auto"/>
          <w:sz w:val="24"/>
          <w:highlight w:val="none"/>
        </w:rPr>
      </w:pPr>
    </w:p>
    <w:p>
      <w:pPr>
        <w:adjustRightInd w:val="0"/>
        <w:snapToGrid w:val="0"/>
        <w:spacing w:line="360" w:lineRule="auto"/>
        <w:jc w:val="center"/>
        <w:rPr>
          <w:rFonts w:hint="eastAsia" w:ascii="宋体" w:hAnsi="宋体"/>
          <w:color w:val="auto"/>
          <w:sz w:val="24"/>
          <w:highlight w:val="none"/>
        </w:rPr>
      </w:pPr>
      <w:r>
        <w:rPr>
          <w:rFonts w:ascii="宋体" w:hAnsi="宋体"/>
          <w:b/>
          <w:bCs/>
          <w:color w:val="auto"/>
          <w:sz w:val="28"/>
          <w:szCs w:val="28"/>
          <w:highlight w:val="none"/>
        </w:rPr>
        <w:t>附录1  资格审查条件(资质最低条件)</w:t>
      </w:r>
    </w:p>
    <w:tbl>
      <w:tblPr>
        <w:tblStyle w:val="9"/>
        <w:tblW w:w="89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 w:hRule="atLeast"/>
          <w:jc w:val="center"/>
        </w:trPr>
        <w:tc>
          <w:tcPr>
            <w:tcW w:w="8977" w:type="dxa"/>
            <w:vAlign w:val="center"/>
          </w:tcPr>
          <w:p>
            <w:pPr>
              <w:adjustRightInd w:val="0"/>
              <w:snapToGrid w:val="0"/>
              <w:spacing w:line="400" w:lineRule="atLeast"/>
              <w:jc w:val="center"/>
              <w:rPr>
                <w:rFonts w:ascii="宋体" w:hAnsi="宋体"/>
                <w:color w:val="auto"/>
                <w:sz w:val="21"/>
                <w:szCs w:val="21"/>
                <w:highlight w:val="none"/>
              </w:rPr>
            </w:pPr>
            <w:r>
              <w:rPr>
                <w:rFonts w:ascii="宋体" w:hAnsi="宋体"/>
                <w:color w:val="auto"/>
                <w:sz w:val="24"/>
                <w:szCs w:val="24"/>
                <w:highlight w:val="none"/>
              </w:rPr>
              <w:t>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2" w:hRule="atLeast"/>
          <w:jc w:val="center"/>
        </w:trPr>
        <w:tc>
          <w:tcPr>
            <w:tcW w:w="8977" w:type="dxa"/>
            <w:vAlign w:val="center"/>
          </w:tcPr>
          <w:p>
            <w:pPr>
              <w:numPr>
                <w:ilvl w:val="0"/>
                <w:numId w:val="1"/>
              </w:numPr>
              <w:tabs>
                <w:tab w:val="left" w:pos="360"/>
              </w:tabs>
              <w:adjustRightInd w:val="0"/>
              <w:snapToGrid w:val="0"/>
              <w:spacing w:line="360" w:lineRule="auto"/>
              <w:ind w:left="420" w:leftChars="0" w:firstLineChars="0"/>
              <w:rPr>
                <w:rFonts w:ascii="宋体" w:hAnsi="宋体" w:eastAsia="宋体" w:cs="宋体"/>
                <w:color w:val="auto"/>
                <w:szCs w:val="21"/>
              </w:rPr>
            </w:pPr>
            <w:r>
              <w:rPr>
                <w:rFonts w:hint="eastAsia" w:ascii="宋体" w:hAnsi="宋体" w:cs="宋体"/>
                <w:color w:val="auto"/>
                <w:szCs w:val="21"/>
                <w:lang w:eastAsia="zh-CN"/>
              </w:rPr>
              <w:t>具有</w:t>
            </w:r>
            <w:r>
              <w:rPr>
                <w:rFonts w:ascii="宋体" w:hAnsi="宋体" w:eastAsia="宋体" w:cs="宋体"/>
                <w:color w:val="auto"/>
                <w:szCs w:val="21"/>
              </w:rPr>
              <w:t>独立的中华人民共和国境内注册的企业法人</w:t>
            </w:r>
            <w:r>
              <w:rPr>
                <w:rFonts w:hint="eastAsia" w:ascii="宋体" w:hAnsi="宋体" w:cs="宋体"/>
                <w:color w:val="auto"/>
                <w:szCs w:val="21"/>
                <w:lang w:eastAsia="zh-CN"/>
              </w:rPr>
              <w:t>资格</w:t>
            </w:r>
            <w:r>
              <w:rPr>
                <w:rFonts w:ascii="宋体" w:hAnsi="宋体" w:eastAsia="宋体" w:cs="宋体"/>
                <w:color w:val="auto"/>
                <w:szCs w:val="21"/>
              </w:rPr>
              <w:t>。</w:t>
            </w:r>
          </w:p>
          <w:p>
            <w:pPr>
              <w:numPr>
                <w:ilvl w:val="0"/>
                <w:numId w:val="1"/>
              </w:numPr>
              <w:tabs>
                <w:tab w:val="left" w:pos="360"/>
              </w:tabs>
              <w:adjustRightInd w:val="0"/>
              <w:snapToGrid w:val="0"/>
              <w:spacing w:line="360" w:lineRule="auto"/>
              <w:ind w:left="420" w:leftChars="0" w:firstLineChars="0"/>
              <w:rPr>
                <w:rFonts w:ascii="宋体" w:hAnsi="宋体" w:eastAsia="宋体" w:cs="宋体"/>
                <w:color w:val="auto"/>
                <w:szCs w:val="21"/>
              </w:rPr>
            </w:pPr>
            <w:r>
              <w:rPr>
                <w:rFonts w:ascii="宋体" w:hAnsi="宋体" w:eastAsia="宋体" w:cs="宋体"/>
                <w:color w:val="auto"/>
                <w:szCs w:val="21"/>
              </w:rPr>
              <w:t>具</w:t>
            </w:r>
            <w:r>
              <w:rPr>
                <w:rFonts w:hint="eastAsia" w:ascii="宋体" w:hAnsi="宋体" w:cs="宋体"/>
                <w:color w:val="auto"/>
                <w:szCs w:val="21"/>
                <w:lang w:eastAsia="zh-CN"/>
              </w:rPr>
              <w:t>有下列两项施工资质中任意一项：</w:t>
            </w:r>
          </w:p>
          <w:p>
            <w:pPr>
              <w:numPr>
                <w:ilvl w:val="0"/>
                <w:numId w:val="0"/>
              </w:numPr>
              <w:tabs>
                <w:tab w:val="left" w:pos="360"/>
              </w:tabs>
              <w:adjustRightInd w:val="0"/>
              <w:snapToGrid w:val="0"/>
              <w:spacing w:line="360" w:lineRule="auto"/>
              <w:ind w:left="420" w:leftChars="0"/>
              <w:rPr>
                <w:rFonts w:hint="eastAsia" w:ascii="宋体" w:hAnsi="宋体" w:cs="宋体"/>
                <w:color w:val="auto"/>
                <w:szCs w:val="21"/>
                <w:lang w:eastAsia="zh-CN"/>
              </w:rPr>
            </w:pPr>
            <w:r>
              <w:rPr>
                <w:rFonts w:hint="default" w:ascii="Calibri" w:hAnsi="Calibri" w:eastAsia="宋体" w:cs="Calibri"/>
                <w:color w:val="auto"/>
                <w:szCs w:val="21"/>
              </w:rPr>
              <w:t>①</w:t>
            </w:r>
            <w:r>
              <w:rPr>
                <w:rFonts w:hint="eastAsia" w:ascii="宋体" w:hAnsi="宋体" w:cs="宋体"/>
                <w:color w:val="auto"/>
                <w:szCs w:val="21"/>
                <w:lang w:eastAsia="zh-CN"/>
              </w:rPr>
              <w:t>具</w:t>
            </w:r>
            <w:r>
              <w:rPr>
                <w:rFonts w:ascii="宋体" w:hAnsi="宋体" w:eastAsia="宋体" w:cs="宋体"/>
                <w:color w:val="auto"/>
                <w:szCs w:val="21"/>
              </w:rPr>
              <w:t>备</w:t>
            </w:r>
            <w:r>
              <w:rPr>
                <w:rFonts w:hint="eastAsia" w:ascii="宋体" w:hAnsi="宋体" w:cs="宋体"/>
                <w:color w:val="auto"/>
                <w:szCs w:val="21"/>
                <w:lang w:eastAsia="zh-CN"/>
              </w:rPr>
              <w:t>有效的住房和城乡建设部门颁发的电力工程总承包三级或以上资质；</w:t>
            </w:r>
          </w:p>
          <w:p>
            <w:pPr>
              <w:numPr>
                <w:ilvl w:val="0"/>
                <w:numId w:val="0"/>
              </w:numPr>
              <w:tabs>
                <w:tab w:val="left" w:pos="360"/>
              </w:tabs>
              <w:adjustRightInd w:val="0"/>
              <w:snapToGrid w:val="0"/>
              <w:spacing w:line="360" w:lineRule="auto"/>
              <w:ind w:left="420" w:leftChars="0"/>
              <w:rPr>
                <w:rFonts w:hint="eastAsia" w:ascii="宋体" w:hAnsi="宋体" w:cs="宋体"/>
                <w:color w:val="auto"/>
                <w:szCs w:val="21"/>
                <w:lang w:eastAsia="zh-CN"/>
              </w:rPr>
            </w:pPr>
            <w:r>
              <w:rPr>
                <w:rFonts w:hint="default" w:ascii="Calibri" w:hAnsi="Calibri" w:cs="Calibri"/>
                <w:color w:val="auto"/>
                <w:szCs w:val="21"/>
              </w:rPr>
              <w:t>②</w:t>
            </w:r>
            <w:r>
              <w:rPr>
                <w:rFonts w:hint="eastAsia" w:ascii="宋体" w:hAnsi="宋体" w:cs="宋体"/>
                <w:color w:val="auto"/>
                <w:szCs w:val="21"/>
                <w:lang w:eastAsia="zh-CN"/>
              </w:rPr>
              <w:t>具</w:t>
            </w:r>
            <w:r>
              <w:rPr>
                <w:rFonts w:ascii="宋体" w:hAnsi="宋体" w:eastAsia="宋体" w:cs="宋体"/>
                <w:color w:val="auto"/>
                <w:szCs w:val="21"/>
              </w:rPr>
              <w:t>备</w:t>
            </w:r>
            <w:r>
              <w:rPr>
                <w:rFonts w:hint="eastAsia" w:ascii="宋体" w:hAnsi="宋体" w:cs="宋体"/>
                <w:color w:val="auto"/>
                <w:szCs w:val="21"/>
                <w:lang w:eastAsia="zh-CN"/>
              </w:rPr>
              <w:t>有效的住房和城乡建设部门颁发的输变电工程专业承包三级或以上资质；</w:t>
            </w:r>
          </w:p>
          <w:p>
            <w:pPr>
              <w:numPr>
                <w:ilvl w:val="0"/>
                <w:numId w:val="1"/>
              </w:numPr>
              <w:tabs>
                <w:tab w:val="left" w:pos="360"/>
              </w:tabs>
              <w:adjustRightInd w:val="0"/>
              <w:snapToGrid w:val="0"/>
              <w:spacing w:line="360" w:lineRule="auto"/>
              <w:ind w:left="420" w:leftChars="0" w:firstLine="0" w:firstLineChars="0"/>
              <w:rPr>
                <w:rFonts w:ascii="宋体" w:hAnsi="宋体" w:eastAsia="宋体" w:cs="宋体"/>
                <w:color w:val="auto"/>
                <w:szCs w:val="21"/>
              </w:rPr>
            </w:pPr>
            <w:r>
              <w:rPr>
                <w:rFonts w:hint="eastAsia" w:ascii="宋体" w:hAnsi="宋体"/>
                <w:color w:val="auto"/>
                <w:szCs w:val="21"/>
                <w:lang w:val="en-US" w:eastAsia="zh-CN"/>
              </w:rPr>
              <w:t>具备</w:t>
            </w:r>
            <w:r>
              <w:rPr>
                <w:rFonts w:hint="eastAsia" w:ascii="宋体" w:hAnsi="宋体"/>
                <w:color w:val="auto"/>
                <w:szCs w:val="21"/>
              </w:rPr>
              <w:t>国家电力行业的承装、承修、承试五级（或以上）</w:t>
            </w:r>
            <w:r>
              <w:rPr>
                <w:rFonts w:hint="eastAsia" w:ascii="宋体" w:hAnsi="宋体"/>
                <w:color w:val="auto"/>
                <w:szCs w:val="21"/>
                <w:lang w:val="en-US" w:eastAsia="zh-CN"/>
              </w:rPr>
              <w:t>许可证</w:t>
            </w:r>
            <w:r>
              <w:rPr>
                <w:rFonts w:ascii="宋体" w:hAnsi="宋体" w:eastAsia="宋体" w:cs="宋体"/>
                <w:color w:val="auto"/>
                <w:szCs w:val="21"/>
              </w:rPr>
              <w:t>。</w:t>
            </w:r>
          </w:p>
          <w:p>
            <w:pPr>
              <w:adjustRightInd w:val="0"/>
              <w:snapToGrid w:val="0"/>
              <w:spacing w:line="400" w:lineRule="atLeast"/>
              <w:ind w:firstLine="420" w:firstLineChars="200"/>
              <w:rPr>
                <w:rFonts w:hint="eastAsia" w:ascii="宋体" w:hAnsi="宋体"/>
                <w:color w:val="auto"/>
                <w:sz w:val="24"/>
                <w:szCs w:val="24"/>
                <w:highlight w:val="none"/>
                <w:lang w:val="en-US" w:eastAsia="zh-CN"/>
              </w:rPr>
            </w:pPr>
            <w:r>
              <w:rPr>
                <w:rFonts w:hint="eastAsia" w:ascii="宋体" w:hAnsi="宋体" w:eastAsia="宋体" w:cs="宋体"/>
                <w:color w:val="auto"/>
                <w:szCs w:val="21"/>
                <w:lang w:val="en-US" w:eastAsia="zh-CN"/>
              </w:rPr>
              <w:t>4、</w:t>
            </w:r>
            <w:r>
              <w:rPr>
                <w:rFonts w:ascii="宋体" w:hAnsi="宋体" w:eastAsia="宋体" w:cs="宋体"/>
                <w:color w:val="auto"/>
                <w:szCs w:val="21"/>
              </w:rPr>
              <w:t>安全生产资格：投标人应具有合法有效的安全生产许可证。</w:t>
            </w:r>
          </w:p>
        </w:tc>
      </w:tr>
    </w:tbl>
    <w:p>
      <w:pPr>
        <w:adjustRightInd w:val="0"/>
        <w:snapToGrid w:val="0"/>
        <w:spacing w:line="300" w:lineRule="exact"/>
        <w:jc w:val="center"/>
        <w:rPr>
          <w:rFonts w:hint="eastAsia" w:ascii="宋体" w:hAnsi="宋体"/>
          <w:color w:val="auto"/>
          <w:sz w:val="24"/>
          <w:highlight w:val="none"/>
        </w:rPr>
      </w:pPr>
    </w:p>
    <w:p>
      <w:pPr>
        <w:adjustRightInd w:val="0"/>
        <w:snapToGrid w:val="0"/>
        <w:spacing w:line="360" w:lineRule="auto"/>
        <w:jc w:val="center"/>
        <w:rPr>
          <w:rFonts w:ascii="宋体" w:hAnsi="宋体"/>
          <w:b/>
          <w:bCs/>
          <w:color w:val="auto"/>
          <w:sz w:val="28"/>
          <w:szCs w:val="28"/>
          <w:highlight w:val="none"/>
        </w:rPr>
      </w:pPr>
    </w:p>
    <w:p>
      <w:pPr>
        <w:adjustRightInd w:val="0"/>
        <w:snapToGrid w:val="0"/>
        <w:spacing w:line="360" w:lineRule="auto"/>
        <w:jc w:val="center"/>
        <w:rPr>
          <w:rFonts w:hint="eastAsia" w:ascii="宋体" w:hAnsi="宋体"/>
          <w:color w:val="auto"/>
          <w:sz w:val="24"/>
          <w:highlight w:val="none"/>
        </w:rPr>
      </w:pPr>
      <w:r>
        <w:rPr>
          <w:rFonts w:ascii="宋体" w:hAnsi="宋体"/>
          <w:b/>
          <w:bCs/>
          <w:color w:val="auto"/>
          <w:sz w:val="28"/>
          <w:szCs w:val="28"/>
          <w:highlight w:val="none"/>
        </w:rPr>
        <w:t xml:space="preserve">附录2  资格审查条件(财务最低要求) </w:t>
      </w:r>
    </w:p>
    <w:tbl>
      <w:tblPr>
        <w:tblStyle w:val="9"/>
        <w:tblW w:w="88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8877" w:type="dxa"/>
            <w:vAlign w:val="center"/>
          </w:tcPr>
          <w:p>
            <w:pPr>
              <w:adjustRightInd w:val="0"/>
              <w:snapToGrid w:val="0"/>
              <w:spacing w:line="400" w:lineRule="atLeast"/>
              <w:jc w:val="center"/>
              <w:rPr>
                <w:rFonts w:ascii="宋体" w:hAnsi="宋体"/>
                <w:color w:val="auto"/>
                <w:sz w:val="24"/>
                <w:szCs w:val="24"/>
                <w:highlight w:val="none"/>
              </w:rPr>
            </w:pPr>
            <w:r>
              <w:rPr>
                <w:rFonts w:ascii="宋体" w:hAnsi="宋体"/>
                <w:color w:val="auto"/>
                <w:sz w:val="24"/>
                <w:szCs w:val="24"/>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0" w:hRule="atLeast"/>
          <w:jc w:val="center"/>
        </w:trPr>
        <w:tc>
          <w:tcPr>
            <w:tcW w:w="8877" w:type="dxa"/>
            <w:vAlign w:val="center"/>
          </w:tcPr>
          <w:p>
            <w:pPr>
              <w:adjustRightInd w:val="0"/>
              <w:snapToGrid w:val="0"/>
              <w:spacing w:line="400" w:lineRule="atLeast"/>
              <w:ind w:firstLine="315" w:firstLineChars="150"/>
              <w:rPr>
                <w:rFonts w:hint="eastAsia"/>
                <w:color w:val="auto"/>
                <w:highlight w:val="none"/>
              </w:rPr>
            </w:pPr>
            <w:r>
              <w:rPr>
                <w:rFonts w:hint="eastAsia"/>
                <w:color w:val="auto"/>
                <w:highlight w:val="none"/>
              </w:rPr>
              <w:t>投标人须</w:t>
            </w:r>
            <w:r>
              <w:rPr>
                <w:rFonts w:hint="eastAsia"/>
                <w:color w:val="auto"/>
                <w:highlight w:val="none"/>
                <w:lang w:val="en-US" w:eastAsia="zh-CN"/>
              </w:rPr>
              <w:t>同时满足</w:t>
            </w:r>
            <w:r>
              <w:rPr>
                <w:rFonts w:hint="eastAsia"/>
                <w:color w:val="auto"/>
                <w:highlight w:val="none"/>
              </w:rPr>
              <w:t>以下</w:t>
            </w:r>
            <w:r>
              <w:rPr>
                <w:rFonts w:hint="eastAsia"/>
                <w:color w:val="auto"/>
                <w:highlight w:val="none"/>
                <w:lang w:val="en-US" w:eastAsia="zh-CN"/>
              </w:rPr>
              <w:t>财务要求</w:t>
            </w:r>
            <w:r>
              <w:rPr>
                <w:rFonts w:hint="eastAsia"/>
                <w:color w:val="auto"/>
                <w:highlight w:val="none"/>
              </w:rPr>
              <w:t>：</w:t>
            </w:r>
          </w:p>
          <w:p>
            <w:pPr>
              <w:pStyle w:val="2"/>
              <w:rPr>
                <w:rFonts w:hint="eastAsia"/>
                <w:color w:val="auto"/>
              </w:rPr>
            </w:pPr>
          </w:p>
          <w:p>
            <w:pPr>
              <w:pStyle w:val="4"/>
              <w:spacing w:line="276" w:lineRule="auto"/>
              <w:rPr>
                <w:rFonts w:hint="eastAsia"/>
                <w:color w:val="auto"/>
                <w:kern w:val="2"/>
                <w:sz w:val="21"/>
                <w:szCs w:val="24"/>
                <w:highlight w:val="none"/>
                <w:lang w:val="en-US" w:eastAsia="zh-CN" w:bidi="ar-SA"/>
              </w:rPr>
            </w:pPr>
            <w:r>
              <w:rPr>
                <w:rFonts w:ascii="宋体" w:hAnsi="宋体" w:eastAsia="宋体" w:cs="宋体"/>
                <w:color w:val="auto"/>
                <w:sz w:val="21"/>
                <w:szCs w:val="21"/>
              </w:rPr>
              <w:t>1</w:t>
            </w:r>
            <w:r>
              <w:rPr>
                <w:rFonts w:hint="eastAsia"/>
                <w:color w:val="auto"/>
                <w:kern w:val="2"/>
                <w:sz w:val="21"/>
                <w:szCs w:val="24"/>
                <w:highlight w:val="none"/>
                <w:lang w:val="en-US" w:eastAsia="zh-CN" w:bidi="ar-SA"/>
              </w:rPr>
              <w:t>、企业注册资本金不少于3000万元人民币（含3000万元）。</w:t>
            </w:r>
          </w:p>
          <w:p>
            <w:pPr>
              <w:pStyle w:val="4"/>
              <w:spacing w:line="276" w:lineRule="auto"/>
              <w:rPr>
                <w:rFonts w:hint="eastAsia"/>
                <w:color w:val="auto"/>
                <w:kern w:val="2"/>
                <w:sz w:val="21"/>
                <w:szCs w:val="24"/>
                <w:highlight w:val="none"/>
                <w:lang w:val="en-US" w:eastAsia="zh-CN" w:bidi="ar-SA"/>
              </w:rPr>
            </w:pPr>
            <w:r>
              <w:rPr>
                <w:rFonts w:hint="eastAsia"/>
                <w:color w:val="auto"/>
                <w:kern w:val="2"/>
                <w:sz w:val="21"/>
                <w:szCs w:val="24"/>
                <w:highlight w:val="none"/>
                <w:lang w:val="en-US" w:eastAsia="zh-CN" w:bidi="ar-SA"/>
              </w:rPr>
              <w:t>2、最近3年的平均营业总收入不少于5000万元人民币（含5000万元）。</w:t>
            </w:r>
          </w:p>
          <w:p>
            <w:pPr>
              <w:pStyle w:val="2"/>
              <w:ind w:left="0" w:leftChars="0" w:firstLine="0" w:firstLineChars="0"/>
              <w:rPr>
                <w:rFonts w:hint="eastAsia"/>
                <w:color w:val="auto"/>
                <w:kern w:val="2"/>
                <w:sz w:val="21"/>
                <w:szCs w:val="24"/>
                <w:highlight w:val="none"/>
                <w:lang w:val="en-US" w:eastAsia="zh-CN" w:bidi="ar-SA"/>
              </w:rPr>
            </w:pPr>
            <w:r>
              <w:rPr>
                <w:rFonts w:hint="eastAsia"/>
                <w:color w:val="auto"/>
                <w:kern w:val="2"/>
                <w:sz w:val="21"/>
                <w:szCs w:val="24"/>
                <w:highlight w:val="none"/>
                <w:lang w:val="en-US" w:eastAsia="zh-CN" w:bidi="ar-SA"/>
              </w:rPr>
              <w:t>3、最近3年</w:t>
            </w:r>
            <w:r>
              <w:rPr>
                <w:rFonts w:hint="eastAsia"/>
                <w:color w:val="auto"/>
                <w:highlight w:val="none"/>
              </w:rPr>
              <w:t>度</w:t>
            </w:r>
            <w:r>
              <w:rPr>
                <w:rFonts w:hint="eastAsia"/>
                <w:color w:val="auto"/>
                <w:highlight w:val="none"/>
                <w:lang w:val="en-US" w:eastAsia="zh-CN"/>
              </w:rPr>
              <w:t>（2019年-2021年）</w:t>
            </w:r>
            <w:r>
              <w:rPr>
                <w:rFonts w:hint="eastAsia"/>
                <w:color w:val="auto"/>
                <w:kern w:val="2"/>
                <w:sz w:val="21"/>
                <w:szCs w:val="24"/>
                <w:highlight w:val="none"/>
                <w:lang w:val="en-US" w:eastAsia="zh-CN" w:bidi="ar-SA"/>
              </w:rPr>
              <w:t>至少有2年盈利。</w:t>
            </w:r>
          </w:p>
          <w:p>
            <w:pPr>
              <w:pStyle w:val="2"/>
              <w:ind w:left="0" w:leftChars="0" w:firstLine="0" w:firstLineChars="0"/>
              <w:rPr>
                <w:rFonts w:hint="eastAsia"/>
                <w:color w:val="auto"/>
                <w:highlight w:val="none"/>
              </w:rPr>
            </w:pPr>
          </w:p>
          <w:p>
            <w:pPr>
              <w:adjustRightInd w:val="0"/>
              <w:snapToGrid w:val="0"/>
              <w:spacing w:line="400" w:lineRule="atLeast"/>
              <w:ind w:firstLine="270" w:firstLineChars="1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、投标人的相关财务状况应能明确表述本项目资格审查所需内容：</w:t>
            </w:r>
          </w:p>
          <w:p>
            <w:pPr>
              <w:adjustRightInd w:val="0"/>
              <w:snapToGrid w:val="0"/>
              <w:spacing w:line="400" w:lineRule="atLeast"/>
              <w:ind w:firstLine="630" w:firstLineChars="3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201</w:t>
            </w:r>
            <w:r>
              <w:rPr>
                <w:rFonts w:hint="eastAsia" w:ascii="宋体" w:hAnsi="宋体" w:eastAsia="宋体" w:cs="宋体"/>
                <w:color w:val="auto"/>
                <w:sz w:val="18"/>
                <w:szCs w:val="18"/>
                <w:highlight w:val="none"/>
                <w:lang w:val="en-US" w:eastAsia="zh-CN"/>
              </w:rPr>
              <w:t>9</w:t>
            </w:r>
            <w:r>
              <w:rPr>
                <w:rFonts w:hint="eastAsia" w:ascii="宋体" w:hAnsi="宋体" w:eastAsia="宋体" w:cs="宋体"/>
                <w:color w:val="auto"/>
                <w:sz w:val="18"/>
                <w:szCs w:val="18"/>
                <w:highlight w:val="none"/>
              </w:rPr>
              <w:t>、20</w:t>
            </w:r>
            <w:r>
              <w:rPr>
                <w:rFonts w:hint="eastAsia" w:ascii="宋体" w:hAnsi="宋体" w:eastAsia="宋体" w:cs="宋体"/>
                <w:color w:val="auto"/>
                <w:sz w:val="18"/>
                <w:szCs w:val="18"/>
                <w:highlight w:val="none"/>
                <w:lang w:eastAsia="zh-CN"/>
              </w:rPr>
              <w:t>2</w:t>
            </w:r>
            <w:r>
              <w:rPr>
                <w:rFonts w:hint="eastAsia" w:ascii="宋体" w:hAnsi="宋体" w:eastAsia="宋体" w:cs="宋体"/>
                <w:color w:val="auto"/>
                <w:sz w:val="18"/>
                <w:szCs w:val="18"/>
                <w:highlight w:val="none"/>
                <w:lang w:val="en-US" w:eastAsia="zh-CN"/>
              </w:rPr>
              <w:t>0</w:t>
            </w:r>
            <w:r>
              <w:rPr>
                <w:rFonts w:hint="eastAsia" w:ascii="宋体" w:hAnsi="宋体" w:eastAsia="宋体" w:cs="宋体"/>
                <w:color w:val="auto"/>
                <w:sz w:val="18"/>
                <w:szCs w:val="18"/>
                <w:highlight w:val="none"/>
              </w:rPr>
              <w:t>、20</w:t>
            </w:r>
            <w:r>
              <w:rPr>
                <w:rFonts w:hint="eastAsia" w:ascii="宋体" w:hAnsi="宋体" w:eastAsia="宋体" w:cs="宋体"/>
                <w:color w:val="auto"/>
                <w:sz w:val="18"/>
                <w:szCs w:val="18"/>
                <w:highlight w:val="none"/>
                <w:lang w:val="en-US" w:eastAsia="zh-CN"/>
              </w:rPr>
              <w:t>21</w:t>
            </w:r>
            <w:r>
              <w:rPr>
                <w:rFonts w:hint="eastAsia" w:ascii="宋体" w:hAnsi="宋体" w:eastAsia="宋体" w:cs="宋体"/>
                <w:color w:val="auto"/>
                <w:sz w:val="18"/>
                <w:szCs w:val="18"/>
                <w:highlight w:val="none"/>
              </w:rPr>
              <w:t>年度经会计师事务所或审计机构审计的财务审计意见（报告），主要提供（不限于）财务审计意见（报告）正文、资产负债表、现金流量表、利润表的复印件。</w:t>
            </w:r>
          </w:p>
          <w:p>
            <w:pPr>
              <w:adjustRightInd w:val="0"/>
              <w:snapToGrid w:val="0"/>
              <w:spacing w:line="400" w:lineRule="atLeast"/>
              <w:ind w:firstLine="630" w:firstLineChars="3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)需要打印在国家企业信用信息公示系统中基础信息（体现股东及出资详细信息）的网页截图</w:t>
            </w:r>
            <w:r>
              <w:rPr>
                <w:rFonts w:hint="eastAsia" w:ascii="宋体" w:hAnsi="宋体" w:eastAsia="宋体" w:cs="宋体"/>
                <w:color w:val="auto"/>
                <w:sz w:val="18"/>
                <w:szCs w:val="18"/>
                <w:highlight w:val="none"/>
                <w:lang w:eastAsia="zh-CN"/>
              </w:rPr>
              <w:t>。</w:t>
            </w:r>
          </w:p>
          <w:p>
            <w:pPr>
              <w:adjustRightInd w:val="0"/>
              <w:snapToGrid w:val="0"/>
              <w:spacing w:line="400" w:lineRule="atLeast"/>
              <w:ind w:firstLine="720" w:firstLineChars="4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、上述复印件必须清晰可辨，不允许超过</w:t>
            </w:r>
            <w:r>
              <w:rPr>
                <w:rFonts w:hint="eastAsia" w:ascii="宋体" w:hAnsi="宋体" w:eastAsia="宋体" w:cs="宋体"/>
                <w:color w:val="auto"/>
                <w:sz w:val="18"/>
                <w:szCs w:val="18"/>
                <w:highlight w:val="none"/>
                <w:lang w:val="en-US" w:eastAsia="zh-CN"/>
              </w:rPr>
              <w:t>两</w:t>
            </w:r>
            <w:r>
              <w:rPr>
                <w:rFonts w:hint="eastAsia" w:ascii="宋体" w:hAnsi="宋体" w:eastAsia="宋体" w:cs="宋体"/>
                <w:color w:val="auto"/>
                <w:sz w:val="18"/>
                <w:szCs w:val="18"/>
                <w:highlight w:val="none"/>
              </w:rPr>
              <w:t>页或以上拼接复印。</w:t>
            </w:r>
          </w:p>
          <w:p>
            <w:pPr>
              <w:adjustRightInd w:val="0"/>
              <w:snapToGrid w:val="0"/>
              <w:spacing w:line="400" w:lineRule="atLeast"/>
              <w:ind w:firstLine="420" w:firstLineChars="200"/>
              <w:jc w:val="both"/>
              <w:rPr>
                <w:rFonts w:ascii="宋体" w:hAnsi="宋体"/>
                <w:color w:val="auto"/>
                <w:sz w:val="21"/>
                <w:szCs w:val="21"/>
                <w:highlight w:val="none"/>
              </w:rPr>
            </w:pPr>
          </w:p>
        </w:tc>
      </w:tr>
    </w:tbl>
    <w:p>
      <w:pPr>
        <w:adjustRightInd w:val="0"/>
        <w:snapToGrid w:val="0"/>
        <w:spacing w:line="360" w:lineRule="auto"/>
        <w:jc w:val="center"/>
        <w:rPr>
          <w:rFonts w:ascii="宋体" w:hAnsi="宋体"/>
          <w:b/>
          <w:bCs/>
          <w:color w:val="auto"/>
          <w:sz w:val="28"/>
          <w:szCs w:val="28"/>
          <w:highlight w:val="none"/>
        </w:rPr>
      </w:pPr>
    </w:p>
    <w:p>
      <w:pPr>
        <w:adjustRightInd w:val="0"/>
        <w:snapToGrid w:val="0"/>
        <w:spacing w:line="360" w:lineRule="auto"/>
        <w:jc w:val="center"/>
        <w:rPr>
          <w:rFonts w:ascii="宋体" w:hAnsi="宋体"/>
          <w:b/>
          <w:bCs/>
          <w:color w:val="auto"/>
          <w:sz w:val="28"/>
          <w:szCs w:val="28"/>
          <w:highlight w:val="none"/>
        </w:rPr>
      </w:pPr>
    </w:p>
    <w:p>
      <w:pPr>
        <w:pStyle w:val="2"/>
        <w:rPr>
          <w:rFonts w:ascii="宋体" w:hAnsi="宋体"/>
          <w:b/>
          <w:bCs/>
          <w:color w:val="auto"/>
          <w:sz w:val="28"/>
          <w:szCs w:val="28"/>
          <w:highlight w:val="none"/>
        </w:rPr>
      </w:pPr>
    </w:p>
    <w:p>
      <w:pPr>
        <w:pStyle w:val="2"/>
        <w:rPr>
          <w:rFonts w:ascii="宋体" w:hAnsi="宋体"/>
          <w:b/>
          <w:bCs/>
          <w:color w:val="auto"/>
          <w:sz w:val="28"/>
          <w:szCs w:val="28"/>
          <w:highlight w:val="none"/>
        </w:rPr>
      </w:pPr>
    </w:p>
    <w:p>
      <w:pPr>
        <w:pStyle w:val="2"/>
        <w:rPr>
          <w:rFonts w:ascii="宋体" w:hAnsi="宋体"/>
          <w:b/>
          <w:bCs/>
          <w:color w:val="auto"/>
          <w:sz w:val="28"/>
          <w:szCs w:val="28"/>
          <w:highlight w:val="none"/>
        </w:rPr>
      </w:pPr>
    </w:p>
    <w:p>
      <w:pPr>
        <w:adjustRightInd w:val="0"/>
        <w:snapToGrid w:val="0"/>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 xml:space="preserve">附录3 </w:t>
      </w:r>
      <w:r>
        <w:rPr>
          <w:rFonts w:hint="eastAsia" w:ascii="宋体" w:hAnsi="宋体"/>
          <w:b/>
          <w:bCs/>
          <w:color w:val="auto"/>
          <w:sz w:val="28"/>
          <w:szCs w:val="28"/>
          <w:highlight w:val="none"/>
          <w:lang w:val="en-US" w:eastAsia="zh-CN"/>
        </w:rPr>
        <w:t xml:space="preserve"> </w:t>
      </w:r>
      <w:r>
        <w:rPr>
          <w:rFonts w:ascii="宋体" w:hAnsi="宋体"/>
          <w:b/>
          <w:bCs/>
          <w:color w:val="auto"/>
          <w:sz w:val="28"/>
          <w:szCs w:val="28"/>
          <w:highlight w:val="none"/>
        </w:rPr>
        <w:t xml:space="preserve">资格审查条件(业绩最低要求) </w:t>
      </w:r>
    </w:p>
    <w:tbl>
      <w:tblPr>
        <w:tblStyle w:val="9"/>
        <w:tblW w:w="88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8877" w:type="dxa"/>
            <w:vAlign w:val="center"/>
          </w:tcPr>
          <w:p>
            <w:pPr>
              <w:adjustRightInd w:val="0"/>
              <w:snapToGrid w:val="0"/>
              <w:spacing w:line="400" w:lineRule="atLeast"/>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业绩</w:t>
            </w:r>
            <w:r>
              <w:rPr>
                <w:rFonts w:ascii="宋体" w:hAnsi="宋体"/>
                <w:color w:val="auto"/>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5" w:hRule="atLeast"/>
          <w:jc w:val="center"/>
        </w:trPr>
        <w:tc>
          <w:tcPr>
            <w:tcW w:w="8877" w:type="dxa"/>
            <w:vAlign w:val="center"/>
          </w:tcPr>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投标人须</w:t>
            </w:r>
            <w:r>
              <w:rPr>
                <w:rFonts w:hint="eastAsia" w:ascii="宋体" w:hAnsi="宋体"/>
                <w:color w:val="auto"/>
                <w:szCs w:val="21"/>
                <w:highlight w:val="none"/>
                <w:lang w:val="en-US" w:eastAsia="zh-CN"/>
              </w:rPr>
              <w:t>同时</w:t>
            </w:r>
            <w:r>
              <w:rPr>
                <w:rFonts w:hint="eastAsia" w:ascii="宋体" w:hAnsi="宋体"/>
                <w:color w:val="auto"/>
                <w:szCs w:val="21"/>
                <w:highlight w:val="none"/>
              </w:rPr>
              <w:t>具有以下工程业绩：</w:t>
            </w:r>
          </w:p>
          <w:p>
            <w:pPr>
              <w:adjustRightInd w:val="0"/>
              <w:snapToGrid w:val="0"/>
              <w:spacing w:line="360" w:lineRule="auto"/>
              <w:rPr>
                <w:rFonts w:hint="eastAsia" w:ascii="宋体" w:hAnsi="宋体"/>
                <w:color w:val="auto"/>
                <w:szCs w:val="21"/>
                <w:highlight w:val="yellow"/>
              </w:rPr>
            </w:pPr>
            <w:r>
              <w:rPr>
                <w:rFonts w:hint="eastAsia" w:ascii="宋体" w:hAnsi="宋体"/>
                <w:color w:val="auto"/>
                <w:szCs w:val="21"/>
                <w:lang w:val="en-US" w:eastAsia="zh-CN"/>
              </w:rPr>
              <w:t>1、</w:t>
            </w:r>
            <w:r>
              <w:rPr>
                <w:rFonts w:hint="eastAsia" w:ascii="宋体" w:hAnsi="宋体"/>
                <w:color w:val="auto"/>
                <w:szCs w:val="21"/>
                <w:highlight w:val="none"/>
                <w:lang w:val="en-US" w:eastAsia="zh-CN"/>
              </w:rPr>
              <w:t>近三年</w:t>
            </w:r>
            <w:r>
              <w:rPr>
                <w:rFonts w:hint="eastAsia" w:ascii="宋体" w:hAnsi="宋体"/>
                <w:color w:val="auto"/>
                <w:szCs w:val="21"/>
                <w:highlight w:val="none"/>
              </w:rPr>
              <w:t>，投标人独立</w:t>
            </w:r>
            <w:r>
              <w:rPr>
                <w:rFonts w:hint="eastAsia" w:ascii="宋体" w:hAnsi="宋体"/>
                <w:color w:val="auto"/>
                <w:szCs w:val="21"/>
                <w:highlight w:val="none"/>
                <w:lang w:val="en-US" w:eastAsia="zh-CN"/>
              </w:rPr>
              <w:t>完成</w:t>
            </w:r>
            <w:r>
              <w:rPr>
                <w:rFonts w:hint="eastAsia" w:ascii="宋体" w:hAnsi="宋体"/>
                <w:color w:val="auto"/>
                <w:szCs w:val="21"/>
                <w:highlight w:val="none"/>
              </w:rPr>
              <w:t>过</w:t>
            </w:r>
            <w:r>
              <w:rPr>
                <w:rFonts w:hint="eastAsia" w:ascii="宋体" w:hAnsi="宋体"/>
                <w:color w:val="auto"/>
                <w:szCs w:val="21"/>
                <w:highlight w:val="none"/>
                <w:lang w:val="en-US" w:eastAsia="zh-CN"/>
              </w:rPr>
              <w:t>至少一条主线里程不低于10公里的</w:t>
            </w:r>
            <w:r>
              <w:rPr>
                <w:rFonts w:hint="eastAsia" w:ascii="宋体" w:hAnsi="宋体"/>
                <w:color w:val="auto"/>
                <w:szCs w:val="21"/>
                <w:highlight w:val="none"/>
              </w:rPr>
              <w:t>高速公路</w:t>
            </w:r>
            <w:r>
              <w:rPr>
                <w:rFonts w:hint="eastAsia" w:ascii="宋体" w:hAnsi="宋体"/>
                <w:color w:val="auto"/>
                <w:szCs w:val="21"/>
                <w:highlight w:val="none"/>
                <w:lang w:val="en-US" w:eastAsia="zh-CN"/>
              </w:rPr>
              <w:t>全线供配电系统或主线照明里程不低于10公里的高速公路路灯照明系统日常养护</w:t>
            </w:r>
            <w:r>
              <w:rPr>
                <w:rFonts w:hint="eastAsia" w:ascii="宋体" w:hAnsi="宋体"/>
                <w:color w:val="auto"/>
                <w:szCs w:val="21"/>
                <w:highlight w:val="none"/>
              </w:rPr>
              <w:t>工程业绩。</w:t>
            </w:r>
          </w:p>
          <w:p>
            <w:pPr>
              <w:numPr>
                <w:ilvl w:val="0"/>
                <w:numId w:val="0"/>
              </w:numPr>
              <w:spacing w:line="360" w:lineRule="auto"/>
              <w:ind w:firstLine="360" w:firstLineChars="200"/>
              <w:rPr>
                <w:rFonts w:hint="eastAsia" w:ascii="宋体" w:hAnsi="宋体"/>
                <w:color w:val="auto"/>
                <w:sz w:val="18"/>
                <w:szCs w:val="18"/>
                <w:highlight w:val="none"/>
                <w:lang w:val="en-US" w:eastAsia="zh-CN"/>
              </w:rPr>
            </w:pPr>
          </w:p>
          <w:p>
            <w:pPr>
              <w:adjustRightInd w:val="0"/>
              <w:snapToGrid w:val="0"/>
              <w:spacing w:line="360" w:lineRule="auto"/>
              <w:ind w:firstLine="270" w:firstLineChars="150"/>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注： 1、近三年定义为2019年1月1日至递交投标文件截止时间为止；</w:t>
            </w:r>
          </w:p>
          <w:p>
            <w:pPr>
              <w:adjustRightInd w:val="0"/>
              <w:snapToGrid w:val="0"/>
              <w:spacing w:line="360" w:lineRule="auto"/>
              <w:ind w:firstLine="720" w:firstLineChars="400"/>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2、业绩时间以合同签订时间为准；</w:t>
            </w:r>
          </w:p>
          <w:p>
            <w:pPr>
              <w:numPr>
                <w:ilvl w:val="0"/>
                <w:numId w:val="0"/>
              </w:numPr>
              <w:spacing w:line="360" w:lineRule="auto"/>
              <w:ind w:firstLine="720" w:firstLineChars="400"/>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3、业绩证明材料须提供①中标通知书（如有）；②完整的合同协议书的复印件；</w:t>
            </w:r>
            <w:r>
              <w:rPr>
                <w:rFonts w:hint="default" w:ascii="宋体" w:hAnsi="宋体" w:eastAsia="宋体" w:cs="宋体"/>
                <w:b/>
                <w:bCs/>
                <w:color w:val="auto"/>
                <w:sz w:val="18"/>
                <w:szCs w:val="18"/>
                <w:highlight w:val="none"/>
                <w:lang w:val="en-US" w:eastAsia="zh-CN"/>
              </w:rPr>
              <w:t>③</w:t>
            </w:r>
            <w:r>
              <w:rPr>
                <w:rFonts w:hint="eastAsia" w:ascii="宋体" w:hAnsi="宋体" w:eastAsia="宋体" w:cs="宋体"/>
                <w:b/>
                <w:bCs/>
                <w:color w:val="auto"/>
                <w:sz w:val="18"/>
                <w:szCs w:val="18"/>
                <w:highlight w:val="none"/>
                <w:lang w:val="en-US" w:eastAsia="zh-CN"/>
              </w:rPr>
              <w:t>发包人出具的业绩证明（含高速公路里程说明）；</w:t>
            </w:r>
          </w:p>
          <w:p>
            <w:pPr>
              <w:adjustRightInd w:val="0"/>
              <w:snapToGrid w:val="0"/>
              <w:spacing w:line="360" w:lineRule="auto"/>
              <w:ind w:firstLine="720" w:firstLineChars="400"/>
              <w:jc w:val="left"/>
              <w:rPr>
                <w:rFonts w:hint="eastAsia" w:ascii="宋体" w:hAnsi="宋体" w:eastAsia="宋体" w:cs="宋体"/>
                <w:b/>
                <w:bCs/>
                <w:color w:val="auto"/>
                <w:sz w:val="18"/>
                <w:szCs w:val="18"/>
                <w:highlight w:val="none"/>
              </w:rPr>
            </w:pPr>
            <w:r>
              <w:rPr>
                <w:rFonts w:hint="eastAsia" w:ascii="宋体" w:hAnsi="宋体" w:eastAsia="宋体" w:cs="宋体"/>
                <w:b/>
                <w:bCs/>
                <w:color w:val="auto"/>
                <w:kern w:val="2"/>
                <w:sz w:val="18"/>
                <w:szCs w:val="18"/>
                <w:highlight w:val="none"/>
                <w:lang w:val="en-US" w:eastAsia="zh-CN" w:bidi="ar-SA"/>
              </w:rPr>
              <w:t>4、“独立完成”指非联合体形式完成，“</w:t>
            </w:r>
            <w:r>
              <w:rPr>
                <w:rFonts w:hint="eastAsia" w:ascii="宋体" w:hAnsi="宋体" w:eastAsia="宋体" w:cs="宋体"/>
                <w:b/>
                <w:bCs/>
                <w:color w:val="auto"/>
                <w:sz w:val="18"/>
                <w:szCs w:val="18"/>
                <w:highlight w:val="none"/>
              </w:rPr>
              <w:t>高速公路</w:t>
            </w:r>
            <w:r>
              <w:rPr>
                <w:rFonts w:hint="eastAsia" w:ascii="宋体" w:hAnsi="宋体" w:eastAsia="宋体" w:cs="宋体"/>
                <w:b/>
                <w:bCs/>
                <w:color w:val="auto"/>
                <w:sz w:val="18"/>
                <w:szCs w:val="18"/>
                <w:highlight w:val="none"/>
                <w:lang w:eastAsia="zh-CN"/>
              </w:rPr>
              <w:t>”</w:t>
            </w:r>
            <w:r>
              <w:rPr>
                <w:rFonts w:hint="eastAsia" w:ascii="宋体" w:hAnsi="宋体" w:eastAsia="宋体" w:cs="宋体"/>
                <w:b/>
                <w:bCs/>
                <w:color w:val="auto"/>
                <w:sz w:val="18"/>
                <w:szCs w:val="18"/>
                <w:highlight w:val="none"/>
              </w:rPr>
              <w:t>指由国家发改委或地级市以上发改委单独立项批复建设的高速公路。</w:t>
            </w:r>
          </w:p>
          <w:p>
            <w:pPr>
              <w:adjustRightInd w:val="0"/>
              <w:snapToGrid w:val="0"/>
              <w:spacing w:line="360" w:lineRule="auto"/>
              <w:ind w:firstLine="720" w:firstLineChars="400"/>
              <w:jc w:val="left"/>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5、如近年来，投标人法人机构发生合法变更或重组或法人名称变更时，应提供相关部门的合法批件或其他相关证明材料来证明其所附业绩的继承性。</w:t>
            </w:r>
          </w:p>
          <w:p>
            <w:pPr>
              <w:numPr>
                <w:ilvl w:val="0"/>
                <w:numId w:val="0"/>
              </w:numPr>
              <w:adjustRightInd w:val="0"/>
              <w:snapToGrid w:val="0"/>
              <w:spacing w:line="400" w:lineRule="atLeast"/>
              <w:ind w:firstLine="0" w:firstLineChars="0"/>
              <w:rPr>
                <w:rFonts w:hint="eastAsia"/>
                <w:color w:val="auto"/>
                <w:sz w:val="24"/>
                <w:szCs w:val="24"/>
                <w:highlight w:val="none"/>
              </w:rPr>
            </w:pPr>
          </w:p>
        </w:tc>
      </w:tr>
    </w:tbl>
    <w:p>
      <w:pPr>
        <w:pStyle w:val="2"/>
        <w:ind w:left="0" w:leftChars="0"/>
        <w:rPr>
          <w:color w:val="auto"/>
          <w:highlight w:val="none"/>
        </w:rPr>
      </w:pPr>
    </w:p>
    <w:p>
      <w:pPr>
        <w:adjustRightInd w:val="0"/>
        <w:snapToGrid w:val="0"/>
        <w:spacing w:line="360" w:lineRule="auto"/>
        <w:jc w:val="center"/>
        <w:rPr>
          <w:rFonts w:ascii="宋体" w:hAnsi="宋体"/>
          <w:b/>
          <w:bCs/>
          <w:color w:val="auto"/>
          <w:sz w:val="28"/>
          <w:szCs w:val="28"/>
          <w:highlight w:val="none"/>
        </w:rPr>
      </w:pPr>
    </w:p>
    <w:p>
      <w:pPr>
        <w:adjustRightInd w:val="0"/>
        <w:snapToGrid w:val="0"/>
        <w:spacing w:line="360" w:lineRule="auto"/>
        <w:jc w:val="center"/>
        <w:rPr>
          <w:rFonts w:hint="eastAsia"/>
          <w:color w:val="auto"/>
          <w:highlight w:val="none"/>
        </w:rPr>
      </w:pPr>
      <w:r>
        <w:rPr>
          <w:rFonts w:ascii="宋体" w:hAnsi="宋体"/>
          <w:b/>
          <w:bCs/>
          <w:color w:val="auto"/>
          <w:sz w:val="28"/>
          <w:szCs w:val="28"/>
          <w:highlight w:val="none"/>
        </w:rPr>
        <w:t>附录4  资格审查条件(信誉最低要求)</w:t>
      </w:r>
    </w:p>
    <w:tbl>
      <w:tblPr>
        <w:tblStyle w:val="9"/>
        <w:tblW w:w="8945"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4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79" w:hRule="atLeast"/>
          <w:jc w:val="center"/>
        </w:trPr>
        <w:tc>
          <w:tcPr>
            <w:tcW w:w="8945" w:type="dxa"/>
            <w:vAlign w:val="center"/>
          </w:tcPr>
          <w:p>
            <w:pPr>
              <w:adjustRightInd w:val="0"/>
              <w:snapToGrid w:val="0"/>
              <w:spacing w:line="240" w:lineRule="auto"/>
              <w:jc w:val="center"/>
              <w:rPr>
                <w:rFonts w:ascii="宋体" w:hAnsi="宋体"/>
                <w:color w:val="auto"/>
                <w:sz w:val="24"/>
                <w:szCs w:val="24"/>
                <w:highlight w:val="none"/>
              </w:rPr>
            </w:pPr>
            <w:r>
              <w:rPr>
                <w:rFonts w:ascii="宋体" w:hAnsi="宋体"/>
                <w:color w:val="auto"/>
                <w:sz w:val="24"/>
                <w:szCs w:val="24"/>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95" w:hRule="atLeast"/>
          <w:jc w:val="center"/>
        </w:trPr>
        <w:tc>
          <w:tcPr>
            <w:tcW w:w="8945" w:type="dxa"/>
            <w:vAlign w:val="center"/>
          </w:tcPr>
          <w:p>
            <w:pPr>
              <w:adjustRightInd w:val="0"/>
              <w:snapToGrid w:val="0"/>
              <w:spacing w:line="400" w:lineRule="atLeast"/>
              <w:ind w:firstLine="315" w:firstLineChars="150"/>
              <w:rPr>
                <w:rFonts w:hint="eastAsia"/>
                <w:color w:val="auto"/>
                <w:highlight w:val="none"/>
              </w:rPr>
            </w:pPr>
          </w:p>
          <w:p>
            <w:pPr>
              <w:adjustRightInd w:val="0"/>
              <w:snapToGrid w:val="0"/>
              <w:spacing w:line="360" w:lineRule="auto"/>
              <w:ind w:firstLine="420" w:firstLineChars="200"/>
              <w:rPr>
                <w:rFonts w:hint="eastAsia"/>
                <w:color w:val="auto"/>
                <w:highlight w:val="none"/>
              </w:rPr>
            </w:pPr>
            <w:r>
              <w:rPr>
                <w:rFonts w:hint="eastAsia"/>
                <w:color w:val="auto"/>
                <w:highlight w:val="none"/>
              </w:rPr>
              <w:t>除了“投标人须知”第1.4.4项规定的内容外，投标人还需满足以下信誉要求：</w:t>
            </w:r>
          </w:p>
          <w:p>
            <w:pPr>
              <w:adjustRightInd w:val="0"/>
              <w:snapToGrid w:val="0"/>
              <w:spacing w:line="360" w:lineRule="auto"/>
              <w:ind w:firstLine="420" w:firstLineChars="200"/>
              <w:rPr>
                <w:rFonts w:hint="eastAsia"/>
                <w:color w:val="auto"/>
                <w:highlight w:val="none"/>
                <w:lang w:val="en-US" w:eastAsia="zh-CN"/>
              </w:rPr>
            </w:pPr>
            <w:r>
              <w:rPr>
                <w:rFonts w:hint="eastAsia"/>
                <w:color w:val="auto"/>
                <w:highlight w:val="none"/>
                <w:lang w:val="en-US" w:eastAsia="zh-CN"/>
              </w:rPr>
              <w:t>1、没有处于被责令停业，财务处于被接管、冻结、破产状态；</w:t>
            </w:r>
          </w:p>
          <w:p>
            <w:pPr>
              <w:adjustRightInd w:val="0"/>
              <w:snapToGrid w:val="0"/>
              <w:spacing w:line="360" w:lineRule="auto"/>
              <w:ind w:firstLine="420" w:firstLineChars="200"/>
              <w:rPr>
                <w:rFonts w:hint="eastAsia"/>
                <w:color w:val="auto"/>
                <w:highlight w:val="none"/>
                <w:lang w:val="en-US" w:eastAsia="zh-CN"/>
              </w:rPr>
            </w:pPr>
            <w:r>
              <w:rPr>
                <w:rFonts w:hint="eastAsia"/>
                <w:color w:val="auto"/>
                <w:highlight w:val="none"/>
                <w:lang w:val="en-US" w:eastAsia="zh-CN"/>
              </w:rPr>
              <w:t>2、没有被国家住建部、交通运输部、广东省交通运输厅通报且取消相应投标资格（处于有效期内）；</w:t>
            </w:r>
          </w:p>
          <w:p>
            <w:pPr>
              <w:adjustRightInd w:val="0"/>
              <w:snapToGrid w:val="0"/>
              <w:spacing w:line="360" w:lineRule="auto"/>
              <w:ind w:firstLine="420" w:firstLineChars="200"/>
              <w:rPr>
                <w:rFonts w:hint="eastAsia"/>
                <w:color w:val="auto"/>
                <w:highlight w:val="none"/>
                <w:lang w:eastAsia="zh-CN"/>
              </w:rPr>
            </w:pPr>
            <w:r>
              <w:rPr>
                <w:rFonts w:hint="eastAsia"/>
                <w:color w:val="auto"/>
                <w:highlight w:val="none"/>
                <w:lang w:val="en-US" w:eastAsia="zh-CN"/>
              </w:rPr>
              <w:t>3、</w:t>
            </w:r>
            <w:r>
              <w:rPr>
                <w:rFonts w:hint="eastAsia"/>
                <w:color w:val="auto"/>
                <w:highlight w:val="none"/>
              </w:rPr>
              <w:t>投标人没有涉及正在诉讼的案件，或虽涉及正在诉讼的案件但经评审委员会认定不会对承担本项目造成重大影响</w:t>
            </w:r>
            <w:r>
              <w:rPr>
                <w:rFonts w:hint="eastAsia"/>
                <w:color w:val="auto"/>
                <w:highlight w:val="none"/>
                <w:lang w:eastAsia="zh-CN"/>
              </w:rPr>
              <w:t>；</w:t>
            </w:r>
          </w:p>
          <w:p>
            <w:pPr>
              <w:pStyle w:val="2"/>
              <w:rPr>
                <w:rFonts w:hint="eastAsia"/>
                <w:color w:val="auto"/>
                <w:sz w:val="24"/>
                <w:szCs w:val="24"/>
                <w:highlight w:val="none"/>
                <w:lang w:val="en-US" w:eastAsia="zh-CN"/>
              </w:rPr>
            </w:pPr>
          </w:p>
        </w:tc>
      </w:tr>
    </w:tbl>
    <w:p>
      <w:pPr>
        <w:adjustRightInd w:val="0"/>
        <w:snapToGrid w:val="0"/>
        <w:spacing w:line="300" w:lineRule="auto"/>
        <w:jc w:val="center"/>
        <w:rPr>
          <w:rFonts w:hint="eastAsia" w:ascii="宋体" w:hAnsi="宋体"/>
          <w:color w:val="auto"/>
          <w:szCs w:val="21"/>
          <w:highlight w:val="none"/>
        </w:rPr>
      </w:pPr>
    </w:p>
    <w:p>
      <w:pPr>
        <w:pStyle w:val="2"/>
        <w:ind w:left="0" w:leftChars="0" w:firstLine="0" w:firstLineChars="0"/>
        <w:rPr>
          <w:rFonts w:hint="eastAsia" w:ascii="宋体" w:hAnsi="宋体"/>
          <w:color w:val="auto"/>
          <w:szCs w:val="21"/>
          <w:highlight w:val="none"/>
        </w:rPr>
      </w:pPr>
    </w:p>
    <w:p>
      <w:pPr>
        <w:adjustRightInd w:val="0"/>
        <w:snapToGrid w:val="0"/>
        <w:spacing w:line="360" w:lineRule="auto"/>
        <w:jc w:val="center"/>
        <w:rPr>
          <w:rFonts w:ascii="宋体" w:hAnsi="宋体"/>
          <w:b/>
          <w:bCs/>
          <w:color w:val="auto"/>
          <w:sz w:val="28"/>
          <w:szCs w:val="28"/>
          <w:highlight w:val="none"/>
        </w:rPr>
      </w:pPr>
    </w:p>
    <w:p>
      <w:pPr>
        <w:adjustRightInd w:val="0"/>
        <w:snapToGrid w:val="0"/>
        <w:spacing w:line="360" w:lineRule="auto"/>
        <w:jc w:val="center"/>
        <w:rPr>
          <w:rFonts w:hint="default" w:ascii="宋体" w:hAnsi="宋体"/>
          <w:b/>
          <w:bCs/>
          <w:color w:val="auto"/>
          <w:sz w:val="28"/>
          <w:szCs w:val="28"/>
          <w:highlight w:val="none"/>
        </w:rPr>
      </w:pPr>
      <w:r>
        <w:rPr>
          <w:rFonts w:ascii="宋体" w:hAnsi="宋体"/>
          <w:b/>
          <w:bCs/>
          <w:color w:val="auto"/>
          <w:sz w:val="28"/>
          <w:szCs w:val="28"/>
          <w:highlight w:val="none"/>
        </w:rPr>
        <w:t>附录5  资格审查条件(</w:t>
      </w:r>
      <w:r>
        <w:rPr>
          <w:rFonts w:hint="eastAsia" w:ascii="宋体" w:hAnsi="宋体"/>
          <w:b/>
          <w:bCs/>
          <w:color w:val="auto"/>
          <w:sz w:val="28"/>
          <w:szCs w:val="28"/>
          <w:highlight w:val="none"/>
        </w:rPr>
        <w:t>人员</w:t>
      </w:r>
      <w:r>
        <w:rPr>
          <w:rFonts w:ascii="宋体" w:hAnsi="宋体"/>
          <w:b/>
          <w:bCs/>
          <w:color w:val="auto"/>
          <w:sz w:val="28"/>
          <w:szCs w:val="28"/>
          <w:highlight w:val="none"/>
        </w:rPr>
        <w:t>最低要求)</w:t>
      </w:r>
      <w:r>
        <w:rPr>
          <w:rFonts w:hint="default" w:ascii="宋体" w:hAnsi="宋体"/>
          <w:b/>
          <w:bCs/>
          <w:color w:val="auto"/>
          <w:sz w:val="28"/>
          <w:szCs w:val="28"/>
          <w:highlight w:val="none"/>
        </w:rPr>
        <w:t xml:space="preserve"> </w:t>
      </w:r>
    </w:p>
    <w:tbl>
      <w:tblPr>
        <w:tblStyle w:val="9"/>
        <w:tblW w:w="930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03"/>
        <w:gridCol w:w="1269"/>
        <w:gridCol w:w="5148"/>
        <w:gridCol w:w="17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547" w:hRule="atLeast"/>
          <w:jc w:val="center"/>
        </w:trPr>
        <w:tc>
          <w:tcPr>
            <w:tcW w:w="1103" w:type="dxa"/>
            <w:vAlign w:val="center"/>
          </w:tcPr>
          <w:p>
            <w:pPr>
              <w:adjustRightInd w:val="0"/>
              <w:snapToGrid w:val="0"/>
              <w:spacing w:line="240" w:lineRule="auto"/>
              <w:jc w:val="center"/>
              <w:rPr>
                <w:rFonts w:ascii="宋体" w:hAnsi="宋体"/>
                <w:color w:val="auto"/>
                <w:szCs w:val="21"/>
                <w:highlight w:val="none"/>
              </w:rPr>
            </w:pPr>
            <w:r>
              <w:rPr>
                <w:rFonts w:hint="eastAsia" w:ascii="宋体" w:hAnsi="宋体"/>
                <w:color w:val="auto"/>
                <w:szCs w:val="21"/>
                <w:highlight w:val="none"/>
              </w:rPr>
              <w:t>人员</w:t>
            </w:r>
          </w:p>
        </w:tc>
        <w:tc>
          <w:tcPr>
            <w:tcW w:w="1269" w:type="dxa"/>
            <w:vAlign w:val="center"/>
          </w:tcPr>
          <w:p>
            <w:pPr>
              <w:adjustRightInd w:val="0"/>
              <w:snapToGrid w:val="0"/>
              <w:spacing w:line="240" w:lineRule="auto"/>
              <w:jc w:val="center"/>
              <w:rPr>
                <w:rFonts w:ascii="宋体" w:hAnsi="宋体"/>
                <w:color w:val="auto"/>
                <w:szCs w:val="21"/>
                <w:highlight w:val="none"/>
              </w:rPr>
            </w:pPr>
            <w:r>
              <w:rPr>
                <w:rFonts w:hint="eastAsia" w:ascii="宋体" w:hAnsi="宋体"/>
                <w:color w:val="auto"/>
                <w:szCs w:val="21"/>
                <w:highlight w:val="none"/>
              </w:rPr>
              <w:t>数量（人）</w:t>
            </w:r>
          </w:p>
        </w:tc>
        <w:tc>
          <w:tcPr>
            <w:tcW w:w="5148" w:type="dxa"/>
            <w:vAlign w:val="center"/>
          </w:tcPr>
          <w:p>
            <w:pPr>
              <w:adjustRightInd w:val="0"/>
              <w:snapToGrid w:val="0"/>
              <w:spacing w:line="240" w:lineRule="auto"/>
              <w:jc w:val="center"/>
              <w:rPr>
                <w:rFonts w:ascii="宋体" w:hAnsi="宋体"/>
                <w:color w:val="auto"/>
                <w:szCs w:val="21"/>
                <w:highlight w:val="none"/>
              </w:rPr>
            </w:pPr>
            <w:r>
              <w:rPr>
                <w:rFonts w:hint="eastAsia" w:ascii="宋体" w:hAnsi="宋体"/>
                <w:color w:val="auto"/>
                <w:szCs w:val="21"/>
                <w:highlight w:val="none"/>
              </w:rPr>
              <w:t>资质要求</w:t>
            </w:r>
          </w:p>
        </w:tc>
        <w:tc>
          <w:tcPr>
            <w:tcW w:w="1780" w:type="dxa"/>
            <w:vAlign w:val="center"/>
          </w:tcPr>
          <w:p>
            <w:pPr>
              <w:adjustRightInd w:val="0"/>
              <w:snapToGrid w:val="0"/>
              <w:spacing w:line="240" w:lineRule="auto"/>
              <w:jc w:val="center"/>
              <w:rPr>
                <w:rFonts w:hint="eastAsia" w:ascii="宋体" w:hAnsi="宋体"/>
                <w:color w:val="auto"/>
                <w:szCs w:val="21"/>
                <w:highlight w:val="none"/>
              </w:rPr>
            </w:pPr>
            <w:r>
              <w:rPr>
                <w:rFonts w:hint="eastAsia" w:ascii="宋体" w:hAnsi="宋体"/>
                <w:color w:val="auto"/>
                <w:szCs w:val="21"/>
                <w:highlight w:val="none"/>
              </w:rPr>
              <w:t>在岗要求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214" w:hRule="atLeast"/>
          <w:jc w:val="center"/>
        </w:trPr>
        <w:tc>
          <w:tcPr>
            <w:tcW w:w="1103" w:type="dxa"/>
            <w:vAlign w:val="center"/>
          </w:tcPr>
          <w:p>
            <w:pPr>
              <w:adjustRightInd w:val="0"/>
              <w:snapToGrid w:val="0"/>
              <w:spacing w:line="240" w:lineRule="auto"/>
              <w:jc w:val="center"/>
              <w:rPr>
                <w:rFonts w:ascii="宋体" w:hAnsi="宋体"/>
                <w:color w:val="auto"/>
                <w:szCs w:val="21"/>
                <w:highlight w:val="none"/>
              </w:rPr>
            </w:pPr>
            <w:r>
              <w:rPr>
                <w:rFonts w:hint="eastAsia" w:ascii="宋体" w:hAnsi="宋体"/>
                <w:color w:val="auto"/>
                <w:szCs w:val="21"/>
                <w:highlight w:val="none"/>
              </w:rPr>
              <w:t>项目经理</w:t>
            </w:r>
          </w:p>
        </w:tc>
        <w:tc>
          <w:tcPr>
            <w:tcW w:w="1269" w:type="dxa"/>
            <w:vAlign w:val="center"/>
          </w:tcPr>
          <w:p>
            <w:pPr>
              <w:adjustRightInd w:val="0"/>
              <w:snapToGrid w:val="0"/>
              <w:spacing w:line="240" w:lineRule="auto"/>
              <w:jc w:val="center"/>
              <w:rPr>
                <w:rFonts w:ascii="宋体" w:hAnsi="宋体"/>
                <w:color w:val="auto"/>
                <w:szCs w:val="21"/>
                <w:highlight w:val="none"/>
              </w:rPr>
            </w:pPr>
            <w:r>
              <w:rPr>
                <w:rFonts w:hint="eastAsia" w:ascii="宋体" w:hAnsi="宋体"/>
                <w:color w:val="auto"/>
                <w:szCs w:val="21"/>
                <w:highlight w:val="none"/>
              </w:rPr>
              <w:t>1</w:t>
            </w:r>
          </w:p>
        </w:tc>
        <w:tc>
          <w:tcPr>
            <w:tcW w:w="5148" w:type="dxa"/>
            <w:vAlign w:val="center"/>
          </w:tcPr>
          <w:p>
            <w:pPr>
              <w:spacing w:line="360" w:lineRule="auto"/>
              <w:ind w:firstLine="420" w:firstLineChars="200"/>
              <w:rPr>
                <w:rFonts w:hint="eastAsia" w:ascii="宋体" w:hAnsi="宋体"/>
                <w:color w:val="auto"/>
                <w:szCs w:val="21"/>
              </w:rPr>
            </w:pPr>
            <w:r>
              <w:rPr>
                <w:rFonts w:hint="eastAsia" w:ascii="宋体" w:hAnsi="宋体"/>
                <w:color w:val="auto"/>
                <w:szCs w:val="21"/>
              </w:rPr>
              <w:t>机电工程或电力工程相关专业工程师</w:t>
            </w:r>
            <w:r>
              <w:rPr>
                <w:rFonts w:hint="eastAsia" w:ascii="宋体" w:hAnsi="宋体"/>
                <w:color w:val="auto"/>
                <w:szCs w:val="21"/>
                <w:lang w:eastAsia="zh-CN"/>
              </w:rPr>
              <w:t>，</w:t>
            </w:r>
            <w:r>
              <w:rPr>
                <w:rFonts w:hint="eastAsia" w:ascii="宋体" w:hAnsi="宋体"/>
                <w:color w:val="auto"/>
                <w:szCs w:val="21"/>
              </w:rPr>
              <w:t>年龄不超过5</w:t>
            </w:r>
            <w:r>
              <w:rPr>
                <w:rFonts w:hint="eastAsia" w:ascii="宋体" w:hAnsi="宋体"/>
                <w:color w:val="auto"/>
                <w:szCs w:val="21"/>
                <w:lang w:val="en-US" w:eastAsia="zh-CN"/>
              </w:rPr>
              <w:t>5</w:t>
            </w:r>
            <w:r>
              <w:rPr>
                <w:rFonts w:hint="eastAsia" w:ascii="宋体" w:hAnsi="宋体"/>
                <w:color w:val="auto"/>
                <w:szCs w:val="21"/>
              </w:rPr>
              <w:t>岁；</w:t>
            </w:r>
          </w:p>
          <w:p>
            <w:pPr>
              <w:spacing w:line="360" w:lineRule="auto"/>
              <w:ind w:firstLine="420" w:firstLineChars="200"/>
              <w:rPr>
                <w:rFonts w:hint="eastAsia" w:ascii="宋体" w:hAnsi="宋体"/>
                <w:color w:val="auto"/>
                <w:szCs w:val="21"/>
              </w:rPr>
            </w:pPr>
            <w:r>
              <w:rPr>
                <w:rFonts w:hint="eastAsia" w:ascii="宋体" w:hAnsi="宋体"/>
                <w:color w:val="auto"/>
                <w:szCs w:val="21"/>
              </w:rPr>
              <w:t>担任过至少1项机电施工</w:t>
            </w:r>
            <w:r>
              <w:rPr>
                <w:rFonts w:hint="eastAsia" w:ascii="宋体" w:hAnsi="宋体"/>
                <w:color w:val="auto"/>
                <w:szCs w:val="21"/>
                <w:lang w:val="en-US" w:eastAsia="zh-CN"/>
              </w:rPr>
              <w:t>或机电养护</w:t>
            </w:r>
            <w:r>
              <w:rPr>
                <w:rFonts w:hint="eastAsia" w:ascii="宋体" w:hAnsi="宋体"/>
                <w:color w:val="auto"/>
                <w:szCs w:val="21"/>
              </w:rPr>
              <w:t>工程项目经理（或项目副经理或项目总工）岗位；</w:t>
            </w:r>
          </w:p>
          <w:p>
            <w:pPr>
              <w:spacing w:line="360" w:lineRule="auto"/>
              <w:ind w:firstLine="420" w:firstLineChars="200"/>
              <w:rPr>
                <w:rFonts w:hint="eastAsia" w:ascii="宋体" w:hAnsi="宋体"/>
                <w:color w:val="auto"/>
                <w:szCs w:val="21"/>
              </w:rPr>
            </w:pPr>
            <w:r>
              <w:rPr>
                <w:rFonts w:hint="eastAsia" w:ascii="宋体" w:hAnsi="宋体"/>
                <w:color w:val="auto"/>
                <w:szCs w:val="21"/>
              </w:rPr>
              <w:t>具有住房和城乡建设部颁发的机电工程专业</w:t>
            </w:r>
            <w:r>
              <w:rPr>
                <w:rFonts w:hint="eastAsia" w:ascii="宋体" w:hAnsi="宋体"/>
                <w:color w:val="auto"/>
                <w:szCs w:val="21"/>
                <w:lang w:val="en-US" w:eastAsia="zh-CN"/>
              </w:rPr>
              <w:t>二</w:t>
            </w:r>
            <w:r>
              <w:rPr>
                <w:rFonts w:hint="eastAsia" w:ascii="宋体" w:hAnsi="宋体"/>
                <w:color w:val="auto"/>
                <w:szCs w:val="21"/>
              </w:rPr>
              <w:t>级建造师注册证书（不含临时资格证书）；</w:t>
            </w:r>
          </w:p>
          <w:p>
            <w:pPr>
              <w:spacing w:line="240" w:lineRule="auto"/>
              <w:ind w:firstLine="420" w:firstLineChars="200"/>
              <w:rPr>
                <w:rFonts w:hint="eastAsia" w:ascii="宋体" w:hAnsi="宋体"/>
                <w:color w:val="auto"/>
                <w:szCs w:val="21"/>
                <w:highlight w:val="none"/>
              </w:rPr>
            </w:pPr>
            <w:r>
              <w:rPr>
                <w:rFonts w:hint="eastAsia" w:ascii="宋体"/>
                <w:color w:val="auto"/>
                <w:szCs w:val="21"/>
              </w:rPr>
              <w:t>具有有效的安全生产“三类人员”</w:t>
            </w:r>
            <w:r>
              <w:rPr>
                <w:rFonts w:hint="eastAsia" w:ascii="宋体" w:hAnsi="宋体"/>
                <w:color w:val="auto"/>
                <w:szCs w:val="21"/>
              </w:rPr>
              <w:t>B类证书。</w:t>
            </w:r>
          </w:p>
        </w:tc>
        <w:tc>
          <w:tcPr>
            <w:tcW w:w="1780" w:type="dxa"/>
            <w:vMerge w:val="restart"/>
            <w:vAlign w:val="center"/>
          </w:tcPr>
          <w:p>
            <w:pPr>
              <w:adjustRightInd w:val="0"/>
              <w:snapToGrid w:val="0"/>
              <w:spacing w:line="240" w:lineRule="auto"/>
              <w:rPr>
                <w:rFonts w:hint="eastAsia" w:ascii="宋体" w:hAnsi="宋体"/>
                <w:color w:val="auto"/>
                <w:szCs w:val="21"/>
                <w:highlight w:val="none"/>
              </w:rPr>
            </w:pPr>
            <w:r>
              <w:rPr>
                <w:rFonts w:hint="eastAsia" w:ascii="宋体" w:hAnsi="宋体"/>
                <w:color w:val="auto"/>
                <w:szCs w:val="21"/>
                <w:highlight w:val="none"/>
              </w:rPr>
              <w:t>无在岗项目（指目前未在其他项目上任职，或虽在其他项目上任职但本项目中标后能够从该项目撤离）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1616" w:hRule="atLeast"/>
          <w:jc w:val="center"/>
        </w:trPr>
        <w:tc>
          <w:tcPr>
            <w:tcW w:w="1103" w:type="dxa"/>
            <w:vAlign w:val="center"/>
          </w:tcPr>
          <w:p>
            <w:pPr>
              <w:spacing w:line="240" w:lineRule="auto"/>
              <w:jc w:val="center"/>
              <w:rPr>
                <w:rFonts w:hint="eastAsia" w:ascii="宋体" w:hAnsi="宋体"/>
                <w:color w:val="auto"/>
                <w:szCs w:val="21"/>
                <w:highlight w:val="none"/>
              </w:rPr>
            </w:pPr>
            <w:r>
              <w:rPr>
                <w:rFonts w:hint="eastAsia" w:ascii="宋体" w:hAnsi="宋体" w:cs="宋体"/>
                <w:color w:val="auto"/>
                <w:szCs w:val="21"/>
                <w:highlight w:val="none"/>
              </w:rPr>
              <w:t>项目总工程师</w:t>
            </w:r>
          </w:p>
        </w:tc>
        <w:tc>
          <w:tcPr>
            <w:tcW w:w="1269" w:type="dxa"/>
            <w:vAlign w:val="center"/>
          </w:tcPr>
          <w:p>
            <w:pPr>
              <w:adjustRightInd w:val="0"/>
              <w:snapToGrid w:val="0"/>
              <w:spacing w:line="240" w:lineRule="auto"/>
              <w:jc w:val="center"/>
              <w:rPr>
                <w:rFonts w:hint="eastAsia" w:ascii="宋体" w:hAnsi="宋体" w:eastAsia="宋体"/>
                <w:color w:val="auto"/>
                <w:szCs w:val="21"/>
                <w:highlight w:val="none"/>
                <w:lang w:eastAsia="zh-CN"/>
              </w:rPr>
            </w:pPr>
            <w:r>
              <w:rPr>
                <w:rFonts w:hint="eastAsia" w:ascii="宋体" w:hAnsi="宋体" w:cs="宋体"/>
                <w:color w:val="auto"/>
                <w:szCs w:val="21"/>
                <w:highlight w:val="none"/>
              </w:rPr>
              <w:t>1</w:t>
            </w:r>
          </w:p>
        </w:tc>
        <w:tc>
          <w:tcPr>
            <w:tcW w:w="5148" w:type="dxa"/>
            <w:vAlign w:val="center"/>
          </w:tcPr>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机电工程或电力工程</w:t>
            </w:r>
            <w:r>
              <w:rPr>
                <w:rFonts w:hint="eastAsia" w:ascii="宋体" w:hAnsi="宋体"/>
                <w:color w:val="auto"/>
                <w:szCs w:val="21"/>
                <w:highlight w:val="none"/>
                <w:lang w:val="en-US" w:eastAsia="zh-CN"/>
              </w:rPr>
              <w:t>相关专业</w:t>
            </w:r>
            <w:r>
              <w:rPr>
                <w:rFonts w:hint="eastAsia" w:ascii="宋体" w:hAnsi="宋体"/>
                <w:color w:val="auto"/>
                <w:szCs w:val="21"/>
                <w:highlight w:val="none"/>
              </w:rPr>
              <w:t>高级工程师</w:t>
            </w:r>
            <w:r>
              <w:rPr>
                <w:rFonts w:hint="eastAsia" w:ascii="宋体" w:hAnsi="宋体"/>
                <w:color w:val="auto"/>
                <w:szCs w:val="21"/>
                <w:highlight w:val="none"/>
                <w:lang w:eastAsia="zh-CN"/>
              </w:rPr>
              <w:t>，</w:t>
            </w:r>
            <w:r>
              <w:rPr>
                <w:rFonts w:hint="eastAsia" w:ascii="宋体" w:hAnsi="宋体"/>
                <w:color w:val="auto"/>
                <w:szCs w:val="21"/>
                <w:highlight w:val="none"/>
              </w:rPr>
              <w:t>年龄不超过5</w:t>
            </w:r>
            <w:r>
              <w:rPr>
                <w:rFonts w:hint="eastAsia" w:ascii="宋体" w:hAnsi="宋体"/>
                <w:color w:val="auto"/>
                <w:szCs w:val="21"/>
                <w:highlight w:val="none"/>
                <w:lang w:val="en-US" w:eastAsia="zh-CN"/>
              </w:rPr>
              <w:t>5</w:t>
            </w:r>
            <w:r>
              <w:rPr>
                <w:rFonts w:hint="eastAsia" w:ascii="宋体" w:hAnsi="宋体"/>
                <w:color w:val="auto"/>
                <w:szCs w:val="21"/>
                <w:highlight w:val="none"/>
              </w:rPr>
              <w:t>岁；</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主管过至少1项机电施工</w:t>
            </w:r>
            <w:r>
              <w:rPr>
                <w:rFonts w:hint="eastAsia" w:ascii="宋体" w:hAnsi="宋体"/>
                <w:color w:val="auto"/>
                <w:szCs w:val="21"/>
                <w:highlight w:val="none"/>
                <w:lang w:val="en-US" w:eastAsia="zh-CN"/>
              </w:rPr>
              <w:t>或机电养护</w:t>
            </w:r>
            <w:r>
              <w:rPr>
                <w:rFonts w:hint="eastAsia" w:ascii="宋体" w:hAnsi="宋体"/>
                <w:color w:val="auto"/>
                <w:szCs w:val="21"/>
                <w:highlight w:val="none"/>
              </w:rPr>
              <w:t>工程技术工作；</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具有有效的安全生产“三类人员”B类证书。</w:t>
            </w:r>
          </w:p>
        </w:tc>
        <w:tc>
          <w:tcPr>
            <w:tcW w:w="1780" w:type="dxa"/>
            <w:vMerge w:val="continue"/>
            <w:vAlign w:val="center"/>
          </w:tcPr>
          <w:p>
            <w:pPr>
              <w:adjustRightInd w:val="0"/>
              <w:snapToGrid w:val="0"/>
              <w:spacing w:line="240" w:lineRule="auto"/>
              <w:rPr>
                <w:rFonts w:hint="eastAsia" w:ascii="宋体" w:hAnsi="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586" w:hRule="atLeast"/>
          <w:jc w:val="center"/>
        </w:trPr>
        <w:tc>
          <w:tcPr>
            <w:tcW w:w="9300" w:type="dxa"/>
            <w:gridSpan w:val="4"/>
            <w:vAlign w:val="center"/>
          </w:tcPr>
          <w:p>
            <w:pPr>
              <w:pStyle w:val="4"/>
              <w:spacing w:line="276" w:lineRule="auto"/>
              <w:rPr>
                <w:rFonts w:hint="eastAsia"/>
                <w:color w:val="auto"/>
                <w:highlight w:val="none"/>
                <w:lang w:val="en-US" w:eastAsia="zh-CN"/>
              </w:rPr>
            </w:pPr>
            <w:r>
              <w:rPr>
                <w:rFonts w:hint="eastAsia"/>
                <w:color w:val="auto"/>
                <w:highlight w:val="none"/>
                <w:lang w:val="en-US" w:eastAsia="zh-CN"/>
              </w:rPr>
              <w:t>注：</w:t>
            </w:r>
          </w:p>
          <w:p>
            <w:pPr>
              <w:widowControl/>
              <w:autoSpaceDE/>
              <w:autoSpaceDN/>
              <w:spacing w:line="360" w:lineRule="auto"/>
              <w:textAlignment w:val="auto"/>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1.应附身份证、毕业证书、职称资格证书、二级注册建造师注册证书（如需）及安全生产“三类人员”B类证书的复印件。</w:t>
            </w:r>
          </w:p>
          <w:p>
            <w:pPr>
              <w:pStyle w:val="4"/>
              <w:spacing w:line="276" w:lineRule="auto"/>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2.主管技术工作指：担任过项目经理、总工程师、技术负责人、质检部门负责人、工程部门负责人。</w:t>
            </w:r>
          </w:p>
          <w:p>
            <w:pPr>
              <w:pStyle w:val="4"/>
              <w:spacing w:line="276" w:lineRule="auto"/>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3.资格要求的人员建造师注册证书、安全生产“三类人员”B类证书均应在投标人所在单位，否则视为无效。</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4.投标人拟派出的项目经理和项目总工应分别在相应的“拟委任的项目经理和项目总工资历表”签名确认。</w:t>
            </w:r>
          </w:p>
          <w:p>
            <w:pPr>
              <w:pStyle w:val="2"/>
              <w:rPr>
                <w:rFonts w:hint="eastAsia"/>
                <w:color w:val="auto"/>
                <w:highlight w:val="none"/>
                <w:lang w:val="en-US" w:eastAsia="zh-CN"/>
              </w:rPr>
            </w:pPr>
          </w:p>
          <w:p>
            <w:pPr>
              <w:widowControl/>
              <w:spacing w:line="360" w:lineRule="auto"/>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5.投标人所属社保机构出具的拟委任的项目经理和项目总工的社保缴费证明或其他能够证明拟委任的项目经理和项目总工参加社保的有效证明材料复印件。社保证明应含（2022年1月至2022年6月）时间的社保，且应清晰反映参保时间。</w:t>
            </w:r>
          </w:p>
          <w:p>
            <w:pPr>
              <w:pStyle w:val="2"/>
              <w:rPr>
                <w:rFonts w:hint="eastAsia" w:ascii="宋体" w:hAnsi="宋体"/>
                <w:color w:val="auto"/>
                <w:kern w:val="2"/>
                <w:sz w:val="21"/>
                <w:szCs w:val="21"/>
                <w:highlight w:val="none"/>
                <w:lang w:val="en-US" w:eastAsia="zh-CN" w:bidi="ar-SA"/>
              </w:rPr>
            </w:pPr>
          </w:p>
          <w:p>
            <w:pPr>
              <w:pStyle w:val="2"/>
              <w:rPr>
                <w:rFonts w:hint="eastAsia" w:ascii="宋体" w:hAnsi="宋体" w:cs="宋体"/>
                <w:color w:val="auto"/>
                <w:szCs w:val="21"/>
                <w:highlight w:val="none"/>
                <w:lang w:val="en-US" w:eastAsia="zh-CN"/>
              </w:rPr>
            </w:pPr>
          </w:p>
        </w:tc>
      </w:tr>
    </w:tbl>
    <w:p>
      <w:pPr>
        <w:pStyle w:val="2"/>
        <w:ind w:left="0" w:leftChars="0" w:firstLine="0" w:firstLineChars="0"/>
        <w:rPr>
          <w:rFonts w:hint="default" w:ascii="宋体" w:hAnsi="宋体"/>
          <w:b/>
          <w:bCs/>
          <w:color w:val="auto"/>
          <w:sz w:val="28"/>
          <w:szCs w:val="28"/>
          <w:highlight w:val="none"/>
        </w:rPr>
      </w:pPr>
    </w:p>
    <w:p>
      <w:pPr>
        <w:adjustRightInd w:val="0"/>
        <w:snapToGrid w:val="0"/>
        <w:spacing w:line="360" w:lineRule="auto"/>
        <w:jc w:val="center"/>
        <w:rPr>
          <w:rFonts w:hint="eastAsia" w:ascii="宋体" w:hAnsi="宋体"/>
          <w:b/>
          <w:bCs/>
          <w:color w:val="auto"/>
          <w:sz w:val="28"/>
          <w:szCs w:val="28"/>
          <w:highlight w:val="none"/>
        </w:rPr>
      </w:pPr>
      <w:r>
        <w:rPr>
          <w:rFonts w:hint="eastAsia" w:ascii="宋体" w:hAnsi="宋体"/>
          <w:b/>
          <w:bCs/>
          <w:color w:val="auto"/>
          <w:sz w:val="28"/>
          <w:szCs w:val="28"/>
          <w:highlight w:val="none"/>
        </w:rPr>
        <w:t xml:space="preserve">附录6  资格审查条件(其他主要管理人员和技术人员最低要求) </w:t>
      </w:r>
    </w:p>
    <w:tbl>
      <w:tblPr>
        <w:tblStyle w:val="9"/>
        <w:tblW w:w="926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14"/>
        <w:gridCol w:w="1395"/>
        <w:gridCol w:w="635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581" w:hRule="atLeast"/>
          <w:jc w:val="center"/>
        </w:trPr>
        <w:tc>
          <w:tcPr>
            <w:tcW w:w="1514" w:type="dxa"/>
            <w:vAlign w:val="center"/>
          </w:tcPr>
          <w:p>
            <w:pPr>
              <w:adjustRightInd w:val="0"/>
              <w:snapToGrid w:val="0"/>
              <w:spacing w:line="360" w:lineRule="exact"/>
              <w:jc w:val="center"/>
              <w:rPr>
                <w:rFonts w:ascii="宋体" w:hAnsi="宋体"/>
                <w:color w:val="auto"/>
                <w:szCs w:val="21"/>
                <w:highlight w:val="none"/>
              </w:rPr>
            </w:pPr>
            <w:r>
              <w:rPr>
                <w:rFonts w:hint="eastAsia" w:ascii="宋体" w:hAnsi="宋体"/>
                <w:color w:val="auto"/>
                <w:szCs w:val="21"/>
                <w:highlight w:val="none"/>
              </w:rPr>
              <w:t>人员</w:t>
            </w:r>
          </w:p>
        </w:tc>
        <w:tc>
          <w:tcPr>
            <w:tcW w:w="1395" w:type="dxa"/>
            <w:vAlign w:val="center"/>
          </w:tcPr>
          <w:p>
            <w:pPr>
              <w:adjustRightInd w:val="0"/>
              <w:snapToGrid w:val="0"/>
              <w:spacing w:line="360" w:lineRule="exact"/>
              <w:jc w:val="center"/>
              <w:rPr>
                <w:rFonts w:ascii="宋体" w:hAnsi="宋体"/>
                <w:color w:val="auto"/>
                <w:szCs w:val="21"/>
                <w:highlight w:val="none"/>
              </w:rPr>
            </w:pPr>
            <w:r>
              <w:rPr>
                <w:rFonts w:hint="eastAsia" w:ascii="宋体" w:hAnsi="宋体"/>
                <w:color w:val="auto"/>
                <w:szCs w:val="21"/>
                <w:highlight w:val="none"/>
              </w:rPr>
              <w:t>数量（人）</w:t>
            </w:r>
          </w:p>
        </w:tc>
        <w:tc>
          <w:tcPr>
            <w:tcW w:w="6351" w:type="dxa"/>
            <w:vAlign w:val="center"/>
          </w:tcPr>
          <w:p>
            <w:pPr>
              <w:adjustRightInd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资</w:t>
            </w:r>
            <w:r>
              <w:rPr>
                <w:rFonts w:hint="eastAsia" w:ascii="宋体" w:hAnsi="宋体"/>
                <w:color w:val="auto"/>
                <w:szCs w:val="21"/>
                <w:highlight w:val="none"/>
                <w:lang w:val="en-US" w:eastAsia="zh-CN"/>
              </w:rPr>
              <w:t>格</w:t>
            </w:r>
            <w:r>
              <w:rPr>
                <w:rFonts w:hint="eastAsia" w:ascii="宋体" w:hAnsi="宋体"/>
                <w:color w:val="auto"/>
                <w:szCs w:val="21"/>
                <w:highlight w:val="none"/>
              </w:rPr>
              <w:t>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863" w:hRule="atLeast"/>
          <w:jc w:val="center"/>
        </w:trPr>
        <w:tc>
          <w:tcPr>
            <w:tcW w:w="1514" w:type="dxa"/>
            <w:vAlign w:val="center"/>
          </w:tcPr>
          <w:p>
            <w:pPr>
              <w:pStyle w:val="4"/>
              <w:spacing w:line="276" w:lineRule="auto"/>
              <w:jc w:val="center"/>
              <w:rPr>
                <w:rFonts w:ascii="宋体" w:hAnsi="宋体"/>
                <w:color w:val="auto"/>
                <w:szCs w:val="21"/>
                <w:highlight w:val="none"/>
              </w:rPr>
            </w:pPr>
            <w:r>
              <w:rPr>
                <w:rFonts w:hint="eastAsia" w:ascii="宋体" w:hAnsi="宋体" w:eastAsia="宋体"/>
                <w:color w:val="auto"/>
                <w:sz w:val="21"/>
                <w:szCs w:val="21"/>
                <w:highlight w:val="none"/>
              </w:rPr>
              <w:t>专职安全主任</w:t>
            </w:r>
          </w:p>
        </w:tc>
        <w:tc>
          <w:tcPr>
            <w:tcW w:w="1395" w:type="dxa"/>
            <w:vAlign w:val="center"/>
          </w:tcPr>
          <w:p>
            <w:pPr>
              <w:pStyle w:val="10"/>
              <w:spacing w:line="276" w:lineRule="auto"/>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1</w:t>
            </w:r>
          </w:p>
        </w:tc>
        <w:tc>
          <w:tcPr>
            <w:tcW w:w="6351" w:type="dxa"/>
            <w:vAlign w:val="center"/>
          </w:tcPr>
          <w:p>
            <w:pPr>
              <w:adjustRightInd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持</w:t>
            </w:r>
            <w:r>
              <w:rPr>
                <w:rFonts w:ascii="宋体" w:hAnsi="宋体" w:eastAsia="宋体"/>
                <w:color w:val="auto"/>
                <w:sz w:val="21"/>
                <w:szCs w:val="21"/>
                <w:highlight w:val="none"/>
              </w:rPr>
              <w:t>有效的安全生产“三类人员”C类证书。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752" w:hRule="atLeast"/>
          <w:jc w:val="center"/>
        </w:trPr>
        <w:tc>
          <w:tcPr>
            <w:tcW w:w="1514" w:type="dxa"/>
            <w:vAlign w:val="center"/>
          </w:tcPr>
          <w:p>
            <w:pPr>
              <w:pStyle w:val="4"/>
              <w:spacing w:line="276" w:lineRule="auto"/>
              <w:jc w:val="center"/>
              <w:rPr>
                <w:rFonts w:hint="eastAsia" w:ascii="宋体" w:hAnsi="宋体"/>
                <w:color w:val="auto"/>
                <w:szCs w:val="21"/>
                <w:highlight w:val="none"/>
              </w:rPr>
            </w:pPr>
            <w:r>
              <w:rPr>
                <w:rFonts w:hint="eastAsia" w:ascii="宋体" w:hAnsi="宋体" w:eastAsia="宋体" w:cs="宋体"/>
                <w:color w:val="auto"/>
                <w:sz w:val="21"/>
                <w:szCs w:val="21"/>
                <w:highlight w:val="none"/>
              </w:rPr>
              <w:t>电力</w:t>
            </w:r>
            <w:r>
              <w:rPr>
                <w:rFonts w:hint="eastAsia" w:ascii="宋体" w:hAnsi="宋体" w:eastAsia="宋体" w:cs="宋体"/>
                <w:color w:val="auto"/>
                <w:sz w:val="21"/>
                <w:szCs w:val="21"/>
                <w:highlight w:val="none"/>
                <w:lang w:eastAsia="zh-CN"/>
              </w:rPr>
              <w:t>监控调度工程师</w:t>
            </w:r>
          </w:p>
        </w:tc>
        <w:tc>
          <w:tcPr>
            <w:tcW w:w="1395" w:type="dxa"/>
            <w:vAlign w:val="center"/>
          </w:tcPr>
          <w:p>
            <w:pPr>
              <w:pStyle w:val="10"/>
              <w:spacing w:line="276" w:lineRule="auto"/>
              <w:jc w:val="center"/>
              <w:rPr>
                <w:rFonts w:hint="eastAsia" w:ascii="宋体" w:hAnsi="宋体"/>
                <w:color w:val="auto"/>
                <w:szCs w:val="21"/>
                <w:highlight w:val="none"/>
              </w:rPr>
            </w:pPr>
            <w:r>
              <w:rPr>
                <w:rFonts w:ascii="宋体" w:hAnsi="宋体" w:eastAsia="宋体"/>
                <w:color w:val="auto"/>
                <w:szCs w:val="21"/>
                <w:highlight w:val="none"/>
              </w:rPr>
              <w:t>2</w:t>
            </w:r>
          </w:p>
        </w:tc>
        <w:tc>
          <w:tcPr>
            <w:tcW w:w="6351" w:type="dxa"/>
            <w:vAlign w:val="center"/>
          </w:tcPr>
          <w:p>
            <w:pPr>
              <w:adjustRightInd w:val="0"/>
              <w:snapToGrid w:val="0"/>
              <w:spacing w:line="360" w:lineRule="exact"/>
              <w:rPr>
                <w:rFonts w:hint="eastAsia" w:ascii="宋体" w:hAnsi="宋体"/>
                <w:color w:val="auto"/>
                <w:szCs w:val="21"/>
                <w:highlight w:val="none"/>
              </w:rPr>
            </w:pPr>
            <w:r>
              <w:rPr>
                <w:rFonts w:hint="eastAsia" w:ascii="宋体" w:hAnsi="宋体" w:cs="宋体"/>
                <w:color w:val="auto"/>
                <w:sz w:val="21"/>
                <w:szCs w:val="21"/>
                <w:highlight w:val="none"/>
                <w:lang w:val="en-US" w:eastAsia="zh-CN"/>
              </w:rPr>
              <w:t>具有</w:t>
            </w:r>
            <w:r>
              <w:rPr>
                <w:rFonts w:hint="eastAsia" w:ascii="宋体" w:hAnsi="宋体" w:eastAsia="宋体" w:cs="宋体"/>
                <w:color w:val="auto"/>
                <w:sz w:val="21"/>
                <w:szCs w:val="21"/>
                <w:highlight w:val="none"/>
              </w:rPr>
              <w:t>电气类技师</w:t>
            </w:r>
            <w:r>
              <w:rPr>
                <w:rFonts w:hint="eastAsia" w:ascii="宋体" w:hAnsi="宋体" w:cs="宋体"/>
                <w:color w:val="auto"/>
                <w:sz w:val="21"/>
                <w:szCs w:val="21"/>
                <w:highlight w:val="none"/>
                <w:lang w:eastAsia="zh-CN"/>
              </w:rPr>
              <w:t>或机电相关工程师</w:t>
            </w:r>
            <w:r>
              <w:rPr>
                <w:rFonts w:hint="eastAsia" w:ascii="宋体" w:hAnsi="宋体" w:eastAsia="宋体" w:cs="宋体"/>
                <w:color w:val="auto"/>
                <w:sz w:val="21"/>
                <w:szCs w:val="21"/>
                <w:highlight w:val="none"/>
              </w:rPr>
              <w:t>以上职称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具备10kV 及以上供电系统的调度经验1年以上</w:t>
            </w:r>
            <w:r>
              <w:rPr>
                <w:rFonts w:ascii="宋体" w:hAnsi="宋体" w:eastAsia="宋体"/>
                <w:color w:val="auto"/>
                <w:sz w:val="21"/>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817" w:hRule="atLeast"/>
          <w:jc w:val="center"/>
        </w:trPr>
        <w:tc>
          <w:tcPr>
            <w:tcW w:w="1514" w:type="dxa"/>
            <w:vAlign w:val="center"/>
          </w:tcPr>
          <w:p>
            <w:pPr>
              <w:pStyle w:val="4"/>
              <w:spacing w:line="276" w:lineRule="auto"/>
              <w:jc w:val="center"/>
              <w:rPr>
                <w:rFonts w:hint="eastAsia" w:ascii="宋体" w:hAnsi="宋体" w:cs="宋体"/>
                <w:color w:val="auto"/>
                <w:szCs w:val="21"/>
                <w:highlight w:val="none"/>
              </w:rPr>
            </w:pPr>
            <w:r>
              <w:rPr>
                <w:rFonts w:hint="eastAsia" w:ascii="宋体" w:hAnsi="宋体" w:cs="宋体"/>
                <w:color w:val="auto"/>
                <w:sz w:val="21"/>
                <w:szCs w:val="21"/>
                <w:highlight w:val="none"/>
                <w:lang w:eastAsia="zh-CN"/>
              </w:rPr>
              <w:t>资料员</w:t>
            </w:r>
          </w:p>
        </w:tc>
        <w:tc>
          <w:tcPr>
            <w:tcW w:w="1395" w:type="dxa"/>
            <w:vAlign w:val="center"/>
          </w:tcPr>
          <w:p>
            <w:pPr>
              <w:pStyle w:val="10"/>
              <w:spacing w:line="276" w:lineRule="auto"/>
              <w:jc w:val="center"/>
              <w:rPr>
                <w:rFonts w:hint="eastAsia" w:ascii="宋体" w:hAnsi="宋体" w:eastAsia="宋体" w:cs="宋体"/>
                <w:color w:val="auto"/>
                <w:szCs w:val="21"/>
                <w:highlight w:val="none"/>
                <w:lang w:eastAsia="zh-CN"/>
              </w:rPr>
            </w:pPr>
            <w:r>
              <w:rPr>
                <w:rFonts w:hint="eastAsia" w:ascii="宋体" w:hAnsi="宋体" w:eastAsia="宋体"/>
                <w:color w:val="auto"/>
                <w:szCs w:val="21"/>
                <w:highlight w:val="none"/>
                <w:lang w:val="en-US" w:eastAsia="zh-CN"/>
              </w:rPr>
              <w:t>1</w:t>
            </w:r>
          </w:p>
        </w:tc>
        <w:tc>
          <w:tcPr>
            <w:tcW w:w="6351" w:type="dxa"/>
            <w:vAlign w:val="center"/>
          </w:tcPr>
          <w:p>
            <w:pPr>
              <w:adjustRightInd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累计至少3年相应岗位工作经验，熟悉工程档案及竣工文档编制工作</w:t>
            </w:r>
            <w:r>
              <w:rPr>
                <w:rFonts w:ascii="宋体" w:hAnsi="宋体" w:eastAsia="宋体"/>
                <w:color w:val="auto"/>
                <w:sz w:val="21"/>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792" w:hRule="atLeast"/>
          <w:jc w:val="center"/>
        </w:trPr>
        <w:tc>
          <w:tcPr>
            <w:tcW w:w="1514" w:type="dxa"/>
            <w:vAlign w:val="center"/>
          </w:tcPr>
          <w:p>
            <w:pPr>
              <w:pStyle w:val="4"/>
              <w:spacing w:line="276" w:lineRule="auto"/>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10KV供配电维护人员</w:t>
            </w:r>
          </w:p>
        </w:tc>
        <w:tc>
          <w:tcPr>
            <w:tcW w:w="1395" w:type="dxa"/>
            <w:vAlign w:val="center"/>
          </w:tcPr>
          <w:p>
            <w:pPr>
              <w:pStyle w:val="10"/>
              <w:spacing w:line="276" w:lineRule="auto"/>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12</w:t>
            </w:r>
          </w:p>
        </w:tc>
        <w:tc>
          <w:tcPr>
            <w:tcW w:w="6351" w:type="dxa"/>
            <w:vAlign w:val="center"/>
          </w:tcPr>
          <w:p>
            <w:pPr>
              <w:adjustRightInd w:val="0"/>
              <w:snapToGrid w:val="0"/>
              <w:spacing w:line="360" w:lineRule="exact"/>
              <w:rPr>
                <w:rFonts w:hint="eastAsia" w:ascii="宋体" w:hAnsi="宋体"/>
                <w:color w:val="auto"/>
                <w:szCs w:val="21"/>
                <w:highlight w:val="none"/>
              </w:rPr>
            </w:pPr>
            <w:r>
              <w:rPr>
                <w:rFonts w:hint="eastAsia" w:ascii="宋体" w:hAnsi="宋体" w:cs="宋体"/>
                <w:color w:val="auto"/>
                <w:sz w:val="21"/>
                <w:szCs w:val="21"/>
                <w:highlight w:val="none"/>
                <w:lang w:val="en-US" w:eastAsia="zh-CN"/>
              </w:rPr>
              <w:t>具有</w:t>
            </w:r>
            <w:r>
              <w:rPr>
                <w:rFonts w:hint="eastAsia" w:ascii="宋体" w:hAnsi="宋体" w:cs="宋体"/>
                <w:color w:val="auto"/>
                <w:sz w:val="21"/>
                <w:szCs w:val="21"/>
                <w:highlight w:val="none"/>
                <w:lang w:eastAsia="zh-CN"/>
              </w:rPr>
              <w:t>应急管理</w:t>
            </w:r>
            <w:r>
              <w:rPr>
                <w:rFonts w:hint="eastAsia" w:ascii="宋体" w:hAnsi="宋体" w:eastAsia="宋体" w:cs="宋体"/>
                <w:color w:val="auto"/>
                <w:sz w:val="21"/>
                <w:szCs w:val="21"/>
                <w:highlight w:val="none"/>
              </w:rPr>
              <w:t>部门颁发的可在10KV及以上供配电系统作业的</w:t>
            </w:r>
            <w:r>
              <w:rPr>
                <w:rFonts w:hint="eastAsia" w:ascii="宋体" w:hAnsi="宋体" w:cs="宋体"/>
                <w:color w:val="auto"/>
                <w:sz w:val="21"/>
                <w:szCs w:val="21"/>
                <w:highlight w:val="none"/>
                <w:lang w:eastAsia="zh-CN"/>
              </w:rPr>
              <w:t>有效</w:t>
            </w:r>
            <w:r>
              <w:rPr>
                <w:rFonts w:hint="eastAsia" w:ascii="宋体" w:hAnsi="宋体" w:eastAsia="宋体" w:cs="宋体"/>
                <w:color w:val="auto"/>
                <w:sz w:val="21"/>
                <w:szCs w:val="21"/>
                <w:highlight w:val="none"/>
              </w:rPr>
              <w:t>电工操作证</w:t>
            </w:r>
            <w:r>
              <w:rPr>
                <w:rFonts w:hint="eastAsia" w:ascii="宋体" w:hAnsi="宋体" w:eastAsia="宋体" w:cs="宋体"/>
                <w:color w:val="auto"/>
                <w:sz w:val="21"/>
                <w:szCs w:val="21"/>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792" w:hRule="atLeast"/>
          <w:jc w:val="center"/>
        </w:trPr>
        <w:tc>
          <w:tcPr>
            <w:tcW w:w="1514" w:type="dxa"/>
            <w:vAlign w:val="center"/>
          </w:tcPr>
          <w:p>
            <w:pPr>
              <w:pStyle w:val="4"/>
              <w:spacing w:line="276"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照明设施维护人员</w:t>
            </w:r>
          </w:p>
        </w:tc>
        <w:tc>
          <w:tcPr>
            <w:tcW w:w="1395" w:type="dxa"/>
            <w:vAlign w:val="center"/>
          </w:tcPr>
          <w:p>
            <w:pPr>
              <w:pStyle w:val="10"/>
              <w:spacing w:line="276" w:lineRule="auto"/>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12</w:t>
            </w:r>
          </w:p>
        </w:tc>
        <w:tc>
          <w:tcPr>
            <w:tcW w:w="6351" w:type="dxa"/>
            <w:vAlign w:val="center"/>
          </w:tcPr>
          <w:p>
            <w:pPr>
              <w:adjustRightInd w:val="0"/>
              <w:snapToGrid w:val="0"/>
              <w:spacing w:line="360" w:lineRule="exact"/>
              <w:rPr>
                <w:rFonts w:hint="eastAsia" w:ascii="宋体" w:hAnsi="宋体"/>
                <w:color w:val="auto"/>
                <w:szCs w:val="21"/>
                <w:highlight w:val="none"/>
              </w:rPr>
            </w:pPr>
            <w:r>
              <w:rPr>
                <w:rFonts w:hint="eastAsia" w:ascii="宋体" w:hAnsi="宋体" w:cs="宋体"/>
                <w:color w:val="auto"/>
                <w:sz w:val="21"/>
                <w:szCs w:val="21"/>
                <w:highlight w:val="none"/>
                <w:lang w:val="en-US" w:eastAsia="zh-CN"/>
              </w:rPr>
              <w:t>具有</w:t>
            </w:r>
            <w:r>
              <w:rPr>
                <w:rFonts w:hint="eastAsia" w:ascii="宋体" w:hAnsi="宋体" w:cs="宋体"/>
                <w:color w:val="auto"/>
                <w:sz w:val="21"/>
                <w:szCs w:val="21"/>
                <w:highlight w:val="none"/>
                <w:lang w:eastAsia="zh-CN"/>
              </w:rPr>
              <w:t>应急管理</w:t>
            </w:r>
            <w:r>
              <w:rPr>
                <w:rFonts w:hint="eastAsia" w:ascii="宋体" w:hAnsi="宋体" w:eastAsia="宋体" w:cs="宋体"/>
                <w:color w:val="auto"/>
                <w:sz w:val="21"/>
                <w:szCs w:val="21"/>
                <w:highlight w:val="none"/>
              </w:rPr>
              <w:t>部门颁发的</w:t>
            </w:r>
            <w:r>
              <w:rPr>
                <w:rFonts w:hint="eastAsia" w:ascii="宋体" w:hAnsi="宋体" w:cs="宋体"/>
                <w:color w:val="auto"/>
                <w:sz w:val="21"/>
                <w:szCs w:val="21"/>
                <w:highlight w:val="none"/>
                <w:lang w:eastAsia="zh-CN"/>
              </w:rPr>
              <w:t>有效</w:t>
            </w:r>
            <w:r>
              <w:rPr>
                <w:rFonts w:hint="eastAsia" w:ascii="宋体" w:hAnsi="宋体" w:eastAsia="宋体" w:cs="宋体"/>
                <w:color w:val="auto"/>
                <w:sz w:val="21"/>
                <w:szCs w:val="21"/>
                <w:highlight w:val="none"/>
              </w:rPr>
              <w:t>电工操作证</w:t>
            </w:r>
            <w:r>
              <w:rPr>
                <w:rFonts w:hint="eastAsia" w:ascii="宋体" w:hAnsi="宋体" w:cs="宋体"/>
                <w:color w:val="auto"/>
                <w:sz w:val="21"/>
                <w:szCs w:val="21"/>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792" w:hRule="atLeast"/>
          <w:jc w:val="center"/>
        </w:trPr>
        <w:tc>
          <w:tcPr>
            <w:tcW w:w="926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color w:val="auto"/>
                <w:kern w:val="2"/>
                <w:sz w:val="21"/>
                <w:szCs w:val="21"/>
                <w:lang w:val="en-US" w:eastAsia="zh-CN" w:bidi="ar-SA"/>
              </w:rPr>
            </w:pPr>
            <w:r>
              <w:rPr>
                <w:rFonts w:hint="eastAsia" w:ascii="宋体" w:hAnsi="宋体"/>
                <w:color w:val="auto"/>
                <w:kern w:val="2"/>
                <w:sz w:val="21"/>
                <w:szCs w:val="21"/>
                <w:lang w:val="en-US" w:eastAsia="zh-CN" w:bidi="ar-SA"/>
              </w:rPr>
              <w:t>注：</w:t>
            </w:r>
          </w:p>
          <w:p>
            <w:pPr>
              <w:pStyle w:val="4"/>
              <w:spacing w:line="276" w:lineRule="auto"/>
              <w:jc w:val="left"/>
              <w:rPr>
                <w:rFonts w:hint="eastAsia" w:ascii="宋体" w:hAnsi="宋体"/>
                <w:color w:val="auto"/>
                <w:kern w:val="2"/>
                <w:sz w:val="21"/>
                <w:szCs w:val="21"/>
                <w:lang w:val="en-US" w:eastAsia="zh-CN" w:bidi="ar-SA"/>
              </w:rPr>
            </w:pPr>
            <w:r>
              <w:rPr>
                <w:rFonts w:hint="eastAsia" w:ascii="宋体" w:hAnsi="宋体"/>
                <w:color w:val="auto"/>
                <w:kern w:val="2"/>
                <w:sz w:val="21"/>
                <w:szCs w:val="21"/>
                <w:lang w:val="en-US" w:eastAsia="zh-CN" w:bidi="ar-SA"/>
              </w:rPr>
              <w:t xml:space="preserve"> 1</w:t>
            </w:r>
            <w:r>
              <w:rPr>
                <w:rFonts w:hint="eastAsia" w:ascii="宋体" w:hAnsi="宋体"/>
                <w:color w:val="auto"/>
                <w:kern w:val="2"/>
                <w:sz w:val="21"/>
                <w:szCs w:val="21"/>
                <w:highlight w:val="none"/>
                <w:lang w:val="en-US" w:eastAsia="zh-CN" w:bidi="ar-SA"/>
              </w:rPr>
              <w:t>.上述人员及资料，只需按照招标文件</w:t>
            </w:r>
            <w:r>
              <w:rPr>
                <w:rFonts w:hint="eastAsia" w:ascii="宋体" w:hAnsi="宋体"/>
                <w:color w:val="auto"/>
                <w:sz w:val="21"/>
                <w:szCs w:val="21"/>
                <w:highlight w:val="none"/>
              </w:rPr>
              <w:t>第</w:t>
            </w:r>
            <w:r>
              <w:rPr>
                <w:rFonts w:hint="eastAsia" w:ascii="宋体" w:hAnsi="宋体"/>
                <w:color w:val="auto"/>
                <w:sz w:val="21"/>
                <w:szCs w:val="21"/>
                <w:highlight w:val="none"/>
                <w:lang w:val="en-US" w:eastAsia="zh-CN"/>
              </w:rPr>
              <w:t>八</w:t>
            </w:r>
            <w:r>
              <w:rPr>
                <w:rFonts w:hint="eastAsia" w:ascii="宋体" w:hAnsi="宋体"/>
                <w:color w:val="auto"/>
                <w:sz w:val="21"/>
                <w:szCs w:val="21"/>
                <w:highlight w:val="none"/>
              </w:rPr>
              <w:t>章</w:t>
            </w:r>
            <w:r>
              <w:rPr>
                <w:rFonts w:hint="eastAsia" w:ascii="宋体" w:hAnsi="宋体"/>
                <w:color w:val="auto"/>
                <w:kern w:val="2"/>
                <w:sz w:val="21"/>
                <w:szCs w:val="21"/>
                <w:highlight w:val="none"/>
                <w:lang w:val="en-US" w:eastAsia="zh-CN" w:bidi="ar-SA"/>
              </w:rPr>
              <w:t>投标函格式承诺即可，中标</w:t>
            </w:r>
            <w:r>
              <w:rPr>
                <w:rFonts w:hint="eastAsia" w:ascii="宋体" w:hAnsi="宋体"/>
                <w:color w:val="auto"/>
                <w:kern w:val="2"/>
                <w:sz w:val="21"/>
                <w:szCs w:val="21"/>
                <w:lang w:val="en-US" w:eastAsia="zh-CN" w:bidi="ar-SA"/>
              </w:rPr>
              <w:t>人在进场前向招标人提交实际投入的人员。</w:t>
            </w:r>
          </w:p>
          <w:p>
            <w:pPr>
              <w:pStyle w:val="4"/>
              <w:spacing w:line="276" w:lineRule="auto"/>
              <w:jc w:val="left"/>
              <w:rPr>
                <w:rFonts w:hint="eastAsia" w:ascii="宋体" w:hAnsi="宋体"/>
                <w:color w:val="auto"/>
                <w:kern w:val="2"/>
                <w:sz w:val="21"/>
                <w:szCs w:val="21"/>
                <w:lang w:val="en-US" w:eastAsia="zh-CN" w:bidi="ar-SA"/>
              </w:rPr>
            </w:pPr>
            <w:r>
              <w:rPr>
                <w:rFonts w:hint="eastAsia" w:ascii="宋体" w:hAnsi="宋体"/>
                <w:color w:val="auto"/>
                <w:kern w:val="2"/>
                <w:sz w:val="21"/>
                <w:szCs w:val="21"/>
                <w:lang w:val="en-US" w:eastAsia="zh-CN" w:bidi="ar-SA"/>
              </w:rPr>
              <w:t>2.本表为招标人最低要求，如投标人中标，招标人将据此表检查进场人员。招标人有权根据项目的工程特点、工程量及工程进度要求增加相应的人员，由此不存在索赔问题。</w:t>
            </w:r>
          </w:p>
          <w:p>
            <w:pPr>
              <w:pStyle w:val="4"/>
              <w:spacing w:line="276" w:lineRule="auto"/>
              <w:jc w:val="left"/>
              <w:rPr>
                <w:rFonts w:hint="eastAsia" w:ascii="宋体" w:hAnsi="宋体"/>
                <w:color w:val="auto"/>
                <w:kern w:val="2"/>
                <w:sz w:val="21"/>
                <w:szCs w:val="21"/>
                <w:lang w:val="en-US" w:eastAsia="zh-CN" w:bidi="ar-SA"/>
              </w:rPr>
            </w:pPr>
            <w:r>
              <w:rPr>
                <w:rFonts w:hint="eastAsia" w:ascii="宋体" w:hAnsi="宋体"/>
                <w:color w:val="auto"/>
                <w:kern w:val="2"/>
                <w:sz w:val="21"/>
                <w:szCs w:val="21"/>
                <w:lang w:val="en-US" w:eastAsia="zh-CN" w:bidi="ar-SA"/>
              </w:rPr>
              <w:t>3.投标人中标后专职安全生产管理人员的配备应按照交通运输部《公路水运工程安全生产监督管理办法(交通运输部令2017年第25号)的要求执行。招标人可根据项目的工期和进度，按规定设置最低的专职安全生产管理人员数量要求</w:t>
            </w:r>
          </w:p>
          <w:p>
            <w:pPr>
              <w:adjustRightInd w:val="0"/>
              <w:snapToGrid w:val="0"/>
              <w:spacing w:line="360" w:lineRule="exact"/>
              <w:jc w:val="left"/>
              <w:rPr>
                <w:rFonts w:hint="eastAsia" w:ascii="宋体" w:hAnsi="宋体"/>
                <w:color w:val="auto"/>
                <w:szCs w:val="21"/>
                <w:highlight w:val="none"/>
              </w:rPr>
            </w:pPr>
          </w:p>
        </w:tc>
      </w:tr>
    </w:tbl>
    <w:p>
      <w:pPr>
        <w:pStyle w:val="5"/>
        <w:spacing w:before="240" w:beforeLines="100" w:after="240" w:afterLines="100"/>
        <w:jc w:val="both"/>
        <w:rPr>
          <w:rFonts w:hint="eastAsia" w:ascii="黑体" w:hAnsi="黑体" w:eastAsia="黑体"/>
          <w:b/>
          <w:color w:val="auto"/>
          <w:sz w:val="28"/>
          <w:szCs w:val="28"/>
          <w:highlight w:val="none"/>
        </w:rPr>
      </w:pPr>
      <w:bookmarkStart w:id="3" w:name="_GoBack"/>
      <w:bookmarkEnd w:id="3"/>
    </w:p>
    <w:p>
      <w:pPr>
        <w:pStyle w:val="5"/>
        <w:spacing w:before="240" w:beforeLines="100" w:after="240" w:afterLines="100"/>
        <w:jc w:val="both"/>
        <w:rPr>
          <w:rFonts w:hint="eastAsia" w:ascii="黑体" w:hAnsi="黑体" w:eastAsia="黑体"/>
          <w:b/>
          <w:color w:val="auto"/>
          <w:sz w:val="28"/>
          <w:szCs w:val="28"/>
          <w:highlight w:val="none"/>
        </w:rPr>
      </w:pPr>
    </w:p>
    <w:p>
      <w:pPr>
        <w:pStyle w:val="3"/>
        <w:spacing w:before="62" w:line="276" w:lineRule="auto"/>
        <w:ind w:left="-6" w:leftChars="-3" w:firstLine="2" w:firstLineChars="1"/>
        <w:jc w:val="center"/>
        <w:rPr>
          <w:rFonts w:ascii="宋体" w:hAnsi="宋体"/>
          <w:b/>
          <w:bCs/>
          <w:color w:val="auto"/>
          <w:kern w:val="2"/>
          <w:sz w:val="28"/>
          <w:szCs w:val="28"/>
          <w:highlight w:val="none"/>
          <w:lang w:val="en-US" w:eastAsia="zh-CN" w:bidi="ar-SA"/>
        </w:rPr>
      </w:pPr>
      <w:r>
        <w:rPr>
          <w:rFonts w:ascii="宋体" w:hAnsi="宋体"/>
          <w:b/>
          <w:bCs/>
          <w:color w:val="auto"/>
          <w:kern w:val="2"/>
          <w:sz w:val="28"/>
          <w:szCs w:val="28"/>
          <w:highlight w:val="none"/>
          <w:lang w:val="en-US" w:eastAsia="zh-CN" w:bidi="ar-SA"/>
        </w:rPr>
        <w:t>附录7  资格审查条件（主要设备最低要求）</w:t>
      </w:r>
    </w:p>
    <w:p>
      <w:pPr>
        <w:pStyle w:val="4"/>
        <w:spacing w:before="7" w:line="276" w:lineRule="auto"/>
        <w:rPr>
          <w:rFonts w:ascii="宋体" w:hAnsi="宋体"/>
          <w:color w:val="auto"/>
          <w:sz w:val="14"/>
        </w:rPr>
      </w:pPr>
    </w:p>
    <w:tbl>
      <w:tblPr>
        <w:tblStyle w:val="9"/>
        <w:tblW w:w="8332" w:type="dxa"/>
        <w:jc w:val="center"/>
        <w:tblInd w:w="-3139" w:type="dxa"/>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Layout w:type="fixed"/>
        <w:tblCellMar>
          <w:top w:w="0" w:type="dxa"/>
          <w:left w:w="0" w:type="dxa"/>
          <w:bottom w:w="0" w:type="dxa"/>
          <w:right w:w="0" w:type="dxa"/>
        </w:tblCellMar>
      </w:tblPr>
      <w:tblGrid>
        <w:gridCol w:w="5256"/>
        <w:gridCol w:w="987"/>
        <w:gridCol w:w="2089"/>
      </w:tblGrid>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Layout w:type="fixed"/>
          <w:tblCellMar>
            <w:top w:w="0" w:type="dxa"/>
            <w:left w:w="0" w:type="dxa"/>
            <w:bottom w:w="0" w:type="dxa"/>
            <w:right w:w="0" w:type="dxa"/>
          </w:tblCellMar>
        </w:tblPrEx>
        <w:trPr>
          <w:trHeight w:val="283" w:hRule="atLeast"/>
          <w:jc w:val="center"/>
        </w:trPr>
        <w:tc>
          <w:tcPr>
            <w:tcW w:w="5256" w:type="dxa"/>
            <w:vAlign w:val="center"/>
          </w:tcPr>
          <w:p>
            <w:pPr>
              <w:pStyle w:val="10"/>
              <w:spacing w:line="360" w:lineRule="auto"/>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高压电缆检测装置</w:t>
            </w:r>
          </w:p>
        </w:tc>
        <w:tc>
          <w:tcPr>
            <w:tcW w:w="987" w:type="dxa"/>
            <w:vAlign w:val="center"/>
          </w:tcPr>
          <w:p>
            <w:pPr>
              <w:pStyle w:val="10"/>
              <w:spacing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套</w:t>
            </w:r>
          </w:p>
        </w:tc>
        <w:tc>
          <w:tcPr>
            <w:tcW w:w="2089" w:type="dxa"/>
            <w:vAlign w:val="center"/>
          </w:tcPr>
          <w:p>
            <w:pPr>
              <w:pStyle w:val="10"/>
              <w:spacing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Layout w:type="fixed"/>
          <w:tblCellMar>
            <w:top w:w="0" w:type="dxa"/>
            <w:left w:w="0" w:type="dxa"/>
            <w:bottom w:w="0" w:type="dxa"/>
            <w:right w:w="0" w:type="dxa"/>
          </w:tblCellMar>
        </w:tblPrEx>
        <w:trPr>
          <w:trHeight w:val="283" w:hRule="atLeast"/>
          <w:jc w:val="center"/>
        </w:trPr>
        <w:tc>
          <w:tcPr>
            <w:tcW w:w="5256" w:type="dxa"/>
            <w:vAlign w:val="center"/>
          </w:tcPr>
          <w:p>
            <w:pPr>
              <w:pStyle w:val="10"/>
              <w:spacing w:line="360" w:lineRule="auto"/>
              <w:jc w:val="center"/>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接地电阻测试仪</w:t>
            </w:r>
          </w:p>
        </w:tc>
        <w:tc>
          <w:tcPr>
            <w:tcW w:w="987" w:type="dxa"/>
            <w:vAlign w:val="center"/>
          </w:tcPr>
          <w:p>
            <w:pPr>
              <w:pStyle w:val="10"/>
              <w:spacing w:line="360" w:lineRule="auto"/>
              <w:jc w:val="center"/>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台</w:t>
            </w:r>
          </w:p>
        </w:tc>
        <w:tc>
          <w:tcPr>
            <w:tcW w:w="2089" w:type="dxa"/>
            <w:vAlign w:val="center"/>
          </w:tcPr>
          <w:p>
            <w:pPr>
              <w:pStyle w:val="10"/>
              <w:spacing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Layout w:type="fixed"/>
          <w:tblCellMar>
            <w:top w:w="0" w:type="dxa"/>
            <w:left w:w="0" w:type="dxa"/>
            <w:bottom w:w="0" w:type="dxa"/>
            <w:right w:w="0" w:type="dxa"/>
          </w:tblCellMar>
        </w:tblPrEx>
        <w:trPr>
          <w:trHeight w:val="283" w:hRule="atLeast"/>
          <w:jc w:val="center"/>
        </w:trPr>
        <w:tc>
          <w:tcPr>
            <w:tcW w:w="5256" w:type="dxa"/>
            <w:vAlign w:val="center"/>
          </w:tcPr>
          <w:p>
            <w:pPr>
              <w:pStyle w:val="10"/>
              <w:spacing w:line="360" w:lineRule="auto"/>
              <w:jc w:val="center"/>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吊车</w:t>
            </w:r>
          </w:p>
        </w:tc>
        <w:tc>
          <w:tcPr>
            <w:tcW w:w="987" w:type="dxa"/>
            <w:vAlign w:val="center"/>
          </w:tcPr>
          <w:p>
            <w:pPr>
              <w:pStyle w:val="10"/>
              <w:spacing w:line="360" w:lineRule="auto"/>
              <w:jc w:val="center"/>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辆</w:t>
            </w:r>
          </w:p>
        </w:tc>
        <w:tc>
          <w:tcPr>
            <w:tcW w:w="2089" w:type="dxa"/>
            <w:vAlign w:val="center"/>
          </w:tcPr>
          <w:p>
            <w:pPr>
              <w:pStyle w:val="10"/>
              <w:spacing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Layout w:type="fixed"/>
          <w:tblCellMar>
            <w:top w:w="0" w:type="dxa"/>
            <w:left w:w="0" w:type="dxa"/>
            <w:bottom w:w="0" w:type="dxa"/>
            <w:right w:w="0" w:type="dxa"/>
          </w:tblCellMar>
        </w:tblPrEx>
        <w:trPr>
          <w:trHeight w:val="283" w:hRule="atLeast"/>
          <w:jc w:val="center"/>
        </w:trPr>
        <w:tc>
          <w:tcPr>
            <w:tcW w:w="5256" w:type="dxa"/>
            <w:vAlign w:val="center"/>
          </w:tcPr>
          <w:p>
            <w:pPr>
              <w:pStyle w:val="10"/>
              <w:spacing w:line="360" w:lineRule="auto"/>
              <w:jc w:val="center"/>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切割机</w:t>
            </w:r>
          </w:p>
        </w:tc>
        <w:tc>
          <w:tcPr>
            <w:tcW w:w="987" w:type="dxa"/>
            <w:vAlign w:val="center"/>
          </w:tcPr>
          <w:p>
            <w:pPr>
              <w:pStyle w:val="10"/>
              <w:spacing w:line="360" w:lineRule="auto"/>
              <w:jc w:val="center"/>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套</w:t>
            </w:r>
          </w:p>
        </w:tc>
        <w:tc>
          <w:tcPr>
            <w:tcW w:w="2089" w:type="dxa"/>
            <w:vAlign w:val="center"/>
          </w:tcPr>
          <w:p>
            <w:pPr>
              <w:pStyle w:val="10"/>
              <w:spacing w:line="360" w:lineRule="auto"/>
              <w:jc w:val="center"/>
              <w:rPr>
                <w:rFonts w:hint="default"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5</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Layout w:type="fixed"/>
          <w:tblCellMar>
            <w:top w:w="0" w:type="dxa"/>
            <w:left w:w="0" w:type="dxa"/>
            <w:bottom w:w="0" w:type="dxa"/>
            <w:right w:w="0" w:type="dxa"/>
          </w:tblCellMar>
        </w:tblPrEx>
        <w:trPr>
          <w:trHeight w:val="283" w:hRule="atLeast"/>
          <w:jc w:val="center"/>
        </w:trPr>
        <w:tc>
          <w:tcPr>
            <w:tcW w:w="5256" w:type="dxa"/>
            <w:vAlign w:val="center"/>
          </w:tcPr>
          <w:p>
            <w:pPr>
              <w:pStyle w:val="10"/>
              <w:spacing w:line="360" w:lineRule="auto"/>
              <w:jc w:val="center"/>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电焊机</w:t>
            </w:r>
          </w:p>
        </w:tc>
        <w:tc>
          <w:tcPr>
            <w:tcW w:w="987" w:type="dxa"/>
            <w:vAlign w:val="center"/>
          </w:tcPr>
          <w:p>
            <w:pPr>
              <w:pStyle w:val="10"/>
              <w:spacing w:line="360" w:lineRule="auto"/>
              <w:jc w:val="center"/>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台</w:t>
            </w:r>
          </w:p>
        </w:tc>
        <w:tc>
          <w:tcPr>
            <w:tcW w:w="2089" w:type="dxa"/>
            <w:vAlign w:val="center"/>
          </w:tcPr>
          <w:p>
            <w:pPr>
              <w:pStyle w:val="10"/>
              <w:spacing w:line="360" w:lineRule="auto"/>
              <w:jc w:val="center"/>
              <w:rPr>
                <w:rFonts w:hint="default"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5</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Layout w:type="fixed"/>
          <w:tblCellMar>
            <w:top w:w="0" w:type="dxa"/>
            <w:left w:w="0" w:type="dxa"/>
            <w:bottom w:w="0" w:type="dxa"/>
            <w:right w:w="0" w:type="dxa"/>
          </w:tblCellMar>
        </w:tblPrEx>
        <w:trPr>
          <w:trHeight w:val="283" w:hRule="atLeast"/>
          <w:jc w:val="center"/>
        </w:trPr>
        <w:tc>
          <w:tcPr>
            <w:tcW w:w="5256" w:type="dxa"/>
            <w:vAlign w:val="center"/>
          </w:tcPr>
          <w:p>
            <w:pPr>
              <w:pStyle w:val="10"/>
              <w:spacing w:line="360" w:lineRule="auto"/>
              <w:jc w:val="center"/>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柴油发电机</w:t>
            </w:r>
          </w:p>
        </w:tc>
        <w:tc>
          <w:tcPr>
            <w:tcW w:w="987" w:type="dxa"/>
            <w:vAlign w:val="center"/>
          </w:tcPr>
          <w:p>
            <w:pPr>
              <w:pStyle w:val="10"/>
              <w:spacing w:line="360" w:lineRule="auto"/>
              <w:jc w:val="center"/>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台</w:t>
            </w:r>
          </w:p>
        </w:tc>
        <w:tc>
          <w:tcPr>
            <w:tcW w:w="2089" w:type="dxa"/>
            <w:vAlign w:val="center"/>
          </w:tcPr>
          <w:p>
            <w:pPr>
              <w:pStyle w:val="10"/>
              <w:spacing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Layout w:type="fixed"/>
          <w:tblCellMar>
            <w:top w:w="0" w:type="dxa"/>
            <w:left w:w="0" w:type="dxa"/>
            <w:bottom w:w="0" w:type="dxa"/>
            <w:right w:w="0" w:type="dxa"/>
          </w:tblCellMar>
        </w:tblPrEx>
        <w:trPr>
          <w:trHeight w:val="283" w:hRule="atLeast"/>
          <w:jc w:val="center"/>
        </w:trPr>
        <w:tc>
          <w:tcPr>
            <w:tcW w:w="5256" w:type="dxa"/>
            <w:vAlign w:val="center"/>
          </w:tcPr>
          <w:p>
            <w:pPr>
              <w:pStyle w:val="10"/>
              <w:spacing w:line="360" w:lineRule="auto"/>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高压检测设备</w:t>
            </w:r>
          </w:p>
        </w:tc>
        <w:tc>
          <w:tcPr>
            <w:tcW w:w="987" w:type="dxa"/>
            <w:vAlign w:val="center"/>
          </w:tcPr>
          <w:p>
            <w:pPr>
              <w:pStyle w:val="10"/>
              <w:spacing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套</w:t>
            </w:r>
          </w:p>
        </w:tc>
        <w:tc>
          <w:tcPr>
            <w:tcW w:w="2089" w:type="dxa"/>
            <w:vAlign w:val="center"/>
          </w:tcPr>
          <w:p>
            <w:pPr>
              <w:pStyle w:val="10"/>
              <w:spacing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Layout w:type="fixed"/>
          <w:tblCellMar>
            <w:top w:w="0" w:type="dxa"/>
            <w:left w:w="0" w:type="dxa"/>
            <w:bottom w:w="0" w:type="dxa"/>
            <w:right w:w="0" w:type="dxa"/>
          </w:tblCellMar>
        </w:tblPrEx>
        <w:trPr>
          <w:trHeight w:val="283" w:hRule="atLeast"/>
          <w:jc w:val="center"/>
        </w:trPr>
        <w:tc>
          <w:tcPr>
            <w:tcW w:w="5256" w:type="dxa"/>
            <w:vAlign w:val="center"/>
          </w:tcPr>
          <w:p>
            <w:pPr>
              <w:pStyle w:val="10"/>
              <w:spacing w:line="360" w:lineRule="auto"/>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防撞车</w:t>
            </w:r>
          </w:p>
        </w:tc>
        <w:tc>
          <w:tcPr>
            <w:tcW w:w="987" w:type="dxa"/>
            <w:vAlign w:val="center"/>
          </w:tcPr>
          <w:p>
            <w:pPr>
              <w:pStyle w:val="10"/>
              <w:spacing w:line="360" w:lineRule="auto"/>
              <w:jc w:val="center"/>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台</w:t>
            </w:r>
          </w:p>
        </w:tc>
        <w:tc>
          <w:tcPr>
            <w:tcW w:w="2089" w:type="dxa"/>
            <w:vAlign w:val="center"/>
          </w:tcPr>
          <w:p>
            <w:pPr>
              <w:pStyle w:val="10"/>
              <w:spacing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Layout w:type="fixed"/>
          <w:tblCellMar>
            <w:top w:w="0" w:type="dxa"/>
            <w:left w:w="0" w:type="dxa"/>
            <w:bottom w:w="0" w:type="dxa"/>
            <w:right w:w="0" w:type="dxa"/>
          </w:tblCellMar>
        </w:tblPrEx>
        <w:trPr>
          <w:trHeight w:val="283" w:hRule="atLeast"/>
          <w:jc w:val="center"/>
        </w:trPr>
        <w:tc>
          <w:tcPr>
            <w:tcW w:w="5256" w:type="dxa"/>
            <w:vAlign w:val="center"/>
          </w:tcPr>
          <w:p>
            <w:pPr>
              <w:pStyle w:val="10"/>
              <w:spacing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高空作业车</w:t>
            </w:r>
          </w:p>
        </w:tc>
        <w:tc>
          <w:tcPr>
            <w:tcW w:w="987" w:type="dxa"/>
            <w:vAlign w:val="center"/>
          </w:tcPr>
          <w:p>
            <w:pPr>
              <w:pStyle w:val="10"/>
              <w:spacing w:line="360" w:lineRule="auto"/>
              <w:jc w:val="center"/>
              <w:rPr>
                <w:rFonts w:ascii="宋体" w:hAnsi="宋体" w:eastAsia="宋体" w:cs="Times New Roman"/>
                <w:b/>
                <w:bCs/>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台</w:t>
            </w:r>
          </w:p>
        </w:tc>
        <w:tc>
          <w:tcPr>
            <w:tcW w:w="2089" w:type="dxa"/>
            <w:vAlign w:val="center"/>
          </w:tcPr>
          <w:p>
            <w:pPr>
              <w:pStyle w:val="10"/>
              <w:spacing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Layout w:type="fixed"/>
          <w:tblCellMar>
            <w:top w:w="0" w:type="dxa"/>
            <w:left w:w="0" w:type="dxa"/>
            <w:bottom w:w="0" w:type="dxa"/>
            <w:right w:w="0" w:type="dxa"/>
          </w:tblCellMar>
        </w:tblPrEx>
        <w:trPr>
          <w:trHeight w:val="283" w:hRule="atLeast"/>
          <w:jc w:val="center"/>
        </w:trPr>
        <w:tc>
          <w:tcPr>
            <w:tcW w:w="5256" w:type="dxa"/>
            <w:vAlign w:val="center"/>
          </w:tcPr>
          <w:p>
            <w:pPr>
              <w:pStyle w:val="10"/>
              <w:spacing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养护车辆7台</w:t>
            </w:r>
          </w:p>
        </w:tc>
        <w:tc>
          <w:tcPr>
            <w:tcW w:w="987" w:type="dxa"/>
            <w:vAlign w:val="center"/>
          </w:tcPr>
          <w:p>
            <w:pPr>
              <w:pStyle w:val="10"/>
              <w:spacing w:line="360" w:lineRule="auto"/>
              <w:jc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台</w:t>
            </w:r>
          </w:p>
        </w:tc>
        <w:tc>
          <w:tcPr>
            <w:tcW w:w="2089" w:type="dxa"/>
            <w:vAlign w:val="center"/>
          </w:tcPr>
          <w:p>
            <w:pPr>
              <w:pStyle w:val="10"/>
              <w:spacing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7</w:t>
            </w:r>
          </w:p>
        </w:tc>
      </w:tr>
    </w:tbl>
    <w:p>
      <w:pPr>
        <w:pStyle w:val="4"/>
        <w:spacing w:line="276" w:lineRule="auto"/>
        <w:rPr>
          <w:rFonts w:ascii="宋体" w:hAnsi="宋体"/>
          <w:color w:val="auto"/>
          <w:sz w:val="21"/>
          <w:szCs w:val="21"/>
          <w:highlight w:val="none"/>
        </w:rPr>
      </w:pPr>
    </w:p>
    <w:p>
      <w:pPr>
        <w:pStyle w:val="4"/>
        <w:spacing w:line="276" w:lineRule="auto"/>
        <w:rPr>
          <w:rFonts w:hint="eastAsia" w:ascii="宋体" w:hAnsi="宋体"/>
          <w:color w:val="auto"/>
          <w:sz w:val="21"/>
          <w:szCs w:val="21"/>
          <w:highlight w:val="none"/>
        </w:rPr>
      </w:pPr>
      <w:r>
        <w:rPr>
          <w:rFonts w:hint="eastAsia" w:ascii="宋体" w:hAnsi="宋体"/>
          <w:color w:val="auto"/>
          <w:sz w:val="21"/>
          <w:szCs w:val="21"/>
          <w:highlight w:val="none"/>
        </w:rPr>
        <w:t>注：</w:t>
      </w:r>
    </w:p>
    <w:p>
      <w:pPr>
        <w:pStyle w:val="4"/>
        <w:spacing w:line="276" w:lineRule="auto"/>
        <w:rPr>
          <w:rFonts w:hint="eastAsia" w:ascii="宋体" w:hAnsi="宋体"/>
          <w:color w:val="auto"/>
          <w:sz w:val="21"/>
          <w:szCs w:val="21"/>
        </w:rPr>
      </w:pPr>
      <w:r>
        <w:rPr>
          <w:rFonts w:hint="eastAsia" w:ascii="宋体" w:hAnsi="宋体"/>
          <w:color w:val="auto"/>
          <w:sz w:val="21"/>
          <w:szCs w:val="21"/>
          <w:highlight w:val="none"/>
        </w:rPr>
        <w:t>1.附录 7要求的设备只须按招标文件第</w:t>
      </w:r>
      <w:r>
        <w:rPr>
          <w:rFonts w:hint="eastAsia" w:ascii="宋体" w:hAnsi="宋体"/>
          <w:color w:val="auto"/>
          <w:sz w:val="21"/>
          <w:szCs w:val="21"/>
          <w:highlight w:val="none"/>
          <w:lang w:val="en-US" w:eastAsia="zh-CN"/>
        </w:rPr>
        <w:t>八</w:t>
      </w:r>
      <w:r>
        <w:rPr>
          <w:rFonts w:hint="eastAsia" w:ascii="宋体" w:hAnsi="宋体"/>
          <w:color w:val="auto"/>
          <w:sz w:val="21"/>
          <w:szCs w:val="21"/>
          <w:highlight w:val="none"/>
        </w:rPr>
        <w:t>章投标文件格式</w:t>
      </w:r>
      <w:r>
        <w:rPr>
          <w:rFonts w:hint="eastAsia" w:ascii="宋体" w:hAnsi="宋体"/>
          <w:color w:val="auto"/>
          <w:sz w:val="21"/>
          <w:szCs w:val="21"/>
        </w:rPr>
        <w:t>提供投标函承诺即可。</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topLinePunct/>
        <w:spacing w:line="440" w:lineRule="exact"/>
        <w:ind w:right="31" w:rightChars="15"/>
        <w:jc w:val="center"/>
        <w:rPr>
          <w:rFonts w:ascii="宋体" w:hAnsi="宋体"/>
          <w:color w:val="auto"/>
          <w:sz w:val="36"/>
          <w:szCs w:val="36"/>
          <w:highlight w:val="none"/>
        </w:rPr>
      </w:pPr>
      <w:r>
        <w:rPr>
          <w:rFonts w:ascii="宋体" w:hAnsi="宋体"/>
          <w:color w:val="auto"/>
          <w:sz w:val="36"/>
          <w:szCs w:val="36"/>
          <w:highlight w:val="none"/>
        </w:rPr>
        <w:t>评标办法</w:t>
      </w:r>
    </w:p>
    <w:p>
      <w:pPr>
        <w:spacing w:line="440" w:lineRule="exact"/>
        <w:ind w:firstLine="720" w:firstLineChars="200"/>
        <w:jc w:val="center"/>
        <w:rPr>
          <w:rFonts w:hint="eastAsia" w:eastAsia="黑体"/>
          <w:color w:val="auto"/>
          <w:sz w:val="30"/>
          <w:szCs w:val="30"/>
          <w:highlight w:val="none"/>
        </w:rPr>
      </w:pPr>
      <w:r>
        <w:rPr>
          <w:rFonts w:ascii="宋体" w:hAnsi="宋体"/>
          <w:color w:val="auto"/>
          <w:sz w:val="36"/>
          <w:szCs w:val="36"/>
          <w:highlight w:val="none"/>
        </w:rPr>
        <w:br w:type="page"/>
      </w:r>
      <w:r>
        <w:rPr>
          <w:rFonts w:eastAsia="黑体"/>
          <w:color w:val="auto"/>
          <w:sz w:val="30"/>
          <w:szCs w:val="30"/>
          <w:highlight w:val="none"/>
        </w:rPr>
        <w:t>第三章  评标办法(</w:t>
      </w:r>
      <w:r>
        <w:rPr>
          <w:rFonts w:hint="eastAsia" w:eastAsia="黑体"/>
          <w:color w:val="auto"/>
          <w:sz w:val="30"/>
          <w:szCs w:val="30"/>
          <w:highlight w:val="none"/>
        </w:rPr>
        <w:t>双信封的综合评分法</w:t>
      </w:r>
      <w:r>
        <w:rPr>
          <w:rFonts w:eastAsia="黑体"/>
          <w:color w:val="auto"/>
          <w:sz w:val="30"/>
          <w:szCs w:val="30"/>
          <w:highlight w:val="none"/>
        </w:rPr>
        <w:t>)</w:t>
      </w:r>
    </w:p>
    <w:p>
      <w:pPr>
        <w:spacing w:line="440" w:lineRule="exact"/>
        <w:jc w:val="center"/>
        <w:rPr>
          <w:rFonts w:hint="eastAsia" w:eastAsia="黑体"/>
          <w:color w:val="auto"/>
          <w:sz w:val="32"/>
          <w:szCs w:val="32"/>
          <w:highlight w:val="none"/>
        </w:rPr>
      </w:pPr>
      <w:r>
        <w:rPr>
          <w:rFonts w:eastAsia="黑体"/>
          <w:color w:val="auto"/>
          <w:sz w:val="32"/>
          <w:szCs w:val="32"/>
          <w:highlight w:val="none"/>
        </w:rPr>
        <w:t>评标办法前附表</w:t>
      </w:r>
    </w:p>
    <w:tbl>
      <w:tblPr>
        <w:tblStyle w:val="9"/>
        <w:tblW w:w="946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1"/>
        <w:gridCol w:w="974"/>
        <w:gridCol w:w="77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8" w:hRule="atLeast"/>
          <w:tblHeader/>
          <w:jc w:val="center"/>
        </w:trPr>
        <w:tc>
          <w:tcPr>
            <w:tcW w:w="1715" w:type="dxa"/>
            <w:gridSpan w:val="2"/>
            <w:tcBorders>
              <w:top w:val="single" w:color="auto" w:sz="4" w:space="0"/>
              <w:bottom w:val="single" w:color="auto" w:sz="4" w:space="0"/>
              <w:right w:val="single" w:color="auto" w:sz="4" w:space="0"/>
            </w:tcBorders>
            <w:vAlign w:val="center"/>
          </w:tcPr>
          <w:p>
            <w:pPr>
              <w:spacing w:line="360" w:lineRule="exact"/>
              <w:jc w:val="center"/>
              <w:rPr>
                <w:rFonts w:ascii="宋体" w:hAnsi="宋体"/>
                <w:b/>
                <w:color w:val="auto"/>
                <w:szCs w:val="21"/>
                <w:highlight w:val="none"/>
              </w:rPr>
            </w:pPr>
            <w:r>
              <w:rPr>
                <w:rFonts w:ascii="宋体" w:hAnsi="宋体"/>
                <w:b/>
                <w:color w:val="auto"/>
                <w:szCs w:val="21"/>
                <w:highlight w:val="none"/>
              </w:rPr>
              <w:t>条款号</w:t>
            </w:r>
          </w:p>
        </w:tc>
        <w:tc>
          <w:tcPr>
            <w:tcW w:w="77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color w:val="auto"/>
                <w:szCs w:val="21"/>
                <w:highlight w:val="none"/>
              </w:rPr>
            </w:pPr>
            <w:r>
              <w:rPr>
                <w:rFonts w:ascii="宋体" w:hAnsi="宋体"/>
                <w:b/>
                <w:color w:val="auto"/>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9" w:hRule="atLeast"/>
          <w:jc w:val="center"/>
        </w:trPr>
        <w:tc>
          <w:tcPr>
            <w:tcW w:w="741" w:type="dxa"/>
            <w:tcBorders>
              <w:top w:val="single" w:color="auto" w:sz="4" w:space="0"/>
              <w:bottom w:val="single" w:color="auto" w:sz="4" w:space="0"/>
              <w:right w:val="single" w:color="auto" w:sz="4" w:space="0"/>
            </w:tcBorders>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974" w:type="dxa"/>
            <w:tcBorders>
              <w:top w:val="single" w:color="auto" w:sz="4" w:space="0"/>
              <w:bottom w:val="single" w:color="auto" w:sz="4" w:space="0"/>
              <w:right w:val="single" w:color="auto" w:sz="4" w:space="0"/>
            </w:tcBorders>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评标办法</w:t>
            </w:r>
          </w:p>
        </w:tc>
        <w:tc>
          <w:tcPr>
            <w:tcW w:w="7746" w:type="dxa"/>
            <w:tcBorders>
              <w:top w:val="single" w:color="auto" w:sz="4" w:space="0"/>
              <w:left w:val="single" w:color="auto" w:sz="4" w:space="0"/>
              <w:right w:val="single" w:color="auto" w:sz="4" w:space="0"/>
            </w:tcBorders>
            <w:vAlign w:val="center"/>
          </w:tcPr>
          <w:p>
            <w:pPr>
              <w:pStyle w:val="5"/>
              <w:adjustRightInd w:val="0"/>
              <w:snapToGrid w:val="0"/>
              <w:spacing w:line="360" w:lineRule="exact"/>
              <w:rPr>
                <w:rFonts w:hint="eastAsia" w:hAnsi="宋体"/>
                <w:color w:val="auto"/>
                <w:szCs w:val="21"/>
                <w:highlight w:val="none"/>
              </w:rPr>
            </w:pPr>
            <w:r>
              <w:rPr>
                <w:rFonts w:hint="eastAsia" w:hAnsi="宋体"/>
                <w:color w:val="auto"/>
                <w:szCs w:val="21"/>
                <w:highlight w:val="none"/>
              </w:rPr>
              <w:t>综合评分相等时，评标委员会依次按照以下优先顺序推荐中标候选人：</w:t>
            </w:r>
          </w:p>
          <w:p>
            <w:pPr>
              <w:pStyle w:val="5"/>
              <w:adjustRightInd w:val="0"/>
              <w:snapToGrid w:val="0"/>
              <w:spacing w:line="360" w:lineRule="exact"/>
              <w:ind w:firstLine="315" w:firstLineChars="150"/>
              <w:rPr>
                <w:rFonts w:hint="eastAsia" w:hAnsi="宋体"/>
                <w:color w:val="auto"/>
                <w:szCs w:val="21"/>
                <w:highlight w:val="none"/>
              </w:rPr>
            </w:pPr>
            <w:r>
              <w:rPr>
                <w:rFonts w:hint="eastAsia" w:hAnsi="宋体"/>
                <w:color w:val="auto"/>
                <w:szCs w:val="21"/>
                <w:highlight w:val="none"/>
              </w:rPr>
              <w:t>（1）评标价低的优先，当一家以上投标人综合得分相等且评标价也相等时，若各投标人工程量清单细目单价也相同，视为串标（一个合同段仅一工作细目报价的除外），应否决其投标；</w:t>
            </w:r>
          </w:p>
          <w:p>
            <w:pPr>
              <w:pStyle w:val="5"/>
              <w:adjustRightInd w:val="0"/>
              <w:snapToGrid w:val="0"/>
              <w:spacing w:line="360" w:lineRule="exact"/>
              <w:ind w:firstLine="315" w:firstLineChars="150"/>
              <w:rPr>
                <w:rFonts w:hint="eastAsia" w:hAnsi="宋体"/>
                <w:color w:val="auto"/>
                <w:szCs w:val="21"/>
                <w:highlight w:val="none"/>
              </w:rPr>
            </w:pPr>
            <w:r>
              <w:rPr>
                <w:rFonts w:hint="eastAsia" w:hAnsi="宋体"/>
                <w:color w:val="auto"/>
                <w:szCs w:val="21"/>
                <w:highlight w:val="none"/>
              </w:rPr>
              <w:t>（2）以投标人商务及技术文件得分较高的优先；</w:t>
            </w:r>
          </w:p>
          <w:p>
            <w:pPr>
              <w:pStyle w:val="5"/>
              <w:adjustRightInd w:val="0"/>
              <w:snapToGrid w:val="0"/>
              <w:spacing w:line="360" w:lineRule="exact"/>
              <w:ind w:firstLine="315" w:firstLineChars="150"/>
              <w:rPr>
                <w:rFonts w:hint="eastAsia" w:ascii="宋体" w:hAnsi="宋体"/>
                <w:color w:val="auto"/>
                <w:szCs w:val="21"/>
                <w:highlight w:val="none"/>
              </w:rPr>
            </w:pPr>
            <w:r>
              <w:rPr>
                <w:rFonts w:hint="eastAsia" w:hAnsi="宋体"/>
                <w:color w:val="auto"/>
                <w:szCs w:val="21"/>
                <w:highlight w:val="none"/>
              </w:rPr>
              <w:t>（3）由</w:t>
            </w:r>
            <w:r>
              <w:rPr>
                <w:rFonts w:hint="eastAsia" w:ascii="宋体" w:hAnsi="宋体"/>
                <w:color w:val="auto"/>
                <w:szCs w:val="21"/>
                <w:highlight w:val="none"/>
              </w:rPr>
              <w:t>评标委员会视投标人情况综合比较，投票确定其名次。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35" w:hRule="atLeast"/>
          <w:jc w:val="center"/>
        </w:trPr>
        <w:tc>
          <w:tcPr>
            <w:tcW w:w="741" w:type="dxa"/>
            <w:tcBorders>
              <w:top w:val="single" w:color="auto" w:sz="4"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ascii="宋体" w:hAnsi="宋体"/>
                <w:color w:val="auto"/>
                <w:szCs w:val="21"/>
                <w:highlight w:val="none"/>
              </w:rPr>
              <w:t>2.1.1</w:t>
            </w:r>
          </w:p>
          <w:p>
            <w:pPr>
              <w:spacing w:line="360" w:lineRule="exact"/>
              <w:jc w:val="center"/>
              <w:rPr>
                <w:rFonts w:ascii="宋体" w:hAnsi="宋体"/>
                <w:color w:val="auto"/>
                <w:szCs w:val="21"/>
                <w:highlight w:val="none"/>
              </w:rPr>
            </w:pPr>
            <w:r>
              <w:rPr>
                <w:rFonts w:ascii="宋体" w:hAnsi="宋体"/>
                <w:color w:val="auto"/>
                <w:szCs w:val="21"/>
                <w:highlight w:val="none"/>
              </w:rPr>
              <w:t>2.1.3</w:t>
            </w:r>
          </w:p>
        </w:tc>
        <w:tc>
          <w:tcPr>
            <w:tcW w:w="974" w:type="dxa"/>
            <w:tcBorders>
              <w:top w:val="single" w:color="auto" w:sz="4"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ascii="宋体" w:hAnsi="宋体"/>
                <w:color w:val="auto"/>
                <w:szCs w:val="21"/>
                <w:highlight w:val="none"/>
              </w:rPr>
              <w:t>形式评审与响应性评审标准</w:t>
            </w:r>
          </w:p>
        </w:tc>
        <w:tc>
          <w:tcPr>
            <w:tcW w:w="7746" w:type="dxa"/>
            <w:tcBorders>
              <w:top w:val="single" w:color="auto" w:sz="4" w:space="0"/>
              <w:left w:val="single" w:color="auto" w:sz="4" w:space="0"/>
              <w:right w:val="single" w:color="auto" w:sz="4" w:space="0"/>
            </w:tcBorders>
            <w:vAlign w:val="center"/>
          </w:tcPr>
          <w:p>
            <w:pPr>
              <w:spacing w:line="360" w:lineRule="exact"/>
              <w:rPr>
                <w:rFonts w:hint="eastAsia" w:ascii="宋体" w:hAnsi="宋体"/>
                <w:b/>
                <w:color w:val="auto"/>
                <w:szCs w:val="21"/>
                <w:highlight w:val="none"/>
              </w:rPr>
            </w:pPr>
            <w:r>
              <w:rPr>
                <w:rFonts w:hint="eastAsia" w:ascii="宋体" w:hAnsi="宋体"/>
                <w:b/>
                <w:color w:val="auto"/>
                <w:szCs w:val="21"/>
                <w:highlight w:val="none"/>
              </w:rPr>
              <w:t>第一个信封（商务及技术文件）评审标准</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(1)投标文件按照招标文件规定的格式、内容填写，字迹清晰可辨：</w:t>
            </w:r>
          </w:p>
          <w:p>
            <w:pPr>
              <w:spacing w:line="360" w:lineRule="exact"/>
              <w:ind w:firstLine="390"/>
              <w:rPr>
                <w:rFonts w:ascii="宋体" w:hAnsi="宋体"/>
                <w:color w:val="auto"/>
                <w:szCs w:val="21"/>
                <w:highlight w:val="none"/>
              </w:rPr>
            </w:pPr>
            <w:r>
              <w:rPr>
                <w:rFonts w:ascii="宋体" w:hAnsi="宋体"/>
                <w:color w:val="auto"/>
                <w:szCs w:val="21"/>
                <w:highlight w:val="none"/>
              </w:rPr>
              <w:t>a.投标函按招标文件规定填报了</w:t>
            </w:r>
            <w:r>
              <w:rPr>
                <w:rFonts w:hint="eastAsia" w:ascii="宋体" w:hAnsi="宋体"/>
                <w:color w:val="auto"/>
                <w:szCs w:val="21"/>
                <w:highlight w:val="none"/>
              </w:rPr>
              <w:t>项目名称、标段号、补遗书编号（如有）、</w:t>
            </w:r>
            <w:r>
              <w:rPr>
                <w:rFonts w:ascii="宋体" w:hAnsi="宋体"/>
                <w:color w:val="auto"/>
                <w:szCs w:val="21"/>
                <w:highlight w:val="none"/>
              </w:rPr>
              <w:t>工期</w:t>
            </w:r>
            <w:r>
              <w:rPr>
                <w:rFonts w:hint="eastAsia" w:ascii="宋体" w:hAnsi="宋体"/>
                <w:color w:val="auto"/>
                <w:szCs w:val="21"/>
                <w:highlight w:val="none"/>
              </w:rPr>
              <w:t>、</w:t>
            </w:r>
            <w:r>
              <w:rPr>
                <w:rFonts w:ascii="宋体" w:hAnsi="宋体"/>
                <w:color w:val="auto"/>
                <w:szCs w:val="21"/>
                <w:highlight w:val="none"/>
              </w:rPr>
              <w:t>工程质量</w:t>
            </w:r>
            <w:r>
              <w:rPr>
                <w:rFonts w:hint="eastAsia" w:ascii="宋体" w:hAnsi="宋体"/>
                <w:color w:val="auto"/>
                <w:szCs w:val="21"/>
                <w:highlight w:val="none"/>
              </w:rPr>
              <w:t>要求及安全目标</w:t>
            </w:r>
            <w:r>
              <w:rPr>
                <w:rFonts w:ascii="宋体" w:hAnsi="宋体"/>
                <w:color w:val="auto"/>
                <w:szCs w:val="21"/>
                <w:highlight w:val="none"/>
              </w:rPr>
              <w:t>；</w:t>
            </w:r>
          </w:p>
          <w:p>
            <w:pPr>
              <w:spacing w:line="360" w:lineRule="exact"/>
              <w:ind w:firstLine="390"/>
              <w:rPr>
                <w:rFonts w:ascii="宋体" w:hAnsi="宋体"/>
                <w:color w:val="auto"/>
                <w:szCs w:val="21"/>
                <w:highlight w:val="none"/>
              </w:rPr>
            </w:pPr>
            <w:r>
              <w:rPr>
                <w:rFonts w:ascii="宋体" w:hAnsi="宋体"/>
                <w:color w:val="auto"/>
                <w:szCs w:val="21"/>
                <w:highlight w:val="none"/>
              </w:rPr>
              <w:t>b.投标函附录的所有数据均符合招标文件规定；</w:t>
            </w:r>
          </w:p>
          <w:p>
            <w:pPr>
              <w:spacing w:line="360" w:lineRule="exact"/>
              <w:ind w:firstLine="390"/>
              <w:rPr>
                <w:rFonts w:hint="eastAsia" w:ascii="宋体" w:hAnsi="宋体"/>
                <w:color w:val="auto"/>
                <w:szCs w:val="21"/>
                <w:highlight w:val="none"/>
              </w:rPr>
            </w:pPr>
            <w:r>
              <w:rPr>
                <w:rFonts w:hint="eastAsia" w:ascii="宋体" w:hAnsi="宋体"/>
                <w:color w:val="auto"/>
                <w:szCs w:val="21"/>
                <w:highlight w:val="none"/>
              </w:rPr>
              <w:t>c</w:t>
            </w:r>
            <w:r>
              <w:rPr>
                <w:rFonts w:ascii="宋体" w:hAnsi="宋体"/>
                <w:color w:val="auto"/>
                <w:szCs w:val="21"/>
                <w:highlight w:val="none"/>
              </w:rPr>
              <w:t>.</w:t>
            </w:r>
            <w:r>
              <w:rPr>
                <w:rFonts w:hint="eastAsia" w:ascii="宋体" w:hAnsi="宋体"/>
                <w:color w:val="auto"/>
                <w:szCs w:val="21"/>
                <w:highlight w:val="none"/>
              </w:rPr>
              <w:t>投标文件（第一个信封）组成齐全完整，</w:t>
            </w:r>
            <w:r>
              <w:rPr>
                <w:rFonts w:hint="eastAsia" w:ascii="宋体" w:hAnsi="宋体"/>
                <w:color w:val="auto"/>
                <w:szCs w:val="21"/>
                <w:highlight w:val="none"/>
                <w:lang w:val="en-US" w:eastAsia="zh-CN"/>
              </w:rPr>
              <w:t>正、副本</w:t>
            </w:r>
            <w:r>
              <w:rPr>
                <w:rFonts w:hint="eastAsia" w:ascii="宋体" w:hAnsi="宋体"/>
                <w:color w:val="auto"/>
                <w:szCs w:val="21"/>
                <w:highlight w:val="none"/>
              </w:rPr>
              <w:t>份数符合规定，内容均按规定填写。</w:t>
            </w:r>
          </w:p>
          <w:p>
            <w:pPr>
              <w:spacing w:line="360" w:lineRule="exact"/>
              <w:ind w:left="-2" w:leftChars="-1" w:firstLine="420" w:firstLineChars="200"/>
              <w:rPr>
                <w:rFonts w:hint="eastAsia" w:ascii="宋体" w:hAnsi="宋体"/>
                <w:color w:val="auto"/>
                <w:szCs w:val="21"/>
                <w:highlight w:val="none"/>
              </w:rPr>
            </w:pPr>
            <w:r>
              <w:rPr>
                <w:rFonts w:ascii="宋体" w:hAnsi="宋体"/>
                <w:color w:val="auto"/>
                <w:szCs w:val="21"/>
                <w:highlight w:val="none"/>
              </w:rPr>
              <w:t>(2) 投标文件上法定代表人或其授权代理人的签字、投标人的单位章盖章齐全，符合招标文件</w:t>
            </w:r>
            <w:r>
              <w:rPr>
                <w:rFonts w:hint="eastAsia" w:ascii="宋体" w:hAnsi="宋体"/>
                <w:color w:val="auto"/>
                <w:szCs w:val="21"/>
                <w:highlight w:val="none"/>
              </w:rPr>
              <w:t>的</w:t>
            </w:r>
            <w:r>
              <w:rPr>
                <w:rFonts w:ascii="宋体" w:hAnsi="宋体"/>
                <w:color w:val="auto"/>
                <w:szCs w:val="21"/>
                <w:highlight w:val="none"/>
              </w:rPr>
              <w:t>规定。</w:t>
            </w:r>
          </w:p>
          <w:p>
            <w:pPr>
              <w:spacing w:line="360" w:lineRule="exact"/>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)投标人按照招标文件的规定提供了投标担保：</w:t>
            </w:r>
          </w:p>
          <w:p>
            <w:pPr>
              <w:spacing w:line="360" w:lineRule="exact"/>
              <w:ind w:firstLine="445" w:firstLineChars="212"/>
              <w:rPr>
                <w:rFonts w:ascii="宋体" w:hAnsi="宋体"/>
                <w:color w:val="auto"/>
                <w:szCs w:val="21"/>
                <w:highlight w:val="none"/>
              </w:rPr>
            </w:pPr>
            <w:r>
              <w:rPr>
                <w:rFonts w:ascii="宋体" w:hAnsi="宋体"/>
                <w:color w:val="auto"/>
                <w:szCs w:val="21"/>
                <w:highlight w:val="none"/>
              </w:rPr>
              <w:t>a.投标担保金额符合招标文件规定的金额</w:t>
            </w:r>
            <w:r>
              <w:rPr>
                <w:rFonts w:hint="eastAsia" w:ascii="宋体" w:hAnsi="宋体"/>
                <w:color w:val="auto"/>
                <w:szCs w:val="21"/>
                <w:highlight w:val="none"/>
              </w:rPr>
              <w:t>,且投标保证金有效期不少于投标有效期</w:t>
            </w:r>
            <w:r>
              <w:rPr>
                <w:rFonts w:ascii="宋体" w:hAnsi="宋体"/>
                <w:color w:val="auto"/>
                <w:szCs w:val="21"/>
                <w:highlight w:val="none"/>
              </w:rPr>
              <w:t>；</w:t>
            </w:r>
          </w:p>
          <w:p>
            <w:pPr>
              <w:spacing w:line="360" w:lineRule="exact"/>
              <w:ind w:firstLine="445" w:firstLineChars="212"/>
              <w:rPr>
                <w:rFonts w:hint="eastAsia" w:ascii="宋体" w:hAnsi="宋体"/>
                <w:color w:val="auto"/>
                <w:szCs w:val="21"/>
                <w:highlight w:val="none"/>
              </w:rPr>
            </w:pPr>
            <w:r>
              <w:rPr>
                <w:rFonts w:ascii="宋体" w:hAnsi="宋体"/>
                <w:color w:val="auto"/>
                <w:szCs w:val="21"/>
                <w:highlight w:val="none"/>
              </w:rPr>
              <w:t>b.</w:t>
            </w:r>
            <w:r>
              <w:rPr>
                <w:rFonts w:hint="eastAsia" w:ascii="宋体" w:hAnsi="宋体" w:cs="宋体"/>
                <w:color w:val="auto"/>
                <w:kern w:val="0"/>
                <w:szCs w:val="21"/>
                <w:highlight w:val="none"/>
              </w:rPr>
              <w:t xml:space="preserve"> </w:t>
            </w:r>
            <w:r>
              <w:rPr>
                <w:rFonts w:hint="eastAsia" w:ascii="宋体" w:hAnsi="宋体"/>
                <w:color w:val="auto"/>
                <w:szCs w:val="21"/>
                <w:highlight w:val="none"/>
              </w:rPr>
              <w:t>若</w:t>
            </w:r>
            <w:r>
              <w:rPr>
                <w:rFonts w:ascii="宋体" w:hAnsi="宋体"/>
                <w:color w:val="auto"/>
                <w:szCs w:val="21"/>
                <w:highlight w:val="none"/>
              </w:rPr>
              <w:t>投标担保金</w:t>
            </w:r>
            <w:r>
              <w:rPr>
                <w:rFonts w:hint="eastAsia" w:ascii="宋体" w:hAnsi="宋体"/>
                <w:color w:val="auto"/>
                <w:szCs w:val="21"/>
                <w:highlight w:val="none"/>
              </w:rPr>
              <w:t>采用现金或支票形式提交，投标人应在投标人须知3.4.1款规定的时间，将投标保证金由投标人的基本账户一次性汇入（或开给）招标人指定账户；</w:t>
            </w:r>
          </w:p>
          <w:p>
            <w:pPr>
              <w:spacing w:line="360" w:lineRule="exact"/>
              <w:ind w:firstLine="445" w:firstLineChars="212"/>
              <w:rPr>
                <w:rFonts w:ascii="宋体" w:hAnsi="宋体"/>
                <w:b/>
                <w:color w:val="auto"/>
                <w:szCs w:val="21"/>
                <w:highlight w:val="none"/>
              </w:rPr>
            </w:pPr>
            <w:r>
              <w:rPr>
                <w:rFonts w:ascii="宋体" w:hAnsi="宋体"/>
                <w:color w:val="auto"/>
                <w:szCs w:val="21"/>
                <w:highlight w:val="none"/>
              </w:rPr>
              <w:t>c.若投标担保金采用银行保函</w:t>
            </w:r>
            <w:r>
              <w:rPr>
                <w:rFonts w:hint="eastAsia" w:ascii="宋体" w:hAnsi="宋体"/>
                <w:color w:val="auto"/>
                <w:szCs w:val="21"/>
                <w:highlight w:val="none"/>
              </w:rPr>
              <w:t>形式提交</w:t>
            </w:r>
            <w:r>
              <w:rPr>
                <w:rFonts w:ascii="宋体" w:hAnsi="宋体"/>
                <w:color w:val="auto"/>
                <w:szCs w:val="21"/>
                <w:highlight w:val="none"/>
              </w:rPr>
              <w:t>，银行保函的格式、开具保函的银行均满足招标文件要求，</w:t>
            </w:r>
            <w:r>
              <w:rPr>
                <w:rFonts w:ascii="宋体" w:hAnsi="宋体"/>
                <w:b/>
                <w:color w:val="auto"/>
                <w:szCs w:val="21"/>
                <w:highlight w:val="none"/>
              </w:rPr>
              <w:t>且银行保函原件在</w:t>
            </w:r>
            <w:r>
              <w:rPr>
                <w:rFonts w:hint="eastAsia" w:ascii="宋体" w:hAnsi="宋体"/>
                <w:b/>
                <w:color w:val="auto"/>
                <w:szCs w:val="21"/>
                <w:highlight w:val="none"/>
              </w:rPr>
              <w:t>递交</w:t>
            </w:r>
            <w:r>
              <w:rPr>
                <w:rFonts w:ascii="宋体" w:hAnsi="宋体"/>
                <w:b/>
                <w:color w:val="auto"/>
                <w:szCs w:val="21"/>
                <w:highlight w:val="none"/>
              </w:rPr>
              <w:t>投标文件</w:t>
            </w:r>
            <w:r>
              <w:rPr>
                <w:rFonts w:hint="eastAsia" w:ascii="宋体" w:hAnsi="宋体"/>
                <w:b/>
                <w:color w:val="auto"/>
                <w:szCs w:val="21"/>
                <w:highlight w:val="none"/>
              </w:rPr>
              <w:t>时单独密封递交，其复印件装订在投标文件中</w:t>
            </w:r>
            <w:r>
              <w:rPr>
                <w:rFonts w:ascii="宋体" w:hAnsi="宋体"/>
                <w:b/>
                <w:color w:val="auto"/>
                <w:szCs w:val="21"/>
                <w:highlight w:val="none"/>
              </w:rPr>
              <w:t>。</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)投标人法定代表人授权委托代理人签署投标文件的，须提交授权委托书，且授权人和被授权人均在授权委托书上签名，未使用印章、签名章或其他电子制版签名。</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)投标人法定代表人若亲自签署投标文件的，提供了法定代表人身份证明，且法定代表人在法定代表人身份证明上签名，未使用印章、签名章或其他电子制版签名。</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w:t>
            </w:r>
            <w:r>
              <w:rPr>
                <w:rFonts w:hint="eastAsia" w:ascii="宋体" w:hAnsi="宋体"/>
                <w:color w:val="auto"/>
                <w:szCs w:val="21"/>
                <w:highlight w:val="none"/>
              </w:rPr>
              <w:t>本项目不允许</w:t>
            </w:r>
            <w:r>
              <w:rPr>
                <w:rFonts w:ascii="宋体" w:hAnsi="宋体"/>
                <w:color w:val="auto"/>
                <w:szCs w:val="21"/>
                <w:highlight w:val="none"/>
              </w:rPr>
              <w:t>分包</w:t>
            </w:r>
            <w:r>
              <w:rPr>
                <w:rFonts w:hint="eastAsia" w:ascii="宋体" w:hAnsi="宋体"/>
                <w:color w:val="auto"/>
                <w:szCs w:val="21"/>
                <w:highlight w:val="none"/>
              </w:rPr>
              <w:t>。</w:t>
            </w:r>
          </w:p>
          <w:p>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rPr>
              <w:t>同一标段的同一投标人没有提交两个以上不同的投标文件，但招标文件要求提交备选投标的除外。</w:t>
            </w:r>
          </w:p>
          <w:p>
            <w:pPr>
              <w:spacing w:line="360" w:lineRule="exact"/>
              <w:ind w:firstLine="315" w:firstLineChars="15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hint="eastAsia" w:ascii="宋体" w:hAnsi="宋体"/>
                <w:color w:val="auto"/>
                <w:szCs w:val="21"/>
                <w:highlight w:val="none"/>
              </w:rPr>
              <w:t>）投标文件第一个信封（商务及技术文件）不得出现有关投标报价的内容。</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9</w:t>
            </w:r>
            <w:r>
              <w:rPr>
                <w:rFonts w:ascii="宋体" w:hAnsi="宋体"/>
                <w:color w:val="auto"/>
                <w:szCs w:val="21"/>
                <w:highlight w:val="none"/>
              </w:rPr>
              <w:t>)投标文件载明的招标项目完成期限未超过招标文件规定的时限</w:t>
            </w:r>
            <w:r>
              <w:rPr>
                <w:rFonts w:hint="eastAsia" w:ascii="宋体" w:hAnsi="宋体"/>
                <w:color w:val="auto"/>
                <w:szCs w:val="21"/>
                <w:highlight w:val="none"/>
              </w:rPr>
              <w:t>。</w:t>
            </w:r>
          </w:p>
          <w:p>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ascii="宋体" w:hAnsi="宋体"/>
                <w:color w:val="auto"/>
                <w:szCs w:val="21"/>
                <w:highlight w:val="none"/>
              </w:rPr>
              <w:t>)</w:t>
            </w:r>
            <w:r>
              <w:rPr>
                <w:rFonts w:hint="eastAsia" w:ascii="宋体" w:hAnsi="宋体"/>
                <w:color w:val="auto"/>
                <w:szCs w:val="21"/>
                <w:highlight w:val="none"/>
              </w:rPr>
              <w:t>投标文件对招标文件的实质性要求和条件作出响应。</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val="en-US" w:eastAsia="zh-CN"/>
              </w:rPr>
              <w:t>1</w:t>
            </w:r>
            <w:r>
              <w:rPr>
                <w:rFonts w:ascii="宋体" w:hAnsi="宋体"/>
                <w:color w:val="auto"/>
                <w:szCs w:val="21"/>
                <w:highlight w:val="none"/>
              </w:rPr>
              <w:t>)权利义务符合招标文件规定：</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a.投标人应接受招标文件规定的风险划分原则，未提出新的风险划分办法；</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b.投标人未增加发包人的责任范围，或减少投标人义务；</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c.投标人未提出不同的工程验收、计量、支付办法；</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d.投标人对合同纠纷、事故处理办法未提出异议；</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e.投标人在投标活动中无欺诈行为；</w:t>
            </w:r>
          </w:p>
          <w:p>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f.投标人未对合同条款有重要保留。</w:t>
            </w:r>
          </w:p>
          <w:p>
            <w:pPr>
              <w:spacing w:line="360" w:lineRule="exact"/>
              <w:ind w:firstLine="420" w:firstLineChars="200"/>
              <w:rPr>
                <w:rFonts w:hint="eastAsia" w:ascii="宋体" w:hAnsi="宋体"/>
                <w:color w:val="auto"/>
                <w:szCs w:val="21"/>
                <w:highlight w:val="none"/>
              </w:rPr>
            </w:pPr>
            <w:r>
              <w:rPr>
                <w:rFonts w:hint="eastAsia" w:ascii="宋体" w:hAnsi="宋体"/>
                <w:color w:val="auto"/>
                <w:highlight w:val="none"/>
              </w:rPr>
              <w:t>（1</w:t>
            </w:r>
            <w:r>
              <w:rPr>
                <w:rFonts w:hint="eastAsia" w:ascii="宋体" w:hAnsi="宋体"/>
                <w:color w:val="auto"/>
                <w:highlight w:val="none"/>
                <w:lang w:val="en-US" w:eastAsia="zh-CN"/>
              </w:rPr>
              <w:t>2</w:t>
            </w:r>
            <w:r>
              <w:rPr>
                <w:rFonts w:hint="eastAsia" w:ascii="宋体" w:hAnsi="宋体"/>
                <w:color w:val="auto"/>
                <w:highlight w:val="none"/>
              </w:rPr>
              <w:t>）</w:t>
            </w:r>
            <w:r>
              <w:rPr>
                <w:rFonts w:hint="eastAsia" w:ascii="宋体" w:hAnsi="宋体"/>
                <w:color w:val="auto"/>
                <w:szCs w:val="21"/>
                <w:highlight w:val="none"/>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14" w:hRule="atLeast"/>
          <w:jc w:val="center"/>
        </w:trPr>
        <w:tc>
          <w:tcPr>
            <w:tcW w:w="741" w:type="dxa"/>
            <w:tcBorders>
              <w:top w:val="single" w:color="auto" w:sz="4"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ascii="宋体" w:hAnsi="宋体"/>
                <w:color w:val="auto"/>
                <w:szCs w:val="21"/>
                <w:highlight w:val="none"/>
              </w:rPr>
              <w:t>2.1.1</w:t>
            </w:r>
          </w:p>
          <w:p>
            <w:pPr>
              <w:spacing w:line="360" w:lineRule="exact"/>
              <w:jc w:val="center"/>
              <w:rPr>
                <w:rFonts w:ascii="宋体" w:hAnsi="宋体"/>
                <w:color w:val="auto"/>
                <w:szCs w:val="21"/>
                <w:highlight w:val="none"/>
              </w:rPr>
            </w:pPr>
            <w:r>
              <w:rPr>
                <w:rFonts w:ascii="宋体" w:hAnsi="宋体"/>
                <w:color w:val="auto"/>
                <w:szCs w:val="21"/>
                <w:highlight w:val="none"/>
              </w:rPr>
              <w:t>2.1.3</w:t>
            </w:r>
          </w:p>
        </w:tc>
        <w:tc>
          <w:tcPr>
            <w:tcW w:w="974" w:type="dxa"/>
            <w:tcBorders>
              <w:top w:val="single" w:color="auto" w:sz="4"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ascii="宋体" w:hAnsi="宋体"/>
                <w:color w:val="auto"/>
                <w:szCs w:val="21"/>
                <w:highlight w:val="none"/>
              </w:rPr>
              <w:t>形式评审与响应性评审标准</w:t>
            </w:r>
          </w:p>
        </w:tc>
        <w:tc>
          <w:tcPr>
            <w:tcW w:w="7746" w:type="dxa"/>
            <w:tcBorders>
              <w:top w:val="single" w:color="auto" w:sz="4" w:space="0"/>
              <w:left w:val="single" w:color="auto" w:sz="4" w:space="0"/>
              <w:right w:val="single" w:color="auto" w:sz="4" w:space="0"/>
            </w:tcBorders>
            <w:vAlign w:val="center"/>
          </w:tcPr>
          <w:p>
            <w:pPr>
              <w:spacing w:line="360" w:lineRule="exact"/>
              <w:jc w:val="left"/>
              <w:rPr>
                <w:rFonts w:hint="eastAsia"/>
                <w:color w:val="auto"/>
                <w:highlight w:val="none"/>
              </w:rPr>
            </w:pPr>
            <w:r>
              <w:rPr>
                <w:rFonts w:hint="eastAsia"/>
                <w:color w:val="auto"/>
                <w:highlight w:val="none"/>
              </w:rPr>
              <w:t>第二</w:t>
            </w:r>
            <w:r>
              <w:rPr>
                <w:rFonts w:hint="eastAsia"/>
                <w:color w:val="auto"/>
                <w:highlight w:val="none"/>
                <w:lang w:val="en-US" w:eastAsia="zh-CN"/>
              </w:rPr>
              <w:t>个</w:t>
            </w:r>
            <w:r>
              <w:rPr>
                <w:rFonts w:hint="eastAsia"/>
                <w:color w:val="auto"/>
                <w:highlight w:val="none"/>
              </w:rPr>
              <w:t>信封（报价文件）评审标准：</w:t>
            </w:r>
          </w:p>
          <w:p>
            <w:pPr>
              <w:spacing w:line="360" w:lineRule="exact"/>
              <w:ind w:firstLine="390"/>
              <w:rPr>
                <w:rFonts w:hint="eastAsia"/>
                <w:color w:val="auto"/>
                <w:highlight w:val="none"/>
              </w:rPr>
            </w:pPr>
            <w:r>
              <w:rPr>
                <w:rFonts w:hint="eastAsia"/>
                <w:color w:val="auto"/>
                <w:highlight w:val="none"/>
              </w:rPr>
              <w:t>（1）</w:t>
            </w:r>
            <w:r>
              <w:rPr>
                <w:color w:val="auto"/>
                <w:highlight w:val="none"/>
              </w:rPr>
              <w:t>投标文件按照招标文件规定的格式、内容填写，字迹清晰可辨：</w:t>
            </w:r>
          </w:p>
          <w:p>
            <w:pPr>
              <w:spacing w:line="360" w:lineRule="exact"/>
              <w:ind w:firstLine="390"/>
              <w:rPr>
                <w:color w:val="auto"/>
                <w:highlight w:val="none"/>
              </w:rPr>
            </w:pPr>
            <w:r>
              <w:rPr>
                <w:color w:val="auto"/>
                <w:highlight w:val="none"/>
              </w:rPr>
              <w:t>a.投标函按招标文件规定填报了</w:t>
            </w:r>
            <w:r>
              <w:rPr>
                <w:rFonts w:hint="eastAsia"/>
                <w:color w:val="auto"/>
                <w:highlight w:val="none"/>
              </w:rPr>
              <w:t>项目名称、标段号、补遗书编号（如有）、</w:t>
            </w:r>
            <w:r>
              <w:rPr>
                <w:rFonts w:hint="eastAsia" w:ascii="宋体" w:hAnsi="宋体"/>
                <w:color w:val="auto"/>
                <w:szCs w:val="21"/>
                <w:highlight w:val="none"/>
              </w:rPr>
              <w:t>投标价（包括大写金额和小写金额）</w:t>
            </w:r>
            <w:r>
              <w:rPr>
                <w:color w:val="auto"/>
                <w:highlight w:val="none"/>
              </w:rPr>
              <w:t>；</w:t>
            </w:r>
          </w:p>
          <w:p>
            <w:pPr>
              <w:spacing w:line="360" w:lineRule="exact"/>
              <w:ind w:firstLine="390"/>
              <w:rPr>
                <w:rFonts w:hint="eastAsia" w:ascii="宋体" w:hAnsi="宋体"/>
                <w:color w:val="auto"/>
                <w:szCs w:val="21"/>
                <w:highlight w:val="none"/>
              </w:rPr>
            </w:pPr>
            <w:r>
              <w:rPr>
                <w:rFonts w:hint="eastAsia" w:ascii="宋体" w:hAnsi="宋体"/>
                <w:color w:val="auto"/>
                <w:szCs w:val="21"/>
                <w:highlight w:val="none"/>
                <w:lang w:val="en-US" w:eastAsia="zh-CN"/>
              </w:rPr>
              <w:t>b</w:t>
            </w:r>
            <w:r>
              <w:rPr>
                <w:color w:val="auto"/>
                <w:highlight w:val="none"/>
              </w:rPr>
              <w:t>.</w:t>
            </w:r>
            <w:r>
              <w:rPr>
                <w:rFonts w:ascii="宋体" w:hAnsi="宋体"/>
                <w:color w:val="auto"/>
                <w:szCs w:val="21"/>
                <w:highlight w:val="none"/>
              </w:rPr>
              <w:t>已标价工程量清单</w:t>
            </w:r>
            <w:r>
              <w:rPr>
                <w:rFonts w:hint="eastAsia" w:ascii="宋体" w:hAnsi="宋体"/>
                <w:color w:val="auto"/>
                <w:szCs w:val="21"/>
                <w:highlight w:val="none"/>
              </w:rPr>
              <w:t>及清单</w:t>
            </w:r>
            <w:r>
              <w:rPr>
                <w:rFonts w:ascii="宋体" w:hAnsi="宋体"/>
                <w:color w:val="auto"/>
                <w:szCs w:val="21"/>
                <w:highlight w:val="none"/>
              </w:rPr>
              <w:t>说明文字与招标文件规定一致，</w:t>
            </w:r>
            <w:r>
              <w:rPr>
                <w:rFonts w:hint="eastAsia" w:ascii="宋体" w:hAnsi="宋体"/>
                <w:color w:val="auto"/>
                <w:szCs w:val="21"/>
                <w:highlight w:val="none"/>
              </w:rPr>
              <w:t>未</w:t>
            </w:r>
            <w:r>
              <w:rPr>
                <w:rFonts w:ascii="宋体" w:hAnsi="宋体"/>
                <w:color w:val="auto"/>
                <w:szCs w:val="21"/>
                <w:highlight w:val="none"/>
              </w:rPr>
              <w:t>进行修改和删减；</w:t>
            </w:r>
          </w:p>
          <w:p>
            <w:pPr>
              <w:spacing w:line="360" w:lineRule="exact"/>
              <w:ind w:firstLine="0"/>
              <w:rPr>
                <w:rFonts w:hint="eastAsia"/>
                <w:color w:val="auto"/>
                <w:highlight w:val="none"/>
              </w:rPr>
            </w:pPr>
            <w:r>
              <w:rPr>
                <w:rFonts w:hint="eastAsia"/>
                <w:color w:val="auto"/>
                <w:highlight w:val="none"/>
                <w:lang w:val="en-US" w:eastAsia="zh-CN"/>
              </w:rPr>
              <w:t xml:space="preserve">    c</w:t>
            </w:r>
            <w:r>
              <w:rPr>
                <w:color w:val="auto"/>
                <w:highlight w:val="none"/>
              </w:rPr>
              <w:t>.</w:t>
            </w:r>
            <w:r>
              <w:rPr>
                <w:rFonts w:hint="eastAsia"/>
                <w:color w:val="auto"/>
                <w:highlight w:val="none"/>
              </w:rPr>
              <w:t>投标文件（第</w:t>
            </w:r>
            <w:r>
              <w:rPr>
                <w:rFonts w:hint="eastAsia"/>
                <w:color w:val="auto"/>
                <w:highlight w:val="none"/>
                <w:lang w:val="en-US" w:eastAsia="zh-CN"/>
              </w:rPr>
              <w:t>二</w:t>
            </w:r>
            <w:r>
              <w:rPr>
                <w:rFonts w:hint="eastAsia"/>
                <w:color w:val="auto"/>
                <w:highlight w:val="none"/>
              </w:rPr>
              <w:t>个信封）组成齐全完整，</w:t>
            </w:r>
            <w:r>
              <w:rPr>
                <w:rFonts w:hint="default" w:ascii="Times New Roman" w:hAnsi="Times New Roman"/>
                <w:color w:val="auto"/>
                <w:szCs w:val="24"/>
                <w:highlight w:val="none"/>
                <w:lang w:val="en-US" w:eastAsia="zh-CN"/>
              </w:rPr>
              <w:t>正、副本</w:t>
            </w:r>
            <w:r>
              <w:rPr>
                <w:rFonts w:hint="eastAsia"/>
                <w:color w:val="auto"/>
                <w:highlight w:val="none"/>
              </w:rPr>
              <w:t>份数符合规定，内容均按规定填写。</w:t>
            </w:r>
          </w:p>
          <w:p>
            <w:pPr>
              <w:spacing w:line="360" w:lineRule="exact"/>
              <w:ind w:firstLine="390"/>
              <w:rPr>
                <w:rFonts w:hint="eastAsia"/>
                <w:color w:val="auto"/>
                <w:highlight w:val="none"/>
              </w:rPr>
            </w:pPr>
            <w:r>
              <w:rPr>
                <w:rFonts w:hint="eastAsia"/>
                <w:color w:val="auto"/>
                <w:highlight w:val="none"/>
              </w:rPr>
              <w:t>（2）</w:t>
            </w:r>
            <w:r>
              <w:rPr>
                <w:color w:val="auto"/>
                <w:highlight w:val="none"/>
              </w:rPr>
              <w:t>投标文件上法定代表人或其授权代理人的签字、投标人的单位章盖章齐全，符合招标文件</w:t>
            </w:r>
            <w:r>
              <w:rPr>
                <w:rFonts w:hint="eastAsia"/>
                <w:color w:val="auto"/>
                <w:highlight w:val="none"/>
              </w:rPr>
              <w:t>的</w:t>
            </w:r>
            <w:r>
              <w:rPr>
                <w:color w:val="auto"/>
                <w:highlight w:val="none"/>
              </w:rPr>
              <w:t>规定</w:t>
            </w:r>
            <w:r>
              <w:rPr>
                <w:rFonts w:hint="eastAsia"/>
                <w:color w:val="auto"/>
                <w:highlight w:val="none"/>
              </w:rPr>
              <w:t>；</w:t>
            </w:r>
          </w:p>
          <w:p>
            <w:pPr>
              <w:spacing w:line="360" w:lineRule="exact"/>
              <w:ind w:firstLine="390"/>
              <w:rPr>
                <w:rFonts w:hint="eastAsia"/>
                <w:color w:val="auto"/>
                <w:highlight w:val="none"/>
              </w:rPr>
            </w:pPr>
            <w:r>
              <w:rPr>
                <w:rFonts w:hint="eastAsia"/>
                <w:color w:val="auto"/>
                <w:highlight w:val="none"/>
              </w:rPr>
              <w:t>（3）</w:t>
            </w:r>
            <w:r>
              <w:rPr>
                <w:rFonts w:hint="default" w:ascii="Times New Roman" w:hAnsi="Times New Roman"/>
                <w:color w:val="auto"/>
                <w:szCs w:val="24"/>
                <w:highlight w:val="none"/>
              </w:rPr>
              <w:t>投标报价中的报价未超过招标文件设定的</w:t>
            </w:r>
            <w:r>
              <w:rPr>
                <w:rFonts w:hint="default" w:ascii="Times New Roman" w:hAnsi="Times New Roman"/>
                <w:b w:val="0"/>
                <w:bCs w:val="0"/>
                <w:color w:val="auto"/>
                <w:szCs w:val="24"/>
                <w:highlight w:val="none"/>
              </w:rPr>
              <w:t>最</w:t>
            </w:r>
            <w:r>
              <w:rPr>
                <w:rFonts w:hint="default" w:ascii="Times New Roman" w:hAnsi="Times New Roman"/>
                <w:b w:val="0"/>
                <w:color w:val="auto"/>
                <w:szCs w:val="24"/>
                <w:highlight w:val="none"/>
              </w:rPr>
              <w:t>高投标限价</w:t>
            </w:r>
            <w:r>
              <w:rPr>
                <w:rFonts w:hint="default" w:ascii="Times New Roman" w:hAnsi="Times New Roman"/>
                <w:color w:val="auto"/>
                <w:szCs w:val="24"/>
                <w:highlight w:val="none"/>
              </w:rPr>
              <w:t>。</w:t>
            </w:r>
          </w:p>
          <w:p>
            <w:pPr>
              <w:spacing w:line="360" w:lineRule="exact"/>
              <w:ind w:firstLine="390"/>
              <w:rPr>
                <w:rFonts w:hint="default" w:eastAsia="宋体"/>
                <w:color w:val="auto"/>
                <w:highlight w:val="none"/>
                <w:lang w:eastAsia="zh-CN"/>
              </w:rPr>
            </w:pPr>
            <w:r>
              <w:rPr>
                <w:rFonts w:hint="default" w:eastAsia="宋体"/>
                <w:color w:val="auto"/>
                <w:highlight w:val="none"/>
                <w:lang w:eastAsia="zh-CN"/>
              </w:rPr>
              <w:t>（4）投标报价中报价的大写金额能够确定具体数值。</w:t>
            </w:r>
          </w:p>
          <w:p>
            <w:pPr>
              <w:spacing w:line="360" w:lineRule="exact"/>
              <w:ind w:firstLine="390"/>
              <w:rPr>
                <w:rFonts w:hint="default" w:eastAsia="宋体"/>
                <w:color w:val="auto"/>
                <w:highlight w:val="none"/>
                <w:lang w:eastAsia="zh-CN"/>
              </w:rPr>
            </w:pPr>
            <w:r>
              <w:rPr>
                <w:rFonts w:hint="default" w:eastAsia="宋体"/>
                <w:color w:val="auto"/>
                <w:highlight w:val="none"/>
                <w:lang w:eastAsia="zh-CN"/>
              </w:rPr>
              <w:t>（5）投标人须对本项目提供独立的投标报价，同一标段的同一投标人仅可提交一个投标报价，但招标文件要求提交备选投标的除外。</w:t>
            </w:r>
          </w:p>
          <w:p>
            <w:pPr>
              <w:spacing w:line="360" w:lineRule="exact"/>
              <w:ind w:firstLine="390"/>
              <w:rPr>
                <w:rFonts w:hint="default" w:eastAsia="宋体"/>
                <w:color w:val="auto"/>
                <w:highlight w:val="none"/>
                <w:lang w:eastAsia="zh-CN"/>
              </w:rPr>
            </w:pPr>
            <w:r>
              <w:rPr>
                <w:rFonts w:hint="default" w:eastAsia="宋体"/>
                <w:color w:val="auto"/>
                <w:highlight w:val="none"/>
                <w:lang w:eastAsia="zh-CN"/>
              </w:rPr>
              <w:t>（6）投标人必须严格按照工程量固化清单填写，填写完毕的工程量固化清单未对工程量固化清单电子文件中的数据、格式和运算定义进行修改；工程量固化清单中的投标报价和投标函大写金额报价一致。</w:t>
            </w:r>
          </w:p>
          <w:p>
            <w:pPr>
              <w:spacing w:line="360" w:lineRule="exact"/>
              <w:ind w:firstLine="390"/>
              <w:rPr>
                <w:rFonts w:hint="eastAsia" w:eastAsia="宋体"/>
                <w:color w:val="auto"/>
                <w:highlight w:val="none"/>
                <w:lang w:eastAsia="zh-CN"/>
              </w:rPr>
            </w:pPr>
            <w:r>
              <w:rPr>
                <w:rFonts w:hint="default" w:eastAsia="宋体"/>
                <w:color w:val="auto"/>
                <w:highlight w:val="none"/>
                <w:lang w:eastAsia="zh-CN"/>
              </w:rPr>
              <w:t xml:space="preserve">（7）投标人必须按招标人提供的具有防伪水印的固化工程量清单打印并装订在投标文件中。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70" w:hRule="atLeast"/>
          <w:jc w:val="center"/>
        </w:trPr>
        <w:tc>
          <w:tcPr>
            <w:tcW w:w="741" w:type="dxa"/>
            <w:tcBorders>
              <w:top w:val="single" w:color="auto" w:sz="4"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ascii="宋体" w:hAnsi="宋体"/>
                <w:color w:val="auto"/>
                <w:szCs w:val="21"/>
                <w:highlight w:val="none"/>
              </w:rPr>
              <w:t>2.1.2</w:t>
            </w:r>
          </w:p>
        </w:tc>
        <w:tc>
          <w:tcPr>
            <w:tcW w:w="974" w:type="dxa"/>
            <w:tcBorders>
              <w:top w:val="single" w:color="auto" w:sz="4"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ascii="宋体" w:hAnsi="宋体"/>
                <w:color w:val="auto"/>
                <w:szCs w:val="21"/>
                <w:highlight w:val="none"/>
              </w:rPr>
              <w:t>资格评审标准</w:t>
            </w:r>
          </w:p>
        </w:tc>
        <w:tc>
          <w:tcPr>
            <w:tcW w:w="7746" w:type="dxa"/>
            <w:tcBorders>
              <w:top w:val="single" w:color="auto" w:sz="4" w:space="0"/>
              <w:left w:val="single" w:color="auto" w:sz="4" w:space="0"/>
              <w:right w:val="single" w:color="auto" w:sz="4" w:space="0"/>
            </w:tcBorders>
            <w:vAlign w:val="center"/>
          </w:tcPr>
          <w:p>
            <w:pPr>
              <w:spacing w:line="360" w:lineRule="exact"/>
              <w:ind w:firstLine="390"/>
              <w:rPr>
                <w:color w:val="auto"/>
              </w:rPr>
            </w:pPr>
            <w:r>
              <w:rPr>
                <w:rFonts w:hint="eastAsia" w:ascii="宋体" w:hAnsi="宋体"/>
                <w:color w:val="auto"/>
                <w:szCs w:val="21"/>
                <w:highlight w:val="none"/>
              </w:rPr>
              <w:t>（1）</w:t>
            </w:r>
            <w:r>
              <w:rPr>
                <w:rFonts w:hint="eastAsia" w:ascii="宋体" w:hAnsi="宋体"/>
                <w:strike w:val="0"/>
                <w:dstrike w:val="0"/>
                <w:color w:val="auto"/>
                <w:szCs w:val="21"/>
                <w:highlight w:val="none"/>
                <w:lang w:val="en-US" w:eastAsia="zh-CN"/>
              </w:rPr>
              <w:t>投标人具备有效的营业执照副本和组织机构代码证副本（按照“三证合一”或“五证合一”登记制度进行登记的，可仅提供营业执照副本，下同）、</w:t>
            </w:r>
            <w:r>
              <w:rPr>
                <w:rFonts w:ascii="宋体" w:hAnsi="宋体"/>
                <w:color w:val="auto"/>
                <w:szCs w:val="21"/>
                <w:highlight w:val="none"/>
              </w:rPr>
              <w:t>资质证书</w:t>
            </w:r>
            <w:r>
              <w:rPr>
                <w:rFonts w:hint="default" w:ascii="宋体" w:hAnsi="宋体"/>
                <w:color w:val="auto"/>
                <w:szCs w:val="21"/>
                <w:highlight w:val="none"/>
              </w:rPr>
              <w:t>、</w:t>
            </w:r>
            <w:r>
              <w:rPr>
                <w:rFonts w:hint="eastAsia" w:ascii="宋体" w:hAnsi="宋体"/>
                <w:color w:val="auto"/>
                <w:szCs w:val="21"/>
                <w:highlight w:val="none"/>
              </w:rPr>
              <w:t>安全生产许可证</w:t>
            </w:r>
            <w:r>
              <w:rPr>
                <w:rFonts w:hint="eastAsia" w:ascii="宋体" w:hAnsi="宋体"/>
                <w:color w:val="auto"/>
                <w:szCs w:val="21"/>
                <w:highlight w:val="none"/>
                <w:lang w:eastAsia="zh-CN"/>
              </w:rPr>
              <w:t>、</w:t>
            </w:r>
            <w:r>
              <w:rPr>
                <w:rFonts w:hint="eastAsia" w:ascii="宋体" w:hAnsi="宋体"/>
                <w:strike w:val="0"/>
                <w:dstrike w:val="0"/>
                <w:color w:val="auto"/>
                <w:szCs w:val="21"/>
                <w:highlight w:val="none"/>
                <w:lang w:val="en-US" w:eastAsia="zh-CN"/>
              </w:rPr>
              <w:t>基本账户开户许可证或基本存款账户信息或人民银行账户管理系统查询的基本账户信息截图；</w:t>
            </w:r>
          </w:p>
          <w:p>
            <w:pPr>
              <w:spacing w:line="360" w:lineRule="exact"/>
              <w:ind w:firstLine="39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投标人的资质等级符合招标文件规定；</w:t>
            </w:r>
          </w:p>
          <w:p>
            <w:pPr>
              <w:spacing w:line="360" w:lineRule="exact"/>
              <w:ind w:firstLine="39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投标人的财务状况符合招标文件规定；</w:t>
            </w:r>
          </w:p>
          <w:p>
            <w:pPr>
              <w:spacing w:line="360" w:lineRule="exact"/>
              <w:ind w:firstLine="39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投标人的类似项目业绩符合招标文件规定；</w:t>
            </w:r>
          </w:p>
          <w:p>
            <w:pPr>
              <w:spacing w:line="360" w:lineRule="exact"/>
              <w:ind w:firstLine="39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投标人的信誉符合招标文件规定；</w:t>
            </w:r>
          </w:p>
          <w:p>
            <w:pPr>
              <w:spacing w:line="360" w:lineRule="exact"/>
              <w:ind w:firstLine="390"/>
              <w:rPr>
                <w:rFonts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投标人的</w:t>
            </w:r>
            <w:r>
              <w:rPr>
                <w:rFonts w:hint="eastAsia" w:ascii="宋体" w:hAnsi="宋体"/>
                <w:color w:val="auto"/>
                <w:szCs w:val="21"/>
              </w:rPr>
              <w:t>拟投入本项目的项目经理和项目总工情况</w:t>
            </w:r>
            <w:r>
              <w:rPr>
                <w:rFonts w:ascii="宋体" w:hAnsi="宋体"/>
                <w:color w:val="auto"/>
                <w:szCs w:val="21"/>
                <w:highlight w:val="none"/>
              </w:rPr>
              <w:t>符合招标文件规定</w:t>
            </w:r>
            <w:r>
              <w:rPr>
                <w:rFonts w:hint="eastAsia" w:ascii="宋体" w:hAnsi="宋体"/>
                <w:color w:val="auto"/>
                <w:szCs w:val="21"/>
                <w:highlight w:val="none"/>
              </w:rPr>
              <w:t>，且按规定在投标文件中进行签字确认</w:t>
            </w:r>
            <w:r>
              <w:rPr>
                <w:rFonts w:ascii="宋体" w:hAnsi="宋体"/>
                <w:color w:val="auto"/>
                <w:szCs w:val="21"/>
                <w:highlight w:val="none"/>
              </w:rPr>
              <w:t>；</w:t>
            </w:r>
          </w:p>
          <w:p>
            <w:pPr>
              <w:spacing w:line="360" w:lineRule="exact"/>
              <w:ind w:firstLine="390"/>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投标人的其他要求</w:t>
            </w:r>
            <w:r>
              <w:rPr>
                <w:rFonts w:hint="eastAsia" w:ascii="宋体" w:hAnsi="宋体"/>
                <w:color w:val="auto"/>
                <w:szCs w:val="21"/>
                <w:highlight w:val="none"/>
              </w:rPr>
              <w:t>，如机械设备、材料等</w:t>
            </w:r>
            <w:r>
              <w:rPr>
                <w:rFonts w:ascii="宋体" w:hAnsi="宋体"/>
                <w:color w:val="auto"/>
                <w:szCs w:val="21"/>
                <w:highlight w:val="none"/>
              </w:rPr>
              <w:t>符合招标文件规定；</w:t>
            </w:r>
          </w:p>
          <w:p>
            <w:pPr>
              <w:spacing w:line="360" w:lineRule="exact"/>
              <w:ind w:firstLine="390"/>
              <w:rPr>
                <w:rFonts w:hint="eastAsia"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不存在第二章“投标人须知”第1.4.3项</w:t>
            </w:r>
            <w:r>
              <w:rPr>
                <w:rFonts w:hint="eastAsia" w:ascii="宋体" w:hAnsi="宋体"/>
                <w:color w:val="auto"/>
                <w:szCs w:val="21"/>
                <w:highlight w:val="none"/>
              </w:rPr>
              <w:t>或第1.4.4项</w:t>
            </w:r>
            <w:r>
              <w:rPr>
                <w:rFonts w:ascii="宋体" w:hAnsi="宋体"/>
                <w:color w:val="auto"/>
                <w:szCs w:val="21"/>
                <w:highlight w:val="none"/>
              </w:rPr>
              <w:t>规定的任何一种情形</w:t>
            </w:r>
            <w:r>
              <w:rPr>
                <w:rFonts w:hint="eastAsia" w:ascii="宋体" w:hAnsi="宋体"/>
                <w:color w:val="auto"/>
                <w:szCs w:val="21"/>
                <w:highlight w:val="none"/>
              </w:rPr>
              <w:t>。</w:t>
            </w:r>
            <w:r>
              <w:rPr>
                <w:rFonts w:ascii="宋体" w:hAnsi="宋体"/>
                <w:color w:val="auto"/>
                <w:szCs w:val="21"/>
                <w:highlight w:val="none"/>
              </w:rPr>
              <w:t xml:space="preserve"> </w:t>
            </w:r>
          </w:p>
          <w:p>
            <w:pPr>
              <w:spacing w:line="360" w:lineRule="exact"/>
              <w:ind w:firstLine="390"/>
              <w:rPr>
                <w:rFonts w:hint="eastAsia" w:ascii="宋体" w:hAnsi="宋体"/>
                <w:color w:val="auto"/>
                <w:szCs w:val="21"/>
                <w:highlight w:val="none"/>
              </w:rPr>
            </w:pPr>
            <w:r>
              <w:rPr>
                <w:rFonts w:hint="eastAsia" w:ascii="宋体" w:hAnsi="宋体"/>
                <w:color w:val="auto"/>
                <w:szCs w:val="21"/>
                <w:highlight w:val="none"/>
              </w:rPr>
              <w:t>（9）投标人符合第二章</w:t>
            </w:r>
            <w:r>
              <w:rPr>
                <w:rFonts w:ascii="宋体" w:hAnsi="宋体"/>
                <w:color w:val="auto"/>
                <w:szCs w:val="21"/>
                <w:highlight w:val="none"/>
              </w:rPr>
              <w:t>“投标人须知”第1.4.</w:t>
            </w:r>
            <w:r>
              <w:rPr>
                <w:rFonts w:hint="eastAsia" w:ascii="宋体" w:hAnsi="宋体"/>
                <w:color w:val="auto"/>
                <w:szCs w:val="21"/>
                <w:highlight w:val="none"/>
              </w:rPr>
              <w:t>5</w:t>
            </w:r>
            <w:r>
              <w:rPr>
                <w:rFonts w:ascii="宋体" w:hAnsi="宋体"/>
                <w:color w:val="auto"/>
                <w:szCs w:val="21"/>
                <w:highlight w:val="none"/>
              </w:rPr>
              <w:t>项规定</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60" w:hRule="atLeast"/>
          <w:jc w:val="center"/>
        </w:trPr>
        <w:tc>
          <w:tcPr>
            <w:tcW w:w="741" w:type="dxa"/>
            <w:tcBorders>
              <w:top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ascii="宋体" w:hAnsi="宋体"/>
                <w:color w:val="auto"/>
                <w:szCs w:val="21"/>
                <w:highlight w:val="none"/>
              </w:rPr>
              <w:t>2.2.1</w:t>
            </w:r>
          </w:p>
        </w:tc>
        <w:tc>
          <w:tcPr>
            <w:tcW w:w="974" w:type="dxa"/>
            <w:tcBorders>
              <w:top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ascii="宋体" w:hAnsi="宋体"/>
                <w:color w:val="auto"/>
                <w:szCs w:val="21"/>
                <w:highlight w:val="none"/>
              </w:rPr>
              <w:t>分值构成(总分100分)</w:t>
            </w:r>
          </w:p>
        </w:tc>
        <w:tc>
          <w:tcPr>
            <w:tcW w:w="774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b/>
                <w:color w:val="auto"/>
                <w:szCs w:val="21"/>
              </w:rPr>
            </w:pPr>
            <w:r>
              <w:rPr>
                <w:rFonts w:hint="eastAsia" w:ascii="宋体" w:hAnsi="宋体"/>
                <w:color w:val="auto"/>
                <w:szCs w:val="21"/>
              </w:rPr>
              <w:t>第一个信封商务技术文件的分值：</w:t>
            </w:r>
          </w:p>
          <w:p>
            <w:pPr>
              <w:spacing w:line="360" w:lineRule="auto"/>
              <w:ind w:firstLine="390"/>
              <w:rPr>
                <w:rFonts w:hint="eastAsia" w:ascii="宋体" w:hAnsi="宋体"/>
                <w:color w:val="auto"/>
                <w:szCs w:val="21"/>
              </w:rPr>
            </w:pPr>
            <w:r>
              <w:rPr>
                <w:rFonts w:hint="eastAsia" w:ascii="宋体" w:hAnsi="宋体"/>
                <w:color w:val="auto"/>
                <w:szCs w:val="21"/>
              </w:rPr>
              <w:t>其它因素</w:t>
            </w:r>
            <w:r>
              <w:rPr>
                <w:rFonts w:hint="eastAsia" w:ascii="宋体" w:hAnsi="宋体"/>
                <w:color w:val="auto"/>
                <w:szCs w:val="21"/>
                <w:lang w:eastAsia="zh-CN"/>
              </w:rPr>
              <w:t>（</w:t>
            </w:r>
            <w:r>
              <w:rPr>
                <w:rFonts w:hint="eastAsia" w:ascii="宋体" w:hAnsi="宋体"/>
                <w:color w:val="auto"/>
                <w:szCs w:val="21"/>
                <w:lang w:val="en-US" w:eastAsia="zh-CN"/>
              </w:rPr>
              <w:t>10分</w:t>
            </w:r>
            <w:r>
              <w:rPr>
                <w:rFonts w:hint="eastAsia" w:ascii="宋体" w:hAnsi="宋体"/>
                <w:color w:val="auto"/>
                <w:szCs w:val="21"/>
                <w:lang w:eastAsia="zh-CN"/>
              </w:rPr>
              <w:t>）</w:t>
            </w:r>
            <w:r>
              <w:rPr>
                <w:rFonts w:hint="eastAsia" w:ascii="宋体" w:hAnsi="宋体"/>
                <w:color w:val="auto"/>
                <w:szCs w:val="21"/>
              </w:rPr>
              <w:t>：</w:t>
            </w:r>
            <w:r>
              <w:rPr>
                <w:rFonts w:hint="eastAsia" w:ascii="宋体" w:hAnsi="宋体"/>
                <w:color w:val="auto"/>
                <w:szCs w:val="21"/>
                <w:lang w:val="en-US" w:eastAsia="zh-CN"/>
              </w:rPr>
              <w:t>技术能力</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u w:val="single"/>
                <w:lang w:val="en-US" w:eastAsia="zh-CN"/>
              </w:rPr>
              <w:t>1</w:t>
            </w:r>
            <w:r>
              <w:rPr>
                <w:rFonts w:hint="eastAsia" w:ascii="宋体" w:hAnsi="宋体"/>
                <w:color w:val="auto"/>
                <w:szCs w:val="21"/>
                <w:u w:val="single"/>
              </w:rPr>
              <w:t xml:space="preserve"> </w:t>
            </w:r>
            <w:r>
              <w:rPr>
                <w:rFonts w:hint="eastAsia" w:ascii="宋体" w:hAnsi="宋体"/>
                <w:color w:val="auto"/>
                <w:szCs w:val="21"/>
              </w:rPr>
              <w:t>分</w:t>
            </w:r>
          </w:p>
          <w:p>
            <w:pPr>
              <w:pStyle w:val="2"/>
              <w:spacing w:line="360" w:lineRule="auto"/>
              <w:rPr>
                <w:rFonts w:hint="eastAsia" w:ascii="宋体" w:hAnsi="宋体"/>
                <w:color w:val="auto"/>
                <w:szCs w:val="21"/>
              </w:rPr>
            </w:pPr>
            <w:r>
              <w:rPr>
                <w:rFonts w:hint="eastAsia"/>
                <w:color w:val="auto"/>
                <w:lang w:val="en-US" w:eastAsia="zh-CN"/>
              </w:rPr>
              <w:t xml:space="preserve">                  </w:t>
            </w:r>
            <w:r>
              <w:rPr>
                <w:rFonts w:hint="eastAsia" w:ascii="宋体" w:hAnsi="宋体"/>
                <w:color w:val="auto"/>
                <w:kern w:val="2"/>
                <w:sz w:val="21"/>
                <w:szCs w:val="21"/>
                <w:lang w:val="en-US" w:eastAsia="zh-CN" w:bidi="ar-SA"/>
              </w:rPr>
              <w:t>财务能力：</w:t>
            </w:r>
            <w:r>
              <w:rPr>
                <w:rFonts w:hint="eastAsia" w:ascii="宋体" w:hAnsi="宋体"/>
                <w:color w:val="auto"/>
                <w:szCs w:val="21"/>
                <w:u w:val="single"/>
              </w:rPr>
              <w:t xml:space="preserve"> </w:t>
            </w:r>
            <w:r>
              <w:rPr>
                <w:rFonts w:hint="eastAsia" w:ascii="宋体" w:hAnsi="宋体"/>
                <w:color w:val="auto"/>
                <w:szCs w:val="21"/>
                <w:u w:val="single"/>
                <w:lang w:val="en-US" w:eastAsia="zh-CN"/>
              </w:rPr>
              <w:t>1</w:t>
            </w:r>
            <w:r>
              <w:rPr>
                <w:rFonts w:hint="eastAsia" w:ascii="宋体" w:hAnsi="宋体"/>
                <w:color w:val="auto"/>
                <w:szCs w:val="21"/>
                <w:u w:val="single"/>
              </w:rPr>
              <w:t xml:space="preserve"> </w:t>
            </w:r>
            <w:r>
              <w:rPr>
                <w:rFonts w:hint="eastAsia" w:ascii="宋体" w:hAnsi="宋体"/>
                <w:color w:val="auto"/>
                <w:szCs w:val="21"/>
              </w:rPr>
              <w:t>分</w:t>
            </w:r>
          </w:p>
          <w:p>
            <w:pPr>
              <w:pStyle w:val="2"/>
              <w:rPr>
                <w:rFonts w:hint="eastAsia" w:ascii="宋体" w:hAnsi="宋体" w:eastAsia="宋体"/>
                <w:color w:val="auto"/>
                <w:szCs w:val="21"/>
                <w:lang w:val="en-US" w:eastAsia="zh-CN"/>
              </w:rPr>
            </w:pPr>
            <w:r>
              <w:rPr>
                <w:rFonts w:hint="eastAsia" w:ascii="宋体" w:hAnsi="宋体"/>
                <w:color w:val="auto"/>
                <w:szCs w:val="21"/>
                <w:lang w:val="en-US" w:eastAsia="zh-CN"/>
              </w:rPr>
              <w:t xml:space="preserve">                  </w:t>
            </w:r>
            <w:r>
              <w:rPr>
                <w:rFonts w:hint="eastAsia" w:ascii="宋体" w:hAnsi="宋体"/>
                <w:color w:val="auto"/>
                <w:szCs w:val="21"/>
              </w:rPr>
              <w:t>业    绩：</w:t>
            </w:r>
            <w:r>
              <w:rPr>
                <w:rFonts w:hint="eastAsia" w:ascii="宋体" w:hAnsi="宋体"/>
                <w:color w:val="auto"/>
                <w:szCs w:val="21"/>
                <w:u w:val="single"/>
              </w:rPr>
              <w:t xml:space="preserve"> </w:t>
            </w:r>
            <w:r>
              <w:rPr>
                <w:rFonts w:hint="eastAsia" w:ascii="宋体" w:hAnsi="宋体"/>
                <w:color w:val="auto"/>
                <w:szCs w:val="21"/>
                <w:u w:val="single"/>
                <w:lang w:val="en-US" w:eastAsia="zh-CN"/>
              </w:rPr>
              <w:t>8</w:t>
            </w:r>
            <w:r>
              <w:rPr>
                <w:rFonts w:hint="eastAsia" w:ascii="宋体" w:hAnsi="宋体"/>
                <w:color w:val="auto"/>
                <w:szCs w:val="21"/>
                <w:u w:val="single"/>
              </w:rPr>
              <w:t xml:space="preserve"> </w:t>
            </w:r>
            <w:r>
              <w:rPr>
                <w:rFonts w:hint="eastAsia" w:ascii="宋体" w:hAnsi="宋体"/>
                <w:color w:val="auto"/>
                <w:szCs w:val="21"/>
              </w:rPr>
              <w:t>分</w:t>
            </w:r>
          </w:p>
          <w:p>
            <w:pPr>
              <w:spacing w:line="360" w:lineRule="exact"/>
              <w:rPr>
                <w:rFonts w:hint="eastAsia" w:ascii="宋体" w:hAnsi="宋体"/>
                <w:b/>
                <w:color w:val="auto"/>
                <w:szCs w:val="21"/>
              </w:rPr>
            </w:pPr>
            <w:r>
              <w:rPr>
                <w:rFonts w:hint="eastAsia" w:ascii="宋体" w:hAnsi="宋体"/>
                <w:b/>
                <w:color w:val="auto"/>
                <w:szCs w:val="21"/>
              </w:rPr>
              <w:t>第二个信封报价（评标价）的分值：</w:t>
            </w:r>
          </w:p>
          <w:p>
            <w:pPr>
              <w:pStyle w:val="2"/>
              <w:spacing w:line="360" w:lineRule="exact"/>
              <w:ind w:left="0" w:leftChars="0"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rPr>
              <w:t>评标价：</w:t>
            </w:r>
            <w:r>
              <w:rPr>
                <w:rFonts w:hint="eastAsia" w:ascii="宋体" w:hAnsi="宋体"/>
                <w:color w:val="auto"/>
                <w:szCs w:val="21"/>
                <w:u w:val="single"/>
                <w:lang w:val="en-US" w:eastAsia="zh-CN"/>
              </w:rPr>
              <w:t>9</w:t>
            </w:r>
            <w:r>
              <w:rPr>
                <w:rFonts w:hint="eastAsia" w:ascii="宋体" w:hAnsi="宋体"/>
                <w:color w:val="auto"/>
                <w:szCs w:val="21"/>
                <w:u w:val="single"/>
              </w:rPr>
              <w:t xml:space="preserve">0 </w:t>
            </w:r>
            <w:r>
              <w:rPr>
                <w:rFonts w:hint="eastAsia" w:ascii="宋体" w:hAnsi="宋体"/>
                <w:color w:val="auto"/>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86" w:hRule="atLeast"/>
          <w:jc w:val="center"/>
        </w:trPr>
        <w:tc>
          <w:tcPr>
            <w:tcW w:w="741" w:type="dxa"/>
            <w:tcBorders>
              <w:top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ascii="宋体" w:hAnsi="宋体"/>
                <w:color w:val="auto"/>
                <w:szCs w:val="21"/>
                <w:highlight w:val="none"/>
              </w:rPr>
              <w:t>2.2.2</w:t>
            </w:r>
          </w:p>
        </w:tc>
        <w:tc>
          <w:tcPr>
            <w:tcW w:w="974" w:type="dxa"/>
            <w:tcBorders>
              <w:top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ascii="宋体" w:hAnsi="宋体"/>
                <w:color w:val="auto"/>
                <w:szCs w:val="21"/>
                <w:highlight w:val="none"/>
              </w:rPr>
              <w:t>评标基准价计算方法</w:t>
            </w:r>
          </w:p>
        </w:tc>
        <w:tc>
          <w:tcPr>
            <w:tcW w:w="7746"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b/>
                <w:color w:val="auto"/>
                <w:szCs w:val="21"/>
                <w:highlight w:val="none"/>
              </w:rPr>
            </w:pPr>
          </w:p>
          <w:p>
            <w:pPr>
              <w:spacing w:line="360" w:lineRule="exact"/>
              <w:rPr>
                <w:rFonts w:hint="eastAsia" w:ascii="宋体" w:hAnsi="宋体"/>
                <w:b/>
                <w:color w:val="auto"/>
                <w:szCs w:val="21"/>
                <w:highlight w:val="none"/>
              </w:rPr>
            </w:pPr>
            <w:r>
              <w:rPr>
                <w:rFonts w:hint="eastAsia" w:ascii="宋体" w:hAnsi="宋体"/>
                <w:b/>
                <w:color w:val="auto"/>
                <w:szCs w:val="21"/>
                <w:highlight w:val="none"/>
              </w:rPr>
              <w:t>评标基准价的计算：</w:t>
            </w:r>
          </w:p>
          <w:p>
            <w:pPr>
              <w:spacing w:line="360" w:lineRule="exact"/>
              <w:ind w:firstLine="411" w:firstLineChars="196"/>
              <w:rPr>
                <w:rFonts w:hint="eastAsia" w:ascii="宋体" w:hAnsi="宋体"/>
                <w:b/>
                <w:color w:val="auto"/>
                <w:szCs w:val="21"/>
                <w:highlight w:val="none"/>
              </w:rPr>
            </w:pPr>
            <w:r>
              <w:rPr>
                <w:rFonts w:hint="eastAsia" w:ascii="宋体" w:hAnsi="宋体"/>
                <w:b/>
                <w:color w:val="auto"/>
                <w:szCs w:val="21"/>
                <w:highlight w:val="none"/>
              </w:rPr>
              <w:t>在开标现场，招标人将当场计算并宣布评标基准价。</w:t>
            </w:r>
          </w:p>
          <w:p>
            <w:pPr>
              <w:spacing w:line="360" w:lineRule="exact"/>
              <w:rPr>
                <w:rFonts w:hint="eastAsia" w:ascii="宋体" w:hAnsi="宋体"/>
                <w:b/>
                <w:color w:val="auto"/>
                <w:szCs w:val="21"/>
                <w:highlight w:val="none"/>
              </w:rPr>
            </w:pPr>
            <w:r>
              <w:rPr>
                <w:rFonts w:hint="eastAsia" w:ascii="宋体" w:hAnsi="宋体"/>
                <w:b/>
                <w:color w:val="auto"/>
                <w:szCs w:val="21"/>
                <w:highlight w:val="none"/>
              </w:rPr>
              <w:t>(1) 评标价的确定：</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投标人评标价＝报价函文字报价</w:t>
            </w:r>
          </w:p>
          <w:p>
            <w:pPr>
              <w:spacing w:line="360" w:lineRule="exact"/>
              <w:rPr>
                <w:rFonts w:hint="eastAsia" w:ascii="宋体" w:hAnsi="宋体"/>
                <w:b/>
                <w:color w:val="auto"/>
                <w:kern w:val="0"/>
                <w:szCs w:val="21"/>
                <w:highlight w:val="none"/>
              </w:rPr>
            </w:pPr>
            <w:r>
              <w:rPr>
                <w:rFonts w:hint="eastAsia" w:ascii="宋体" w:hAnsi="宋体"/>
                <w:b/>
                <w:color w:val="auto"/>
                <w:kern w:val="0"/>
                <w:szCs w:val="21"/>
                <w:highlight w:val="none"/>
              </w:rPr>
              <w:t>(2) 最高评标限价的确定</w:t>
            </w:r>
          </w:p>
          <w:p>
            <w:pPr>
              <w:spacing w:line="360" w:lineRule="exact"/>
              <w:ind w:firstLine="430" w:firstLineChars="205"/>
              <w:rPr>
                <w:rFonts w:hint="eastAsia" w:ascii="宋体" w:hAnsi="宋体"/>
                <w:color w:val="auto"/>
                <w:kern w:val="0"/>
                <w:szCs w:val="21"/>
                <w:highlight w:val="none"/>
              </w:rPr>
            </w:pPr>
            <w:r>
              <w:rPr>
                <w:rFonts w:hint="eastAsia" w:ascii="宋体" w:hAnsi="宋体"/>
                <w:color w:val="auto"/>
                <w:kern w:val="0"/>
                <w:szCs w:val="21"/>
                <w:highlight w:val="none"/>
              </w:rPr>
              <w:t>招标人在施工图设计文件的基础上，根据本招标文件规定的条件和标准，自行编制或委托有相应资质单位编制预算价，经主管部门审核后确定的预算价为最高投标限价。</w:t>
            </w:r>
          </w:p>
          <w:p>
            <w:pPr>
              <w:ind w:firstLine="430" w:firstLineChars="205"/>
              <w:rPr>
                <w:rFonts w:hint="eastAsia"/>
                <w:color w:val="auto"/>
                <w:highlight w:val="none"/>
              </w:rPr>
            </w:pPr>
          </w:p>
          <w:tbl>
            <w:tblPr>
              <w:tblStyle w:val="9"/>
              <w:tblW w:w="7100" w:type="dxa"/>
              <w:jc w:val="center"/>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1290"/>
              <w:gridCol w:w="3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2295" w:type="dxa"/>
                  <w:vMerge w:val="restart"/>
                  <w:vAlign w:val="center"/>
                </w:tcPr>
                <w:p>
                  <w:pPr>
                    <w:spacing w:line="360" w:lineRule="exact"/>
                    <w:jc w:val="center"/>
                    <w:rPr>
                      <w:rFonts w:hint="default" w:ascii="宋体" w:hAnsi="宋体"/>
                      <w:color w:val="auto"/>
                      <w:kern w:val="0"/>
                      <w:szCs w:val="21"/>
                      <w:highlight w:val="none"/>
                      <w:lang w:val="en-US"/>
                    </w:rPr>
                  </w:pPr>
                  <w:r>
                    <w:rPr>
                      <w:rFonts w:hint="eastAsia" w:ascii="宋体" w:hAnsi="宋体"/>
                      <w:b/>
                      <w:bCs/>
                      <w:color w:val="auto"/>
                      <w:kern w:val="0"/>
                      <w:szCs w:val="21"/>
                      <w:highlight w:val="none"/>
                      <w:lang w:val="en-US" w:eastAsia="zh-CN"/>
                    </w:rPr>
                    <w:t>最高投标限价（元）</w:t>
                  </w:r>
                </w:p>
              </w:tc>
              <w:tc>
                <w:tcPr>
                  <w:tcW w:w="1290" w:type="dxa"/>
                  <w:vAlign w:val="center"/>
                </w:tcPr>
                <w:p>
                  <w:pPr>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大写</w:t>
                  </w:r>
                </w:p>
              </w:tc>
              <w:tc>
                <w:tcPr>
                  <w:tcW w:w="3515" w:type="dxa"/>
                  <w:vAlign w:val="center"/>
                </w:tcPr>
                <w:p>
                  <w:pPr>
                    <w:spacing w:line="360" w:lineRule="exact"/>
                    <w:jc w:val="center"/>
                    <w:rPr>
                      <w:rFonts w:hint="eastAsia" w:ascii="宋体" w:hAnsi="宋体" w:eastAsia="宋体"/>
                      <w:b/>
                      <w:bCs/>
                      <w:color w:val="auto"/>
                      <w:kern w:val="0"/>
                      <w:szCs w:val="21"/>
                      <w:highlight w:val="none"/>
                      <w:lang w:val="en-US" w:eastAsia="zh-CN"/>
                    </w:rPr>
                  </w:pPr>
                  <w:r>
                    <w:rPr>
                      <w:rFonts w:hint="eastAsia" w:ascii="宋体" w:hAnsi="宋体" w:eastAsia="宋体"/>
                      <w:b/>
                      <w:bCs/>
                      <w:color w:val="auto"/>
                      <w:kern w:val="0"/>
                      <w:szCs w:val="21"/>
                      <w:highlight w:val="none"/>
                      <w:lang w:val="en-US" w:eastAsia="zh-CN"/>
                    </w:rPr>
                    <w:t>肆佰陆拾玖万贰仟伍佰壹拾贰元/年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2295" w:type="dxa"/>
                  <w:vMerge w:val="continue"/>
                  <w:vAlign w:val="center"/>
                </w:tcPr>
                <w:p>
                  <w:pPr>
                    <w:spacing w:line="360" w:lineRule="exact"/>
                    <w:jc w:val="center"/>
                    <w:rPr>
                      <w:rFonts w:hint="eastAsia" w:ascii="宋体" w:hAnsi="宋体"/>
                      <w:color w:val="auto"/>
                      <w:kern w:val="0"/>
                      <w:szCs w:val="21"/>
                      <w:highlight w:val="none"/>
                    </w:rPr>
                  </w:pPr>
                </w:p>
              </w:tc>
              <w:tc>
                <w:tcPr>
                  <w:tcW w:w="1290" w:type="dxa"/>
                  <w:vAlign w:val="center"/>
                </w:tcPr>
                <w:p>
                  <w:pPr>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小写</w:t>
                  </w:r>
                </w:p>
              </w:tc>
              <w:tc>
                <w:tcPr>
                  <w:tcW w:w="3515" w:type="dxa"/>
                  <w:vAlign w:val="center"/>
                </w:tcPr>
                <w:p>
                  <w:pPr>
                    <w:spacing w:line="360" w:lineRule="exact"/>
                    <w:jc w:val="center"/>
                    <w:rPr>
                      <w:rFonts w:hint="eastAsia" w:ascii="宋体" w:hAnsi="宋体" w:eastAsia="宋体"/>
                      <w:b/>
                      <w:bCs/>
                      <w:color w:val="auto"/>
                      <w:kern w:val="0"/>
                      <w:szCs w:val="21"/>
                      <w:highlight w:val="none"/>
                      <w:lang w:val="en-US" w:eastAsia="zh-CN"/>
                    </w:rPr>
                  </w:pPr>
                  <w:r>
                    <w:rPr>
                      <w:rFonts w:hint="eastAsia" w:ascii="宋体" w:hAnsi="宋体"/>
                      <w:b/>
                      <w:bCs/>
                      <w:color w:val="auto"/>
                      <w:kern w:val="0"/>
                      <w:szCs w:val="21"/>
                      <w:highlight w:val="none"/>
                      <w:lang w:val="en-US" w:eastAsia="zh-CN"/>
                    </w:rPr>
                    <w:t>￥4692512元/年</w:t>
                  </w:r>
                </w:p>
              </w:tc>
            </w:tr>
          </w:tbl>
          <w:p>
            <w:pPr>
              <w:snapToGrid w:val="0"/>
              <w:spacing w:line="360" w:lineRule="exact"/>
              <w:ind w:firstLine="420" w:firstLineChars="200"/>
              <w:rPr>
                <w:rFonts w:hint="eastAsia" w:ascii="宋体" w:hAnsi="宋体"/>
                <w:b/>
                <w:snapToGrid w:val="0"/>
                <w:color w:val="auto"/>
                <w:szCs w:val="21"/>
                <w:highlight w:val="none"/>
              </w:rPr>
            </w:pPr>
          </w:p>
          <w:p>
            <w:pPr>
              <w:snapToGrid w:val="0"/>
              <w:spacing w:line="360" w:lineRule="exact"/>
              <w:ind w:firstLine="420" w:firstLineChars="200"/>
              <w:rPr>
                <w:rFonts w:hint="eastAsia"/>
                <w:color w:val="auto"/>
                <w:highlight w:val="none"/>
              </w:rPr>
            </w:pPr>
            <w:r>
              <w:rPr>
                <w:rFonts w:hint="eastAsia" w:ascii="宋体" w:hAnsi="宋体"/>
                <w:b/>
                <w:snapToGrid w:val="0"/>
                <w:color w:val="auto"/>
                <w:szCs w:val="21"/>
                <w:highlight w:val="none"/>
              </w:rPr>
              <w:t>投标人报价不能超过</w:t>
            </w:r>
            <w:r>
              <w:rPr>
                <w:rFonts w:hint="eastAsia" w:ascii="宋体" w:hAnsi="宋体"/>
                <w:b/>
                <w:color w:val="auto"/>
                <w:kern w:val="0"/>
                <w:szCs w:val="21"/>
                <w:highlight w:val="none"/>
              </w:rPr>
              <w:t>最高投标限价，</w:t>
            </w:r>
            <w:r>
              <w:rPr>
                <w:rFonts w:hint="eastAsia" w:ascii="宋体" w:hAnsi="宋体"/>
                <w:b/>
                <w:snapToGrid w:val="0"/>
                <w:color w:val="auto"/>
                <w:szCs w:val="21"/>
                <w:highlight w:val="none"/>
              </w:rPr>
              <w:t>否则按否决其投标处理。</w:t>
            </w:r>
          </w:p>
          <w:p>
            <w:pPr>
              <w:spacing w:line="360" w:lineRule="exact"/>
              <w:ind w:firstLine="411" w:firstLineChars="196"/>
              <w:rPr>
                <w:rFonts w:hint="eastAsia" w:ascii="宋体" w:hAnsi="宋体"/>
                <w:color w:val="auto"/>
                <w:kern w:val="0"/>
                <w:szCs w:val="21"/>
                <w:highlight w:val="none"/>
              </w:rPr>
            </w:pPr>
            <w:r>
              <w:rPr>
                <w:rFonts w:hint="eastAsia" w:ascii="宋体" w:hAnsi="宋体"/>
                <w:color w:val="auto"/>
                <w:kern w:val="0"/>
                <w:szCs w:val="21"/>
                <w:highlight w:val="none"/>
              </w:rPr>
              <w:t>最高投标限价下浮率在开标前在开标现场采取摇珠方式确定。</w:t>
            </w:r>
          </w:p>
          <w:p>
            <w:pPr>
              <w:spacing w:line="360" w:lineRule="exact"/>
              <w:ind w:firstLine="411" w:firstLineChars="196"/>
              <w:rPr>
                <w:rFonts w:hint="eastAsia" w:ascii="宋体" w:hAnsi="宋体"/>
                <w:snapToGrid w:val="0"/>
                <w:color w:val="auto"/>
                <w:szCs w:val="21"/>
                <w:highlight w:val="none"/>
              </w:rPr>
            </w:pPr>
            <w:r>
              <w:rPr>
                <w:rFonts w:hint="eastAsia" w:ascii="宋体" w:hAnsi="宋体"/>
                <w:snapToGrid w:val="0"/>
                <w:color w:val="auto"/>
                <w:szCs w:val="21"/>
                <w:highlight w:val="none"/>
              </w:rPr>
              <w:t>摇珠操作办法如下：在下浮率</w:t>
            </w:r>
            <w:r>
              <w:rPr>
                <w:rFonts w:hint="eastAsia" w:ascii="宋体" w:hAnsi="宋体"/>
                <w:snapToGrid w:val="0"/>
                <w:color w:val="auto"/>
                <w:szCs w:val="21"/>
                <w:highlight w:val="none"/>
                <w:lang w:val="en-US" w:eastAsia="zh-CN"/>
              </w:rPr>
              <w:t>摇珠</w:t>
            </w:r>
            <w:r>
              <w:rPr>
                <w:rFonts w:hint="eastAsia" w:ascii="宋体" w:hAnsi="宋体"/>
                <w:snapToGrid w:val="0"/>
                <w:color w:val="auto"/>
                <w:szCs w:val="21"/>
                <w:highlight w:val="none"/>
              </w:rPr>
              <w:t>范围内，以0.1%为一档次增序确定摇珠号码，一共31个球</w:t>
            </w:r>
            <w:r>
              <w:rPr>
                <w:rFonts w:hint="eastAsia" w:ascii="宋体" w:hAnsi="宋体"/>
                <w:b/>
                <w:bCs/>
                <w:snapToGrid w:val="0"/>
                <w:color w:val="auto"/>
                <w:szCs w:val="21"/>
                <w:highlight w:val="none"/>
              </w:rPr>
              <w:t>，</w:t>
            </w:r>
            <w:r>
              <w:rPr>
                <w:rFonts w:hint="eastAsia" w:ascii="宋体" w:hAnsi="宋体"/>
                <w:snapToGrid w:val="0"/>
                <w:color w:val="auto"/>
                <w:szCs w:val="21"/>
                <w:highlight w:val="none"/>
              </w:rPr>
              <w:t>连续依次摇取三个球</w:t>
            </w:r>
            <w:r>
              <w:rPr>
                <w:rFonts w:hint="eastAsia" w:ascii="宋体" w:hAnsi="宋体"/>
                <w:snapToGrid w:val="0"/>
                <w:color w:val="auto"/>
                <w:szCs w:val="21"/>
                <w:highlight w:val="none"/>
                <w:lang w:eastAsia="zh-CN"/>
              </w:rPr>
              <w:t>（</w:t>
            </w:r>
            <w:r>
              <w:rPr>
                <w:rFonts w:hint="eastAsia" w:ascii="宋体" w:hAnsi="宋体"/>
                <w:snapToGrid w:val="0"/>
                <w:color w:val="auto"/>
                <w:szCs w:val="21"/>
                <w:highlight w:val="none"/>
                <w:lang w:val="en-US" w:eastAsia="zh-CN"/>
              </w:rPr>
              <w:t>摇出的球不放回</w:t>
            </w:r>
            <w:r>
              <w:rPr>
                <w:rFonts w:hint="eastAsia" w:ascii="宋体" w:hAnsi="宋体"/>
                <w:snapToGrid w:val="0"/>
                <w:color w:val="auto"/>
                <w:szCs w:val="21"/>
                <w:highlight w:val="none"/>
                <w:lang w:eastAsia="zh-CN"/>
              </w:rPr>
              <w:t>）</w:t>
            </w:r>
            <w:r>
              <w:rPr>
                <w:rFonts w:hint="eastAsia" w:ascii="宋体" w:hAnsi="宋体"/>
                <w:snapToGrid w:val="0"/>
                <w:color w:val="auto"/>
                <w:szCs w:val="21"/>
                <w:highlight w:val="none"/>
              </w:rPr>
              <w:t>，摇出号码对应的下浮率平均值即为本</w:t>
            </w:r>
            <w:r>
              <w:rPr>
                <w:rFonts w:hint="eastAsia" w:ascii="宋体" w:hAnsi="宋体"/>
                <w:snapToGrid w:val="0"/>
                <w:color w:val="auto"/>
                <w:szCs w:val="21"/>
                <w:highlight w:val="none"/>
                <w:lang w:val="en-US" w:eastAsia="zh-CN"/>
              </w:rPr>
              <w:t>标段</w:t>
            </w:r>
            <w:r>
              <w:rPr>
                <w:rFonts w:hint="eastAsia" w:ascii="宋体" w:hAnsi="宋体"/>
                <w:snapToGrid w:val="0"/>
                <w:color w:val="auto"/>
                <w:szCs w:val="21"/>
                <w:highlight w:val="none"/>
              </w:rPr>
              <w:t>的下浮率。</w:t>
            </w:r>
          </w:p>
          <w:p>
            <w:pPr>
              <w:snapToGrid w:val="0"/>
              <w:spacing w:line="360" w:lineRule="exact"/>
              <w:ind w:firstLine="420" w:firstLineChars="200"/>
              <w:rPr>
                <w:rFonts w:hint="eastAsia" w:ascii="宋体" w:hAnsi="宋体"/>
                <w:snapToGrid w:val="0"/>
                <w:color w:val="auto"/>
                <w:szCs w:val="21"/>
                <w:highlight w:val="none"/>
              </w:rPr>
            </w:pPr>
            <w:r>
              <w:rPr>
                <w:rFonts w:hint="eastAsia" w:ascii="宋体" w:hAnsi="宋体"/>
                <w:b/>
                <w:snapToGrid w:val="0"/>
                <w:color w:val="auto"/>
                <w:szCs w:val="21"/>
                <w:highlight w:val="none"/>
              </w:rPr>
              <w:t>（注：下浮率范围控制在</w:t>
            </w:r>
            <w:r>
              <w:rPr>
                <w:rFonts w:hint="eastAsia" w:ascii="宋体" w:hAnsi="宋体"/>
                <w:b/>
                <w:snapToGrid w:val="0"/>
                <w:color w:val="auto"/>
                <w:szCs w:val="21"/>
                <w:highlight w:val="none"/>
                <w:u w:val="single"/>
              </w:rPr>
              <w:t xml:space="preserve"> 3 %～ 6 %</w:t>
            </w:r>
            <w:r>
              <w:rPr>
                <w:rFonts w:hint="eastAsia" w:ascii="宋体" w:hAnsi="宋体"/>
                <w:b/>
                <w:snapToGrid w:val="0"/>
                <w:color w:val="auto"/>
                <w:szCs w:val="21"/>
                <w:highlight w:val="none"/>
              </w:rPr>
              <w:t>浮动区间，摇出三个下浮率的平均值四舍五入精确到</w:t>
            </w:r>
            <w:r>
              <w:rPr>
                <w:rFonts w:ascii="宋体" w:hAnsi="宋体"/>
                <w:b/>
                <w:snapToGrid w:val="0"/>
                <w:color w:val="auto"/>
                <w:szCs w:val="21"/>
                <w:highlight w:val="none"/>
              </w:rPr>
              <w:t>0.001</w:t>
            </w:r>
            <w:r>
              <w:rPr>
                <w:rFonts w:hint="eastAsia" w:ascii="宋体" w:hAnsi="宋体"/>
                <w:b/>
                <w:snapToGrid w:val="0"/>
                <w:color w:val="auto"/>
                <w:szCs w:val="21"/>
                <w:highlight w:val="none"/>
              </w:rPr>
              <w:t>％）</w:t>
            </w:r>
          </w:p>
          <w:p>
            <w:pPr>
              <w:snapToGrid w:val="0"/>
              <w:spacing w:line="360" w:lineRule="exact"/>
              <w:ind w:firstLine="420" w:firstLineChars="200"/>
              <w:rPr>
                <w:rFonts w:hint="eastAsia" w:ascii="宋体" w:hAnsi="宋体"/>
                <w:b/>
                <w:color w:val="auto"/>
                <w:kern w:val="0"/>
                <w:szCs w:val="21"/>
                <w:highlight w:val="none"/>
              </w:rPr>
            </w:pPr>
            <w:r>
              <w:rPr>
                <w:rFonts w:hint="eastAsia" w:ascii="宋体" w:hAnsi="宋体"/>
                <w:b/>
                <w:color w:val="auto"/>
                <w:kern w:val="0"/>
                <w:szCs w:val="21"/>
                <w:highlight w:val="none"/>
              </w:rPr>
              <w:t>最高评标限价＝最高投标限价×（1-下浮率）</w:t>
            </w:r>
          </w:p>
          <w:p>
            <w:pPr>
              <w:snapToGrid w:val="0"/>
              <w:spacing w:line="360" w:lineRule="exact"/>
              <w:rPr>
                <w:rFonts w:hint="eastAsia" w:ascii="宋体" w:hAnsi="宋体"/>
                <w:b/>
                <w:snapToGrid w:val="0"/>
                <w:color w:val="auto"/>
                <w:szCs w:val="21"/>
                <w:highlight w:val="none"/>
              </w:rPr>
            </w:pPr>
            <w:r>
              <w:rPr>
                <w:rFonts w:hint="eastAsia" w:ascii="宋体" w:hAnsi="宋体"/>
                <w:b/>
                <w:snapToGrid w:val="0"/>
                <w:color w:val="auto"/>
                <w:szCs w:val="21"/>
                <w:highlight w:val="none"/>
              </w:rPr>
              <w:t>（3）有效评标价的范围：</w:t>
            </w:r>
          </w:p>
          <w:p>
            <w:pPr>
              <w:snapToGrid w:val="0"/>
              <w:spacing w:line="360" w:lineRule="exact"/>
              <w:ind w:firstLine="420" w:firstLineChars="200"/>
              <w:rPr>
                <w:rFonts w:hint="eastAsia" w:ascii="宋体" w:hAnsi="宋体"/>
                <w:snapToGrid w:val="0"/>
                <w:color w:val="auto"/>
                <w:szCs w:val="21"/>
                <w:highlight w:val="none"/>
              </w:rPr>
            </w:pPr>
            <w:r>
              <w:rPr>
                <w:rFonts w:hint="eastAsia" w:ascii="宋体" w:hAnsi="宋体"/>
                <w:snapToGrid w:val="0"/>
                <w:color w:val="auto"/>
                <w:szCs w:val="21"/>
                <w:highlight w:val="none"/>
              </w:rPr>
              <w:t>有效评标价的范围：不大于最高评标限价的评标价为有效评标价。</w:t>
            </w:r>
          </w:p>
          <w:p>
            <w:pPr>
              <w:snapToGrid w:val="0"/>
              <w:spacing w:line="360" w:lineRule="exact"/>
              <w:ind w:firstLine="420" w:firstLineChars="200"/>
              <w:rPr>
                <w:rFonts w:hint="eastAsia" w:ascii="宋体" w:hAnsi="宋体"/>
                <w:snapToGrid w:val="0"/>
                <w:color w:val="auto"/>
                <w:szCs w:val="21"/>
                <w:highlight w:val="none"/>
              </w:rPr>
            </w:pPr>
            <w:r>
              <w:rPr>
                <w:rFonts w:hint="eastAsia" w:ascii="宋体" w:hAnsi="宋体"/>
                <w:snapToGrid w:val="0"/>
                <w:color w:val="auto"/>
                <w:szCs w:val="21"/>
                <w:highlight w:val="none"/>
              </w:rPr>
              <w:t>若大于最高评标限价的评标价，将否决其投标。</w:t>
            </w:r>
          </w:p>
          <w:p>
            <w:pPr>
              <w:snapToGrid w:val="0"/>
              <w:spacing w:line="360" w:lineRule="exact"/>
              <w:rPr>
                <w:rFonts w:hint="eastAsia" w:ascii="宋体" w:hAnsi="宋体"/>
                <w:b/>
                <w:snapToGrid w:val="0"/>
                <w:color w:val="auto"/>
                <w:szCs w:val="21"/>
                <w:highlight w:val="none"/>
              </w:rPr>
            </w:pPr>
            <w:r>
              <w:rPr>
                <w:rFonts w:hint="eastAsia" w:ascii="宋体" w:hAnsi="宋体"/>
                <w:b/>
                <w:snapToGrid w:val="0"/>
                <w:color w:val="auto"/>
                <w:szCs w:val="21"/>
                <w:highlight w:val="none"/>
              </w:rPr>
              <w:t>（4）</w:t>
            </w:r>
            <w:r>
              <w:rPr>
                <w:rFonts w:ascii="宋体" w:hAnsi="宋体"/>
                <w:b/>
                <w:snapToGrid w:val="0"/>
                <w:color w:val="auto"/>
                <w:szCs w:val="21"/>
                <w:highlight w:val="none"/>
              </w:rPr>
              <w:t>评标基准价的确定</w:t>
            </w:r>
            <w:r>
              <w:rPr>
                <w:rFonts w:hint="eastAsia" w:ascii="宋体" w:hAnsi="宋体"/>
                <w:b/>
                <w:snapToGrid w:val="0"/>
                <w:color w:val="auto"/>
                <w:szCs w:val="21"/>
                <w:highlight w:val="none"/>
              </w:rPr>
              <w:t>：</w:t>
            </w:r>
          </w:p>
          <w:p>
            <w:pPr>
              <w:snapToGrid w:val="0"/>
              <w:spacing w:line="360" w:lineRule="exact"/>
              <w:ind w:firstLine="420" w:firstLineChars="200"/>
              <w:rPr>
                <w:rFonts w:hint="eastAsia" w:ascii="宋体" w:hAnsi="宋体"/>
                <w:b/>
                <w:snapToGrid w:val="0"/>
                <w:color w:val="auto"/>
                <w:szCs w:val="21"/>
                <w:highlight w:val="none"/>
              </w:rPr>
            </w:pPr>
            <w:r>
              <w:rPr>
                <w:rFonts w:hint="eastAsia" w:ascii="宋体" w:hAnsi="宋体"/>
                <w:b/>
                <w:snapToGrid w:val="0"/>
                <w:color w:val="auto"/>
                <w:szCs w:val="21"/>
                <w:highlight w:val="none"/>
              </w:rPr>
              <w:t>评标基准价=</w:t>
            </w:r>
            <w:r>
              <w:rPr>
                <w:rFonts w:hint="eastAsia" w:ascii="宋体" w:hAnsi="宋体"/>
                <w:b/>
                <w:color w:val="auto"/>
                <w:kern w:val="0"/>
                <w:szCs w:val="21"/>
                <w:highlight w:val="none"/>
              </w:rPr>
              <w:t>最高评标限价</w:t>
            </w:r>
            <w:r>
              <w:rPr>
                <w:rFonts w:hint="eastAsia" w:ascii="宋体" w:hAnsi="宋体"/>
                <w:b/>
                <w:snapToGrid w:val="0"/>
                <w:color w:val="auto"/>
                <w:szCs w:val="21"/>
                <w:highlight w:val="none"/>
              </w:rPr>
              <w:t>×0.98。</w:t>
            </w:r>
          </w:p>
          <w:p>
            <w:pPr>
              <w:spacing w:line="360" w:lineRule="exact"/>
              <w:ind w:firstLine="420" w:firstLineChars="200"/>
              <w:rPr>
                <w:rFonts w:hint="eastAsia" w:ascii="宋体" w:hAnsi="宋体"/>
                <w:color w:val="auto"/>
                <w:szCs w:val="21"/>
                <w:highlight w:val="none"/>
              </w:rPr>
            </w:pPr>
            <w:r>
              <w:rPr>
                <w:rFonts w:hint="eastAsia" w:ascii="宋体" w:hAnsi="宋体"/>
                <w:snapToGrid w:val="0"/>
                <w:color w:val="auto"/>
                <w:szCs w:val="21"/>
                <w:highlight w:val="none"/>
              </w:rPr>
              <w:t>备注：</w:t>
            </w:r>
            <w:r>
              <w:rPr>
                <w:rFonts w:hint="eastAsia" w:ascii="宋体" w:hAnsi="宋体"/>
                <w:color w:val="auto"/>
                <w:kern w:val="0"/>
                <w:szCs w:val="21"/>
                <w:highlight w:val="none"/>
              </w:rPr>
              <w:t>最高评标限价</w:t>
            </w:r>
            <w:r>
              <w:rPr>
                <w:rFonts w:hint="eastAsia" w:ascii="宋体" w:hAnsi="宋体"/>
                <w:color w:val="auto"/>
                <w:szCs w:val="21"/>
                <w:highlight w:val="none"/>
              </w:rPr>
              <w:t>、评标基准价D四舍五入精确至个位整数元。</w:t>
            </w:r>
          </w:p>
          <w:p>
            <w:pPr>
              <w:spacing w:line="360" w:lineRule="exact"/>
              <w:ind w:firstLine="411" w:firstLineChars="196"/>
              <w:rPr>
                <w:rFonts w:hint="eastAsia" w:ascii="宋体" w:hAnsi="宋体"/>
                <w:b/>
                <w:color w:val="auto"/>
                <w:szCs w:val="21"/>
                <w:highlight w:val="none"/>
              </w:rPr>
            </w:pPr>
          </w:p>
          <w:p>
            <w:pPr>
              <w:spacing w:line="360" w:lineRule="exact"/>
              <w:ind w:firstLine="411" w:firstLineChars="196"/>
              <w:rPr>
                <w:rFonts w:hint="eastAsia" w:ascii="宋体" w:hAnsi="宋体"/>
                <w:b/>
                <w:color w:val="auto"/>
                <w:szCs w:val="21"/>
                <w:highlight w:val="none"/>
              </w:rPr>
            </w:pPr>
            <w:r>
              <w:rPr>
                <w:rFonts w:hint="eastAsia" w:ascii="宋体" w:hAnsi="宋体"/>
                <w:b/>
                <w:color w:val="auto"/>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p>
            <w:pPr>
              <w:spacing w:line="360" w:lineRule="exact"/>
              <w:ind w:firstLine="548" w:firstLineChars="196"/>
              <w:rPr>
                <w:rFonts w:hint="eastAsia"/>
                <w:b/>
                <w:bCs/>
                <w:i w:val="0"/>
                <w:iCs w:val="0"/>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42" w:hRule="atLeast"/>
          <w:jc w:val="center"/>
        </w:trPr>
        <w:tc>
          <w:tcPr>
            <w:tcW w:w="741" w:type="dxa"/>
            <w:tcBorders>
              <w:top w:val="single" w:color="auto" w:sz="4"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ascii="宋体" w:hAnsi="宋体"/>
                <w:color w:val="auto"/>
                <w:szCs w:val="21"/>
                <w:highlight w:val="none"/>
              </w:rPr>
              <w:t>2.2.3</w:t>
            </w:r>
          </w:p>
        </w:tc>
        <w:tc>
          <w:tcPr>
            <w:tcW w:w="974" w:type="dxa"/>
            <w:tcBorders>
              <w:top w:val="single" w:color="auto" w:sz="4"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color w:val="auto"/>
                <w:highlight w:val="none"/>
              </w:rPr>
              <w:t>偏差率计算公式</w:t>
            </w:r>
          </w:p>
        </w:tc>
        <w:tc>
          <w:tcPr>
            <w:tcW w:w="7746"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b/>
                <w:color w:val="auto"/>
                <w:szCs w:val="21"/>
                <w:highlight w:val="none"/>
              </w:rPr>
            </w:pPr>
            <w:r>
              <w:rPr>
                <w:rFonts w:ascii="宋体" w:hAnsi="宋体"/>
                <w:color w:val="auto"/>
                <w:szCs w:val="21"/>
                <w:highlight w:val="none"/>
              </w:rPr>
              <w:t>偏差率=100% ×(投标人评标价－评标基准价)/评标基准价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79" w:hRule="atLeast"/>
          <w:jc w:val="center"/>
        </w:trPr>
        <w:tc>
          <w:tcPr>
            <w:tcW w:w="741" w:type="dxa"/>
            <w:tcBorders>
              <w:top w:val="single" w:color="auto" w:sz="4" w:space="0"/>
              <w:bottom w:val="single" w:color="auto" w:sz="4" w:space="0"/>
              <w:right w:val="single" w:color="auto" w:sz="4" w:space="0"/>
            </w:tcBorders>
            <w:vAlign w:val="center"/>
          </w:tcPr>
          <w:p>
            <w:pPr>
              <w:spacing w:line="360" w:lineRule="exact"/>
              <w:jc w:val="center"/>
              <w:rPr>
                <w:rFonts w:hint="eastAsia" w:ascii="宋体" w:hAnsi="宋体"/>
                <w:b/>
                <w:bCs/>
                <w:color w:val="auto"/>
                <w:szCs w:val="21"/>
                <w:highlight w:val="none"/>
              </w:rPr>
            </w:pPr>
            <w:r>
              <w:rPr>
                <w:rFonts w:hint="eastAsia" w:ascii="宋体" w:hAnsi="宋体"/>
                <w:b/>
                <w:bCs/>
                <w:color w:val="auto"/>
                <w:szCs w:val="21"/>
                <w:highlight w:val="none"/>
              </w:rPr>
              <w:t>2.2.4（</w:t>
            </w:r>
            <w:r>
              <w:rPr>
                <w:rFonts w:hint="eastAsia" w:ascii="宋体" w:hAnsi="宋体"/>
                <w:b/>
                <w:bCs/>
                <w:color w:val="auto"/>
                <w:szCs w:val="21"/>
                <w:highlight w:val="none"/>
                <w:lang w:val="en-US" w:eastAsia="zh-CN"/>
              </w:rPr>
              <w:t>3</w:t>
            </w:r>
            <w:r>
              <w:rPr>
                <w:rFonts w:hint="eastAsia" w:ascii="宋体" w:hAnsi="宋体"/>
                <w:b/>
                <w:bCs/>
                <w:color w:val="auto"/>
                <w:szCs w:val="21"/>
                <w:highlight w:val="none"/>
              </w:rPr>
              <w:t>）</w:t>
            </w:r>
          </w:p>
        </w:tc>
        <w:tc>
          <w:tcPr>
            <w:tcW w:w="974" w:type="dxa"/>
            <w:tcBorders>
              <w:top w:val="single" w:color="auto" w:sz="4" w:space="0"/>
              <w:bottom w:val="single" w:color="auto" w:sz="4" w:space="0"/>
              <w:right w:val="single" w:color="auto" w:sz="4" w:space="0"/>
            </w:tcBorders>
            <w:vAlign w:val="center"/>
          </w:tcPr>
          <w:p>
            <w:pPr>
              <w:spacing w:line="360" w:lineRule="exact"/>
              <w:jc w:val="center"/>
              <w:rPr>
                <w:rFonts w:hint="eastAsia" w:ascii="宋体" w:hAnsi="宋体"/>
                <w:b/>
                <w:bCs/>
                <w:color w:val="auto"/>
                <w:szCs w:val="21"/>
                <w:highlight w:val="none"/>
              </w:rPr>
            </w:pPr>
            <w:r>
              <w:rPr>
                <w:rFonts w:hint="eastAsia" w:ascii="宋体" w:hAnsi="宋体"/>
                <w:b/>
                <w:bCs/>
                <w:color w:val="auto"/>
                <w:szCs w:val="21"/>
                <w:highlight w:val="none"/>
              </w:rPr>
              <w:t>评标价</w:t>
            </w:r>
          </w:p>
        </w:tc>
        <w:tc>
          <w:tcPr>
            <w:tcW w:w="7746" w:type="dxa"/>
            <w:tcBorders>
              <w:top w:val="single" w:color="auto" w:sz="4" w:space="0"/>
              <w:left w:val="single" w:color="auto" w:sz="4" w:space="0"/>
              <w:bottom w:val="single" w:color="auto" w:sz="4" w:space="0"/>
              <w:right w:val="single" w:color="auto" w:sz="4" w:space="0"/>
            </w:tcBorders>
            <w:vAlign w:val="center"/>
          </w:tcPr>
          <w:p>
            <w:pPr>
              <w:pStyle w:val="2"/>
              <w:spacing w:line="360" w:lineRule="exact"/>
              <w:ind w:left="0" w:leftChars="0"/>
              <w:rPr>
                <w:rFonts w:hint="eastAsia" w:ascii="宋体" w:hAnsi="宋体"/>
                <w:b/>
                <w:color w:val="auto"/>
                <w:kern w:val="2"/>
                <w:sz w:val="21"/>
                <w:szCs w:val="24"/>
                <w:highlight w:val="none"/>
                <w:lang w:val="en-US" w:eastAsia="zh-CN" w:bidi="ar-SA"/>
              </w:rPr>
            </w:pPr>
            <w:r>
              <w:rPr>
                <w:rFonts w:hint="eastAsia" w:ascii="宋体" w:hAnsi="宋体"/>
                <w:b/>
                <w:color w:val="auto"/>
                <w:kern w:val="2"/>
                <w:sz w:val="21"/>
                <w:szCs w:val="24"/>
                <w:highlight w:val="none"/>
                <w:lang w:val="en-US" w:eastAsia="zh-CN" w:bidi="ar-SA"/>
              </w:rPr>
              <w:t>满分：90分</w:t>
            </w:r>
          </w:p>
          <w:p>
            <w:pPr>
              <w:pStyle w:val="2"/>
              <w:spacing w:line="360" w:lineRule="exact"/>
              <w:rPr>
                <w:rFonts w:hint="eastAsia" w:ascii="宋体" w:hAnsi="宋体"/>
                <w:b/>
                <w:color w:val="auto"/>
                <w:highlight w:val="none"/>
              </w:rPr>
            </w:pPr>
            <w:r>
              <w:rPr>
                <w:rFonts w:hint="eastAsia" w:ascii="宋体" w:hAnsi="宋体"/>
                <w:b/>
                <w:color w:val="auto"/>
                <w:highlight w:val="none"/>
              </w:rPr>
              <w:t>评标价得分计算公式示例：</w:t>
            </w:r>
          </w:p>
          <w:p>
            <w:pPr>
              <w:pStyle w:val="2"/>
              <w:spacing w:line="360" w:lineRule="exact"/>
              <w:ind w:left="0" w:leftChars="0"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当报价人的</w:t>
            </w:r>
            <w:r>
              <w:rPr>
                <w:rFonts w:hint="eastAsia" w:ascii="宋体" w:hAnsi="宋体"/>
                <w:b/>
                <w:bCs/>
                <w:color w:val="auto"/>
                <w:sz w:val="21"/>
                <w:szCs w:val="21"/>
                <w:highlight w:val="none"/>
                <w:lang w:val="en-US" w:eastAsia="zh-CN"/>
              </w:rPr>
              <w:t>评标价</w:t>
            </w:r>
            <w:r>
              <w:rPr>
                <w:rFonts w:hint="eastAsia" w:ascii="宋体" w:hAnsi="宋体"/>
                <w:color w:val="auto"/>
                <w:sz w:val="21"/>
                <w:szCs w:val="21"/>
                <w:highlight w:val="none"/>
                <w:lang w:val="en-US" w:eastAsia="zh-CN"/>
              </w:rPr>
              <w:t>等于D时得满分，每高于D一个百分点扣1.5分，每低于D一个百分点扣0.5分，中间值按比例内插。用公式表示如下：</w:t>
            </w:r>
          </w:p>
          <w:p>
            <w:pPr>
              <w:pStyle w:val="2"/>
              <w:spacing w:line="360" w:lineRule="auto"/>
              <w:rPr>
                <w:rFonts w:hint="eastAsia" w:ascii="宋体" w:hAnsi="宋体" w:eastAsia="宋体" w:cs="宋体"/>
                <w:color w:val="auto"/>
                <w:szCs w:val="21"/>
                <w:highlight w:val="none"/>
              </w:rPr>
            </w:pPr>
            <w:r>
              <w:rPr>
                <w:rFonts w:hint="eastAsia" w:ascii="宋体" w:hAnsi="宋体" w:eastAsia="宋体" w:cs="宋体"/>
                <w:color w:val="auto"/>
                <w:position w:val="-24"/>
                <w:szCs w:val="21"/>
                <w:highlight w:val="none"/>
              </w:rPr>
              <w:object>
                <v:shape id="_x0000_i1025" o:spt="75" type="#_x0000_t75" style="height:38.9pt;width:156.55pt;" o:ole="t" filled="f" o:preferrelative="t" stroked="f" coordsize="21600,21600">
                  <v:path/>
                  <v:fill on="f" alignshape="1" focussize="0,0"/>
                  <v:stroke on="f"/>
                  <v:imagedata r:id="rId7" o:title=""/>
                  <o:lock v:ext="edit" aspectratio="t"/>
                  <w10:wrap type="none"/>
                  <w10:anchorlock/>
                </v:shape>
                <o:OLEObject Type="Embed" ProgID="Equation.3" ShapeID="_x0000_i1025" DrawAspect="Content" ObjectID="_1468075725" r:id="rId6">
                  <o:LockedField>false</o:LockedField>
                </o:OLEObject>
              </w:object>
            </w:r>
          </w:p>
          <w:p>
            <w:pPr>
              <w:pStyle w:val="2"/>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式中：</w:t>
            </w:r>
            <w:r>
              <w:rPr>
                <w:rFonts w:hint="eastAsia" w:ascii="宋体" w:hAnsi="宋体" w:eastAsia="宋体" w:cs="宋体"/>
                <w:color w:val="auto"/>
                <w:sz w:val="21"/>
                <w:szCs w:val="21"/>
                <w:highlight w:val="none"/>
              </w:rPr>
              <w:object>
                <v:shape id="_x0000_i1026" o:spt="75" type="#_x0000_t75" style="height:18pt;width:13pt;" o:ole="t" filled="f" o:preferrelative="t" stroked="f" coordsize="21600,21600">
                  <v:path/>
                  <v:fill on="f" alignshape="1" focussize="0,0"/>
                  <v:stroke on="f"/>
                  <v:imagedata r:id="rId9" o:title=""/>
                  <o:lock v:ext="edit" aspectratio="t"/>
                  <w10:wrap type="none"/>
                  <w10:anchorlock/>
                </v:shape>
                <o:OLEObject Type="Embed" ProgID="Equation.3" ShapeID="_x0000_i1026" DrawAspect="Content" ObjectID="_1468075726" r:id="rId8">
                  <o:LockedField>false</o:LockedField>
                </o:OLEObject>
              </w:objec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val="en-US" w:eastAsia="zh-CN"/>
              </w:rPr>
              <w:t>的评标价</w:t>
            </w:r>
            <w:r>
              <w:rPr>
                <w:rFonts w:hint="eastAsia" w:ascii="宋体" w:hAnsi="宋体" w:eastAsia="宋体" w:cs="宋体"/>
                <w:color w:val="auto"/>
                <w:sz w:val="21"/>
                <w:szCs w:val="21"/>
                <w:highlight w:val="none"/>
              </w:rPr>
              <w:t>得分（精确到小数点后</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位）；</w:t>
            </w:r>
          </w:p>
          <w:p>
            <w:pPr>
              <w:pStyle w:val="2"/>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object>
                <v:shape id="_x0000_i1027" o:spt="75" type="#_x0000_t75" style="height:13pt;width:13pt;" o:ole="t" filled="f" stroked="f" coordsize="21600,21600">
                  <v:path/>
                  <v:fill on="f" alignshape="1" focussize="0,0"/>
                  <v:stroke on="f"/>
                  <v:imagedata r:id="rId11" o:title=""/>
                  <o:lock v:ext="edit" aspectratio="t"/>
                  <w10:wrap type="none"/>
                  <w10:anchorlock/>
                </v:shape>
                <o:OLEObject Type="Embed" ProgID="Equation.3" ShapeID="_x0000_i1027" DrawAspect="Content" ObjectID="_1468075727" r:id="rId10">
                  <o:LockedField>false</o:LockedField>
                </o:OLEObject>
              </w:objec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所占的百分比权重分值，F=</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rPr>
              <w:t>；</w:t>
            </w:r>
          </w:p>
          <w:p>
            <w:pPr>
              <w:pStyle w:val="2"/>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object>
                <v:shape id="_x0000_i1028" o:spt="75" type="#_x0000_t75" style="height:18pt;width:15pt;" o:ole="t" filled="f" o:preferrelative="t" stroked="f" coordsize="21600,21600">
                  <v:path/>
                  <v:fill on="f" alignshape="1" focussize="0,0"/>
                  <v:stroke on="f"/>
                  <v:imagedata r:id="rId13" o:title=""/>
                  <o:lock v:ext="edit" aspectratio="t"/>
                  <w10:wrap type="none"/>
                  <w10:anchorlock/>
                </v:shape>
                <o:OLEObject Type="Embed" ProgID="Equation.3" ShapeID="_x0000_i1028" DrawAspect="Content" ObjectID="_1468075728" r:id="rId12">
                  <o:LockedField>false</o:LockedField>
                </o:OLEObject>
              </w:objec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报价人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评标价</w:t>
            </w:r>
            <w:r>
              <w:rPr>
                <w:rFonts w:hint="eastAsia" w:ascii="宋体" w:hAnsi="宋体" w:eastAsia="宋体" w:cs="宋体"/>
                <w:color w:val="auto"/>
                <w:sz w:val="21"/>
                <w:szCs w:val="21"/>
                <w:highlight w:val="none"/>
              </w:rPr>
              <w:t>；</w:t>
            </w:r>
          </w:p>
          <w:p>
            <w:pPr>
              <w:pStyle w:val="2"/>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position w:val="-4"/>
                <w:sz w:val="21"/>
                <w:szCs w:val="21"/>
                <w:highlight w:val="none"/>
              </w:rPr>
              <w:object>
                <v:shape id="_x0000_i1029" o:spt="75" type="#_x0000_t75" style="height:13pt;width:13pt;" o:ole="t" filled="f" o:preferrelative="t" stroked="f" coordsize="21600,21600">
                  <v:path/>
                  <v:fill on="f" focussize="0,0"/>
                  <v:stroke on="f"/>
                  <v:imagedata r:id="rId15" o:title=""/>
                  <o:lock v:ext="edit" aspectratio="t"/>
                  <w10:wrap type="none"/>
                  <w10:anchorlock/>
                </v:shape>
                <o:OLEObject Type="Embed" ProgID="Equation.KSEE3" ShapeID="_x0000_i1029" DrawAspect="Content" ObjectID="_1468075729" r:id="rId14">
                  <o:LockedField>false</o:LockedField>
                </o:OLEObject>
              </w:objec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评标基准价</w:t>
            </w:r>
            <w:r>
              <w:rPr>
                <w:rFonts w:hint="eastAsia" w:ascii="宋体" w:hAnsi="宋体" w:eastAsia="宋体" w:cs="宋体"/>
                <w:color w:val="auto"/>
                <w:sz w:val="21"/>
                <w:szCs w:val="21"/>
                <w:highlight w:val="none"/>
              </w:rPr>
              <w:t>。</w:t>
            </w:r>
          </w:p>
          <w:p>
            <w:pPr>
              <w:pStyle w:val="2"/>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w:t>
            </w:r>
            <w:r>
              <w:rPr>
                <w:rFonts w:hint="eastAsia" w:ascii="宋体" w:hAnsi="宋体" w:eastAsia="宋体" w:cs="宋体"/>
                <w:color w:val="auto"/>
                <w:sz w:val="21"/>
                <w:szCs w:val="21"/>
                <w:highlight w:val="none"/>
              </w:rPr>
              <w:object>
                <v:shape id="_x0000_i1030" o:spt="75" type="#_x0000_t75" style="height:18pt;width:15pt;" o:ole="t" filled="f" o:preferrelative="t" stroked="f" coordsize="21600,21600">
                  <v:path/>
                  <v:fill on="f" alignshape="1" focussize="0,0"/>
                  <v:stroke on="f"/>
                  <v:imagedata r:id="rId13" o:title=""/>
                  <o:lock v:ext="edit" aspectratio="t"/>
                  <w10:wrap type="none"/>
                  <w10:anchorlock/>
                </v:shape>
                <o:OLEObject Type="Embed" ProgID="Equation.3" ShapeID="_x0000_i1030" DrawAspect="Content" ObjectID="_1468075730" r:id="rId16">
                  <o:LockedField>false</o:LockedField>
                </o:OLEObject>
              </w:object>
            </w:r>
            <w:r>
              <w:rPr>
                <w:rFonts w:hint="eastAsia" w:ascii="宋体" w:hAnsi="宋体" w:eastAsia="宋体" w:cs="宋体"/>
                <w:color w:val="auto"/>
                <w:sz w:val="21"/>
                <w:szCs w:val="21"/>
                <w:highlight w:val="none"/>
              </w:rPr>
              <w:t>≥</w:t>
            </w:r>
            <w:r>
              <w:rPr>
                <w:rFonts w:hint="eastAsia" w:ascii="宋体" w:hAnsi="宋体" w:eastAsia="宋体" w:cs="宋体"/>
                <w:color w:val="auto"/>
                <w:position w:val="-4"/>
                <w:sz w:val="21"/>
                <w:szCs w:val="21"/>
                <w:highlight w:val="none"/>
              </w:rPr>
              <w:object>
                <v:shape id="_x0000_i1031" o:spt="75" type="#_x0000_t75" style="height:13pt;width:13pt;" o:ole="t" filled="f" o:preferrelative="t" stroked="f" coordsize="21600,21600">
                  <v:path/>
                  <v:fill on="f" focussize="0,0"/>
                  <v:stroke on="f"/>
                  <v:imagedata r:id="rId15" o:title=""/>
                  <o:lock v:ext="edit" aspectratio="t"/>
                  <w10:wrap type="none"/>
                  <w10:anchorlock/>
                </v:shape>
                <o:OLEObject Type="Embed" ProgID="Equation.KSEE3" ShapeID="_x0000_i1031" DrawAspect="Content" ObjectID="_1468075731" r:id="rId17">
                  <o:LockedField>false</o:LockedField>
                </o:OLEObject>
              </w:object>
            </w:r>
            <w:r>
              <w:rPr>
                <w:rFonts w:hint="eastAsia" w:ascii="宋体" w:hAnsi="宋体" w:eastAsia="宋体" w:cs="宋体"/>
                <w:color w:val="auto"/>
                <w:sz w:val="21"/>
                <w:szCs w:val="21"/>
                <w:highlight w:val="none"/>
              </w:rPr>
              <w:t>,则</w:t>
            </w:r>
            <w:r>
              <w:rPr>
                <w:rFonts w:hint="eastAsia" w:ascii="宋体" w:hAnsi="宋体" w:eastAsia="宋体" w:cs="宋体"/>
                <w:color w:val="auto"/>
                <w:sz w:val="21"/>
                <w:szCs w:val="21"/>
                <w:highlight w:val="none"/>
              </w:rPr>
              <w:object>
                <v:shape id="_x0000_i1032" o:spt="75" type="#_x0000_t75" style="height:13pt;width:12pt;" o:ole="t" filled="f" stroked="f" coordsize="21600,21600">
                  <v:path/>
                  <v:fill on="f" alignshape="1" focussize="0,0"/>
                  <v:stroke on="f"/>
                  <v:imagedata r:id="rId19" o:title=""/>
                  <o:lock v:ext="edit" aspectratio="t"/>
                  <w10:wrap type="none"/>
                  <w10:anchorlock/>
                </v:shape>
                <o:OLEObject Type="Embed" ProgID="Equation.3" ShapeID="_x0000_i1032" DrawAspect="Content" ObjectID="_1468075732" r:id="rId18">
                  <o:LockedField>false</o:LockedField>
                </o:OLEObject>
              </w:objec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；若</w:t>
            </w:r>
            <w:r>
              <w:rPr>
                <w:rFonts w:hint="eastAsia" w:ascii="宋体" w:hAnsi="宋体" w:eastAsia="宋体" w:cs="宋体"/>
                <w:color w:val="auto"/>
                <w:sz w:val="21"/>
                <w:szCs w:val="21"/>
                <w:highlight w:val="none"/>
              </w:rPr>
              <w:object>
                <v:shape id="_x0000_i1033" o:spt="75" type="#_x0000_t75" style="height:18pt;width:15pt;" o:ole="t" filled="f" o:preferrelative="t" stroked="f" coordsize="21600,21600">
                  <v:path/>
                  <v:fill on="f" alignshape="1" focussize="0,0"/>
                  <v:stroke on="f"/>
                  <v:imagedata r:id="rId13" o:title=""/>
                  <o:lock v:ext="edit" aspectratio="t"/>
                  <w10:wrap type="none"/>
                  <w10:anchorlock/>
                </v:shape>
                <o:OLEObject Type="Embed" ProgID="Equation.3" ShapeID="_x0000_i1033" DrawAspect="Content" ObjectID="_1468075733" r:id="rId20">
                  <o:LockedField>false</o:LockedField>
                </o:OLEObject>
              </w:object>
            </w:r>
            <w:r>
              <w:rPr>
                <w:rFonts w:hint="eastAsia" w:ascii="宋体" w:hAnsi="宋体" w:eastAsia="宋体" w:cs="宋体"/>
                <w:color w:val="auto"/>
                <w:sz w:val="21"/>
                <w:szCs w:val="21"/>
                <w:highlight w:val="none"/>
              </w:rPr>
              <w:t>＜</w:t>
            </w:r>
            <w:r>
              <w:rPr>
                <w:rFonts w:hint="eastAsia" w:ascii="宋体" w:hAnsi="宋体" w:eastAsia="宋体" w:cs="宋体"/>
                <w:color w:val="auto"/>
                <w:position w:val="-4"/>
                <w:sz w:val="21"/>
                <w:szCs w:val="21"/>
                <w:highlight w:val="none"/>
              </w:rPr>
              <w:object>
                <v:shape id="_x0000_i1034" o:spt="75" type="#_x0000_t75" style="height:13pt;width:13pt;" o:ole="t" filled="f" o:preferrelative="t" stroked="f" coordsize="21600,21600">
                  <v:path/>
                  <v:fill on="f" focussize="0,0"/>
                  <v:stroke on="f"/>
                  <v:imagedata r:id="rId15" o:title=""/>
                  <o:lock v:ext="edit" aspectratio="t"/>
                  <w10:wrap type="none"/>
                  <w10:anchorlock/>
                </v:shape>
                <o:OLEObject Type="Embed" ProgID="Equation.KSEE3" ShapeID="_x0000_i1034" DrawAspect="Content" ObjectID="_1468075734" r:id="rId21">
                  <o:LockedField>false</o:LockedField>
                </o:OLEObject>
              </w:object>
            </w:r>
            <w:r>
              <w:rPr>
                <w:rFonts w:hint="eastAsia" w:ascii="宋体" w:hAnsi="宋体" w:eastAsia="宋体" w:cs="宋体"/>
                <w:color w:val="auto"/>
                <w:sz w:val="21"/>
                <w:szCs w:val="21"/>
                <w:highlight w:val="none"/>
              </w:rPr>
              <w:t>，则</w:t>
            </w:r>
            <w:r>
              <w:rPr>
                <w:rFonts w:hint="eastAsia" w:ascii="宋体" w:hAnsi="宋体" w:eastAsia="宋体" w:cs="宋体"/>
                <w:color w:val="auto"/>
                <w:sz w:val="21"/>
                <w:szCs w:val="21"/>
                <w:highlight w:val="none"/>
              </w:rPr>
              <w:object>
                <v:shape id="_x0000_i1035" o:spt="75" type="#_x0000_t75" style="height:13pt;width:12pt;" o:ole="t" filled="f" stroked="f" coordsize="21600,21600">
                  <v:path/>
                  <v:fill on="f" alignshape="1" focussize="0,0"/>
                  <v:stroke on="f"/>
                  <v:imagedata r:id="rId19" o:title=""/>
                  <o:lock v:ext="edit" aspectratio="t"/>
                  <w10:wrap type="none"/>
                  <w10:anchorlock/>
                </v:shape>
                <o:OLEObject Type="Embed" ProgID="Equation.3" ShapeID="_x0000_i1035" DrawAspect="Content" ObjectID="_1468075735" r:id="rId22">
                  <o:LockedField>false</o:LockedField>
                </o:OLEObject>
              </w:objec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w:t>
            </w:r>
          </w:p>
          <w:p>
            <w:pPr>
              <w:pStyle w:val="2"/>
              <w:spacing w:line="360" w:lineRule="exact"/>
              <w:ind w:left="420" w:leftChars="200"/>
              <w:rPr>
                <w:rFonts w:hint="eastAsia" w:ascii="宋体" w:hAnsi="宋体" w:cs="宋体"/>
                <w:color w:val="auto"/>
                <w:szCs w:val="21"/>
              </w:rPr>
            </w:pPr>
            <w:r>
              <w:rPr>
                <w:rFonts w:hint="eastAsia" w:ascii="宋体" w:hAnsi="宋体"/>
                <w:b/>
                <w:color w:val="auto"/>
                <w:highlight w:val="none"/>
              </w:rPr>
              <w:t>注：评标价得分分值计算保留小数点后两位，小数点后第三位“四舍五入”。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70" w:hRule="atLeast"/>
          <w:jc w:val="center"/>
        </w:trPr>
        <w:tc>
          <w:tcPr>
            <w:tcW w:w="741" w:type="dxa"/>
            <w:tcBorders>
              <w:top w:val="single" w:color="auto" w:sz="4"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b/>
                <w:bCs/>
                <w:color w:val="auto"/>
                <w:szCs w:val="21"/>
                <w:highlight w:val="none"/>
              </w:rPr>
              <w:t>2.2.4（</w:t>
            </w:r>
            <w:r>
              <w:rPr>
                <w:rFonts w:hint="eastAsia" w:ascii="宋体" w:hAnsi="宋体"/>
                <w:b/>
                <w:bCs/>
                <w:color w:val="auto"/>
                <w:szCs w:val="21"/>
                <w:highlight w:val="none"/>
                <w:lang w:val="en-US" w:eastAsia="zh-CN"/>
              </w:rPr>
              <w:t>4</w:t>
            </w:r>
            <w:r>
              <w:rPr>
                <w:rFonts w:hint="eastAsia" w:ascii="宋体" w:hAnsi="宋体"/>
                <w:b/>
                <w:bCs/>
                <w:color w:val="auto"/>
                <w:szCs w:val="21"/>
                <w:highlight w:val="none"/>
              </w:rPr>
              <w:t>）</w:t>
            </w:r>
          </w:p>
        </w:tc>
        <w:tc>
          <w:tcPr>
            <w:tcW w:w="974" w:type="dxa"/>
            <w:tcBorders>
              <w:top w:val="single" w:color="auto" w:sz="4" w:space="0"/>
              <w:bottom w:val="single" w:color="auto" w:sz="4" w:space="0"/>
              <w:right w:val="single" w:color="auto" w:sz="4" w:space="0"/>
            </w:tcBorders>
            <w:vAlign w:val="center"/>
          </w:tcPr>
          <w:p>
            <w:pPr>
              <w:spacing w:line="360" w:lineRule="exact"/>
              <w:jc w:val="center"/>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其他因素：</w:t>
            </w:r>
          </w:p>
          <w:p>
            <w:pPr>
              <w:spacing w:line="360" w:lineRule="exact"/>
              <w:jc w:val="both"/>
              <w:rPr>
                <w:rFonts w:ascii="宋体" w:hAnsi="宋体"/>
                <w:color w:val="auto"/>
                <w:szCs w:val="21"/>
                <w:highlight w:val="none"/>
              </w:rPr>
            </w:pPr>
            <w:r>
              <w:rPr>
                <w:rFonts w:hint="eastAsia" w:ascii="宋体" w:hAnsi="宋体"/>
                <w:b/>
                <w:bCs/>
                <w:color w:val="auto"/>
                <w:szCs w:val="21"/>
                <w:highlight w:val="none"/>
                <w:lang w:val="en-US" w:eastAsia="zh-CN"/>
              </w:rPr>
              <w:t>（技术能力，1分</w:t>
            </w:r>
            <w:r>
              <w:rPr>
                <w:rFonts w:ascii="宋体" w:hAnsi="宋体" w:eastAsia="宋体" w:cs="宋体"/>
                <w:color w:val="auto"/>
                <w:szCs w:val="21"/>
                <w:highlight w:val="none"/>
              </w:rPr>
              <w:t>）</w:t>
            </w:r>
          </w:p>
        </w:tc>
        <w:tc>
          <w:tcPr>
            <w:tcW w:w="774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b/>
                <w:color w:val="auto"/>
                <w:highlight w:val="none"/>
                <w:lang w:val="en-US" w:eastAsia="zh-CN"/>
              </w:rPr>
            </w:pPr>
            <w:r>
              <w:rPr>
                <w:rFonts w:hint="eastAsia" w:ascii="宋体" w:hAnsi="宋体"/>
                <w:b/>
                <w:color w:val="auto"/>
                <w:highlight w:val="none"/>
                <w:lang w:val="en-US" w:eastAsia="zh-CN"/>
              </w:rPr>
              <w:t>满分：1分</w:t>
            </w:r>
          </w:p>
          <w:p>
            <w:pPr>
              <w:pStyle w:val="2"/>
              <w:rPr>
                <w:rFonts w:hint="eastAsia"/>
                <w:color w:val="auto"/>
                <w:highlight w:val="none"/>
                <w:lang w:val="en-US" w:eastAsia="zh-CN"/>
              </w:rPr>
            </w:pPr>
          </w:p>
          <w:p>
            <w:pPr>
              <w:spacing w:line="360" w:lineRule="auto"/>
              <w:ind w:left="-63" w:leftChars="-30" w:firstLine="420" w:firstLineChars="200"/>
              <w:rPr>
                <w:rFonts w:hint="eastAsia"/>
                <w:color w:val="auto"/>
                <w:highlight w:val="none"/>
              </w:rPr>
            </w:pPr>
            <w:r>
              <w:rPr>
                <w:rFonts w:hint="eastAsia" w:ascii="宋体" w:hAnsi="宋体"/>
                <w:color w:val="auto"/>
                <w:szCs w:val="21"/>
                <w:highlight w:val="none"/>
              </w:rPr>
              <w:t>满足投标须知资格审查条件（</w:t>
            </w:r>
            <w:r>
              <w:rPr>
                <w:rFonts w:hint="eastAsia" w:ascii="宋体" w:hAnsi="宋体"/>
                <w:color w:val="auto"/>
                <w:szCs w:val="21"/>
                <w:highlight w:val="none"/>
                <w:lang w:val="en-US" w:eastAsia="zh-CN"/>
              </w:rPr>
              <w:t>资质</w:t>
            </w:r>
            <w:r>
              <w:rPr>
                <w:rFonts w:hint="eastAsia" w:ascii="宋体" w:hAnsi="宋体"/>
                <w:color w:val="auto"/>
                <w:szCs w:val="21"/>
                <w:highlight w:val="none"/>
              </w:rPr>
              <w:t>最低要求）的，得</w:t>
            </w:r>
            <w:r>
              <w:rPr>
                <w:rFonts w:hint="eastAsia" w:ascii="宋体" w:hAnsi="宋体"/>
                <w:color w:val="auto"/>
                <w:szCs w:val="21"/>
                <w:highlight w:val="none"/>
                <w:lang w:val="en-US" w:eastAsia="zh-CN"/>
              </w:rPr>
              <w:t>0.6</w:t>
            </w:r>
            <w:r>
              <w:rPr>
                <w:rFonts w:hint="eastAsia" w:ascii="宋体" w:hAnsi="宋体"/>
                <w:color w:val="auto"/>
                <w:szCs w:val="21"/>
                <w:highlight w:val="none"/>
              </w:rPr>
              <w:t>分；</w:t>
            </w:r>
          </w:p>
          <w:p>
            <w:pPr>
              <w:spacing w:line="360" w:lineRule="auto"/>
              <w:ind w:left="-63" w:leftChars="-30"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投标人</w:t>
            </w:r>
            <w:r>
              <w:rPr>
                <w:rFonts w:hint="eastAsia" w:ascii="宋体" w:hAnsi="宋体"/>
                <w:color w:val="auto"/>
                <w:szCs w:val="21"/>
                <w:highlight w:val="none"/>
                <w:lang w:eastAsia="zh-CN"/>
              </w:rPr>
              <w:t>具</w:t>
            </w:r>
            <w:r>
              <w:rPr>
                <w:rFonts w:hint="eastAsia" w:ascii="宋体" w:hAnsi="宋体"/>
                <w:color w:val="auto"/>
                <w:szCs w:val="21"/>
                <w:highlight w:val="none"/>
              </w:rPr>
              <w:t>备</w:t>
            </w:r>
            <w:r>
              <w:rPr>
                <w:rFonts w:hint="eastAsia" w:ascii="宋体" w:hAnsi="宋体"/>
                <w:color w:val="auto"/>
                <w:szCs w:val="21"/>
                <w:highlight w:val="none"/>
                <w:lang w:eastAsia="zh-CN"/>
              </w:rPr>
              <w:t>有效的住房和城乡建设部门颁发的电力工程总承包</w:t>
            </w:r>
            <w:r>
              <w:rPr>
                <w:rFonts w:hint="eastAsia" w:ascii="宋体" w:hAnsi="宋体"/>
                <w:color w:val="auto"/>
                <w:szCs w:val="21"/>
                <w:highlight w:val="none"/>
                <w:lang w:val="en-US" w:eastAsia="zh-CN"/>
              </w:rPr>
              <w:t>二</w:t>
            </w:r>
            <w:r>
              <w:rPr>
                <w:rFonts w:hint="eastAsia" w:ascii="宋体" w:hAnsi="宋体"/>
                <w:color w:val="auto"/>
                <w:szCs w:val="21"/>
                <w:highlight w:val="none"/>
                <w:lang w:eastAsia="zh-CN"/>
              </w:rPr>
              <w:t>级</w:t>
            </w:r>
            <w:r>
              <w:rPr>
                <w:rFonts w:hint="eastAsia" w:ascii="宋体" w:hAnsi="宋体"/>
                <w:color w:val="auto"/>
                <w:szCs w:val="21"/>
                <w:highlight w:val="none"/>
                <w:lang w:val="en-US" w:eastAsia="zh-CN"/>
              </w:rPr>
              <w:t>或</w:t>
            </w:r>
            <w:r>
              <w:rPr>
                <w:rFonts w:hint="eastAsia" w:ascii="宋体" w:hAnsi="宋体"/>
                <w:color w:val="auto"/>
                <w:szCs w:val="21"/>
                <w:highlight w:val="none"/>
                <w:lang w:eastAsia="zh-CN"/>
              </w:rPr>
              <w:t>输变电工程专业承包</w:t>
            </w:r>
            <w:r>
              <w:rPr>
                <w:rFonts w:hint="eastAsia" w:ascii="宋体" w:hAnsi="宋体"/>
                <w:color w:val="auto"/>
                <w:szCs w:val="21"/>
                <w:highlight w:val="none"/>
                <w:lang w:val="en-US" w:eastAsia="zh-CN"/>
              </w:rPr>
              <w:t>二</w:t>
            </w:r>
            <w:r>
              <w:rPr>
                <w:rFonts w:hint="eastAsia" w:ascii="宋体" w:hAnsi="宋体"/>
                <w:color w:val="auto"/>
                <w:szCs w:val="21"/>
                <w:highlight w:val="none"/>
                <w:lang w:eastAsia="zh-CN"/>
              </w:rPr>
              <w:t>级</w:t>
            </w:r>
            <w:r>
              <w:rPr>
                <w:rFonts w:hint="eastAsia" w:ascii="宋体" w:hAnsi="宋体"/>
                <w:color w:val="auto"/>
                <w:szCs w:val="21"/>
                <w:highlight w:val="none"/>
                <w:lang w:val="en-US" w:eastAsia="zh-CN"/>
              </w:rPr>
              <w:t>资质，且具备</w:t>
            </w:r>
            <w:r>
              <w:rPr>
                <w:rFonts w:hint="eastAsia" w:ascii="宋体" w:hAnsi="宋体"/>
                <w:color w:val="auto"/>
                <w:szCs w:val="21"/>
                <w:highlight w:val="none"/>
              </w:rPr>
              <w:t>国家电力行业的承装</w:t>
            </w:r>
            <w:r>
              <w:rPr>
                <w:rFonts w:hint="eastAsia" w:ascii="宋体" w:hAnsi="宋体"/>
                <w:color w:val="auto"/>
                <w:szCs w:val="21"/>
                <w:highlight w:val="none"/>
                <w:lang w:eastAsia="zh-CN"/>
              </w:rPr>
              <w:t>（</w:t>
            </w:r>
            <w:r>
              <w:rPr>
                <w:rFonts w:hint="eastAsia" w:ascii="宋体" w:hAnsi="宋体"/>
                <w:color w:val="auto"/>
                <w:szCs w:val="21"/>
                <w:highlight w:val="none"/>
              </w:rPr>
              <w:t>修、试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二</w:t>
            </w:r>
            <w:r>
              <w:rPr>
                <w:rFonts w:hint="eastAsia" w:ascii="宋体" w:hAnsi="宋体"/>
                <w:color w:val="auto"/>
                <w:szCs w:val="21"/>
                <w:highlight w:val="none"/>
              </w:rPr>
              <w:t>级</w:t>
            </w:r>
            <w:r>
              <w:rPr>
                <w:rFonts w:hint="eastAsia" w:ascii="宋体" w:hAnsi="宋体"/>
                <w:color w:val="auto"/>
                <w:szCs w:val="21"/>
                <w:highlight w:val="none"/>
                <w:lang w:val="en-US" w:eastAsia="zh-CN"/>
              </w:rPr>
              <w:t>电力设施许可证的，加0.2分；</w:t>
            </w:r>
          </w:p>
          <w:p>
            <w:pPr>
              <w:spacing w:line="360" w:lineRule="auto"/>
              <w:ind w:left="-63" w:leftChars="-30"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投标人</w:t>
            </w:r>
            <w:r>
              <w:rPr>
                <w:rFonts w:hint="eastAsia" w:ascii="宋体" w:hAnsi="宋体"/>
                <w:color w:val="auto"/>
                <w:szCs w:val="21"/>
                <w:highlight w:val="none"/>
                <w:lang w:eastAsia="zh-CN"/>
              </w:rPr>
              <w:t>具</w:t>
            </w:r>
            <w:r>
              <w:rPr>
                <w:rFonts w:hint="eastAsia" w:ascii="宋体" w:hAnsi="宋体"/>
                <w:color w:val="auto"/>
                <w:szCs w:val="21"/>
                <w:highlight w:val="none"/>
              </w:rPr>
              <w:t>备</w:t>
            </w:r>
            <w:r>
              <w:rPr>
                <w:rFonts w:hint="eastAsia" w:ascii="宋体" w:hAnsi="宋体"/>
                <w:color w:val="auto"/>
                <w:szCs w:val="21"/>
                <w:highlight w:val="none"/>
                <w:lang w:eastAsia="zh-CN"/>
              </w:rPr>
              <w:t>有效的住房和城乡建设部门颁发的电力工程总承包</w:t>
            </w:r>
            <w:r>
              <w:rPr>
                <w:rFonts w:hint="eastAsia" w:ascii="宋体" w:hAnsi="宋体"/>
                <w:color w:val="auto"/>
                <w:szCs w:val="21"/>
                <w:highlight w:val="none"/>
                <w:lang w:val="en-US" w:eastAsia="zh-CN"/>
              </w:rPr>
              <w:t>一</w:t>
            </w:r>
            <w:r>
              <w:rPr>
                <w:rFonts w:hint="eastAsia" w:ascii="宋体" w:hAnsi="宋体"/>
                <w:color w:val="auto"/>
                <w:szCs w:val="21"/>
                <w:highlight w:val="none"/>
                <w:lang w:eastAsia="zh-CN"/>
              </w:rPr>
              <w:t>级</w:t>
            </w:r>
            <w:r>
              <w:rPr>
                <w:rFonts w:hint="eastAsia" w:ascii="宋体" w:hAnsi="宋体"/>
                <w:color w:val="auto"/>
                <w:szCs w:val="21"/>
                <w:highlight w:val="none"/>
                <w:lang w:val="en-US" w:eastAsia="zh-CN"/>
              </w:rPr>
              <w:t>或</w:t>
            </w:r>
            <w:r>
              <w:rPr>
                <w:rFonts w:hint="eastAsia" w:ascii="宋体" w:hAnsi="宋体"/>
                <w:color w:val="auto"/>
                <w:szCs w:val="21"/>
                <w:highlight w:val="none"/>
                <w:lang w:eastAsia="zh-CN"/>
              </w:rPr>
              <w:t>输变电工程专业承包</w:t>
            </w:r>
            <w:r>
              <w:rPr>
                <w:rFonts w:hint="eastAsia" w:ascii="宋体" w:hAnsi="宋体"/>
                <w:color w:val="auto"/>
                <w:szCs w:val="21"/>
                <w:highlight w:val="none"/>
                <w:lang w:val="en-US" w:eastAsia="zh-CN"/>
              </w:rPr>
              <w:t>一</w:t>
            </w:r>
            <w:r>
              <w:rPr>
                <w:rFonts w:hint="eastAsia" w:ascii="宋体" w:hAnsi="宋体"/>
                <w:color w:val="auto"/>
                <w:szCs w:val="21"/>
                <w:highlight w:val="none"/>
                <w:lang w:eastAsia="zh-CN"/>
              </w:rPr>
              <w:t>级</w:t>
            </w:r>
            <w:r>
              <w:rPr>
                <w:rFonts w:hint="eastAsia" w:ascii="宋体" w:hAnsi="宋体"/>
                <w:color w:val="auto"/>
                <w:szCs w:val="21"/>
                <w:highlight w:val="none"/>
                <w:lang w:val="en-US" w:eastAsia="zh-CN"/>
              </w:rPr>
              <w:t>资质，且具备</w:t>
            </w:r>
            <w:r>
              <w:rPr>
                <w:rFonts w:hint="eastAsia" w:ascii="宋体" w:hAnsi="宋体"/>
                <w:color w:val="auto"/>
                <w:szCs w:val="21"/>
                <w:highlight w:val="none"/>
              </w:rPr>
              <w:t>国家电力行业的承装</w:t>
            </w:r>
            <w:r>
              <w:rPr>
                <w:rFonts w:hint="eastAsia" w:ascii="宋体" w:hAnsi="宋体"/>
                <w:color w:val="auto"/>
                <w:szCs w:val="21"/>
                <w:highlight w:val="none"/>
                <w:lang w:eastAsia="zh-CN"/>
              </w:rPr>
              <w:t>（</w:t>
            </w:r>
            <w:r>
              <w:rPr>
                <w:rFonts w:hint="eastAsia" w:ascii="宋体" w:hAnsi="宋体"/>
                <w:color w:val="auto"/>
                <w:szCs w:val="21"/>
                <w:highlight w:val="none"/>
              </w:rPr>
              <w:t>修、试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一</w:t>
            </w:r>
            <w:r>
              <w:rPr>
                <w:rFonts w:hint="eastAsia" w:ascii="宋体" w:hAnsi="宋体"/>
                <w:color w:val="auto"/>
                <w:szCs w:val="21"/>
                <w:highlight w:val="none"/>
              </w:rPr>
              <w:t>级</w:t>
            </w:r>
            <w:r>
              <w:rPr>
                <w:rFonts w:hint="eastAsia" w:ascii="宋体" w:hAnsi="宋体"/>
                <w:color w:val="auto"/>
                <w:szCs w:val="21"/>
                <w:highlight w:val="none"/>
                <w:lang w:val="en-US" w:eastAsia="zh-CN"/>
              </w:rPr>
              <w:t>电力设施许可证的，加0.4分。</w:t>
            </w:r>
          </w:p>
          <w:p>
            <w:pPr>
              <w:pStyle w:val="2"/>
              <w:spacing w:line="360" w:lineRule="auto"/>
              <w:ind w:left="0" w:leftChars="0" w:firstLine="0" w:firstLineChars="0"/>
              <w:rPr>
                <w:rFonts w:hint="eastAsia" w:ascii="宋体" w:hAnsi="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40" w:hRule="atLeast"/>
          <w:jc w:val="center"/>
        </w:trPr>
        <w:tc>
          <w:tcPr>
            <w:tcW w:w="741" w:type="dxa"/>
            <w:tcBorders>
              <w:top w:val="single" w:color="auto" w:sz="4" w:space="0"/>
              <w:bottom w:val="single" w:color="auto" w:sz="4" w:space="0"/>
              <w:right w:val="single" w:color="auto" w:sz="4" w:space="0"/>
            </w:tcBorders>
            <w:vAlign w:val="center"/>
          </w:tcPr>
          <w:p>
            <w:pPr>
              <w:spacing w:line="360" w:lineRule="exact"/>
              <w:jc w:val="center"/>
              <w:rPr>
                <w:rFonts w:hint="eastAsia" w:ascii="宋体" w:hAnsi="宋体"/>
                <w:b/>
                <w:bCs/>
                <w:color w:val="auto"/>
                <w:szCs w:val="21"/>
                <w:highlight w:val="none"/>
              </w:rPr>
            </w:pPr>
            <w:r>
              <w:rPr>
                <w:rFonts w:hint="eastAsia" w:ascii="宋体" w:hAnsi="宋体"/>
                <w:b/>
                <w:bCs/>
                <w:color w:val="auto"/>
                <w:szCs w:val="21"/>
                <w:highlight w:val="none"/>
              </w:rPr>
              <w:t>2.2.4（</w:t>
            </w:r>
            <w:r>
              <w:rPr>
                <w:rFonts w:hint="eastAsia" w:ascii="宋体" w:hAnsi="宋体"/>
                <w:b/>
                <w:bCs/>
                <w:color w:val="auto"/>
                <w:szCs w:val="21"/>
                <w:highlight w:val="none"/>
                <w:lang w:val="en-US" w:eastAsia="zh-CN"/>
              </w:rPr>
              <w:t>4</w:t>
            </w:r>
            <w:r>
              <w:rPr>
                <w:rFonts w:hint="eastAsia" w:ascii="宋体" w:hAnsi="宋体"/>
                <w:b/>
                <w:bCs/>
                <w:color w:val="auto"/>
                <w:szCs w:val="21"/>
                <w:highlight w:val="none"/>
              </w:rPr>
              <w:t>）</w:t>
            </w:r>
          </w:p>
        </w:tc>
        <w:tc>
          <w:tcPr>
            <w:tcW w:w="974" w:type="dxa"/>
            <w:tcBorders>
              <w:top w:val="single" w:color="auto" w:sz="4" w:space="0"/>
              <w:bottom w:val="single" w:color="auto" w:sz="4" w:space="0"/>
              <w:right w:val="single" w:color="auto" w:sz="4" w:space="0"/>
            </w:tcBorders>
            <w:vAlign w:val="center"/>
          </w:tcPr>
          <w:p>
            <w:pPr>
              <w:spacing w:line="360" w:lineRule="exact"/>
              <w:jc w:val="center"/>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其他因素：</w:t>
            </w:r>
          </w:p>
          <w:p>
            <w:pPr>
              <w:spacing w:line="360" w:lineRule="exact"/>
              <w:jc w:val="center"/>
              <w:rPr>
                <w:rFonts w:ascii="宋体" w:hAnsi="宋体" w:eastAsia="宋体" w:cs="宋体"/>
                <w:color w:val="auto"/>
                <w:szCs w:val="21"/>
                <w:highlight w:val="none"/>
              </w:rPr>
            </w:pPr>
            <w:r>
              <w:rPr>
                <w:rFonts w:hint="eastAsia" w:ascii="宋体" w:hAnsi="宋体"/>
                <w:b/>
                <w:bCs/>
                <w:color w:val="auto"/>
                <w:szCs w:val="21"/>
                <w:highlight w:val="none"/>
                <w:lang w:val="en-US" w:eastAsia="zh-CN"/>
              </w:rPr>
              <w:t>（财务能力，1分</w:t>
            </w:r>
          </w:p>
        </w:tc>
        <w:tc>
          <w:tcPr>
            <w:tcW w:w="774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b/>
                <w:color w:val="auto"/>
                <w:highlight w:val="none"/>
                <w:lang w:val="en-US" w:eastAsia="zh-CN"/>
              </w:rPr>
            </w:pPr>
            <w:r>
              <w:rPr>
                <w:rFonts w:hint="eastAsia" w:ascii="宋体" w:hAnsi="宋体"/>
                <w:b/>
                <w:color w:val="auto"/>
                <w:highlight w:val="none"/>
                <w:lang w:val="en-US" w:eastAsia="zh-CN"/>
              </w:rPr>
              <w:t>满分：1分</w:t>
            </w:r>
          </w:p>
          <w:p>
            <w:pPr>
              <w:spacing w:line="360" w:lineRule="auto"/>
              <w:ind w:left="-63" w:leftChars="-30" w:firstLine="420" w:firstLineChars="200"/>
              <w:rPr>
                <w:rFonts w:hint="eastAsia"/>
                <w:color w:val="auto"/>
                <w:highlight w:val="none"/>
              </w:rPr>
            </w:pPr>
            <w:r>
              <w:rPr>
                <w:rFonts w:hint="eastAsia" w:ascii="宋体" w:hAnsi="宋体"/>
                <w:color w:val="auto"/>
                <w:szCs w:val="21"/>
                <w:highlight w:val="none"/>
              </w:rPr>
              <w:t>满足投标须知资格审查条件（</w:t>
            </w:r>
            <w:r>
              <w:rPr>
                <w:rFonts w:hint="eastAsia" w:ascii="宋体" w:hAnsi="宋体"/>
                <w:color w:val="auto"/>
                <w:szCs w:val="21"/>
                <w:highlight w:val="none"/>
                <w:lang w:val="en-US" w:eastAsia="zh-CN"/>
              </w:rPr>
              <w:t>财务</w:t>
            </w:r>
            <w:r>
              <w:rPr>
                <w:rFonts w:hint="eastAsia" w:ascii="宋体" w:hAnsi="宋体"/>
                <w:color w:val="auto"/>
                <w:szCs w:val="21"/>
                <w:highlight w:val="none"/>
              </w:rPr>
              <w:t>最低要求）的，得</w:t>
            </w:r>
            <w:r>
              <w:rPr>
                <w:rFonts w:hint="eastAsia" w:ascii="宋体" w:hAnsi="宋体"/>
                <w:color w:val="auto"/>
                <w:szCs w:val="21"/>
                <w:highlight w:val="none"/>
                <w:lang w:val="en-US" w:eastAsia="zh-CN"/>
              </w:rPr>
              <w:t>0.6</w:t>
            </w:r>
            <w:r>
              <w:rPr>
                <w:rFonts w:hint="eastAsia" w:ascii="宋体" w:hAnsi="宋体"/>
                <w:color w:val="auto"/>
                <w:szCs w:val="21"/>
                <w:highlight w:val="none"/>
              </w:rPr>
              <w:t>分；</w:t>
            </w:r>
          </w:p>
          <w:p>
            <w:pPr>
              <w:pStyle w:val="2"/>
              <w:spacing w:line="360" w:lineRule="auto"/>
              <w:ind w:left="0" w:leftChars="0" w:firstLine="420" w:firstLineChars="200"/>
              <w:rPr>
                <w:rFonts w:hint="eastAsia" w:ascii="宋体" w:hAnsi="宋体"/>
                <w:color w:val="auto"/>
                <w:szCs w:val="21"/>
                <w:highlight w:val="none"/>
              </w:rPr>
            </w:pPr>
            <w:r>
              <w:rPr>
                <w:rFonts w:hint="eastAsia" w:ascii="宋体" w:hAnsi="宋体"/>
                <w:color w:val="auto"/>
                <w:kern w:val="2"/>
                <w:sz w:val="21"/>
                <w:szCs w:val="21"/>
                <w:highlight w:val="none"/>
                <w:lang w:val="en-US" w:eastAsia="zh-CN" w:bidi="ar-SA"/>
              </w:rPr>
              <w:t>在此基础上，投标人注册资本金每增加1000万元（含1000万）加0.2分，最多加0.4分；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741" w:type="dxa"/>
            <w:tcBorders>
              <w:top w:val="single" w:color="auto" w:sz="4" w:space="0"/>
              <w:bottom w:val="single" w:color="auto" w:sz="4" w:space="0"/>
              <w:right w:val="single" w:color="auto" w:sz="4" w:space="0"/>
            </w:tcBorders>
            <w:vAlign w:val="center"/>
          </w:tcPr>
          <w:p>
            <w:pPr>
              <w:spacing w:line="360" w:lineRule="exact"/>
              <w:jc w:val="center"/>
              <w:rPr>
                <w:rFonts w:hint="eastAsia" w:ascii="宋体" w:hAnsi="宋体"/>
                <w:b/>
                <w:bCs/>
                <w:color w:val="auto"/>
                <w:szCs w:val="21"/>
                <w:highlight w:val="none"/>
              </w:rPr>
            </w:pPr>
            <w:r>
              <w:rPr>
                <w:rFonts w:hint="eastAsia" w:ascii="宋体" w:hAnsi="宋体"/>
                <w:b/>
                <w:bCs/>
                <w:color w:val="auto"/>
                <w:szCs w:val="21"/>
                <w:highlight w:val="none"/>
              </w:rPr>
              <w:t>2.2.4（</w:t>
            </w:r>
            <w:r>
              <w:rPr>
                <w:rFonts w:hint="eastAsia" w:ascii="宋体" w:hAnsi="宋体"/>
                <w:b/>
                <w:bCs/>
                <w:color w:val="auto"/>
                <w:szCs w:val="21"/>
                <w:highlight w:val="none"/>
                <w:lang w:val="en-US" w:eastAsia="zh-CN"/>
              </w:rPr>
              <w:t>4</w:t>
            </w:r>
            <w:r>
              <w:rPr>
                <w:rFonts w:hint="eastAsia" w:ascii="宋体" w:hAnsi="宋体"/>
                <w:b/>
                <w:bCs/>
                <w:color w:val="auto"/>
                <w:szCs w:val="21"/>
                <w:highlight w:val="none"/>
              </w:rPr>
              <w:t>）</w:t>
            </w:r>
          </w:p>
        </w:tc>
        <w:tc>
          <w:tcPr>
            <w:tcW w:w="974" w:type="dxa"/>
            <w:tcBorders>
              <w:top w:val="single" w:color="auto" w:sz="4" w:space="0"/>
              <w:bottom w:val="single" w:color="auto" w:sz="4" w:space="0"/>
              <w:right w:val="single" w:color="auto" w:sz="4" w:space="0"/>
            </w:tcBorders>
            <w:vAlign w:val="center"/>
          </w:tcPr>
          <w:p>
            <w:pPr>
              <w:spacing w:line="360" w:lineRule="exact"/>
              <w:jc w:val="center"/>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其他因素：</w:t>
            </w:r>
          </w:p>
          <w:p>
            <w:pPr>
              <w:spacing w:line="360" w:lineRule="exact"/>
              <w:jc w:val="center"/>
              <w:rPr>
                <w:rFonts w:ascii="宋体" w:hAnsi="宋体" w:eastAsia="宋体" w:cs="宋体"/>
                <w:color w:val="auto"/>
                <w:szCs w:val="21"/>
                <w:highlight w:val="none"/>
              </w:rPr>
            </w:pPr>
            <w:r>
              <w:rPr>
                <w:rFonts w:hint="eastAsia" w:ascii="宋体" w:hAnsi="宋体"/>
                <w:b/>
                <w:bCs/>
                <w:color w:val="auto"/>
                <w:szCs w:val="21"/>
                <w:highlight w:val="none"/>
                <w:lang w:val="en-US" w:eastAsia="zh-CN"/>
              </w:rPr>
              <w:t>（业绩，8分）</w:t>
            </w:r>
          </w:p>
        </w:tc>
        <w:tc>
          <w:tcPr>
            <w:tcW w:w="774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color w:val="auto"/>
                <w:highlight w:val="none"/>
                <w:lang w:val="en-US" w:eastAsia="zh-CN"/>
              </w:rPr>
            </w:pPr>
            <w:r>
              <w:rPr>
                <w:rFonts w:hint="eastAsia" w:ascii="宋体" w:hAnsi="宋体"/>
                <w:b/>
                <w:color w:val="auto"/>
                <w:highlight w:val="none"/>
                <w:lang w:val="en-US" w:eastAsia="zh-CN"/>
              </w:rPr>
              <w:t>满分：8分</w:t>
            </w:r>
          </w:p>
          <w:p>
            <w:pPr>
              <w:spacing w:line="360" w:lineRule="auto"/>
              <w:rPr>
                <w:rFonts w:hint="eastAsia"/>
                <w:color w:val="auto"/>
                <w:highlight w:val="none"/>
              </w:rPr>
            </w:pPr>
            <w:r>
              <w:rPr>
                <w:rFonts w:hint="eastAsia" w:ascii="宋体" w:hAnsi="宋体"/>
                <w:color w:val="auto"/>
                <w:szCs w:val="21"/>
                <w:highlight w:val="none"/>
              </w:rPr>
              <w:t>满足投标须知资格审查条件（业绩最低要求）的，得</w:t>
            </w:r>
            <w:r>
              <w:rPr>
                <w:rFonts w:hint="eastAsia" w:ascii="宋体" w:hAnsi="宋体"/>
                <w:color w:val="auto"/>
                <w:szCs w:val="21"/>
                <w:highlight w:val="none"/>
                <w:lang w:val="en-US" w:eastAsia="zh-CN"/>
              </w:rPr>
              <w:t>4.8</w:t>
            </w:r>
            <w:r>
              <w:rPr>
                <w:rFonts w:hint="eastAsia" w:ascii="宋体" w:hAnsi="宋体"/>
                <w:color w:val="auto"/>
                <w:szCs w:val="21"/>
                <w:highlight w:val="none"/>
              </w:rPr>
              <w:t>分；</w:t>
            </w:r>
          </w:p>
          <w:p>
            <w:pPr>
              <w:pStyle w:val="2"/>
              <w:spacing w:line="360" w:lineRule="exact"/>
              <w:ind w:left="0" w:leftChars="0"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rPr>
              <w:t>在此基础上，201</w:t>
            </w:r>
            <w:r>
              <w:rPr>
                <w:rFonts w:hint="eastAsia" w:ascii="宋体" w:hAnsi="宋体"/>
                <w:color w:val="auto"/>
                <w:szCs w:val="21"/>
                <w:highlight w:val="none"/>
                <w:lang w:val="en-US" w:eastAsia="zh-CN"/>
              </w:rPr>
              <w:t>9</w:t>
            </w:r>
            <w:r>
              <w:rPr>
                <w:rFonts w:hint="eastAsia" w:ascii="宋体" w:hAnsi="宋体"/>
                <w:color w:val="auto"/>
                <w:szCs w:val="21"/>
                <w:highlight w:val="none"/>
              </w:rPr>
              <w:t>年1月1日至投标文件递交之日止，</w:t>
            </w:r>
            <w:r>
              <w:rPr>
                <w:rFonts w:hint="eastAsia" w:ascii="宋体" w:hAnsi="宋体"/>
                <w:color w:val="auto"/>
                <w:szCs w:val="21"/>
                <w:highlight w:val="none"/>
                <w:lang w:val="en-US" w:eastAsia="zh-CN"/>
              </w:rPr>
              <w:t>投标人每增加独立完成一条主线里程不低于10公里的高速公路全线供配电系统养维工程合同加0.2分，最多加1.6分；</w:t>
            </w:r>
          </w:p>
          <w:p>
            <w:pPr>
              <w:pStyle w:val="2"/>
              <w:spacing w:line="360" w:lineRule="exact"/>
              <w:ind w:left="0" w:leftChars="0"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投标人每增加独立完成一条主线照明里程不低于10公里的高速公路路灯照明系统养护工程合同加0.2分，最多加1.6分。</w:t>
            </w:r>
          </w:p>
          <w:p>
            <w:pPr>
              <w:pStyle w:val="2"/>
              <w:spacing w:line="360" w:lineRule="exact"/>
              <w:rPr>
                <w:rFonts w:hint="eastAsia" w:ascii="宋体" w:hAnsi="宋体"/>
                <w:color w:val="auto"/>
                <w:szCs w:val="21"/>
                <w:highlight w:val="none"/>
              </w:rPr>
            </w:pPr>
            <w:r>
              <w:rPr>
                <w:rFonts w:hint="eastAsia" w:ascii="宋体" w:hAnsi="宋体"/>
                <w:color w:val="auto"/>
                <w:szCs w:val="21"/>
                <w:highlight w:val="none"/>
                <w:lang w:val="en-US" w:eastAsia="zh-CN"/>
              </w:rPr>
              <w:t>注：同一份合同或业绩证明材料包含多条高速公路路段的，可累计叠加计算。</w:t>
            </w:r>
          </w:p>
        </w:tc>
      </w:tr>
    </w:tbl>
    <w:p>
      <w:pPr>
        <w:pStyle w:val="2"/>
        <w:ind w:left="0" w:leftChars="0" w:firstLine="0" w:firstLineChars="0"/>
        <w:rPr>
          <w:rFonts w:hint="eastAsia" w:ascii="宋体" w:hAnsi="宋体"/>
          <w:color w:val="auto"/>
          <w:szCs w:val="21"/>
          <w:highlight w:val="none"/>
        </w:rPr>
        <w:sectPr>
          <w:headerReference r:id="rId3" w:type="default"/>
          <w:footerReference r:id="rId4" w:type="default"/>
          <w:footnotePr>
            <w:numFmt w:val="decimalEnclosedCircleChinese"/>
            <w:numRestart w:val="eachPage"/>
          </w:footnotePr>
          <w:pgSz w:w="11906" w:h="16838"/>
          <w:pgMar w:top="1134" w:right="1457" w:bottom="1440" w:left="1457" w:header="851" w:footer="851" w:gutter="0"/>
          <w:pgNumType w:fmt="decimal"/>
          <w:cols w:space="720" w:num="1"/>
          <w:docGrid w:linePitch="312" w:charSpace="0"/>
        </w:sectPr>
      </w:pPr>
    </w:p>
    <w:p>
      <w:pPr>
        <w:jc w:val="right"/>
        <w:rPr>
          <w:rFonts w:hint="eastAsia" w:ascii="宋体" w:hAnsi="宋体"/>
          <w:color w:val="auto"/>
          <w:szCs w:val="21"/>
          <w:highlight w:val="none"/>
        </w:rPr>
      </w:pPr>
      <w:r>
        <w:rPr>
          <w:rFonts w:hint="eastAsia" w:ascii="宋体" w:hAnsi="宋体"/>
          <w:color w:val="auto"/>
          <w:szCs w:val="21"/>
          <w:highlight w:val="none"/>
        </w:rPr>
        <w:t>续上表</w:t>
      </w:r>
    </w:p>
    <w:tbl>
      <w:tblPr>
        <w:tblStyle w:val="9"/>
        <w:tblW w:w="94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9427" w:type="dxa"/>
            <w:gridSpan w:val="2"/>
            <w:vAlign w:val="center"/>
          </w:tcPr>
          <w:p>
            <w:pPr>
              <w:spacing w:line="360" w:lineRule="exact"/>
              <w:jc w:val="center"/>
              <w:rPr>
                <w:rFonts w:hint="eastAsia" w:ascii="宋体" w:hAnsi="宋体"/>
                <w:b/>
                <w:color w:val="auto"/>
                <w:sz w:val="32"/>
                <w:szCs w:val="32"/>
                <w:highlight w:val="none"/>
              </w:rPr>
            </w:pPr>
            <w:r>
              <w:rPr>
                <w:rFonts w:ascii="宋体" w:hAnsi="宋体"/>
                <w:b/>
                <w:color w:val="auto"/>
                <w:sz w:val="32"/>
                <w:szCs w:val="32"/>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1029" w:type="dxa"/>
            <w:vAlign w:val="center"/>
          </w:tcPr>
          <w:p>
            <w:pPr>
              <w:spacing w:line="360" w:lineRule="exact"/>
              <w:jc w:val="center"/>
              <w:rPr>
                <w:rFonts w:hint="eastAsia" w:ascii="宋体" w:hAnsi="宋体"/>
                <w:b/>
                <w:color w:val="auto"/>
                <w:szCs w:val="21"/>
                <w:highlight w:val="none"/>
              </w:rPr>
            </w:pPr>
            <w:r>
              <w:rPr>
                <w:rFonts w:hint="eastAsia" w:ascii="宋体" w:hAnsi="宋体"/>
                <w:b/>
                <w:color w:val="auto"/>
                <w:szCs w:val="21"/>
                <w:highlight w:val="none"/>
              </w:rPr>
              <w:t>条款号</w:t>
            </w:r>
          </w:p>
        </w:tc>
        <w:tc>
          <w:tcPr>
            <w:tcW w:w="8398" w:type="dxa"/>
            <w:vAlign w:val="center"/>
          </w:tcPr>
          <w:p>
            <w:pPr>
              <w:spacing w:line="360" w:lineRule="exact"/>
              <w:jc w:val="center"/>
              <w:rPr>
                <w:rFonts w:hint="eastAsia" w:ascii="宋体" w:hAnsi="宋体"/>
                <w:b/>
                <w:color w:val="auto"/>
                <w:szCs w:val="21"/>
                <w:highlight w:val="none"/>
              </w:rPr>
            </w:pPr>
            <w:r>
              <w:rPr>
                <w:rFonts w:hint="eastAsia" w:ascii="宋体" w:hAnsi="宋体"/>
                <w:b/>
                <w:color w:val="auto"/>
                <w:szCs w:val="21"/>
                <w:highlight w:val="none"/>
              </w:rPr>
              <w:t>补充或修改的内容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jc w:val="center"/>
        </w:trPr>
        <w:tc>
          <w:tcPr>
            <w:tcW w:w="1029" w:type="dxa"/>
            <w:vAlign w:val="center"/>
          </w:tcPr>
          <w:p>
            <w:pPr>
              <w:spacing w:line="360" w:lineRule="exact"/>
              <w:jc w:val="center"/>
              <w:rPr>
                <w:rFonts w:hint="eastAsia" w:ascii="宋体" w:hAnsi="宋体"/>
                <w:b/>
                <w:color w:val="auto"/>
                <w:szCs w:val="21"/>
                <w:highlight w:val="none"/>
              </w:rPr>
            </w:pPr>
            <w:r>
              <w:rPr>
                <w:rFonts w:hint="eastAsia" w:ascii="宋体" w:hAnsi="宋体"/>
                <w:b/>
                <w:color w:val="auto"/>
                <w:szCs w:val="21"/>
                <w:highlight w:val="none"/>
              </w:rPr>
              <w:t>1</w:t>
            </w:r>
          </w:p>
        </w:tc>
        <w:tc>
          <w:tcPr>
            <w:tcW w:w="8398" w:type="dxa"/>
            <w:vAlign w:val="center"/>
          </w:tcPr>
          <w:p>
            <w:pPr>
              <w:spacing w:line="36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将评标办法范本原文第1条“评标方法”改为“评标方法及评标组织”，并且原文内容修改如下：</w:t>
            </w:r>
          </w:p>
          <w:p>
            <w:pPr>
              <w:spacing w:line="360" w:lineRule="exact"/>
              <w:rPr>
                <w:rFonts w:hint="eastAsia" w:ascii="宋体" w:hAnsi="宋体"/>
                <w:b/>
                <w:color w:val="auto"/>
                <w:szCs w:val="21"/>
                <w:highlight w:val="none"/>
              </w:rPr>
            </w:pPr>
            <w:r>
              <w:rPr>
                <w:rFonts w:hint="eastAsia" w:ascii="宋体" w:hAnsi="宋体"/>
                <w:b/>
                <w:color w:val="auto"/>
                <w:szCs w:val="21"/>
                <w:highlight w:val="none"/>
              </w:rPr>
              <w:t>1.1评标方法</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本次评标采用</w:t>
            </w:r>
            <w:r>
              <w:rPr>
                <w:rFonts w:hint="eastAsia" w:ascii="宋体" w:hAnsi="宋体"/>
                <w:color w:val="auto"/>
                <w:szCs w:val="21"/>
              </w:rPr>
              <w:t>双信封综合评标法</w:t>
            </w:r>
            <w:r>
              <w:rPr>
                <w:rFonts w:hint="eastAsia" w:ascii="宋体" w:hAnsi="宋体"/>
                <w:color w:val="auto"/>
                <w:szCs w:val="21"/>
                <w:highlight w:val="none"/>
              </w:rPr>
              <w:t>。评标委员会对满足招标文件实质性要求的投标文件，按照本章第2.2款规定的评分标准进行打分，并按得分由高到低顺序推荐中标候选人，但投标报价低于其成本的除外。综合评分相等时，评标委员会应按照评标办法前附表规定的优先次序推荐中标候选人。</w:t>
            </w:r>
          </w:p>
          <w:p>
            <w:pPr>
              <w:spacing w:line="360" w:lineRule="exact"/>
              <w:rPr>
                <w:rFonts w:hint="eastAsia" w:ascii="宋体" w:hAnsi="宋体"/>
                <w:b/>
                <w:color w:val="auto"/>
                <w:szCs w:val="21"/>
                <w:highlight w:val="none"/>
              </w:rPr>
            </w:pPr>
            <w:r>
              <w:rPr>
                <w:rFonts w:hint="eastAsia" w:ascii="宋体" w:hAnsi="宋体"/>
                <w:b/>
                <w:color w:val="auto"/>
                <w:szCs w:val="21"/>
                <w:highlight w:val="none"/>
              </w:rPr>
              <w:t>1.2评标组织</w:t>
            </w:r>
          </w:p>
          <w:p>
            <w:pPr>
              <w:spacing w:line="360" w:lineRule="exact"/>
              <w:rPr>
                <w:rFonts w:hint="eastAsia" w:ascii="宋体" w:hAnsi="宋体"/>
                <w:b/>
                <w:color w:val="auto"/>
                <w:szCs w:val="21"/>
                <w:highlight w:val="none"/>
              </w:rPr>
            </w:pPr>
            <w:r>
              <w:rPr>
                <w:rFonts w:hint="eastAsia" w:ascii="宋体" w:hAnsi="宋体"/>
                <w:b/>
                <w:color w:val="auto"/>
                <w:szCs w:val="21"/>
                <w:highlight w:val="none"/>
              </w:rPr>
              <w:t>1.2.1协助工作组</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招标人可在评标工作开始前成立协助工作组，选派熟悉招标工作、政治素质高的人员组成，协助评标委员会工作。协助工作组人员的具体数量由招标人视评标工作量确定。</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招标人可以协助评标委员会开展下列工作并提供相关信息：</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）根据招标文件，编制评标使用的相应表格；</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）对投标报价进行算术性校核（如采用固化工程量清单，本步骤省略）；</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）以评标标准和方法为依据，列出投标文件相对于招标文件的所有偏差，并进行归类汇总；</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招标人不得对投标文件作出任何评价，不得故意遗漏或者片面摘录，不得在评标委员会对所有偏差定性之前透露存有偏差的投标人名称。</w:t>
            </w:r>
          </w:p>
          <w:p>
            <w:pPr>
              <w:spacing w:line="360" w:lineRule="exact"/>
              <w:rPr>
                <w:rFonts w:hint="eastAsia" w:ascii="宋体" w:hAnsi="宋体"/>
                <w:b/>
                <w:color w:val="auto"/>
                <w:szCs w:val="21"/>
                <w:highlight w:val="none"/>
              </w:rPr>
            </w:pPr>
            <w:r>
              <w:rPr>
                <w:rFonts w:hint="eastAsia" w:ascii="宋体" w:hAnsi="宋体"/>
                <w:b/>
                <w:color w:val="auto"/>
                <w:szCs w:val="21"/>
                <w:highlight w:val="none"/>
              </w:rPr>
              <w:t>1.2.2评标委员会</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评标委员会由招标人按国家、省等的有关规定依法组建，由招标人的代表和技术、经济专家组成。评标委员人数</w:t>
            </w:r>
            <w:r>
              <w:rPr>
                <w:rFonts w:ascii="宋体" w:hAnsi="宋体"/>
                <w:color w:val="auto"/>
                <w:szCs w:val="21"/>
                <w:highlight w:val="none"/>
              </w:rPr>
              <w:t>按投标人须知第6.1.1项执行</w:t>
            </w:r>
            <w:r>
              <w:rPr>
                <w:rFonts w:hint="eastAsia" w:ascii="宋体" w:hAnsi="宋体"/>
                <w:color w:val="auto"/>
                <w:szCs w:val="21"/>
                <w:highlight w:val="none"/>
              </w:rPr>
              <w:t>，评标委员会的主要工作内容包括：</w:t>
            </w:r>
          </w:p>
          <w:p>
            <w:pPr>
              <w:spacing w:line="360" w:lineRule="exact"/>
              <w:ind w:firstLine="323" w:firstLineChars="154"/>
              <w:rPr>
                <w:rFonts w:hint="eastAsia" w:ascii="宋体" w:hAnsi="宋体"/>
                <w:color w:val="auto"/>
                <w:szCs w:val="21"/>
                <w:highlight w:val="none"/>
              </w:rPr>
            </w:pPr>
            <w:r>
              <w:rPr>
                <w:rFonts w:hint="eastAsia" w:ascii="宋体" w:hAnsi="宋体"/>
                <w:color w:val="auto"/>
                <w:szCs w:val="21"/>
                <w:highlight w:val="none"/>
              </w:rPr>
              <w:t>（1）评标委员会开始评标工作之前，首先听取招标人、协助工作组关于工程情况和辅助工作的说明，并认真研读招标文件，获取评标所需的重要信息和数据；</w:t>
            </w:r>
          </w:p>
          <w:p>
            <w:pPr>
              <w:spacing w:line="360" w:lineRule="exact"/>
              <w:ind w:firstLine="323" w:firstLineChars="154"/>
              <w:rPr>
                <w:rFonts w:hint="eastAsia" w:ascii="宋体" w:hAnsi="宋体"/>
                <w:color w:val="auto"/>
                <w:szCs w:val="21"/>
                <w:highlight w:val="none"/>
              </w:rPr>
            </w:pPr>
            <w:r>
              <w:rPr>
                <w:rFonts w:hint="eastAsia" w:ascii="宋体" w:hAnsi="宋体"/>
                <w:color w:val="auto"/>
                <w:szCs w:val="21"/>
                <w:highlight w:val="none"/>
              </w:rPr>
              <w:t>（2）对协助工作组提供的评标工作用表和评标内容进行认真核查；</w:t>
            </w:r>
          </w:p>
          <w:p>
            <w:pPr>
              <w:spacing w:line="360" w:lineRule="exact"/>
              <w:ind w:firstLine="315" w:firstLineChars="150"/>
              <w:rPr>
                <w:rFonts w:hint="eastAsia" w:ascii="宋体" w:hAnsi="宋体"/>
                <w:color w:val="auto"/>
                <w:szCs w:val="21"/>
                <w:highlight w:val="none"/>
              </w:rPr>
            </w:pPr>
            <w:r>
              <w:rPr>
                <w:rFonts w:hint="eastAsia" w:ascii="宋体" w:hAnsi="宋体"/>
                <w:color w:val="auto"/>
                <w:szCs w:val="21"/>
                <w:highlight w:val="none"/>
              </w:rPr>
              <w:t>（3）按照以下</w:t>
            </w:r>
            <w:r>
              <w:rPr>
                <w:rFonts w:ascii="宋体" w:hAnsi="宋体"/>
                <w:color w:val="auto"/>
                <w:szCs w:val="21"/>
                <w:highlight w:val="none"/>
              </w:rPr>
              <w:t xml:space="preserve">1.3 </w:t>
            </w:r>
            <w:r>
              <w:rPr>
                <w:rFonts w:hint="eastAsia" w:ascii="宋体" w:hAnsi="宋体"/>
                <w:color w:val="auto"/>
                <w:szCs w:val="21"/>
                <w:highlight w:val="none"/>
              </w:rPr>
              <w:t>款程序进行各项评审工作。</w:t>
            </w:r>
          </w:p>
          <w:p>
            <w:pPr>
              <w:spacing w:line="360" w:lineRule="exact"/>
              <w:rPr>
                <w:rFonts w:hint="eastAsia" w:ascii="宋体" w:hAnsi="宋体"/>
                <w:b/>
                <w:color w:val="auto"/>
                <w:szCs w:val="21"/>
                <w:highlight w:val="none"/>
              </w:rPr>
            </w:pPr>
            <w:r>
              <w:rPr>
                <w:rFonts w:hint="eastAsia" w:ascii="宋体" w:hAnsi="宋体"/>
                <w:b/>
                <w:color w:val="auto"/>
                <w:szCs w:val="21"/>
                <w:highlight w:val="none"/>
              </w:rPr>
              <w:t>1.3评审工作程序</w:t>
            </w:r>
          </w:p>
          <w:p>
            <w:pPr>
              <w:spacing w:line="360" w:lineRule="exact"/>
              <w:rPr>
                <w:rFonts w:hint="eastAsia" w:ascii="宋体" w:hAnsi="宋体"/>
                <w:color w:val="auto"/>
                <w:szCs w:val="21"/>
                <w:highlight w:val="none"/>
              </w:rPr>
            </w:pPr>
            <w:r>
              <w:rPr>
                <w:rFonts w:hint="eastAsia" w:ascii="宋体" w:hAnsi="宋体"/>
                <w:color w:val="auto"/>
                <w:szCs w:val="21"/>
                <w:highlight w:val="none"/>
              </w:rPr>
              <w:t>（一）第一信封（商务文件和技术文件）：</w:t>
            </w:r>
          </w:p>
          <w:p>
            <w:pPr>
              <w:spacing w:line="360" w:lineRule="exact"/>
              <w:ind w:firstLine="323" w:firstLineChars="154"/>
              <w:rPr>
                <w:rFonts w:hint="eastAsia" w:ascii="宋体" w:hAnsi="宋体"/>
                <w:color w:val="auto"/>
                <w:szCs w:val="21"/>
                <w:highlight w:val="none"/>
              </w:rPr>
            </w:pPr>
            <w:r>
              <w:rPr>
                <w:rFonts w:hint="eastAsia" w:ascii="宋体" w:hAnsi="宋体"/>
                <w:color w:val="auto"/>
                <w:szCs w:val="21"/>
                <w:highlight w:val="none"/>
              </w:rPr>
              <w:t>（1）初步评审，包括形式评审与响应性评审、资格评审（适用于资格后审）；</w:t>
            </w:r>
          </w:p>
          <w:p>
            <w:pPr>
              <w:spacing w:line="360" w:lineRule="exact"/>
              <w:ind w:firstLine="323" w:firstLineChars="154"/>
              <w:rPr>
                <w:rFonts w:hint="eastAsia" w:ascii="宋体" w:hAnsi="宋体"/>
                <w:color w:val="auto"/>
                <w:szCs w:val="21"/>
                <w:highlight w:val="none"/>
              </w:rPr>
            </w:pPr>
            <w:r>
              <w:rPr>
                <w:rFonts w:hint="eastAsia" w:ascii="宋体" w:hAnsi="宋体"/>
                <w:color w:val="auto"/>
                <w:szCs w:val="21"/>
                <w:highlight w:val="none"/>
              </w:rPr>
              <w:t>（2）详细评审（评审打分）：评标委员会首先对通过初步评审的投标文件第一个信封（商务及技术文件）进行详细评审，</w:t>
            </w:r>
            <w:r>
              <w:rPr>
                <w:rFonts w:hint="eastAsia" w:ascii="宋体" w:cs="宋体"/>
                <w:color w:val="auto"/>
                <w:kern w:val="0"/>
                <w:sz w:val="22"/>
                <w:szCs w:val="22"/>
                <w:highlight w:val="none"/>
              </w:rPr>
              <w:t>对投标人的</w:t>
            </w:r>
            <w:r>
              <w:rPr>
                <w:rFonts w:hint="eastAsia" w:ascii="宋体" w:hAnsi="宋体"/>
                <w:color w:val="auto"/>
                <w:szCs w:val="21"/>
                <w:highlight w:val="none"/>
              </w:rPr>
              <w:t>对投标人的施工组织设计、主要人员、其他因素等分别评审打分。</w:t>
            </w:r>
          </w:p>
          <w:p>
            <w:pPr>
              <w:spacing w:line="360" w:lineRule="exact"/>
              <w:rPr>
                <w:rFonts w:hint="eastAsia" w:ascii="宋体" w:hAnsi="宋体"/>
                <w:color w:val="auto"/>
                <w:szCs w:val="21"/>
                <w:highlight w:val="none"/>
              </w:rPr>
            </w:pPr>
            <w:r>
              <w:rPr>
                <w:rFonts w:hint="eastAsia" w:ascii="宋体" w:hAnsi="宋体"/>
                <w:color w:val="auto"/>
                <w:szCs w:val="21"/>
                <w:highlight w:val="none"/>
              </w:rPr>
              <w:t>（二）第二信封（报价文件）：</w:t>
            </w:r>
          </w:p>
          <w:p>
            <w:pPr>
              <w:spacing w:line="400" w:lineRule="exact"/>
              <w:ind w:firstLine="210" w:firstLineChars="100"/>
              <w:rPr>
                <w:rFonts w:hint="eastAsia" w:ascii="宋体" w:hAnsi="宋体"/>
                <w:color w:val="auto"/>
                <w:szCs w:val="21"/>
                <w:highlight w:val="none"/>
              </w:rPr>
            </w:pPr>
            <w:r>
              <w:rPr>
                <w:rFonts w:hint="eastAsia" w:ascii="宋体" w:hAnsi="宋体"/>
                <w:color w:val="auto"/>
                <w:szCs w:val="21"/>
                <w:highlight w:val="none"/>
              </w:rPr>
              <w:t>1、初步评审：</w:t>
            </w:r>
          </w:p>
          <w:p>
            <w:pPr>
              <w:spacing w:line="400" w:lineRule="exact"/>
              <w:ind w:firstLine="210" w:firstLineChars="100"/>
              <w:rPr>
                <w:rFonts w:hint="eastAsia" w:ascii="宋体" w:hAnsi="宋体"/>
                <w:color w:val="auto"/>
                <w:szCs w:val="21"/>
                <w:highlight w:val="none"/>
              </w:rPr>
            </w:pPr>
            <w:r>
              <w:rPr>
                <w:rFonts w:hint="eastAsia" w:ascii="宋体" w:hAnsi="宋体"/>
                <w:color w:val="auto"/>
                <w:szCs w:val="21"/>
                <w:highlight w:val="none"/>
              </w:rPr>
              <w:t>（1）只有投标文件第一个信封通过详细评审的投标人才能继续参加第二信封报价文件的形式评审与响应性评审。</w:t>
            </w:r>
          </w:p>
          <w:p>
            <w:pPr>
              <w:spacing w:line="400" w:lineRule="exact"/>
              <w:ind w:firstLine="210" w:firstLineChars="100"/>
              <w:rPr>
                <w:rFonts w:hint="eastAsia" w:ascii="宋体" w:hAnsi="宋体"/>
                <w:color w:val="auto"/>
                <w:szCs w:val="21"/>
                <w:highlight w:val="none"/>
              </w:rPr>
            </w:pPr>
            <w:r>
              <w:rPr>
                <w:rFonts w:hint="eastAsia" w:ascii="宋体" w:hAnsi="宋体"/>
                <w:color w:val="auto"/>
                <w:szCs w:val="21"/>
                <w:highlight w:val="none"/>
              </w:rPr>
              <w:t>（2）报价算术性修正（如采用固化工程量清单，本步骤省略）；</w:t>
            </w:r>
          </w:p>
          <w:p>
            <w:pPr>
              <w:spacing w:line="400" w:lineRule="exact"/>
              <w:ind w:firstLine="210" w:firstLineChars="100"/>
              <w:rPr>
                <w:rFonts w:hint="eastAsia" w:ascii="宋体" w:hAnsi="宋体"/>
                <w:color w:val="auto"/>
                <w:szCs w:val="21"/>
                <w:highlight w:val="none"/>
              </w:rPr>
            </w:pPr>
            <w:r>
              <w:rPr>
                <w:rFonts w:hint="eastAsia" w:ascii="宋体" w:hAnsi="宋体"/>
                <w:color w:val="auto"/>
                <w:szCs w:val="21"/>
                <w:highlight w:val="none"/>
              </w:rPr>
              <w:t>2、详细评审：计算评标基准价、评标价得分及综合得分；</w:t>
            </w:r>
          </w:p>
          <w:p>
            <w:pPr>
              <w:spacing w:line="360" w:lineRule="exact"/>
              <w:ind w:firstLine="220" w:firstLineChars="105"/>
              <w:rPr>
                <w:rFonts w:ascii="宋体" w:hAnsi="宋体"/>
                <w:color w:val="auto"/>
                <w:szCs w:val="21"/>
                <w:highlight w:val="none"/>
              </w:rPr>
            </w:pPr>
            <w:r>
              <w:rPr>
                <w:rFonts w:hint="eastAsia" w:ascii="宋体" w:hAnsi="宋体"/>
                <w:color w:val="auto"/>
                <w:szCs w:val="21"/>
                <w:highlight w:val="none"/>
              </w:rPr>
              <w:t>（三）投标文件相关信息的核查。</w:t>
            </w:r>
          </w:p>
          <w:p>
            <w:pPr>
              <w:spacing w:line="360" w:lineRule="exact"/>
              <w:ind w:firstLine="220" w:firstLineChars="105"/>
              <w:rPr>
                <w:rFonts w:ascii="宋体" w:hAnsi="宋体"/>
                <w:color w:val="auto"/>
                <w:szCs w:val="21"/>
                <w:highlight w:val="none"/>
              </w:rPr>
            </w:pPr>
            <w:r>
              <w:rPr>
                <w:rFonts w:hint="eastAsia" w:ascii="宋体" w:hAnsi="宋体"/>
                <w:color w:val="auto"/>
                <w:szCs w:val="21"/>
                <w:highlight w:val="none"/>
              </w:rPr>
              <w:t>（四）投标文件的澄清和说明</w:t>
            </w:r>
            <w:r>
              <w:rPr>
                <w:rFonts w:ascii="宋体" w:hAnsi="宋体"/>
                <w:color w:val="auto"/>
                <w:szCs w:val="21"/>
                <w:highlight w:val="none"/>
              </w:rPr>
              <w:t>(</w:t>
            </w:r>
            <w:r>
              <w:rPr>
                <w:rFonts w:hint="eastAsia" w:ascii="宋体" w:hAnsi="宋体"/>
                <w:color w:val="auto"/>
                <w:szCs w:val="21"/>
                <w:highlight w:val="none"/>
              </w:rPr>
              <w:t>如有</w:t>
            </w:r>
            <w:r>
              <w:rPr>
                <w:rFonts w:ascii="宋体" w:hAnsi="宋体"/>
                <w:color w:val="auto"/>
                <w:szCs w:val="21"/>
                <w:highlight w:val="none"/>
              </w:rPr>
              <w:t>)</w:t>
            </w:r>
          </w:p>
          <w:p>
            <w:pPr>
              <w:spacing w:line="360" w:lineRule="exact"/>
              <w:ind w:firstLine="210" w:firstLineChars="100"/>
              <w:rPr>
                <w:rFonts w:hint="eastAsia" w:ascii="宋体" w:hAnsi="宋体"/>
                <w:b/>
                <w:color w:val="auto"/>
                <w:szCs w:val="21"/>
                <w:highlight w:val="none"/>
              </w:rPr>
            </w:pPr>
            <w:r>
              <w:rPr>
                <w:rFonts w:hint="eastAsia" w:ascii="宋体" w:hAnsi="宋体"/>
                <w:color w:val="auto"/>
                <w:szCs w:val="21"/>
                <w:highlight w:val="none"/>
              </w:rPr>
              <w:t>（五）按评标办法规定推荐中标候选人，编写评标报告。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0" w:hRule="atLeast"/>
          <w:jc w:val="center"/>
        </w:trPr>
        <w:tc>
          <w:tcPr>
            <w:tcW w:w="1029" w:type="dxa"/>
            <w:vAlign w:val="center"/>
          </w:tcPr>
          <w:p>
            <w:pPr>
              <w:spacing w:line="360" w:lineRule="exact"/>
              <w:jc w:val="center"/>
              <w:rPr>
                <w:rFonts w:ascii="宋体" w:hAnsi="宋体"/>
                <w:b/>
                <w:color w:val="auto"/>
                <w:szCs w:val="21"/>
                <w:highlight w:val="none"/>
              </w:rPr>
            </w:pPr>
            <w:r>
              <w:rPr>
                <w:rFonts w:ascii="宋体" w:hAnsi="宋体"/>
                <w:b/>
                <w:color w:val="auto"/>
                <w:szCs w:val="21"/>
              </w:rPr>
              <w:t>3.2.3</w:t>
            </w:r>
          </w:p>
        </w:tc>
        <w:tc>
          <w:tcPr>
            <w:tcW w:w="8398" w:type="dxa"/>
            <w:vAlign w:val="top"/>
          </w:tcPr>
          <w:p>
            <w:pPr>
              <w:autoSpaceDE w:val="0"/>
              <w:autoSpaceDN w:val="0"/>
              <w:adjustRightInd w:val="0"/>
              <w:spacing w:line="360" w:lineRule="exact"/>
              <w:ind w:firstLine="420" w:firstLineChars="200"/>
              <w:jc w:val="left"/>
              <w:rPr>
                <w:rFonts w:hint="eastAsia" w:ascii="宋体" w:hAnsi="宋体"/>
                <w:b/>
                <w:color w:val="auto"/>
                <w:szCs w:val="21"/>
              </w:rPr>
            </w:pPr>
            <w:r>
              <w:rPr>
                <w:rFonts w:hint="eastAsia" w:ascii="宋体" w:hAnsi="宋体"/>
                <w:b/>
                <w:color w:val="auto"/>
                <w:szCs w:val="21"/>
              </w:rPr>
              <w:t>将评标办法范本原文第</w:t>
            </w:r>
            <w:r>
              <w:rPr>
                <w:rFonts w:ascii="宋体" w:hAnsi="宋体"/>
                <w:b/>
                <w:color w:val="auto"/>
                <w:szCs w:val="21"/>
              </w:rPr>
              <w:t xml:space="preserve">3.2.3 </w:t>
            </w:r>
            <w:r>
              <w:rPr>
                <w:rFonts w:hint="eastAsia" w:ascii="宋体" w:hAnsi="宋体"/>
                <w:b/>
                <w:color w:val="auto"/>
                <w:szCs w:val="21"/>
              </w:rPr>
              <w:t>款细化如下：</w:t>
            </w:r>
          </w:p>
          <w:p>
            <w:pPr>
              <w:overflowPunct w:val="0"/>
              <w:spacing w:line="360" w:lineRule="exact"/>
              <w:ind w:firstLine="420" w:firstLineChars="200"/>
              <w:rPr>
                <w:rFonts w:hint="eastAsia" w:ascii="宋体" w:hAnsi="宋体"/>
                <w:color w:val="auto"/>
                <w:szCs w:val="21"/>
              </w:rPr>
            </w:pPr>
            <w:r>
              <w:rPr>
                <w:rFonts w:hint="eastAsia" w:ascii="宋体" w:hAnsi="宋体"/>
                <w:color w:val="auto"/>
                <w:szCs w:val="21"/>
              </w:rPr>
              <w:t>投标人的商务和技术得分</w:t>
            </w:r>
            <w:r>
              <w:rPr>
                <w:rFonts w:ascii="宋体" w:hAnsi="宋体"/>
                <w:color w:val="auto"/>
                <w:szCs w:val="21"/>
              </w:rPr>
              <w:t>=A+B+D</w:t>
            </w:r>
            <w:r>
              <w:rPr>
                <w:rFonts w:hint="eastAsia" w:ascii="宋体" w:hAnsi="宋体"/>
                <w:color w:val="auto"/>
                <w:szCs w:val="21"/>
              </w:rPr>
              <w:t>。</w:t>
            </w:r>
          </w:p>
          <w:p>
            <w:pPr>
              <w:autoSpaceDE w:val="0"/>
              <w:autoSpaceDN w:val="0"/>
              <w:adjustRightInd w:val="0"/>
              <w:spacing w:line="360" w:lineRule="exact"/>
              <w:ind w:firstLine="420" w:firstLineChars="200"/>
              <w:jc w:val="left"/>
              <w:rPr>
                <w:rFonts w:ascii="宋体" w:hAnsi="宋体"/>
                <w:b/>
                <w:color w:val="auto"/>
                <w:szCs w:val="21"/>
                <w:highlight w:val="none"/>
              </w:rPr>
            </w:pPr>
            <w:r>
              <w:rPr>
                <w:rFonts w:hint="eastAsia" w:ascii="宋体" w:hAnsi="宋体"/>
                <w:color w:val="auto"/>
                <w:szCs w:val="21"/>
              </w:rPr>
              <w:t>计算投标人总体服务方案得分时</w:t>
            </w:r>
            <w:r>
              <w:rPr>
                <w:rFonts w:ascii="宋体" w:hAnsi="宋体"/>
                <w:color w:val="auto"/>
                <w:szCs w:val="21"/>
              </w:rPr>
              <w:t>:</w:t>
            </w:r>
            <w:r>
              <w:rPr>
                <w:rFonts w:hint="eastAsia" w:ascii="宋体" w:hAnsi="宋体"/>
                <w:color w:val="auto"/>
                <w:szCs w:val="21"/>
              </w:rPr>
              <w:t>在评委施工组织设计评分中，取消一个最高、一个最低分后计算算术平均值的和为投标人的最终施工组织设计得分。评委打分需保留至小数点后两位。投标人得分除报价得分外，投标文件各单项得分均不应低于其权重分的60%，评分低于权重分值60%的，评委会成员应在评标报告中作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1029" w:type="dxa"/>
            <w:vAlign w:val="center"/>
          </w:tcPr>
          <w:p>
            <w:pPr>
              <w:spacing w:line="360" w:lineRule="exact"/>
              <w:jc w:val="center"/>
              <w:rPr>
                <w:rFonts w:hint="eastAsia" w:ascii="宋体" w:hAnsi="宋体" w:eastAsia="宋体"/>
                <w:b/>
                <w:color w:val="auto"/>
                <w:szCs w:val="21"/>
                <w:highlight w:val="none"/>
                <w:lang w:val="en-US" w:eastAsia="zh-CN"/>
              </w:rPr>
            </w:pPr>
            <w:r>
              <w:rPr>
                <w:rFonts w:hint="eastAsia" w:ascii="宋体" w:hAnsi="宋体"/>
                <w:b/>
                <w:color w:val="auto"/>
                <w:szCs w:val="21"/>
                <w:highlight w:val="none"/>
              </w:rPr>
              <w:t>3.</w:t>
            </w:r>
            <w:r>
              <w:rPr>
                <w:rFonts w:hint="eastAsia" w:ascii="宋体" w:hAnsi="宋体"/>
                <w:b/>
                <w:color w:val="auto"/>
                <w:szCs w:val="21"/>
                <w:highlight w:val="none"/>
                <w:lang w:val="en-US" w:eastAsia="zh-CN"/>
              </w:rPr>
              <w:t>3</w:t>
            </w:r>
          </w:p>
        </w:tc>
        <w:tc>
          <w:tcPr>
            <w:tcW w:w="8398" w:type="dxa"/>
            <w:vAlign w:val="top"/>
          </w:tcPr>
          <w:p>
            <w:pPr>
              <w:spacing w:line="360" w:lineRule="exact"/>
              <w:rPr>
                <w:rFonts w:hint="eastAsia" w:ascii="宋体" w:hAnsi="宋体"/>
                <w:b/>
                <w:color w:val="auto"/>
                <w:szCs w:val="21"/>
              </w:rPr>
            </w:pPr>
            <w:r>
              <w:rPr>
                <w:rFonts w:hint="eastAsia" w:ascii="宋体" w:hAnsi="宋体"/>
                <w:b/>
                <w:color w:val="auto"/>
                <w:szCs w:val="21"/>
              </w:rPr>
              <w:t>将评标办法范本原文第3.3款修改为：</w:t>
            </w:r>
          </w:p>
          <w:p>
            <w:pPr>
              <w:overflowPunct w:val="0"/>
              <w:spacing w:line="360" w:lineRule="exact"/>
              <w:ind w:firstLine="420" w:firstLineChars="200"/>
              <w:rPr>
                <w:rFonts w:hint="eastAsia" w:ascii="宋体" w:hAnsi="宋体"/>
                <w:color w:val="auto"/>
                <w:szCs w:val="21"/>
              </w:rPr>
            </w:pPr>
            <w:r>
              <w:rPr>
                <w:rFonts w:hint="eastAsia" w:ascii="宋体" w:hAnsi="宋体"/>
                <w:color w:val="auto"/>
                <w:szCs w:val="21"/>
              </w:rPr>
              <w:t>第一个信封（商务及技术文件）评审结束后，招标人将按照第二章“投标人须知”</w:t>
            </w:r>
            <w:r>
              <w:rPr>
                <w:rFonts w:ascii="宋体" w:hAnsi="宋体"/>
                <w:color w:val="auto"/>
                <w:szCs w:val="21"/>
              </w:rPr>
              <w:t xml:space="preserve"> </w:t>
            </w:r>
            <w:r>
              <w:rPr>
                <w:rFonts w:hint="eastAsia" w:ascii="宋体" w:hAnsi="宋体"/>
                <w:color w:val="auto"/>
                <w:szCs w:val="21"/>
              </w:rPr>
              <w:t>第</w:t>
            </w:r>
            <w:r>
              <w:rPr>
                <w:rFonts w:ascii="宋体" w:hAnsi="宋体"/>
                <w:color w:val="auto"/>
                <w:szCs w:val="21"/>
              </w:rPr>
              <w:t xml:space="preserve"> 5.1 </w:t>
            </w:r>
            <w:r>
              <w:rPr>
                <w:rFonts w:hint="eastAsia" w:ascii="宋体" w:hAnsi="宋体"/>
                <w:color w:val="auto"/>
                <w:szCs w:val="21"/>
              </w:rPr>
              <w:t>款规定的时间和地点对通过投标文件第一个信封（商务及技术文件）评审的投标文件第二个信封（报价文件）进行开标。</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rPr>
              <w:t>只有通过第一个信封（商务及技术文件）评审的投标人才能继续参加第二信封（报价文件）的评审。对不通过第一个信封（商务及技术文件）评审的投标人的第二信封直接退回，不再开启内层信封。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1029" w:type="dxa"/>
            <w:vAlign w:val="center"/>
          </w:tcPr>
          <w:p>
            <w:pPr>
              <w:spacing w:line="360" w:lineRule="exact"/>
              <w:jc w:val="center"/>
              <w:rPr>
                <w:rFonts w:hint="eastAsia" w:ascii="宋体" w:hAnsi="宋体"/>
                <w:b/>
                <w:color w:val="auto"/>
                <w:szCs w:val="21"/>
                <w:highlight w:val="none"/>
              </w:rPr>
            </w:pPr>
            <w:r>
              <w:rPr>
                <w:rFonts w:hint="eastAsia" w:ascii="宋体" w:hAnsi="宋体"/>
                <w:b/>
                <w:color w:val="auto"/>
                <w:szCs w:val="21"/>
              </w:rPr>
              <w:t>3.4</w:t>
            </w:r>
          </w:p>
        </w:tc>
        <w:tc>
          <w:tcPr>
            <w:tcW w:w="8398" w:type="dxa"/>
            <w:vAlign w:val="top"/>
          </w:tcPr>
          <w:p>
            <w:pPr>
              <w:spacing w:line="360" w:lineRule="exact"/>
              <w:ind w:firstLine="420" w:firstLineChars="200"/>
              <w:rPr>
                <w:rFonts w:hint="eastAsia" w:ascii="宋体" w:hAnsi="宋体"/>
                <w:color w:val="auto"/>
                <w:szCs w:val="21"/>
                <w:highlight w:val="none"/>
              </w:rPr>
            </w:pPr>
            <w:r>
              <w:rPr>
                <w:rFonts w:hint="eastAsia" w:ascii="宋体" w:hAnsi="宋体"/>
                <w:color w:val="auto"/>
                <w:szCs w:val="21"/>
              </w:rPr>
              <w:t>本项目招标采用第二章“投标人须知”第3.2.1项（1）目规定的投标人按照招标人提供的工程量固化清单电子文件填写工程量清单，无须按照本章第 3.4.2 项和第 3.4.3 项的规定对投标报价进行修正，第 3.4.2 项至第 3.4.5 项内容不适用。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1029" w:type="dxa"/>
            <w:vAlign w:val="center"/>
          </w:tcPr>
          <w:p>
            <w:pPr>
              <w:spacing w:line="360" w:lineRule="exact"/>
              <w:jc w:val="center"/>
              <w:rPr>
                <w:rFonts w:hint="eastAsia" w:ascii="宋体" w:hAnsi="宋体"/>
                <w:b/>
                <w:color w:val="auto"/>
                <w:szCs w:val="21"/>
                <w:highlight w:val="none"/>
              </w:rPr>
            </w:pPr>
            <w:r>
              <w:rPr>
                <w:rFonts w:hint="eastAsia" w:ascii="宋体" w:hAnsi="宋体"/>
                <w:b/>
                <w:color w:val="auto"/>
                <w:szCs w:val="21"/>
                <w:highlight w:val="none"/>
              </w:rPr>
              <w:t>3.6.1</w:t>
            </w:r>
          </w:p>
        </w:tc>
        <w:tc>
          <w:tcPr>
            <w:tcW w:w="8398" w:type="dxa"/>
            <w:vAlign w:val="center"/>
          </w:tcPr>
          <w:p>
            <w:pPr>
              <w:spacing w:line="360" w:lineRule="exact"/>
              <w:rPr>
                <w:rFonts w:ascii="宋体" w:hAnsi="宋体"/>
                <w:b/>
                <w:color w:val="auto"/>
                <w:szCs w:val="21"/>
                <w:highlight w:val="none"/>
              </w:rPr>
            </w:pPr>
            <w:r>
              <w:rPr>
                <w:rFonts w:hint="eastAsia" w:ascii="宋体" w:hAnsi="宋体"/>
                <w:b/>
                <w:color w:val="auto"/>
                <w:szCs w:val="21"/>
                <w:highlight w:val="none"/>
              </w:rPr>
              <w:t>将评标办法范本原文第</w:t>
            </w:r>
            <w:r>
              <w:rPr>
                <w:rFonts w:ascii="宋体" w:hAnsi="宋体"/>
                <w:b/>
                <w:color w:val="auto"/>
                <w:szCs w:val="21"/>
                <w:highlight w:val="none"/>
              </w:rPr>
              <w:t>3.</w:t>
            </w:r>
            <w:r>
              <w:rPr>
                <w:rFonts w:hint="eastAsia" w:ascii="宋体" w:hAnsi="宋体"/>
                <w:b/>
                <w:color w:val="auto"/>
                <w:szCs w:val="21"/>
                <w:highlight w:val="none"/>
                <w:lang w:val="en-US" w:eastAsia="zh-CN"/>
              </w:rPr>
              <w:t>6</w:t>
            </w:r>
            <w:r>
              <w:rPr>
                <w:rFonts w:ascii="宋体" w:hAnsi="宋体"/>
                <w:b/>
                <w:color w:val="auto"/>
                <w:szCs w:val="21"/>
                <w:highlight w:val="none"/>
              </w:rPr>
              <w:t xml:space="preserve">.1 </w:t>
            </w:r>
            <w:r>
              <w:rPr>
                <w:rFonts w:hint="eastAsia" w:ascii="宋体" w:hAnsi="宋体"/>
                <w:b/>
                <w:color w:val="auto"/>
                <w:szCs w:val="21"/>
                <w:highlight w:val="none"/>
              </w:rPr>
              <w:t>项修改为：</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6</w:t>
            </w:r>
            <w:r>
              <w:rPr>
                <w:rFonts w:hint="eastAsia" w:ascii="宋体" w:hAnsi="宋体"/>
                <w:color w:val="auto"/>
                <w:szCs w:val="21"/>
                <w:highlight w:val="none"/>
              </w:rPr>
              <w:t>.1 在评标过程中，评标委员会应</w:t>
            </w:r>
            <w:r>
              <w:rPr>
                <w:rFonts w:hint="eastAsia" w:ascii="宋体" w:hAnsi="宋体"/>
                <w:bCs/>
                <w:color w:val="auto"/>
                <w:szCs w:val="21"/>
                <w:highlight w:val="none"/>
              </w:rPr>
              <w:t>按“招标文件</w:t>
            </w:r>
            <w:r>
              <w:rPr>
                <w:rFonts w:ascii="宋体" w:hAnsi="宋体"/>
                <w:color w:val="auto"/>
                <w:szCs w:val="21"/>
                <w:highlight w:val="none"/>
              </w:rPr>
              <w:t>资格审查条件</w:t>
            </w:r>
            <w:r>
              <w:rPr>
                <w:rFonts w:hint="eastAsia" w:ascii="宋体" w:hAnsi="宋体"/>
                <w:color w:val="auto"/>
                <w:szCs w:val="21"/>
                <w:highlight w:val="none"/>
              </w:rPr>
              <w:t>”的要求，对投标人的资质、财务、业绩、主要人员资历和目前在岗情况、信用等级等信息进行核实。若投标文件载明的信息与</w:t>
            </w:r>
            <w:r>
              <w:rPr>
                <w:rFonts w:hint="eastAsia" w:ascii="宋体" w:hAnsi="宋体"/>
                <w:bCs/>
                <w:color w:val="auto"/>
                <w:szCs w:val="21"/>
                <w:highlight w:val="none"/>
              </w:rPr>
              <w:t>“招标文件</w:t>
            </w:r>
            <w:r>
              <w:rPr>
                <w:rFonts w:ascii="宋体" w:hAnsi="宋体"/>
                <w:color w:val="auto"/>
                <w:szCs w:val="21"/>
                <w:highlight w:val="none"/>
              </w:rPr>
              <w:t>资格审查条件</w:t>
            </w:r>
            <w:r>
              <w:rPr>
                <w:rFonts w:hint="eastAsia" w:ascii="宋体" w:hAnsi="宋体"/>
                <w:color w:val="auto"/>
                <w:szCs w:val="21"/>
                <w:highlight w:val="none"/>
              </w:rPr>
              <w:t>”要求的信息不符，使得投标人的资格条件不符合招标文件规定的，评标委员会应否决其投标。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1029" w:type="dxa"/>
            <w:vAlign w:val="center"/>
          </w:tcPr>
          <w:p>
            <w:pPr>
              <w:spacing w:line="360" w:lineRule="exact"/>
              <w:jc w:val="center"/>
              <w:rPr>
                <w:rFonts w:hint="eastAsia" w:ascii="宋体" w:hAnsi="宋体"/>
                <w:b/>
                <w:color w:val="auto"/>
                <w:szCs w:val="21"/>
                <w:highlight w:val="none"/>
              </w:rPr>
            </w:pPr>
            <w:r>
              <w:rPr>
                <w:rFonts w:hint="eastAsia" w:ascii="宋体" w:hAnsi="宋体"/>
                <w:b/>
                <w:color w:val="auto"/>
                <w:szCs w:val="21"/>
              </w:rPr>
              <w:t>3.6.3</w:t>
            </w:r>
          </w:p>
        </w:tc>
        <w:tc>
          <w:tcPr>
            <w:tcW w:w="8398" w:type="dxa"/>
            <w:vAlign w:val="top"/>
          </w:tcPr>
          <w:p>
            <w:pPr>
              <w:spacing w:line="360" w:lineRule="exact"/>
              <w:rPr>
                <w:rFonts w:ascii="宋体" w:hAnsi="宋体"/>
                <w:b/>
                <w:color w:val="auto"/>
                <w:szCs w:val="21"/>
              </w:rPr>
            </w:pPr>
            <w:r>
              <w:rPr>
                <w:rFonts w:hint="eastAsia" w:ascii="宋体" w:hAnsi="宋体"/>
                <w:b/>
                <w:color w:val="auto"/>
                <w:szCs w:val="21"/>
              </w:rPr>
              <w:t>增加</w:t>
            </w:r>
            <w:r>
              <w:rPr>
                <w:rFonts w:ascii="宋体" w:hAnsi="宋体"/>
                <w:b/>
                <w:color w:val="auto"/>
                <w:szCs w:val="21"/>
              </w:rPr>
              <w:t xml:space="preserve">3.6.3 </w:t>
            </w:r>
            <w:r>
              <w:rPr>
                <w:rFonts w:hint="eastAsia" w:ascii="宋体" w:hAnsi="宋体"/>
                <w:b/>
                <w:color w:val="auto"/>
                <w:szCs w:val="21"/>
              </w:rPr>
              <w:t>款：</w:t>
            </w:r>
          </w:p>
          <w:p>
            <w:pPr>
              <w:spacing w:line="360" w:lineRule="exact"/>
              <w:ind w:firstLine="420" w:firstLineChars="200"/>
              <w:rPr>
                <w:rFonts w:hint="eastAsia" w:ascii="宋体" w:hAnsi="宋体"/>
                <w:b/>
                <w:color w:val="auto"/>
                <w:szCs w:val="21"/>
                <w:highlight w:val="none"/>
              </w:rPr>
            </w:pPr>
            <w:r>
              <w:rPr>
                <w:rFonts w:ascii="宋体" w:hAnsi="宋体"/>
                <w:color w:val="auto"/>
                <w:szCs w:val="21"/>
              </w:rPr>
              <w:t xml:space="preserve">3.6.3 </w:t>
            </w:r>
            <w:r>
              <w:rPr>
                <w:rFonts w:hint="eastAsia" w:ascii="宋体" w:hAnsi="宋体"/>
                <w:color w:val="auto"/>
                <w:szCs w:val="21"/>
              </w:rPr>
              <w:t>依法必须进行招标的项目，除第一中标候选人或者中标人以外的其他投标人存在串通投标、弄虚作假、行贿情形且在评标过程中未被发现的，视为对中标结果没有造成实质性影响，招标人可以依法继续开展招标活动。投标人的违法行为由行政监督部门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1029" w:type="dxa"/>
            <w:vAlign w:val="center"/>
          </w:tcPr>
          <w:p>
            <w:pPr>
              <w:spacing w:line="360" w:lineRule="exact"/>
              <w:jc w:val="center"/>
              <w:rPr>
                <w:rFonts w:hint="eastAsia" w:ascii="宋体" w:hAnsi="宋体"/>
                <w:b/>
                <w:color w:val="auto"/>
                <w:szCs w:val="21"/>
                <w:highlight w:val="none"/>
              </w:rPr>
            </w:pPr>
            <w:r>
              <w:rPr>
                <w:rFonts w:hint="eastAsia" w:ascii="宋体" w:hAnsi="宋体"/>
                <w:b/>
                <w:color w:val="auto"/>
                <w:szCs w:val="21"/>
              </w:rPr>
              <w:t>3.7.1</w:t>
            </w:r>
          </w:p>
        </w:tc>
        <w:tc>
          <w:tcPr>
            <w:tcW w:w="8398" w:type="dxa"/>
            <w:vAlign w:val="top"/>
          </w:tcPr>
          <w:p>
            <w:pPr>
              <w:spacing w:line="360" w:lineRule="exact"/>
              <w:rPr>
                <w:rFonts w:ascii="宋体" w:hAnsi="宋体"/>
                <w:b/>
                <w:color w:val="auto"/>
                <w:szCs w:val="21"/>
              </w:rPr>
            </w:pPr>
            <w:r>
              <w:rPr>
                <w:rFonts w:hint="eastAsia" w:ascii="宋体" w:hAnsi="宋体"/>
                <w:b/>
                <w:color w:val="auto"/>
                <w:szCs w:val="21"/>
              </w:rPr>
              <w:t>将评标办法范本原文第</w:t>
            </w:r>
            <w:r>
              <w:rPr>
                <w:rFonts w:ascii="宋体" w:hAnsi="宋体"/>
                <w:b/>
                <w:color w:val="auto"/>
                <w:szCs w:val="21"/>
              </w:rPr>
              <w:t xml:space="preserve">3.7.1 </w:t>
            </w:r>
            <w:r>
              <w:rPr>
                <w:rFonts w:hint="eastAsia" w:ascii="宋体" w:hAnsi="宋体"/>
                <w:b/>
                <w:color w:val="auto"/>
                <w:szCs w:val="21"/>
              </w:rPr>
              <w:t>项修改为：</w:t>
            </w:r>
          </w:p>
          <w:p>
            <w:pPr>
              <w:overflowPunct w:val="0"/>
              <w:spacing w:line="360" w:lineRule="exact"/>
              <w:ind w:firstLine="420" w:firstLineChars="200"/>
              <w:rPr>
                <w:rFonts w:ascii="宋体" w:hAnsi="宋体"/>
                <w:color w:val="auto"/>
                <w:szCs w:val="21"/>
              </w:rPr>
            </w:pPr>
            <w:r>
              <w:rPr>
                <w:rFonts w:ascii="宋体" w:hAnsi="宋体"/>
                <w:color w:val="auto"/>
                <w:szCs w:val="21"/>
              </w:rPr>
              <w:t xml:space="preserve">3.7.1 </w:t>
            </w:r>
            <w:r>
              <w:rPr>
                <w:rFonts w:hint="eastAsia" w:ascii="宋体" w:hAnsi="宋体"/>
                <w:color w:val="auto"/>
                <w:szCs w:val="21"/>
              </w:rPr>
              <w:t>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pPr>
              <w:overflowPunct w:val="0"/>
              <w:spacing w:line="360" w:lineRule="exact"/>
              <w:ind w:firstLine="420" w:firstLineChars="200"/>
              <w:rPr>
                <w:rFonts w:ascii="宋体" w:hAnsi="宋体"/>
                <w:color w:val="auto"/>
                <w:szCs w:val="21"/>
              </w:rPr>
            </w:pPr>
            <w:r>
              <w:rPr>
                <w:rFonts w:ascii="宋体" w:hAnsi="宋体"/>
                <w:color w:val="auto"/>
                <w:szCs w:val="21"/>
              </w:rPr>
              <w:t xml:space="preserve">(1) </w:t>
            </w:r>
            <w:r>
              <w:rPr>
                <w:rFonts w:hint="eastAsia" w:ascii="宋体" w:hAnsi="宋体"/>
                <w:color w:val="auto"/>
                <w:szCs w:val="21"/>
              </w:rPr>
              <w:t>投标文件中的下列计算错误为细微偏差（采用固化工程量清单，则</w:t>
            </w:r>
            <w:r>
              <w:rPr>
                <w:rFonts w:ascii="宋体" w:hAnsi="宋体"/>
                <w:color w:val="auto"/>
                <w:szCs w:val="21"/>
              </w:rPr>
              <w:t>a</w:t>
            </w:r>
            <w:r>
              <w:rPr>
                <w:rFonts w:hint="eastAsia" w:ascii="宋体" w:hAnsi="宋体"/>
                <w:color w:val="auto"/>
                <w:szCs w:val="21"/>
              </w:rPr>
              <w:t>－</w:t>
            </w:r>
            <w:r>
              <w:rPr>
                <w:rFonts w:ascii="宋体" w:hAnsi="宋体"/>
                <w:color w:val="auto"/>
                <w:szCs w:val="21"/>
              </w:rPr>
              <w:t xml:space="preserve">d </w:t>
            </w:r>
            <w:r>
              <w:rPr>
                <w:rFonts w:hint="eastAsia" w:ascii="宋体" w:hAnsi="宋体"/>
                <w:color w:val="auto"/>
                <w:szCs w:val="21"/>
              </w:rPr>
              <w:t>步骤省略）：</w:t>
            </w:r>
          </w:p>
          <w:p>
            <w:pPr>
              <w:overflowPunct w:val="0"/>
              <w:spacing w:line="360" w:lineRule="exact"/>
              <w:ind w:firstLine="420" w:firstLineChars="200"/>
              <w:rPr>
                <w:rFonts w:ascii="宋体" w:hAnsi="宋体"/>
                <w:color w:val="auto"/>
                <w:szCs w:val="21"/>
              </w:rPr>
            </w:pPr>
            <w:r>
              <w:rPr>
                <w:rFonts w:ascii="宋体" w:hAnsi="宋体"/>
                <w:color w:val="auto"/>
                <w:szCs w:val="21"/>
              </w:rPr>
              <w:t>a</w:t>
            </w:r>
            <w:r>
              <w:rPr>
                <w:rFonts w:hint="eastAsia" w:ascii="宋体" w:hAnsi="宋体"/>
                <w:color w:val="auto"/>
                <w:szCs w:val="21"/>
              </w:rPr>
              <w:t>、在算术性复核中发现的算术性差错：</w:t>
            </w:r>
          </w:p>
          <w:p>
            <w:pPr>
              <w:overflowPunct w:val="0"/>
              <w:spacing w:line="360" w:lineRule="exact"/>
              <w:ind w:firstLine="420" w:firstLineChars="200"/>
              <w:rPr>
                <w:rFonts w:ascii="宋体" w:hAnsi="宋体"/>
                <w:color w:val="auto"/>
                <w:szCs w:val="21"/>
              </w:rPr>
            </w:pPr>
            <w:r>
              <w:rPr>
                <w:rFonts w:ascii="宋体" w:hAnsi="宋体"/>
                <w:color w:val="auto"/>
                <w:szCs w:val="21"/>
              </w:rPr>
              <w:t>b</w:t>
            </w:r>
            <w:r>
              <w:rPr>
                <w:rFonts w:hint="eastAsia" w:ascii="宋体" w:hAnsi="宋体"/>
                <w:color w:val="auto"/>
                <w:szCs w:val="21"/>
              </w:rPr>
              <w:t>、在招标人给定的工程量清单中漏报了某个工程细目的单价和合价；</w:t>
            </w:r>
          </w:p>
          <w:p>
            <w:pPr>
              <w:overflowPunct w:val="0"/>
              <w:spacing w:line="360" w:lineRule="exact"/>
              <w:ind w:firstLine="420" w:firstLineChars="200"/>
              <w:rPr>
                <w:rFonts w:ascii="宋体" w:hAnsi="宋体"/>
                <w:color w:val="auto"/>
                <w:szCs w:val="21"/>
              </w:rPr>
            </w:pPr>
            <w:r>
              <w:rPr>
                <w:rFonts w:ascii="宋体" w:hAnsi="宋体"/>
                <w:color w:val="auto"/>
                <w:szCs w:val="21"/>
              </w:rPr>
              <w:t>c</w:t>
            </w:r>
            <w:r>
              <w:rPr>
                <w:rFonts w:hint="eastAsia" w:ascii="宋体" w:hAnsi="宋体"/>
                <w:color w:val="auto"/>
                <w:szCs w:val="21"/>
              </w:rPr>
              <w:t>、在招标人给定的工程量清单中多报了某个工程细目的单价和合价或所报单价增加或减少了报价范围；</w:t>
            </w:r>
          </w:p>
          <w:p>
            <w:pPr>
              <w:overflowPunct w:val="0"/>
              <w:spacing w:line="360" w:lineRule="exact"/>
              <w:ind w:firstLine="420" w:firstLineChars="200"/>
              <w:rPr>
                <w:rFonts w:ascii="宋体" w:hAnsi="宋体"/>
                <w:color w:val="auto"/>
                <w:szCs w:val="21"/>
              </w:rPr>
            </w:pPr>
            <w:r>
              <w:rPr>
                <w:rFonts w:ascii="宋体" w:hAnsi="宋体"/>
                <w:color w:val="auto"/>
                <w:szCs w:val="21"/>
              </w:rPr>
              <w:t>d</w:t>
            </w:r>
            <w:r>
              <w:rPr>
                <w:rFonts w:hint="eastAsia" w:ascii="宋体" w:hAnsi="宋体"/>
                <w:color w:val="auto"/>
                <w:szCs w:val="21"/>
              </w:rPr>
              <w:t>、在招标人给定的工程量清单中修改了某些支付号的工程数量。</w:t>
            </w:r>
          </w:p>
          <w:p>
            <w:pPr>
              <w:overflowPunct w:val="0"/>
              <w:spacing w:line="36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）评标委员会对投标文件中的细微偏差按如下规定处理（采用固化工程量清单，则</w:t>
            </w:r>
            <w:r>
              <w:rPr>
                <w:rFonts w:ascii="宋体" w:hAnsi="宋体"/>
                <w:color w:val="auto"/>
                <w:szCs w:val="21"/>
              </w:rPr>
              <w:t>a</w:t>
            </w:r>
            <w:r>
              <w:rPr>
                <w:rFonts w:hint="eastAsia" w:ascii="宋体" w:hAnsi="宋体"/>
                <w:color w:val="auto"/>
                <w:szCs w:val="21"/>
              </w:rPr>
              <w:t>－</w:t>
            </w:r>
            <w:r>
              <w:rPr>
                <w:rFonts w:ascii="宋体" w:hAnsi="宋体"/>
                <w:color w:val="auto"/>
                <w:szCs w:val="21"/>
              </w:rPr>
              <w:t xml:space="preserve">d </w:t>
            </w:r>
            <w:r>
              <w:rPr>
                <w:rFonts w:hint="eastAsia" w:ascii="宋体" w:hAnsi="宋体"/>
                <w:color w:val="auto"/>
                <w:szCs w:val="21"/>
              </w:rPr>
              <w:t>步骤省略）：</w:t>
            </w:r>
          </w:p>
          <w:p>
            <w:pPr>
              <w:overflowPunct w:val="0"/>
              <w:spacing w:line="360" w:lineRule="exact"/>
              <w:ind w:firstLine="420" w:firstLineChars="200"/>
              <w:rPr>
                <w:rFonts w:ascii="宋体" w:hAnsi="宋体"/>
                <w:color w:val="auto"/>
                <w:szCs w:val="21"/>
              </w:rPr>
            </w:pPr>
            <w:r>
              <w:rPr>
                <w:rFonts w:ascii="宋体" w:hAnsi="宋体"/>
                <w:color w:val="auto"/>
                <w:szCs w:val="21"/>
              </w:rPr>
              <w:t>a</w:t>
            </w:r>
            <w:r>
              <w:rPr>
                <w:rFonts w:hint="eastAsia" w:ascii="宋体" w:hAnsi="宋体"/>
                <w:color w:val="auto"/>
                <w:szCs w:val="21"/>
              </w:rPr>
              <w:t>、按本评标办法的规定对算术性错误予以修正；</w:t>
            </w:r>
          </w:p>
          <w:p>
            <w:pPr>
              <w:overflowPunct w:val="0"/>
              <w:spacing w:line="360" w:lineRule="exact"/>
              <w:ind w:firstLine="420" w:firstLineChars="200"/>
              <w:rPr>
                <w:rFonts w:ascii="宋体" w:hAnsi="宋体"/>
                <w:color w:val="auto"/>
                <w:szCs w:val="21"/>
              </w:rPr>
            </w:pPr>
            <w:r>
              <w:rPr>
                <w:rFonts w:ascii="宋体" w:hAnsi="宋体"/>
                <w:color w:val="auto"/>
                <w:szCs w:val="21"/>
              </w:rPr>
              <w:t>b</w:t>
            </w:r>
            <w:r>
              <w:rPr>
                <w:rFonts w:hint="eastAsia" w:ascii="宋体" w:hAnsi="宋体"/>
                <w:color w:val="auto"/>
                <w:szCs w:val="21"/>
              </w:rPr>
              <w:t>、对于漏报的工程细目单价和合价或单价和合价减少的报价内容视为已含入其它工程细目的单价和合价之中；</w:t>
            </w:r>
          </w:p>
          <w:p>
            <w:pPr>
              <w:overflowPunct w:val="0"/>
              <w:spacing w:line="360" w:lineRule="exact"/>
              <w:ind w:firstLine="420" w:firstLineChars="200"/>
              <w:rPr>
                <w:rFonts w:ascii="宋体" w:hAnsi="宋体"/>
                <w:color w:val="auto"/>
                <w:szCs w:val="21"/>
              </w:rPr>
            </w:pPr>
            <w:r>
              <w:rPr>
                <w:rFonts w:ascii="宋体" w:hAnsi="宋体"/>
                <w:color w:val="auto"/>
                <w:szCs w:val="21"/>
              </w:rPr>
              <w:t>c</w:t>
            </w:r>
            <w:r>
              <w:rPr>
                <w:rFonts w:hint="eastAsia" w:ascii="宋体" w:hAnsi="宋体"/>
                <w:color w:val="auto"/>
                <w:szCs w:val="21"/>
              </w:rPr>
              <w:t>、在保证投标总价不变的前提下，对于多报的工程细目报价或工程细目报价中增加的部分报价从投标报价中予以扣除，并对其它细目作相应的平衡性调整；</w:t>
            </w:r>
          </w:p>
          <w:p>
            <w:pPr>
              <w:overflowPunct w:val="0"/>
              <w:spacing w:line="360" w:lineRule="exact"/>
              <w:ind w:firstLine="420" w:firstLineChars="200"/>
              <w:rPr>
                <w:rFonts w:hint="eastAsia" w:ascii="宋体" w:hAnsi="宋体"/>
                <w:b/>
                <w:color w:val="auto"/>
                <w:szCs w:val="21"/>
                <w:highlight w:val="none"/>
              </w:rPr>
            </w:pPr>
            <w:r>
              <w:rPr>
                <w:rFonts w:ascii="宋体" w:hAnsi="宋体"/>
                <w:color w:val="auto"/>
                <w:szCs w:val="21"/>
              </w:rPr>
              <w:t>d</w:t>
            </w:r>
            <w:r>
              <w:rPr>
                <w:rFonts w:hint="eastAsia" w:ascii="宋体" w:hAnsi="宋体"/>
                <w:color w:val="auto"/>
                <w:szCs w:val="21"/>
              </w:rPr>
              <w:t>、在保证投标总价不变的前提下，对与给定工程量清单数量不符的工程数量进行更正，并对其它细目作相应的平衡性调整；。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29" w:type="dxa"/>
            <w:vAlign w:val="center"/>
          </w:tcPr>
          <w:p>
            <w:pPr>
              <w:spacing w:line="360" w:lineRule="exact"/>
              <w:jc w:val="center"/>
              <w:rPr>
                <w:rFonts w:hint="eastAsia" w:ascii="宋体" w:hAnsi="宋体" w:eastAsia="宋体"/>
                <w:b/>
                <w:color w:val="auto"/>
                <w:szCs w:val="21"/>
                <w:highlight w:val="none"/>
                <w:lang w:eastAsia="zh-CN"/>
              </w:rPr>
            </w:pPr>
            <w:r>
              <w:rPr>
                <w:rFonts w:hint="eastAsia" w:ascii="宋体" w:hAnsi="宋体"/>
                <w:b/>
                <w:color w:val="auto"/>
                <w:szCs w:val="21"/>
                <w:lang w:val="en-US" w:eastAsia="zh-CN"/>
              </w:rPr>
              <w:t>3.9</w:t>
            </w:r>
          </w:p>
        </w:tc>
        <w:tc>
          <w:tcPr>
            <w:tcW w:w="8398" w:type="dxa"/>
            <w:vAlign w:val="top"/>
          </w:tcPr>
          <w:p>
            <w:pPr>
              <w:pStyle w:val="5"/>
              <w:adjustRightInd w:val="0"/>
              <w:snapToGrid w:val="0"/>
              <w:spacing w:line="360" w:lineRule="exact"/>
              <w:ind w:left="44" w:leftChars="21" w:firstLine="432" w:firstLineChars="206"/>
              <w:rPr>
                <w:rFonts w:hint="eastAsia"/>
                <w:color w:val="auto"/>
              </w:rPr>
            </w:pPr>
            <w:r>
              <w:rPr>
                <w:rFonts w:hint="eastAsia"/>
                <w:color w:val="auto"/>
              </w:rPr>
              <w:t>增加</w:t>
            </w:r>
            <w:r>
              <w:rPr>
                <w:color w:val="auto"/>
              </w:rPr>
              <w:t>3.</w:t>
            </w:r>
            <w:r>
              <w:rPr>
                <w:rFonts w:hint="eastAsia"/>
                <w:color w:val="auto"/>
              </w:rPr>
              <w:t>9</w:t>
            </w:r>
            <w:r>
              <w:rPr>
                <w:color w:val="auto"/>
              </w:rPr>
              <w:t xml:space="preserve">.3 </w:t>
            </w:r>
            <w:r>
              <w:rPr>
                <w:rFonts w:hint="eastAsia"/>
                <w:color w:val="auto"/>
              </w:rPr>
              <w:t xml:space="preserve">-3.9.6款： </w:t>
            </w:r>
          </w:p>
          <w:p>
            <w:pPr>
              <w:pStyle w:val="5"/>
              <w:adjustRightInd w:val="0"/>
              <w:snapToGrid w:val="0"/>
              <w:spacing w:line="360" w:lineRule="exact"/>
              <w:ind w:left="44" w:leftChars="21" w:firstLine="432" w:firstLineChars="206"/>
              <w:rPr>
                <w:rFonts w:hint="eastAsia"/>
                <w:color w:val="auto"/>
              </w:rPr>
            </w:pPr>
            <w:r>
              <w:rPr>
                <w:rFonts w:hint="eastAsia"/>
                <w:color w:val="auto"/>
              </w:rPr>
              <w:t>3.9.3  通过第一信封商务文件和技术文件评审的投标人少于</w:t>
            </w:r>
            <w:r>
              <w:rPr>
                <w:color w:val="auto"/>
              </w:rPr>
              <w:t xml:space="preserve">3 </w:t>
            </w:r>
            <w:r>
              <w:rPr>
                <w:rFonts w:hint="eastAsia"/>
                <w:color w:val="auto"/>
              </w:rPr>
              <w:t>个的，评标委员会可以否决全部投标；未否决全部投标的，评标委员会应当在评标报告中阐明理由，招标人应当按照招标文件规定的程序进行第二信封报价文件开标，但评标委员会在进行报价文件评审时仍有权否决全部投标；评标委员会未在报价文件评审时否决全部投标的，应当在评标报告中阐明理由并推荐中标候选人。</w:t>
            </w:r>
          </w:p>
          <w:p>
            <w:pPr>
              <w:pStyle w:val="5"/>
              <w:snapToGrid w:val="0"/>
              <w:spacing w:line="360" w:lineRule="exact"/>
              <w:ind w:left="44" w:leftChars="21" w:firstLine="432" w:firstLineChars="206"/>
              <w:rPr>
                <w:rFonts w:hint="eastAsia"/>
                <w:color w:val="auto"/>
              </w:rPr>
            </w:pPr>
            <w:r>
              <w:rPr>
                <w:rFonts w:hint="eastAsia"/>
                <w:color w:val="auto"/>
              </w:rPr>
              <w:t>3.9.4 通过第一信封商务文件和技术文件评审的投标人在</w:t>
            </w:r>
            <w:r>
              <w:rPr>
                <w:color w:val="auto"/>
              </w:rPr>
              <w:t xml:space="preserve">3 </w:t>
            </w:r>
            <w:r>
              <w:rPr>
                <w:rFonts w:hint="eastAsia"/>
                <w:color w:val="auto"/>
              </w:rPr>
              <w:t>个及以上的，招标人应当按照招标文件规定的程序进行第二信封报价文件开标；在对报价文件进行评审后，有效投标不足</w:t>
            </w:r>
            <w:r>
              <w:rPr>
                <w:color w:val="auto"/>
              </w:rPr>
              <w:t xml:space="preserve">3 </w:t>
            </w:r>
            <w:r>
              <w:rPr>
                <w:rFonts w:hint="eastAsia"/>
                <w:color w:val="auto"/>
              </w:rPr>
              <w:t>个的，评标委员会可以否决全部投标。未否决全部投标的，评标委员会应当在评标报告中阐明理由并推荐中标候选人。</w:t>
            </w:r>
          </w:p>
          <w:p>
            <w:pPr>
              <w:pStyle w:val="5"/>
              <w:adjustRightInd w:val="0"/>
              <w:snapToGrid w:val="0"/>
              <w:spacing w:line="360" w:lineRule="exact"/>
              <w:ind w:left="44" w:leftChars="21" w:firstLine="432" w:firstLineChars="206"/>
              <w:rPr>
                <w:rFonts w:hint="eastAsia"/>
                <w:color w:val="auto"/>
              </w:rPr>
            </w:pPr>
            <w:r>
              <w:rPr>
                <w:rFonts w:hint="eastAsia"/>
                <w:color w:val="auto"/>
              </w:rPr>
              <w:t>3.9.5 如果发生无法确定推荐中标候选人的其它意外情况，由评标委员会研究处理，评标委员会有权决定本次招标无效，有权建议招标人重新招标。</w:t>
            </w:r>
          </w:p>
          <w:p>
            <w:pPr>
              <w:spacing w:line="360" w:lineRule="exact"/>
              <w:ind w:firstLine="420" w:firstLineChars="200"/>
              <w:rPr>
                <w:rFonts w:hint="eastAsia"/>
                <w:color w:val="auto"/>
              </w:rPr>
            </w:pPr>
            <w:r>
              <w:rPr>
                <w:rFonts w:hint="eastAsia"/>
                <w:color w:val="auto"/>
              </w:rPr>
              <w:t>3.9.6 如果推荐的中标候选人因公示被投诉并查证属实存在造假行为的，按否决其投标处理，且没收其投标保证金；</w:t>
            </w:r>
          </w:p>
          <w:p>
            <w:pPr>
              <w:spacing w:line="360" w:lineRule="exact"/>
              <w:ind w:firstLine="420" w:firstLineChars="200"/>
              <w:rPr>
                <w:rFonts w:hint="eastAsia"/>
                <w:color w:val="auto"/>
              </w:rPr>
            </w:pPr>
            <w:r>
              <w:rPr>
                <w:rFonts w:hint="eastAsia"/>
                <w:color w:val="auto"/>
              </w:rPr>
              <w:t>发生以上情况时，招标人按推荐中标候选人排名顺序依次确定中标人，或重新组织招标。</w:t>
            </w:r>
          </w:p>
          <w:p>
            <w:pPr>
              <w:spacing w:line="360" w:lineRule="exact"/>
              <w:ind w:firstLine="420" w:firstLineChars="200"/>
              <w:rPr>
                <w:rFonts w:hint="eastAsia"/>
                <w:color w:val="auto"/>
                <w:lang w:val="en-US" w:eastAsia="zh-CN"/>
              </w:rPr>
            </w:pPr>
            <w:r>
              <w:rPr>
                <w:rFonts w:hint="eastAsia"/>
                <w:color w:val="auto"/>
                <w:lang w:val="en-US" w:eastAsia="zh-CN"/>
              </w:rPr>
              <w:t>3.9.7 本招标文件规定的否决投标条款包含在以下条款：</w:t>
            </w:r>
          </w:p>
          <w:p>
            <w:pPr>
              <w:spacing w:line="360" w:lineRule="exact"/>
              <w:ind w:firstLine="420" w:firstLineChars="200"/>
              <w:rPr>
                <w:rFonts w:hint="eastAsia"/>
                <w:color w:val="auto"/>
                <w:lang w:val="en-US" w:eastAsia="zh-CN"/>
              </w:rPr>
            </w:pPr>
            <w:r>
              <w:rPr>
                <w:rFonts w:hint="eastAsia"/>
                <w:color w:val="auto"/>
                <w:lang w:val="en-US" w:eastAsia="zh-CN"/>
              </w:rPr>
              <w:t>（1）招标公告第3点 投标人资格要求；</w:t>
            </w:r>
          </w:p>
          <w:p>
            <w:pPr>
              <w:spacing w:line="360" w:lineRule="exact"/>
              <w:ind w:firstLine="420" w:firstLineChars="200"/>
              <w:rPr>
                <w:rFonts w:hint="eastAsia"/>
                <w:color w:val="auto"/>
                <w:lang w:val="en-US" w:eastAsia="zh-CN"/>
              </w:rPr>
            </w:pPr>
            <w:r>
              <w:rPr>
                <w:rFonts w:hint="eastAsia"/>
                <w:color w:val="auto"/>
                <w:lang w:val="en-US" w:eastAsia="zh-CN"/>
              </w:rPr>
              <w:t>（2）投标人须知1.4.3款、1.4.4款、1.4.5款、1.12款、3.2款、3.4款、3.5款、3.6款、10.4款、10.8款、10.9款；</w:t>
            </w:r>
          </w:p>
          <w:p>
            <w:pPr>
              <w:spacing w:line="360" w:lineRule="exact"/>
              <w:ind w:firstLine="420" w:firstLineChars="200"/>
              <w:rPr>
                <w:rFonts w:hint="eastAsia"/>
                <w:color w:val="auto"/>
                <w:lang w:val="en-US" w:eastAsia="zh-CN"/>
              </w:rPr>
            </w:pPr>
            <w:r>
              <w:rPr>
                <w:rFonts w:hint="eastAsia"/>
                <w:color w:val="auto"/>
                <w:lang w:val="en-US" w:eastAsia="zh-CN"/>
              </w:rPr>
              <w:t>（3）本评标办法否决条款。</w:t>
            </w:r>
          </w:p>
          <w:p>
            <w:pPr>
              <w:pStyle w:val="2"/>
              <w:rPr>
                <w:rFonts w:hint="eastAsia"/>
                <w:color w:val="auto"/>
                <w:lang w:val="en-US" w:eastAsia="zh-CN"/>
              </w:rPr>
            </w:pPr>
          </w:p>
          <w:p>
            <w:pPr>
              <w:pStyle w:val="2"/>
              <w:rPr>
                <w:rFonts w:hint="eastAsia"/>
                <w:color w:val="auto"/>
              </w:rPr>
            </w:pPr>
            <w:r>
              <w:rPr>
                <w:rFonts w:hint="eastAsia" w:ascii="宋体" w:hAnsi="宋体"/>
                <w:color w:val="auto"/>
                <w:szCs w:val="21"/>
                <w:highlight w:val="none"/>
              </w:rPr>
              <w:t>发生以上情况时，招标人按推荐中标候选人排名顺序依次确定中标人，或重新组织招标。</w:t>
            </w:r>
          </w:p>
        </w:tc>
      </w:tr>
    </w:tbl>
    <w:p>
      <w:pPr>
        <w:spacing w:before="300" w:after="300" w:line="360" w:lineRule="exact"/>
        <w:outlineLvl w:val="0"/>
        <w:rPr>
          <w:rFonts w:hint="eastAsia" w:ascii="宋体" w:hAnsi="宋体"/>
          <w:b/>
          <w:color w:val="auto"/>
          <w:kern w:val="44"/>
          <w:sz w:val="28"/>
          <w:szCs w:val="28"/>
          <w:highlight w:val="none"/>
        </w:rPr>
      </w:pPr>
    </w:p>
    <w:p>
      <w:pPr>
        <w:pStyle w:val="2"/>
        <w:rPr>
          <w:rFonts w:hint="eastAsia"/>
          <w:color w:val="auto"/>
        </w:rPr>
      </w:pPr>
    </w:p>
    <w:p>
      <w:pPr>
        <w:spacing w:before="300" w:after="300" w:line="360" w:lineRule="exact"/>
        <w:outlineLvl w:val="0"/>
        <w:rPr>
          <w:rFonts w:hint="eastAsia" w:ascii="宋体" w:hAnsi="宋体"/>
          <w:b/>
          <w:color w:val="auto"/>
          <w:kern w:val="44"/>
          <w:sz w:val="28"/>
          <w:szCs w:val="28"/>
          <w:highlight w:val="none"/>
        </w:rPr>
      </w:pPr>
      <w:r>
        <w:rPr>
          <w:rFonts w:hint="eastAsia" w:ascii="宋体" w:hAnsi="宋体"/>
          <w:b/>
          <w:color w:val="auto"/>
          <w:kern w:val="44"/>
          <w:sz w:val="28"/>
          <w:szCs w:val="28"/>
          <w:highlight w:val="none"/>
        </w:rPr>
        <w:t>1. 评标方法</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本次评标采用综合评标法。评标委员会对满足招标文件实质性要求的投标文件，按照本章第</w:t>
      </w:r>
      <w:r>
        <w:rPr>
          <w:rFonts w:ascii="宋体" w:hAnsi="宋体"/>
          <w:color w:val="auto"/>
          <w:szCs w:val="21"/>
          <w:highlight w:val="none"/>
        </w:rPr>
        <w:t xml:space="preserve"> 2.2 </w:t>
      </w:r>
      <w:r>
        <w:rPr>
          <w:rFonts w:hint="eastAsia" w:ascii="宋体" w:hAnsi="宋体"/>
          <w:color w:val="auto"/>
          <w:szCs w:val="21"/>
          <w:highlight w:val="none"/>
        </w:rPr>
        <w:t>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spacing w:before="300" w:after="300" w:line="360" w:lineRule="exact"/>
        <w:outlineLvl w:val="0"/>
        <w:rPr>
          <w:rFonts w:ascii="宋体" w:hAnsi="宋体"/>
          <w:b/>
          <w:color w:val="auto"/>
          <w:kern w:val="44"/>
          <w:sz w:val="28"/>
          <w:szCs w:val="28"/>
          <w:highlight w:val="none"/>
        </w:rPr>
      </w:pPr>
      <w:r>
        <w:rPr>
          <w:rFonts w:ascii="宋体" w:hAnsi="宋体"/>
          <w:b/>
          <w:color w:val="auto"/>
          <w:kern w:val="44"/>
          <w:sz w:val="28"/>
          <w:szCs w:val="28"/>
          <w:highlight w:val="none"/>
        </w:rPr>
        <w:t>2. 评审标准</w:t>
      </w:r>
    </w:p>
    <w:p>
      <w:pPr>
        <w:spacing w:before="300" w:after="300" w:line="360" w:lineRule="exact"/>
        <w:outlineLvl w:val="0"/>
        <w:rPr>
          <w:rFonts w:ascii="宋体" w:hAnsi="宋体"/>
          <w:b/>
          <w:color w:val="auto"/>
          <w:kern w:val="44"/>
          <w:sz w:val="24"/>
          <w:highlight w:val="none"/>
        </w:rPr>
      </w:pPr>
      <w:r>
        <w:rPr>
          <w:rFonts w:ascii="宋体" w:hAnsi="宋体"/>
          <w:b/>
          <w:color w:val="auto"/>
          <w:kern w:val="44"/>
          <w:sz w:val="24"/>
          <w:highlight w:val="none"/>
        </w:rPr>
        <w:t>2.1 初步评审标准</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2.1.1 形式评审标准：见评标办法前附表。</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2.1.2 资格评审标准：见评标办法前附表</w:t>
      </w:r>
      <w:r>
        <w:rPr>
          <w:rFonts w:hint="eastAsia" w:ascii="宋体" w:hAnsi="宋体"/>
          <w:color w:val="auto"/>
          <w:szCs w:val="21"/>
          <w:highlight w:val="none"/>
        </w:rPr>
        <w:t>及</w:t>
      </w:r>
      <w:r>
        <w:rPr>
          <w:rFonts w:ascii="宋体" w:hAnsi="宋体"/>
          <w:color w:val="auto"/>
          <w:szCs w:val="21"/>
          <w:highlight w:val="none"/>
        </w:rPr>
        <w:t>第</w:t>
      </w:r>
      <w:r>
        <w:rPr>
          <w:rFonts w:hint="eastAsia" w:ascii="宋体" w:hAnsi="宋体"/>
          <w:color w:val="auto"/>
          <w:szCs w:val="21"/>
          <w:highlight w:val="none"/>
        </w:rPr>
        <w:t>二</w:t>
      </w:r>
      <w:r>
        <w:rPr>
          <w:rFonts w:ascii="宋体" w:hAnsi="宋体"/>
          <w:color w:val="auto"/>
          <w:szCs w:val="21"/>
          <w:highlight w:val="none"/>
        </w:rPr>
        <w:t>章“</w:t>
      </w:r>
      <w:r>
        <w:rPr>
          <w:rFonts w:hint="eastAsia" w:ascii="宋体" w:hAnsi="宋体"/>
          <w:color w:val="auto"/>
          <w:szCs w:val="21"/>
          <w:highlight w:val="none"/>
        </w:rPr>
        <w:t>投标人须知</w:t>
      </w:r>
      <w:r>
        <w:rPr>
          <w:rFonts w:ascii="宋体" w:hAnsi="宋体"/>
          <w:color w:val="auto"/>
          <w:szCs w:val="21"/>
          <w:highlight w:val="none"/>
        </w:rPr>
        <w:t>”</w:t>
      </w:r>
      <w:r>
        <w:rPr>
          <w:rFonts w:hint="eastAsia" w:ascii="宋体" w:hAnsi="宋体"/>
          <w:color w:val="auto"/>
          <w:szCs w:val="21"/>
          <w:highlight w:val="none"/>
        </w:rPr>
        <w:t>附录的资格</w:t>
      </w:r>
      <w:r>
        <w:rPr>
          <w:rFonts w:ascii="宋体" w:hAnsi="宋体"/>
          <w:color w:val="auto"/>
          <w:szCs w:val="21"/>
          <w:highlight w:val="none"/>
        </w:rPr>
        <w:t>审查</w:t>
      </w:r>
      <w:r>
        <w:rPr>
          <w:rFonts w:hint="eastAsia" w:ascii="宋体" w:hAnsi="宋体"/>
          <w:color w:val="auto"/>
          <w:szCs w:val="21"/>
          <w:highlight w:val="none"/>
        </w:rPr>
        <w:t>条件</w:t>
      </w:r>
      <w:r>
        <w:rPr>
          <w:rFonts w:ascii="宋体" w:hAnsi="宋体"/>
          <w:color w:val="auto"/>
          <w:szCs w:val="21"/>
          <w:highlight w:val="none"/>
        </w:rPr>
        <w:t>标准。</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2.1.3 响应性评审标准：见评标办法前附表。</w:t>
      </w:r>
    </w:p>
    <w:p>
      <w:pPr>
        <w:spacing w:before="300" w:after="300" w:line="360" w:lineRule="exact"/>
        <w:outlineLvl w:val="0"/>
        <w:rPr>
          <w:rFonts w:ascii="宋体" w:hAnsi="宋体"/>
          <w:b/>
          <w:color w:val="auto"/>
          <w:kern w:val="44"/>
          <w:sz w:val="24"/>
          <w:highlight w:val="none"/>
        </w:rPr>
      </w:pPr>
      <w:r>
        <w:rPr>
          <w:rFonts w:ascii="宋体" w:hAnsi="宋体"/>
          <w:b/>
          <w:color w:val="auto"/>
          <w:kern w:val="44"/>
          <w:sz w:val="24"/>
          <w:highlight w:val="none"/>
        </w:rPr>
        <w:t>2.2 分值构成与评分标准</w:t>
      </w:r>
    </w:p>
    <w:p>
      <w:pPr>
        <w:overflowPunct w:val="0"/>
        <w:spacing w:line="360" w:lineRule="exact"/>
        <w:ind w:firstLine="420" w:firstLineChars="200"/>
        <w:rPr>
          <w:rFonts w:ascii="宋体" w:hAnsi="宋体"/>
          <w:b/>
          <w:color w:val="auto"/>
          <w:szCs w:val="21"/>
          <w:highlight w:val="none"/>
        </w:rPr>
      </w:pPr>
      <w:r>
        <w:rPr>
          <w:rFonts w:ascii="宋体" w:hAnsi="宋体"/>
          <w:b/>
          <w:color w:val="auto"/>
          <w:szCs w:val="21"/>
          <w:highlight w:val="none"/>
        </w:rPr>
        <w:t>2.2.1 分值构成</w:t>
      </w:r>
    </w:p>
    <w:p>
      <w:pPr>
        <w:overflowPunct w:val="0"/>
        <w:spacing w:line="340" w:lineRule="exact"/>
        <w:ind w:firstLine="420" w:firstLineChars="200"/>
        <w:rPr>
          <w:rFonts w:ascii="宋体" w:hAnsi="宋体"/>
          <w:color w:val="auto"/>
          <w:szCs w:val="21"/>
          <w:highlight w:val="none"/>
        </w:rPr>
      </w:pPr>
      <w:r>
        <w:rPr>
          <w:rFonts w:ascii="宋体" w:hAnsi="宋体"/>
          <w:color w:val="auto"/>
          <w:szCs w:val="21"/>
          <w:highlight w:val="none"/>
        </w:rPr>
        <w:t>（1）施工组织设计：见评标办法前附表；</w:t>
      </w:r>
    </w:p>
    <w:p>
      <w:pPr>
        <w:overflowPunct w:val="0"/>
        <w:spacing w:line="340" w:lineRule="exact"/>
        <w:ind w:firstLine="420" w:firstLineChars="200"/>
        <w:rPr>
          <w:rFonts w:ascii="宋体" w:hAnsi="宋体"/>
          <w:color w:val="auto"/>
          <w:szCs w:val="21"/>
          <w:highlight w:val="none"/>
        </w:rPr>
      </w:pPr>
      <w:r>
        <w:rPr>
          <w:rFonts w:ascii="宋体" w:hAnsi="宋体"/>
          <w:color w:val="auto"/>
          <w:szCs w:val="21"/>
          <w:highlight w:val="none"/>
        </w:rPr>
        <w:t>（2）项目管理机构：见评标办法前附表；</w:t>
      </w:r>
    </w:p>
    <w:p>
      <w:pPr>
        <w:overflowPunct w:val="0"/>
        <w:spacing w:line="34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评标价</w:t>
      </w:r>
      <w:r>
        <w:rPr>
          <w:rFonts w:ascii="宋体" w:hAnsi="宋体"/>
          <w:color w:val="auto"/>
          <w:szCs w:val="21"/>
          <w:highlight w:val="none"/>
        </w:rPr>
        <w:t>：见评标办法前附表；</w:t>
      </w:r>
    </w:p>
    <w:p>
      <w:pPr>
        <w:overflowPunct w:val="0"/>
        <w:spacing w:line="340" w:lineRule="exact"/>
        <w:ind w:firstLine="420" w:firstLineChars="200"/>
        <w:rPr>
          <w:rFonts w:hint="eastAsia" w:ascii="宋体" w:hAnsi="宋体"/>
          <w:color w:val="auto"/>
          <w:szCs w:val="21"/>
          <w:highlight w:val="none"/>
        </w:rPr>
      </w:pPr>
      <w:r>
        <w:rPr>
          <w:rFonts w:ascii="宋体" w:hAnsi="宋体"/>
          <w:color w:val="auto"/>
          <w:szCs w:val="21"/>
          <w:highlight w:val="none"/>
        </w:rPr>
        <w:t>（4）其他评分因素：见评标办法前附表。</w:t>
      </w:r>
    </w:p>
    <w:p>
      <w:pPr>
        <w:overflowPunct w:val="0"/>
        <w:spacing w:line="360" w:lineRule="exact"/>
        <w:ind w:firstLine="420" w:firstLineChars="200"/>
        <w:rPr>
          <w:rFonts w:ascii="宋体" w:hAnsi="宋体"/>
          <w:b/>
          <w:color w:val="auto"/>
          <w:szCs w:val="21"/>
          <w:highlight w:val="none"/>
        </w:rPr>
      </w:pPr>
      <w:r>
        <w:rPr>
          <w:rFonts w:ascii="宋体" w:hAnsi="宋体"/>
          <w:b/>
          <w:color w:val="auto"/>
          <w:szCs w:val="21"/>
          <w:highlight w:val="none"/>
        </w:rPr>
        <w:t>2.2.2  评标基准价计算</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评标基准价计算方法：见评标办法前附表。</w:t>
      </w:r>
    </w:p>
    <w:p>
      <w:pPr>
        <w:overflowPunct w:val="0"/>
        <w:spacing w:line="360" w:lineRule="exact"/>
        <w:ind w:firstLine="420" w:firstLineChars="200"/>
        <w:rPr>
          <w:rFonts w:ascii="宋体" w:hAnsi="宋体"/>
          <w:b/>
          <w:color w:val="auto"/>
          <w:szCs w:val="21"/>
          <w:highlight w:val="none"/>
        </w:rPr>
      </w:pPr>
      <w:r>
        <w:rPr>
          <w:rFonts w:ascii="宋体" w:hAnsi="宋体"/>
          <w:b/>
          <w:color w:val="auto"/>
          <w:szCs w:val="21"/>
          <w:highlight w:val="none"/>
        </w:rPr>
        <w:t xml:space="preserve">2.2.3  </w:t>
      </w:r>
      <w:r>
        <w:rPr>
          <w:rFonts w:hint="eastAsia" w:ascii="宋体" w:hAnsi="宋体"/>
          <w:b/>
          <w:color w:val="auto"/>
          <w:szCs w:val="21"/>
          <w:highlight w:val="none"/>
        </w:rPr>
        <w:t>评标价</w:t>
      </w:r>
      <w:r>
        <w:rPr>
          <w:rFonts w:ascii="宋体" w:hAnsi="宋体"/>
          <w:b/>
          <w:color w:val="auto"/>
          <w:szCs w:val="21"/>
          <w:highlight w:val="none"/>
        </w:rPr>
        <w:t>的偏差率计算</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评标价</w:t>
      </w:r>
      <w:r>
        <w:rPr>
          <w:rFonts w:ascii="宋体" w:hAnsi="宋体"/>
          <w:color w:val="auto"/>
          <w:szCs w:val="21"/>
          <w:highlight w:val="none"/>
        </w:rPr>
        <w:t>的偏差率计算公式：见评标办法前附表。</w:t>
      </w:r>
    </w:p>
    <w:p>
      <w:pPr>
        <w:overflowPunct w:val="0"/>
        <w:spacing w:line="360" w:lineRule="exact"/>
        <w:ind w:firstLine="420" w:firstLineChars="200"/>
        <w:rPr>
          <w:rFonts w:ascii="宋体" w:hAnsi="宋体"/>
          <w:b/>
          <w:color w:val="auto"/>
          <w:szCs w:val="21"/>
          <w:highlight w:val="none"/>
        </w:rPr>
      </w:pPr>
      <w:r>
        <w:rPr>
          <w:rFonts w:ascii="宋体" w:hAnsi="宋体"/>
          <w:b/>
          <w:color w:val="auto"/>
          <w:szCs w:val="21"/>
          <w:highlight w:val="none"/>
        </w:rPr>
        <w:t>2.2.4  评分标准</w:t>
      </w:r>
    </w:p>
    <w:p>
      <w:pPr>
        <w:overflowPunct w:val="0"/>
        <w:spacing w:line="340" w:lineRule="exact"/>
        <w:ind w:firstLine="420" w:firstLineChars="200"/>
        <w:rPr>
          <w:rFonts w:ascii="宋体" w:hAnsi="宋体"/>
          <w:color w:val="auto"/>
          <w:szCs w:val="21"/>
          <w:highlight w:val="none"/>
        </w:rPr>
      </w:pPr>
      <w:r>
        <w:rPr>
          <w:rFonts w:ascii="宋体" w:hAnsi="宋体"/>
          <w:color w:val="auto"/>
          <w:szCs w:val="21"/>
          <w:highlight w:val="none"/>
        </w:rPr>
        <w:t>（1）施工组织设计评分标准：见评标办法前附表；</w:t>
      </w:r>
    </w:p>
    <w:p>
      <w:pPr>
        <w:overflowPunct w:val="0"/>
        <w:spacing w:line="340" w:lineRule="exact"/>
        <w:ind w:firstLine="420" w:firstLineChars="200"/>
        <w:rPr>
          <w:rFonts w:ascii="宋体" w:hAnsi="宋体"/>
          <w:color w:val="auto"/>
          <w:szCs w:val="21"/>
          <w:highlight w:val="none"/>
        </w:rPr>
      </w:pPr>
      <w:r>
        <w:rPr>
          <w:rFonts w:ascii="宋体" w:hAnsi="宋体"/>
          <w:color w:val="auto"/>
          <w:szCs w:val="21"/>
          <w:highlight w:val="none"/>
        </w:rPr>
        <w:t>（2）项目管理机构评分标准：见评标办法前附表；</w:t>
      </w:r>
    </w:p>
    <w:p>
      <w:pPr>
        <w:overflowPunct w:val="0"/>
        <w:spacing w:line="34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评标价</w:t>
      </w:r>
      <w:r>
        <w:rPr>
          <w:rFonts w:ascii="宋体" w:hAnsi="宋体"/>
          <w:color w:val="auto"/>
          <w:szCs w:val="21"/>
          <w:highlight w:val="none"/>
        </w:rPr>
        <w:t>评分标准：见评标办法前附表；</w:t>
      </w:r>
    </w:p>
    <w:p>
      <w:pPr>
        <w:overflowPunct w:val="0"/>
        <w:spacing w:line="340" w:lineRule="exact"/>
        <w:ind w:firstLine="420" w:firstLineChars="200"/>
        <w:rPr>
          <w:rFonts w:ascii="宋体" w:hAnsi="宋体"/>
          <w:color w:val="auto"/>
          <w:szCs w:val="21"/>
          <w:highlight w:val="none"/>
        </w:rPr>
      </w:pPr>
      <w:r>
        <w:rPr>
          <w:rFonts w:ascii="宋体" w:hAnsi="宋体"/>
          <w:color w:val="auto"/>
          <w:szCs w:val="21"/>
          <w:highlight w:val="none"/>
        </w:rPr>
        <w:t>（4）其他因素评分标准：见评标办法前附表。</w:t>
      </w:r>
    </w:p>
    <w:p>
      <w:pPr>
        <w:spacing w:before="300" w:after="300" w:line="360" w:lineRule="exact"/>
        <w:outlineLvl w:val="0"/>
        <w:rPr>
          <w:rFonts w:ascii="宋体" w:hAnsi="宋体"/>
          <w:b/>
          <w:color w:val="auto"/>
          <w:kern w:val="44"/>
          <w:sz w:val="28"/>
          <w:szCs w:val="28"/>
          <w:highlight w:val="none"/>
        </w:rPr>
      </w:pPr>
      <w:r>
        <w:rPr>
          <w:rFonts w:ascii="宋体" w:hAnsi="宋体"/>
          <w:b/>
          <w:color w:val="auto"/>
          <w:kern w:val="44"/>
          <w:sz w:val="28"/>
          <w:szCs w:val="28"/>
          <w:highlight w:val="none"/>
        </w:rPr>
        <w:t>3. 评标程序</w:t>
      </w:r>
    </w:p>
    <w:p>
      <w:pPr>
        <w:spacing w:before="300" w:after="300" w:line="360" w:lineRule="exact"/>
        <w:outlineLvl w:val="0"/>
        <w:rPr>
          <w:rFonts w:ascii="宋体" w:hAnsi="宋体"/>
          <w:b/>
          <w:color w:val="auto"/>
          <w:kern w:val="44"/>
          <w:sz w:val="24"/>
          <w:highlight w:val="none"/>
        </w:rPr>
      </w:pPr>
      <w:r>
        <w:rPr>
          <w:rFonts w:ascii="宋体" w:hAnsi="宋体"/>
          <w:b/>
          <w:color w:val="auto"/>
          <w:kern w:val="44"/>
          <w:sz w:val="24"/>
          <w:highlight w:val="none"/>
        </w:rPr>
        <w:t xml:space="preserve">3.1 </w:t>
      </w:r>
      <w:r>
        <w:rPr>
          <w:rFonts w:hint="eastAsia" w:ascii="宋体" w:hAnsi="宋体"/>
          <w:b/>
          <w:color w:val="auto"/>
          <w:kern w:val="44"/>
          <w:sz w:val="24"/>
          <w:highlight w:val="none"/>
        </w:rPr>
        <w:t>第一个信封</w:t>
      </w:r>
      <w:r>
        <w:rPr>
          <w:rFonts w:ascii="宋体" w:hAnsi="宋体"/>
          <w:b/>
          <w:color w:val="auto"/>
          <w:kern w:val="44"/>
          <w:sz w:val="24"/>
          <w:highlight w:val="none"/>
        </w:rPr>
        <w:t>初步评审</w:t>
      </w:r>
    </w:p>
    <w:p>
      <w:pPr>
        <w:overflowPunct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3.1.1 评标委员会可以要求投标人提交第二章“投标人须知”第</w:t>
      </w:r>
      <w:r>
        <w:rPr>
          <w:rFonts w:ascii="宋体" w:hAnsi="宋体"/>
          <w:color w:val="auto"/>
          <w:szCs w:val="21"/>
          <w:highlight w:val="none"/>
        </w:rPr>
        <w:t xml:space="preserve"> 3.5.1 </w:t>
      </w:r>
      <w:r>
        <w:rPr>
          <w:rFonts w:hint="eastAsia" w:ascii="宋体" w:hAnsi="宋体"/>
          <w:color w:val="auto"/>
          <w:szCs w:val="21"/>
          <w:highlight w:val="none"/>
        </w:rPr>
        <w:t>项至第</w:t>
      </w:r>
      <w:r>
        <w:rPr>
          <w:rFonts w:ascii="宋体" w:hAnsi="宋体"/>
          <w:color w:val="auto"/>
          <w:szCs w:val="21"/>
          <w:highlight w:val="none"/>
        </w:rPr>
        <w:t xml:space="preserve"> 3.5.6 </w:t>
      </w:r>
      <w:r>
        <w:rPr>
          <w:rFonts w:hint="eastAsia" w:ascii="宋体" w:hAnsi="宋体"/>
          <w:color w:val="auto"/>
          <w:szCs w:val="21"/>
          <w:highlight w:val="none"/>
        </w:rPr>
        <w:t>项规定的有关证明和证件的原件，以便核验。评标委员会依据本章第</w:t>
      </w:r>
      <w:r>
        <w:rPr>
          <w:rFonts w:ascii="宋体" w:hAnsi="宋体"/>
          <w:color w:val="auto"/>
          <w:szCs w:val="21"/>
          <w:highlight w:val="none"/>
        </w:rPr>
        <w:t xml:space="preserve"> 2.1 </w:t>
      </w:r>
      <w:r>
        <w:rPr>
          <w:rFonts w:hint="eastAsia" w:ascii="宋体" w:hAnsi="宋体"/>
          <w:color w:val="auto"/>
          <w:szCs w:val="21"/>
          <w:highlight w:val="none"/>
        </w:rPr>
        <w:t>款规定的标准对投标文件第一个信封（商务及技术文件）进行初步评审。有一项不符合评审标准的，评标委员会应否决其投标。（适用于未进行资格预审的）</w:t>
      </w:r>
    </w:p>
    <w:p>
      <w:pPr>
        <w:spacing w:before="300" w:after="300" w:line="340" w:lineRule="exact"/>
        <w:outlineLvl w:val="0"/>
        <w:rPr>
          <w:rFonts w:ascii="宋体" w:hAnsi="宋体"/>
          <w:b/>
          <w:color w:val="auto"/>
          <w:kern w:val="44"/>
          <w:sz w:val="24"/>
          <w:highlight w:val="none"/>
        </w:rPr>
      </w:pPr>
      <w:r>
        <w:rPr>
          <w:rFonts w:hint="eastAsia" w:ascii="宋体" w:hAnsi="宋体"/>
          <w:b/>
          <w:color w:val="auto"/>
          <w:kern w:val="44"/>
          <w:sz w:val="24"/>
          <w:highlight w:val="none"/>
        </w:rPr>
        <w:t>3.2 第一个信封详细评审</w:t>
      </w:r>
    </w:p>
    <w:p>
      <w:pPr>
        <w:overflowPunct w:val="0"/>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3.2.1 评标委员会按本章第</w:t>
      </w:r>
      <w:r>
        <w:rPr>
          <w:rFonts w:ascii="宋体" w:hAnsi="宋体"/>
          <w:color w:val="auto"/>
          <w:szCs w:val="21"/>
          <w:highlight w:val="none"/>
        </w:rPr>
        <w:t xml:space="preserve"> 2.2 </w:t>
      </w:r>
      <w:r>
        <w:rPr>
          <w:rFonts w:hint="eastAsia" w:ascii="宋体" w:hAnsi="宋体"/>
          <w:color w:val="auto"/>
          <w:szCs w:val="21"/>
          <w:highlight w:val="none"/>
        </w:rPr>
        <w:t>款规定的量化因素和分值进行打分，并计算出各投标人的商务和技术得分。</w:t>
      </w:r>
    </w:p>
    <w:p>
      <w:pPr>
        <w:overflowPunct w:val="0"/>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）按本章第</w:t>
      </w:r>
      <w:r>
        <w:rPr>
          <w:rFonts w:ascii="宋体" w:hAnsi="宋体"/>
          <w:color w:val="auto"/>
          <w:szCs w:val="21"/>
          <w:highlight w:val="none"/>
        </w:rPr>
        <w:t xml:space="preserve"> 2.2.4 </w:t>
      </w:r>
      <w:r>
        <w:rPr>
          <w:rFonts w:hint="eastAsia" w:ascii="宋体" w:hAnsi="宋体"/>
          <w:color w:val="auto"/>
          <w:szCs w:val="21"/>
          <w:highlight w:val="none"/>
        </w:rPr>
        <w:t>项（</w:t>
      </w:r>
      <w:r>
        <w:rPr>
          <w:rFonts w:ascii="宋体" w:hAnsi="宋体"/>
          <w:color w:val="auto"/>
          <w:szCs w:val="21"/>
          <w:highlight w:val="none"/>
        </w:rPr>
        <w:t>1</w:t>
      </w:r>
      <w:r>
        <w:rPr>
          <w:rFonts w:hint="eastAsia" w:ascii="宋体" w:hAnsi="宋体"/>
          <w:color w:val="auto"/>
          <w:szCs w:val="21"/>
          <w:highlight w:val="none"/>
        </w:rPr>
        <w:t>）目规定的评审因素和分值对施工组织设计部分计算出得分</w:t>
      </w:r>
      <w:r>
        <w:rPr>
          <w:rFonts w:ascii="宋体" w:hAnsi="宋体"/>
          <w:color w:val="auto"/>
          <w:szCs w:val="21"/>
          <w:highlight w:val="none"/>
        </w:rPr>
        <w:t xml:space="preserve"> A</w:t>
      </w:r>
      <w:r>
        <w:rPr>
          <w:rFonts w:hint="eastAsia" w:ascii="宋体" w:hAnsi="宋体"/>
          <w:color w:val="auto"/>
          <w:szCs w:val="21"/>
          <w:highlight w:val="none"/>
        </w:rPr>
        <w:t>；</w:t>
      </w:r>
    </w:p>
    <w:p>
      <w:pPr>
        <w:overflowPunct w:val="0"/>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）按本章第</w:t>
      </w:r>
      <w:r>
        <w:rPr>
          <w:rFonts w:ascii="宋体" w:hAnsi="宋体"/>
          <w:color w:val="auto"/>
          <w:szCs w:val="21"/>
          <w:highlight w:val="none"/>
        </w:rPr>
        <w:t xml:space="preserve"> 2.2.4 </w:t>
      </w:r>
      <w:r>
        <w:rPr>
          <w:rFonts w:hint="eastAsia" w:ascii="宋体" w:hAnsi="宋体"/>
          <w:color w:val="auto"/>
          <w:szCs w:val="21"/>
          <w:highlight w:val="none"/>
        </w:rPr>
        <w:t>项（</w:t>
      </w:r>
      <w:r>
        <w:rPr>
          <w:rFonts w:ascii="宋体" w:hAnsi="宋体"/>
          <w:color w:val="auto"/>
          <w:szCs w:val="21"/>
          <w:highlight w:val="none"/>
        </w:rPr>
        <w:t>2</w:t>
      </w:r>
      <w:r>
        <w:rPr>
          <w:rFonts w:hint="eastAsia" w:ascii="宋体" w:hAnsi="宋体"/>
          <w:color w:val="auto"/>
          <w:szCs w:val="21"/>
          <w:highlight w:val="none"/>
        </w:rPr>
        <w:t>）目规定的评审因素和分值对主要人员部分计算出得分</w:t>
      </w:r>
      <w:r>
        <w:rPr>
          <w:rFonts w:ascii="宋体" w:hAnsi="宋体"/>
          <w:color w:val="auto"/>
          <w:szCs w:val="21"/>
          <w:highlight w:val="none"/>
        </w:rPr>
        <w:t xml:space="preserve"> B</w:t>
      </w:r>
      <w:r>
        <w:rPr>
          <w:rFonts w:hint="eastAsia" w:ascii="宋体" w:hAnsi="宋体"/>
          <w:color w:val="auto"/>
          <w:szCs w:val="21"/>
          <w:highlight w:val="none"/>
        </w:rPr>
        <w:t>；</w:t>
      </w:r>
    </w:p>
    <w:p>
      <w:pPr>
        <w:overflowPunct w:val="0"/>
        <w:spacing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）按本章第</w:t>
      </w:r>
      <w:r>
        <w:rPr>
          <w:rFonts w:ascii="宋体" w:hAnsi="宋体"/>
          <w:color w:val="auto"/>
          <w:szCs w:val="21"/>
          <w:highlight w:val="none"/>
        </w:rPr>
        <w:t xml:space="preserve"> 2.2.4 </w:t>
      </w:r>
      <w:r>
        <w:rPr>
          <w:rFonts w:hint="eastAsia" w:ascii="宋体" w:hAnsi="宋体"/>
          <w:color w:val="auto"/>
          <w:szCs w:val="21"/>
          <w:highlight w:val="none"/>
        </w:rPr>
        <w:t>项（</w:t>
      </w:r>
      <w:r>
        <w:rPr>
          <w:rFonts w:ascii="宋体" w:hAnsi="宋体"/>
          <w:color w:val="auto"/>
          <w:szCs w:val="21"/>
          <w:highlight w:val="none"/>
        </w:rPr>
        <w:t>4</w:t>
      </w:r>
      <w:r>
        <w:rPr>
          <w:rFonts w:hint="eastAsia" w:ascii="宋体" w:hAnsi="宋体"/>
          <w:color w:val="auto"/>
          <w:szCs w:val="21"/>
          <w:highlight w:val="none"/>
        </w:rPr>
        <w:t>）目规定的评审因素和分值对其他部分计算出得分</w:t>
      </w:r>
      <w:r>
        <w:rPr>
          <w:rFonts w:ascii="宋体" w:hAnsi="宋体"/>
          <w:color w:val="auto"/>
          <w:szCs w:val="21"/>
          <w:highlight w:val="none"/>
        </w:rPr>
        <w:t xml:space="preserve"> D</w:t>
      </w:r>
      <w:r>
        <w:rPr>
          <w:rFonts w:hint="eastAsia" w:ascii="宋体" w:hAnsi="宋体"/>
          <w:color w:val="auto"/>
          <w:szCs w:val="21"/>
          <w:highlight w:val="none"/>
        </w:rPr>
        <w:t>。</w:t>
      </w:r>
    </w:p>
    <w:p>
      <w:pPr>
        <w:overflowPunct w:val="0"/>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3.2.2 投标人的商务和技术得分分值计算保留小数点后两位，小数点后第三位“四舍五入”。</w:t>
      </w:r>
    </w:p>
    <w:p>
      <w:pPr>
        <w:overflowPunct w:val="0"/>
        <w:spacing w:line="340" w:lineRule="exact"/>
        <w:ind w:firstLine="420" w:firstLineChars="200"/>
        <w:rPr>
          <w:rFonts w:hint="eastAsia" w:ascii="宋体" w:hAnsi="宋体"/>
          <w:color w:val="auto"/>
          <w:szCs w:val="21"/>
          <w:highlight w:val="red"/>
        </w:rPr>
      </w:pPr>
      <w:r>
        <w:rPr>
          <w:rFonts w:hint="eastAsia" w:ascii="宋体" w:hAnsi="宋体"/>
          <w:color w:val="auto"/>
          <w:szCs w:val="21"/>
          <w:highlight w:val="none"/>
        </w:rPr>
        <w:t>3.2.3 投标人的商务和技术得分</w:t>
      </w:r>
      <w:r>
        <w:rPr>
          <w:rFonts w:ascii="宋体" w:hAnsi="宋体"/>
          <w:color w:val="auto"/>
          <w:szCs w:val="21"/>
          <w:highlight w:val="none"/>
        </w:rPr>
        <w:t>=A+B+D</w:t>
      </w:r>
      <w:r>
        <w:rPr>
          <w:rFonts w:hint="eastAsia" w:ascii="宋体" w:hAnsi="宋体"/>
          <w:color w:val="auto"/>
          <w:szCs w:val="21"/>
          <w:highlight w:val="none"/>
        </w:rPr>
        <w:t>。</w:t>
      </w:r>
    </w:p>
    <w:p>
      <w:pPr>
        <w:pStyle w:val="2"/>
        <w:rPr>
          <w:rFonts w:hint="eastAsia"/>
          <w:color w:val="auto"/>
        </w:rPr>
      </w:pPr>
    </w:p>
    <w:p>
      <w:pPr>
        <w:spacing w:before="300" w:after="300" w:line="360" w:lineRule="exact"/>
        <w:outlineLvl w:val="0"/>
        <w:rPr>
          <w:rFonts w:ascii="宋体" w:hAnsi="宋体"/>
          <w:b/>
          <w:color w:val="auto"/>
          <w:kern w:val="44"/>
          <w:sz w:val="24"/>
          <w:highlight w:val="none"/>
        </w:rPr>
      </w:pPr>
      <w:r>
        <w:rPr>
          <w:rFonts w:hint="eastAsia" w:ascii="宋体" w:hAnsi="宋体"/>
          <w:b/>
          <w:color w:val="auto"/>
          <w:kern w:val="44"/>
          <w:sz w:val="24"/>
          <w:highlight w:val="none"/>
        </w:rPr>
        <w:t>3.</w:t>
      </w:r>
      <w:r>
        <w:rPr>
          <w:rFonts w:hint="eastAsia" w:ascii="宋体" w:hAnsi="宋体"/>
          <w:b/>
          <w:color w:val="auto"/>
          <w:kern w:val="44"/>
          <w:sz w:val="24"/>
          <w:highlight w:val="none"/>
          <w:lang w:val="en-US" w:eastAsia="zh-CN"/>
        </w:rPr>
        <w:t>3</w:t>
      </w:r>
      <w:r>
        <w:rPr>
          <w:rFonts w:hint="eastAsia" w:ascii="宋体" w:hAnsi="宋体"/>
          <w:b/>
          <w:color w:val="auto"/>
          <w:kern w:val="44"/>
          <w:sz w:val="24"/>
          <w:highlight w:val="none"/>
        </w:rPr>
        <w:t xml:space="preserve"> 第二个信封开标</w:t>
      </w:r>
    </w:p>
    <w:p>
      <w:pPr>
        <w:overflowPunct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第一个信封（商务及技术文件）评审结束后，招标人将按照第二章“投标人须知”</w:t>
      </w:r>
      <w:r>
        <w:rPr>
          <w:rFonts w:ascii="宋体" w:hAnsi="宋体"/>
          <w:color w:val="auto"/>
          <w:szCs w:val="21"/>
          <w:highlight w:val="none"/>
        </w:rPr>
        <w:t xml:space="preserve"> </w:t>
      </w:r>
      <w:r>
        <w:rPr>
          <w:rFonts w:hint="eastAsia" w:ascii="宋体" w:hAnsi="宋体"/>
          <w:color w:val="auto"/>
          <w:szCs w:val="21"/>
          <w:highlight w:val="none"/>
        </w:rPr>
        <w:t>第</w:t>
      </w:r>
      <w:r>
        <w:rPr>
          <w:rFonts w:ascii="宋体" w:hAnsi="宋体"/>
          <w:color w:val="auto"/>
          <w:szCs w:val="21"/>
          <w:highlight w:val="none"/>
        </w:rPr>
        <w:t xml:space="preserve"> 5.1 </w:t>
      </w:r>
      <w:r>
        <w:rPr>
          <w:rFonts w:hint="eastAsia" w:ascii="宋体" w:hAnsi="宋体"/>
          <w:color w:val="auto"/>
          <w:szCs w:val="21"/>
          <w:highlight w:val="none"/>
        </w:rPr>
        <w:t>款规定的时间和地点对通过投标文件第一个信封（商务及技术文件）评审的投标文件第二个信封（报价文件）进行开标。</w:t>
      </w:r>
    </w:p>
    <w:p>
      <w:pPr>
        <w:spacing w:before="300" w:after="300" w:line="360" w:lineRule="exact"/>
        <w:outlineLvl w:val="0"/>
        <w:rPr>
          <w:rFonts w:ascii="宋体" w:hAnsi="宋体"/>
          <w:b/>
          <w:color w:val="auto"/>
          <w:kern w:val="44"/>
          <w:sz w:val="24"/>
          <w:highlight w:val="none"/>
        </w:rPr>
      </w:pPr>
      <w:r>
        <w:rPr>
          <w:rFonts w:hint="eastAsia" w:ascii="宋体" w:hAnsi="宋体"/>
          <w:b/>
          <w:color w:val="auto"/>
          <w:kern w:val="44"/>
          <w:sz w:val="24"/>
          <w:highlight w:val="none"/>
        </w:rPr>
        <w:t>3.</w:t>
      </w:r>
      <w:r>
        <w:rPr>
          <w:rFonts w:hint="eastAsia" w:ascii="宋体" w:hAnsi="宋体"/>
          <w:b/>
          <w:color w:val="auto"/>
          <w:kern w:val="44"/>
          <w:sz w:val="24"/>
          <w:highlight w:val="none"/>
          <w:lang w:val="en-US" w:eastAsia="zh-CN"/>
        </w:rPr>
        <w:t>4</w:t>
      </w:r>
      <w:r>
        <w:rPr>
          <w:rFonts w:hint="eastAsia" w:ascii="宋体" w:hAnsi="宋体"/>
          <w:b/>
          <w:color w:val="auto"/>
          <w:kern w:val="44"/>
          <w:sz w:val="24"/>
          <w:highlight w:val="none"/>
        </w:rPr>
        <w:t>第二个信封初步评审</w:t>
      </w:r>
    </w:p>
    <w:p>
      <w:pPr>
        <w:overflowPunct w:val="0"/>
        <w:spacing w:line="360" w:lineRule="exact"/>
        <w:ind w:firstLine="525" w:firstLineChars="25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4</w:t>
      </w:r>
      <w:r>
        <w:rPr>
          <w:rFonts w:hint="eastAsia" w:ascii="宋体" w:hAnsi="宋体"/>
          <w:color w:val="auto"/>
          <w:szCs w:val="21"/>
          <w:highlight w:val="none"/>
        </w:rPr>
        <w:t>.1 评标委员会依据本章第</w:t>
      </w:r>
      <w:r>
        <w:rPr>
          <w:rFonts w:ascii="宋体" w:hAnsi="宋体"/>
          <w:color w:val="auto"/>
          <w:szCs w:val="21"/>
          <w:highlight w:val="none"/>
        </w:rPr>
        <w:t xml:space="preserve"> 2.1.1 </w:t>
      </w:r>
      <w:r>
        <w:rPr>
          <w:rFonts w:hint="eastAsia" w:ascii="宋体" w:hAnsi="宋体"/>
          <w:color w:val="auto"/>
          <w:szCs w:val="21"/>
          <w:highlight w:val="none"/>
        </w:rPr>
        <w:t>项、第</w:t>
      </w:r>
      <w:r>
        <w:rPr>
          <w:rFonts w:ascii="宋体" w:hAnsi="宋体"/>
          <w:color w:val="auto"/>
          <w:szCs w:val="21"/>
          <w:highlight w:val="none"/>
        </w:rPr>
        <w:t xml:space="preserve"> 2.1.3 </w:t>
      </w:r>
      <w:r>
        <w:rPr>
          <w:rFonts w:hint="eastAsia" w:ascii="宋体" w:hAnsi="宋体"/>
          <w:color w:val="auto"/>
          <w:szCs w:val="21"/>
          <w:highlight w:val="none"/>
        </w:rPr>
        <w:t>项规定的评审标准对投标文件第二个信封（报价文件）进行初步评审。有一项不符合评审标准的，评标委员会应否决其投标。</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4</w:t>
      </w:r>
      <w:r>
        <w:rPr>
          <w:rFonts w:hint="eastAsia" w:ascii="宋体" w:hAnsi="宋体"/>
          <w:color w:val="auto"/>
          <w:szCs w:val="21"/>
          <w:highlight w:val="none"/>
        </w:rPr>
        <w:t>.2 投标报价有算术错误的，评标委员会按以下原则对投标报价进行修正，修正的价格经投标人书面确认后具有约束力。投标人不接受修正价格的，评标委员会应否决其投标。</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）投标文件中的大写金额与小写金额不一致的，以大写金额为准；</w:t>
      </w:r>
    </w:p>
    <w:p>
      <w:pPr>
        <w:overflowPunct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）总价金额与依据单价计算出的结果不一致的，以单价金额为准修正总价，但单价金额小数点有明显错误的除外；</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）当单价与数量相乘不等于合价时，以单价计算为准，如果单价有明显的小数点位置差错，应以标出的合价为准，同时对单价予以修正；</w:t>
      </w:r>
    </w:p>
    <w:p>
      <w:pPr>
        <w:overflowPunct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）当各子目的合价累计不等于总价时，应以各子目合价累计数为准，修正总价。</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4</w:t>
      </w:r>
      <w:r>
        <w:rPr>
          <w:rFonts w:hint="eastAsia" w:ascii="宋体" w:hAnsi="宋体"/>
          <w:color w:val="auto"/>
          <w:szCs w:val="21"/>
          <w:highlight w:val="none"/>
        </w:rPr>
        <w:t>.3 工程量清单中的投标报价有其他错误的，评标委员会按以下原则对投标报价进行修正，修正的价格经投标人书面确认后具有约束力。投标人不接受修正价格的，评标委员会应否决其投标。</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）在招标人给定的工程量清单中多报了某个工程子目的单价、合价或总额价，或所报单价、合价或总额价增加了报价范围，则从投标报价中扣除多报的工程子目报价或工程子目报价中增加了报价范围的部分报价。</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）当单价与数量的乘积与合价（金额）虽然一致，但投标人修改了该子目的工程数量，则其合价按招标人给定的工程数量乘以投标人所报单价予以修正。</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4</w:t>
      </w:r>
      <w:r>
        <w:rPr>
          <w:rFonts w:hint="eastAsia" w:ascii="宋体" w:hAnsi="宋体"/>
          <w:color w:val="auto"/>
          <w:szCs w:val="21"/>
          <w:highlight w:val="none"/>
        </w:rPr>
        <w:t>.4 修正后的最终投标报价若超过最高投标限价（如有），评标委员会应否决其投标。</w:t>
      </w:r>
    </w:p>
    <w:p>
      <w:pPr>
        <w:overflowPunct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4</w:t>
      </w:r>
      <w:r>
        <w:rPr>
          <w:rFonts w:hint="eastAsia" w:ascii="宋体" w:hAnsi="宋体"/>
          <w:color w:val="auto"/>
          <w:szCs w:val="21"/>
          <w:highlight w:val="none"/>
        </w:rPr>
        <w:t>.5 修正后的最终投标报价仅作为签订合同的一个依据，不参与评标价得分的计算。</w:t>
      </w:r>
    </w:p>
    <w:p>
      <w:pPr>
        <w:spacing w:before="300" w:after="300" w:line="360" w:lineRule="exact"/>
        <w:outlineLvl w:val="0"/>
        <w:rPr>
          <w:rFonts w:ascii="宋体" w:hAnsi="宋体"/>
          <w:b/>
          <w:color w:val="auto"/>
          <w:kern w:val="44"/>
          <w:sz w:val="24"/>
          <w:highlight w:val="none"/>
        </w:rPr>
      </w:pPr>
      <w:r>
        <w:rPr>
          <w:rFonts w:hint="eastAsia" w:ascii="宋体" w:hAnsi="宋体"/>
          <w:b/>
          <w:color w:val="auto"/>
          <w:kern w:val="44"/>
          <w:sz w:val="24"/>
          <w:highlight w:val="none"/>
        </w:rPr>
        <w:t>3.</w:t>
      </w:r>
      <w:r>
        <w:rPr>
          <w:rFonts w:hint="eastAsia" w:ascii="宋体" w:hAnsi="宋体"/>
          <w:b/>
          <w:color w:val="auto"/>
          <w:kern w:val="44"/>
          <w:sz w:val="24"/>
          <w:highlight w:val="none"/>
          <w:lang w:val="en-US" w:eastAsia="zh-CN"/>
        </w:rPr>
        <w:t>5</w:t>
      </w:r>
      <w:r>
        <w:rPr>
          <w:rFonts w:hint="eastAsia" w:ascii="宋体" w:hAnsi="宋体"/>
          <w:b/>
          <w:color w:val="auto"/>
          <w:kern w:val="44"/>
          <w:sz w:val="24"/>
          <w:highlight w:val="none"/>
        </w:rPr>
        <w:t xml:space="preserve"> 第二个信封详细评审</w:t>
      </w:r>
    </w:p>
    <w:p>
      <w:pPr>
        <w:overflowPunct w:val="0"/>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3.5.1 评标委员会按本章第</w:t>
      </w:r>
      <w:r>
        <w:rPr>
          <w:rFonts w:ascii="宋体" w:hAnsi="宋体"/>
          <w:color w:val="auto"/>
          <w:szCs w:val="21"/>
          <w:highlight w:val="none"/>
        </w:rPr>
        <w:t xml:space="preserve"> 2.2.4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）目规定的评审因素和分值对评标价计算出得分</w:t>
      </w:r>
      <w:r>
        <w:rPr>
          <w:rFonts w:ascii="宋体" w:hAnsi="宋体"/>
          <w:color w:val="auto"/>
          <w:szCs w:val="21"/>
          <w:highlight w:val="none"/>
        </w:rPr>
        <w:t xml:space="preserve"> C</w:t>
      </w:r>
      <w:r>
        <w:rPr>
          <w:rFonts w:hint="eastAsia" w:ascii="宋体" w:hAnsi="宋体"/>
          <w:color w:val="auto"/>
          <w:szCs w:val="21"/>
          <w:highlight w:val="none"/>
        </w:rPr>
        <w:t>。评标价得分分值计算保留小数点后两位，小数点后第三位“四舍五入”。</w:t>
      </w:r>
    </w:p>
    <w:p>
      <w:pPr>
        <w:overflowPunct w:val="0"/>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3.5.2 投标人综合得分</w:t>
      </w:r>
      <w:r>
        <w:rPr>
          <w:rFonts w:ascii="宋体" w:hAnsi="宋体"/>
          <w:color w:val="auto"/>
          <w:szCs w:val="21"/>
          <w:highlight w:val="none"/>
        </w:rPr>
        <w:t>=</w:t>
      </w:r>
      <w:r>
        <w:rPr>
          <w:rFonts w:hint="eastAsia" w:ascii="宋体" w:hAnsi="宋体"/>
          <w:color w:val="auto"/>
          <w:szCs w:val="21"/>
          <w:highlight w:val="none"/>
        </w:rPr>
        <w:t>投标人的商务和技术得分</w:t>
      </w:r>
      <w:r>
        <w:rPr>
          <w:rFonts w:ascii="宋体" w:hAnsi="宋体"/>
          <w:color w:val="auto"/>
          <w:szCs w:val="21"/>
          <w:highlight w:val="none"/>
        </w:rPr>
        <w:t>+C</w:t>
      </w:r>
      <w:r>
        <w:rPr>
          <w:rFonts w:hint="eastAsia" w:ascii="宋体" w:hAnsi="宋体"/>
          <w:color w:val="auto"/>
          <w:szCs w:val="21"/>
          <w:highlight w:val="none"/>
        </w:rPr>
        <w:t>。</w:t>
      </w:r>
    </w:p>
    <w:p>
      <w:pPr>
        <w:overflowPunct w:val="0"/>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spacing w:before="300" w:after="300" w:line="360" w:lineRule="exact"/>
        <w:outlineLvl w:val="0"/>
        <w:rPr>
          <w:rFonts w:ascii="宋体" w:hAnsi="宋体"/>
          <w:b/>
          <w:color w:val="auto"/>
          <w:kern w:val="44"/>
          <w:sz w:val="24"/>
          <w:highlight w:val="none"/>
        </w:rPr>
      </w:pPr>
      <w:r>
        <w:rPr>
          <w:rFonts w:hint="eastAsia" w:ascii="宋体" w:hAnsi="宋体"/>
          <w:b/>
          <w:color w:val="auto"/>
          <w:kern w:val="44"/>
          <w:sz w:val="24"/>
          <w:highlight w:val="none"/>
        </w:rPr>
        <w:t>3.</w:t>
      </w:r>
      <w:r>
        <w:rPr>
          <w:rFonts w:hint="eastAsia" w:ascii="宋体" w:hAnsi="宋体"/>
          <w:b/>
          <w:color w:val="auto"/>
          <w:kern w:val="44"/>
          <w:sz w:val="24"/>
          <w:highlight w:val="none"/>
          <w:lang w:val="en-US" w:eastAsia="zh-CN"/>
        </w:rPr>
        <w:t>6</w:t>
      </w:r>
      <w:r>
        <w:rPr>
          <w:rFonts w:hint="eastAsia" w:ascii="宋体" w:hAnsi="宋体"/>
          <w:b/>
          <w:color w:val="auto"/>
          <w:kern w:val="44"/>
          <w:sz w:val="24"/>
          <w:highlight w:val="none"/>
        </w:rPr>
        <w:t>投标文件相关信息的核查</w:t>
      </w:r>
    </w:p>
    <w:p>
      <w:pPr>
        <w:overflowPunct w:val="0"/>
        <w:spacing w:line="340" w:lineRule="exact"/>
        <w:ind w:firstLine="420" w:firstLineChars="200"/>
        <w:rPr>
          <w:rFonts w:ascii="宋体" w:hAnsi="宋体"/>
          <w:color w:val="auto"/>
          <w:szCs w:val="21"/>
          <w:highlight w:val="none"/>
        </w:rPr>
      </w:pPr>
      <w:bookmarkStart w:id="0" w:name="_bookmark105"/>
      <w:bookmarkEnd w:id="0"/>
      <w:r>
        <w:rPr>
          <w:rFonts w:hint="eastAsia" w:ascii="宋体" w:hAnsi="宋体"/>
          <w:color w:val="auto"/>
          <w:szCs w:val="21"/>
          <w:highlight w:val="none"/>
        </w:rPr>
        <w:t>3.6.1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overflowPunct w:val="0"/>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3.6.2 评标委员会应对在评标过程中发现的投标人与投标人之间、投标人与招标人之间存在的串通投标的情形进行评审和认定。投标人存在串通投标、弄虚作假、行贿等违法行为的，评标委员会应否决其投标。</w:t>
      </w:r>
    </w:p>
    <w:p>
      <w:pPr>
        <w:overflowPunct w:val="0"/>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）有下列情形之一的，属于投标人相互串通投标：</w:t>
      </w:r>
    </w:p>
    <w:p>
      <w:pPr>
        <w:overflowPunct w:val="0"/>
        <w:spacing w:line="340" w:lineRule="exact"/>
        <w:ind w:firstLine="420" w:firstLineChars="200"/>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投标人之间协商投标报价等投标文件的实质性内容；</w:t>
      </w:r>
    </w:p>
    <w:p>
      <w:pPr>
        <w:overflowPunct w:val="0"/>
        <w:spacing w:line="340" w:lineRule="exact"/>
        <w:ind w:firstLine="420" w:firstLineChars="200"/>
        <w:rPr>
          <w:rFonts w:ascii="宋体" w:hAnsi="宋体"/>
          <w:color w:val="auto"/>
          <w:szCs w:val="21"/>
          <w:highlight w:val="none"/>
        </w:rPr>
      </w:pPr>
      <w:r>
        <w:rPr>
          <w:rFonts w:ascii="宋体" w:hAnsi="宋体"/>
          <w:color w:val="auto"/>
          <w:szCs w:val="21"/>
          <w:highlight w:val="none"/>
        </w:rPr>
        <w:t>b.</w:t>
      </w:r>
      <w:r>
        <w:rPr>
          <w:rFonts w:hint="eastAsia" w:ascii="宋体" w:hAnsi="宋体"/>
          <w:color w:val="auto"/>
          <w:szCs w:val="21"/>
          <w:highlight w:val="none"/>
        </w:rPr>
        <w:t>投标人之间约定中标人；</w:t>
      </w:r>
    </w:p>
    <w:p>
      <w:pPr>
        <w:overflowPunct w:val="0"/>
        <w:spacing w:line="340" w:lineRule="exact"/>
        <w:ind w:firstLine="420" w:firstLineChars="200"/>
        <w:rPr>
          <w:rFonts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rPr>
        <w:t>投标人之间约定部分投标人放弃投标或中标；</w:t>
      </w:r>
    </w:p>
    <w:p>
      <w:pPr>
        <w:overflowPunct w:val="0"/>
        <w:spacing w:line="340" w:lineRule="exact"/>
        <w:ind w:firstLine="420" w:firstLineChars="200"/>
        <w:rPr>
          <w:rFonts w:ascii="宋体" w:hAnsi="宋体"/>
          <w:color w:val="auto"/>
          <w:szCs w:val="21"/>
          <w:highlight w:val="none"/>
        </w:rPr>
      </w:pPr>
      <w:r>
        <w:rPr>
          <w:rFonts w:ascii="宋体" w:hAnsi="宋体"/>
          <w:color w:val="auto"/>
          <w:szCs w:val="21"/>
          <w:highlight w:val="none"/>
        </w:rPr>
        <w:t>d.</w:t>
      </w:r>
      <w:r>
        <w:rPr>
          <w:rFonts w:hint="eastAsia" w:ascii="宋体" w:hAnsi="宋体"/>
          <w:color w:val="auto"/>
          <w:szCs w:val="21"/>
          <w:highlight w:val="none"/>
        </w:rPr>
        <w:t>属于同一集团、协会、商会等组织成员的投标人按照该组织要求协同投标；</w:t>
      </w:r>
    </w:p>
    <w:p>
      <w:pPr>
        <w:overflowPunct w:val="0"/>
        <w:spacing w:line="340" w:lineRule="exact"/>
        <w:ind w:firstLine="420" w:firstLineChars="200"/>
        <w:rPr>
          <w:rFonts w:ascii="宋体" w:hAnsi="宋体"/>
          <w:color w:val="auto"/>
          <w:szCs w:val="21"/>
          <w:highlight w:val="none"/>
        </w:rPr>
      </w:pPr>
      <w:r>
        <w:rPr>
          <w:rFonts w:ascii="宋体" w:hAnsi="宋体"/>
          <w:color w:val="auto"/>
          <w:szCs w:val="21"/>
          <w:highlight w:val="none"/>
        </w:rPr>
        <w:t>e.</w:t>
      </w:r>
      <w:r>
        <w:rPr>
          <w:rFonts w:hint="eastAsia" w:ascii="宋体" w:hAnsi="宋体"/>
          <w:color w:val="auto"/>
          <w:szCs w:val="21"/>
          <w:highlight w:val="none"/>
        </w:rPr>
        <w:t>投标人之间为谋取中标或排斥特定投标人而采取的其他联合行动。</w:t>
      </w:r>
    </w:p>
    <w:p>
      <w:pPr>
        <w:overflowPunct w:val="0"/>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）有下列情形之一的，视为投标人相互串通投标：</w:t>
      </w:r>
    </w:p>
    <w:p>
      <w:pPr>
        <w:overflowPunct w:val="0"/>
        <w:spacing w:line="340" w:lineRule="exact"/>
        <w:ind w:firstLine="420" w:firstLineChars="200"/>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不同投标人的投标文件由同一单位或个人编制；</w:t>
      </w:r>
    </w:p>
    <w:p>
      <w:pPr>
        <w:overflowPunct w:val="0"/>
        <w:spacing w:line="340" w:lineRule="exact"/>
        <w:ind w:firstLine="420" w:firstLineChars="200"/>
        <w:rPr>
          <w:rFonts w:hint="eastAsia" w:ascii="宋体" w:hAnsi="宋体"/>
          <w:color w:val="auto"/>
          <w:szCs w:val="21"/>
          <w:highlight w:val="none"/>
        </w:rPr>
      </w:pPr>
      <w:r>
        <w:rPr>
          <w:rFonts w:ascii="宋体" w:hAnsi="宋体"/>
          <w:color w:val="auto"/>
          <w:szCs w:val="21"/>
          <w:highlight w:val="none"/>
        </w:rPr>
        <w:t>b.</w:t>
      </w:r>
      <w:r>
        <w:rPr>
          <w:rFonts w:hint="eastAsia" w:ascii="宋体" w:hAnsi="宋体"/>
          <w:color w:val="auto"/>
          <w:szCs w:val="21"/>
          <w:highlight w:val="none"/>
        </w:rPr>
        <w:t>不同投标人委托同一单位或个人办理投标事宜；</w:t>
      </w:r>
    </w:p>
    <w:p>
      <w:pPr>
        <w:overflowPunct w:val="0"/>
        <w:spacing w:line="340" w:lineRule="exact"/>
        <w:ind w:firstLine="420" w:firstLineChars="200"/>
        <w:rPr>
          <w:rFonts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rPr>
        <w:t>不同投标人的投标文件载明的项目管理成员为同一人；</w:t>
      </w:r>
    </w:p>
    <w:p>
      <w:pPr>
        <w:overflowPunct w:val="0"/>
        <w:spacing w:line="340" w:lineRule="exact"/>
        <w:ind w:firstLine="420" w:firstLineChars="200"/>
        <w:rPr>
          <w:rFonts w:ascii="宋体" w:hAnsi="宋体"/>
          <w:color w:val="auto"/>
          <w:szCs w:val="21"/>
          <w:highlight w:val="none"/>
        </w:rPr>
      </w:pPr>
      <w:r>
        <w:rPr>
          <w:rFonts w:ascii="宋体" w:hAnsi="宋体"/>
          <w:color w:val="auto"/>
          <w:szCs w:val="21"/>
          <w:highlight w:val="none"/>
        </w:rPr>
        <w:t>d.</w:t>
      </w:r>
      <w:r>
        <w:rPr>
          <w:rFonts w:hint="eastAsia" w:ascii="宋体" w:hAnsi="宋体"/>
          <w:color w:val="auto"/>
          <w:szCs w:val="21"/>
          <w:highlight w:val="none"/>
        </w:rPr>
        <w:t>不同投标人的投标文件异常一致或投标报价呈规律性差异；</w:t>
      </w:r>
    </w:p>
    <w:p>
      <w:pPr>
        <w:overflowPunct w:val="0"/>
        <w:spacing w:line="340" w:lineRule="exact"/>
        <w:ind w:firstLine="420" w:firstLineChars="200"/>
        <w:rPr>
          <w:rFonts w:ascii="宋体" w:hAnsi="宋体"/>
          <w:color w:val="auto"/>
          <w:szCs w:val="21"/>
          <w:highlight w:val="none"/>
        </w:rPr>
      </w:pPr>
      <w:r>
        <w:rPr>
          <w:rFonts w:ascii="宋体" w:hAnsi="宋体"/>
          <w:color w:val="auto"/>
          <w:szCs w:val="21"/>
          <w:highlight w:val="none"/>
        </w:rPr>
        <w:t>e.</w:t>
      </w:r>
      <w:r>
        <w:rPr>
          <w:rFonts w:hint="eastAsia" w:ascii="宋体" w:hAnsi="宋体"/>
          <w:color w:val="auto"/>
          <w:szCs w:val="21"/>
          <w:highlight w:val="none"/>
        </w:rPr>
        <w:t>不同投标人的投标文件相互混装；</w:t>
      </w:r>
    </w:p>
    <w:p>
      <w:pPr>
        <w:overflowPunct w:val="0"/>
        <w:spacing w:line="340" w:lineRule="exact"/>
        <w:ind w:firstLine="420" w:firstLineChars="200"/>
        <w:rPr>
          <w:rFonts w:ascii="宋体" w:hAnsi="宋体"/>
          <w:color w:val="auto"/>
          <w:szCs w:val="21"/>
          <w:highlight w:val="none"/>
        </w:rPr>
      </w:pPr>
      <w:r>
        <w:rPr>
          <w:rFonts w:ascii="宋体" w:hAnsi="宋体"/>
          <w:color w:val="auto"/>
          <w:szCs w:val="21"/>
          <w:highlight w:val="none"/>
        </w:rPr>
        <w:t>f.</w:t>
      </w:r>
      <w:r>
        <w:rPr>
          <w:rFonts w:hint="eastAsia" w:ascii="宋体" w:hAnsi="宋体"/>
          <w:color w:val="auto"/>
          <w:szCs w:val="21"/>
          <w:highlight w:val="none"/>
        </w:rPr>
        <w:t>不同投标人的投标保证金从同一单位或个人的账户转出。</w:t>
      </w:r>
    </w:p>
    <w:p>
      <w:pPr>
        <w:overflowPunct w:val="0"/>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）有下列情形之一的，属于招标人与投标人串通投标：</w:t>
      </w:r>
    </w:p>
    <w:p>
      <w:pPr>
        <w:overflowPunct w:val="0"/>
        <w:spacing w:line="340" w:lineRule="exact"/>
        <w:ind w:firstLine="420" w:firstLineChars="200"/>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招标人在开标前开启投标文件并将有关信息泄露给其他投标人</w:t>
      </w:r>
      <w:r>
        <w:rPr>
          <w:rFonts w:ascii="宋体" w:hAnsi="宋体"/>
          <w:color w:val="auto"/>
          <w:szCs w:val="21"/>
          <w:highlight w:val="none"/>
        </w:rPr>
        <w:t>;</w:t>
      </w:r>
    </w:p>
    <w:p>
      <w:pPr>
        <w:overflowPunct w:val="0"/>
        <w:spacing w:line="340" w:lineRule="exact"/>
        <w:ind w:firstLine="420" w:firstLineChars="200"/>
        <w:rPr>
          <w:rFonts w:ascii="宋体" w:hAnsi="宋体"/>
          <w:color w:val="auto"/>
          <w:szCs w:val="21"/>
          <w:highlight w:val="none"/>
        </w:rPr>
      </w:pPr>
      <w:r>
        <w:rPr>
          <w:rFonts w:ascii="宋体" w:hAnsi="宋体"/>
          <w:color w:val="auto"/>
          <w:szCs w:val="21"/>
          <w:highlight w:val="none"/>
        </w:rPr>
        <w:t>b.</w:t>
      </w:r>
      <w:r>
        <w:rPr>
          <w:rFonts w:hint="eastAsia" w:ascii="宋体" w:hAnsi="宋体"/>
          <w:color w:val="auto"/>
          <w:szCs w:val="21"/>
          <w:highlight w:val="none"/>
        </w:rPr>
        <w:t>招标人直接或间接向投标人泄露标底、评标委员会成员等信息；</w:t>
      </w:r>
    </w:p>
    <w:p>
      <w:pPr>
        <w:overflowPunct w:val="0"/>
        <w:spacing w:line="340" w:lineRule="exact"/>
        <w:ind w:firstLine="420" w:firstLineChars="200"/>
        <w:rPr>
          <w:rFonts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rPr>
        <w:t>招标人明示或暗示投标人压低或抬高投标报价；</w:t>
      </w:r>
    </w:p>
    <w:p>
      <w:pPr>
        <w:overflowPunct w:val="0"/>
        <w:spacing w:line="340" w:lineRule="exact"/>
        <w:ind w:firstLine="420" w:firstLineChars="200"/>
        <w:rPr>
          <w:rFonts w:ascii="宋体" w:hAnsi="宋体"/>
          <w:color w:val="auto"/>
          <w:szCs w:val="21"/>
          <w:highlight w:val="none"/>
        </w:rPr>
      </w:pPr>
      <w:r>
        <w:rPr>
          <w:rFonts w:ascii="宋体" w:hAnsi="宋体"/>
          <w:color w:val="auto"/>
          <w:szCs w:val="21"/>
          <w:highlight w:val="none"/>
        </w:rPr>
        <w:t>d.</w:t>
      </w:r>
      <w:r>
        <w:rPr>
          <w:rFonts w:hint="eastAsia" w:ascii="宋体" w:hAnsi="宋体"/>
          <w:color w:val="auto"/>
          <w:szCs w:val="21"/>
          <w:highlight w:val="none"/>
        </w:rPr>
        <w:t>招标人授意投标人撤换、修改投标文件；</w:t>
      </w:r>
    </w:p>
    <w:p>
      <w:pPr>
        <w:overflowPunct w:val="0"/>
        <w:spacing w:line="340" w:lineRule="exact"/>
        <w:ind w:firstLine="420" w:firstLineChars="200"/>
        <w:rPr>
          <w:rFonts w:ascii="宋体" w:hAnsi="宋体"/>
          <w:color w:val="auto"/>
          <w:szCs w:val="21"/>
          <w:highlight w:val="none"/>
        </w:rPr>
      </w:pPr>
      <w:r>
        <w:rPr>
          <w:rFonts w:ascii="宋体" w:hAnsi="宋体"/>
          <w:color w:val="auto"/>
          <w:szCs w:val="21"/>
          <w:highlight w:val="none"/>
        </w:rPr>
        <w:t>e.</w:t>
      </w:r>
      <w:r>
        <w:rPr>
          <w:rFonts w:hint="eastAsia" w:ascii="宋体" w:hAnsi="宋体"/>
          <w:color w:val="auto"/>
          <w:szCs w:val="21"/>
          <w:highlight w:val="none"/>
        </w:rPr>
        <w:t>招标人明示或暗示投标人为特定投标人中标提供方便；</w:t>
      </w:r>
    </w:p>
    <w:p>
      <w:pPr>
        <w:overflowPunct w:val="0"/>
        <w:spacing w:line="340" w:lineRule="exact"/>
        <w:ind w:firstLine="420" w:firstLineChars="200"/>
        <w:rPr>
          <w:rFonts w:ascii="宋体" w:hAnsi="宋体"/>
          <w:color w:val="auto"/>
          <w:szCs w:val="21"/>
          <w:highlight w:val="none"/>
        </w:rPr>
      </w:pPr>
      <w:r>
        <w:rPr>
          <w:rFonts w:ascii="宋体" w:hAnsi="宋体"/>
          <w:color w:val="auto"/>
          <w:szCs w:val="21"/>
          <w:highlight w:val="none"/>
        </w:rPr>
        <w:t>f.</w:t>
      </w:r>
      <w:r>
        <w:rPr>
          <w:rFonts w:hint="eastAsia" w:ascii="宋体" w:hAnsi="宋体"/>
          <w:color w:val="auto"/>
          <w:szCs w:val="21"/>
          <w:highlight w:val="none"/>
        </w:rPr>
        <w:t>招标人与投标人为谋求特定投标人中标而采取的其他串通行为。</w:t>
      </w:r>
    </w:p>
    <w:p>
      <w:pPr>
        <w:overflowPunct w:val="0"/>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）投标人有下列情形之一的，属于弄虚作假的行为：</w:t>
      </w:r>
    </w:p>
    <w:p>
      <w:pPr>
        <w:overflowPunct w:val="0"/>
        <w:spacing w:line="340" w:lineRule="exact"/>
        <w:ind w:firstLine="420" w:firstLineChars="200"/>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使用通过受让或租借等方式获取的资格、资质证书投标；</w:t>
      </w:r>
    </w:p>
    <w:p>
      <w:pPr>
        <w:overflowPunct w:val="0"/>
        <w:spacing w:line="340" w:lineRule="exact"/>
        <w:ind w:firstLine="420" w:firstLineChars="200"/>
        <w:rPr>
          <w:rFonts w:ascii="宋体" w:hAnsi="宋体"/>
          <w:color w:val="auto"/>
          <w:szCs w:val="21"/>
          <w:highlight w:val="none"/>
        </w:rPr>
      </w:pPr>
      <w:r>
        <w:rPr>
          <w:rFonts w:ascii="宋体" w:hAnsi="宋体"/>
          <w:color w:val="auto"/>
          <w:szCs w:val="21"/>
          <w:highlight w:val="none"/>
        </w:rPr>
        <w:t>b.</w:t>
      </w:r>
      <w:r>
        <w:rPr>
          <w:rFonts w:hint="eastAsia" w:ascii="宋体" w:hAnsi="宋体"/>
          <w:color w:val="auto"/>
          <w:szCs w:val="21"/>
          <w:highlight w:val="none"/>
        </w:rPr>
        <w:t>使用伪造、变造的许可证件；</w:t>
      </w:r>
    </w:p>
    <w:p>
      <w:pPr>
        <w:overflowPunct w:val="0"/>
        <w:spacing w:line="340" w:lineRule="exact"/>
        <w:ind w:firstLine="420" w:firstLineChars="200"/>
        <w:rPr>
          <w:rFonts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rPr>
        <w:t>提供虚假的财务状况或业绩；</w:t>
      </w:r>
    </w:p>
    <w:p>
      <w:pPr>
        <w:overflowPunct w:val="0"/>
        <w:spacing w:line="340" w:lineRule="exact"/>
        <w:ind w:firstLine="420" w:firstLineChars="200"/>
        <w:rPr>
          <w:rFonts w:ascii="宋体" w:hAnsi="宋体"/>
          <w:color w:val="auto"/>
          <w:szCs w:val="21"/>
          <w:highlight w:val="none"/>
        </w:rPr>
      </w:pPr>
      <w:r>
        <w:rPr>
          <w:rFonts w:ascii="宋体" w:hAnsi="宋体"/>
          <w:color w:val="auto"/>
          <w:szCs w:val="21"/>
          <w:highlight w:val="none"/>
        </w:rPr>
        <w:t>d.</w:t>
      </w:r>
      <w:r>
        <w:rPr>
          <w:rFonts w:hint="eastAsia" w:ascii="宋体" w:hAnsi="宋体"/>
          <w:color w:val="auto"/>
          <w:szCs w:val="21"/>
          <w:highlight w:val="none"/>
        </w:rPr>
        <w:t>提供虚假的项目负责人或主要技术人员简历、劳动关系证明；</w:t>
      </w:r>
    </w:p>
    <w:p>
      <w:pPr>
        <w:overflowPunct w:val="0"/>
        <w:spacing w:line="340" w:lineRule="exact"/>
        <w:ind w:firstLine="420" w:firstLineChars="200"/>
        <w:rPr>
          <w:rFonts w:ascii="宋体" w:hAnsi="宋体"/>
          <w:color w:val="auto"/>
          <w:szCs w:val="21"/>
          <w:highlight w:val="none"/>
        </w:rPr>
      </w:pPr>
      <w:r>
        <w:rPr>
          <w:rFonts w:ascii="宋体" w:hAnsi="宋体"/>
          <w:color w:val="auto"/>
          <w:szCs w:val="21"/>
          <w:highlight w:val="none"/>
        </w:rPr>
        <w:t>e.</w:t>
      </w:r>
      <w:r>
        <w:rPr>
          <w:rFonts w:hint="eastAsia" w:ascii="宋体" w:hAnsi="宋体"/>
          <w:color w:val="auto"/>
          <w:szCs w:val="21"/>
          <w:highlight w:val="none"/>
        </w:rPr>
        <w:t>提供虚假的信用状况；</w:t>
      </w:r>
    </w:p>
    <w:p>
      <w:pPr>
        <w:overflowPunct w:val="0"/>
        <w:spacing w:line="340" w:lineRule="exact"/>
        <w:ind w:firstLine="420" w:firstLineChars="200"/>
        <w:rPr>
          <w:rFonts w:ascii="宋体" w:hAnsi="宋体"/>
          <w:color w:val="auto"/>
          <w:szCs w:val="21"/>
          <w:highlight w:val="none"/>
        </w:rPr>
      </w:pPr>
      <w:r>
        <w:rPr>
          <w:rFonts w:ascii="宋体" w:hAnsi="宋体"/>
          <w:color w:val="auto"/>
          <w:szCs w:val="21"/>
          <w:highlight w:val="none"/>
        </w:rPr>
        <w:t>f.</w:t>
      </w:r>
      <w:r>
        <w:rPr>
          <w:rFonts w:hint="eastAsia" w:ascii="宋体" w:hAnsi="宋体"/>
          <w:color w:val="auto"/>
          <w:szCs w:val="21"/>
          <w:highlight w:val="none"/>
        </w:rPr>
        <w:t>其他弄虚作假的行为。</w:t>
      </w:r>
    </w:p>
    <w:p>
      <w:pPr>
        <w:spacing w:before="300" w:after="300" w:line="360" w:lineRule="exact"/>
        <w:outlineLvl w:val="0"/>
        <w:rPr>
          <w:rFonts w:ascii="宋体" w:hAnsi="宋体"/>
          <w:b/>
          <w:color w:val="auto"/>
          <w:kern w:val="44"/>
          <w:sz w:val="24"/>
          <w:highlight w:val="none"/>
        </w:rPr>
      </w:pPr>
      <w:r>
        <w:rPr>
          <w:rFonts w:hint="eastAsia" w:ascii="宋体" w:hAnsi="宋体"/>
          <w:b/>
          <w:color w:val="auto"/>
          <w:kern w:val="44"/>
          <w:sz w:val="24"/>
          <w:highlight w:val="none"/>
        </w:rPr>
        <w:t>3.</w:t>
      </w:r>
      <w:r>
        <w:rPr>
          <w:rFonts w:hint="eastAsia" w:ascii="宋体" w:hAnsi="宋体"/>
          <w:b/>
          <w:color w:val="auto"/>
          <w:kern w:val="44"/>
          <w:sz w:val="24"/>
          <w:highlight w:val="none"/>
          <w:lang w:val="en-US" w:eastAsia="zh-CN"/>
        </w:rPr>
        <w:t>7</w:t>
      </w:r>
      <w:r>
        <w:rPr>
          <w:rFonts w:hint="eastAsia" w:ascii="宋体" w:hAnsi="宋体"/>
          <w:b/>
          <w:color w:val="auto"/>
          <w:kern w:val="44"/>
          <w:sz w:val="24"/>
          <w:highlight w:val="none"/>
        </w:rPr>
        <w:t xml:space="preserve"> 投标文件的澄清和说明</w:t>
      </w:r>
    </w:p>
    <w:p>
      <w:pPr>
        <w:overflowPunct w:val="0"/>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overflowPunct w:val="0"/>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3.7.2 澄清和说明不得超出投标文件的范围或改变投标文件的实质性内容（算术性错误的修正除外）。投标人的书面澄清、说明属于投标文件的组成部分。</w:t>
      </w:r>
    </w:p>
    <w:p>
      <w:pPr>
        <w:overflowPunct w:val="0"/>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3.7.3 评标委员会不得暗示或诱导投标人作出澄清、说明，对投标人提交的澄清、说明有疑问的，可以要求投标人进一步澄清或说明，直至满足评标委员会的要求。</w:t>
      </w:r>
    </w:p>
    <w:p>
      <w:pPr>
        <w:overflowPunct w:val="0"/>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3.7.4 凡超出招标文件规定的或给发包人带来未曾要求的利益的变化、偏差或其他因素在评标时不予考虑。</w:t>
      </w:r>
    </w:p>
    <w:p>
      <w:pPr>
        <w:overflowPunct w:val="0"/>
        <w:spacing w:line="360" w:lineRule="exact"/>
        <w:ind w:firstLine="420" w:firstLineChars="200"/>
        <w:rPr>
          <w:rFonts w:ascii="宋体" w:hAnsi="宋体"/>
          <w:color w:val="auto"/>
          <w:szCs w:val="21"/>
          <w:highlight w:val="none"/>
        </w:rPr>
      </w:pPr>
    </w:p>
    <w:p>
      <w:pPr>
        <w:spacing w:before="300" w:after="300" w:line="360" w:lineRule="exact"/>
        <w:outlineLvl w:val="0"/>
        <w:rPr>
          <w:rFonts w:ascii="宋体" w:hAnsi="宋体"/>
          <w:b/>
          <w:color w:val="auto"/>
          <w:kern w:val="44"/>
          <w:sz w:val="24"/>
          <w:highlight w:val="none"/>
        </w:rPr>
      </w:pPr>
      <w:bookmarkStart w:id="1" w:name="_bookmark106"/>
      <w:bookmarkEnd w:id="1"/>
      <w:r>
        <w:rPr>
          <w:rFonts w:hint="eastAsia" w:ascii="宋体" w:hAnsi="宋体"/>
          <w:b/>
          <w:color w:val="auto"/>
          <w:kern w:val="44"/>
          <w:sz w:val="24"/>
          <w:highlight w:val="none"/>
        </w:rPr>
        <w:t>3.</w:t>
      </w:r>
      <w:r>
        <w:rPr>
          <w:rFonts w:hint="eastAsia" w:ascii="宋体" w:hAnsi="宋体"/>
          <w:b/>
          <w:color w:val="auto"/>
          <w:kern w:val="44"/>
          <w:sz w:val="24"/>
          <w:highlight w:val="none"/>
          <w:lang w:val="en-US" w:eastAsia="zh-CN"/>
        </w:rPr>
        <w:t>8</w:t>
      </w:r>
      <w:r>
        <w:rPr>
          <w:rFonts w:hint="eastAsia" w:ascii="宋体" w:hAnsi="宋体"/>
          <w:b/>
          <w:color w:val="auto"/>
          <w:kern w:val="44"/>
          <w:sz w:val="24"/>
          <w:highlight w:val="none"/>
        </w:rPr>
        <w:t xml:space="preserve"> 不得否决投标的情形</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投标文件存在第二章“投标人须知”第</w:t>
      </w:r>
      <w:r>
        <w:rPr>
          <w:rFonts w:ascii="宋体" w:hAnsi="宋体"/>
          <w:color w:val="auto"/>
          <w:szCs w:val="21"/>
          <w:highlight w:val="none"/>
        </w:rPr>
        <w:t xml:space="preserve"> 1.12.3 </w:t>
      </w:r>
      <w:r>
        <w:rPr>
          <w:rFonts w:hint="eastAsia" w:ascii="宋体" w:hAnsi="宋体"/>
          <w:color w:val="auto"/>
          <w:szCs w:val="21"/>
          <w:highlight w:val="none"/>
        </w:rPr>
        <w:t>项所列情形的，均视为细微偏差，评标委员会不得否决投标人的投标，应按照第二章“投标人须知”第</w:t>
      </w:r>
      <w:r>
        <w:rPr>
          <w:rFonts w:ascii="宋体" w:hAnsi="宋体"/>
          <w:color w:val="auto"/>
          <w:szCs w:val="21"/>
          <w:highlight w:val="none"/>
        </w:rPr>
        <w:t xml:space="preserve"> 1.12.4  </w:t>
      </w:r>
      <w:r>
        <w:rPr>
          <w:rFonts w:hint="eastAsia" w:ascii="宋体" w:hAnsi="宋体"/>
          <w:color w:val="auto"/>
          <w:szCs w:val="21"/>
          <w:highlight w:val="none"/>
        </w:rPr>
        <w:t>项规定的原则处理。</w:t>
      </w:r>
    </w:p>
    <w:p>
      <w:pPr>
        <w:spacing w:before="300" w:after="300" w:line="340" w:lineRule="exact"/>
        <w:outlineLvl w:val="0"/>
        <w:rPr>
          <w:rFonts w:ascii="宋体" w:hAnsi="宋体"/>
          <w:b/>
          <w:color w:val="auto"/>
          <w:kern w:val="44"/>
          <w:sz w:val="24"/>
          <w:highlight w:val="none"/>
        </w:rPr>
      </w:pPr>
      <w:bookmarkStart w:id="2" w:name="_bookmark107"/>
      <w:bookmarkEnd w:id="2"/>
      <w:r>
        <w:rPr>
          <w:rFonts w:hint="eastAsia" w:ascii="宋体" w:hAnsi="宋体"/>
          <w:b/>
          <w:color w:val="auto"/>
          <w:kern w:val="44"/>
          <w:sz w:val="24"/>
          <w:highlight w:val="none"/>
        </w:rPr>
        <w:t>3.9 评标结果</w:t>
      </w:r>
    </w:p>
    <w:p>
      <w:pPr>
        <w:overflowPunct w:val="0"/>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3.9.1 除第二章“投标人须知”前附表授权直接确定中标人外，评标委员会按照得分由高到低的顺序推荐中标候选人，并标明排序。</w:t>
      </w:r>
    </w:p>
    <w:p>
      <w:pPr>
        <w:spacing w:line="440" w:lineRule="exact"/>
        <w:ind w:firstLine="390"/>
        <w:jc w:val="both"/>
        <w:rPr>
          <w:rFonts w:hint="eastAsia" w:ascii="宋体" w:hAnsi="宋体"/>
          <w:color w:val="auto"/>
          <w:szCs w:val="21"/>
          <w:highlight w:val="none"/>
        </w:rPr>
      </w:pPr>
      <w:r>
        <w:rPr>
          <w:rFonts w:hint="eastAsia" w:ascii="宋体" w:hAnsi="宋体"/>
          <w:color w:val="auto"/>
          <w:szCs w:val="21"/>
          <w:highlight w:val="none"/>
        </w:rPr>
        <w:t>3.9.2 评标委员会完成评标后，应向招标人提交书面评标报告。</w:t>
      </w:r>
    </w:p>
    <w:p>
      <w:pPr>
        <w:spacing w:line="440" w:lineRule="exact"/>
        <w:ind w:firstLine="390"/>
        <w:jc w:val="center"/>
        <w:rPr>
          <w:rFonts w:hint="eastAsia" w:ascii="宋体" w:hAnsi="宋体"/>
          <w:color w:val="auto"/>
          <w:szCs w:val="21"/>
          <w:highlight w:val="none"/>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roma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隶书">
    <w:panose1 w:val="02010509060101010101"/>
    <w:charset w:val="86"/>
    <w:family w:val="modern"/>
    <w:pitch w:val="default"/>
    <w:sig w:usb0="00000001" w:usb1="080E0000" w:usb2="0000000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创艺简老宋">
    <w:altName w:val="宋体"/>
    <w:panose1 w:val="00000000000000000000"/>
    <w:charset w:val="86"/>
    <w:family w:val="auto"/>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Noto Sans CJK JP Regular">
    <w:altName w:val="Arial"/>
    <w:panose1 w:val="00000000000000000000"/>
    <w:charset w:val="00"/>
    <w:family w:val="swiss"/>
    <w:pitch w:val="default"/>
    <w:sig w:usb0="00000000" w:usb1="00000000" w:usb2="00000000" w:usb3="00000000" w:csb0="00000001" w:csb1="00000000"/>
  </w:font>
  <w:font w:name="Noto Sans Mono CJK JP Regular">
    <w:altName w:val="Arial"/>
    <w:panose1 w:val="00000000000000000000"/>
    <w:charset w:val="00"/>
    <w:family w:val="swiss"/>
    <w:pitch w:val="default"/>
    <w:sig w:usb0="00000000" w:usb1="00000000" w:usb2="00000000" w:usb3="00000000" w:csb0="00000001" w:csb1="00000000"/>
  </w:font>
  <w:font w:name="Comic Sans MS">
    <w:panose1 w:val="030F0702030302020204"/>
    <w:charset w:val="00"/>
    <w:family w:val="script"/>
    <w:pitch w:val="default"/>
    <w:sig w:usb0="00000287" w:usb1="00000013" w:usb2="00000000" w:usb3="00000000" w:csb0="2000009F" w:csb1="00000000"/>
  </w:font>
  <w:font w:name="font-weight : 700">
    <w:altName w:val="Times New Roman"/>
    <w:panose1 w:val="00000000000000000000"/>
    <w:charset w:val="00"/>
    <w:family w:val="auto"/>
    <w:pitch w:val="default"/>
    <w:sig w:usb0="00000000" w:usb1="00000000" w:usb2="00000000" w:usb3="00000000" w:csb0="00040001" w:csb1="00000000"/>
  </w:font>
  <w:font w:name="font-weight : 400">
    <w:altName w:val="Times New Roman"/>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SimSun-Identity-H">
    <w:altName w:val="MS Gothic"/>
    <w:panose1 w:val="00000000000000000000"/>
    <w:charset w:val="80"/>
    <w:family w:val="auto"/>
    <w:pitch w:val="default"/>
    <w:sig w:usb0="00000000" w:usb1="00000000" w:usb2="00000010" w:usb3="00000000" w:csb0="00020000" w:csb1="00000000"/>
  </w:font>
  <w:font w:name="Calibri-Identity-H">
    <w:altName w:val="宋体"/>
    <w:panose1 w:val="00000000000000000000"/>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2054"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CXGLqugEAAFcDAAAOAAAAAAAAAAEAIAAAAB4BAABkcnMvZTJvRG9jLnhtbFBLBQYAAAAABgAG&#10;AFkBAABKBQAAAAA=&#1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pPr>
        <w:ind w:left="4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873F51"/>
    <w:rsid w:val="4B873F51"/>
    <w:rsid w:val="6F7E0DC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 w:type="paragraph" w:styleId="4">
    <w:name w:val="Body Text"/>
    <w:basedOn w:val="1"/>
    <w:uiPriority w:val="0"/>
    <w:pPr>
      <w:spacing w:after="120"/>
    </w:pPr>
  </w:style>
  <w:style w:type="paragraph" w:styleId="5">
    <w:name w:val="Plain Text"/>
    <w:basedOn w:val="1"/>
    <w:uiPriority w:val="0"/>
    <w:rPr>
      <w:rFonts w:ascii="宋体" w:hAnsi="Courier New"/>
      <w:szCs w:val="20"/>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tabs>
        <w:tab w:val="center" w:pos="4153"/>
        <w:tab w:val="right" w:pos="8306"/>
      </w:tabs>
      <w:snapToGrid w:val="0"/>
      <w:jc w:val="center"/>
    </w:pPr>
    <w:rPr>
      <w:sz w:val="18"/>
      <w:szCs w:val="18"/>
    </w:rPr>
  </w:style>
  <w:style w:type="paragraph" w:customStyle="1" w:styleId="10">
    <w:name w:val="Table Paragraph"/>
    <w:basedOn w:val="1"/>
    <w:qFormat/>
    <w:uiPriority w:val="0"/>
    <w:pPr>
      <w:autoSpaceDE w:val="0"/>
      <w:autoSpaceDN w:val="0"/>
      <w:jc w:val="left"/>
    </w:pPr>
    <w:rPr>
      <w:rFonts w:ascii="Noto Sans CJK JP Regular" w:hAnsi="Noto Sans CJK JP Regular" w:cs="Noto Sans CJK JP Regular"/>
      <w:kern w:val="0"/>
      <w:sz w:val="22"/>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oleObject" Target="embeddings/oleObject11.bin"/><Relationship Id="rId21" Type="http://schemas.openxmlformats.org/officeDocument/2006/relationships/oleObject" Target="embeddings/oleObject10.bin"/><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8.bin"/><Relationship Id="rId17" Type="http://schemas.openxmlformats.org/officeDocument/2006/relationships/oleObject" Target="embeddings/oleObject7.bin"/><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2023-01-12T07:43:00Z</dcterms:created>
  <dc:creator>张文高</dc:creator>
  <cp:lastModifiedBy>张文高</cp:lastModifiedBy>
  <dcterms:modified xsi:type="dcterms:W3CDTF">2023-01-12T07:46:43Z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