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color w:val="auto"/>
          <w:sz w:val="36"/>
          <w:highlight w:val="none"/>
        </w:rPr>
      </w:pPr>
    </w:p>
    <w:p>
      <w:pPr>
        <w:spacing w:line="360" w:lineRule="auto"/>
        <w:jc w:val="center"/>
        <w:rPr>
          <w:color w:val="auto"/>
          <w:sz w:val="36"/>
          <w:highlight w:val="none"/>
          <w:u w:val="single"/>
        </w:rPr>
      </w:pPr>
    </w:p>
    <w:p>
      <w:pPr>
        <w:spacing w:line="360" w:lineRule="auto"/>
        <w:jc w:val="center"/>
        <w:rPr>
          <w:rFonts w:ascii="宋体" w:hAnsi="宋体" w:cs="宋体"/>
          <w:color w:val="auto"/>
          <w:sz w:val="52"/>
          <w:szCs w:val="52"/>
          <w:highlight w:val="none"/>
          <w:u w:val="single"/>
        </w:rPr>
      </w:pPr>
      <w:bookmarkStart w:id="0" w:name="_Toc2272545"/>
      <w:bookmarkStart w:id="1" w:name="_Toc21525489"/>
      <w:r>
        <w:rPr>
          <w:rFonts w:hint="eastAsia" w:ascii="宋体" w:hAnsi="宋体" w:cs="宋体"/>
          <w:b/>
          <w:color w:val="auto"/>
          <w:sz w:val="52"/>
          <w:szCs w:val="52"/>
          <w:highlight w:val="none"/>
          <w:lang w:eastAsia="zh-CN"/>
        </w:rPr>
        <w:t>增江街丰美路建设工程</w:t>
      </w:r>
      <w:r>
        <w:rPr>
          <w:rFonts w:hint="eastAsia" w:ascii="宋体" w:hAnsi="宋体" w:cs="宋体"/>
          <w:b/>
          <w:color w:val="auto"/>
          <w:sz w:val="52"/>
          <w:szCs w:val="52"/>
          <w:highlight w:val="none"/>
        </w:rPr>
        <w:br w:type="textWrapping"/>
      </w:r>
    </w:p>
    <w:p>
      <w:pPr>
        <w:spacing w:line="360" w:lineRule="auto"/>
        <w:jc w:val="center"/>
        <w:rPr>
          <w:rFonts w:ascii="宋体" w:hAnsi="宋体" w:cs="宋体"/>
          <w:color w:val="auto"/>
          <w:sz w:val="36"/>
          <w:highlight w:val="none"/>
          <w:u w:val="single"/>
        </w:rPr>
      </w:pPr>
    </w:p>
    <w:p>
      <w:pPr>
        <w:spacing w:line="360" w:lineRule="auto"/>
        <w:jc w:val="center"/>
        <w:rPr>
          <w:rFonts w:ascii="宋体" w:hAnsi="宋体" w:cs="宋体"/>
          <w:color w:val="auto"/>
          <w:sz w:val="36"/>
          <w:highlight w:val="none"/>
          <w:u w:val="single"/>
        </w:rPr>
      </w:pPr>
    </w:p>
    <w:p>
      <w:pPr>
        <w:spacing w:line="360" w:lineRule="auto"/>
        <w:jc w:val="center"/>
        <w:rPr>
          <w:rFonts w:ascii="宋体" w:hAnsi="宋体" w:cs="宋体"/>
          <w:color w:val="auto"/>
          <w:sz w:val="36"/>
          <w:highlight w:val="none"/>
          <w:u w:val="single"/>
        </w:rPr>
      </w:pPr>
    </w:p>
    <w:p>
      <w:pPr>
        <w:spacing w:line="360" w:lineRule="auto"/>
        <w:jc w:val="center"/>
        <w:rPr>
          <w:rFonts w:ascii="宋体" w:hAnsi="宋体" w:cs="宋体"/>
          <w:color w:val="auto"/>
          <w:sz w:val="36"/>
          <w:highlight w:val="none"/>
          <w:u w:val="single"/>
        </w:rPr>
      </w:pPr>
    </w:p>
    <w:p>
      <w:pPr>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pPr>
        <w:spacing w:line="360" w:lineRule="auto"/>
        <w:jc w:val="center"/>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rPr>
          <w:rFonts w:ascii="宋体" w:hAnsi="宋体" w:cs="宋体"/>
          <w:color w:val="auto"/>
          <w:sz w:val="52"/>
          <w:highlight w:val="none"/>
        </w:rPr>
      </w:pPr>
    </w:p>
    <w:p>
      <w:pPr>
        <w:spacing w:line="360" w:lineRule="auto"/>
        <w:rPr>
          <w:rFonts w:ascii="宋体" w:hAnsi="宋体" w:cs="宋体"/>
          <w:color w:val="auto"/>
          <w:sz w:val="52"/>
          <w:highlight w:val="none"/>
        </w:rPr>
      </w:pPr>
    </w:p>
    <w:p>
      <w:pPr>
        <w:spacing w:line="360" w:lineRule="auto"/>
        <w:rPr>
          <w:rFonts w:ascii="宋体" w:hAnsi="宋体" w:cs="宋体"/>
          <w:color w:val="auto"/>
          <w:sz w:val="52"/>
          <w:highlight w:val="none"/>
        </w:rPr>
      </w:pPr>
    </w:p>
    <w:p>
      <w:pPr>
        <w:spacing w:line="360" w:lineRule="auto"/>
        <w:ind w:firstLine="900" w:firstLineChars="300"/>
        <w:rPr>
          <w:rFonts w:ascii="宋体" w:hAnsi="宋体" w:cs="宋体"/>
          <w:color w:val="auto"/>
          <w:sz w:val="30"/>
          <w:szCs w:val="30"/>
          <w:highlight w:val="none"/>
          <w:u w:val="single"/>
        </w:rPr>
      </w:pPr>
      <w:r>
        <w:rPr>
          <w:rFonts w:hint="eastAsia" w:ascii="宋体" w:hAnsi="宋体" w:cs="宋体"/>
          <w:color w:val="auto"/>
          <w:sz w:val="30"/>
          <w:szCs w:val="30"/>
          <w:highlight w:val="none"/>
        </w:rPr>
        <w:t>招  标 单 位：</w:t>
      </w:r>
      <w:r>
        <w:rPr>
          <w:rFonts w:hint="eastAsia" w:ascii="宋体" w:hAnsi="宋体" w:cs="宋体"/>
          <w:color w:val="auto"/>
          <w:sz w:val="30"/>
          <w:szCs w:val="30"/>
          <w:highlight w:val="none"/>
          <w:u w:val="single"/>
          <w:lang w:eastAsia="zh-CN"/>
        </w:rPr>
        <w:t>广州市增城区人民政府</w:t>
      </w:r>
      <w:bookmarkStart w:id="93" w:name="_GoBack"/>
      <w:bookmarkEnd w:id="93"/>
      <w:r>
        <w:rPr>
          <w:rFonts w:hint="eastAsia" w:ascii="宋体" w:hAnsi="宋体" w:cs="宋体"/>
          <w:color w:val="auto"/>
          <w:sz w:val="30"/>
          <w:szCs w:val="30"/>
          <w:highlight w:val="none"/>
          <w:u w:val="single"/>
          <w:lang w:eastAsia="zh-CN"/>
        </w:rPr>
        <w:t>增江街道办事处</w:t>
      </w:r>
    </w:p>
    <w:p>
      <w:pPr>
        <w:spacing w:line="360" w:lineRule="auto"/>
        <w:ind w:firstLine="945"/>
        <w:rPr>
          <w:rFonts w:ascii="宋体" w:hAnsi="宋体" w:cs="宋体"/>
          <w:color w:val="auto"/>
          <w:sz w:val="30"/>
          <w:szCs w:val="30"/>
          <w:highlight w:val="none"/>
          <w:u w:val="single"/>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u w:val="single"/>
          <w:lang w:eastAsia="zh-CN"/>
        </w:rPr>
        <w:t>广东新诚项目管理有限公司</w:t>
      </w:r>
    </w:p>
    <w:p>
      <w:pPr>
        <w:pStyle w:val="5"/>
        <w:ind w:firstLine="960" w:firstLineChars="300"/>
        <w:rPr>
          <w:rFonts w:ascii="宋体" w:hAnsi="宋体" w:cs="宋体"/>
          <w:color w:val="auto"/>
          <w:sz w:val="32"/>
          <w:highlight w:val="none"/>
        </w:rPr>
      </w:pPr>
      <w:r>
        <w:rPr>
          <w:rFonts w:hint="eastAsia" w:ascii="宋体" w:hAnsi="宋体" w:cs="宋体"/>
          <w:color w:val="auto"/>
          <w:sz w:val="32"/>
          <w:highlight w:val="none"/>
        </w:rPr>
        <w:t>日        期：</w:t>
      </w:r>
      <w:r>
        <w:rPr>
          <w:rFonts w:hint="eastAsia" w:ascii="宋体" w:hAnsi="宋体" w:cs="宋体"/>
          <w:color w:val="auto"/>
          <w:sz w:val="32"/>
          <w:highlight w:val="none"/>
          <w:u w:val="single"/>
        </w:rPr>
        <w:t xml:space="preserve"> 2025</w:t>
      </w:r>
      <w:r>
        <w:rPr>
          <w:rFonts w:hint="eastAsia" w:ascii="宋体" w:hAnsi="宋体" w:cs="宋体"/>
          <w:color w:val="auto"/>
          <w:sz w:val="32"/>
          <w:highlight w:val="none"/>
        </w:rPr>
        <w:t>年</w:t>
      </w:r>
      <w:r>
        <w:rPr>
          <w:rFonts w:hint="eastAsia" w:ascii="宋体" w:hAnsi="宋体" w:cs="宋体"/>
          <w:color w:val="auto"/>
          <w:sz w:val="32"/>
          <w:highlight w:val="none"/>
          <w:u w:val="single"/>
          <w:lang w:val="en-US" w:eastAsia="zh-CN"/>
        </w:rPr>
        <w:t>9月</w:t>
      </w:r>
    </w:p>
    <w:p>
      <w:pPr>
        <w:pStyle w:val="5"/>
        <w:rPr>
          <w:rFonts w:ascii="宋体" w:hAnsi="宋体" w:cs="宋体"/>
          <w:color w:val="auto"/>
          <w:sz w:val="32"/>
          <w:highlight w:val="none"/>
        </w:rPr>
      </w:pPr>
    </w:p>
    <w:p>
      <w:pPr>
        <w:jc w:val="center"/>
        <w:rPr>
          <w:color w:val="auto"/>
          <w:highlight w:val="none"/>
        </w:rPr>
      </w:pPr>
      <w:r>
        <w:rPr>
          <w:rFonts w:ascii="宋体" w:hAnsi="宋体"/>
          <w:b/>
          <w:bCs/>
          <w:color w:val="auto"/>
          <w:sz w:val="28"/>
          <w:szCs w:val="28"/>
          <w:highlight w:val="none"/>
        </w:rPr>
        <w:t>目录</w:t>
      </w:r>
    </w:p>
    <w:p>
      <w:pPr>
        <w:pStyle w:val="27"/>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TOC \o "1-3" \h \u </w:instrText>
      </w:r>
      <w:r>
        <w:rPr>
          <w:rFonts w:hint="eastAsia"/>
          <w:color w:val="auto"/>
          <w:highlight w:val="none"/>
        </w:rPr>
        <w:fldChar w:fldCharType="separate"/>
      </w:r>
      <w:r>
        <w:rPr>
          <w:color w:val="auto"/>
          <w:highlight w:val="none"/>
        </w:rPr>
        <w:fldChar w:fldCharType="begin"/>
      </w:r>
      <w:r>
        <w:rPr>
          <w:color w:val="auto"/>
          <w:highlight w:val="none"/>
        </w:rPr>
        <w:instrText xml:space="preserve"> HYPERLINK \l "_Toc31735" </w:instrText>
      </w:r>
      <w:r>
        <w:rPr>
          <w:color w:val="auto"/>
          <w:highlight w:val="none"/>
        </w:rPr>
        <w:fldChar w:fldCharType="separate"/>
      </w:r>
      <w:r>
        <w:rPr>
          <w:rFonts w:hint="eastAsia"/>
          <w:color w:val="auto"/>
          <w:highlight w:val="none"/>
        </w:rPr>
        <w:t>第一章</w:t>
      </w:r>
      <w:r>
        <w:rPr>
          <w:color w:val="auto"/>
          <w:highlight w:val="none"/>
        </w:rPr>
        <w:t xml:space="preserve">  </w:t>
      </w:r>
      <w:r>
        <w:rPr>
          <w:rFonts w:hint="eastAsia"/>
          <w:color w:val="auto"/>
          <w:highlight w:val="none"/>
        </w:rPr>
        <w:t>投标须知</w:t>
      </w:r>
      <w:r>
        <w:rPr>
          <w:color w:val="auto"/>
          <w:highlight w:val="none"/>
        </w:rPr>
        <w:tab/>
      </w:r>
      <w:r>
        <w:rPr>
          <w:color w:val="auto"/>
          <w:highlight w:val="none"/>
        </w:rPr>
        <w:fldChar w:fldCharType="begin"/>
      </w:r>
      <w:r>
        <w:rPr>
          <w:color w:val="auto"/>
          <w:highlight w:val="none"/>
        </w:rPr>
        <w:instrText xml:space="preserve"> PAGEREF _Toc31735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"_Toc7462" </w:instrText>
      </w:r>
      <w:r>
        <w:rPr>
          <w:color w:val="auto"/>
          <w:highlight w:val="none"/>
        </w:rPr>
        <w:fldChar w:fldCharType="separate"/>
      </w:r>
      <w:r>
        <w:rPr>
          <w:rFonts w:hint="eastAsia"/>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_Toc7462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"_Toc28760" </w:instrText>
      </w:r>
      <w:r>
        <w:rPr>
          <w:color w:val="auto"/>
          <w:highlight w:val="none"/>
        </w:rPr>
        <w:fldChar w:fldCharType="separate"/>
      </w:r>
      <w:r>
        <w:rPr>
          <w:rFonts w:hint="eastAsia"/>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_Toc28760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"_Toc19765" </w:instrText>
      </w:r>
      <w:r>
        <w:rPr>
          <w:color w:val="auto"/>
          <w:highlight w:val="none"/>
        </w:rPr>
        <w:fldChar w:fldCharType="separate"/>
      </w:r>
      <w:r>
        <w:rPr>
          <w:rFonts w:hint="eastAsia"/>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_Toc19765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9"/>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"_Toc821" </w:instrText>
      </w:r>
      <w:r>
        <w:rPr>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_Toc821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9"/>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"_Toc19361" </w:instrText>
      </w:r>
      <w:r>
        <w:rPr>
          <w:color w:val="auto"/>
          <w:highlight w:val="none"/>
        </w:rPr>
        <w:fldChar w:fldCharType="separate"/>
      </w:r>
      <w:r>
        <w:rPr>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_Toc19361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9"/>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"_Toc644" </w:instrText>
      </w:r>
      <w:r>
        <w:rPr>
          <w:color w:val="auto"/>
          <w:highlight w:val="none"/>
        </w:rPr>
        <w:fldChar w:fldCharType="separate"/>
      </w:r>
      <w:r>
        <w:rPr>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_Toc644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9"/>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"_Toc32530" </w:instrText>
      </w:r>
      <w:r>
        <w:rPr>
          <w:color w:val="auto"/>
          <w:highlight w:val="none"/>
        </w:rPr>
        <w:fldChar w:fldCharType="separate"/>
      </w:r>
      <w:r>
        <w:rPr>
          <w:rFonts w:hint="eastAsia"/>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_Toc32530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9"/>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"_Toc28853" </w:instrText>
      </w:r>
      <w:r>
        <w:rPr>
          <w:color w:val="auto"/>
          <w:highlight w:val="none"/>
        </w:rPr>
        <w:fldChar w:fldCharType="separate"/>
      </w:r>
      <w:r>
        <w:rPr>
          <w:rFonts w:hint="eastAsia"/>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_Toc28853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"_Toc17683" </w:instrText>
      </w:r>
      <w:r>
        <w:rPr>
          <w:color w:val="auto"/>
          <w:highlight w:val="none"/>
        </w:rPr>
        <w:fldChar w:fldCharType="separate"/>
      </w:r>
      <w:r>
        <w:rPr>
          <w:rFonts w:hint="eastAsia"/>
          <w:color w:val="auto"/>
          <w:highlight w:val="none"/>
        </w:rPr>
        <w:t>第二章</w:t>
      </w:r>
      <w:r>
        <w:rPr>
          <w:color w:val="auto"/>
          <w:highlight w:val="none"/>
        </w:rPr>
        <w:t xml:space="preserve">  </w:t>
      </w:r>
      <w:r>
        <w:rPr>
          <w:rFonts w:hint="eastAsia"/>
          <w:color w:val="auto"/>
          <w:highlight w:val="none"/>
        </w:rPr>
        <w:t>开标、评标及定标办法</w:t>
      </w:r>
      <w:r>
        <w:rPr>
          <w:color w:val="auto"/>
          <w:highlight w:val="none"/>
        </w:rPr>
        <w:tab/>
      </w:r>
      <w:r>
        <w:rPr>
          <w:color w:val="auto"/>
          <w:highlight w:val="none"/>
        </w:rPr>
        <w:fldChar w:fldCharType="begin"/>
      </w:r>
      <w:r>
        <w:rPr>
          <w:color w:val="auto"/>
          <w:highlight w:val="none"/>
        </w:rPr>
        <w:instrText xml:space="preserve"> PAGEREF _Toc17683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"_Toc28311" </w:instrText>
      </w:r>
      <w:r>
        <w:rPr>
          <w:color w:val="auto"/>
          <w:highlight w:val="none"/>
        </w:rPr>
        <w:fldChar w:fldCharType="separate"/>
      </w:r>
      <w:r>
        <w:rPr>
          <w:rFonts w:hint="eastAsia"/>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_Toc28311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"_Toc22241" </w:instrText>
      </w:r>
      <w:r>
        <w:rPr>
          <w:color w:val="auto"/>
          <w:highlight w:val="none"/>
        </w:rPr>
        <w:fldChar w:fldCharType="separate"/>
      </w:r>
      <w:r>
        <w:rPr>
          <w:rFonts w:hint="eastAsia"/>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_Toc22241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19"/>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"_Toc9587" </w:instrText>
      </w:r>
      <w:r>
        <w:rPr>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_Toc9587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19"/>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"_Toc16793" </w:instrText>
      </w:r>
      <w:r>
        <w:rPr>
          <w:color w:val="auto"/>
          <w:highlight w:val="none"/>
        </w:rPr>
        <w:fldChar w:fldCharType="separate"/>
      </w:r>
      <w:r>
        <w:rPr>
          <w:rFonts w:hint="eastAsia"/>
          <w:bCs/>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_Toc16793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"_Toc15112" </w:instrText>
      </w:r>
      <w:r>
        <w:rPr>
          <w:color w:val="auto"/>
          <w:highlight w:val="none"/>
        </w:rPr>
        <w:fldChar w:fldCharType="separate"/>
      </w:r>
      <w:r>
        <w:rPr>
          <w:rFonts w:hint="eastAsia"/>
          <w:color w:val="auto"/>
          <w:highlight w:val="none"/>
        </w:rPr>
        <w:t>第三章</w:t>
      </w:r>
      <w:r>
        <w:rPr>
          <w:color w:val="auto"/>
          <w:highlight w:val="none"/>
        </w:rPr>
        <w:t xml:space="preserve">  </w:t>
      </w:r>
      <w:r>
        <w:rPr>
          <w:rFonts w:hint="eastAsia"/>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_Toc15112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"_Toc29898" </w:instrText>
      </w:r>
      <w:r>
        <w:rPr>
          <w:color w:val="auto"/>
          <w:highlight w:val="none"/>
        </w:rPr>
        <w:fldChar w:fldCharType="separate"/>
      </w:r>
      <w:r>
        <w:rPr>
          <w:rFonts w:hint="eastAsia"/>
          <w:color w:val="auto"/>
          <w:highlight w:val="none"/>
        </w:rPr>
        <w:t>第四章</w:t>
      </w:r>
      <w:r>
        <w:rPr>
          <w:color w:val="auto"/>
          <w:highlight w:val="none"/>
        </w:rPr>
        <w:t xml:space="preserve">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_Toc29898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"_Toc26180" </w:instrText>
      </w:r>
      <w:r>
        <w:rPr>
          <w:color w:val="auto"/>
          <w:highlight w:val="none"/>
        </w:rPr>
        <w:fldChar w:fldCharType="separate"/>
      </w:r>
      <w:r>
        <w:rPr>
          <w:rFonts w:hint="eastAsia"/>
          <w:color w:val="auto"/>
          <w:highlight w:val="none"/>
        </w:rPr>
        <w:t>第五章</w:t>
      </w:r>
      <w:r>
        <w:rPr>
          <w:color w:val="auto"/>
          <w:highlight w:val="none"/>
        </w:rPr>
        <w:t xml:space="preserve">  </w:t>
      </w:r>
      <w:r>
        <w:rPr>
          <w:rFonts w:hint="eastAsia"/>
          <w:color w:val="auto"/>
          <w:highlight w:val="none"/>
        </w:rPr>
        <w:t>技术条件（工程建设标准）</w:t>
      </w:r>
      <w:r>
        <w:rPr>
          <w:color w:val="auto"/>
          <w:highlight w:val="none"/>
        </w:rPr>
        <w:tab/>
      </w:r>
      <w:r>
        <w:rPr>
          <w:color w:val="auto"/>
          <w:highlight w:val="none"/>
        </w:rPr>
        <w:fldChar w:fldCharType="begin"/>
      </w:r>
      <w:r>
        <w:rPr>
          <w:color w:val="auto"/>
          <w:highlight w:val="none"/>
        </w:rPr>
        <w:instrText xml:space="preserve"> PAGEREF _Toc26180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"_Toc17091" </w:instrText>
      </w:r>
      <w:r>
        <w:rPr>
          <w:color w:val="auto"/>
          <w:highlight w:val="none"/>
        </w:rPr>
        <w:fldChar w:fldCharType="separate"/>
      </w:r>
      <w:r>
        <w:rPr>
          <w:rFonts w:hint="eastAsia"/>
          <w:color w:val="auto"/>
          <w:highlight w:val="none"/>
        </w:rPr>
        <w:t>第六章</w:t>
      </w:r>
      <w:r>
        <w:rPr>
          <w:color w:val="auto"/>
          <w:highlight w:val="none"/>
        </w:rPr>
        <w:t xml:space="preserve">  </w:t>
      </w:r>
      <w:r>
        <w:rPr>
          <w:rFonts w:hint="eastAsia"/>
          <w:color w:val="auto"/>
          <w:highlight w:val="none"/>
        </w:rPr>
        <w:t>图纸及勘察资料</w:t>
      </w:r>
      <w:r>
        <w:rPr>
          <w:color w:val="auto"/>
          <w:highlight w:val="none"/>
        </w:rPr>
        <w:tab/>
      </w:r>
      <w:r>
        <w:rPr>
          <w:color w:val="auto"/>
          <w:highlight w:val="none"/>
        </w:rPr>
        <w:fldChar w:fldCharType="begin"/>
      </w:r>
      <w:r>
        <w:rPr>
          <w:color w:val="auto"/>
          <w:highlight w:val="none"/>
        </w:rPr>
        <w:instrText xml:space="preserve"> PAGEREF _Toc17091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"_Toc13042" </w:instrText>
      </w:r>
      <w:r>
        <w:rPr>
          <w:color w:val="auto"/>
          <w:highlight w:val="none"/>
        </w:rPr>
        <w:fldChar w:fldCharType="separate"/>
      </w:r>
      <w:r>
        <w:rPr>
          <w:rFonts w:hint="eastAsia"/>
          <w:color w:val="auto"/>
          <w:highlight w:val="none"/>
        </w:rPr>
        <w:t>第七章</w:t>
      </w:r>
      <w:r>
        <w:rPr>
          <w:color w:val="auto"/>
          <w:highlight w:val="none"/>
        </w:rPr>
        <w:t xml:space="preserve">  </w:t>
      </w:r>
      <w:r>
        <w:rPr>
          <w:rFonts w:hint="eastAsia"/>
          <w:color w:val="auto"/>
          <w:highlight w:val="none"/>
        </w:rPr>
        <w:t>工程量清单</w:t>
      </w:r>
      <w:r>
        <w:rPr>
          <w:color w:val="auto"/>
          <w:highlight w:val="none"/>
        </w:rPr>
        <w:tab/>
      </w:r>
      <w:r>
        <w:rPr>
          <w:color w:val="auto"/>
          <w:highlight w:val="none"/>
        </w:rPr>
        <w:fldChar w:fldCharType="begin"/>
      </w:r>
      <w:r>
        <w:rPr>
          <w:color w:val="auto"/>
          <w:highlight w:val="none"/>
        </w:rPr>
        <w:instrText xml:space="preserve"> PAGEREF _Toc13042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"_Toc18445" </w:instrText>
      </w:r>
      <w:r>
        <w:rPr>
          <w:color w:val="auto"/>
          <w:highlight w:val="none"/>
        </w:rPr>
        <w:fldChar w:fldCharType="separate"/>
      </w:r>
      <w:r>
        <w:rPr>
          <w:rFonts w:hint="eastAsia"/>
          <w:color w:val="auto"/>
          <w:highlight w:val="none"/>
        </w:rPr>
        <w:t>第八章</w:t>
      </w:r>
      <w:r>
        <w:rPr>
          <w:color w:val="auto"/>
          <w:highlight w:val="none"/>
        </w:rPr>
        <w:t xml:space="preserve">  </w:t>
      </w:r>
      <w:r>
        <w:rPr>
          <w:rFonts w:hint="eastAsia"/>
          <w:color w:val="auto"/>
          <w:highlight w:val="none"/>
        </w:rPr>
        <w:t>最高投标限价</w:t>
      </w:r>
      <w:r>
        <w:rPr>
          <w:color w:val="auto"/>
          <w:highlight w:val="none"/>
        </w:rPr>
        <w:tab/>
      </w:r>
      <w:r>
        <w:rPr>
          <w:color w:val="auto"/>
          <w:highlight w:val="none"/>
        </w:rPr>
        <w:fldChar w:fldCharType="begin"/>
      </w:r>
      <w:r>
        <w:rPr>
          <w:color w:val="auto"/>
          <w:highlight w:val="none"/>
        </w:rPr>
        <w:instrText xml:space="preserve"> PAGEREF _Toc18445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pPr>
        <w:pStyle w:val="3"/>
        <w:rPr>
          <w:color w:val="auto"/>
          <w:highlight w:val="none"/>
        </w:rPr>
      </w:pPr>
      <w:r>
        <w:rPr>
          <w:rFonts w:hint="eastAsia"/>
          <w:color w:val="auto"/>
          <w:highlight w:val="none"/>
        </w:rPr>
        <w:fldChar w:fldCharType="end"/>
      </w:r>
    </w:p>
    <w:p>
      <w:pPr>
        <w:pStyle w:val="3"/>
        <w:rPr>
          <w:color w:val="auto"/>
          <w:highlight w:val="none"/>
        </w:rPr>
      </w:pPr>
      <w:bookmarkStart w:id="2" w:name="_Toc31735"/>
      <w:bookmarkStart w:id="3" w:name="_Toc20110"/>
    </w:p>
    <w:p>
      <w:pPr>
        <w:pStyle w:val="5"/>
        <w:rPr>
          <w:color w:val="auto"/>
          <w:highlight w:val="none"/>
        </w:rPr>
      </w:pPr>
    </w:p>
    <w:p>
      <w:pPr>
        <w:pStyle w:val="5"/>
        <w:rPr>
          <w:color w:val="auto"/>
          <w:highlight w:val="none"/>
        </w:rPr>
      </w:pPr>
    </w:p>
    <w:p>
      <w:pPr>
        <w:pStyle w:val="5"/>
        <w:rPr>
          <w:color w:val="auto"/>
          <w:highlight w:val="none"/>
        </w:rPr>
      </w:pPr>
    </w:p>
    <w:p>
      <w:pPr>
        <w:pStyle w:val="3"/>
        <w:rPr>
          <w:color w:val="auto"/>
          <w:highlight w:val="none"/>
        </w:rPr>
      </w:pPr>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bookmarkEnd w:id="2"/>
      <w:bookmarkEnd w:id="3"/>
    </w:p>
    <w:p>
      <w:pPr>
        <w:pStyle w:val="7"/>
        <w:rPr>
          <w:color w:val="auto"/>
          <w:highlight w:val="none"/>
        </w:rPr>
      </w:pPr>
      <w:bookmarkStart w:id="4" w:name="_Toc7462"/>
      <w:bookmarkStart w:id="5" w:name="_Toc21525490"/>
      <w:bookmarkStart w:id="6" w:name="_Toc2272546"/>
      <w:bookmarkStart w:id="7" w:name="_Toc28976"/>
      <w:r>
        <w:rPr>
          <w:rFonts w:hint="eastAsia"/>
          <w:color w:val="auto"/>
          <w:highlight w:val="none"/>
        </w:rPr>
        <w:t>一、投标须知前附表</w:t>
      </w:r>
      <w:bookmarkEnd w:id="4"/>
      <w:bookmarkEnd w:id="5"/>
      <w:bookmarkEnd w:id="6"/>
      <w:bookmarkEnd w:id="7"/>
    </w:p>
    <w:p>
      <w:pPr>
        <w:pStyle w:val="2"/>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JTZB2025-3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733"/>
        <w:gridCol w:w="59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733"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934" w:type="dxa"/>
            <w:tcBorders>
              <w:top w:val="double" w:color="auto" w:sz="4" w:space="0"/>
              <w:left w:val="single" w:color="auto" w:sz="4" w:space="0"/>
              <w:bottom w:val="single" w:color="auto" w:sz="4" w:space="0"/>
              <w:right w:val="double" w:color="auto" w:sz="4" w:space="0"/>
            </w:tcBorders>
            <w:vAlign w:val="center"/>
          </w:tcPr>
          <w:p>
            <w:pPr>
              <w:pStyle w:val="21"/>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招标人（即发包人）：</w:t>
            </w:r>
            <w:r>
              <w:rPr>
                <w:rFonts w:hint="eastAsia" w:ascii="宋体" w:hAnsi="宋体" w:cs="宋体"/>
                <w:color w:val="auto"/>
                <w:kern w:val="0"/>
                <w:szCs w:val="21"/>
                <w:highlight w:val="none"/>
                <w:u w:val="single"/>
                <w:lang w:eastAsia="zh-CN"/>
              </w:rPr>
              <w:t>广州市增城区人民政府增江街道办事处</w:t>
            </w:r>
          </w:p>
          <w:p>
            <w:pPr>
              <w:rPr>
                <w:rFonts w:ascii="宋体" w:hAnsi="宋体"/>
                <w:color w:val="auto"/>
                <w:szCs w:val="21"/>
                <w:highlight w:val="none"/>
                <w:u w:val="single"/>
              </w:rPr>
            </w:pPr>
            <w:r>
              <w:rPr>
                <w:rFonts w:hint="eastAsia" w:ascii="宋体" w:hAnsi="宋体"/>
                <w:color w:val="auto"/>
                <w:szCs w:val="21"/>
                <w:highlight w:val="none"/>
              </w:rPr>
              <w:t>项目建设管理单位：</w:t>
            </w:r>
            <w:r>
              <w:rPr>
                <w:rFonts w:hint="eastAsia" w:ascii="宋体" w:hAnsi="宋体" w:cs="宋体"/>
                <w:color w:val="auto"/>
                <w:szCs w:val="21"/>
                <w:highlight w:val="none"/>
                <w:u w:val="single"/>
              </w:rPr>
              <w:t xml:space="preserve">      /        </w:t>
            </w:r>
          </w:p>
          <w:p>
            <w:pPr>
              <w:pStyle w:val="20"/>
              <w:rPr>
                <w:color w:val="auto"/>
                <w:highlight w:val="none"/>
                <w:u w:val="single"/>
              </w:rPr>
            </w:pPr>
            <w:r>
              <w:rPr>
                <w:rFonts w:hint="eastAsia"/>
                <w:color w:val="auto"/>
                <w:highlight w:val="none"/>
              </w:rPr>
              <w:t>项目代建单位：</w:t>
            </w:r>
            <w:r>
              <w:rPr>
                <w:rFonts w:hint="eastAsia" w:hAnsi="宋体" w:cs="宋体"/>
                <w:color w:val="auto"/>
                <w:szCs w:val="21"/>
                <w:highlight w:val="none"/>
                <w:u w:val="single"/>
              </w:rPr>
              <w:t xml:space="preserve">      /        </w:t>
            </w:r>
          </w:p>
          <w:p>
            <w:pPr>
              <w:rPr>
                <w:rFonts w:ascii="宋体" w:hAnsi="宋体" w:cs="宋体"/>
                <w:color w:val="auto"/>
                <w:kern w:val="0"/>
                <w:szCs w:val="21"/>
                <w:highlight w:val="none"/>
                <w:u w:val="single"/>
              </w:rPr>
            </w:pPr>
            <w:r>
              <w:rPr>
                <w:rFonts w:hint="eastAsia" w:ascii="宋体" w:hAnsi="宋体" w:cs="宋体"/>
                <w:color w:val="auto"/>
                <w:szCs w:val="21"/>
                <w:highlight w:val="none"/>
              </w:rPr>
              <w:t>招标代理：</w:t>
            </w:r>
            <w:r>
              <w:rPr>
                <w:rFonts w:hint="eastAsia" w:ascii="宋体" w:hAnsi="宋体" w:cs="宋体"/>
                <w:color w:val="auto"/>
                <w:kern w:val="0"/>
                <w:szCs w:val="21"/>
                <w:highlight w:val="none"/>
                <w:u w:val="single"/>
                <w:lang w:eastAsia="zh-CN"/>
              </w:rPr>
              <w:t>广东新诚项目管理有限公司</w:t>
            </w:r>
          </w:p>
          <w:p>
            <w:pPr>
              <w:rPr>
                <w:rFonts w:ascii="宋体" w:hAnsi="宋体" w:cs="宋体"/>
                <w:color w:val="auto"/>
                <w:szCs w:val="21"/>
                <w:highlight w:val="none"/>
                <w:u w:val="single"/>
              </w:rPr>
            </w:pPr>
            <w:r>
              <w:rPr>
                <w:rFonts w:hint="eastAsia" w:ascii="宋体" w:hAnsi="宋体" w:cs="宋体"/>
                <w:color w:val="auto"/>
                <w:szCs w:val="21"/>
                <w:highlight w:val="none"/>
              </w:rPr>
              <w:t>设计单位：</w:t>
            </w:r>
            <w:r>
              <w:rPr>
                <w:rFonts w:hint="eastAsia" w:ascii="宋体" w:hAnsi="宋体" w:cs="宋体"/>
                <w:color w:val="auto"/>
                <w:szCs w:val="21"/>
                <w:highlight w:val="none"/>
                <w:u w:val="single"/>
              </w:rPr>
              <w:t>安徽瑞成土木工程设计咨询有限公司</w:t>
            </w:r>
          </w:p>
          <w:p>
            <w:pPr>
              <w:rPr>
                <w:rFonts w:ascii="宋体" w:hAnsi="宋体" w:cs="宋体"/>
                <w:color w:val="auto"/>
                <w:szCs w:val="21"/>
                <w:highlight w:val="none"/>
                <w:u w:val="single"/>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rPr>
              <w:t xml:space="preserve">           </w:t>
            </w:r>
            <w:bookmarkStart w:id="8" w:name="OLE_LINK18"/>
            <w:r>
              <w:rPr>
                <w:rFonts w:hint="eastAsia" w:ascii="宋体" w:hAnsi="宋体" w:cs="宋体"/>
                <w:color w:val="auto"/>
                <w:szCs w:val="21"/>
                <w:highlight w:val="none"/>
                <w:u w:val="single"/>
              </w:rPr>
              <w:t>/</w:t>
            </w:r>
            <w:bookmarkEnd w:id="8"/>
            <w:r>
              <w:rPr>
                <w:rFonts w:hint="eastAsia" w:ascii="宋体" w:hAnsi="宋体" w:cs="宋体"/>
                <w:color w:val="auto"/>
                <w:szCs w:val="21"/>
                <w:highlight w:val="none"/>
                <w:u w:val="single"/>
              </w:rPr>
              <w:t xml:space="preserve">            </w:t>
            </w:r>
          </w:p>
          <w:p>
            <w:pPr>
              <w:rPr>
                <w:rFonts w:ascii="宋体" w:hAnsi="宋体"/>
                <w:color w:val="auto"/>
                <w:szCs w:val="21"/>
                <w:highlight w:val="none"/>
              </w:rPr>
            </w:pPr>
            <w:r>
              <w:rPr>
                <w:rFonts w:hint="eastAsia" w:ascii="宋体" w:hAnsi="宋体" w:cs="宋体"/>
                <w:color w:val="auto"/>
                <w:szCs w:val="21"/>
                <w:highlight w:val="none"/>
              </w:rPr>
              <w:t>检测机构：</w:t>
            </w:r>
            <w:r>
              <w:rPr>
                <w:rFonts w:hint="eastAsia" w:ascii="宋体" w:hAnsi="宋体" w:cs="宋体"/>
                <w:color w:val="auto"/>
                <w:szCs w:val="21"/>
                <w:highlight w:val="none"/>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名称</w:t>
            </w:r>
          </w:p>
        </w:tc>
        <w:tc>
          <w:tcPr>
            <w:tcW w:w="5934"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r>
              <w:rPr>
                <w:rFonts w:hint="eastAsia"/>
                <w:color w:val="auto"/>
                <w:highlight w:val="none"/>
              </w:rPr>
              <w:t>工程名称：</w:t>
            </w:r>
            <w:r>
              <w:rPr>
                <w:rFonts w:hint="eastAsia" w:ascii="宋体" w:hAnsi="宋体" w:cs="宋体"/>
                <w:color w:val="auto"/>
                <w:szCs w:val="21"/>
                <w:highlight w:val="none"/>
                <w:u w:val="single"/>
                <w:lang w:eastAsia="zh-CN"/>
              </w:rPr>
              <w:t>增江街丰美路建设工程</w:t>
            </w:r>
          </w:p>
          <w:p>
            <w:pPr>
              <w:pStyle w:val="20"/>
              <w:rPr>
                <w:color w:val="auto"/>
                <w:highlight w:val="none"/>
                <w:u w:val="single"/>
              </w:rPr>
            </w:pPr>
            <w:r>
              <w:rPr>
                <w:rFonts w:hint="eastAsia" w:hAnsi="宋体"/>
                <w:color w:val="auto"/>
                <w:szCs w:val="21"/>
                <w:highlight w:val="none"/>
              </w:rPr>
              <w:t>招标项目名称：</w:t>
            </w:r>
            <w:r>
              <w:rPr>
                <w:rFonts w:hint="eastAsia" w:ascii="宋体" w:hAnsi="宋体" w:cs="宋体"/>
                <w:color w:val="auto"/>
                <w:szCs w:val="21"/>
                <w:highlight w:val="none"/>
                <w:u w:val="single"/>
                <w:lang w:eastAsia="zh-CN"/>
              </w:rPr>
              <w:t>增江街丰美路建设工程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广州市增城区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bookmarkStart w:id="9" w:name="OLE_LINK15"/>
            <w:r>
              <w:rPr>
                <w:rFonts w:hint="eastAsia" w:ascii="宋体" w:hAnsi="宋体" w:cs="宋体"/>
                <w:color w:val="auto"/>
                <w:szCs w:val="21"/>
                <w:highlight w:val="none"/>
                <w:u w:val="single"/>
              </w:rPr>
              <w:t>详见本工程招标公告。</w:t>
            </w:r>
            <w:bookmarkEnd w:id="9"/>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bookmarkStart w:id="10" w:name="OLE_LINK19"/>
            <w:r>
              <w:rPr>
                <w:rFonts w:hint="eastAsia" w:ascii="宋体" w:hAnsi="宋体" w:cs="宋体"/>
                <w:color w:val="auto"/>
                <w:szCs w:val="21"/>
                <w:highlight w:val="none"/>
              </w:rPr>
              <w:t>包工、包料、包工期、包质量、包安全、包文明施工。综合单价包干、项目措施费包干。</w:t>
            </w:r>
            <w:bookmarkEnd w:id="10"/>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bookmarkStart w:id="11" w:name="OLE_LINK20"/>
            <w:r>
              <w:rPr>
                <w:rFonts w:hint="eastAsia" w:ascii="宋体" w:hAnsi="宋体" w:cs="宋体"/>
                <w:color w:val="auto"/>
                <w:szCs w:val="21"/>
                <w:highlight w:val="none"/>
                <w:u w:val="single"/>
              </w:rPr>
              <w:t>执行国家、地方或行业现行的工程建设质量验收标准及规范，须达到合格标准。</w:t>
            </w:r>
            <w:bookmarkEnd w:id="11"/>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color w:val="auto"/>
                <w:szCs w:val="21"/>
                <w:highlight w:val="none"/>
                <w:u w:val="single"/>
              </w:rPr>
              <w:t>投标人按招标人提供的招标文件、工程量清单、招标答疑文件、全套施工图设计、设计说明及补充说明（具体以招标人所发施工图纸为准）。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日计划开工，施工总期：</w:t>
            </w:r>
            <w:r>
              <w:rPr>
                <w:rFonts w:hint="eastAsia" w:ascii="宋体" w:hAnsi="宋体"/>
                <w:color w:val="auto"/>
                <w:szCs w:val="21"/>
                <w:highlight w:val="none"/>
                <w:u w:val="single"/>
                <w:lang w:val="en-US" w:eastAsia="zh-CN"/>
              </w:rPr>
              <w:t>270</w:t>
            </w:r>
            <w:r>
              <w:rPr>
                <w:rFonts w:hint="eastAsia" w:ascii="宋体" w:hAnsi="宋体"/>
                <w:color w:val="auto"/>
                <w:szCs w:val="21"/>
                <w:highlight w:val="none"/>
              </w:rPr>
              <w:t>日历天。</w:t>
            </w:r>
          </w:p>
          <w:p>
            <w:pPr>
              <w:rPr>
                <w:rFonts w:ascii="宋体" w:hAnsi="宋体"/>
                <w:color w:val="auto"/>
                <w:szCs w:val="21"/>
                <w:highlight w:val="none"/>
              </w:rPr>
            </w:pPr>
            <w:r>
              <w:rPr>
                <w:rFonts w:hint="eastAsia" w:ascii="宋体" w:hAnsi="宋体" w:cs="宋体"/>
                <w:color w:val="auto"/>
                <w:szCs w:val="21"/>
                <w:highlight w:val="none"/>
                <w:u w:val="single"/>
              </w:rPr>
              <w:t>具体开工时间以招标人书面通知为准。</w:t>
            </w:r>
            <w:r>
              <w:rPr>
                <w:rFonts w:ascii="宋体" w:hAnsi="宋体"/>
                <w:color w:val="auto"/>
                <w:szCs w:val="21"/>
                <w:highlight w:val="none"/>
                <w:u w:val="single"/>
              </w:rPr>
              <w:t xml:space="preserve">                     </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bookmarkStart w:id="12" w:name="OLE_LINK21"/>
            <w:r>
              <w:rPr>
                <w:rFonts w:hint="eastAsia" w:ascii="宋体" w:hAnsi="宋体" w:cs="宋体"/>
                <w:color w:val="auto"/>
                <w:szCs w:val="21"/>
                <w:highlight w:val="none"/>
                <w:u w:val="single"/>
              </w:rPr>
              <w:t>财政资金。</w:t>
            </w:r>
            <w:bookmarkEnd w:id="12"/>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4.2</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踏勘现场及投标费用</w:t>
            </w:r>
          </w:p>
        </w:tc>
        <w:tc>
          <w:tcPr>
            <w:tcW w:w="5934" w:type="dxa"/>
            <w:tcBorders>
              <w:top w:val="single" w:color="auto" w:sz="4" w:space="0"/>
              <w:left w:val="single" w:color="auto" w:sz="4" w:space="0"/>
              <w:bottom w:val="single" w:color="auto" w:sz="4" w:space="0"/>
              <w:right w:val="double" w:color="auto" w:sz="4" w:space="0"/>
            </w:tcBorders>
            <w:vAlign w:val="center"/>
          </w:tcPr>
          <w:p>
            <w:pPr>
              <w:pStyle w:val="21"/>
              <w:rPr>
                <w:rFonts w:ascii="宋体" w:hAnsi="宋体"/>
                <w:color w:val="auto"/>
                <w:szCs w:val="21"/>
                <w:highlight w:val="none"/>
              </w:rPr>
            </w:pPr>
            <w:r>
              <w:rPr>
                <w:rFonts w:hint="eastAsia" w:ascii="宋体" w:hAnsi="宋体"/>
                <w:color w:val="auto"/>
                <w:highlight w:val="none"/>
              </w:rPr>
              <w:t>招标人不集中组织，由投标人自行踏勘；自_____年___月___日起具备现场踏勘条件；现场详细地点：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时前；</w:t>
            </w:r>
          </w:p>
          <w:p>
            <w:pPr>
              <w:rPr>
                <w:rFonts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交易平台提交。</w:t>
            </w:r>
          </w:p>
          <w:p>
            <w:pPr>
              <w:rPr>
                <w:rFonts w:ascii="宋体" w:hAnsi="宋体"/>
                <w:color w:val="auto"/>
                <w:highlight w:val="none"/>
              </w:rPr>
            </w:pPr>
            <w:r>
              <w:rPr>
                <w:rFonts w:hint="eastAsia" w:ascii="宋体" w:hAnsi="宋体"/>
                <w:color w:val="auto"/>
                <w:szCs w:val="21"/>
                <w:highlight w:val="none"/>
              </w:rPr>
              <w:t>具体要求：按照交易平台关于全流程电子化项目的相关指南进行操作，详见：</w:t>
            </w:r>
            <w:r>
              <w:rPr>
                <w:rFonts w:hint="eastAsia"/>
                <w:color w:val="auto"/>
                <w:highlight w:val="none"/>
                <w:u w:val="single"/>
              </w:rPr>
              <w:t>广州交易集团有限公司（广州公共资源交易中心）网站</w:t>
            </w:r>
            <w:r>
              <w:rPr>
                <w:rFonts w:hint="eastAsia" w:ascii="宋体" w:hAnsi="宋体" w:cs="宋体"/>
                <w:color w:val="auto"/>
                <w:szCs w:val="21"/>
                <w:highlight w:val="none"/>
                <w:u w:val="single"/>
              </w:rPr>
              <w:t>。</w:t>
            </w:r>
            <w:r>
              <w:rPr>
                <w:rFonts w:hint="eastAsia" w:ascii="宋体" w:hAnsi="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bookmarkStart w:id="13" w:name="EBdfd7e3fe86a241738f1c1d356c309534"/>
            <w:r>
              <w:rPr>
                <w:rFonts w:hint="eastAsia" w:ascii="宋体" w:hAnsi="宋体" w:cs="宋体"/>
                <w:color w:val="auto"/>
                <w:szCs w:val="21"/>
                <w:highlight w:val="none"/>
                <w:u w:val="single"/>
              </w:rPr>
              <w:t>工程量清单计价，按国家、省有关计价规范执行。</w:t>
            </w:r>
            <w:bookmarkEnd w:id="13"/>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hint="eastAsia" w:ascii="宋体" w:hAnsi="宋体"/>
                <w:color w:val="auto"/>
                <w:szCs w:val="21"/>
                <w:highlight w:val="none"/>
              </w:rPr>
              <w:t>日历天。（从投标截止之日计起）</w:t>
            </w:r>
            <w:r>
              <w:rPr>
                <w:rFonts w:hint="eastAsia" w:ascii="宋体" w:hAnsi="宋体" w:cs="宋体"/>
                <w:color w:val="auto"/>
                <w:szCs w:val="21"/>
                <w:highlight w:val="none"/>
                <w:u w:val="single"/>
              </w:rPr>
              <w:t>如投标有效期内发生异议或投诉的，则投标有效期自动延长至异议或投诉处理结束后90日历天。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934" w:type="dxa"/>
            <w:tcBorders>
              <w:top w:val="single" w:color="auto" w:sz="4" w:space="0"/>
              <w:left w:val="single" w:color="auto" w:sz="4" w:space="0"/>
              <w:bottom w:val="single" w:color="auto" w:sz="4" w:space="0"/>
              <w:right w:val="double" w:color="auto" w:sz="4" w:space="0"/>
            </w:tcBorders>
            <w:vAlign w:val="center"/>
          </w:tcPr>
          <w:p>
            <w:pPr>
              <w:pStyle w:val="20"/>
              <w:rPr>
                <w:color w:val="auto"/>
                <w:highlight w:val="none"/>
              </w:rPr>
            </w:pPr>
            <w:r>
              <w:rPr>
                <w:rFonts w:hint="eastAsia"/>
                <w:color w:val="auto"/>
                <w:highlight w:val="none"/>
              </w:rPr>
              <w:t>方式一：本项目不收投标保证金。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934"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rPr>
              <w:t>（技术标和经济标同时开标）</w:t>
            </w:r>
          </w:p>
          <w:p>
            <w:pPr>
              <w:widowControl/>
              <w:numPr>
                <w:ilvl w:val="0"/>
                <w:numId w:val="3"/>
              </w:numPr>
              <w:jc w:val="left"/>
              <w:rPr>
                <w:rFonts w:ascii="宋体" w:hAnsi="宋体" w:cs="宋体"/>
                <w:color w:val="auto"/>
                <w:kern w:val="0"/>
                <w:szCs w:val="21"/>
                <w:highlight w:val="none"/>
              </w:rPr>
            </w:pPr>
            <w:r>
              <w:rPr>
                <w:rFonts w:hint="eastAsia" w:ascii="宋体" w:hAnsi="宋体" w:cs="宋体"/>
                <w:bCs/>
                <w:color w:val="auto"/>
                <w:kern w:val="0"/>
                <w:szCs w:val="21"/>
                <w:highlight w:val="none"/>
              </w:rPr>
              <w:t>开标开始时间：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分（与投标截止时间为同一时间），地点：</w:t>
            </w:r>
            <w:r>
              <w:rPr>
                <w:rFonts w:hint="eastAsia" w:ascii="宋体" w:hAnsi="宋体" w:cs="宋体"/>
                <w:color w:val="auto"/>
                <w:szCs w:val="21"/>
                <w:highlight w:val="none"/>
                <w:u w:val="single"/>
              </w:rPr>
              <w:t>广州交易集团有限公司（广州公共资源交易中心）第   开标室</w:t>
            </w:r>
            <w:r>
              <w:rPr>
                <w:rFonts w:hint="eastAsia" w:ascii="宋体" w:hAnsi="宋体" w:cs="宋体"/>
                <w:bCs/>
                <w:color w:val="auto"/>
                <w:kern w:val="0"/>
                <w:szCs w:val="21"/>
                <w:highlight w:val="none"/>
              </w:rPr>
              <w:t>。</w:t>
            </w:r>
            <w:r>
              <w:rPr>
                <w:rFonts w:hint="eastAsia" w:ascii="宋体" w:hAnsi="宋体" w:cs="宋体"/>
                <w:color w:val="auto"/>
                <w:kern w:val="0"/>
                <w:szCs w:val="21"/>
                <w:highlight w:val="none"/>
              </w:rPr>
              <w:t>投标人也可选择参加在线开标，具体按照交易平台相关指南进行操作。详见：</w:t>
            </w:r>
            <w:r>
              <w:rPr>
                <w:rFonts w:hint="eastAsia"/>
                <w:color w:val="auto"/>
                <w:highlight w:val="none"/>
                <w:u w:val="single"/>
              </w:rPr>
              <w:t>广州交易集团有限公司（广州公共资源交易中心）网站</w:t>
            </w:r>
            <w:r>
              <w:rPr>
                <w:rFonts w:hint="eastAsia" w:ascii="宋体" w:hAnsi="宋体" w:cs="宋体"/>
                <w:color w:val="auto"/>
                <w:szCs w:val="21"/>
                <w:highlight w:val="none"/>
                <w:u w:val="single"/>
              </w:rPr>
              <w:t>。</w:t>
            </w:r>
          </w:p>
          <w:p>
            <w:pPr>
              <w:pStyle w:val="2"/>
              <w:rPr>
                <w:color w:val="auto"/>
                <w:highlight w:val="none"/>
              </w:rPr>
            </w:pPr>
          </w:p>
          <w:p>
            <w:pPr>
              <w:widowControl/>
              <w:jc w:val="left"/>
              <w:rPr>
                <w:rFonts w:ascii="宋体" w:hAnsi="宋体" w:cs="宋体"/>
                <w:bCs/>
                <w:color w:val="auto"/>
                <w:kern w:val="0"/>
                <w:szCs w:val="21"/>
                <w:highlight w:val="none"/>
              </w:rPr>
            </w:pPr>
            <w:r>
              <w:rPr>
                <w:rFonts w:hint="eastAsia"/>
                <w:color w:val="auto"/>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934"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color w:val="auto"/>
                <w:szCs w:val="21"/>
                <w:highlight w:val="none"/>
              </w:rPr>
            </w:pPr>
            <w:r>
              <w:rPr>
                <w:rFonts w:hint="eastAsia" w:ascii="宋体" w:hAnsi="宋体"/>
                <w:color w:val="auto"/>
                <w:szCs w:val="21"/>
                <w:highlight w:val="none"/>
              </w:rPr>
              <w:t>方式一：选取方法</w:t>
            </w:r>
            <w:r>
              <w:rPr>
                <w:rFonts w:hint="eastAsia" w:ascii="宋体" w:hAnsi="宋体" w:cs="宋体"/>
                <w:color w:val="auto"/>
                <w:szCs w:val="21"/>
                <w:highlight w:val="none"/>
                <w:u w:val="single"/>
              </w:rPr>
              <w:t>办法七（适合综合评分法四，技术标与经济标同时开启）</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27</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定标</w:t>
            </w:r>
          </w:p>
        </w:tc>
        <w:tc>
          <w:tcPr>
            <w:tcW w:w="5934"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color w:val="auto"/>
                <w:szCs w:val="21"/>
                <w:highlight w:val="none"/>
              </w:rPr>
            </w:pPr>
            <w:r>
              <w:rPr>
                <w:rFonts w:hint="eastAsia" w:ascii="宋体" w:hAnsi="宋体"/>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934"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r>
              <w:rPr>
                <w:rFonts w:hint="eastAsia"/>
                <w:color w:val="auto"/>
                <w:highlight w:val="none"/>
              </w:rPr>
              <w:t>是否要求投标人提交履约担保：</w:t>
            </w:r>
          </w:p>
          <w:p>
            <w:pPr>
              <w:pStyle w:val="20"/>
              <w:rPr>
                <w:color w:val="auto"/>
                <w:highlight w:val="none"/>
              </w:rPr>
            </w:pPr>
            <w:r>
              <w:rPr>
                <w:rFonts w:hint="eastAsia"/>
                <w:color w:val="auto"/>
                <w:highlight w:val="none"/>
              </w:rPr>
              <w:t>□不要求</w:t>
            </w:r>
          </w:p>
          <w:p>
            <w:pPr>
              <w:pStyle w:val="20"/>
              <w:rPr>
                <w:color w:val="auto"/>
                <w:highlight w:val="none"/>
              </w:rPr>
            </w:pPr>
            <w:r>
              <w:rPr>
                <w:rFonts w:hint="eastAsia"/>
                <w:color w:val="auto"/>
                <w:highlight w:val="none"/>
              </w:rPr>
              <w:t>☑要求：</w:t>
            </w:r>
          </w:p>
          <w:p>
            <w:pPr>
              <w:pStyle w:val="20"/>
              <w:rPr>
                <w:color w:val="auto"/>
                <w:highlight w:val="none"/>
                <w:u w:val="single"/>
              </w:rPr>
            </w:pPr>
            <w:r>
              <w:rPr>
                <w:rFonts w:hint="eastAsia"/>
                <w:color w:val="auto"/>
                <w:highlight w:val="none"/>
              </w:rPr>
              <w:t>履约保证金的金额：</w:t>
            </w:r>
            <w:r>
              <w:rPr>
                <w:rFonts w:hint="eastAsia"/>
                <w:color w:val="auto"/>
                <w:highlight w:val="none"/>
                <w:u w:val="single"/>
              </w:rPr>
              <w:t xml:space="preserve">      </w:t>
            </w:r>
          </w:p>
          <w:p>
            <w:pPr>
              <w:rPr>
                <w:rFonts w:ascii="宋体" w:hAnsi="宋体"/>
                <w:color w:val="auto"/>
                <w:highlight w:val="none"/>
              </w:rPr>
            </w:pPr>
            <w:r>
              <w:rPr>
                <w:rFonts w:hint="eastAsia"/>
                <w:color w:val="auto"/>
                <w:highlight w:val="none"/>
              </w:rPr>
              <w:t>☑</w:t>
            </w:r>
            <w:r>
              <w:rPr>
                <w:rFonts w:hint="eastAsia" w:ascii="宋体" w:hAnsi="宋体"/>
                <w:color w:val="auto"/>
                <w:highlight w:val="none"/>
              </w:rPr>
              <w:t>方式一：中标人提供的履约保证金为中标价款的</w:t>
            </w:r>
            <w:r>
              <w:rPr>
                <w:rFonts w:hint="eastAsia" w:ascii="宋体" w:hAnsi="宋体"/>
                <w:color w:val="auto"/>
                <w:highlight w:val="none"/>
                <w:u w:val="single"/>
              </w:rPr>
              <w:t>10</w:t>
            </w:r>
            <w:r>
              <w:rPr>
                <w:rFonts w:hint="eastAsia" w:ascii="宋体" w:hAnsi="宋体"/>
                <w:color w:val="auto"/>
                <w:highlight w:val="none"/>
              </w:rPr>
              <w:t>%（不高于10%）。</w:t>
            </w:r>
          </w:p>
          <w:p>
            <w:pPr>
              <w:pStyle w:val="5"/>
              <w:spacing w:after="0"/>
              <w:ind w:firstLine="0"/>
              <w:rPr>
                <w:rFonts w:ascii="宋体" w:hAnsi="宋体"/>
                <w:color w:val="auto"/>
                <w:highlight w:val="none"/>
              </w:rPr>
            </w:pPr>
            <w:r>
              <w:rPr>
                <w:rFonts w:hint="eastAsia"/>
                <w:color w:val="auto"/>
                <w:highlight w:val="none"/>
              </w:rPr>
              <w:t>□</w:t>
            </w:r>
            <w:r>
              <w:rPr>
                <w:rFonts w:hint="eastAsia" w:ascii="宋体" w:hAnsi="宋体"/>
                <w:color w:val="auto"/>
                <w:highlight w:val="none"/>
              </w:rPr>
              <w:t>方式二：中标人提供的履约保函的保证额为中标价款与最高投标限价之间的差额，且不超过中标价款的10%。</w:t>
            </w:r>
          </w:p>
          <w:p>
            <w:pPr>
              <w:widowControl/>
              <w:jc w:val="left"/>
              <w:rPr>
                <w:rFonts w:ascii="宋体" w:hAnsi="宋体"/>
                <w:color w:val="auto"/>
                <w:szCs w:val="21"/>
                <w:highlight w:val="none"/>
                <w:u w:val="single"/>
              </w:rPr>
            </w:pPr>
            <w:r>
              <w:rPr>
                <w:rFonts w:hint="eastAsia" w:ascii="宋体" w:hAnsi="宋体"/>
                <w:color w:val="auto"/>
                <w:highlight w:val="none"/>
              </w:rPr>
              <w:t>履约保证金的形式：</w:t>
            </w:r>
            <w:bookmarkStart w:id="14" w:name="OLE_LINK22"/>
            <w:r>
              <w:rPr>
                <w:rFonts w:hint="eastAsia" w:ascii="宋体" w:hAnsi="宋体" w:cs="宋体"/>
                <w:color w:val="auto"/>
                <w:szCs w:val="21"/>
                <w:highlight w:val="none"/>
                <w:u w:val="single"/>
              </w:rPr>
              <w:t>中标人的履约担保可采用以现金、银行保函、保证保险、专业担保公司担保等的形式提供。</w:t>
            </w:r>
            <w:bookmarkEnd w:id="14"/>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32.1</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专业分包</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☑允许：分包内容要求：</w:t>
            </w:r>
            <w:r>
              <w:rPr>
                <w:rFonts w:hint="eastAsia" w:ascii="宋体" w:hAnsi="宋体" w:cs="宋体"/>
                <w:color w:val="auto"/>
                <w:kern w:val="0"/>
                <w:szCs w:val="21"/>
                <w:highlight w:val="none"/>
                <w:u w:val="single"/>
                <w:lang w:val="zh-CN"/>
              </w:rPr>
              <w:t>允许非主体、非关键性工程进行分包。</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分包金额要求：</w:t>
            </w:r>
            <w:r>
              <w:rPr>
                <w:rFonts w:hint="eastAsia" w:ascii="宋体" w:hAnsi="宋体" w:cs="宋体"/>
                <w:color w:val="auto"/>
                <w:highlight w:val="none"/>
                <w:u w:val="single"/>
                <w:lang w:val="zh-CN"/>
              </w:rPr>
              <w:t>根据实际情况确定。</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lang w:val="zh-CN"/>
              </w:rPr>
              <w:t>分包人的资格能力应与其分包工程的标准和规模相适应，且须符合</w:t>
            </w:r>
            <w:r>
              <w:rPr>
                <w:rFonts w:hint="eastAsia" w:ascii="宋体" w:hAnsi="宋体" w:cs="宋体"/>
                <w:color w:val="auto"/>
                <w:kern w:val="0"/>
                <w:szCs w:val="21"/>
                <w:highlight w:val="none"/>
                <w:u w:val="single"/>
              </w:rPr>
              <w:t>相关</w:t>
            </w:r>
            <w:r>
              <w:rPr>
                <w:rFonts w:hint="eastAsia" w:ascii="宋体" w:hAnsi="宋体" w:cs="宋体"/>
                <w:color w:val="auto"/>
                <w:kern w:val="0"/>
                <w:szCs w:val="21"/>
                <w:highlight w:val="none"/>
                <w:u w:val="single"/>
                <w:lang w:val="zh-CN"/>
              </w:rPr>
              <w:t>文件</w:t>
            </w:r>
            <w:r>
              <w:rPr>
                <w:rFonts w:hint="eastAsia" w:ascii="宋体" w:hAnsi="宋体" w:cs="宋体"/>
                <w:color w:val="auto"/>
                <w:kern w:val="0"/>
                <w:szCs w:val="21"/>
                <w:highlight w:val="none"/>
                <w:u w:val="single"/>
              </w:rPr>
              <w:t>的</w:t>
            </w:r>
            <w:r>
              <w:rPr>
                <w:rFonts w:hint="eastAsia" w:ascii="宋体" w:hAnsi="宋体" w:cs="宋体"/>
                <w:color w:val="auto"/>
                <w:kern w:val="0"/>
                <w:szCs w:val="21"/>
                <w:highlight w:val="none"/>
                <w:u w:val="single"/>
                <w:lang w:val="zh-CN"/>
              </w:rPr>
              <w:t>规定。</w:t>
            </w:r>
          </w:p>
          <w:p>
            <w:pPr>
              <w:pStyle w:val="5"/>
              <w:spacing w:after="0"/>
              <w:ind w:firstLine="0"/>
              <w:rPr>
                <w:rFonts w:ascii="宋体" w:hAnsi="宋体"/>
                <w:color w:val="auto"/>
                <w:highlight w:val="none"/>
              </w:rPr>
            </w:pPr>
            <w:r>
              <w:rPr>
                <w:rFonts w:hint="eastAsia" w:ascii="宋体" w:hAnsi="宋体"/>
                <w:color w:val="auto"/>
                <w:kern w:val="0"/>
                <w:szCs w:val="21"/>
                <w:highlight w:val="none"/>
                <w:lang w:val="zh-CN"/>
              </w:rPr>
              <w:t xml:space="preserve">        对分包人的其他要求：</w:t>
            </w:r>
            <w:r>
              <w:rPr>
                <w:rFonts w:hint="eastAsia" w:ascii="宋体" w:hAnsi="宋体" w:cs="宋体"/>
                <w:color w:val="auto"/>
                <w:kern w:val="0"/>
                <w:szCs w:val="21"/>
                <w:highlight w:val="none"/>
                <w:u w:val="single"/>
                <w:lang w:val="zh-CN"/>
              </w:rPr>
              <w:t>符合有关法律法规和文件规定，并不得再次分包。分包单位资质报建设单位审批同意。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934"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olor w:val="auto"/>
                <w:kern w:val="0"/>
                <w:szCs w:val="21"/>
                <w:highlight w:val="none"/>
                <w:lang w:val="zh-CN"/>
              </w:rPr>
            </w:pPr>
            <w:r>
              <w:rPr>
                <w:rFonts w:hint="eastAsia" w:ascii="宋体" w:hAnsi="宋体"/>
                <w:color w:val="auto"/>
                <w:highlight w:val="none"/>
              </w:rPr>
              <w:t>本项目</w:t>
            </w:r>
            <w:r>
              <w:rPr>
                <w:rFonts w:hint="eastAsia" w:ascii="宋体" w:hAnsi="宋体" w:cs="宋体"/>
                <w:bCs/>
                <w:color w:val="auto"/>
                <w:kern w:val="0"/>
                <w:szCs w:val="21"/>
                <w:highlight w:val="none"/>
              </w:rPr>
              <w:t>最高</w:t>
            </w:r>
            <w:r>
              <w:rPr>
                <w:rFonts w:hint="eastAsia" w:ascii="宋体" w:hAnsi="宋体"/>
                <w:color w:val="auto"/>
                <w:highlight w:val="none"/>
              </w:rPr>
              <w:t>投标限价为人民币</w:t>
            </w:r>
            <w:r>
              <w:rPr>
                <w:rFonts w:hint="eastAsia" w:ascii="宋体" w:hAnsi="宋体"/>
                <w:color w:val="auto"/>
                <w:highlight w:val="none"/>
                <w:u w:val="single"/>
              </w:rPr>
              <w:t>14532212.44</w:t>
            </w:r>
            <w:r>
              <w:rPr>
                <w:rFonts w:hint="eastAsia" w:ascii="宋体" w:hAnsi="宋体"/>
                <w:color w:val="auto"/>
                <w:highlight w:val="none"/>
              </w:rPr>
              <w:t>元。详见本项目最高投标限价公布表。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rPr>
              <w:t>656105.17</w:t>
            </w:r>
            <w:r>
              <w:rPr>
                <w:rFonts w:hint="eastAsia" w:ascii="宋体" w:hAnsi="宋体"/>
                <w:color w:val="auto"/>
                <w:szCs w:val="21"/>
                <w:highlight w:val="none"/>
              </w:rPr>
              <w:t>元，暂列金额为</w:t>
            </w:r>
            <w:r>
              <w:rPr>
                <w:rFonts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元，暂估价为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color w:val="auto"/>
                <w:szCs w:val="21"/>
                <w:highlight w:val="none"/>
              </w:rPr>
            </w:pPr>
            <w:r>
              <w:rPr>
                <w:rFonts w:hint="eastAsia" w:ascii="宋体" w:hAnsi="宋体"/>
                <w:color w:val="auto"/>
                <w:szCs w:val="21"/>
                <w:highlight w:val="none"/>
              </w:rPr>
              <w:t>保修期</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按照《建设工程质量管理条例》和《工程质量保修书》规定。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r>
              <w:rPr>
                <w:rFonts w:ascii="宋体" w:hAnsi="宋体"/>
                <w:color w:val="auto"/>
                <w:szCs w:val="21"/>
                <w:highlight w:val="none"/>
              </w:rPr>
              <w:t>X</w:t>
            </w:r>
            <w:r>
              <w:rPr>
                <w:rFonts w:hint="eastAsia" w:ascii="宋体" w:hAnsi="宋体"/>
                <w:color w:val="auto"/>
                <w:szCs w:val="21"/>
                <w:highlight w:val="none"/>
              </w:rPr>
              <w:t>在开标时从[0,100]</w:t>
            </w:r>
            <w:r>
              <w:rPr>
                <w:rFonts w:hint="eastAsia" w:ascii="宋体" w:hAnsi="宋体"/>
                <w:color w:val="auto"/>
                <w:highlight w:val="none"/>
              </w:rPr>
              <w:t xml:space="preserve"> </w:t>
            </w:r>
            <w:r>
              <w:rPr>
                <w:rFonts w:hint="eastAsia" w:ascii="宋体" w:hAnsi="宋体"/>
                <w:color w:val="auto"/>
                <w:szCs w:val="21"/>
                <w:highlight w:val="none"/>
              </w:rPr>
              <w:t>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进入第二阶段评审的家数</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工程成本警示价</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rPr>
              <w:t>工程成本警示价为</w:t>
            </w:r>
            <w:r>
              <w:rPr>
                <w:rFonts w:hint="eastAsia" w:ascii="宋体" w:hAnsi="宋体"/>
                <w:color w:val="auto"/>
                <w:szCs w:val="21"/>
                <w:highlight w:val="none"/>
                <w:u w:val="single"/>
                <w:lang w:eastAsia="zh-CN"/>
              </w:rPr>
              <w:t>13805601.82</w:t>
            </w:r>
            <w:r>
              <w:rPr>
                <w:rFonts w:hint="eastAsia" w:ascii="宋体" w:hAnsi="宋体"/>
                <w:color w:val="auto"/>
                <w:szCs w:val="21"/>
                <w:highlight w:val="none"/>
              </w:rPr>
              <w:t>元</w:t>
            </w:r>
            <w:r>
              <w:rPr>
                <w:rFonts w:hint="eastAsia" w:ascii="宋体" w:hAnsi="宋体" w:cs="宋体"/>
                <w:color w:val="auto"/>
                <w:szCs w:val="21"/>
                <w:highlight w:val="none"/>
                <w:u w:val="single"/>
              </w:rPr>
              <w:t>(最高投标限价的</w:t>
            </w:r>
            <w:r>
              <w:rPr>
                <w:rFonts w:ascii="宋体" w:hAnsi="宋体" w:cs="宋体"/>
                <w:color w:val="auto"/>
                <w:szCs w:val="21"/>
                <w:highlight w:val="none"/>
                <w:u w:val="single"/>
              </w:rPr>
              <w:t>9</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%设置为工程成本警戒价）</w:t>
            </w:r>
            <w:r>
              <w:rPr>
                <w:rFonts w:hint="eastAsia" w:ascii="宋体" w:hAnsi="宋体"/>
                <w:color w:val="auto"/>
                <w:szCs w:val="21"/>
                <w:highlight w:val="none"/>
              </w:rPr>
              <w:t>。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第一阶段各分值的权重</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企业信用评价分数</w:t>
            </w:r>
          </w:p>
        </w:tc>
        <w:tc>
          <w:tcPr>
            <w:tcW w:w="5934" w:type="dxa"/>
            <w:tcBorders>
              <w:top w:val="single" w:color="auto" w:sz="4" w:space="0"/>
              <w:left w:val="single" w:color="auto" w:sz="4" w:space="0"/>
              <w:bottom w:val="single" w:color="auto" w:sz="4" w:space="0"/>
              <w:right w:val="double" w:color="auto" w:sz="4" w:space="0"/>
            </w:tcBorders>
            <w:vAlign w:val="center"/>
          </w:tcPr>
          <w:p>
            <w:pPr>
              <w:pStyle w:val="2"/>
              <w:ind w:firstLine="0"/>
              <w:rPr>
                <w:color w:val="auto"/>
                <w:highlight w:val="none"/>
              </w:rPr>
            </w:pPr>
            <w:r>
              <w:rPr>
                <w:rFonts w:hint="eastAsia" w:ascii="宋体" w:hAnsi="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34</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rPr>
            </w:pPr>
          </w:p>
        </w:tc>
        <w:tc>
          <w:tcPr>
            <w:tcW w:w="5934"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投标人总得分=（技术得分×20%＋经济得分×80%）×（</w:t>
            </w:r>
            <w:r>
              <w:rPr>
                <w:rFonts w:ascii="宋体" w:hAnsi="宋体" w:cs="宋体"/>
                <w:color w:val="auto"/>
                <w:szCs w:val="21"/>
                <w:highlight w:val="none"/>
              </w:rPr>
              <w:t>90%</w:t>
            </w:r>
            <w:r>
              <w:rPr>
                <w:rFonts w:hint="eastAsia" w:ascii="宋体" w:hAnsi="宋体" w:cs="宋体"/>
                <w:color w:val="auto"/>
                <w:szCs w:val="21"/>
                <w:highlight w:val="none"/>
              </w:rPr>
              <w:t>）＋信用评价得分×10%（企业信用评价得分权重，招标人可在[10%-20%]范围内自主确定）。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rPr>
            </w:pPr>
            <w:r>
              <w:rPr>
                <w:rFonts w:hint="eastAsia" w:ascii="宋体" w:hAnsi="宋体" w:cs="宋体"/>
                <w:color w:val="auto"/>
                <w:szCs w:val="21"/>
                <w:highlight w:val="none"/>
              </w:rPr>
              <w:t>企业信用评价得分</w:t>
            </w:r>
          </w:p>
        </w:tc>
        <w:tc>
          <w:tcPr>
            <w:tcW w:w="5934" w:type="dxa"/>
            <w:tcBorders>
              <w:top w:val="single" w:color="auto" w:sz="4" w:space="0"/>
              <w:left w:val="single" w:color="auto" w:sz="4" w:space="0"/>
              <w:bottom w:val="single" w:color="auto" w:sz="4" w:space="0"/>
              <w:right w:val="double" w:color="auto" w:sz="4" w:space="0"/>
            </w:tcBorders>
            <w:vAlign w:val="center"/>
          </w:tcPr>
          <w:p>
            <w:pPr>
              <w:pStyle w:val="2"/>
              <w:ind w:firstLine="0"/>
              <w:rPr>
                <w:rFonts w:hint="eastAsia" w:ascii="宋体" w:hAnsi="宋体" w:cs="宋体"/>
                <w:color w:val="auto"/>
                <w:szCs w:val="21"/>
                <w:highlight w:val="none"/>
              </w:rPr>
            </w:pPr>
            <w:r>
              <w:rPr>
                <w:rFonts w:hint="eastAsia" w:ascii="宋体" w:hAnsi="宋体" w:cs="宋体"/>
                <w:color w:val="auto"/>
                <w:szCs w:val="21"/>
                <w:highlight w:val="none"/>
              </w:rPr>
              <w:t>本项目的</w:t>
            </w:r>
            <w:r>
              <w:rPr>
                <w:rFonts w:ascii="宋体" w:hAnsi="宋体" w:cs="宋体"/>
                <w:color w:val="auto"/>
                <w:szCs w:val="21"/>
                <w:highlight w:val="none"/>
              </w:rPr>
              <w:t>企业信用评价</w:t>
            </w:r>
            <w:r>
              <w:rPr>
                <w:rFonts w:hint="eastAsia" w:ascii="宋体" w:hAnsi="宋体" w:cs="宋体"/>
                <w:color w:val="auto"/>
                <w:szCs w:val="21"/>
                <w:highlight w:val="none"/>
              </w:rPr>
              <w:t>得分，以“广州交易集团有限公司门户网站-信用信息-广州公共资源交易信用平台3.0-城市道路-施工”开标当天查询的信用分为准，如为联合体投标，只计算主办方信用分。</w:t>
            </w:r>
          </w:p>
          <w:p>
            <w:pPr>
              <w:rPr>
                <w:rFonts w:hint="eastAsia" w:ascii="宋体" w:hAnsi="宋体" w:cs="宋体"/>
                <w:color w:val="auto"/>
                <w:szCs w:val="21"/>
                <w:highlight w:val="none"/>
              </w:rPr>
            </w:pPr>
            <w:r>
              <w:rPr>
                <w:rFonts w:hint="eastAsia" w:ascii="宋体" w:hAnsi="宋体" w:cs="宋体"/>
                <w:color w:val="auto"/>
                <w:szCs w:val="21"/>
                <w:highlight w:val="none"/>
              </w:rPr>
              <w:t>注：如未获广州公共资源交易信用平台3.0城市道路-施工信用分的,则该投标人信用分为开标当天城市道路-施工信用基准分，信用基准分以广州公共资源交易信用信息评分相关规定为准。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bCs/>
                <w:color w:val="auto"/>
                <w:szCs w:val="21"/>
                <w:highlight w:val="none"/>
                <w:u w:val="single"/>
              </w:rPr>
              <w:t xml:space="preserve">按招标文件及合同条款相关约定调整。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宋体"/>
                <w:color w:val="auto"/>
                <w:kern w:val="0"/>
                <w:szCs w:val="21"/>
                <w:highlight w:val="none"/>
                <w:u w:val="single"/>
              </w:rPr>
              <w:t>广州交易集团有限公司（广州公共资源交易中心）网站</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 xml:space="preserve">38 </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p>
        </w:tc>
        <w:tc>
          <w:tcPr>
            <w:tcW w:w="1733"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r>
              <w:rPr>
                <w:rFonts w:hint="eastAsia" w:ascii="宋体" w:hAnsi="宋体" w:cs="Courier New"/>
                <w:color w:val="auto"/>
                <w:szCs w:val="21"/>
                <w:highlight w:val="none"/>
              </w:rPr>
              <w:t>招标人对中标人参与“百千万工程”的具体要求</w:t>
            </w:r>
          </w:p>
        </w:tc>
        <w:tc>
          <w:tcPr>
            <w:tcW w:w="5934"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☑具体要求在中标后按照投标承诺和招标人的要求执行。</w:t>
            </w:r>
          </w:p>
          <w:p>
            <w:pPr>
              <w:rPr>
                <w:rFonts w:ascii="宋体" w:hAnsi="宋体" w:cs="Courier New"/>
                <w:color w:val="auto"/>
                <w:szCs w:val="21"/>
                <w:highlight w:val="none"/>
              </w:rPr>
            </w:pPr>
            <w:r>
              <w:rPr>
                <w:rFonts w:hint="eastAsia" w:ascii="宋体" w:hAnsi="宋体" w:cs="Courier New"/>
                <w:color w:val="auto"/>
                <w:szCs w:val="21"/>
                <w:highlight w:val="none"/>
              </w:rPr>
              <w:t>□具体要求：（由招标人填写）</w:t>
            </w:r>
          </w:p>
        </w:tc>
      </w:tr>
    </w:tbl>
    <w:p>
      <w:pPr>
        <w:pStyle w:val="7"/>
        <w:rPr>
          <w:color w:val="auto"/>
          <w:highlight w:val="none"/>
        </w:rPr>
      </w:pPr>
      <w:r>
        <w:rPr>
          <w:color w:val="auto"/>
          <w:highlight w:val="none"/>
        </w:rPr>
        <w:br w:type="page"/>
      </w:r>
      <w:bookmarkStart w:id="15" w:name="_Toc28760"/>
      <w:bookmarkStart w:id="16" w:name="_Toc2272547"/>
      <w:bookmarkStart w:id="17" w:name="_Toc21525491"/>
      <w:bookmarkStart w:id="18" w:name="_Toc25354"/>
      <w:r>
        <w:rPr>
          <w:rStyle w:val="61"/>
          <w:rFonts w:hint="eastAsia"/>
          <w:b/>
          <w:color w:val="auto"/>
          <w:highlight w:val="none"/>
        </w:rPr>
        <w:t>二、投标须知修改表</w:t>
      </w:r>
      <w:bookmarkEnd w:id="15"/>
      <w:bookmarkEnd w:id="16"/>
      <w:bookmarkEnd w:id="17"/>
      <w:bookmarkEnd w:id="18"/>
    </w:p>
    <w:p>
      <w:pPr>
        <w:pStyle w:val="5"/>
        <w:spacing w:line="360" w:lineRule="auto"/>
        <w:rPr>
          <w:b/>
          <w:color w:val="auto"/>
          <w:szCs w:val="21"/>
          <w:highlight w:val="none"/>
        </w:rPr>
      </w:pPr>
      <w:r>
        <w:rPr>
          <w:rFonts w:hint="eastAsia"/>
          <w:b/>
          <w:color w:val="auto"/>
          <w:szCs w:val="21"/>
          <w:highlight w:val="none"/>
        </w:rPr>
        <w:t>声明：本投标须知使用招标文件范本的投标须知通用条款，与该通用条款不同之处，均在本表中列明，并以现文为准，原文不再有效。</w:t>
      </w:r>
      <w:r>
        <w:rPr>
          <w:rFonts w:hint="eastAsia" w:ascii="宋体" w:hAnsi="宋体"/>
          <w:bCs/>
          <w:color w:val="auto"/>
          <w:szCs w:val="21"/>
          <w:highlight w:val="none"/>
        </w:rPr>
        <w:t>（注：招标人按《投标须知修改表》修改的内容对应修改通用条款，属于删除的采用“</w:t>
      </w:r>
      <w:r>
        <w:rPr>
          <w:rFonts w:hint="eastAsia" w:ascii="宋体" w:hAnsi="宋体"/>
          <w:bCs/>
          <w:strike/>
          <w:color w:val="auto"/>
          <w:szCs w:val="21"/>
          <w:highlight w:val="none"/>
        </w:rPr>
        <w:t xml:space="preserve">   </w:t>
      </w:r>
      <w:r>
        <w:rPr>
          <w:rFonts w:hint="eastAsia" w:ascii="宋体" w:hAnsi="宋体"/>
          <w:bCs/>
          <w:color w:val="auto"/>
          <w:szCs w:val="21"/>
          <w:highlight w:val="none"/>
        </w:rPr>
        <w:t>”表示，如“</w:t>
      </w:r>
      <w:r>
        <w:rPr>
          <w:rFonts w:hint="eastAsia" w:ascii="宋体" w:hAnsi="宋体"/>
          <w:bCs/>
          <w:strike/>
          <w:color w:val="auto"/>
          <w:szCs w:val="21"/>
          <w:highlight w:val="none"/>
        </w:rPr>
        <w:t>删除</w:t>
      </w:r>
      <w:r>
        <w:rPr>
          <w:rFonts w:hint="eastAsia" w:ascii="宋体" w:hAnsi="宋体"/>
          <w:bCs/>
          <w:color w:val="auto"/>
          <w:szCs w:val="21"/>
          <w:highlight w:val="none"/>
        </w:rPr>
        <w:t>”；属于新增、修改的内容，用</w:t>
      </w:r>
      <w:r>
        <w:rPr>
          <w:rFonts w:hint="eastAsia" w:ascii="宋体" w:hAnsi="宋体"/>
          <w:b/>
          <w:color w:val="auto"/>
          <w:szCs w:val="21"/>
          <w:highlight w:val="none"/>
        </w:rPr>
        <w:t>黑色加粗</w:t>
      </w:r>
      <w:r>
        <w:rPr>
          <w:rFonts w:hint="eastAsia" w:ascii="宋体" w:hAnsi="宋体"/>
          <w:bCs/>
          <w:color w:val="auto"/>
          <w:szCs w:val="21"/>
          <w:highlight w:val="none"/>
        </w:rPr>
        <w:t>字体显示,并加注下划线，如“</w:t>
      </w:r>
      <w:r>
        <w:rPr>
          <w:rFonts w:hint="eastAsia" w:ascii="宋体" w:hAnsi="宋体"/>
          <w:b/>
          <w:color w:val="auto"/>
          <w:szCs w:val="21"/>
          <w:highlight w:val="none"/>
          <w:u w:val="single"/>
        </w:rPr>
        <w:t>新增修改</w:t>
      </w:r>
      <w:r>
        <w:rPr>
          <w:rFonts w:hint="eastAsia" w:ascii="宋体" w:hAnsi="宋体"/>
          <w:bCs/>
          <w:color w:val="auto"/>
          <w:szCs w:val="21"/>
          <w:highlight w:val="none"/>
        </w:rPr>
        <w:t>”。</w:t>
      </w:r>
      <w:r>
        <w:rPr>
          <w:rFonts w:hint="eastAsia" w:ascii="宋体" w:hAnsi="宋体"/>
          <w:bCs/>
          <w:color w:val="auto"/>
          <w:sz w:val="24"/>
          <w:szCs w:val="24"/>
          <w:highlight w:val="none"/>
        </w:rPr>
        <w:t>）</w:t>
      </w:r>
    </w:p>
    <w:p>
      <w:pPr>
        <w:spacing w:line="480" w:lineRule="auto"/>
        <w:ind w:firstLine="472" w:firstLineChars="224"/>
        <w:rPr>
          <w:b/>
          <w:color w:val="auto"/>
          <w:szCs w:val="21"/>
          <w:highlight w:val="none"/>
        </w:rPr>
      </w:pPr>
      <w:r>
        <w:rPr>
          <w:rFonts w:hint="eastAsia"/>
          <w:b/>
          <w:color w:val="auto"/>
          <w:szCs w:val="21"/>
          <w:highlight w:val="none"/>
        </w:rPr>
        <w:t>条款号：7.1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color w:val="auto"/>
          <w:sz w:val="24"/>
          <w:highlight w:val="none"/>
          <w:u w:val="single"/>
        </w:rPr>
      </w:pPr>
      <w:r>
        <w:rPr>
          <w:rFonts w:hint="eastAsia"/>
          <w:b/>
          <w:color w:val="auto"/>
          <w:szCs w:val="21"/>
          <w:highlight w:val="none"/>
        </w:rPr>
        <w:t>原文：</w:t>
      </w:r>
      <w:r>
        <w:rPr>
          <w:rFonts w:ascii="宋体" w:hAnsi="宋体"/>
          <w:bCs/>
          <w:color w:val="auto"/>
          <w:sz w:val="24"/>
          <w:highlight w:val="none"/>
          <w:u w:val="single"/>
        </w:rPr>
        <w:t>7.1</w:t>
      </w:r>
      <w:r>
        <w:rPr>
          <w:rFonts w:hint="eastAsia" w:ascii="宋体" w:hAnsi="宋体"/>
          <w:color w:val="auto"/>
          <w:sz w:val="24"/>
          <w:highlight w:val="none"/>
          <w:u w:val="single"/>
        </w:rPr>
        <w:t>本招标文件包括下列文件，以及所有按本须知第</w:t>
      </w:r>
      <w:r>
        <w:rPr>
          <w:rFonts w:ascii="宋体" w:hAnsi="宋体"/>
          <w:color w:val="auto"/>
          <w:sz w:val="24"/>
          <w:highlight w:val="none"/>
          <w:u w:val="single"/>
        </w:rPr>
        <w:t>8</w:t>
      </w:r>
      <w:r>
        <w:rPr>
          <w:rFonts w:hint="eastAsia" w:ascii="宋体" w:hAnsi="宋体"/>
          <w:color w:val="auto"/>
          <w:sz w:val="24"/>
          <w:highlight w:val="none"/>
          <w:u w:val="single"/>
        </w:rPr>
        <w:t>条发出的招标答疑会会议纪要和按本须知第</w:t>
      </w:r>
      <w:r>
        <w:rPr>
          <w:rFonts w:ascii="宋体" w:hAnsi="宋体"/>
          <w:color w:val="auto"/>
          <w:sz w:val="24"/>
          <w:highlight w:val="none"/>
          <w:u w:val="single"/>
        </w:rPr>
        <w:t>9</w:t>
      </w:r>
      <w:r>
        <w:rPr>
          <w:rFonts w:hint="eastAsia" w:ascii="宋体" w:hAnsi="宋体"/>
          <w:color w:val="auto"/>
          <w:sz w:val="24"/>
          <w:highlight w:val="none"/>
          <w:u w:val="single"/>
        </w:rPr>
        <w:t>条发出的澄清或修改：</w:t>
      </w:r>
    </w:p>
    <w:p>
      <w:pPr>
        <w:pStyle w:val="5"/>
        <w:numPr>
          <w:ilvl w:val="0"/>
          <w:numId w:val="4"/>
        </w:numPr>
        <w:spacing w:after="0"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u w:val="single"/>
        </w:rPr>
        <w:t>招标公告</w:t>
      </w:r>
    </w:p>
    <w:p>
      <w:pPr>
        <w:pStyle w:val="5"/>
        <w:numPr>
          <w:ilvl w:val="0"/>
          <w:numId w:val="4"/>
        </w:numPr>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u w:val="single"/>
        </w:rPr>
        <w:t>投标须知</w:t>
      </w:r>
    </w:p>
    <w:p>
      <w:pPr>
        <w:pStyle w:val="5"/>
        <w:numPr>
          <w:ilvl w:val="0"/>
          <w:numId w:val="4"/>
        </w:numPr>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u w:val="single"/>
        </w:rPr>
        <w:t>开标、评标及定标办法</w:t>
      </w:r>
    </w:p>
    <w:p>
      <w:pPr>
        <w:pStyle w:val="5"/>
        <w:numPr>
          <w:ilvl w:val="0"/>
          <w:numId w:val="4"/>
        </w:numPr>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u w:val="single"/>
        </w:rPr>
        <w:t>合同条款</w:t>
      </w:r>
    </w:p>
    <w:p>
      <w:pPr>
        <w:pStyle w:val="5"/>
        <w:numPr>
          <w:ilvl w:val="0"/>
          <w:numId w:val="4"/>
        </w:numPr>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投标文件格式</w:t>
      </w:r>
    </w:p>
    <w:p>
      <w:pPr>
        <w:pStyle w:val="5"/>
        <w:numPr>
          <w:ilvl w:val="0"/>
          <w:numId w:val="4"/>
        </w:numPr>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技术条件（工程建设标准）</w:t>
      </w:r>
    </w:p>
    <w:p>
      <w:pPr>
        <w:pStyle w:val="5"/>
        <w:numPr>
          <w:ilvl w:val="0"/>
          <w:numId w:val="4"/>
        </w:numPr>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图纸及勘察资料</w:t>
      </w:r>
    </w:p>
    <w:p>
      <w:pPr>
        <w:pStyle w:val="5"/>
        <w:numPr>
          <w:ilvl w:val="0"/>
          <w:numId w:val="4"/>
        </w:numPr>
        <w:spacing w:after="0" w:line="360" w:lineRule="auto"/>
        <w:ind w:firstLine="480" w:firstLineChars="200"/>
        <w:rPr>
          <w:rFonts w:ascii="宋体" w:hAnsi="宋体"/>
          <w:color w:val="auto"/>
          <w:sz w:val="24"/>
          <w:highlight w:val="none"/>
          <w:u w:val="single"/>
        </w:rPr>
      </w:pPr>
      <w:r>
        <w:rPr>
          <w:rFonts w:hint="eastAsia" w:ascii="宋体" w:hAnsi="宋体"/>
          <w:bCs/>
          <w:color w:val="auto"/>
          <w:sz w:val="24"/>
          <w:highlight w:val="none"/>
          <w:u w:val="single"/>
        </w:rPr>
        <w:t>招标</w:t>
      </w:r>
      <w:r>
        <w:rPr>
          <w:rFonts w:hint="eastAsia" w:ascii="宋体" w:hAnsi="宋体"/>
          <w:color w:val="auto"/>
          <w:sz w:val="24"/>
          <w:highlight w:val="none"/>
          <w:u w:val="single"/>
        </w:rPr>
        <w:t>工程量清单</w:t>
      </w:r>
    </w:p>
    <w:p>
      <w:pPr>
        <w:pStyle w:val="5"/>
        <w:numPr>
          <w:ilvl w:val="0"/>
          <w:numId w:val="4"/>
        </w:numPr>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最高投标限价</w:t>
      </w:r>
    </w:p>
    <w:p>
      <w:pPr>
        <w:pStyle w:val="5"/>
        <w:spacing w:after="0" w:line="360" w:lineRule="auto"/>
        <w:ind w:left="-2" w:firstLine="480" w:firstLineChars="200"/>
        <w:rPr>
          <w:rFonts w:ascii="楷体" w:hAnsi="楷体" w:eastAsia="楷体" w:cs="楷体"/>
          <w:color w:val="auto"/>
          <w:kern w:val="0"/>
          <w:sz w:val="24"/>
          <w:szCs w:val="24"/>
          <w:highlight w:val="none"/>
        </w:rPr>
      </w:pPr>
      <w:r>
        <w:rPr>
          <w:rFonts w:hint="eastAsia" w:ascii="楷体" w:hAnsi="楷体" w:eastAsia="楷体" w:cs="楷体"/>
          <w:color w:val="auto"/>
          <w:sz w:val="24"/>
          <w:highlight w:val="none"/>
        </w:rPr>
        <w:t>注：</w:t>
      </w:r>
      <w:r>
        <w:rPr>
          <w:rFonts w:hint="eastAsia" w:ascii="楷体" w:hAnsi="楷体" w:eastAsia="楷体" w:cs="楷体"/>
          <w:color w:val="auto"/>
          <w:kern w:val="0"/>
          <w:sz w:val="24"/>
          <w:szCs w:val="24"/>
          <w:highlight w:val="none"/>
        </w:rPr>
        <w:t>招标人应在技术条件（工程建设标准）中明确如下内容：</w:t>
      </w:r>
    </w:p>
    <w:p>
      <w:pPr>
        <w:pStyle w:val="5"/>
        <w:spacing w:after="0" w:line="360" w:lineRule="auto"/>
        <w:ind w:left="420" w:leftChars="200" w:firstLine="0"/>
        <w:rPr>
          <w:rFonts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1.施工现场建筑垃圾源头减量的具体要求和建筑垃圾综合利用产品的使用要求。</w:t>
      </w:r>
    </w:p>
    <w:p>
      <w:pPr>
        <w:pStyle w:val="5"/>
        <w:spacing w:after="0" w:line="360" w:lineRule="auto"/>
        <w:ind w:left="420" w:leftChars="200" w:firstLine="0"/>
        <w:rPr>
          <w:rFonts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2.占道施工相关告知、围蔽、修复等要求。</w:t>
      </w:r>
    </w:p>
    <w:p>
      <w:pPr>
        <w:pStyle w:val="5"/>
        <w:spacing w:after="0" w:line="360" w:lineRule="auto"/>
        <w:ind w:left="420" w:leftChars="200" w:firstLine="0"/>
        <w:rPr>
          <w:rFonts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3.对照《广州市智能建造技术清单（1.0版）》对招标项目智能建造提出要求。</w:t>
      </w:r>
    </w:p>
    <w:p>
      <w:pPr>
        <w:pStyle w:val="5"/>
        <w:spacing w:after="0" w:line="360" w:lineRule="auto"/>
        <w:ind w:left="420" w:leftChars="200" w:firstLine="0"/>
        <w:rPr>
          <w:rFonts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4.招标人对中标人参与“百千万工程”的具体要求。</w:t>
      </w:r>
    </w:p>
    <w:p>
      <w:pPr>
        <w:pStyle w:val="5"/>
        <w:spacing w:after="0" w:line="360" w:lineRule="auto"/>
        <w:ind w:firstLine="480" w:firstLineChars="200"/>
        <w:rPr>
          <w:rFonts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5.在建筑废弃物运输上落实《关于加快推动氢能产业高质量发展的若干措施》的要求。</w:t>
      </w:r>
    </w:p>
    <w:p>
      <w:pPr>
        <w:spacing w:line="360" w:lineRule="auto"/>
        <w:ind w:firstLine="422" w:firstLineChars="200"/>
        <w:rPr>
          <w:rFonts w:ascii="宋体"/>
          <w:color w:val="auto"/>
          <w:sz w:val="24"/>
          <w:highlight w:val="none"/>
          <w:u w:val="single"/>
        </w:rPr>
      </w:pPr>
      <w:r>
        <w:rPr>
          <w:rFonts w:hint="eastAsia"/>
          <w:b/>
          <w:color w:val="auto"/>
          <w:szCs w:val="21"/>
          <w:highlight w:val="none"/>
        </w:rPr>
        <w:t>现文：</w:t>
      </w:r>
      <w:r>
        <w:rPr>
          <w:rFonts w:ascii="宋体" w:hAnsi="宋体"/>
          <w:bCs/>
          <w:color w:val="auto"/>
          <w:sz w:val="24"/>
          <w:highlight w:val="none"/>
          <w:u w:val="single"/>
        </w:rPr>
        <w:t>7.1</w:t>
      </w:r>
      <w:r>
        <w:rPr>
          <w:rFonts w:hint="eastAsia" w:ascii="宋体" w:hAnsi="宋体"/>
          <w:color w:val="auto"/>
          <w:sz w:val="24"/>
          <w:highlight w:val="none"/>
          <w:u w:val="single"/>
        </w:rPr>
        <w:t>本招标文件包括下列文件，以及所有按本须知第</w:t>
      </w:r>
      <w:r>
        <w:rPr>
          <w:rFonts w:ascii="宋体" w:hAnsi="宋体"/>
          <w:color w:val="auto"/>
          <w:sz w:val="24"/>
          <w:highlight w:val="none"/>
          <w:u w:val="single"/>
        </w:rPr>
        <w:t>8</w:t>
      </w:r>
      <w:r>
        <w:rPr>
          <w:rFonts w:hint="eastAsia" w:ascii="宋体" w:hAnsi="宋体"/>
          <w:color w:val="auto"/>
          <w:sz w:val="24"/>
          <w:highlight w:val="none"/>
          <w:u w:val="single"/>
        </w:rPr>
        <w:t>条发出的招标答疑会会议纪要和按本须知第</w:t>
      </w:r>
      <w:r>
        <w:rPr>
          <w:rFonts w:ascii="宋体" w:hAnsi="宋体"/>
          <w:color w:val="auto"/>
          <w:sz w:val="24"/>
          <w:highlight w:val="none"/>
          <w:u w:val="single"/>
        </w:rPr>
        <w:t>9</w:t>
      </w:r>
      <w:r>
        <w:rPr>
          <w:rFonts w:hint="eastAsia" w:ascii="宋体" w:hAnsi="宋体"/>
          <w:color w:val="auto"/>
          <w:sz w:val="24"/>
          <w:highlight w:val="none"/>
          <w:u w:val="single"/>
        </w:rPr>
        <w:t>条发出的澄清或修改：</w:t>
      </w:r>
    </w:p>
    <w:p>
      <w:pPr>
        <w:pStyle w:val="5"/>
        <w:numPr>
          <w:ilvl w:val="0"/>
          <w:numId w:val="4"/>
        </w:numPr>
        <w:spacing w:after="0"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u w:val="single"/>
        </w:rPr>
        <w:t>招标公告</w:t>
      </w:r>
    </w:p>
    <w:p>
      <w:pPr>
        <w:pStyle w:val="5"/>
        <w:numPr>
          <w:ilvl w:val="0"/>
          <w:numId w:val="4"/>
        </w:numPr>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u w:val="single"/>
        </w:rPr>
        <w:t>投标须知</w:t>
      </w:r>
    </w:p>
    <w:p>
      <w:pPr>
        <w:pStyle w:val="5"/>
        <w:numPr>
          <w:ilvl w:val="0"/>
          <w:numId w:val="4"/>
        </w:numPr>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u w:val="single"/>
        </w:rPr>
        <w:t>开标、评标及定标办法</w:t>
      </w:r>
    </w:p>
    <w:p>
      <w:pPr>
        <w:pStyle w:val="5"/>
        <w:numPr>
          <w:ilvl w:val="0"/>
          <w:numId w:val="4"/>
        </w:numPr>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u w:val="single"/>
        </w:rPr>
        <w:t>合同条款</w:t>
      </w:r>
      <w:r>
        <w:rPr>
          <w:rFonts w:hint="eastAsia" w:ascii="宋体" w:hAnsi="宋体"/>
          <w:b/>
          <w:bCs/>
          <w:color w:val="auto"/>
          <w:sz w:val="24"/>
          <w:highlight w:val="none"/>
          <w:u w:val="single"/>
        </w:rPr>
        <w:t>（另册）</w:t>
      </w:r>
    </w:p>
    <w:p>
      <w:pPr>
        <w:pStyle w:val="5"/>
        <w:numPr>
          <w:ilvl w:val="0"/>
          <w:numId w:val="4"/>
        </w:numPr>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投标文件格式</w:t>
      </w:r>
    </w:p>
    <w:p>
      <w:pPr>
        <w:pStyle w:val="5"/>
        <w:numPr>
          <w:ilvl w:val="0"/>
          <w:numId w:val="4"/>
        </w:numPr>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技术条件（工程建设标准）</w:t>
      </w:r>
    </w:p>
    <w:p>
      <w:pPr>
        <w:pStyle w:val="5"/>
        <w:numPr>
          <w:ilvl w:val="0"/>
          <w:numId w:val="4"/>
        </w:numPr>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图纸及勘察资料</w:t>
      </w:r>
      <w:r>
        <w:rPr>
          <w:rFonts w:hint="eastAsia" w:ascii="宋体" w:hAnsi="宋体"/>
          <w:b/>
          <w:bCs/>
          <w:color w:val="auto"/>
          <w:sz w:val="24"/>
          <w:highlight w:val="none"/>
          <w:u w:val="single"/>
        </w:rPr>
        <w:t>（另册）</w:t>
      </w:r>
    </w:p>
    <w:p>
      <w:pPr>
        <w:pStyle w:val="5"/>
        <w:numPr>
          <w:ilvl w:val="0"/>
          <w:numId w:val="4"/>
        </w:numPr>
        <w:spacing w:after="0" w:line="360" w:lineRule="auto"/>
        <w:ind w:firstLine="480" w:firstLineChars="200"/>
        <w:rPr>
          <w:rFonts w:ascii="宋体" w:hAnsi="宋体"/>
          <w:color w:val="auto"/>
          <w:sz w:val="24"/>
          <w:highlight w:val="none"/>
          <w:u w:val="single"/>
        </w:rPr>
      </w:pPr>
      <w:r>
        <w:rPr>
          <w:rFonts w:hint="eastAsia" w:ascii="宋体" w:hAnsi="宋体"/>
          <w:bCs/>
          <w:color w:val="auto"/>
          <w:sz w:val="24"/>
          <w:highlight w:val="none"/>
          <w:u w:val="single"/>
        </w:rPr>
        <w:t>招标</w:t>
      </w:r>
      <w:r>
        <w:rPr>
          <w:rFonts w:hint="eastAsia" w:ascii="宋体" w:hAnsi="宋体"/>
          <w:color w:val="auto"/>
          <w:sz w:val="24"/>
          <w:highlight w:val="none"/>
          <w:u w:val="single"/>
        </w:rPr>
        <w:t>工程量清单</w:t>
      </w:r>
      <w:r>
        <w:rPr>
          <w:rFonts w:hint="eastAsia" w:ascii="宋体" w:hAnsi="宋体"/>
          <w:b/>
          <w:bCs/>
          <w:color w:val="auto"/>
          <w:sz w:val="24"/>
          <w:highlight w:val="none"/>
          <w:u w:val="single"/>
        </w:rPr>
        <w:t>（另册）</w:t>
      </w:r>
    </w:p>
    <w:p>
      <w:pPr>
        <w:pStyle w:val="5"/>
        <w:numPr>
          <w:ilvl w:val="0"/>
          <w:numId w:val="4"/>
        </w:numPr>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最高投标限价</w:t>
      </w:r>
    </w:p>
    <w:p>
      <w:pPr>
        <w:pStyle w:val="5"/>
        <w:spacing w:after="0" w:line="360" w:lineRule="auto"/>
        <w:ind w:left="-2" w:firstLine="480" w:firstLineChars="200"/>
        <w:rPr>
          <w:rFonts w:ascii="楷体" w:hAnsi="楷体" w:eastAsia="楷体" w:cs="楷体"/>
          <w:color w:val="auto"/>
          <w:kern w:val="0"/>
          <w:sz w:val="24"/>
          <w:szCs w:val="24"/>
          <w:highlight w:val="none"/>
        </w:rPr>
      </w:pPr>
      <w:r>
        <w:rPr>
          <w:rFonts w:hint="eastAsia" w:ascii="楷体" w:hAnsi="楷体" w:eastAsia="楷体" w:cs="楷体"/>
          <w:color w:val="auto"/>
          <w:sz w:val="24"/>
          <w:highlight w:val="none"/>
        </w:rPr>
        <w:t>注：</w:t>
      </w:r>
      <w:r>
        <w:rPr>
          <w:rFonts w:hint="eastAsia" w:ascii="楷体" w:hAnsi="楷体" w:eastAsia="楷体" w:cs="楷体"/>
          <w:color w:val="auto"/>
          <w:kern w:val="0"/>
          <w:sz w:val="24"/>
          <w:szCs w:val="24"/>
          <w:highlight w:val="none"/>
        </w:rPr>
        <w:t>招标人应在技术条件（工程建设标准）中明确如下内容：</w:t>
      </w:r>
    </w:p>
    <w:p>
      <w:pPr>
        <w:pStyle w:val="5"/>
        <w:spacing w:after="0" w:line="360" w:lineRule="auto"/>
        <w:ind w:left="420" w:leftChars="200" w:firstLine="0"/>
        <w:rPr>
          <w:rFonts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1.施工现场建筑垃圾源头减量的具体要求和建筑垃圾综合利用产品的使用要求。</w:t>
      </w:r>
    </w:p>
    <w:p>
      <w:pPr>
        <w:pStyle w:val="5"/>
        <w:spacing w:after="0" w:line="360" w:lineRule="auto"/>
        <w:ind w:left="420" w:leftChars="200" w:firstLine="0"/>
        <w:rPr>
          <w:rFonts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2.占道施工相关告知、围蔽、修复等要求。</w:t>
      </w:r>
    </w:p>
    <w:p>
      <w:pPr>
        <w:pStyle w:val="5"/>
        <w:spacing w:after="0" w:line="360" w:lineRule="auto"/>
        <w:ind w:left="420" w:leftChars="200" w:firstLine="0"/>
        <w:rPr>
          <w:rFonts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3.对照《广州市智能建造技术清单（1.0版）》对招标项目智能建造提出要求。</w:t>
      </w:r>
    </w:p>
    <w:p>
      <w:pPr>
        <w:pStyle w:val="5"/>
        <w:spacing w:after="0" w:line="360" w:lineRule="auto"/>
        <w:ind w:left="420" w:leftChars="200" w:firstLine="0"/>
        <w:rPr>
          <w:rFonts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4.招标人对中标人参与“百千万工程”的具体要求。</w:t>
      </w:r>
    </w:p>
    <w:p>
      <w:pPr>
        <w:pStyle w:val="5"/>
        <w:spacing w:after="0" w:line="360" w:lineRule="auto"/>
        <w:ind w:firstLine="480" w:firstLineChars="200"/>
        <w:rPr>
          <w:rFonts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5.在建筑废弃物运输上落实《关于加快推动氢能产业高质量发展的若干措施》的要求。</w:t>
      </w:r>
    </w:p>
    <w:p>
      <w:pPr>
        <w:pBdr>
          <w:bottom w:val="single" w:color="auto" w:sz="6" w:space="1"/>
        </w:pBdr>
        <w:spacing w:line="480" w:lineRule="auto"/>
        <w:ind w:firstLine="472" w:firstLineChars="224"/>
        <w:rPr>
          <w:b/>
          <w:color w:val="auto"/>
          <w:szCs w:val="21"/>
          <w:highlight w:val="none"/>
        </w:rPr>
      </w:pPr>
    </w:p>
    <w:p>
      <w:pPr>
        <w:spacing w:line="480" w:lineRule="auto"/>
        <w:ind w:firstLine="472" w:firstLineChars="224"/>
        <w:rPr>
          <w:b/>
          <w:color w:val="auto"/>
          <w:szCs w:val="21"/>
          <w:highlight w:val="none"/>
        </w:rPr>
      </w:pPr>
      <w:r>
        <w:rPr>
          <w:rFonts w:hint="eastAsia"/>
          <w:b/>
          <w:color w:val="auto"/>
          <w:szCs w:val="21"/>
          <w:highlight w:val="none"/>
        </w:rPr>
        <w:t>条款号：8.1、8.2</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rFonts w:ascii="宋体"/>
          <w:color w:val="auto"/>
          <w:sz w:val="24"/>
          <w:highlight w:val="none"/>
        </w:rPr>
      </w:pPr>
      <w:r>
        <w:rPr>
          <w:rFonts w:hint="eastAsia"/>
          <w:b/>
          <w:color w:val="auto"/>
          <w:szCs w:val="21"/>
          <w:highlight w:val="none"/>
        </w:rPr>
        <w:t>原文：</w:t>
      </w: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给招标人或招标代理人，提交形式见本须知前附表第13项。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pPr>
        <w:pStyle w:val="5"/>
        <w:spacing w:after="0" w:line="360" w:lineRule="auto"/>
        <w:ind w:firstLine="422" w:firstLineChars="200"/>
        <w:rPr>
          <w:rFonts w:ascii="宋体"/>
          <w:color w:val="auto"/>
          <w:sz w:val="24"/>
          <w:highlight w:val="none"/>
        </w:rPr>
      </w:pPr>
      <w:r>
        <w:rPr>
          <w:rFonts w:hint="eastAsia"/>
          <w:b/>
          <w:color w:val="auto"/>
          <w:szCs w:val="21"/>
          <w:highlight w:val="none"/>
        </w:rPr>
        <w:t>现文：</w:t>
      </w: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给招标人或招标代理人，提交形式见本须知前附表第13项。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pPr>
        <w:pBdr>
          <w:bottom w:val="single" w:color="auto" w:sz="6" w:space="1"/>
        </w:pBdr>
        <w:spacing w:line="480" w:lineRule="auto"/>
        <w:ind w:firstLine="472" w:firstLineChars="224"/>
        <w:rPr>
          <w:b/>
          <w:color w:val="auto"/>
          <w:szCs w:val="21"/>
          <w:highlight w:val="none"/>
        </w:rPr>
      </w:pPr>
    </w:p>
    <w:p>
      <w:pP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 xml:space="preserve"> </w:t>
      </w:r>
      <w:r>
        <w:rPr>
          <w:rFonts w:hint="eastAsia"/>
          <w:b/>
          <w:color w:val="auto"/>
          <w:szCs w:val="21"/>
          <w:highlight w:val="none"/>
        </w:rPr>
        <w:t>9.2</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ascii="宋体" w:hAnsi="宋体"/>
          <w:color w:val="auto"/>
          <w:sz w:val="24"/>
          <w:highlight w:val="none"/>
        </w:rPr>
        <w:t>9.2</w:t>
      </w:r>
      <w:r>
        <w:rPr>
          <w:rFonts w:hint="eastAsia" w:ascii="宋体"/>
          <w:color w:val="auto"/>
          <w:sz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pPr>
        <w:pStyle w:val="5"/>
        <w:spacing w:after="0" w:line="360" w:lineRule="auto"/>
        <w:ind w:firstLine="422" w:firstLineChars="200"/>
        <w:rPr>
          <w:rFonts w:ascii="宋体"/>
          <w:color w:val="auto"/>
          <w:sz w:val="24"/>
          <w:highlight w:val="none"/>
        </w:rPr>
      </w:pPr>
      <w:r>
        <w:rPr>
          <w:rFonts w:hint="eastAsia"/>
          <w:b/>
          <w:color w:val="auto"/>
          <w:szCs w:val="21"/>
          <w:highlight w:val="none"/>
        </w:rPr>
        <w:t>现文：</w:t>
      </w:r>
      <w:r>
        <w:rPr>
          <w:rFonts w:ascii="宋体" w:hAnsi="宋体"/>
          <w:color w:val="auto"/>
          <w:sz w:val="24"/>
          <w:highlight w:val="none"/>
        </w:rPr>
        <w:t>9.2</w:t>
      </w:r>
      <w:r>
        <w:rPr>
          <w:rFonts w:hint="eastAsia" w:ascii="宋体"/>
          <w:color w:val="auto"/>
          <w:sz w:val="24"/>
          <w:highlight w:val="none"/>
        </w:rPr>
        <w:t>招标文件的澄清或修改将在</w:t>
      </w:r>
      <w:r>
        <w:rPr>
          <w:rFonts w:hint="eastAsia" w:ascii="宋体" w:hAnsi="宋体" w:cs="宋体"/>
          <w:b/>
          <w:bCs/>
          <w:color w:val="auto"/>
          <w:sz w:val="24"/>
          <w:szCs w:val="24"/>
          <w:highlight w:val="none"/>
          <w:u w:val="single"/>
          <w:lang w:bidi="ar"/>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rFonts w:hint="eastAsia" w:ascii="宋体" w:hAnsi="宋体" w:cs="宋体"/>
          <w:b/>
          <w:bCs/>
          <w:color w:val="auto"/>
          <w:sz w:val="24"/>
          <w:szCs w:val="24"/>
          <w:highlight w:val="none"/>
          <w:u w:val="single"/>
          <w:lang w:bidi="ar"/>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rFonts w:hint="eastAsia" w:ascii="宋体" w:hAnsi="宋体" w:cs="宋体"/>
          <w:b/>
          <w:bCs/>
          <w:color w:val="auto"/>
          <w:sz w:val="24"/>
          <w:szCs w:val="24"/>
          <w:highlight w:val="none"/>
          <w:u w:val="single"/>
          <w:lang w:bidi="ar"/>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pPr>
        <w:pBdr>
          <w:bottom w:val="single" w:color="auto" w:sz="6" w:space="1"/>
        </w:pBdr>
        <w:spacing w:line="480" w:lineRule="auto"/>
        <w:ind w:firstLine="472" w:firstLineChars="224"/>
        <w:rPr>
          <w:b/>
          <w:color w:val="auto"/>
          <w:szCs w:val="21"/>
          <w:highlight w:val="none"/>
        </w:rPr>
      </w:pPr>
    </w:p>
    <w:p>
      <w:pPr>
        <w:spacing w:line="480" w:lineRule="auto"/>
        <w:ind w:firstLine="472" w:firstLineChars="224"/>
        <w:rPr>
          <w:b/>
          <w:color w:val="auto"/>
          <w:szCs w:val="21"/>
          <w:highlight w:val="none"/>
        </w:rPr>
      </w:pPr>
      <w:r>
        <w:rPr>
          <w:rFonts w:hint="eastAsia"/>
          <w:b/>
          <w:color w:val="auto"/>
          <w:szCs w:val="21"/>
          <w:highlight w:val="none"/>
        </w:rPr>
        <w:t>条款号：9.4</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olor w:val="auto"/>
          <w:sz w:val="24"/>
          <w:highlight w:val="none"/>
        </w:rPr>
        <w:t>9.4招标文件的澄清或修改均以</w:t>
      </w:r>
      <w:r>
        <w:rPr>
          <w:rFonts w:hint="eastAsia" w:ascii="宋体" w:hAnsi="宋体" w:cs="宋体"/>
          <w:b/>
          <w:bCs/>
          <w:color w:val="auto"/>
          <w:sz w:val="24"/>
          <w:szCs w:val="24"/>
          <w:highlight w:val="none"/>
          <w:u w:val="single"/>
          <w:lang w:bidi="ar"/>
        </w:rPr>
        <w:t xml:space="preserve">          </w:t>
      </w:r>
      <w:r>
        <w:rPr>
          <w:rFonts w:hint="eastAsia" w:ascii="宋体" w:hAnsi="宋体"/>
          <w:color w:val="auto"/>
          <w:sz w:val="24"/>
          <w:highlight w:val="none"/>
          <w:u w:val="single"/>
        </w:rPr>
        <w:t>网站</w:t>
      </w:r>
      <w:r>
        <w:rPr>
          <w:rFonts w:hint="eastAsia" w:ascii="宋体" w:hAnsi="宋体"/>
          <w:color w:val="auto"/>
          <w:sz w:val="24"/>
          <w:highlight w:val="none"/>
        </w:rPr>
        <w:t>发布的内容为准。当招标文件的澄清、修改、补充等在同一内容的表述不一致时，以最后发出的书面形式的文件为准。</w:t>
      </w:r>
    </w:p>
    <w:p>
      <w:pPr>
        <w:pStyle w:val="5"/>
        <w:spacing w:after="0" w:line="360" w:lineRule="auto"/>
        <w:ind w:firstLine="422" w:firstLineChars="200"/>
        <w:rPr>
          <w:rFonts w:ascii="宋体"/>
          <w:color w:val="auto"/>
          <w:sz w:val="24"/>
          <w:highlight w:val="none"/>
        </w:rPr>
      </w:pPr>
      <w:r>
        <w:rPr>
          <w:rFonts w:hint="eastAsia"/>
          <w:b/>
          <w:color w:val="auto"/>
          <w:szCs w:val="21"/>
          <w:highlight w:val="none"/>
        </w:rPr>
        <w:t>现文：</w:t>
      </w:r>
      <w:r>
        <w:rPr>
          <w:rFonts w:hint="eastAsia" w:ascii="宋体" w:hAnsi="宋体"/>
          <w:color w:val="auto"/>
          <w:sz w:val="24"/>
          <w:highlight w:val="none"/>
        </w:rPr>
        <w:t>9.4招标文件的澄清或修改均以</w:t>
      </w:r>
      <w:r>
        <w:rPr>
          <w:rFonts w:hint="eastAsia" w:ascii="宋体" w:hAnsi="宋体" w:cs="宋体"/>
          <w:b/>
          <w:bCs/>
          <w:color w:val="auto"/>
          <w:sz w:val="24"/>
          <w:szCs w:val="24"/>
          <w:highlight w:val="none"/>
          <w:u w:val="single"/>
          <w:lang w:bidi="ar"/>
        </w:rPr>
        <w:t>广州交易集团有限公司（广州公共资源交易中心）</w:t>
      </w:r>
      <w:r>
        <w:rPr>
          <w:rFonts w:hint="eastAsia" w:ascii="宋体" w:hAnsi="宋体"/>
          <w:color w:val="auto"/>
          <w:sz w:val="24"/>
          <w:highlight w:val="none"/>
          <w:u w:val="single"/>
        </w:rPr>
        <w:t>网站</w:t>
      </w:r>
      <w:r>
        <w:rPr>
          <w:rFonts w:hint="eastAsia" w:ascii="宋体" w:hAnsi="宋体"/>
          <w:color w:val="auto"/>
          <w:sz w:val="24"/>
          <w:highlight w:val="none"/>
        </w:rPr>
        <w:t>发布的内容为准。当招标文件的澄清、修改、补充等在同一内容的表述不一致时，以最后发出的书面形式的文件为准。</w:t>
      </w:r>
    </w:p>
    <w:p>
      <w:pPr>
        <w:pBdr>
          <w:bottom w:val="single" w:color="auto" w:sz="6" w:space="1"/>
        </w:pBdr>
        <w:spacing w:line="480" w:lineRule="auto"/>
        <w:rPr>
          <w:b/>
          <w:color w:val="auto"/>
          <w:szCs w:val="21"/>
          <w:highlight w:val="none"/>
        </w:rPr>
      </w:pPr>
    </w:p>
    <w:p>
      <w:pPr>
        <w:spacing w:line="480" w:lineRule="auto"/>
        <w:ind w:firstLine="472" w:firstLineChars="224"/>
        <w:rPr>
          <w:b/>
          <w:color w:val="auto"/>
          <w:szCs w:val="21"/>
          <w:highlight w:val="none"/>
        </w:rPr>
      </w:pPr>
      <w:r>
        <w:rPr>
          <w:rFonts w:hint="eastAsia"/>
          <w:b/>
          <w:color w:val="auto"/>
          <w:szCs w:val="21"/>
          <w:highlight w:val="none"/>
        </w:rPr>
        <w:t>条款号：11.2.1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bCs/>
          <w:color w:val="auto"/>
          <w:sz w:val="24"/>
          <w:highlight w:val="none"/>
          <w:u w:val="single"/>
        </w:rPr>
      </w:pPr>
      <w:r>
        <w:rPr>
          <w:rFonts w:hint="eastAsia"/>
          <w:b/>
          <w:color w:val="auto"/>
          <w:szCs w:val="21"/>
          <w:highlight w:val="none"/>
        </w:rPr>
        <w:t>原文：</w:t>
      </w:r>
    </w:p>
    <w:p>
      <w:pPr>
        <w:pStyle w:val="20"/>
        <w:spacing w:line="360" w:lineRule="auto"/>
        <w:ind w:firstLine="480"/>
        <w:rPr>
          <w:rFonts w:hAnsi="宋体"/>
          <w:bCs/>
          <w:color w:val="auto"/>
          <w:sz w:val="24"/>
          <w:highlight w:val="none"/>
          <w:u w:val="single"/>
        </w:rPr>
      </w:pPr>
      <w:r>
        <w:rPr>
          <w:rFonts w:hint="eastAsia" w:hAnsi="宋体"/>
          <w:bCs/>
          <w:color w:val="auto"/>
          <w:sz w:val="24"/>
          <w:highlight w:val="none"/>
          <w:u w:val="single"/>
        </w:rPr>
        <w:t>11.2.1资格审查文件</w:t>
      </w:r>
    </w:p>
    <w:p>
      <w:pPr>
        <w:numPr>
          <w:ilvl w:val="0"/>
          <w:numId w:val="5"/>
        </w:num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投标人声明；</w:t>
      </w:r>
    </w:p>
    <w:p>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（2）法定代表人证明书、法定代表人签字或盖章的本投标文件授权委托证明书；</w:t>
      </w:r>
    </w:p>
    <w:p>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（3）企业营业执照；</w:t>
      </w:r>
    </w:p>
    <w:p>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（4）企业资质证书；</w:t>
      </w:r>
    </w:p>
    <w:p>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（5）建筑施工企业安全生产许可证；</w:t>
      </w:r>
    </w:p>
    <w:p>
      <w:pPr>
        <w:spacing w:line="360" w:lineRule="auto"/>
        <w:ind w:firstLine="480" w:firstLineChars="200"/>
        <w:rPr>
          <w:rFonts w:ascii="宋体" w:hAnsi="宋体"/>
          <w:bCs/>
          <w:color w:val="auto"/>
          <w:sz w:val="24"/>
          <w:szCs w:val="24"/>
          <w:highlight w:val="none"/>
          <w:u w:val="single"/>
        </w:rPr>
      </w:pPr>
      <w:r>
        <w:rPr>
          <w:rFonts w:hint="eastAsia" w:ascii="宋体"/>
          <w:bCs/>
          <w:color w:val="auto"/>
          <w:sz w:val="24"/>
          <w:highlight w:val="none"/>
          <w:u w:val="single"/>
        </w:rPr>
        <w:t>（6）</w:t>
      </w:r>
      <w:r>
        <w:rPr>
          <w:rFonts w:hint="eastAsia" w:ascii="宋体" w:hAnsi="宋体"/>
          <w:bCs/>
          <w:color w:val="auto"/>
          <w:sz w:val="24"/>
          <w:szCs w:val="24"/>
          <w:highlight w:val="none"/>
          <w:u w:val="single"/>
        </w:rPr>
        <w:t>项目负责人（按网上投标登记时选择拟投标的项目负责人。</w:t>
      </w:r>
      <w:r>
        <w:rPr>
          <w:rFonts w:ascii="宋体" w:hAnsi="宋体"/>
          <w:color w:val="auto"/>
          <w:sz w:val="24"/>
          <w:highlight w:val="none"/>
          <w:u w:val="single"/>
        </w:rPr>
        <w:t>投标人须在</w:t>
      </w:r>
      <w:r>
        <w:rPr>
          <w:rFonts w:hint="eastAsia" w:ascii="宋体" w:hAnsi="宋体"/>
          <w:color w:val="auto"/>
          <w:sz w:val="24"/>
          <w:highlight w:val="none"/>
          <w:u w:val="single"/>
        </w:rPr>
        <w:t>广州市交通建设项目企业信息库建立企业信用信息档案，拟担任本工程项目负责人须是本企业信息档案中的在册人员</w:t>
      </w:r>
      <w:r>
        <w:rPr>
          <w:rFonts w:hint="eastAsia" w:ascii="宋体" w:hAnsi="宋体"/>
          <w:bCs/>
          <w:color w:val="auto"/>
          <w:sz w:val="24"/>
          <w:szCs w:val="24"/>
          <w:highlight w:val="none"/>
          <w:u w:val="single"/>
        </w:rPr>
        <w:t>）；</w:t>
      </w:r>
    </w:p>
    <w:p>
      <w:pPr>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（7）专职安全员（按网上投标登记时选择拟投标的专职安全员，</w:t>
      </w:r>
      <w:r>
        <w:rPr>
          <w:rFonts w:ascii="宋体" w:hAnsi="宋体"/>
          <w:color w:val="auto"/>
          <w:sz w:val="24"/>
          <w:highlight w:val="none"/>
          <w:u w:val="single"/>
        </w:rPr>
        <w:t>投标人须在</w:t>
      </w:r>
      <w:r>
        <w:rPr>
          <w:rFonts w:hint="eastAsia" w:ascii="宋体" w:hAnsi="宋体"/>
          <w:color w:val="auto"/>
          <w:sz w:val="24"/>
          <w:highlight w:val="none"/>
          <w:u w:val="single"/>
        </w:rPr>
        <w:t>广州市交通建设项目企业信息库建立企业信用信息档案，拟担任本工程专职安全员须是本企业信息档案中的在册人员</w:t>
      </w:r>
      <w:r>
        <w:rPr>
          <w:rFonts w:hint="eastAsia" w:ascii="宋体" w:hAnsi="宋体"/>
          <w:bCs/>
          <w:color w:val="auto"/>
          <w:sz w:val="24"/>
          <w:szCs w:val="24"/>
          <w:highlight w:val="none"/>
          <w:u w:val="single"/>
        </w:rPr>
        <w:t>）；</w:t>
      </w:r>
    </w:p>
    <w:p>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（8）拟委派项目负责人的建造师注册证书（取自</w:t>
      </w:r>
      <w:r>
        <w:rPr>
          <w:rFonts w:hint="eastAsia" w:ascii="宋体" w:hAnsi="宋体"/>
          <w:color w:val="auto"/>
          <w:sz w:val="24"/>
          <w:highlight w:val="none"/>
          <w:u w:val="single"/>
        </w:rPr>
        <w:t>广州市交通建设项目企业信息库</w:t>
      </w:r>
      <w:r>
        <w:rPr>
          <w:rFonts w:hint="eastAsia" w:ascii="宋体"/>
          <w:bCs/>
          <w:color w:val="auto"/>
          <w:sz w:val="24"/>
          <w:highlight w:val="none"/>
          <w:u w:val="single"/>
        </w:rPr>
        <w:t xml:space="preserve">内上传件） ； </w:t>
      </w:r>
    </w:p>
    <w:p>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（9）项目负责人安全生产考核合格证明或在有效期内的安全考核合格证书（B类）或建筑施工企业项目负责人安全生产考核合格证书；</w:t>
      </w:r>
    </w:p>
    <w:p>
      <w:pPr>
        <w:spacing w:line="360" w:lineRule="auto"/>
        <w:ind w:firstLine="480" w:firstLineChars="200"/>
        <w:rPr>
          <w:rFonts w:ascii="宋体"/>
          <w:bCs/>
          <w:color w:val="auto"/>
          <w:sz w:val="24"/>
          <w:szCs w:val="24"/>
          <w:highlight w:val="none"/>
          <w:u w:val="single"/>
        </w:rPr>
      </w:pPr>
      <w:r>
        <w:rPr>
          <w:rFonts w:hint="eastAsia" w:ascii="宋体"/>
          <w:bCs/>
          <w:color w:val="auto"/>
          <w:sz w:val="24"/>
          <w:highlight w:val="none"/>
          <w:u w:val="single"/>
        </w:rPr>
        <w:t>（10）专职安全员须具有在有效期内的安全考核合格证书（C类）或建筑施工企业专职安全生产管理人员安全生产考核合格证书（C3）；</w:t>
      </w:r>
    </w:p>
    <w:p>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（11）</w:t>
      </w:r>
      <w:r>
        <w:rPr>
          <w:rFonts w:hint="eastAsia" w:ascii="宋体" w:hAnsi="宋体"/>
          <w:bCs/>
          <w:color w:val="auto"/>
          <w:sz w:val="24"/>
          <w:szCs w:val="24"/>
          <w:highlight w:val="none"/>
          <w:u w:val="single"/>
        </w:rPr>
        <w:t>用于资格审查的业绩（设置业绩要求时选择此项，</w:t>
      </w:r>
      <w:r>
        <w:rPr>
          <w:rFonts w:hint="eastAsia" w:ascii="宋体" w:hAnsi="宋体"/>
          <w:color w:val="auto"/>
          <w:sz w:val="24"/>
          <w:highlight w:val="none"/>
          <w:u w:val="single"/>
        </w:rPr>
        <w:t>具体格式由招标人自定</w:t>
      </w:r>
      <w:r>
        <w:rPr>
          <w:rFonts w:hint="eastAsia" w:ascii="宋体" w:hAnsi="宋体"/>
          <w:bCs/>
          <w:color w:val="auto"/>
          <w:sz w:val="24"/>
          <w:szCs w:val="24"/>
          <w:highlight w:val="none"/>
          <w:u w:val="single"/>
        </w:rPr>
        <w:t>）</w:t>
      </w:r>
    </w:p>
    <w:p>
      <w:pPr>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（12）列明主办单位的联合体工作协议（采用联合体投标时需递交，</w:t>
      </w:r>
      <w:r>
        <w:rPr>
          <w:rFonts w:hint="eastAsia" w:ascii="宋体" w:hAnsi="宋体"/>
          <w:color w:val="auto"/>
          <w:sz w:val="24"/>
          <w:szCs w:val="24"/>
          <w:highlight w:val="none"/>
          <w:u w:val="single"/>
        </w:rPr>
        <w:t>联合体工作协议应明确约定各方拟承担的工作和责任</w:t>
      </w:r>
      <w:r>
        <w:rPr>
          <w:rFonts w:hint="eastAsia" w:ascii="宋体" w:hAnsi="宋体"/>
          <w:bCs/>
          <w:color w:val="auto"/>
          <w:sz w:val="24"/>
          <w:szCs w:val="24"/>
          <w:highlight w:val="none"/>
          <w:u w:val="single"/>
        </w:rPr>
        <w:t>）；</w:t>
      </w:r>
    </w:p>
    <w:p>
      <w:pPr>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（13）投标人认为应提交的其他资料 。</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11.2.2技术投标文件主要包括下列内容：</w:t>
      </w:r>
    </w:p>
    <w:p>
      <w:pPr>
        <w:numPr>
          <w:ilvl w:val="0"/>
          <w:numId w:val="6"/>
        </w:numPr>
        <w:spacing w:line="360" w:lineRule="auto"/>
        <w:ind w:firstLine="480" w:firstLineChars="200"/>
        <w:rPr>
          <w:rFonts w:ascii="宋体" w:hAnsi="宋体"/>
          <w:color w:val="auto"/>
          <w:sz w:val="24"/>
          <w:highlight w:val="none"/>
          <w:u w:val="single"/>
        </w:rPr>
      </w:pPr>
      <w:r>
        <w:rPr>
          <w:rFonts w:hint="eastAsia" w:ascii="宋体"/>
          <w:bCs/>
          <w:color w:val="auto"/>
          <w:sz w:val="24"/>
          <w:highlight w:val="none"/>
          <w:u w:val="single"/>
        </w:rPr>
        <w:t>《广州建设工程施工招标投标书》；</w:t>
      </w:r>
    </w:p>
    <w:p>
      <w:pPr>
        <w:numPr>
          <w:ilvl w:val="0"/>
          <w:numId w:val="6"/>
        </w:num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项目管理机构配备：</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szCs w:val="24"/>
          <w:highlight w:val="none"/>
          <w:u w:val="single"/>
        </w:rPr>
        <w:t>①</w:t>
      </w:r>
      <w:r>
        <w:rPr>
          <w:rFonts w:hint="eastAsia" w:ascii="宋体" w:hAnsi="宋体"/>
          <w:color w:val="auto"/>
          <w:sz w:val="24"/>
          <w:highlight w:val="none"/>
          <w:u w:val="single"/>
        </w:rPr>
        <w:t>投标人应列出该项目工程的施工组织机构构成和画出机构框架图及其负责人；</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szCs w:val="24"/>
          <w:highlight w:val="none"/>
          <w:u w:val="single"/>
        </w:rPr>
        <w:t>②</w:t>
      </w:r>
      <w:r>
        <w:rPr>
          <w:rFonts w:hint="eastAsia" w:ascii="宋体" w:hAnsi="宋体"/>
          <w:color w:val="auto"/>
          <w:sz w:val="24"/>
          <w:highlight w:val="none"/>
          <w:u w:val="singl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szCs w:val="24"/>
          <w:highlight w:val="none"/>
          <w:u w:val="single"/>
        </w:rPr>
        <w:t>③</w:t>
      </w:r>
      <w:r>
        <w:rPr>
          <w:rFonts w:hint="eastAsia" w:ascii="宋体" w:hAnsi="宋体"/>
          <w:color w:val="auto"/>
          <w:sz w:val="24"/>
          <w:highlight w:val="none"/>
          <w:u w:val="single"/>
        </w:rPr>
        <w:t>其他辅助说明资料。</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（3）施工组织设计或施工方案；</w:t>
      </w:r>
    </w:p>
    <w:p>
      <w:pPr>
        <w:pStyle w:val="2"/>
        <w:rPr>
          <w:rFonts w:ascii="宋体" w:hAnsi="宋体"/>
          <w:color w:val="auto"/>
          <w:sz w:val="24"/>
          <w:highlight w:val="none"/>
          <w:u w:val="single"/>
        </w:rPr>
      </w:pPr>
      <w:r>
        <w:rPr>
          <w:rFonts w:hint="eastAsia" w:ascii="楷体" w:hAnsi="楷体" w:eastAsia="楷体" w:cs="楷体"/>
          <w:color w:val="auto"/>
          <w:sz w:val="24"/>
          <w:highlight w:val="none"/>
          <w:u w:val="single"/>
        </w:rPr>
        <w:t>注：建议招标人在招标文件中提出篇幅上限，国家及地方现有工法规范已有的内容无需重复提交。</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（4）（选择性条款）有余泥渣土产生的项目可要求提供余泥渣土运输与排放方案；</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（5）（选择性条款）投标人可使用适合本工程的机械设备；</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（6）（选择性条款）类似工程业绩材料；</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（7）按本招标文件规定提交的其它所有技术资料；</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（8）按照招标文件要求填写的《参与编制技术标投标文件人员名单》。</w:t>
      </w:r>
    </w:p>
    <w:p>
      <w:pPr>
        <w:spacing w:line="360" w:lineRule="auto"/>
        <w:ind w:firstLine="422" w:firstLineChars="200"/>
        <w:rPr>
          <w:rFonts w:ascii="宋体" w:hAnsi="宋体"/>
          <w:bCs/>
          <w:color w:val="auto"/>
          <w:sz w:val="24"/>
          <w:highlight w:val="none"/>
          <w:u w:val="single"/>
        </w:rPr>
      </w:pPr>
      <w:r>
        <w:rPr>
          <w:rFonts w:hint="eastAsia"/>
          <w:b/>
          <w:color w:val="auto"/>
          <w:szCs w:val="21"/>
          <w:highlight w:val="none"/>
        </w:rPr>
        <w:t>现文：</w:t>
      </w:r>
    </w:p>
    <w:p>
      <w:pPr>
        <w:pStyle w:val="20"/>
        <w:spacing w:line="360" w:lineRule="auto"/>
        <w:ind w:firstLine="480"/>
        <w:rPr>
          <w:rFonts w:hAnsi="宋体"/>
          <w:bCs/>
          <w:color w:val="auto"/>
          <w:sz w:val="24"/>
          <w:highlight w:val="none"/>
          <w:u w:val="single"/>
        </w:rPr>
      </w:pPr>
      <w:r>
        <w:rPr>
          <w:rFonts w:hint="eastAsia" w:hAnsi="宋体"/>
          <w:bCs/>
          <w:color w:val="auto"/>
          <w:sz w:val="24"/>
          <w:highlight w:val="none"/>
          <w:u w:val="single"/>
        </w:rPr>
        <w:t>11.2.1资格审查文件</w:t>
      </w:r>
    </w:p>
    <w:p>
      <w:pPr>
        <w:numPr>
          <w:ilvl w:val="0"/>
          <w:numId w:val="5"/>
        </w:num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投标人声明（一）、（二）、（三）；</w:t>
      </w:r>
    </w:p>
    <w:p>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（2）法定代表人证明书、法定代表人签字或盖章的本投标文件授权委托证明书；</w:t>
      </w:r>
    </w:p>
    <w:p>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（3）企业营业执照；</w:t>
      </w:r>
    </w:p>
    <w:p>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（4）企业资质证书；</w:t>
      </w:r>
    </w:p>
    <w:p>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（5）建筑施工企业安全生产许可证；</w:t>
      </w:r>
    </w:p>
    <w:p>
      <w:pPr>
        <w:spacing w:line="360" w:lineRule="auto"/>
        <w:ind w:firstLine="480" w:firstLineChars="200"/>
        <w:rPr>
          <w:rFonts w:ascii="宋体" w:hAnsi="宋体"/>
          <w:bCs/>
          <w:color w:val="auto"/>
          <w:sz w:val="24"/>
          <w:szCs w:val="24"/>
          <w:highlight w:val="none"/>
          <w:u w:val="single"/>
        </w:rPr>
      </w:pPr>
      <w:r>
        <w:rPr>
          <w:rFonts w:hint="eastAsia" w:ascii="宋体"/>
          <w:bCs/>
          <w:color w:val="auto"/>
          <w:sz w:val="24"/>
          <w:highlight w:val="none"/>
          <w:u w:val="single"/>
        </w:rPr>
        <w:t>（6）</w:t>
      </w:r>
      <w:r>
        <w:rPr>
          <w:rFonts w:hint="eastAsia" w:ascii="宋体" w:hAnsi="宋体"/>
          <w:bCs/>
          <w:color w:val="auto"/>
          <w:sz w:val="24"/>
          <w:szCs w:val="24"/>
          <w:highlight w:val="none"/>
          <w:u w:val="single"/>
        </w:rPr>
        <w:t>项目负责人（按网上投标登记时选择拟投标的项目负责人。）；</w:t>
      </w:r>
    </w:p>
    <w:p>
      <w:pPr>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（7）专职安全员（按网上投标登记时选择拟投标的专职安全员。）；</w:t>
      </w:r>
    </w:p>
    <w:p>
      <w:pPr>
        <w:spacing w:line="360" w:lineRule="auto"/>
        <w:ind w:firstLine="482" w:firstLineChars="200"/>
        <w:rPr>
          <w:rFonts w:ascii="宋体" w:hAnsi="宋体"/>
          <w:b/>
          <w:color w:val="auto"/>
          <w:sz w:val="24"/>
          <w:szCs w:val="24"/>
          <w:highlight w:val="none"/>
          <w:u w:val="single"/>
        </w:rPr>
      </w:pPr>
      <w:r>
        <w:rPr>
          <w:rFonts w:hint="eastAsia" w:ascii="宋体" w:hAnsi="宋体"/>
          <w:b/>
          <w:color w:val="auto"/>
          <w:sz w:val="24"/>
          <w:szCs w:val="24"/>
          <w:highlight w:val="none"/>
          <w:u w:val="single"/>
        </w:rPr>
        <w:t>（8）拟委派技术负责人的职称证书（具体要求详见招标公告）；</w:t>
      </w:r>
    </w:p>
    <w:p>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 xml:space="preserve">（9）拟委派项目负责人的建造师注册证书； </w:t>
      </w:r>
    </w:p>
    <w:p>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（10）项目负责人安全生产考核合格证明或在有效期内的安全考核合格证书（B类）或建筑施工企业项目负责人安全生产考核合格证书；</w:t>
      </w:r>
    </w:p>
    <w:p>
      <w:pPr>
        <w:spacing w:line="360" w:lineRule="auto"/>
        <w:ind w:firstLine="480" w:firstLineChars="200"/>
        <w:rPr>
          <w:rFonts w:ascii="宋体"/>
          <w:bCs/>
          <w:color w:val="auto"/>
          <w:sz w:val="24"/>
          <w:szCs w:val="24"/>
          <w:highlight w:val="none"/>
          <w:u w:val="single"/>
        </w:rPr>
      </w:pPr>
      <w:r>
        <w:rPr>
          <w:rFonts w:hint="eastAsia" w:ascii="宋体"/>
          <w:bCs/>
          <w:color w:val="auto"/>
          <w:sz w:val="24"/>
          <w:highlight w:val="none"/>
          <w:u w:val="single"/>
        </w:rPr>
        <w:t>（11）专职安全员须具有在有效期内的安全考核合格证书（C类）或建筑施工企业专职安全生产管理人员安全生产考核合格证书（C3）；</w:t>
      </w:r>
    </w:p>
    <w:p>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（12）</w:t>
      </w:r>
      <w:r>
        <w:rPr>
          <w:rFonts w:hint="eastAsia" w:ascii="宋体" w:hAnsi="宋体"/>
          <w:bCs/>
          <w:color w:val="auto"/>
          <w:sz w:val="24"/>
          <w:szCs w:val="24"/>
          <w:highlight w:val="none"/>
          <w:u w:val="single"/>
        </w:rPr>
        <w:t>用于资格审查的业绩（设置业绩要求时选择此项，</w:t>
      </w:r>
      <w:r>
        <w:rPr>
          <w:rFonts w:hint="eastAsia" w:ascii="宋体" w:hAnsi="宋体"/>
          <w:color w:val="auto"/>
          <w:sz w:val="24"/>
          <w:highlight w:val="none"/>
          <w:u w:val="single"/>
        </w:rPr>
        <w:t>具体格式由招标人自定</w:t>
      </w:r>
      <w:r>
        <w:rPr>
          <w:rFonts w:hint="eastAsia" w:ascii="宋体" w:hAnsi="宋体"/>
          <w:bCs/>
          <w:color w:val="auto"/>
          <w:sz w:val="24"/>
          <w:szCs w:val="24"/>
          <w:highlight w:val="none"/>
          <w:u w:val="single"/>
        </w:rPr>
        <w:t>）</w:t>
      </w:r>
    </w:p>
    <w:p>
      <w:pPr>
        <w:spacing w:line="360" w:lineRule="auto"/>
        <w:ind w:firstLine="480" w:firstLineChars="200"/>
        <w:rPr>
          <w:rFonts w:ascii="宋体" w:hAnsi="宋体"/>
          <w:bCs/>
          <w:strike/>
          <w:color w:val="auto"/>
          <w:sz w:val="24"/>
          <w:szCs w:val="24"/>
          <w:highlight w:val="none"/>
          <w:u w:val="single"/>
        </w:rPr>
      </w:pPr>
      <w:r>
        <w:rPr>
          <w:rFonts w:hint="eastAsia" w:ascii="宋体" w:hAnsi="宋体"/>
          <w:bCs/>
          <w:strike/>
          <w:color w:val="auto"/>
          <w:sz w:val="24"/>
          <w:szCs w:val="24"/>
          <w:highlight w:val="none"/>
          <w:u w:val="single"/>
        </w:rPr>
        <w:t>（13）列明主办单位的联合体工作协议（采用联合体投标时需递交，</w:t>
      </w:r>
      <w:r>
        <w:rPr>
          <w:rFonts w:hint="eastAsia" w:ascii="宋体" w:hAnsi="宋体"/>
          <w:strike/>
          <w:color w:val="auto"/>
          <w:sz w:val="24"/>
          <w:szCs w:val="24"/>
          <w:highlight w:val="none"/>
          <w:u w:val="single"/>
        </w:rPr>
        <w:t>联合体工作协议应明确约定各方拟承担的工作和责任</w:t>
      </w:r>
      <w:r>
        <w:rPr>
          <w:rFonts w:hint="eastAsia" w:ascii="宋体" w:hAnsi="宋体"/>
          <w:bCs/>
          <w:strike/>
          <w:color w:val="auto"/>
          <w:sz w:val="24"/>
          <w:szCs w:val="24"/>
          <w:highlight w:val="none"/>
          <w:u w:val="single"/>
        </w:rPr>
        <w:t>）；</w:t>
      </w:r>
    </w:p>
    <w:p>
      <w:pPr>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（14）投标人认为应提交的其他资料 。</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11.2.2技术投标文件主要包括下列内容：</w:t>
      </w:r>
    </w:p>
    <w:p>
      <w:pPr>
        <w:numPr>
          <w:ilvl w:val="0"/>
          <w:numId w:val="6"/>
        </w:numPr>
        <w:spacing w:line="360" w:lineRule="auto"/>
        <w:ind w:firstLine="480" w:firstLineChars="200"/>
        <w:rPr>
          <w:rFonts w:ascii="宋体" w:hAnsi="宋体"/>
          <w:color w:val="auto"/>
          <w:sz w:val="24"/>
          <w:highlight w:val="none"/>
          <w:u w:val="single"/>
        </w:rPr>
      </w:pPr>
      <w:r>
        <w:rPr>
          <w:rFonts w:hint="eastAsia" w:ascii="宋体"/>
          <w:bCs/>
          <w:color w:val="auto"/>
          <w:sz w:val="24"/>
          <w:highlight w:val="none"/>
          <w:u w:val="single"/>
        </w:rPr>
        <w:t>《广州建设工程施工招标投标书》；</w:t>
      </w:r>
    </w:p>
    <w:p>
      <w:pPr>
        <w:numPr>
          <w:ilvl w:val="0"/>
          <w:numId w:val="6"/>
        </w:num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项目管理机构配备：</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szCs w:val="24"/>
          <w:highlight w:val="none"/>
          <w:u w:val="single"/>
        </w:rPr>
        <w:t>①</w:t>
      </w:r>
      <w:r>
        <w:rPr>
          <w:rFonts w:hint="eastAsia" w:ascii="宋体" w:hAnsi="宋体"/>
          <w:color w:val="auto"/>
          <w:sz w:val="24"/>
          <w:highlight w:val="none"/>
          <w:u w:val="single"/>
        </w:rPr>
        <w:t>投标人应列出该项目工程的施工组织机构构成和画出机构框架图及其负责人；</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szCs w:val="24"/>
          <w:highlight w:val="none"/>
          <w:u w:val="single"/>
        </w:rPr>
        <w:t>②</w:t>
      </w:r>
      <w:r>
        <w:rPr>
          <w:rFonts w:hint="eastAsia" w:ascii="宋体" w:hAnsi="宋体"/>
          <w:color w:val="auto"/>
          <w:sz w:val="24"/>
          <w:highlight w:val="none"/>
          <w:u w:val="singl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szCs w:val="24"/>
          <w:highlight w:val="none"/>
          <w:u w:val="single"/>
        </w:rPr>
        <w:t>③</w:t>
      </w:r>
      <w:r>
        <w:rPr>
          <w:rFonts w:hint="eastAsia" w:ascii="宋体" w:hAnsi="宋体"/>
          <w:color w:val="auto"/>
          <w:sz w:val="24"/>
          <w:highlight w:val="none"/>
          <w:u w:val="single"/>
        </w:rPr>
        <w:t>其他辅助说明资料。</w:t>
      </w:r>
    </w:p>
    <w:p>
      <w:pPr>
        <w:spacing w:line="360" w:lineRule="auto"/>
        <w:ind w:firstLine="480" w:firstLineChars="200"/>
        <w:rPr>
          <w:rFonts w:ascii="宋体" w:hAnsi="宋体"/>
          <w:strike w:val="0"/>
          <w:color w:val="auto"/>
          <w:sz w:val="24"/>
          <w:highlight w:val="none"/>
          <w:u w:val="single"/>
        </w:rPr>
      </w:pPr>
      <w:r>
        <w:rPr>
          <w:rFonts w:hint="eastAsia" w:ascii="宋体" w:hAnsi="宋体"/>
          <w:strike w:val="0"/>
          <w:color w:val="auto"/>
          <w:sz w:val="24"/>
          <w:highlight w:val="none"/>
          <w:u w:val="single"/>
        </w:rPr>
        <w:t>（3）施工组织设计或施工方案；</w:t>
      </w:r>
    </w:p>
    <w:p>
      <w:pPr>
        <w:pStyle w:val="2"/>
        <w:rPr>
          <w:rFonts w:hint="eastAsia" w:ascii="楷体" w:hAnsi="楷体" w:eastAsia="楷体" w:cs="楷体"/>
          <w:strike w:val="0"/>
          <w:color w:val="auto"/>
          <w:sz w:val="24"/>
          <w:highlight w:val="none"/>
          <w:u w:val="single"/>
        </w:rPr>
      </w:pPr>
      <w:r>
        <w:rPr>
          <w:rFonts w:hint="eastAsia" w:ascii="楷体" w:hAnsi="楷体" w:eastAsia="楷体" w:cs="楷体"/>
          <w:strike w:val="0"/>
          <w:color w:val="auto"/>
          <w:sz w:val="24"/>
          <w:highlight w:val="none"/>
          <w:u w:val="single"/>
        </w:rPr>
        <w:t>(投标人在编制施工组织设计或施工方案时应接照招标文件要求,并针对本项目的</w:t>
      </w:r>
    </w:p>
    <w:p>
      <w:pPr>
        <w:pStyle w:val="2"/>
        <w:rPr>
          <w:rFonts w:hint="eastAsia" w:ascii="宋体" w:hAnsi="宋体" w:eastAsia="楷体"/>
          <w:strike w:val="0"/>
          <w:color w:val="auto"/>
          <w:sz w:val="24"/>
          <w:highlight w:val="none"/>
          <w:u w:val="single"/>
          <w:lang w:eastAsia="zh-CN"/>
        </w:rPr>
      </w:pPr>
      <w:r>
        <w:rPr>
          <w:rFonts w:hint="eastAsia" w:ascii="楷体" w:hAnsi="楷体" w:eastAsia="楷体" w:cs="楷体"/>
          <w:strike w:val="0"/>
          <w:color w:val="auto"/>
          <w:sz w:val="24"/>
          <w:highlight w:val="none"/>
          <w:u w:val="single"/>
        </w:rPr>
        <w:t>关键技术、工艺、重点、难点以及拟在本项目采用的新工艺、新技术、新材料编制,应突出重点。标准、规范中已有的内容无需赘述,篇幅不宜超过150页。超过部分不予评审）</w:t>
      </w:r>
      <w:r>
        <w:rPr>
          <w:rFonts w:hint="eastAsia" w:ascii="楷体" w:hAnsi="楷体" w:eastAsia="楷体" w:cs="楷体"/>
          <w:strike w:val="0"/>
          <w:color w:val="auto"/>
          <w:sz w:val="24"/>
          <w:highlight w:val="none"/>
          <w:u w:val="single"/>
          <w:lang w:eastAsia="zh-CN"/>
        </w:rPr>
        <w:t>。</w:t>
      </w:r>
    </w:p>
    <w:p>
      <w:pPr>
        <w:spacing w:line="360" w:lineRule="auto"/>
        <w:ind w:firstLine="480" w:firstLineChars="200"/>
        <w:rPr>
          <w:rFonts w:ascii="宋体" w:hAnsi="宋体"/>
          <w:strike/>
          <w:color w:val="auto"/>
          <w:sz w:val="24"/>
          <w:highlight w:val="none"/>
          <w:u w:val="single"/>
        </w:rPr>
      </w:pPr>
      <w:r>
        <w:rPr>
          <w:rFonts w:hint="eastAsia" w:ascii="宋体" w:hAnsi="宋体"/>
          <w:strike/>
          <w:color w:val="auto"/>
          <w:sz w:val="24"/>
          <w:highlight w:val="none"/>
          <w:u w:val="single"/>
        </w:rPr>
        <w:t>（4）（选择性条款）有余泥渣土产生的项目可要求提供余泥渣土运输与排放方案；</w:t>
      </w:r>
    </w:p>
    <w:p>
      <w:pPr>
        <w:spacing w:line="360" w:lineRule="auto"/>
        <w:ind w:firstLine="480" w:firstLineChars="200"/>
        <w:rPr>
          <w:rFonts w:ascii="宋体" w:hAnsi="宋体"/>
          <w:strike/>
          <w:color w:val="auto"/>
          <w:sz w:val="24"/>
          <w:highlight w:val="none"/>
          <w:u w:val="single"/>
        </w:rPr>
      </w:pPr>
      <w:r>
        <w:rPr>
          <w:rFonts w:hint="eastAsia" w:ascii="宋体" w:hAnsi="宋体"/>
          <w:strike/>
          <w:color w:val="auto"/>
          <w:sz w:val="24"/>
          <w:highlight w:val="none"/>
          <w:u w:val="single"/>
        </w:rPr>
        <w:t>（5）（选择性条款）投标人可使用适合本工程的机械设备；</w:t>
      </w:r>
    </w:p>
    <w:p>
      <w:pPr>
        <w:spacing w:line="360" w:lineRule="auto"/>
        <w:ind w:firstLine="480" w:firstLineChars="200"/>
        <w:rPr>
          <w:rFonts w:ascii="宋体" w:hAnsi="宋体"/>
          <w:strike w:val="0"/>
          <w:color w:val="auto"/>
          <w:sz w:val="24"/>
          <w:highlight w:val="none"/>
          <w:u w:val="single"/>
        </w:rPr>
      </w:pPr>
      <w:r>
        <w:rPr>
          <w:rFonts w:hint="eastAsia" w:ascii="宋体" w:hAnsi="宋体"/>
          <w:strike w:val="0"/>
          <w:color w:val="auto"/>
          <w:sz w:val="24"/>
          <w:highlight w:val="none"/>
          <w:u w:val="single"/>
        </w:rPr>
        <w:t>（6）（选择性条款）类似工程业绩材料；</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（7）按本招标文件规定提交的其它所有技术资料；</w:t>
      </w:r>
    </w:p>
    <w:p>
      <w:pPr>
        <w:spacing w:line="360" w:lineRule="auto"/>
        <w:ind w:firstLine="480" w:firstLineChars="200"/>
        <w:rPr>
          <w:rFonts w:ascii="宋体"/>
          <w:color w:val="auto"/>
          <w:sz w:val="24"/>
          <w:highlight w:val="none"/>
        </w:rPr>
      </w:pPr>
      <w:r>
        <w:rPr>
          <w:rFonts w:hint="eastAsia" w:ascii="宋体" w:hAnsi="宋体"/>
          <w:color w:val="auto"/>
          <w:sz w:val="24"/>
          <w:highlight w:val="none"/>
          <w:u w:val="single"/>
        </w:rPr>
        <w:t>（8）按照招标文件要求填写的《参与编制技术标投标文件人员名单》。</w:t>
      </w:r>
    </w:p>
    <w:p>
      <w:pPr>
        <w:pBdr>
          <w:bottom w:val="single" w:color="auto" w:sz="6" w:space="1"/>
        </w:pBdr>
        <w:spacing w:line="480" w:lineRule="auto"/>
        <w:ind w:firstLine="472" w:firstLineChars="224"/>
        <w:rPr>
          <w:b/>
          <w:color w:val="auto"/>
          <w:szCs w:val="21"/>
          <w:highlight w:val="none"/>
        </w:rPr>
      </w:pPr>
    </w:p>
    <w:p>
      <w:pPr>
        <w:spacing w:line="480" w:lineRule="auto"/>
        <w:ind w:firstLine="472" w:firstLineChars="224"/>
        <w:rPr>
          <w:b/>
          <w:color w:val="auto"/>
          <w:szCs w:val="21"/>
          <w:highlight w:val="none"/>
        </w:rPr>
      </w:pPr>
      <w:r>
        <w:rPr>
          <w:rFonts w:hint="eastAsia"/>
          <w:b/>
          <w:color w:val="auto"/>
          <w:szCs w:val="21"/>
          <w:highlight w:val="none"/>
        </w:rPr>
        <w:t>条款号：12.2、12.3</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rFonts w:ascii="宋体" w:hAnsi="宋体"/>
          <w:color w:val="auto"/>
          <w:sz w:val="24"/>
          <w:highlight w:val="none"/>
        </w:rPr>
      </w:pPr>
      <w:r>
        <w:rPr>
          <w:rFonts w:hint="eastAsia"/>
          <w:b/>
          <w:color w:val="auto"/>
          <w:szCs w:val="21"/>
          <w:highlight w:val="none"/>
        </w:rPr>
        <w:t>原文：</w:t>
      </w: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pStyle w:val="5"/>
        <w:spacing w:after="0" w:line="360" w:lineRule="auto"/>
        <w:ind w:firstLine="480" w:firstLineChars="200"/>
        <w:rPr>
          <w:b/>
          <w:color w:val="auto"/>
          <w:szCs w:val="21"/>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highlight w:val="none"/>
        </w:rPr>
        <w:t>。</w:t>
      </w:r>
    </w:p>
    <w:p>
      <w:pPr>
        <w:pStyle w:val="5"/>
        <w:spacing w:after="0" w:line="360" w:lineRule="auto"/>
        <w:ind w:firstLine="422" w:firstLineChars="200"/>
        <w:rPr>
          <w:rFonts w:ascii="宋体" w:hAnsi="宋体"/>
          <w:color w:val="auto"/>
          <w:sz w:val="24"/>
          <w:highlight w:val="none"/>
        </w:rPr>
      </w:pPr>
      <w:r>
        <w:rPr>
          <w:rFonts w:hint="eastAsia"/>
          <w:b/>
          <w:color w:val="auto"/>
          <w:szCs w:val="21"/>
          <w:highlight w:val="none"/>
        </w:rPr>
        <w:t>现文：</w:t>
      </w: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rFonts w:hint="eastAsia" w:ascii="宋体" w:hAnsi="宋体" w:cs="宋体"/>
          <w:b/>
          <w:bCs/>
          <w:color w:val="auto"/>
          <w:sz w:val="24"/>
          <w:szCs w:val="24"/>
          <w:highlight w:val="none"/>
          <w:u w:val="single"/>
        </w:rPr>
        <w:t>广州交易集团有限公司（广州公共资源交易中心）网站</w:t>
      </w:r>
      <w:r>
        <w:rPr>
          <w:rFonts w:hint="eastAsia"/>
          <w:color w:val="auto"/>
          <w:sz w:val="24"/>
          <w:szCs w:val="24"/>
          <w:highlight w:val="none"/>
        </w:rPr>
        <w:t>。</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rFonts w:hint="eastAsia" w:ascii="宋体" w:hAnsi="宋体" w:cs="宋体"/>
          <w:b/>
          <w:bCs/>
          <w:color w:val="auto"/>
          <w:sz w:val="24"/>
          <w:szCs w:val="24"/>
          <w:highlight w:val="none"/>
          <w:u w:val="single"/>
        </w:rPr>
        <w:t>广州交易集团有限公司（广州公共资源交易中心）网站</w:t>
      </w:r>
      <w:r>
        <w:rPr>
          <w:rFonts w:hint="eastAsia" w:ascii="宋体" w:hAnsi="宋体"/>
          <w:color w:val="auto"/>
          <w:sz w:val="24"/>
          <w:highlight w:val="none"/>
        </w:rPr>
        <w:t>。</w:t>
      </w:r>
    </w:p>
    <w:p>
      <w:pPr>
        <w:pBdr>
          <w:bottom w:val="single" w:color="auto" w:sz="6" w:space="1"/>
        </w:pBdr>
        <w:spacing w:line="480" w:lineRule="auto"/>
        <w:ind w:firstLine="472" w:firstLineChars="224"/>
        <w:rPr>
          <w:b/>
          <w:color w:val="auto"/>
          <w:szCs w:val="21"/>
          <w:highlight w:val="none"/>
        </w:rPr>
      </w:pPr>
    </w:p>
    <w:p>
      <w:pPr>
        <w:spacing w:line="480" w:lineRule="auto"/>
        <w:ind w:firstLine="472" w:firstLineChars="224"/>
        <w:rPr>
          <w:b/>
          <w:color w:val="auto"/>
          <w:szCs w:val="21"/>
          <w:highlight w:val="none"/>
        </w:rPr>
      </w:pPr>
      <w:r>
        <w:rPr>
          <w:rFonts w:hint="eastAsia"/>
          <w:b/>
          <w:color w:val="auto"/>
          <w:szCs w:val="21"/>
          <w:highlight w:val="none"/>
        </w:rPr>
        <w:t>条款号：13.4</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22" w:firstLineChars="200"/>
        <w:rPr>
          <w:rFonts w:ascii="宋体"/>
          <w:color w:val="auto"/>
          <w:sz w:val="24"/>
          <w:highlight w:val="none"/>
        </w:rPr>
      </w:pPr>
      <w:r>
        <w:rPr>
          <w:rFonts w:hint="eastAsia"/>
          <w:b/>
          <w:color w:val="auto"/>
          <w:szCs w:val="21"/>
          <w:highlight w:val="none"/>
        </w:rPr>
        <w:t>现文：</w:t>
      </w:r>
      <w:r>
        <w:rPr>
          <w:rFonts w:hint="eastAsia" w:ascii="宋体" w:hAnsi="宋体" w:cs="宋体"/>
          <w:color w:val="auto"/>
          <w:sz w:val="24"/>
          <w:highlight w:val="none"/>
          <w:u w:val="single"/>
        </w:rPr>
        <w:t>13.4投标人一旦中标，投标人对招标人提供的招标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单价波动涨跌幅度超过合同基准期（指递交投标文件截止日期前28天）价格的5%，或施工机械台班单价波动涨跌幅度超过合同基准期（指递交投标文件截止日期前28天）价格的10%或人工涨跌变化影响合同价款时，应根据合同约定，按《建设工程工程量清单计价规范》（GB50500-2013）调整合同价款。人工、主要材料（设备）按广州市造价管理站施工同期《广州地区建设工程材料综合价格》调整。</w:t>
      </w:r>
    </w:p>
    <w:p>
      <w:pPr>
        <w:pBdr>
          <w:bottom w:val="single" w:color="auto" w:sz="6" w:space="1"/>
        </w:pBdr>
        <w:spacing w:line="480" w:lineRule="auto"/>
        <w:ind w:firstLine="472" w:firstLineChars="224"/>
        <w:rPr>
          <w:b/>
          <w:color w:val="auto"/>
          <w:szCs w:val="21"/>
          <w:highlight w:val="none"/>
        </w:rPr>
      </w:pPr>
    </w:p>
    <w:p>
      <w:pPr>
        <w:spacing w:line="480" w:lineRule="auto"/>
        <w:ind w:firstLine="472" w:firstLineChars="224"/>
        <w:rPr>
          <w:b/>
          <w:color w:val="auto"/>
          <w:szCs w:val="21"/>
          <w:highlight w:val="none"/>
        </w:rPr>
      </w:pPr>
      <w:r>
        <w:rPr>
          <w:rFonts w:hint="eastAsia"/>
          <w:b/>
          <w:color w:val="auto"/>
          <w:szCs w:val="21"/>
          <w:highlight w:val="none"/>
        </w:rPr>
        <w:t>条款号：13.5.1</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pPr>
        <w:pStyle w:val="5"/>
        <w:spacing w:after="0" w:line="360" w:lineRule="auto"/>
        <w:ind w:firstLine="422" w:firstLineChars="200"/>
        <w:rPr>
          <w:b/>
          <w:color w:val="auto"/>
          <w:szCs w:val="21"/>
          <w:highlight w:val="none"/>
        </w:rPr>
      </w:pPr>
      <w:r>
        <w:rPr>
          <w:rFonts w:hint="eastAsia"/>
          <w:b/>
          <w:color w:val="auto"/>
          <w:szCs w:val="21"/>
          <w:highlight w:val="none"/>
        </w:rPr>
        <w:t>现文：</w:t>
      </w:r>
      <w:r>
        <w:rPr>
          <w:rFonts w:hint="eastAsia" w:ascii="宋体" w:hAnsi="宋体" w:cs="宋体"/>
          <w:b/>
          <w:bCs/>
          <w:color w:val="auto"/>
          <w:sz w:val="24"/>
          <w:highlight w:val="none"/>
          <w:u w:val="single"/>
        </w:rPr>
        <w:t>13.5.1中标的投标文件工程量清单中已有相同项目的，该项目的综合单价若低于最高投标限价相应项目综合单价，则沿用；若高于最高投标限价相应的综合单价，则按最高投标限价相应的综合单价；</w:t>
      </w:r>
    </w:p>
    <w:p>
      <w:pPr>
        <w:pBdr>
          <w:bottom w:val="single" w:color="auto" w:sz="6" w:space="1"/>
        </w:pBdr>
        <w:spacing w:line="480" w:lineRule="auto"/>
        <w:rPr>
          <w:b/>
          <w:color w:val="auto"/>
          <w:szCs w:val="21"/>
          <w:highlight w:val="none"/>
        </w:rPr>
      </w:pPr>
    </w:p>
    <w:p>
      <w:pPr>
        <w:spacing w:line="480" w:lineRule="auto"/>
        <w:ind w:firstLine="472" w:firstLineChars="224"/>
        <w:rPr>
          <w:b/>
          <w:color w:val="auto"/>
          <w:szCs w:val="21"/>
          <w:highlight w:val="none"/>
        </w:rPr>
      </w:pPr>
      <w:r>
        <w:rPr>
          <w:rFonts w:hint="eastAsia"/>
          <w:b/>
          <w:color w:val="auto"/>
          <w:szCs w:val="21"/>
          <w:highlight w:val="none"/>
        </w:rPr>
        <w:t>条款号：15.2</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pPr>
        <w:pStyle w:val="5"/>
        <w:spacing w:after="0" w:line="360" w:lineRule="auto"/>
        <w:ind w:firstLine="422" w:firstLineChars="200"/>
        <w:rPr>
          <w:rFonts w:ascii="宋体"/>
          <w:color w:val="auto"/>
          <w:sz w:val="24"/>
          <w:highlight w:val="none"/>
        </w:rPr>
      </w:pPr>
      <w:r>
        <w:rPr>
          <w:rFonts w:hint="eastAsia"/>
          <w:b/>
          <w:color w:val="auto"/>
          <w:szCs w:val="21"/>
          <w:highlight w:val="none"/>
        </w:rPr>
        <w:t>现文：</w:t>
      </w: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w:t>
      </w:r>
      <w:r>
        <w:rPr>
          <w:rFonts w:hint="eastAsia" w:ascii="宋体" w:hAnsi="宋体"/>
          <w:strike/>
          <w:color w:val="auto"/>
          <w:sz w:val="24"/>
          <w:highlight w:val="none"/>
        </w:rPr>
        <w:t>，而不影响退还其投标保证金</w:t>
      </w:r>
      <w:r>
        <w:rPr>
          <w:rFonts w:hint="eastAsia" w:ascii="宋体" w:hAnsi="宋体"/>
          <w:color w:val="auto"/>
          <w:sz w:val="24"/>
          <w:highlight w:val="none"/>
        </w:rPr>
        <w:t>。同意延长投标有效期的投标人既不能要求也不允许修改其投标文件</w:t>
      </w:r>
      <w:r>
        <w:rPr>
          <w:rFonts w:hint="eastAsia" w:ascii="宋体" w:hAnsi="宋体"/>
          <w:strike/>
          <w:color w:val="auto"/>
          <w:sz w:val="24"/>
          <w:highlight w:val="none"/>
        </w:rPr>
        <w:t>，但需要相应的延长投标保证金的有效期，在延长的投标有效期内，本须知第</w:t>
      </w:r>
      <w:r>
        <w:rPr>
          <w:rFonts w:ascii="宋体" w:hAnsi="宋体"/>
          <w:strike/>
          <w:color w:val="auto"/>
          <w:sz w:val="24"/>
          <w:highlight w:val="none"/>
        </w:rPr>
        <w:t>16</w:t>
      </w:r>
      <w:r>
        <w:rPr>
          <w:rFonts w:hint="eastAsia" w:ascii="宋体" w:hAnsi="宋体"/>
          <w:strike/>
          <w:color w:val="auto"/>
          <w:sz w:val="24"/>
          <w:highlight w:val="none"/>
        </w:rPr>
        <w:t>条关于投标保证金的退还与不予退还的规定仍然适用</w:t>
      </w:r>
      <w:r>
        <w:rPr>
          <w:rFonts w:hint="eastAsia" w:ascii="宋体" w:hAnsi="宋体"/>
          <w:color w:val="auto"/>
          <w:sz w:val="24"/>
          <w:highlight w:val="none"/>
        </w:rPr>
        <w:t>。</w:t>
      </w:r>
    </w:p>
    <w:p>
      <w:pPr>
        <w:pBdr>
          <w:bottom w:val="single" w:color="auto" w:sz="6" w:space="1"/>
        </w:pBdr>
        <w:spacing w:line="480" w:lineRule="auto"/>
        <w:rPr>
          <w:b/>
          <w:color w:val="auto"/>
          <w:szCs w:val="21"/>
          <w:highlight w:val="none"/>
        </w:rPr>
      </w:pPr>
    </w:p>
    <w:p>
      <w:pPr>
        <w:spacing w:line="480" w:lineRule="auto"/>
        <w:ind w:firstLine="472" w:firstLineChars="224"/>
        <w:rPr>
          <w:b/>
          <w:color w:val="auto"/>
          <w:szCs w:val="21"/>
          <w:highlight w:val="none"/>
        </w:rPr>
      </w:pPr>
      <w:r>
        <w:rPr>
          <w:rFonts w:hint="eastAsia"/>
          <w:b/>
          <w:color w:val="auto"/>
          <w:szCs w:val="21"/>
          <w:highlight w:val="none"/>
        </w:rPr>
        <w:t>条款号：16</w:t>
      </w:r>
      <w:r>
        <w:rPr>
          <w:b/>
          <w:color w:val="auto"/>
          <w:szCs w:val="21"/>
          <w:highlight w:val="none"/>
        </w:rPr>
        <w:t xml:space="preserve">            </w:t>
      </w:r>
      <w:r>
        <w:rPr>
          <w:rFonts w:hint="eastAsia"/>
          <w:b/>
          <w:color w:val="auto"/>
          <w:szCs w:val="21"/>
          <w:highlight w:val="none"/>
        </w:rPr>
        <w:t>修改类型：删除</w:t>
      </w:r>
    </w:p>
    <w:p>
      <w:pPr>
        <w:pStyle w:val="5"/>
        <w:spacing w:after="0" w:line="360" w:lineRule="auto"/>
        <w:ind w:firstLine="422" w:firstLineChars="200"/>
        <w:rPr>
          <w:rFonts w:ascii="宋体"/>
          <w:b/>
          <w:bCs/>
          <w:color w:val="auto"/>
          <w:sz w:val="24"/>
          <w:highlight w:val="none"/>
        </w:rPr>
      </w:pPr>
      <w:r>
        <w:rPr>
          <w:rFonts w:hint="eastAsia"/>
          <w:b/>
          <w:color w:val="auto"/>
          <w:szCs w:val="21"/>
          <w:highlight w:val="none"/>
        </w:rPr>
        <w:t>原文：</w:t>
      </w:r>
      <w:r>
        <w:rPr>
          <w:rFonts w:ascii="宋体" w:hAnsi="宋体"/>
          <w:b/>
          <w:bCs/>
          <w:color w:val="auto"/>
          <w:sz w:val="24"/>
          <w:highlight w:val="none"/>
        </w:rPr>
        <w:t>16</w:t>
      </w:r>
      <w:r>
        <w:rPr>
          <w:rFonts w:hint="eastAsia" w:ascii="宋体" w:hAnsi="宋体"/>
          <w:b/>
          <w:bCs/>
          <w:color w:val="auto"/>
          <w:sz w:val="24"/>
          <w:highlight w:val="none"/>
        </w:rPr>
        <w:t>．投标保证金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投标人应按国家、省、市有关规定和投标须知前附表第16项所述金额和时间递交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16.4如有下列情况之一的，招标人可以不予退还投标保证金（是否退还投标保证金由招标人依法依规在招标文件中规定）：</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16.5投标人如存在下列情况之一的，将被拒绝在一定时期内参与招标人后续工程投标（由招标人依法依规在招标文件中明确）：</w:t>
      </w:r>
    </w:p>
    <w:p>
      <w:pPr>
        <w:pBdr>
          <w:bottom w:val="single" w:color="auto" w:sz="6" w:space="1"/>
        </w:pBdr>
        <w:spacing w:line="480" w:lineRule="auto"/>
        <w:rPr>
          <w:b/>
          <w:color w:val="auto"/>
          <w:szCs w:val="21"/>
          <w:highlight w:val="none"/>
        </w:rPr>
      </w:pPr>
    </w:p>
    <w:p>
      <w:pPr>
        <w:spacing w:line="480" w:lineRule="auto"/>
        <w:ind w:firstLine="472" w:firstLineChars="224"/>
        <w:rPr>
          <w:b/>
          <w:color w:val="auto"/>
          <w:szCs w:val="21"/>
          <w:highlight w:val="none"/>
        </w:rPr>
      </w:pPr>
      <w:r>
        <w:rPr>
          <w:rFonts w:hint="eastAsia"/>
          <w:b/>
          <w:color w:val="auto"/>
          <w:szCs w:val="21"/>
          <w:highlight w:val="none"/>
        </w:rPr>
        <w:t>条款号：17.1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360" w:lineRule="auto"/>
        <w:ind w:firstLine="422" w:firstLineChars="200"/>
        <w:rPr>
          <w:rFonts w:ascii="宋体"/>
          <w:color w:val="auto"/>
          <w:sz w:val="24"/>
          <w:highlight w:val="none"/>
        </w:rPr>
      </w:pPr>
      <w:r>
        <w:rPr>
          <w:rFonts w:hint="eastAsia"/>
          <w:b/>
          <w:color w:val="auto"/>
          <w:szCs w:val="21"/>
          <w:highlight w:val="none"/>
        </w:rPr>
        <w:t>现文：</w:t>
      </w: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b/>
          <w:bCs/>
          <w:color w:val="auto"/>
          <w:sz w:val="24"/>
          <w:highlight w:val="none"/>
          <w:u w:val="single"/>
        </w:rPr>
        <w:t>广州交易集团有限公司（广州公共资源交易中心）网站</w:t>
      </w:r>
      <w:r>
        <w:rPr>
          <w:rFonts w:hint="eastAsia" w:ascii="宋体" w:hAnsi="宋体"/>
          <w:color w:val="auto"/>
          <w:sz w:val="24"/>
          <w:highlight w:val="none"/>
        </w:rPr>
        <w:t xml:space="preserve"> 。</w:t>
      </w:r>
    </w:p>
    <w:p>
      <w:pPr>
        <w:pBdr>
          <w:bottom w:val="single" w:color="auto" w:sz="6" w:space="1"/>
        </w:pBdr>
        <w:spacing w:line="480" w:lineRule="auto"/>
        <w:ind w:firstLine="472" w:firstLineChars="224"/>
        <w:rPr>
          <w:b/>
          <w:color w:val="auto"/>
          <w:szCs w:val="21"/>
          <w:highlight w:val="none"/>
        </w:rPr>
      </w:pPr>
    </w:p>
    <w:p>
      <w:pP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 xml:space="preserve"> </w:t>
      </w:r>
      <w:r>
        <w:rPr>
          <w:rFonts w:hint="eastAsia"/>
          <w:b/>
          <w:color w:val="auto"/>
          <w:szCs w:val="21"/>
          <w:highlight w:val="none"/>
        </w:rPr>
        <w:t>19</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b/>
          <w:bCs/>
          <w:color w:val="auto"/>
          <w:sz w:val="24"/>
          <w:highlight w:val="none"/>
        </w:rPr>
      </w:pPr>
      <w:r>
        <w:rPr>
          <w:rFonts w:hint="eastAsia"/>
          <w:b/>
          <w:color w:val="auto"/>
          <w:szCs w:val="21"/>
          <w:highlight w:val="none"/>
        </w:rPr>
        <w:t>原文：</w:t>
      </w: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b/>
          <w:color w:val="auto"/>
          <w:szCs w:val="21"/>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pPr>
        <w:spacing w:line="360" w:lineRule="auto"/>
        <w:ind w:firstLine="422" w:firstLineChars="200"/>
        <w:rPr>
          <w:rFonts w:ascii="宋体"/>
          <w:b/>
          <w:bCs/>
          <w:color w:val="auto"/>
          <w:sz w:val="24"/>
          <w:highlight w:val="none"/>
        </w:rPr>
      </w:pPr>
      <w:r>
        <w:rPr>
          <w:rFonts w:hint="eastAsia"/>
          <w:b/>
          <w:color w:val="auto"/>
          <w:szCs w:val="21"/>
          <w:highlight w:val="none"/>
        </w:rPr>
        <w:t>现文：</w:t>
      </w: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pPr>
        <w:pBdr>
          <w:bottom w:val="single" w:color="auto" w:sz="6" w:space="1"/>
        </w:pBdr>
        <w:spacing w:line="480" w:lineRule="auto"/>
        <w:rPr>
          <w:b/>
          <w:color w:val="auto"/>
          <w:szCs w:val="21"/>
          <w:highlight w:val="none"/>
        </w:rPr>
      </w:pPr>
    </w:p>
    <w:p>
      <w:pPr>
        <w:spacing w:line="480" w:lineRule="auto"/>
        <w:ind w:firstLine="472" w:firstLineChars="224"/>
        <w:rPr>
          <w:b/>
          <w:color w:val="auto"/>
          <w:szCs w:val="21"/>
          <w:highlight w:val="none"/>
        </w:rPr>
      </w:pPr>
      <w:r>
        <w:rPr>
          <w:rFonts w:hint="eastAsia"/>
          <w:b/>
          <w:color w:val="auto"/>
          <w:szCs w:val="21"/>
          <w:highlight w:val="none"/>
        </w:rPr>
        <w:t>条款号：21.1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rFonts w:ascii="宋体" w:hAnsi="宋体"/>
          <w:color w:val="auto"/>
          <w:sz w:val="24"/>
          <w:highlight w:val="none"/>
        </w:rPr>
        <w:t xml:space="preserve">21.1 </w:t>
      </w:r>
      <w:r>
        <w:rPr>
          <w:rFonts w:hint="eastAsia" w:ascii="宋体" w:hAnsi="宋体"/>
          <w:color w:val="auto"/>
          <w:sz w:val="24"/>
          <w:highlight w:val="none"/>
        </w:rPr>
        <w:t>本须知前附表第17项规定的投标截止时间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pStyle w:val="5"/>
        <w:spacing w:after="0" w:line="360" w:lineRule="auto"/>
        <w:ind w:firstLine="422" w:firstLineChars="200"/>
        <w:rPr>
          <w:rFonts w:ascii="宋体"/>
          <w:color w:val="auto"/>
          <w:sz w:val="24"/>
          <w:highlight w:val="none"/>
        </w:rPr>
      </w:pPr>
      <w:r>
        <w:rPr>
          <w:rFonts w:hint="eastAsia"/>
          <w:b/>
          <w:color w:val="auto"/>
          <w:szCs w:val="21"/>
          <w:highlight w:val="none"/>
        </w:rPr>
        <w:t>现文：</w:t>
      </w:r>
      <w:r>
        <w:rPr>
          <w:rFonts w:ascii="宋体" w:hAnsi="宋体"/>
          <w:color w:val="auto"/>
          <w:sz w:val="24"/>
          <w:highlight w:val="none"/>
        </w:rPr>
        <w:t xml:space="preserve">21.1 </w:t>
      </w:r>
      <w:r>
        <w:rPr>
          <w:rFonts w:hint="eastAsia" w:ascii="宋体" w:hAnsi="宋体"/>
          <w:color w:val="auto"/>
          <w:sz w:val="24"/>
          <w:highlight w:val="none"/>
        </w:rPr>
        <w:t>本须知前附表第17项规定的投标截止时间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pBdr>
          <w:bottom w:val="single" w:color="auto" w:sz="6" w:space="1"/>
        </w:pBdr>
        <w:spacing w:line="480" w:lineRule="auto"/>
        <w:rPr>
          <w:b/>
          <w:color w:val="auto"/>
          <w:szCs w:val="21"/>
          <w:highlight w:val="none"/>
        </w:rPr>
      </w:pPr>
    </w:p>
    <w:p>
      <w:pPr>
        <w:spacing w:line="480" w:lineRule="auto"/>
        <w:ind w:firstLine="472" w:firstLineChars="224"/>
        <w:rPr>
          <w:b/>
          <w:color w:val="auto"/>
          <w:szCs w:val="21"/>
          <w:highlight w:val="none"/>
        </w:rPr>
      </w:pPr>
      <w:r>
        <w:rPr>
          <w:rFonts w:hint="eastAsia"/>
          <w:b/>
          <w:color w:val="auto"/>
          <w:szCs w:val="21"/>
          <w:highlight w:val="none"/>
        </w:rPr>
        <w:t>条款号：28.1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olor w:val="auto"/>
          <w:sz w:val="24"/>
          <w:highlight w:val="none"/>
        </w:rPr>
        <w:t>28.1招标人将在</w:t>
      </w:r>
      <w:r>
        <w:rPr>
          <w:rFonts w:hint="eastAsia" w:ascii="宋体" w:hAnsi="宋体"/>
          <w:color w:val="auto"/>
          <w:sz w:val="24"/>
          <w:highlight w:val="none"/>
          <w:u w:val="single"/>
        </w:rPr>
        <w:t xml:space="preserve">        </w:t>
      </w:r>
      <w:r>
        <w:rPr>
          <w:rFonts w:hint="eastAsia" w:ascii="宋体" w:hAnsi="宋体"/>
          <w:color w:val="auto"/>
          <w:sz w:val="24"/>
          <w:highlight w:val="none"/>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w:t>
      </w:r>
      <w:r>
        <w:rPr>
          <w:rFonts w:hint="eastAsia" w:ascii="宋体" w:hAnsi="宋体"/>
          <w:color w:val="auto"/>
          <w:sz w:val="24"/>
          <w:highlight w:val="none"/>
          <w:u w:val="single"/>
        </w:rPr>
        <w:t>投标人提出异议时需在线提交书面的异议书（异议书应清晰表述异议事项、依据、线索、请求或主张、有效的联系方式等）并附法定代表人证明书、有效的授权委托书、被授权人的有效身份证明。</w:t>
      </w:r>
    </w:p>
    <w:p>
      <w:pP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olor w:val="auto"/>
          <w:sz w:val="24"/>
          <w:highlight w:val="none"/>
        </w:rPr>
        <w:t>28.1招标人将在</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highlight w:val="none"/>
        </w:rPr>
        <w:t>交易平台、广东省招标投标监管网和中国招标投标公共服务平台</w:t>
      </w:r>
      <w:r>
        <w:rPr>
          <w:rFonts w:hint="eastAsia" w:ascii="宋体" w:hAnsi="宋体" w:cs="宋体"/>
          <w:b/>
          <w:bCs/>
          <w:color w:val="auto"/>
          <w:sz w:val="24"/>
          <w:highlight w:val="none"/>
          <w:u w:val="single"/>
        </w:rPr>
        <w:t>、广州市增城区人民政府门户网站（http://www.zc.gov.cn/）的“首页&gt;公开&gt;公共资源配置领域&gt;工程建设项目招投标”栏目等法定媒体网站</w:t>
      </w:r>
      <w:r>
        <w:rPr>
          <w:rFonts w:hint="eastAsia" w:ascii="宋体" w:hAnsi="宋体"/>
          <w:color w:val="auto"/>
          <w:sz w:val="24"/>
          <w:highlight w:val="none"/>
        </w:rPr>
        <w:t>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w:t>
      </w:r>
      <w:r>
        <w:rPr>
          <w:rFonts w:hint="eastAsia" w:ascii="宋体" w:hAnsi="宋体"/>
          <w:color w:val="auto"/>
          <w:sz w:val="24"/>
          <w:highlight w:val="none"/>
          <w:u w:val="single"/>
        </w:rPr>
        <w:t>投标人提出异议时需在线提交书面的异议书（异议书应清晰表述异议事项、依据、线索、请求或主张、有效的联系方式等）并附法定代表人证明书、有效的授权委托书、被授权人的有效身份证明。</w:t>
      </w:r>
    </w:p>
    <w:p>
      <w:pPr>
        <w:pBdr>
          <w:bottom w:val="single" w:color="auto" w:sz="6" w:space="1"/>
        </w:pBdr>
        <w:spacing w:line="480" w:lineRule="auto"/>
        <w:rPr>
          <w:b/>
          <w:color w:val="auto"/>
          <w:szCs w:val="21"/>
          <w:highlight w:val="none"/>
        </w:rPr>
      </w:pPr>
    </w:p>
    <w:p>
      <w:pP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 xml:space="preserve"> </w:t>
      </w:r>
      <w:r>
        <w:rPr>
          <w:rFonts w:hint="eastAsia"/>
          <w:b/>
          <w:color w:val="auto"/>
          <w:szCs w:val="21"/>
          <w:highlight w:val="none"/>
        </w:rPr>
        <w:t>28.4</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olor w:val="auto"/>
          <w:sz w:val="24"/>
          <w:highlight w:val="none"/>
        </w:rPr>
        <w:t>28.4在产生中标候选人后，招标人将中标候选人的投标文件商务部分文件的所有内容（包括人员、业绩、奖项等资料）在</w:t>
      </w:r>
      <w:r>
        <w:rPr>
          <w:rFonts w:hint="eastAsia" w:ascii="宋体" w:hAnsi="宋体"/>
          <w:color w:val="auto"/>
          <w:sz w:val="24"/>
          <w:highlight w:val="none"/>
          <w:u w:val="single"/>
        </w:rPr>
        <w:t xml:space="preserve">        </w:t>
      </w:r>
      <w:r>
        <w:rPr>
          <w:rFonts w:hint="eastAsia" w:ascii="宋体" w:hAnsi="宋体"/>
          <w:color w:val="auto"/>
          <w:sz w:val="24"/>
          <w:highlight w:val="none"/>
        </w:rPr>
        <w:t>交易平台和广东省招标投标监管网公开。</w:t>
      </w:r>
    </w:p>
    <w:p>
      <w:pPr>
        <w:pStyle w:val="5"/>
        <w:spacing w:after="0" w:line="360" w:lineRule="auto"/>
        <w:ind w:firstLine="422" w:firstLineChars="200"/>
        <w:rPr>
          <w:b/>
          <w:color w:val="auto"/>
          <w:szCs w:val="21"/>
          <w:highlight w:val="none"/>
        </w:rPr>
      </w:pPr>
      <w:r>
        <w:rPr>
          <w:rFonts w:hint="eastAsia"/>
          <w:b/>
          <w:color w:val="auto"/>
          <w:szCs w:val="21"/>
          <w:highlight w:val="none"/>
        </w:rPr>
        <w:t>现文：</w:t>
      </w:r>
      <w:r>
        <w:rPr>
          <w:rFonts w:hint="eastAsia" w:ascii="宋体" w:hAnsi="宋体"/>
          <w:color w:val="auto"/>
          <w:sz w:val="24"/>
          <w:highlight w:val="none"/>
        </w:rPr>
        <w:t>28.4在产生中标候选人后，招标人将中标候选人的投标文件商务部分文件的所有内容（包括人员、业绩、奖项等资料）在</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highlight w:val="none"/>
        </w:rPr>
        <w:t>交易平台和广东省招标投标监管网公开。</w:t>
      </w:r>
    </w:p>
    <w:p>
      <w:pPr>
        <w:spacing w:line="480" w:lineRule="auto"/>
        <w:ind w:firstLine="470" w:firstLineChars="224"/>
        <w:rPr>
          <w:b/>
          <w:color w:val="auto"/>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177165</wp:posOffset>
                </wp:positionV>
                <wp:extent cx="5800725" cy="9525"/>
                <wp:effectExtent l="0" t="6350" r="9525" b="12700"/>
                <wp:wrapNone/>
                <wp:docPr id="7" name="直接连接符 7"/>
                <wp:cNvGraphicFramePr/>
                <a:graphic xmlns:a="http://schemas.openxmlformats.org/drawingml/2006/main">
                  <a:graphicData uri="http://schemas.microsoft.com/office/word/2010/wordprocessingShape">
                    <wps:wsp>
                      <wps:cNvCnPr/>
                      <wps:spPr>
                        <a:xfrm flipV="1">
                          <a:off x="873760" y="8844280"/>
                          <a:ext cx="5800725" cy="95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1pt;margin-top:13.95pt;height:0.75pt;width:456.75pt;z-index:251660288;mso-width-relative:page;mso-height-relative:page;" filled="f" stroked="t" coordsize="21600,21600" o:gfxdata="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g2y/1gAAAAgBAAAPAAAAAAAAAAEAIAAAACIAAABkcnMvZG93bnJldi54bWxQ&#10;SwECFAAUAAAACACHTuJASZrOIvkBAADKAwAADgAAAAAAAAABACAAAAAlAQAAZHJzL2Uyb0RvYy54&#10;bWxQSwUGAAAAAAYABgBZAQAAkAUAAAAA&#10;">
                <v:fill on="f" focussize="0,0"/>
                <v:stroke weight="1pt" color="#000000 [3213]" miterlimit="8" joinstyle="miter"/>
                <v:imagedata o:title=""/>
                <o:lock v:ext="edit" aspectratio="f"/>
              </v:line>
            </w:pict>
          </mc:Fallback>
        </mc:AlternateContent>
      </w:r>
    </w:p>
    <w:p>
      <w:pP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 xml:space="preserve"> </w:t>
      </w:r>
      <w:r>
        <w:rPr>
          <w:rFonts w:hint="eastAsia"/>
          <w:b/>
          <w:color w:val="auto"/>
          <w:szCs w:val="21"/>
          <w:highlight w:val="none"/>
        </w:rPr>
        <w:t>28.5</w:t>
      </w:r>
      <w:r>
        <w:rPr>
          <w:b/>
          <w:color w:val="auto"/>
          <w:szCs w:val="21"/>
          <w:highlight w:val="none"/>
        </w:rPr>
        <w:t xml:space="preserve">          </w:t>
      </w:r>
      <w:r>
        <w:rPr>
          <w:rFonts w:hint="eastAsia"/>
          <w:b/>
          <w:color w:val="auto"/>
          <w:szCs w:val="21"/>
          <w:highlight w:val="none"/>
        </w:rPr>
        <w:t>修改类型：删除</w:t>
      </w:r>
    </w:p>
    <w:p>
      <w:pPr>
        <w:spacing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olor w:val="auto"/>
          <w:sz w:val="24"/>
          <w:highlight w:val="none"/>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pPr>
        <w:pBdr>
          <w:bottom w:val="single" w:color="auto" w:sz="6" w:space="1"/>
        </w:pBdr>
        <w:spacing w:line="480" w:lineRule="auto"/>
        <w:rPr>
          <w:b/>
          <w:color w:val="auto"/>
          <w:szCs w:val="21"/>
          <w:highlight w:val="none"/>
        </w:rPr>
      </w:pPr>
    </w:p>
    <w:p>
      <w:pPr>
        <w:spacing w:line="480" w:lineRule="auto"/>
        <w:ind w:firstLine="472" w:firstLineChars="224"/>
        <w:rPr>
          <w:b/>
          <w:color w:val="auto"/>
          <w:szCs w:val="21"/>
          <w:highlight w:val="none"/>
        </w:rPr>
      </w:pPr>
      <w:r>
        <w:rPr>
          <w:rFonts w:hint="eastAsia"/>
          <w:b/>
          <w:color w:val="auto"/>
          <w:szCs w:val="21"/>
          <w:highlight w:val="none"/>
        </w:rPr>
        <w:t>条款号：29.2</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rFonts w:ascii="宋体" w:hAnsi="宋体"/>
          <w:color w:val="auto"/>
          <w:sz w:val="24"/>
          <w:highlight w:val="none"/>
        </w:rPr>
        <w:t>2</w:t>
      </w:r>
      <w:r>
        <w:rPr>
          <w:rFonts w:hint="eastAsia" w:ascii="宋体" w:hAnsi="宋体"/>
          <w:color w:val="auto"/>
          <w:sz w:val="24"/>
          <w:highlight w:val="none"/>
        </w:rPr>
        <w:t>9</w:t>
      </w:r>
      <w:r>
        <w:rPr>
          <w:rFonts w:ascii="宋体" w:hAnsi="宋体"/>
          <w:color w:val="auto"/>
          <w:sz w:val="24"/>
          <w:highlight w:val="none"/>
        </w:rPr>
        <w:t>.2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2" w:firstLineChars="200"/>
        <w:rPr>
          <w:rFonts w:ascii="宋体"/>
          <w:color w:val="auto"/>
          <w:sz w:val="24"/>
          <w:highlight w:val="none"/>
        </w:rPr>
      </w:pPr>
      <w:r>
        <w:rPr>
          <w:rFonts w:hint="eastAsia"/>
          <w:b/>
          <w:color w:val="auto"/>
          <w:szCs w:val="21"/>
          <w:highlight w:val="none"/>
        </w:rPr>
        <w:t>现文：</w:t>
      </w:r>
      <w:r>
        <w:rPr>
          <w:rFonts w:ascii="宋体" w:hAnsi="宋体"/>
          <w:color w:val="auto"/>
          <w:sz w:val="24"/>
          <w:highlight w:val="none"/>
        </w:rPr>
        <w:t>2</w:t>
      </w:r>
      <w:r>
        <w:rPr>
          <w:rFonts w:hint="eastAsia" w:ascii="宋体" w:hAnsi="宋体"/>
          <w:color w:val="auto"/>
          <w:sz w:val="24"/>
          <w:highlight w:val="none"/>
        </w:rPr>
        <w:t>9</w:t>
      </w:r>
      <w:r>
        <w:rPr>
          <w:rFonts w:ascii="宋体" w:hAnsi="宋体"/>
          <w:color w:val="auto"/>
          <w:sz w:val="24"/>
          <w:highlight w:val="none"/>
        </w:rPr>
        <w:t>.2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w:t>
      </w:r>
      <w:r>
        <w:rPr>
          <w:rFonts w:hint="eastAsia" w:ascii="宋体" w:hAnsi="宋体"/>
          <w:strike/>
          <w:color w:val="auto"/>
          <w:sz w:val="24"/>
          <w:highlight w:val="none"/>
        </w:rPr>
        <w:t>原中标人的投标保证金不予退还，</w:t>
      </w:r>
      <w:r>
        <w:rPr>
          <w:rFonts w:hint="eastAsia" w:ascii="宋体" w:hAnsi="宋体"/>
          <w:color w:val="auto"/>
          <w:sz w:val="24"/>
          <w:highlight w:val="none"/>
        </w:rPr>
        <w:t>且依法承担相应法律责任。原中标人给招标人造成的损失</w:t>
      </w:r>
      <w:r>
        <w:rPr>
          <w:rFonts w:hint="eastAsia" w:ascii="宋体" w:hAnsi="宋体"/>
          <w:strike/>
          <w:color w:val="auto"/>
          <w:sz w:val="24"/>
          <w:highlight w:val="none"/>
        </w:rPr>
        <w:t>超过投标保证金数额的</w:t>
      </w:r>
      <w:r>
        <w:rPr>
          <w:rFonts w:hint="eastAsia" w:ascii="宋体" w:hAnsi="宋体"/>
          <w:color w:val="auto"/>
          <w:sz w:val="24"/>
          <w:highlight w:val="none"/>
        </w:rPr>
        <w:t>，还应当</w:t>
      </w:r>
      <w:r>
        <w:rPr>
          <w:rFonts w:hint="eastAsia" w:ascii="宋体" w:hAnsi="宋体"/>
          <w:strike/>
          <w:color w:val="auto"/>
          <w:sz w:val="24"/>
          <w:highlight w:val="none"/>
        </w:rPr>
        <w:t>对超过部分</w:t>
      </w:r>
      <w:r>
        <w:rPr>
          <w:rFonts w:hint="eastAsia" w:ascii="宋体" w:hAnsi="宋体"/>
          <w:color w:val="auto"/>
          <w:sz w:val="24"/>
          <w:highlight w:val="none"/>
        </w:rPr>
        <w:t>予以赔偿。原中标人有异议的，可以向人民法院起诉。</w:t>
      </w:r>
    </w:p>
    <w:p>
      <w:pPr>
        <w:pBdr>
          <w:bottom w:val="single" w:color="auto" w:sz="6" w:space="1"/>
        </w:pBdr>
        <w:spacing w:line="480" w:lineRule="auto"/>
        <w:rPr>
          <w:b/>
          <w:color w:val="auto"/>
          <w:szCs w:val="21"/>
          <w:highlight w:val="none"/>
        </w:rPr>
      </w:pPr>
    </w:p>
    <w:p>
      <w:pPr>
        <w:spacing w:line="480" w:lineRule="auto"/>
        <w:ind w:firstLine="472" w:firstLineChars="224"/>
        <w:rPr>
          <w:b/>
          <w:color w:val="auto"/>
          <w:szCs w:val="21"/>
          <w:highlight w:val="none"/>
        </w:rPr>
      </w:pPr>
      <w:r>
        <w:rPr>
          <w:rFonts w:hint="eastAsia"/>
          <w:b/>
          <w:color w:val="auto"/>
          <w:szCs w:val="21"/>
          <w:highlight w:val="none"/>
        </w:rPr>
        <w:t>条款号：30.2</w:t>
      </w:r>
      <w:r>
        <w:rPr>
          <w:b/>
          <w:color w:val="auto"/>
          <w:szCs w:val="21"/>
          <w:highlight w:val="none"/>
        </w:rPr>
        <w:t xml:space="preserve">         </w:t>
      </w:r>
      <w:r>
        <w:rPr>
          <w:rFonts w:hint="eastAsia"/>
          <w:b/>
          <w:color w:val="auto"/>
          <w:szCs w:val="21"/>
          <w:highlight w:val="none"/>
        </w:rPr>
        <w:t>修改类型：修改</w:t>
      </w:r>
    </w:p>
    <w:p>
      <w:pPr>
        <w:snapToGrid w:val="0"/>
        <w:spacing w:line="460" w:lineRule="exact"/>
        <w:ind w:firstLine="422" w:firstLineChars="200"/>
        <w:rPr>
          <w:b/>
          <w:color w:val="auto"/>
          <w:szCs w:val="21"/>
          <w:highlight w:val="none"/>
        </w:rPr>
      </w:pPr>
      <w:r>
        <w:rPr>
          <w:rFonts w:hint="eastAsia"/>
          <w:b/>
          <w:color w:val="auto"/>
          <w:szCs w:val="21"/>
          <w:highlight w:val="none"/>
        </w:rPr>
        <w:t>原文：</w:t>
      </w:r>
      <w:r>
        <w:rPr>
          <w:rFonts w:hint="eastAsia" w:ascii="宋体" w:hAnsi="宋体"/>
          <w:color w:val="auto"/>
          <w:sz w:val="24"/>
          <w:highlight w:val="none"/>
        </w:rPr>
        <w:t>30</w:t>
      </w:r>
      <w:r>
        <w:rPr>
          <w:rFonts w:ascii="宋体" w:hAnsi="宋体"/>
          <w:color w:val="auto"/>
          <w:sz w:val="24"/>
          <w:highlight w:val="none"/>
        </w:rPr>
        <w:t>.2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napToGrid w:val="0"/>
        <w:spacing w:line="460" w:lineRule="exact"/>
        <w:ind w:firstLine="422" w:firstLineChars="200"/>
        <w:rPr>
          <w:rFonts w:ascii="宋体"/>
          <w:color w:val="auto"/>
          <w:sz w:val="24"/>
          <w:highlight w:val="none"/>
        </w:rPr>
      </w:pPr>
      <w:r>
        <w:rPr>
          <w:rFonts w:hint="eastAsia"/>
          <w:b/>
          <w:color w:val="auto"/>
          <w:szCs w:val="21"/>
          <w:highlight w:val="none"/>
        </w:rPr>
        <w:t>现文：</w:t>
      </w:r>
      <w:r>
        <w:rPr>
          <w:rFonts w:hint="eastAsia" w:ascii="宋体" w:hAnsi="宋体"/>
          <w:color w:val="auto"/>
          <w:sz w:val="24"/>
          <w:highlight w:val="none"/>
        </w:rPr>
        <w:t>30</w:t>
      </w:r>
      <w:r>
        <w:rPr>
          <w:rFonts w:ascii="宋体" w:hAnsi="宋体"/>
          <w:color w:val="auto"/>
          <w:sz w:val="24"/>
          <w:highlight w:val="none"/>
        </w:rPr>
        <w:t>.2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w:t>
      </w:r>
      <w:r>
        <w:rPr>
          <w:rFonts w:hint="eastAsia" w:ascii="宋体" w:hAnsi="宋体"/>
          <w:strike/>
          <w:color w:val="auto"/>
          <w:sz w:val="24"/>
          <w:highlight w:val="none"/>
        </w:rPr>
        <w:t>原中标人的投标保证金不予退还，</w:t>
      </w:r>
      <w:r>
        <w:rPr>
          <w:rFonts w:hint="eastAsia" w:ascii="宋体" w:hAnsi="宋体"/>
          <w:color w:val="auto"/>
          <w:sz w:val="24"/>
          <w:highlight w:val="none"/>
        </w:rPr>
        <w:t>且依法承担相应法律责任。原中标人给招标人造成的损失</w:t>
      </w:r>
      <w:r>
        <w:rPr>
          <w:rFonts w:hint="eastAsia" w:ascii="宋体" w:hAnsi="宋体"/>
          <w:strike/>
          <w:color w:val="auto"/>
          <w:sz w:val="24"/>
          <w:highlight w:val="none"/>
        </w:rPr>
        <w:t>超过投标保证金数额的</w:t>
      </w:r>
      <w:r>
        <w:rPr>
          <w:rFonts w:hint="eastAsia" w:ascii="宋体" w:hAnsi="宋体"/>
          <w:color w:val="auto"/>
          <w:sz w:val="24"/>
          <w:highlight w:val="none"/>
        </w:rPr>
        <w:t>，还应当</w:t>
      </w:r>
      <w:r>
        <w:rPr>
          <w:rFonts w:hint="eastAsia" w:ascii="宋体" w:hAnsi="宋体"/>
          <w:strike/>
          <w:color w:val="auto"/>
          <w:sz w:val="24"/>
          <w:highlight w:val="none"/>
        </w:rPr>
        <w:t>对超过部分</w:t>
      </w:r>
      <w:r>
        <w:rPr>
          <w:rFonts w:hint="eastAsia" w:ascii="宋体" w:hAnsi="宋体"/>
          <w:color w:val="auto"/>
          <w:sz w:val="24"/>
          <w:highlight w:val="none"/>
        </w:rPr>
        <w:t>予以赔偿。原中标人有异议的，可以向人民法院起诉。</w:t>
      </w:r>
    </w:p>
    <w:p>
      <w:pPr>
        <w:pBdr>
          <w:bottom w:val="single" w:color="auto" w:sz="6" w:space="1"/>
        </w:pBdr>
        <w:spacing w:line="480" w:lineRule="auto"/>
        <w:rPr>
          <w:b/>
          <w:color w:val="auto"/>
          <w:szCs w:val="21"/>
          <w:highlight w:val="none"/>
        </w:rPr>
      </w:pPr>
    </w:p>
    <w:p>
      <w:pPr>
        <w:spacing w:line="480" w:lineRule="auto"/>
        <w:ind w:firstLine="472" w:firstLineChars="224"/>
        <w:rPr>
          <w:b/>
          <w:color w:val="auto"/>
          <w:szCs w:val="21"/>
          <w:highlight w:val="none"/>
        </w:rPr>
      </w:pPr>
      <w:r>
        <w:rPr>
          <w:rFonts w:hint="eastAsia"/>
          <w:b/>
          <w:color w:val="auto"/>
          <w:szCs w:val="21"/>
          <w:highlight w:val="none"/>
        </w:rPr>
        <w:t>条款号：34</w:t>
      </w:r>
      <w:r>
        <w:rPr>
          <w:b/>
          <w:color w:val="auto"/>
          <w:szCs w:val="21"/>
          <w:highlight w:val="none"/>
        </w:rPr>
        <w:t xml:space="preserve">         </w:t>
      </w:r>
      <w:r>
        <w:rPr>
          <w:rFonts w:hint="eastAsia"/>
          <w:b/>
          <w:color w:val="auto"/>
          <w:szCs w:val="21"/>
          <w:highlight w:val="none"/>
        </w:rPr>
        <w:t>修改类型：增加</w:t>
      </w:r>
    </w:p>
    <w:p>
      <w:pPr>
        <w:spacing w:line="360" w:lineRule="auto"/>
        <w:ind w:firstLine="422" w:firstLineChars="200"/>
        <w:rPr>
          <w:rFonts w:ascii="宋体" w:hAnsi="宋体"/>
          <w:b/>
          <w:bCs/>
          <w:color w:val="auto"/>
          <w:sz w:val="24"/>
          <w:highlight w:val="none"/>
        </w:rPr>
      </w:pPr>
      <w:r>
        <w:rPr>
          <w:rFonts w:hint="eastAsia"/>
          <w:b/>
          <w:color w:val="auto"/>
          <w:szCs w:val="21"/>
          <w:highlight w:val="none"/>
        </w:rPr>
        <w:t>现文：</w:t>
      </w:r>
      <w:r>
        <w:rPr>
          <w:rFonts w:hint="eastAsia" w:ascii="宋体" w:hAnsi="宋体"/>
          <w:b/>
          <w:bCs/>
          <w:color w:val="auto"/>
          <w:sz w:val="24"/>
          <w:highlight w:val="none"/>
        </w:rPr>
        <w:t>34.其它费用</w:t>
      </w:r>
    </w:p>
    <w:p>
      <w:pPr>
        <w:spacing w:line="360" w:lineRule="auto"/>
        <w:ind w:firstLine="482" w:firstLineChars="200"/>
        <w:rPr>
          <w:b/>
          <w:bCs/>
          <w:color w:val="auto"/>
          <w:highlight w:val="none"/>
        </w:rPr>
      </w:pPr>
      <w:r>
        <w:rPr>
          <w:rFonts w:hint="eastAsia" w:ascii="宋体" w:hAnsi="宋体" w:cs="宋体"/>
          <w:b/>
          <w:bCs/>
          <w:color w:val="auto"/>
          <w:sz w:val="24"/>
          <w:szCs w:val="24"/>
          <w:highlight w:val="none"/>
          <w:u w:val="single"/>
        </w:rPr>
        <w:t>根据广州市政府相关文件的规定，向广州交易集团有限公司（广州公共资源交易中心）交纳交易服务费。</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jc w:val="center"/>
        <w:rPr>
          <w:color w:val="auto"/>
          <w:highlight w:val="none"/>
        </w:rPr>
      </w:pPr>
      <w:r>
        <w:rPr>
          <w:rFonts w:hint="eastAsia"/>
          <w:b/>
          <w:color w:val="auto"/>
          <w:szCs w:val="21"/>
          <w:highlight w:val="none"/>
        </w:rPr>
        <w:t>（以下无正文）</w:t>
      </w:r>
      <w:r>
        <w:rPr>
          <w:color w:val="auto"/>
          <w:highlight w:val="none"/>
        </w:rPr>
        <w:br w:type="page"/>
      </w:r>
      <w:bookmarkStart w:id="19" w:name="_Toc19765"/>
      <w:bookmarkStart w:id="20" w:name="_Toc12778"/>
      <w:bookmarkStart w:id="21" w:name="_Toc21525492"/>
      <w:bookmarkStart w:id="22" w:name="_Toc2272548"/>
      <w:r>
        <w:rPr>
          <w:rFonts w:hint="eastAsia"/>
          <w:b/>
          <w:bCs/>
          <w:color w:val="auto"/>
          <w:sz w:val="28"/>
          <w:szCs w:val="28"/>
          <w:highlight w:val="none"/>
        </w:rPr>
        <w:t>三、投标须知通用条款</w:t>
      </w:r>
      <w:bookmarkEnd w:id="19"/>
      <w:bookmarkEnd w:id="20"/>
      <w:bookmarkEnd w:id="21"/>
      <w:bookmarkEnd w:id="22"/>
    </w:p>
    <w:p>
      <w:pPr>
        <w:pStyle w:val="8"/>
        <w:rPr>
          <w:color w:val="auto"/>
          <w:highlight w:val="none"/>
        </w:rPr>
      </w:pPr>
      <w:bookmarkStart w:id="23" w:name="_Toc21525493"/>
      <w:bookmarkStart w:id="24" w:name="_Toc2272549"/>
      <w:bookmarkStart w:id="25" w:name="_Toc821"/>
      <w:bookmarkStart w:id="26" w:name="_Toc752"/>
      <w:r>
        <w:rPr>
          <w:rFonts w:hint="eastAsia"/>
          <w:color w:val="auto"/>
          <w:highlight w:val="none"/>
        </w:rPr>
        <w:t>（一）总则</w:t>
      </w:r>
      <w:bookmarkEnd w:id="23"/>
      <w:bookmarkEnd w:id="24"/>
      <w:bookmarkEnd w:id="25"/>
      <w:bookmarkEnd w:id="26"/>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工程名称、招标项目名称、建设地点、建设规模、承包方式、质量标准、招标范围、工期要求等均在投标须知前附表中列明。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投标人合格条件详见本项目招标公告。</w:t>
      </w:r>
    </w:p>
    <w:p>
      <w:pPr>
        <w:pStyle w:val="20"/>
        <w:ind w:firstLine="480" w:firstLineChars="200"/>
        <w:rPr>
          <w:color w:val="auto"/>
          <w:highlight w:val="none"/>
        </w:rPr>
      </w:pPr>
      <w:r>
        <w:rPr>
          <w:rFonts w:hint="eastAsia" w:hAnsi="宋体"/>
          <w:bCs/>
          <w:color w:val="auto"/>
          <w:sz w:val="24"/>
          <w:highlight w:val="none"/>
        </w:rPr>
        <w:t>4.2资格审查方式详见本项目招标公告。</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w:t>
      </w:r>
      <w:r>
        <w:rPr>
          <w:rFonts w:hint="eastAsia" w:ascii="宋体" w:hAnsi="宋体"/>
          <w:bCs/>
          <w:color w:val="auto"/>
          <w:sz w:val="24"/>
          <w:highlight w:val="none"/>
        </w:rPr>
        <w:t>2项所述时间和要求自行对工程现场及周围环境进行踏勘，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w:t>
      </w:r>
    </w:p>
    <w:p>
      <w:pPr>
        <w:spacing w:line="360" w:lineRule="auto"/>
        <w:ind w:firstLine="480" w:firstLineChars="200"/>
        <w:rPr>
          <w:rFonts w:ascii="宋体"/>
          <w:bCs/>
          <w:color w:val="auto"/>
          <w:sz w:val="24"/>
          <w:highlight w:val="none"/>
          <w:u w:val="single"/>
        </w:rPr>
      </w:pPr>
      <w:r>
        <w:rPr>
          <w:rFonts w:hint="eastAsia" w:ascii="宋体" w:hAnsi="宋体"/>
          <w:color w:val="auto"/>
          <w:sz w:val="24"/>
          <w:highlight w:val="none"/>
        </w:rPr>
        <w:t>5.2投标人</w:t>
      </w:r>
      <w:r>
        <w:rPr>
          <w:rFonts w:hint="eastAsia" w:ascii="宋体" w:hAnsi="宋体"/>
          <w:bCs/>
          <w:color w:val="auto"/>
          <w:sz w:val="24"/>
          <w:highlight w:val="none"/>
        </w:rPr>
        <w:t>踏勘</w:t>
      </w:r>
      <w:r>
        <w:rPr>
          <w:rFonts w:hint="eastAsia" w:ascii="宋体" w:hAnsi="宋体"/>
          <w:color w:val="auto"/>
          <w:sz w:val="24"/>
          <w:highlight w:val="none"/>
        </w:rPr>
        <w:t>现场的费用自理。</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rPr>
        <w:t>3</w:t>
      </w:r>
      <w:r>
        <w:rPr>
          <w:rFonts w:ascii="宋体" w:hAnsi="宋体"/>
          <w:bCs/>
          <w:color w:val="auto"/>
          <w:sz w:val="24"/>
          <w:highlight w:val="none"/>
        </w:rPr>
        <w:t xml:space="preserve">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rPr>
        <w:t>4</w:t>
      </w:r>
      <w:r>
        <w:rPr>
          <w:rFonts w:ascii="宋体" w:hAnsi="宋体"/>
          <w:bCs/>
          <w:color w:val="auto"/>
          <w:sz w:val="24"/>
          <w:highlight w:val="none"/>
        </w:rPr>
        <w:t xml:space="preserve">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pStyle w:val="20"/>
        <w:spacing w:line="360" w:lineRule="auto"/>
        <w:rPr>
          <w:color w:val="auto"/>
          <w:highlight w:val="none"/>
        </w:rPr>
      </w:pPr>
      <w:r>
        <w:rPr>
          <w:rFonts w:hint="eastAsia" w:hAnsi="宋体"/>
          <w:bCs/>
          <w:color w:val="auto"/>
          <w:sz w:val="24"/>
          <w:highlight w:val="none"/>
        </w:rPr>
        <w:t xml:space="preserve">    5.4由于投标人没有对工程现场及周围环境进行踏勘，造成投标失误的，由投标人自行承担责任和损失。</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hAnsi="宋体"/>
          <w:bCs/>
          <w:color w:val="auto"/>
          <w:sz w:val="24"/>
          <w:highlight w:val="none"/>
        </w:rPr>
      </w:pPr>
      <w:r>
        <w:rPr>
          <w:rFonts w:ascii="宋体" w:hAnsi="宋体"/>
          <w:bCs/>
          <w:color w:val="auto"/>
          <w:sz w:val="24"/>
          <w:highlight w:val="none"/>
        </w:rPr>
        <w:t>6.1</w:t>
      </w:r>
      <w:r>
        <w:rPr>
          <w:rFonts w:hint="eastAsia" w:ascii="宋体" w:hAnsi="宋体"/>
          <w:bCs/>
          <w:color w:val="auto"/>
          <w:sz w:val="24"/>
          <w:highlight w:val="none"/>
        </w:rPr>
        <w:t>投标人准备和参加投标活动发生的费用自理。</w:t>
      </w:r>
    </w:p>
    <w:p>
      <w:pPr>
        <w:tabs>
          <w:tab w:val="left" w:pos="105"/>
        </w:tabs>
        <w:spacing w:line="360" w:lineRule="auto"/>
        <w:ind w:firstLine="480" w:firstLineChars="200"/>
        <w:rPr>
          <w:rFonts w:ascii="宋体"/>
          <w:bCs/>
          <w:color w:val="auto"/>
          <w:sz w:val="24"/>
          <w:highlight w:val="none"/>
        </w:rPr>
      </w:pPr>
      <w:r>
        <w:rPr>
          <w:rFonts w:hint="eastAsia" w:ascii="宋体" w:hAnsi="宋体"/>
          <w:bCs/>
          <w:color w:val="auto"/>
          <w:sz w:val="24"/>
          <w:highlight w:val="none"/>
        </w:rPr>
        <w:t>6.2</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8"/>
        <w:rPr>
          <w:color w:val="auto"/>
          <w:highlight w:val="none"/>
        </w:rPr>
      </w:pPr>
      <w:bookmarkStart w:id="27" w:name="_Toc2272550"/>
      <w:bookmarkStart w:id="28" w:name="_Toc21525494"/>
      <w:bookmarkStart w:id="29" w:name="_Toc5661"/>
      <w:bookmarkStart w:id="30" w:name="_Toc19361"/>
      <w:r>
        <w:rPr>
          <w:rFonts w:hint="eastAsia"/>
          <w:color w:val="auto"/>
          <w:highlight w:val="none"/>
        </w:rPr>
        <w:t>（二）招标文件</w:t>
      </w:r>
      <w:bookmarkEnd w:id="27"/>
      <w:bookmarkEnd w:id="28"/>
      <w:bookmarkEnd w:id="29"/>
      <w:bookmarkEnd w:id="30"/>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color w:val="auto"/>
          <w:sz w:val="24"/>
          <w:highlight w:val="none"/>
          <w:u w:val="single"/>
        </w:rPr>
      </w:pPr>
      <w:r>
        <w:rPr>
          <w:rFonts w:ascii="宋体" w:hAnsi="宋体"/>
          <w:bCs/>
          <w:color w:val="auto"/>
          <w:sz w:val="24"/>
          <w:highlight w:val="none"/>
          <w:u w:val="single"/>
        </w:rPr>
        <w:t>7.1</w:t>
      </w:r>
      <w:r>
        <w:rPr>
          <w:rFonts w:hint="eastAsia" w:ascii="宋体" w:hAnsi="宋体"/>
          <w:color w:val="auto"/>
          <w:sz w:val="24"/>
          <w:highlight w:val="none"/>
          <w:u w:val="single"/>
        </w:rPr>
        <w:t>本招标文件包括下列文件，以及所有按本须知第</w:t>
      </w:r>
      <w:r>
        <w:rPr>
          <w:rFonts w:ascii="宋体" w:hAnsi="宋体"/>
          <w:color w:val="auto"/>
          <w:sz w:val="24"/>
          <w:highlight w:val="none"/>
          <w:u w:val="single"/>
        </w:rPr>
        <w:t>8</w:t>
      </w:r>
      <w:r>
        <w:rPr>
          <w:rFonts w:hint="eastAsia" w:ascii="宋体" w:hAnsi="宋体"/>
          <w:color w:val="auto"/>
          <w:sz w:val="24"/>
          <w:highlight w:val="none"/>
          <w:u w:val="single"/>
        </w:rPr>
        <w:t>条发出的招标答疑会会议纪要和按本须知第</w:t>
      </w:r>
      <w:r>
        <w:rPr>
          <w:rFonts w:ascii="宋体" w:hAnsi="宋体"/>
          <w:color w:val="auto"/>
          <w:sz w:val="24"/>
          <w:highlight w:val="none"/>
          <w:u w:val="single"/>
        </w:rPr>
        <w:t>9</w:t>
      </w:r>
      <w:r>
        <w:rPr>
          <w:rFonts w:hint="eastAsia" w:ascii="宋体" w:hAnsi="宋体"/>
          <w:color w:val="auto"/>
          <w:sz w:val="24"/>
          <w:highlight w:val="none"/>
          <w:u w:val="single"/>
        </w:rPr>
        <w:t>条发出的澄清或修改：</w:t>
      </w:r>
    </w:p>
    <w:p>
      <w:pPr>
        <w:pStyle w:val="5"/>
        <w:numPr>
          <w:ilvl w:val="0"/>
          <w:numId w:val="4"/>
        </w:numPr>
        <w:spacing w:after="0"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u w:val="single"/>
        </w:rPr>
        <w:t>招标公告</w:t>
      </w:r>
    </w:p>
    <w:p>
      <w:pPr>
        <w:pStyle w:val="5"/>
        <w:numPr>
          <w:ilvl w:val="0"/>
          <w:numId w:val="4"/>
        </w:numPr>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u w:val="single"/>
        </w:rPr>
        <w:t>投标须知</w:t>
      </w:r>
    </w:p>
    <w:p>
      <w:pPr>
        <w:pStyle w:val="5"/>
        <w:numPr>
          <w:ilvl w:val="0"/>
          <w:numId w:val="4"/>
        </w:numPr>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u w:val="single"/>
        </w:rPr>
        <w:t>开标、评标及定标办法</w:t>
      </w:r>
    </w:p>
    <w:p>
      <w:pPr>
        <w:pStyle w:val="5"/>
        <w:numPr>
          <w:ilvl w:val="0"/>
          <w:numId w:val="4"/>
        </w:numPr>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u w:val="single"/>
        </w:rPr>
        <w:t>合同条款</w:t>
      </w:r>
      <w:r>
        <w:rPr>
          <w:rFonts w:hint="eastAsia" w:ascii="宋体" w:hAnsi="宋体"/>
          <w:b/>
          <w:bCs/>
          <w:color w:val="auto"/>
          <w:sz w:val="24"/>
          <w:highlight w:val="none"/>
          <w:u w:val="single"/>
        </w:rPr>
        <w:t>（另册）</w:t>
      </w:r>
    </w:p>
    <w:p>
      <w:pPr>
        <w:pStyle w:val="5"/>
        <w:numPr>
          <w:ilvl w:val="0"/>
          <w:numId w:val="4"/>
        </w:numPr>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投标文件格式</w:t>
      </w:r>
    </w:p>
    <w:p>
      <w:pPr>
        <w:pStyle w:val="5"/>
        <w:numPr>
          <w:ilvl w:val="0"/>
          <w:numId w:val="4"/>
        </w:numPr>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技术条件（工程建设标准）</w:t>
      </w:r>
    </w:p>
    <w:p>
      <w:pPr>
        <w:pStyle w:val="5"/>
        <w:numPr>
          <w:ilvl w:val="0"/>
          <w:numId w:val="4"/>
        </w:numPr>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图纸及勘察资料</w:t>
      </w:r>
      <w:r>
        <w:rPr>
          <w:rFonts w:hint="eastAsia" w:ascii="宋体" w:hAnsi="宋体"/>
          <w:b/>
          <w:bCs/>
          <w:color w:val="auto"/>
          <w:sz w:val="24"/>
          <w:highlight w:val="none"/>
          <w:u w:val="single"/>
        </w:rPr>
        <w:t>（另册）</w:t>
      </w:r>
    </w:p>
    <w:p>
      <w:pPr>
        <w:pStyle w:val="5"/>
        <w:numPr>
          <w:ilvl w:val="0"/>
          <w:numId w:val="4"/>
        </w:numPr>
        <w:spacing w:after="0" w:line="360" w:lineRule="auto"/>
        <w:ind w:firstLine="480" w:firstLineChars="200"/>
        <w:rPr>
          <w:rFonts w:ascii="宋体" w:hAnsi="宋体"/>
          <w:color w:val="auto"/>
          <w:sz w:val="24"/>
          <w:highlight w:val="none"/>
          <w:u w:val="single"/>
        </w:rPr>
      </w:pPr>
      <w:r>
        <w:rPr>
          <w:rFonts w:hint="eastAsia" w:ascii="宋体" w:hAnsi="宋体"/>
          <w:bCs/>
          <w:color w:val="auto"/>
          <w:sz w:val="24"/>
          <w:highlight w:val="none"/>
          <w:u w:val="single"/>
        </w:rPr>
        <w:t>招标</w:t>
      </w:r>
      <w:r>
        <w:rPr>
          <w:rFonts w:hint="eastAsia" w:ascii="宋体" w:hAnsi="宋体"/>
          <w:color w:val="auto"/>
          <w:sz w:val="24"/>
          <w:highlight w:val="none"/>
          <w:u w:val="single"/>
        </w:rPr>
        <w:t>工程量清单</w:t>
      </w:r>
      <w:r>
        <w:rPr>
          <w:rFonts w:hint="eastAsia" w:ascii="宋体" w:hAnsi="宋体"/>
          <w:b/>
          <w:bCs/>
          <w:color w:val="auto"/>
          <w:sz w:val="24"/>
          <w:highlight w:val="none"/>
          <w:u w:val="single"/>
        </w:rPr>
        <w:t>（另册）</w:t>
      </w:r>
    </w:p>
    <w:p>
      <w:pPr>
        <w:pStyle w:val="5"/>
        <w:numPr>
          <w:ilvl w:val="0"/>
          <w:numId w:val="4"/>
        </w:numPr>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最高投标限价</w:t>
      </w:r>
    </w:p>
    <w:p>
      <w:pPr>
        <w:pStyle w:val="5"/>
        <w:spacing w:after="0" w:line="360" w:lineRule="auto"/>
        <w:ind w:left="-2" w:firstLine="480" w:firstLineChars="200"/>
        <w:rPr>
          <w:rFonts w:ascii="楷体" w:hAnsi="楷体" w:eastAsia="楷体" w:cs="楷体"/>
          <w:color w:val="auto"/>
          <w:kern w:val="0"/>
          <w:sz w:val="24"/>
          <w:szCs w:val="24"/>
          <w:highlight w:val="none"/>
        </w:rPr>
      </w:pPr>
      <w:r>
        <w:rPr>
          <w:rFonts w:hint="eastAsia" w:ascii="楷体" w:hAnsi="楷体" w:eastAsia="楷体" w:cs="楷体"/>
          <w:color w:val="auto"/>
          <w:sz w:val="24"/>
          <w:highlight w:val="none"/>
        </w:rPr>
        <w:t>注：</w:t>
      </w:r>
      <w:r>
        <w:rPr>
          <w:rFonts w:hint="eastAsia" w:ascii="楷体" w:hAnsi="楷体" w:eastAsia="楷体" w:cs="楷体"/>
          <w:color w:val="auto"/>
          <w:kern w:val="0"/>
          <w:sz w:val="24"/>
          <w:szCs w:val="24"/>
          <w:highlight w:val="none"/>
        </w:rPr>
        <w:t>招标人应在技术条件（工程建设标准）中明确如下内容：</w:t>
      </w:r>
    </w:p>
    <w:p>
      <w:pPr>
        <w:pStyle w:val="5"/>
        <w:spacing w:after="0" w:line="360" w:lineRule="auto"/>
        <w:ind w:left="420" w:leftChars="200" w:firstLine="0"/>
        <w:rPr>
          <w:rFonts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1.施工现场建筑垃圾源头减量的具体要求和建筑垃圾综合利用产品的使用要求。</w:t>
      </w:r>
    </w:p>
    <w:p>
      <w:pPr>
        <w:pStyle w:val="5"/>
        <w:spacing w:after="0" w:line="360" w:lineRule="auto"/>
        <w:ind w:left="420" w:leftChars="200" w:firstLine="0"/>
        <w:rPr>
          <w:rFonts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2.占道施工相关告知、围蔽、修复等要求。</w:t>
      </w:r>
    </w:p>
    <w:p>
      <w:pPr>
        <w:pStyle w:val="5"/>
        <w:spacing w:after="0" w:line="360" w:lineRule="auto"/>
        <w:ind w:left="420" w:leftChars="200" w:firstLine="0"/>
        <w:rPr>
          <w:rFonts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3.对照《广州市智能建造技术清单（1.0版）》对招标项目智能建造提出要求。</w:t>
      </w:r>
    </w:p>
    <w:p>
      <w:pPr>
        <w:pStyle w:val="5"/>
        <w:spacing w:after="0" w:line="360" w:lineRule="auto"/>
        <w:ind w:left="420" w:leftChars="200" w:firstLine="0"/>
        <w:rPr>
          <w:rFonts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4.招标人对中标人参与“百千万工程”的具体要求。</w:t>
      </w:r>
    </w:p>
    <w:p>
      <w:pPr>
        <w:pStyle w:val="5"/>
        <w:spacing w:after="0" w:line="360" w:lineRule="auto"/>
        <w:ind w:firstLine="480" w:firstLineChars="200"/>
        <w:rPr>
          <w:rFonts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5.在建筑废弃物运输上落实《关于加快推动氢能产业高质量发展的若干措施》的要求。</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给招标人或招标代理人，提交形式见本须知前附表第13项。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rFonts w:hint="eastAsia" w:ascii="宋体" w:hAnsi="宋体" w:cs="宋体"/>
          <w:b/>
          <w:bCs/>
          <w:color w:val="auto"/>
          <w:sz w:val="24"/>
          <w:szCs w:val="24"/>
          <w:highlight w:val="none"/>
          <w:u w:val="single"/>
          <w:lang w:bidi="ar"/>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rFonts w:hint="eastAsia" w:ascii="宋体" w:hAnsi="宋体" w:cs="宋体"/>
          <w:b/>
          <w:bCs/>
          <w:color w:val="auto"/>
          <w:sz w:val="24"/>
          <w:szCs w:val="24"/>
          <w:highlight w:val="none"/>
          <w:u w:val="single"/>
          <w:lang w:bidi="ar"/>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rFonts w:hint="eastAsia" w:ascii="宋体" w:hAnsi="宋体" w:cs="宋体"/>
          <w:b/>
          <w:bCs/>
          <w:color w:val="auto"/>
          <w:sz w:val="24"/>
          <w:szCs w:val="24"/>
          <w:highlight w:val="none"/>
          <w:u w:val="single"/>
          <w:lang w:bidi="ar"/>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招标文件的澄清或修改内容为招标文件的组成部分，对投标人起约束作用。</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9.4招标文件的澄清或修改均以</w:t>
      </w:r>
      <w:r>
        <w:rPr>
          <w:rFonts w:hint="eastAsia" w:ascii="宋体" w:hAnsi="宋体" w:cs="宋体"/>
          <w:b/>
          <w:bCs/>
          <w:color w:val="auto"/>
          <w:sz w:val="24"/>
          <w:szCs w:val="24"/>
          <w:highlight w:val="none"/>
          <w:u w:val="single"/>
          <w:lang w:bidi="ar"/>
        </w:rPr>
        <w:t>广州交易集团有限公司（广州公共资源交易中心）</w:t>
      </w:r>
      <w:r>
        <w:rPr>
          <w:rFonts w:hint="eastAsia" w:ascii="宋体" w:hAnsi="宋体"/>
          <w:color w:val="auto"/>
          <w:sz w:val="24"/>
          <w:highlight w:val="none"/>
          <w:u w:val="single"/>
        </w:rPr>
        <w:t>网站</w:t>
      </w:r>
      <w:r>
        <w:rPr>
          <w:rFonts w:hint="eastAsia" w:ascii="宋体" w:hAnsi="宋体"/>
          <w:color w:val="auto"/>
          <w:sz w:val="24"/>
          <w:highlight w:val="none"/>
        </w:rPr>
        <w:t>发布的内容为准。当招标文件的澄清、修改、补充等在同一内容的表述不一致时，以最后发出的书面形式的文件为准。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rPr>
          <w:color w:val="auto"/>
          <w:highlight w:val="none"/>
        </w:rPr>
      </w:pPr>
      <w:bookmarkStart w:id="31" w:name="_Toc644"/>
      <w:bookmarkStart w:id="32" w:name="_Toc19531"/>
      <w:bookmarkStart w:id="33" w:name="_Toc21525495"/>
      <w:bookmarkStart w:id="34" w:name="_Toc2272551"/>
      <w:r>
        <w:rPr>
          <w:rFonts w:hint="eastAsia"/>
          <w:color w:val="auto"/>
          <w:highlight w:val="none"/>
        </w:rPr>
        <w:t>（三）投标文件的编制</w:t>
      </w:r>
      <w:bookmarkEnd w:id="31"/>
      <w:bookmarkEnd w:id="32"/>
      <w:bookmarkEnd w:id="33"/>
      <w:bookmarkEnd w:id="34"/>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（由招标人根据招标项目实际情况自行确定）</w:t>
      </w:r>
    </w:p>
    <w:p>
      <w:pPr>
        <w:pStyle w:val="5"/>
        <w:spacing w:after="0" w:line="360" w:lineRule="auto"/>
        <w:ind w:firstLine="480" w:firstLineChars="200"/>
        <w:rPr>
          <w:rFonts w:ascii="宋体"/>
          <w:b/>
          <w:color w:val="auto"/>
          <w:sz w:val="24"/>
          <w:highlight w:val="none"/>
          <w:u w:val="single"/>
        </w:rPr>
      </w:pPr>
      <w:r>
        <w:rPr>
          <w:rFonts w:ascii="宋体" w:hAnsi="宋体"/>
          <w:color w:val="auto"/>
          <w:sz w:val="24"/>
          <w:highlight w:val="none"/>
          <w:u w:val="single"/>
        </w:rPr>
        <w:t xml:space="preserve">11.1 </w:t>
      </w:r>
      <w:r>
        <w:rPr>
          <w:rFonts w:hint="eastAsia" w:ascii="宋体" w:hAnsi="宋体"/>
          <w:color w:val="auto"/>
          <w:sz w:val="24"/>
          <w:highlight w:val="none"/>
          <w:u w:val="single"/>
        </w:rPr>
        <w:t>投标文件由技术部分（含资格审查文件）和经济部分二部分投标文件组成</w:t>
      </w:r>
      <w:r>
        <w:rPr>
          <w:rFonts w:hint="eastAsia" w:ascii="宋体" w:hAnsi="宋体"/>
          <w:b/>
          <w:color w:val="auto"/>
          <w:sz w:val="24"/>
          <w:highlight w:val="none"/>
          <w:u w:val="single"/>
        </w:rPr>
        <w:t>。</w:t>
      </w:r>
    </w:p>
    <w:p>
      <w:pPr>
        <w:spacing w:line="360" w:lineRule="auto"/>
        <w:ind w:firstLine="480" w:firstLineChars="200"/>
        <w:rPr>
          <w:rFonts w:ascii="宋体" w:hAnsi="宋体"/>
          <w:bCs/>
          <w:color w:val="auto"/>
          <w:sz w:val="24"/>
          <w:highlight w:val="none"/>
          <w:u w:val="single"/>
        </w:rPr>
      </w:pPr>
      <w:r>
        <w:rPr>
          <w:rFonts w:ascii="宋体" w:hAnsi="宋体"/>
          <w:bCs/>
          <w:color w:val="auto"/>
          <w:sz w:val="24"/>
          <w:highlight w:val="none"/>
          <w:u w:val="single"/>
        </w:rPr>
        <w:t>11.2</w:t>
      </w:r>
      <w:r>
        <w:rPr>
          <w:rFonts w:hint="eastAsia" w:ascii="宋体" w:hAnsi="宋体"/>
          <w:bCs/>
          <w:color w:val="auto"/>
          <w:sz w:val="24"/>
          <w:highlight w:val="none"/>
          <w:u w:val="single"/>
        </w:rPr>
        <w:t>投标文件技术标部分主要包括下列内容</w:t>
      </w:r>
      <w:r>
        <w:rPr>
          <w:rFonts w:ascii="宋体" w:hAnsi="宋体"/>
          <w:bCs/>
          <w:color w:val="auto"/>
          <w:sz w:val="24"/>
          <w:highlight w:val="none"/>
          <w:u w:val="single"/>
        </w:rPr>
        <w:t>:</w:t>
      </w:r>
    </w:p>
    <w:p>
      <w:pPr>
        <w:pStyle w:val="20"/>
        <w:spacing w:line="360" w:lineRule="auto"/>
        <w:ind w:firstLine="480"/>
        <w:rPr>
          <w:rFonts w:hAnsi="宋体"/>
          <w:bCs/>
          <w:color w:val="auto"/>
          <w:sz w:val="24"/>
          <w:highlight w:val="none"/>
          <w:u w:val="single"/>
        </w:rPr>
      </w:pPr>
      <w:r>
        <w:rPr>
          <w:rFonts w:hint="eastAsia" w:hAnsi="宋体"/>
          <w:bCs/>
          <w:color w:val="auto"/>
          <w:sz w:val="24"/>
          <w:highlight w:val="none"/>
          <w:u w:val="single"/>
        </w:rPr>
        <w:t>11.2.1资格审查文件</w:t>
      </w:r>
    </w:p>
    <w:p>
      <w:pPr>
        <w:numPr>
          <w:ilvl w:val="0"/>
          <w:numId w:val="5"/>
        </w:num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投标人声明（一）、（二）、（三）；</w:t>
      </w:r>
    </w:p>
    <w:p>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（2）法定代表人证明书、法定代表人签字或盖章的本投标文件授权委托证明书；</w:t>
      </w:r>
    </w:p>
    <w:p>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（3）企业营业执照；</w:t>
      </w:r>
    </w:p>
    <w:p>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（4）企业资质证书；</w:t>
      </w:r>
    </w:p>
    <w:p>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（5）建筑施工企业安全生产许可证；</w:t>
      </w:r>
    </w:p>
    <w:p>
      <w:pPr>
        <w:spacing w:line="360" w:lineRule="auto"/>
        <w:ind w:firstLine="480" w:firstLineChars="200"/>
        <w:rPr>
          <w:rFonts w:ascii="宋体" w:hAnsi="宋体"/>
          <w:bCs/>
          <w:color w:val="auto"/>
          <w:sz w:val="24"/>
          <w:szCs w:val="24"/>
          <w:highlight w:val="none"/>
          <w:u w:val="single"/>
        </w:rPr>
      </w:pPr>
      <w:r>
        <w:rPr>
          <w:rFonts w:hint="eastAsia" w:ascii="宋体"/>
          <w:bCs/>
          <w:color w:val="auto"/>
          <w:sz w:val="24"/>
          <w:highlight w:val="none"/>
          <w:u w:val="single"/>
        </w:rPr>
        <w:t>（6）</w:t>
      </w:r>
      <w:r>
        <w:rPr>
          <w:rFonts w:hint="eastAsia" w:ascii="宋体" w:hAnsi="宋体"/>
          <w:bCs/>
          <w:color w:val="auto"/>
          <w:sz w:val="24"/>
          <w:szCs w:val="24"/>
          <w:highlight w:val="none"/>
          <w:u w:val="single"/>
        </w:rPr>
        <w:t>项目负责人（按网上投标登记时选择拟投标的项目负责人。）；</w:t>
      </w:r>
    </w:p>
    <w:p>
      <w:pPr>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（7）专职安全员（按网上投标登记时选择拟投标的专职安全员。）；</w:t>
      </w:r>
    </w:p>
    <w:p>
      <w:pPr>
        <w:spacing w:line="360" w:lineRule="auto"/>
        <w:ind w:firstLine="482" w:firstLineChars="200"/>
        <w:rPr>
          <w:rFonts w:ascii="宋体" w:hAnsi="宋体"/>
          <w:bCs/>
          <w:color w:val="auto"/>
          <w:sz w:val="24"/>
          <w:szCs w:val="24"/>
          <w:highlight w:val="none"/>
          <w:u w:val="single"/>
        </w:rPr>
      </w:pPr>
      <w:r>
        <w:rPr>
          <w:rFonts w:hint="eastAsia" w:ascii="宋体" w:hAnsi="宋体"/>
          <w:b/>
          <w:color w:val="auto"/>
          <w:sz w:val="24"/>
          <w:szCs w:val="24"/>
          <w:highlight w:val="none"/>
          <w:u w:val="single"/>
        </w:rPr>
        <w:t>（8）拟委派技术负责人的职称证书（具体要求详见招标公告）</w:t>
      </w:r>
    </w:p>
    <w:p>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 xml:space="preserve">（9）拟委派项目负责人的建造师注册证书 ； </w:t>
      </w:r>
    </w:p>
    <w:p>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（10）项目负责人安全生产考核合格证明或在有效期内的安全考核合格证书（B类）或建筑施工企业项目负责人安全生产考核合格证书；</w:t>
      </w:r>
    </w:p>
    <w:p>
      <w:pPr>
        <w:spacing w:line="360" w:lineRule="auto"/>
        <w:ind w:firstLine="480" w:firstLineChars="200"/>
        <w:rPr>
          <w:rFonts w:ascii="宋体"/>
          <w:bCs/>
          <w:color w:val="auto"/>
          <w:sz w:val="24"/>
          <w:szCs w:val="24"/>
          <w:highlight w:val="none"/>
          <w:u w:val="single"/>
        </w:rPr>
      </w:pPr>
      <w:r>
        <w:rPr>
          <w:rFonts w:hint="eastAsia" w:ascii="宋体"/>
          <w:bCs/>
          <w:color w:val="auto"/>
          <w:sz w:val="24"/>
          <w:highlight w:val="none"/>
          <w:u w:val="single"/>
        </w:rPr>
        <w:t>（11）专职安全员须具有在有效期内的安全考核合格证书（C类）或建筑施工企业专职安全生产管理人员安全生产考核合格证书（C3）；</w:t>
      </w:r>
    </w:p>
    <w:p>
      <w:pPr>
        <w:spacing w:line="360" w:lineRule="auto"/>
        <w:ind w:firstLine="480" w:firstLineChars="200"/>
        <w:rPr>
          <w:rFonts w:ascii="宋体"/>
          <w:bCs/>
          <w:strike/>
          <w:color w:val="auto"/>
          <w:sz w:val="24"/>
          <w:szCs w:val="24"/>
          <w:highlight w:val="none"/>
          <w:u w:val="single"/>
        </w:rPr>
      </w:pPr>
      <w:r>
        <w:rPr>
          <w:rFonts w:hint="eastAsia" w:ascii="宋体"/>
          <w:bCs/>
          <w:strike/>
          <w:color w:val="auto"/>
          <w:sz w:val="24"/>
          <w:szCs w:val="24"/>
          <w:highlight w:val="none"/>
          <w:u w:val="single"/>
        </w:rPr>
        <w:t>（12）</w:t>
      </w:r>
      <w:r>
        <w:rPr>
          <w:rFonts w:hint="eastAsia" w:ascii="宋体" w:hAnsi="宋体"/>
          <w:bCs/>
          <w:strike/>
          <w:color w:val="auto"/>
          <w:sz w:val="24"/>
          <w:szCs w:val="24"/>
          <w:highlight w:val="none"/>
          <w:u w:val="single"/>
        </w:rPr>
        <w:t>用于资格审查的业绩（设置业绩要求时选择此项，</w:t>
      </w:r>
      <w:r>
        <w:rPr>
          <w:rFonts w:hint="eastAsia" w:ascii="宋体" w:hAnsi="宋体"/>
          <w:strike/>
          <w:color w:val="auto"/>
          <w:sz w:val="24"/>
          <w:highlight w:val="none"/>
          <w:u w:val="single"/>
        </w:rPr>
        <w:t>具体格式由招标人自定</w:t>
      </w:r>
      <w:r>
        <w:rPr>
          <w:rFonts w:hint="eastAsia" w:ascii="宋体" w:hAnsi="宋体"/>
          <w:bCs/>
          <w:strike/>
          <w:color w:val="auto"/>
          <w:sz w:val="24"/>
          <w:szCs w:val="24"/>
          <w:highlight w:val="none"/>
          <w:u w:val="single"/>
        </w:rPr>
        <w:t>）</w:t>
      </w:r>
    </w:p>
    <w:p>
      <w:pPr>
        <w:spacing w:line="360" w:lineRule="auto"/>
        <w:ind w:firstLine="480" w:firstLineChars="200"/>
        <w:rPr>
          <w:rFonts w:ascii="宋体" w:hAnsi="宋体"/>
          <w:bCs/>
          <w:strike/>
          <w:color w:val="auto"/>
          <w:sz w:val="24"/>
          <w:szCs w:val="24"/>
          <w:highlight w:val="none"/>
          <w:u w:val="single"/>
        </w:rPr>
      </w:pPr>
      <w:r>
        <w:rPr>
          <w:rFonts w:hint="eastAsia" w:ascii="宋体" w:hAnsi="宋体"/>
          <w:bCs/>
          <w:strike/>
          <w:color w:val="auto"/>
          <w:sz w:val="24"/>
          <w:szCs w:val="24"/>
          <w:highlight w:val="none"/>
          <w:u w:val="single"/>
        </w:rPr>
        <w:t>（13）列明主办单位的联合体工作协议（采用联合体投标时需递交，</w:t>
      </w:r>
      <w:r>
        <w:rPr>
          <w:rFonts w:hint="eastAsia" w:ascii="宋体" w:hAnsi="宋体"/>
          <w:strike/>
          <w:color w:val="auto"/>
          <w:sz w:val="24"/>
          <w:szCs w:val="24"/>
          <w:highlight w:val="none"/>
          <w:u w:val="single"/>
        </w:rPr>
        <w:t>联合体工作协议应明确约定各方拟承担的工作和责任</w:t>
      </w:r>
      <w:r>
        <w:rPr>
          <w:rFonts w:hint="eastAsia" w:ascii="宋体" w:hAnsi="宋体"/>
          <w:bCs/>
          <w:strike/>
          <w:color w:val="auto"/>
          <w:sz w:val="24"/>
          <w:szCs w:val="24"/>
          <w:highlight w:val="none"/>
          <w:u w:val="single"/>
        </w:rPr>
        <w:t>）；</w:t>
      </w:r>
    </w:p>
    <w:p>
      <w:pPr>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（14）投标人认为应提交的其他资料 。</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11.2.2技术投标文件主要包括下列内容：</w:t>
      </w:r>
    </w:p>
    <w:p>
      <w:pPr>
        <w:numPr>
          <w:ilvl w:val="0"/>
          <w:numId w:val="6"/>
        </w:numPr>
        <w:spacing w:line="360" w:lineRule="auto"/>
        <w:ind w:firstLine="480" w:firstLineChars="200"/>
        <w:rPr>
          <w:rFonts w:ascii="宋体" w:hAnsi="宋体"/>
          <w:color w:val="auto"/>
          <w:sz w:val="24"/>
          <w:highlight w:val="none"/>
          <w:u w:val="single"/>
        </w:rPr>
      </w:pPr>
      <w:r>
        <w:rPr>
          <w:rFonts w:hint="eastAsia" w:ascii="宋体"/>
          <w:bCs/>
          <w:color w:val="auto"/>
          <w:sz w:val="24"/>
          <w:highlight w:val="none"/>
          <w:u w:val="single"/>
        </w:rPr>
        <w:t>《广州建设工程施工招标投标书》；</w:t>
      </w:r>
    </w:p>
    <w:p>
      <w:pPr>
        <w:numPr>
          <w:ilvl w:val="0"/>
          <w:numId w:val="6"/>
        </w:num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项目管理机构配备：</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szCs w:val="24"/>
          <w:highlight w:val="none"/>
          <w:u w:val="single"/>
        </w:rPr>
        <w:t>①</w:t>
      </w:r>
      <w:r>
        <w:rPr>
          <w:rFonts w:hint="eastAsia" w:ascii="宋体" w:hAnsi="宋体"/>
          <w:color w:val="auto"/>
          <w:sz w:val="24"/>
          <w:highlight w:val="none"/>
          <w:u w:val="single"/>
        </w:rPr>
        <w:t>投标人应列出该项目工程的施工组织机构构成和画出机构框架图及其负责人；</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szCs w:val="24"/>
          <w:highlight w:val="none"/>
          <w:u w:val="single"/>
        </w:rPr>
        <w:t>②</w:t>
      </w:r>
      <w:r>
        <w:rPr>
          <w:rFonts w:hint="eastAsia" w:ascii="宋体" w:hAnsi="宋体"/>
          <w:color w:val="auto"/>
          <w:sz w:val="24"/>
          <w:highlight w:val="none"/>
          <w:u w:val="singl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szCs w:val="24"/>
          <w:highlight w:val="none"/>
          <w:u w:val="single"/>
        </w:rPr>
        <w:t>③</w:t>
      </w:r>
      <w:r>
        <w:rPr>
          <w:rFonts w:hint="eastAsia" w:ascii="宋体" w:hAnsi="宋体"/>
          <w:color w:val="auto"/>
          <w:sz w:val="24"/>
          <w:highlight w:val="none"/>
          <w:u w:val="single"/>
        </w:rPr>
        <w:t>其他辅助说明资料。</w:t>
      </w:r>
    </w:p>
    <w:p>
      <w:pPr>
        <w:spacing w:line="360" w:lineRule="auto"/>
        <w:ind w:firstLine="480" w:firstLineChars="200"/>
        <w:rPr>
          <w:rFonts w:ascii="宋体" w:hAnsi="宋体"/>
          <w:strike w:val="0"/>
          <w:color w:val="auto"/>
          <w:sz w:val="24"/>
          <w:highlight w:val="none"/>
          <w:u w:val="single"/>
        </w:rPr>
      </w:pPr>
      <w:r>
        <w:rPr>
          <w:rFonts w:hint="eastAsia" w:ascii="宋体" w:hAnsi="宋体"/>
          <w:strike w:val="0"/>
          <w:color w:val="auto"/>
          <w:sz w:val="24"/>
          <w:highlight w:val="none"/>
          <w:u w:val="single"/>
        </w:rPr>
        <w:t>（3）施工组织设计或施工方案；</w:t>
      </w:r>
    </w:p>
    <w:p>
      <w:pPr>
        <w:pStyle w:val="2"/>
        <w:rPr>
          <w:rFonts w:ascii="宋体" w:hAnsi="宋体"/>
          <w:strike w:val="0"/>
          <w:color w:val="auto"/>
          <w:sz w:val="24"/>
          <w:highlight w:val="none"/>
          <w:u w:val="single"/>
        </w:rPr>
      </w:pPr>
      <w:r>
        <w:rPr>
          <w:rFonts w:hint="eastAsia" w:ascii="楷体" w:hAnsi="楷体" w:eastAsia="楷体" w:cs="楷体"/>
          <w:strike w:val="0"/>
          <w:color w:val="auto"/>
          <w:sz w:val="24"/>
          <w:highlight w:val="none"/>
          <w:u w:val="single"/>
        </w:rPr>
        <w:t>注：建议招标人在招标文件中提出篇幅上限，国家及地方现有工法规范已有的内容无需重复提交。</w:t>
      </w:r>
    </w:p>
    <w:p>
      <w:pPr>
        <w:spacing w:line="360" w:lineRule="auto"/>
        <w:ind w:firstLine="480" w:firstLineChars="200"/>
        <w:rPr>
          <w:rFonts w:ascii="宋体" w:hAnsi="宋体"/>
          <w:strike/>
          <w:color w:val="auto"/>
          <w:sz w:val="24"/>
          <w:highlight w:val="none"/>
          <w:u w:val="single"/>
        </w:rPr>
      </w:pPr>
      <w:r>
        <w:rPr>
          <w:rFonts w:hint="eastAsia" w:ascii="宋体" w:hAnsi="宋体"/>
          <w:strike/>
          <w:color w:val="auto"/>
          <w:sz w:val="24"/>
          <w:highlight w:val="none"/>
          <w:u w:val="single"/>
        </w:rPr>
        <w:t>（4）（选择性条款）有余泥渣土产生的项目可要求提供余泥渣土运输与排放方案；</w:t>
      </w:r>
    </w:p>
    <w:p>
      <w:pPr>
        <w:spacing w:line="360" w:lineRule="auto"/>
        <w:ind w:firstLine="480" w:firstLineChars="200"/>
        <w:rPr>
          <w:rFonts w:ascii="宋体" w:hAnsi="宋体"/>
          <w:strike/>
          <w:color w:val="auto"/>
          <w:sz w:val="24"/>
          <w:highlight w:val="none"/>
          <w:u w:val="single"/>
        </w:rPr>
      </w:pPr>
      <w:r>
        <w:rPr>
          <w:rFonts w:hint="eastAsia" w:ascii="宋体" w:hAnsi="宋体"/>
          <w:strike/>
          <w:color w:val="auto"/>
          <w:sz w:val="24"/>
          <w:highlight w:val="none"/>
          <w:u w:val="single"/>
        </w:rPr>
        <w:t>（5）（选择性条款）投标人可使用适合本工程的机械设备；</w:t>
      </w:r>
    </w:p>
    <w:p>
      <w:pPr>
        <w:spacing w:line="360" w:lineRule="auto"/>
        <w:ind w:firstLine="480" w:firstLineChars="200"/>
        <w:rPr>
          <w:rFonts w:ascii="宋体" w:hAnsi="宋体"/>
          <w:strike/>
          <w:color w:val="auto"/>
          <w:sz w:val="24"/>
          <w:highlight w:val="none"/>
          <w:u w:val="single"/>
        </w:rPr>
      </w:pPr>
      <w:r>
        <w:rPr>
          <w:rFonts w:hint="eastAsia" w:ascii="宋体" w:hAnsi="宋体"/>
          <w:strike/>
          <w:color w:val="auto"/>
          <w:sz w:val="24"/>
          <w:highlight w:val="none"/>
          <w:u w:val="single"/>
        </w:rPr>
        <w:t>（6）（选择性条款）类似工程业绩材料；</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（7）按本招标文件规定提交的其它所有技术资料；</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（8）按照招标文件要求填写的《参与编制技术标投标文件人员名单》。</w:t>
      </w:r>
    </w:p>
    <w:p>
      <w:pPr>
        <w:spacing w:line="360" w:lineRule="auto"/>
        <w:ind w:firstLine="480" w:firstLineChars="200"/>
        <w:rPr>
          <w:rFonts w:ascii="宋体"/>
          <w:bCs/>
          <w:color w:val="auto"/>
          <w:sz w:val="24"/>
          <w:highlight w:val="none"/>
          <w:u w:val="single"/>
        </w:rPr>
      </w:pPr>
      <w:r>
        <w:rPr>
          <w:rFonts w:ascii="宋体" w:hAnsi="宋体"/>
          <w:bCs/>
          <w:color w:val="auto"/>
          <w:sz w:val="24"/>
          <w:highlight w:val="none"/>
          <w:u w:val="single"/>
        </w:rPr>
        <w:t xml:space="preserve">11.3 </w:t>
      </w:r>
      <w:r>
        <w:rPr>
          <w:rFonts w:hint="eastAsia" w:ascii="宋体" w:hAnsi="宋体"/>
          <w:bCs/>
          <w:color w:val="auto"/>
          <w:sz w:val="24"/>
          <w:highlight w:val="none"/>
          <w:u w:val="single"/>
        </w:rPr>
        <w:t>经济部分投标文件主要包括下列内容：</w:t>
      </w:r>
    </w:p>
    <w:p>
      <w:pPr>
        <w:spacing w:line="360" w:lineRule="auto"/>
        <w:ind w:firstLine="480" w:firstLineChars="200"/>
        <w:rPr>
          <w:rFonts w:ascii="宋体"/>
          <w:color w:val="auto"/>
          <w:sz w:val="24"/>
          <w:highlight w:val="none"/>
          <w:u w:val="single"/>
        </w:rPr>
      </w:pPr>
      <w:r>
        <w:rPr>
          <w:rFonts w:ascii="宋体" w:hAnsi="宋体"/>
          <w:color w:val="auto"/>
          <w:sz w:val="24"/>
          <w:highlight w:val="none"/>
          <w:u w:val="single"/>
        </w:rPr>
        <w:t xml:space="preserve">11.3.1 </w:t>
      </w:r>
      <w:r>
        <w:rPr>
          <w:rFonts w:hint="eastAsia" w:ascii="宋体" w:hAnsi="宋体"/>
          <w:color w:val="auto"/>
          <w:sz w:val="24"/>
          <w:highlight w:val="none"/>
          <w:u w:val="single"/>
        </w:rPr>
        <w:t>经济投标文件</w:t>
      </w:r>
    </w:p>
    <w:p>
      <w:pPr>
        <w:spacing w:line="360" w:lineRule="auto"/>
        <w:ind w:firstLine="480" w:firstLineChars="200"/>
        <w:rPr>
          <w:rFonts w:ascii="宋体"/>
          <w:color w:val="auto"/>
          <w:sz w:val="24"/>
          <w:highlight w:val="none"/>
          <w:u w:val="single"/>
        </w:rPr>
      </w:pPr>
      <w:r>
        <w:rPr>
          <w:rFonts w:ascii="宋体" w:hAnsi="宋体"/>
          <w:color w:val="auto"/>
          <w:sz w:val="24"/>
          <w:highlight w:val="none"/>
          <w:u w:val="single"/>
        </w:rPr>
        <w:t>11.3.2</w:t>
      </w:r>
      <w:r>
        <w:rPr>
          <w:rFonts w:hint="eastAsia" w:ascii="宋体" w:hAnsi="宋体"/>
          <w:color w:val="auto"/>
          <w:sz w:val="24"/>
          <w:highlight w:val="none"/>
          <w:u w:val="singl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u w:val="single"/>
        </w:rPr>
        <w:t>其中包括如下：</w:t>
      </w:r>
      <w:r>
        <w:rPr>
          <w:rFonts w:ascii="宋体"/>
          <w:color w:val="auto"/>
          <w:sz w:val="24"/>
          <w:highlight w:val="none"/>
          <w:u w:val="single"/>
        </w:rPr>
        <w:t xml:space="preserve"> </w:t>
      </w:r>
    </w:p>
    <w:p>
      <w:pPr>
        <w:spacing w:line="360" w:lineRule="auto"/>
        <w:ind w:firstLine="566" w:firstLineChars="236"/>
        <w:rPr>
          <w:rFonts w:ascii="宋体"/>
          <w:color w:val="auto"/>
          <w:sz w:val="24"/>
          <w:highlight w:val="none"/>
          <w:u w:val="single"/>
        </w:rPr>
      </w:pPr>
      <w:r>
        <w:rPr>
          <w:rFonts w:hint="eastAsia" w:ascii="宋体" w:hAnsi="宋体"/>
          <w:color w:val="auto"/>
          <w:sz w:val="24"/>
          <w:highlight w:val="none"/>
          <w:u w:val="single"/>
        </w:rPr>
        <w:t>（</w:t>
      </w:r>
      <w:r>
        <w:rPr>
          <w:rFonts w:ascii="宋体" w:hAnsi="宋体"/>
          <w:color w:val="auto"/>
          <w:sz w:val="24"/>
          <w:highlight w:val="none"/>
          <w:u w:val="single"/>
        </w:rPr>
        <w:t>1</w:t>
      </w:r>
      <w:r>
        <w:rPr>
          <w:rFonts w:hint="eastAsia" w:ascii="宋体" w:hAnsi="宋体"/>
          <w:color w:val="auto"/>
          <w:sz w:val="24"/>
          <w:highlight w:val="none"/>
          <w:u w:val="single"/>
        </w:rPr>
        <w:t>）投标总价封面、扉页；</w:t>
      </w:r>
    </w:p>
    <w:p>
      <w:pPr>
        <w:spacing w:line="360" w:lineRule="auto"/>
        <w:ind w:firstLine="566" w:firstLineChars="236"/>
        <w:rPr>
          <w:rFonts w:ascii="宋体" w:hAnsi="宋体"/>
          <w:color w:val="auto"/>
          <w:sz w:val="24"/>
          <w:szCs w:val="24"/>
          <w:highlight w:val="none"/>
          <w:u w:val="single"/>
        </w:rPr>
      </w:pPr>
      <w:r>
        <w:rPr>
          <w:rFonts w:hint="eastAsia" w:ascii="宋体" w:hAnsi="宋体"/>
          <w:color w:val="auto"/>
          <w:sz w:val="24"/>
          <w:szCs w:val="24"/>
          <w:highlight w:val="none"/>
          <w:u w:val="single"/>
        </w:rPr>
        <w:t>（</w:t>
      </w:r>
      <w:r>
        <w:rPr>
          <w:rFonts w:ascii="宋体" w:hAnsi="宋体"/>
          <w:color w:val="auto"/>
          <w:sz w:val="24"/>
          <w:szCs w:val="24"/>
          <w:highlight w:val="none"/>
          <w:u w:val="single"/>
        </w:rPr>
        <w:t>2</w:t>
      </w:r>
      <w:r>
        <w:rPr>
          <w:rFonts w:hint="eastAsia" w:ascii="宋体" w:hAnsi="宋体"/>
          <w:color w:val="auto"/>
          <w:sz w:val="24"/>
          <w:szCs w:val="24"/>
          <w:highlight w:val="none"/>
          <w:u w:val="single"/>
        </w:rPr>
        <w:t>）总说明；</w:t>
      </w:r>
    </w:p>
    <w:p>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（3）工程项目投标报价汇总表；</w:t>
      </w:r>
    </w:p>
    <w:p>
      <w:pPr>
        <w:spacing w:line="360" w:lineRule="auto"/>
        <w:ind w:firstLine="566" w:firstLineChars="236"/>
        <w:rPr>
          <w:rFonts w:ascii="宋体" w:hAnsi="宋体"/>
          <w:color w:val="auto"/>
          <w:sz w:val="24"/>
          <w:szCs w:val="24"/>
          <w:highlight w:val="none"/>
          <w:u w:val="single"/>
        </w:rPr>
      </w:pPr>
      <w:r>
        <w:rPr>
          <w:rFonts w:hint="eastAsia" w:ascii="宋体" w:hAnsi="宋体"/>
          <w:color w:val="auto"/>
          <w:sz w:val="24"/>
          <w:szCs w:val="24"/>
          <w:highlight w:val="none"/>
          <w:u w:val="single"/>
        </w:rPr>
        <w:t>（4）单项工程投标报价汇总表；</w:t>
      </w:r>
    </w:p>
    <w:p>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（5）单位工程投标报价汇总表；</w:t>
      </w:r>
    </w:p>
    <w:p>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（6）分部分项工程清单与计价表；</w:t>
      </w:r>
    </w:p>
    <w:p>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（7）单价措施项目清单与计价表；</w:t>
      </w:r>
    </w:p>
    <w:p>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（8）总价措施项目清单与计价表；</w:t>
      </w:r>
    </w:p>
    <w:p>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（9）综合单价分析表；</w:t>
      </w:r>
    </w:p>
    <w:p>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（10）其他项目清单与计价汇总表；</w:t>
      </w:r>
    </w:p>
    <w:p>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（11）暂列金额明细表；</w:t>
      </w:r>
    </w:p>
    <w:p>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（12）材料（工程设备）暂估价明细表；</w:t>
      </w:r>
    </w:p>
    <w:p>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（13）专业工程暂估价明细表；</w:t>
      </w:r>
    </w:p>
    <w:p>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（14）计日工表；</w:t>
      </w:r>
    </w:p>
    <w:p>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（15）总承包服务计价表；</w:t>
      </w:r>
    </w:p>
    <w:p>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（16）规费和税金项目计价表；</w:t>
      </w:r>
    </w:p>
    <w:p>
      <w:pPr>
        <w:spacing w:line="360" w:lineRule="auto"/>
        <w:ind w:firstLine="480" w:firstLineChars="200"/>
        <w:rPr>
          <w:rFonts w:ascii="宋体"/>
          <w:color w:val="auto"/>
          <w:sz w:val="24"/>
          <w:highlight w:val="none"/>
          <w:u w:val="single"/>
        </w:rPr>
      </w:pPr>
      <w:r>
        <w:rPr>
          <w:rFonts w:hint="eastAsia" w:ascii="宋体" w:hAnsi="宋体"/>
          <w:color w:val="auto"/>
          <w:sz w:val="24"/>
          <w:szCs w:val="24"/>
          <w:highlight w:val="none"/>
          <w:u w:val="single"/>
        </w:rPr>
        <w:t>（17）人工、主要材料和设备一览表</w:t>
      </w:r>
    </w:p>
    <w:p>
      <w:pPr>
        <w:tabs>
          <w:tab w:val="left" w:pos="1125"/>
        </w:tabs>
        <w:spacing w:line="360" w:lineRule="auto"/>
        <w:ind w:firstLine="480" w:firstLineChars="200"/>
        <w:rPr>
          <w:rFonts w:ascii="宋体" w:hAnsi="宋体"/>
          <w:color w:val="auto"/>
          <w:sz w:val="24"/>
          <w:highlight w:val="none"/>
          <w:u w:val="single"/>
        </w:rPr>
      </w:pPr>
      <w:r>
        <w:rPr>
          <w:rFonts w:ascii="宋体" w:hAnsi="宋体"/>
          <w:color w:val="auto"/>
          <w:sz w:val="24"/>
          <w:highlight w:val="none"/>
          <w:u w:val="single"/>
        </w:rPr>
        <w:t>11.3.</w:t>
      </w:r>
      <w:r>
        <w:rPr>
          <w:rFonts w:hint="eastAsia" w:ascii="宋体" w:hAnsi="宋体"/>
          <w:color w:val="auto"/>
          <w:sz w:val="24"/>
          <w:highlight w:val="none"/>
          <w:u w:val="single"/>
        </w:rPr>
        <w:t>3按照</w:t>
      </w:r>
      <w:r>
        <w:rPr>
          <w:rFonts w:hint="eastAsia" w:ascii="宋体" w:hAnsi="宋体"/>
          <w:bCs/>
          <w:color w:val="auto"/>
          <w:sz w:val="24"/>
          <w:highlight w:val="none"/>
          <w:u w:val="single"/>
        </w:rPr>
        <w:t>招标文件要求</w:t>
      </w:r>
      <w:r>
        <w:rPr>
          <w:rFonts w:hint="eastAsia" w:ascii="宋体" w:hAnsi="宋体"/>
          <w:color w:val="auto"/>
          <w:sz w:val="24"/>
          <w:highlight w:val="none"/>
          <w:u w:val="single"/>
        </w:rPr>
        <w:t>填写的《参与编制经济标投标文件人员名单》。</w:t>
      </w:r>
    </w:p>
    <w:p>
      <w:pPr>
        <w:tabs>
          <w:tab w:val="left" w:pos="1125"/>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11.3.4若投标人的投标报价低于工程成本警示价的，投标人还须提供详细的施工组织设计、单价、措施性费用、单价分析表、主要材料价格表、投标人成本分析供评标委员会评审。</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b/>
          <w:bCs/>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rFonts w:hint="eastAsia" w:ascii="宋体" w:hAnsi="宋体" w:cs="宋体"/>
          <w:b/>
          <w:bCs/>
          <w:color w:val="auto"/>
          <w:sz w:val="24"/>
          <w:szCs w:val="24"/>
          <w:highlight w:val="none"/>
          <w:u w:val="single"/>
        </w:rPr>
        <w:t>广州交易集团有限公司（广州公共资源交易中心）网站</w:t>
      </w:r>
      <w:r>
        <w:rPr>
          <w:rFonts w:hint="eastAsia"/>
          <w:b/>
          <w:bCs/>
          <w:color w:val="auto"/>
          <w:sz w:val="24"/>
          <w:szCs w:val="24"/>
          <w:highlight w:val="none"/>
        </w:rPr>
        <w:t>。</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rFonts w:hint="eastAsia" w:ascii="宋体" w:hAnsi="宋体" w:cs="宋体"/>
          <w:b/>
          <w:bCs/>
          <w:color w:val="auto"/>
          <w:sz w:val="24"/>
          <w:szCs w:val="24"/>
          <w:highlight w:val="none"/>
          <w:u w:val="single"/>
        </w:rPr>
        <w:t>广州交易集团有限公司（广州公共资源交易中心）网站</w:t>
      </w:r>
      <w:r>
        <w:rPr>
          <w:rFonts w:hint="eastAsia" w:ascii="宋体" w:hAnsi="宋体"/>
          <w:color w:val="auto"/>
          <w:sz w:val="24"/>
          <w:highlight w:val="none"/>
        </w:rPr>
        <w:t>。</w:t>
      </w:r>
    </w:p>
    <w:p>
      <w:pPr>
        <w:pStyle w:val="5"/>
        <w:spacing w:after="0" w:line="360" w:lineRule="auto"/>
        <w:ind w:firstLine="480" w:firstLineChars="20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w:t>
      </w:r>
      <w:r>
        <w:rPr>
          <w:rFonts w:hint="eastAsia" w:ascii="宋体" w:hAnsi="宋体"/>
          <w:color w:val="auto"/>
          <w:sz w:val="24"/>
          <w:highlight w:val="none"/>
        </w:rPr>
        <w:t>4项所规定的方式。投标报价（含单价及总价）精确到“分”。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u w:val="single"/>
        </w:rPr>
        <w:t>13.4</w:t>
      </w:r>
      <w:r>
        <w:rPr>
          <w:rFonts w:hint="eastAsia" w:ascii="宋体" w:hAnsi="宋体" w:cs="宋体"/>
          <w:b/>
          <w:bCs/>
          <w:color w:val="auto"/>
          <w:sz w:val="24"/>
          <w:highlight w:val="none"/>
          <w:u w:val="single"/>
        </w:rPr>
        <w:t>投标人一旦中标，投标人对招标人提供的招标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单价波动涨跌幅度超过合同基准期（指递交投标文件截止日期前28天）价格的5%，或施工机械台班单价波动涨跌幅度超过合同基准期（指递交投标文件截止日期前28天）价格的10%或人工涨跌变化影响合同价款时，应根据合同约定，按《建设工程工程量清单计价规范》（GB50500-2013）调整合同价款。人工、主要材料（设备）按广州市造价管理站施工同期《广州地区建设工程材料综合价格》调整。</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13.5.1中标的投标文件工程量清单中已有相同项目的，该项目的综合单价若低于最高投标限价相应项目综合单价，则沿用；若高于最高投标限价相应的综合单价，则按最高投标限价相应的综合单价；</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投标有效期见投标须知前附表第15项所规定的期限，在此期限内，凡符合本招标文件要求的投标文件均保持有效。</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w:t>
      </w:r>
      <w:r>
        <w:rPr>
          <w:rFonts w:hint="eastAsia" w:ascii="宋体" w:hAnsi="宋体"/>
          <w:strike/>
          <w:color w:val="auto"/>
          <w:sz w:val="24"/>
          <w:highlight w:val="none"/>
        </w:rPr>
        <w:t>，而不影响退还其投标保证金</w:t>
      </w:r>
      <w:r>
        <w:rPr>
          <w:rFonts w:hint="eastAsia" w:ascii="宋体" w:hAnsi="宋体"/>
          <w:color w:val="auto"/>
          <w:sz w:val="24"/>
          <w:highlight w:val="none"/>
        </w:rPr>
        <w:t>。同意延长投标有效期的投标人既不能要求也不允许修改其投标文件</w:t>
      </w:r>
      <w:r>
        <w:rPr>
          <w:rFonts w:hint="eastAsia" w:ascii="宋体" w:hAnsi="宋体"/>
          <w:strike/>
          <w:color w:val="auto"/>
          <w:sz w:val="24"/>
          <w:highlight w:val="none"/>
        </w:rPr>
        <w:t>，但需要相应的延长投标保证金的有效期，在延长的投标有效期内，本须知第</w:t>
      </w:r>
      <w:r>
        <w:rPr>
          <w:rFonts w:ascii="宋体" w:hAnsi="宋体"/>
          <w:strike/>
          <w:color w:val="auto"/>
          <w:sz w:val="24"/>
          <w:highlight w:val="none"/>
        </w:rPr>
        <w:t>16</w:t>
      </w:r>
      <w:r>
        <w:rPr>
          <w:rFonts w:hint="eastAsia" w:ascii="宋体" w:hAnsi="宋体"/>
          <w:strike/>
          <w:color w:val="auto"/>
          <w:sz w:val="24"/>
          <w:highlight w:val="none"/>
        </w:rPr>
        <w:t>条关于投标保证金的退还与不予退还的规定仍然适用</w:t>
      </w:r>
      <w:r>
        <w:rPr>
          <w:rFonts w:hint="eastAsia" w:ascii="宋体" w:hAnsi="宋体"/>
          <w:color w:val="auto"/>
          <w:sz w:val="24"/>
          <w:highlight w:val="none"/>
        </w:rPr>
        <w:t>。</w:t>
      </w:r>
    </w:p>
    <w:p>
      <w:pPr>
        <w:pStyle w:val="5"/>
        <w:spacing w:after="0" w:line="360" w:lineRule="auto"/>
        <w:ind w:firstLine="482" w:firstLineChars="200"/>
        <w:rPr>
          <w:rFonts w:ascii="宋体"/>
          <w:b/>
          <w:bCs/>
          <w:strike/>
          <w:color w:val="auto"/>
          <w:sz w:val="24"/>
          <w:highlight w:val="none"/>
        </w:rPr>
      </w:pPr>
      <w:r>
        <w:rPr>
          <w:rFonts w:ascii="宋体" w:hAnsi="宋体"/>
          <w:b/>
          <w:bCs/>
          <w:strike/>
          <w:color w:val="auto"/>
          <w:sz w:val="24"/>
          <w:highlight w:val="none"/>
        </w:rPr>
        <w:t>16</w:t>
      </w:r>
      <w:r>
        <w:rPr>
          <w:rFonts w:hint="eastAsia" w:ascii="宋体" w:hAnsi="宋体"/>
          <w:b/>
          <w:bCs/>
          <w:strike/>
          <w:color w:val="auto"/>
          <w:sz w:val="24"/>
          <w:highlight w:val="none"/>
        </w:rPr>
        <w:t>．投标保证金</w:t>
      </w:r>
    </w:p>
    <w:p>
      <w:pPr>
        <w:spacing w:line="360" w:lineRule="auto"/>
        <w:ind w:firstLine="480" w:firstLineChars="200"/>
        <w:rPr>
          <w:rFonts w:ascii="宋体" w:hAnsi="宋体"/>
          <w:strike/>
          <w:color w:val="auto"/>
          <w:sz w:val="24"/>
          <w:highlight w:val="none"/>
        </w:rPr>
      </w:pPr>
      <w:r>
        <w:rPr>
          <w:rFonts w:ascii="宋体" w:hAnsi="宋体"/>
          <w:strike/>
          <w:color w:val="auto"/>
          <w:sz w:val="24"/>
          <w:highlight w:val="none"/>
        </w:rPr>
        <w:t>16.1</w:t>
      </w:r>
      <w:r>
        <w:rPr>
          <w:rFonts w:hint="eastAsia" w:ascii="宋体" w:hAnsi="宋体"/>
          <w:strike/>
          <w:color w:val="auto"/>
          <w:sz w:val="24"/>
          <w:highlight w:val="none"/>
        </w:rPr>
        <w:t>投标人应按国家、省、市有关规定和投标须知前附表第16项所述金额和时间递交</w:t>
      </w:r>
      <w:r>
        <w:rPr>
          <w:rFonts w:hint="eastAsia" w:ascii="宋体" w:hAnsi="宋体"/>
          <w:bCs/>
          <w:strike/>
          <w:color w:val="auto"/>
          <w:sz w:val="24"/>
          <w:highlight w:val="none"/>
        </w:rPr>
        <w:t>投标保证金</w:t>
      </w:r>
      <w:r>
        <w:rPr>
          <w:rFonts w:hint="eastAsia" w:ascii="宋体" w:hAnsi="宋体"/>
          <w:strike/>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16.3投标保证金应依据法律法规的相关规定退还。</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16.4如有下列情况之一的，招标人可以不予退还投标保证金（是否退还投标保证金由招标人依法依规在招标文件中规定）：</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16.5投标人如存在下列情况之一的，将被拒绝在一定时期内参与招标人后续工程投标（由招标人依法依规在招标文件中明确）：</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highlight w:val="none"/>
        </w:rPr>
        <w:t xml:space="preserve"> 。</w:t>
      </w:r>
    </w:p>
    <w:p>
      <w:pPr>
        <w:pStyle w:val="8"/>
        <w:rPr>
          <w:color w:val="auto"/>
          <w:highlight w:val="none"/>
        </w:rPr>
      </w:pPr>
      <w:bookmarkStart w:id="35" w:name="_Toc32530"/>
      <w:bookmarkStart w:id="36" w:name="_Toc21525496"/>
      <w:bookmarkStart w:id="37" w:name="_Toc4944"/>
      <w:bookmarkStart w:id="38" w:name="_Toc2272552"/>
      <w:r>
        <w:rPr>
          <w:rFonts w:hint="eastAsia"/>
          <w:color w:val="auto"/>
          <w:highlight w:val="none"/>
        </w:rPr>
        <w:t>（四）投标文件的提交</w:t>
      </w:r>
      <w:bookmarkEnd w:id="35"/>
      <w:bookmarkEnd w:id="36"/>
      <w:bookmarkEnd w:id="37"/>
      <w:bookmarkEnd w:id="38"/>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rFonts w:hint="eastAsia" w:ascii="宋体" w:hAnsi="宋体" w:cs="宋体"/>
          <w:b/>
          <w:bCs/>
          <w:color w:val="auto"/>
          <w:sz w:val="24"/>
          <w:highlight w:val="none"/>
          <w:u w:val="single"/>
        </w:rPr>
        <w:t>广州交易集团有限公司（广州公共资源交易中心）</w:t>
      </w:r>
      <w:r>
        <w:rPr>
          <w:rFonts w:hint="eastAsia"/>
          <w:color w:val="auto"/>
          <w:sz w:val="24"/>
          <w:szCs w:val="24"/>
          <w:highlight w:val="none"/>
        </w:rPr>
        <w:t>。</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bCs/>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本须知前附表第17项规定的投标截止时间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w:t>
      </w:r>
      <w:r>
        <w:rPr>
          <w:rFonts w:hint="eastAsia"/>
          <w:bCs/>
          <w:iCs/>
          <w:color w:val="auto"/>
          <w:sz w:val="24"/>
          <w:szCs w:val="24"/>
          <w:highlight w:val="none"/>
        </w:rPr>
        <w:t>，按19点的规</w:t>
      </w:r>
      <w:r>
        <w:rPr>
          <w:rFonts w:hint="eastAsia"/>
          <w:color w:val="auto"/>
          <w:sz w:val="24"/>
          <w:szCs w:val="24"/>
          <w:highlight w:val="none"/>
        </w:rPr>
        <w:t>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8"/>
        <w:spacing w:before="156" w:after="156"/>
        <w:rPr>
          <w:color w:val="auto"/>
          <w:highlight w:val="none"/>
        </w:rPr>
      </w:pPr>
      <w:bookmarkStart w:id="39" w:name="_Toc6026"/>
      <w:bookmarkStart w:id="40" w:name="_Toc2272553"/>
      <w:bookmarkStart w:id="41" w:name="_Toc21525497"/>
      <w:bookmarkStart w:id="42" w:name="_Toc28853"/>
      <w:r>
        <w:rPr>
          <w:rFonts w:hint="eastAsia"/>
          <w:color w:val="auto"/>
          <w:highlight w:val="none"/>
        </w:rPr>
        <w:t>（五）开标、评标、定标及合同签定</w:t>
      </w:r>
      <w:bookmarkEnd w:id="39"/>
      <w:bookmarkEnd w:id="40"/>
      <w:bookmarkEnd w:id="41"/>
      <w:bookmarkEnd w:id="42"/>
    </w:p>
    <w:p>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numPr>
          <w:ilvl w:val="0"/>
          <w:numId w:val="7"/>
        </w:num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定标</w:t>
      </w:r>
    </w:p>
    <w:p>
      <w:pPr>
        <w:pStyle w:val="20"/>
        <w:ind w:firstLine="480" w:firstLineChars="200"/>
        <w:rPr>
          <w:rFonts w:hAnsi="宋体"/>
          <w:color w:val="auto"/>
          <w:sz w:val="24"/>
          <w:szCs w:val="22"/>
          <w:highlight w:val="none"/>
        </w:rPr>
      </w:pPr>
      <w:r>
        <w:rPr>
          <w:rFonts w:hint="eastAsia" w:hAnsi="宋体"/>
          <w:color w:val="auto"/>
          <w:sz w:val="24"/>
          <w:szCs w:val="22"/>
          <w:highlight w:val="none"/>
        </w:rPr>
        <w:t>27.1按照投标人须知前附表的规定，由招标人或招标人授权的评标委员会依法确定中标人。</w:t>
      </w:r>
    </w:p>
    <w:p>
      <w:pPr>
        <w:pStyle w:val="20"/>
        <w:ind w:firstLine="480" w:firstLineChars="200"/>
        <w:rPr>
          <w:color w:val="auto"/>
          <w:highlight w:val="none"/>
        </w:rPr>
      </w:pPr>
      <w:r>
        <w:rPr>
          <w:rFonts w:hint="eastAsia" w:hAnsi="宋体"/>
          <w:color w:val="auto"/>
          <w:sz w:val="24"/>
          <w:szCs w:val="22"/>
          <w:highlight w:val="none"/>
        </w:rPr>
        <w:t>27.2采用评定分离方式确定中标人的，从其规定。</w:t>
      </w:r>
    </w:p>
    <w:p>
      <w:pPr>
        <w:numPr>
          <w:ilvl w:val="0"/>
          <w:numId w:val="7"/>
        </w:numPr>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中标通知书</w:t>
      </w:r>
    </w:p>
    <w:p>
      <w:pPr>
        <w:spacing w:line="360" w:lineRule="auto"/>
        <w:ind w:firstLine="480" w:firstLineChars="200"/>
        <w:rPr>
          <w:color w:val="auto"/>
          <w:highlight w:val="none"/>
        </w:rPr>
      </w:pPr>
      <w:r>
        <w:rPr>
          <w:rFonts w:hint="eastAsia" w:ascii="宋体" w:hAnsi="宋体"/>
          <w:color w:val="auto"/>
          <w:sz w:val="24"/>
          <w:highlight w:val="none"/>
        </w:rPr>
        <w:t>28.1招标人将在</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highlight w:val="none"/>
        </w:rPr>
        <w:t>交易平台、广东省招标投标监管网和中国招标投标公共服务平台</w:t>
      </w:r>
      <w:r>
        <w:rPr>
          <w:rFonts w:hint="eastAsia" w:ascii="宋体" w:hAnsi="宋体" w:cs="宋体"/>
          <w:b/>
          <w:bCs/>
          <w:color w:val="auto"/>
          <w:sz w:val="24"/>
          <w:highlight w:val="none"/>
          <w:u w:val="single"/>
        </w:rPr>
        <w:t>、广州市增城区人民政府门户网站（http://www.zc.gov.cn/）的“首页&gt;公开&gt;公共资源配置领域&gt;工程建设项目招投标”栏目等法定媒体网站</w:t>
      </w:r>
      <w:r>
        <w:rPr>
          <w:rFonts w:hint="eastAsia" w:ascii="宋体" w:hAnsi="宋体"/>
          <w:color w:val="auto"/>
          <w:sz w:val="24"/>
          <w:highlight w:val="none"/>
        </w:rPr>
        <w:t>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w:t>
      </w:r>
      <w:r>
        <w:rPr>
          <w:rFonts w:hint="eastAsia" w:ascii="宋体" w:hAnsi="宋体"/>
          <w:color w:val="auto"/>
          <w:sz w:val="24"/>
          <w:highlight w:val="none"/>
          <w:u w:val="single"/>
        </w:rPr>
        <w:t>投标人提出异议时需在线提交书面的异议书（异议书应清晰表述异议事项、依据、线索、请求或主张、有效的联系方式等）并附法定代表人证明书、有效的授权委托书、被授权人的有效身份证明。</w:t>
      </w:r>
    </w:p>
    <w:p>
      <w:pPr>
        <w:spacing w:line="360" w:lineRule="auto"/>
        <w:ind w:firstLine="480" w:firstLineChars="200"/>
        <w:rPr>
          <w:rFonts w:ascii="仿宋_GB2312" w:hAnsi="宋体" w:eastAsia="仿宋_GB2312"/>
          <w:color w:val="auto"/>
          <w:sz w:val="24"/>
          <w:highlight w:val="none"/>
        </w:rPr>
      </w:pPr>
      <w:r>
        <w:rPr>
          <w:rFonts w:hint="eastAsia" w:ascii="宋体" w:hAnsi="宋体"/>
          <w:color w:val="auto"/>
          <w:sz w:val="24"/>
          <w:highlight w:val="none"/>
        </w:rPr>
        <w:t>28</w:t>
      </w:r>
      <w:r>
        <w:rPr>
          <w:rFonts w:ascii="宋体" w:hAnsi="宋体"/>
          <w:color w:val="auto"/>
          <w:sz w:val="24"/>
          <w:highlight w:val="none"/>
        </w:rPr>
        <w:t>.2</w:t>
      </w:r>
      <w:r>
        <w:rPr>
          <w:rFonts w:hint="eastAsia" w:ascii="宋体" w:hAnsi="宋体"/>
          <w:color w:val="auto"/>
          <w:sz w:val="24"/>
          <w:highlight w:val="none"/>
        </w:rPr>
        <w:t>招标人应当自确定中标人后，向招标投标监管机构提交招标投标情况的书面报告。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28.4在产生中标候选人后，招标人将中标候选人的投标文件商务部分文件的所有内容（包括人员、业绩、奖项等资料）在</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highlight w:val="none"/>
        </w:rPr>
        <w:t>交易平台和广东省招标投标监管网公开。</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pPr>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29．合同协议书的签订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9</w:t>
      </w:r>
      <w:r>
        <w:rPr>
          <w:rFonts w:ascii="宋体" w:hAnsi="宋体"/>
          <w:color w:val="auto"/>
          <w:sz w:val="24"/>
          <w:highlight w:val="none"/>
        </w:rPr>
        <w:t xml:space="preserve">.1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9</w:t>
      </w:r>
      <w:r>
        <w:rPr>
          <w:rFonts w:ascii="宋体" w:hAnsi="宋体"/>
          <w:color w:val="auto"/>
          <w:sz w:val="24"/>
          <w:highlight w:val="none"/>
        </w:rPr>
        <w:t>.2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w:t>
      </w:r>
      <w:r>
        <w:rPr>
          <w:rFonts w:hint="eastAsia" w:ascii="宋体" w:hAnsi="宋体"/>
          <w:strike/>
          <w:color w:val="auto"/>
          <w:sz w:val="24"/>
          <w:highlight w:val="none"/>
        </w:rPr>
        <w:t>原中标人的投标保证金不予退还，</w:t>
      </w:r>
      <w:r>
        <w:rPr>
          <w:rFonts w:hint="eastAsia" w:ascii="宋体" w:hAnsi="宋体"/>
          <w:color w:val="auto"/>
          <w:sz w:val="24"/>
          <w:highlight w:val="none"/>
        </w:rPr>
        <w:t>且依法承担相应法律责任。原中标人给招标人造成的损失</w:t>
      </w:r>
      <w:r>
        <w:rPr>
          <w:rFonts w:hint="eastAsia" w:ascii="宋体" w:hAnsi="宋体"/>
          <w:strike/>
          <w:color w:val="auto"/>
          <w:sz w:val="24"/>
          <w:highlight w:val="none"/>
        </w:rPr>
        <w:t>超过投标保证金数额的</w:t>
      </w:r>
      <w:r>
        <w:rPr>
          <w:rFonts w:hint="eastAsia" w:ascii="宋体" w:hAnsi="宋体"/>
          <w:color w:val="auto"/>
          <w:sz w:val="24"/>
          <w:highlight w:val="none"/>
        </w:rPr>
        <w:t>，还应当</w:t>
      </w:r>
      <w:r>
        <w:rPr>
          <w:rFonts w:hint="eastAsia" w:ascii="宋体" w:hAnsi="宋体"/>
          <w:strike/>
          <w:color w:val="auto"/>
          <w:sz w:val="24"/>
          <w:highlight w:val="none"/>
        </w:rPr>
        <w:t>对超过部分</w:t>
      </w:r>
      <w:r>
        <w:rPr>
          <w:rFonts w:hint="eastAsia" w:ascii="宋体" w:hAnsi="宋体"/>
          <w:color w:val="auto"/>
          <w:sz w:val="24"/>
          <w:highlight w:val="none"/>
        </w:rPr>
        <w:t>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9</w:t>
      </w:r>
      <w:r>
        <w:rPr>
          <w:rFonts w:ascii="宋体" w:hAnsi="宋体"/>
          <w:color w:val="auto"/>
          <w:sz w:val="24"/>
          <w:highlight w:val="none"/>
        </w:rPr>
        <w:t>.3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9</w:t>
      </w:r>
      <w:r>
        <w:rPr>
          <w:rFonts w:ascii="宋体" w:hAnsi="宋体"/>
          <w:color w:val="auto"/>
          <w:sz w:val="24"/>
          <w:highlight w:val="none"/>
        </w:rPr>
        <w:t>.4</w:t>
      </w:r>
      <w:r>
        <w:rPr>
          <w:rFonts w:hint="eastAsia" w:ascii="宋体" w:hAnsi="宋体"/>
          <w:color w:val="auto"/>
          <w:sz w:val="24"/>
          <w:highlight w:val="none"/>
        </w:rPr>
        <w:t>招标人支付工程款时，中标人应按规定开具发票并完税。</w:t>
      </w:r>
    </w:p>
    <w:p>
      <w:pPr>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30．履约担保</w:t>
      </w:r>
    </w:p>
    <w:p>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30</w:t>
      </w:r>
      <w:r>
        <w:rPr>
          <w:rFonts w:ascii="宋体" w:hAnsi="宋体"/>
          <w:color w:val="auto"/>
          <w:sz w:val="24"/>
          <w:highlight w:val="none"/>
        </w:rPr>
        <w:t xml:space="preserve">.1 </w:t>
      </w:r>
      <w:r>
        <w:rPr>
          <w:rFonts w:hint="eastAsia" w:ascii="宋体" w:hAnsi="宋体"/>
          <w:color w:val="auto"/>
          <w:sz w:val="24"/>
          <w:highlight w:val="none"/>
        </w:rPr>
        <w:t>在收到中标通知书后的</w:t>
      </w:r>
      <w:r>
        <w:rPr>
          <w:rFonts w:ascii="宋体" w:hAnsi="宋体"/>
          <w:bCs/>
          <w:color w:val="auto"/>
          <w:sz w:val="24"/>
          <w:highlight w:val="none"/>
        </w:rPr>
        <w:t>15</w:t>
      </w:r>
      <w:r>
        <w:rPr>
          <w:rFonts w:hint="eastAsia" w:ascii="宋体" w:hAnsi="宋体"/>
          <w:bCs/>
          <w:color w:val="auto"/>
          <w:sz w:val="24"/>
          <w:highlight w:val="none"/>
        </w:rPr>
        <w:t>日内</w:t>
      </w:r>
      <w:r>
        <w:rPr>
          <w:rFonts w:hint="eastAsia" w:ascii="宋体" w:hAnsi="宋体"/>
          <w:color w:val="auto"/>
          <w:sz w:val="24"/>
          <w:highlight w:val="none"/>
        </w:rPr>
        <w:t>，中标人应按本须知前附表第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30</w:t>
      </w:r>
      <w:r>
        <w:rPr>
          <w:rFonts w:ascii="宋体" w:hAnsi="宋体"/>
          <w:color w:val="auto"/>
          <w:sz w:val="24"/>
          <w:highlight w:val="none"/>
        </w:rPr>
        <w:t>.2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w:t>
      </w:r>
      <w:r>
        <w:rPr>
          <w:rFonts w:hint="eastAsia" w:ascii="宋体" w:hAnsi="宋体"/>
          <w:strike/>
          <w:color w:val="auto"/>
          <w:sz w:val="24"/>
          <w:highlight w:val="none"/>
        </w:rPr>
        <w:t>原中标人的投标保证金不予退还，</w:t>
      </w:r>
      <w:r>
        <w:rPr>
          <w:rFonts w:hint="eastAsia" w:ascii="宋体" w:hAnsi="宋体"/>
          <w:color w:val="auto"/>
          <w:sz w:val="24"/>
          <w:highlight w:val="none"/>
        </w:rPr>
        <w:t>且依法承担相应法律责任。原中标人给招标人造成的损失</w:t>
      </w:r>
      <w:r>
        <w:rPr>
          <w:rFonts w:hint="eastAsia" w:ascii="宋体" w:hAnsi="宋体"/>
          <w:strike/>
          <w:color w:val="auto"/>
          <w:sz w:val="24"/>
          <w:highlight w:val="none"/>
        </w:rPr>
        <w:t>超过投标保证金数额的</w:t>
      </w:r>
      <w:r>
        <w:rPr>
          <w:rFonts w:hint="eastAsia" w:ascii="宋体" w:hAnsi="宋体"/>
          <w:color w:val="auto"/>
          <w:sz w:val="24"/>
          <w:highlight w:val="none"/>
        </w:rPr>
        <w:t>，还应当</w:t>
      </w:r>
      <w:r>
        <w:rPr>
          <w:rFonts w:hint="eastAsia" w:ascii="宋体" w:hAnsi="宋体"/>
          <w:strike/>
          <w:color w:val="auto"/>
          <w:sz w:val="24"/>
          <w:highlight w:val="none"/>
        </w:rPr>
        <w:t>对超过部分</w:t>
      </w:r>
      <w:r>
        <w:rPr>
          <w:rFonts w:hint="eastAsia" w:ascii="宋体" w:hAnsi="宋体"/>
          <w:color w:val="auto"/>
          <w:sz w:val="24"/>
          <w:highlight w:val="none"/>
        </w:rPr>
        <w:t>予以赔偿。原中标人有异议的，可以向人民法院起诉。</w:t>
      </w:r>
    </w:p>
    <w:p>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30.3中标候选人的经营、财务状况发生较大变化或存在违法行为，招标人认为可能影响其履约能力的，将在发出中标通知书前提请原评标委员会按照招标文件规定的标准和方法进行审查确认。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rPr>
        <w:t>1．合同生效</w:t>
      </w:r>
    </w:p>
    <w:p>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1</w:t>
      </w:r>
      <w:r>
        <w:rPr>
          <w:rFonts w:ascii="宋体" w:hAnsi="宋体"/>
          <w:color w:val="auto"/>
          <w:sz w:val="24"/>
          <w:highlight w:val="none"/>
        </w:rPr>
        <w:t>.1</w:t>
      </w:r>
      <w:r>
        <w:rPr>
          <w:rFonts w:hint="eastAsia" w:ascii="宋体" w:hAnsi="宋体"/>
          <w:color w:val="auto"/>
          <w:sz w:val="24"/>
          <w:highlight w:val="none"/>
        </w:rPr>
        <w:t>在合同双方全权代表在合同协议书上签字，并分别加盖双方单位的公章后，合同正式生效。</w:t>
      </w:r>
    </w:p>
    <w:p>
      <w:pPr>
        <w:numPr>
          <w:ilvl w:val="0"/>
          <w:numId w:val="8"/>
        </w:num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专业分包</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pPr>
        <w:pStyle w:val="20"/>
        <w:spacing w:line="360" w:lineRule="auto"/>
        <w:rPr>
          <w:color w:val="auto"/>
          <w:highlight w:val="none"/>
        </w:rPr>
      </w:pPr>
      <w:r>
        <w:rPr>
          <w:rFonts w:hint="eastAsia" w:hAnsi="宋体"/>
          <w:color w:val="auto"/>
          <w:sz w:val="24"/>
          <w:highlight w:val="none"/>
        </w:rPr>
        <w:t xml:space="preserve">    32.2中标人不得向他人转让中标项目，接受分包的人不得再次分包。中标人应当就分包项目向招标人负责，接受分包的人就分包项目承担连带责任。</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rPr>
        <w:t>3．腐败与欺诈行为</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3.</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3.</w:t>
      </w:r>
      <w:r>
        <w:rPr>
          <w:rFonts w:ascii="宋体" w:hAnsi="宋体"/>
          <w:color w:val="auto"/>
          <w:sz w:val="24"/>
          <w:highlight w:val="none"/>
        </w:rPr>
        <w:t>2</w:t>
      </w:r>
      <w:r>
        <w:rPr>
          <w:rFonts w:hint="eastAsia" w:ascii="宋体" w:hAnsi="宋体"/>
          <w:color w:val="auto"/>
          <w:sz w:val="24"/>
          <w:highlight w:val="none"/>
        </w:rPr>
        <w:t>如果投标人被认定在本招标竞争中有腐败或欺诈行为，则会被取消投标资格。</w:t>
      </w:r>
    </w:p>
    <w:p>
      <w:pPr>
        <w:pStyle w:val="5"/>
        <w:spacing w:after="0" w:line="360" w:lineRule="auto"/>
        <w:ind w:firstLine="480" w:firstLineChars="200"/>
        <w:rPr>
          <w:rFonts w:ascii="宋体"/>
          <w:color w:val="auto"/>
          <w:sz w:val="24"/>
          <w:highlight w:val="none"/>
        </w:rPr>
      </w:pPr>
      <w:r>
        <w:rPr>
          <w:rFonts w:hint="eastAsia" w:ascii="宋体"/>
          <w:color w:val="auto"/>
          <w:sz w:val="24"/>
          <w:highlight w:val="none"/>
        </w:rPr>
        <w:t>33.3投标人如在本项目中存在串通投标、弄虚作假骗取中标、行贿情形的，中标无效，行政监督部门将对其违法行为进行政处罚。</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34.其它费用</w:t>
      </w:r>
    </w:p>
    <w:p>
      <w:pPr>
        <w:spacing w:line="360" w:lineRule="auto"/>
        <w:ind w:firstLine="482" w:firstLineChars="200"/>
        <w:rPr>
          <w:rFonts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根据广州市政府相关文件的规定，向广州交易集团有限公司（广州公共资源交易中心）交纳交易服务费。</w:t>
      </w: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3"/>
        <w:rPr>
          <w:color w:val="auto"/>
          <w:highlight w:val="none"/>
        </w:rPr>
      </w:pPr>
      <w:bookmarkStart w:id="43" w:name="_Toc17683"/>
      <w:bookmarkStart w:id="44" w:name="_Toc2272554"/>
      <w:bookmarkStart w:id="45" w:name="_Toc21525498"/>
      <w:bookmarkStart w:id="46" w:name="_Toc32047"/>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43"/>
      <w:bookmarkEnd w:id="44"/>
      <w:bookmarkEnd w:id="45"/>
      <w:bookmarkEnd w:id="46"/>
    </w:p>
    <w:p>
      <w:pPr>
        <w:pStyle w:val="7"/>
        <w:rPr>
          <w:color w:val="auto"/>
          <w:highlight w:val="none"/>
        </w:rPr>
      </w:pPr>
      <w:bookmarkStart w:id="47" w:name="_Toc2272555"/>
      <w:bookmarkStart w:id="48" w:name="_Toc21525499"/>
      <w:bookmarkStart w:id="49" w:name="_Toc28311"/>
      <w:bookmarkStart w:id="50" w:name="_Toc15032"/>
      <w:r>
        <w:rPr>
          <w:rFonts w:hint="eastAsia"/>
          <w:color w:val="auto"/>
          <w:highlight w:val="none"/>
        </w:rPr>
        <w:t>一、开标、评标及定标办法修改表</w:t>
      </w:r>
      <w:bookmarkEnd w:id="47"/>
      <w:bookmarkEnd w:id="48"/>
      <w:bookmarkEnd w:id="49"/>
      <w:bookmarkEnd w:id="50"/>
    </w:p>
    <w:p>
      <w:pPr>
        <w:pStyle w:val="5"/>
        <w:spacing w:after="0" w:line="360" w:lineRule="auto"/>
        <w:rPr>
          <w:b/>
          <w:color w:val="auto"/>
          <w:szCs w:val="21"/>
          <w:highlight w:val="none"/>
        </w:rPr>
      </w:pPr>
      <w:r>
        <w:rPr>
          <w:rFonts w:hint="eastAsia"/>
          <w:b/>
          <w:color w:val="auto"/>
          <w:szCs w:val="21"/>
          <w:highlight w:val="none"/>
        </w:rPr>
        <w:t>声明：本</w:t>
      </w:r>
      <w:r>
        <w:rPr>
          <w:rFonts w:hint="eastAsia"/>
          <w:b/>
          <w:color w:val="auto"/>
          <w:highlight w:val="none"/>
        </w:rPr>
        <w:t>开标、评标及定标办法使用GZJTZB2025-3招标文件范本的开标、评标及定标办法通用条款，与该通用条款不同之处，均在本表中列明，并以现文为准，原</w:t>
      </w:r>
      <w:r>
        <w:rPr>
          <w:rFonts w:hint="eastAsia"/>
          <w:b/>
          <w:color w:val="auto"/>
          <w:szCs w:val="21"/>
          <w:highlight w:val="none"/>
        </w:rPr>
        <w:t>文不再有效。</w:t>
      </w:r>
      <w:r>
        <w:rPr>
          <w:rFonts w:hint="eastAsia" w:ascii="宋体" w:hAnsi="宋体"/>
          <w:bCs/>
          <w:color w:val="auto"/>
          <w:szCs w:val="21"/>
          <w:highlight w:val="none"/>
        </w:rPr>
        <w:t>（注：招标人按《开标、评标及定标办法修改表》修改的内容对应修改通用条款，属于删除的采用“</w:t>
      </w:r>
      <w:r>
        <w:rPr>
          <w:rFonts w:hint="eastAsia" w:ascii="宋体" w:hAnsi="宋体"/>
          <w:bCs/>
          <w:strike/>
          <w:color w:val="auto"/>
          <w:szCs w:val="21"/>
          <w:highlight w:val="none"/>
        </w:rPr>
        <w:t xml:space="preserve">   </w:t>
      </w:r>
      <w:r>
        <w:rPr>
          <w:rFonts w:hint="eastAsia" w:ascii="宋体" w:hAnsi="宋体"/>
          <w:bCs/>
          <w:color w:val="auto"/>
          <w:szCs w:val="21"/>
          <w:highlight w:val="none"/>
        </w:rPr>
        <w:t>”表示，如“</w:t>
      </w:r>
      <w:r>
        <w:rPr>
          <w:rFonts w:hint="eastAsia" w:ascii="宋体" w:hAnsi="宋体"/>
          <w:bCs/>
          <w:strike/>
          <w:color w:val="auto"/>
          <w:szCs w:val="21"/>
          <w:highlight w:val="none"/>
        </w:rPr>
        <w:t>删除</w:t>
      </w:r>
      <w:r>
        <w:rPr>
          <w:rFonts w:hint="eastAsia" w:ascii="宋体" w:hAnsi="宋体"/>
          <w:bCs/>
          <w:color w:val="auto"/>
          <w:szCs w:val="21"/>
          <w:highlight w:val="none"/>
        </w:rPr>
        <w:t>”；属于新增、修改的内容，用</w:t>
      </w:r>
      <w:r>
        <w:rPr>
          <w:rFonts w:hint="eastAsia" w:ascii="宋体" w:hAnsi="宋体"/>
          <w:b/>
          <w:color w:val="auto"/>
          <w:szCs w:val="21"/>
          <w:highlight w:val="none"/>
        </w:rPr>
        <w:t>黑色加粗</w:t>
      </w:r>
      <w:r>
        <w:rPr>
          <w:rFonts w:hint="eastAsia" w:ascii="宋体" w:hAnsi="宋体"/>
          <w:bCs/>
          <w:color w:val="auto"/>
          <w:szCs w:val="21"/>
          <w:highlight w:val="none"/>
        </w:rPr>
        <w:t>字体显示,并加注下划线，如“</w:t>
      </w:r>
      <w:r>
        <w:rPr>
          <w:rFonts w:hint="eastAsia" w:ascii="宋体" w:hAnsi="宋体"/>
          <w:b/>
          <w:color w:val="auto"/>
          <w:szCs w:val="21"/>
          <w:highlight w:val="none"/>
          <w:u w:val="single"/>
        </w:rPr>
        <w:t>新增修改</w:t>
      </w:r>
      <w:r>
        <w:rPr>
          <w:rFonts w:hint="eastAsia" w:ascii="宋体" w:hAnsi="宋体"/>
          <w:bCs/>
          <w:color w:val="auto"/>
          <w:szCs w:val="21"/>
          <w:highlight w:val="none"/>
        </w:rPr>
        <w:t>”。）</w:t>
      </w:r>
    </w:p>
    <w:p>
      <w:pPr>
        <w:spacing w:line="480" w:lineRule="auto"/>
        <w:ind w:firstLine="472" w:firstLineChars="224"/>
        <w:rPr>
          <w:b/>
          <w:color w:val="auto"/>
          <w:szCs w:val="21"/>
          <w:highlight w:val="none"/>
        </w:rPr>
      </w:pPr>
      <w:r>
        <w:rPr>
          <w:rFonts w:hint="eastAsia"/>
          <w:b/>
          <w:color w:val="auto"/>
          <w:szCs w:val="21"/>
          <w:highlight w:val="none"/>
        </w:rPr>
        <w:t>条款号：36.3</w:t>
      </w:r>
      <w:r>
        <w:rPr>
          <w:b/>
          <w:color w:val="auto"/>
          <w:szCs w:val="21"/>
          <w:highlight w:val="none"/>
        </w:rPr>
        <w:t xml:space="preserve">             </w:t>
      </w:r>
      <w:r>
        <w:rPr>
          <w:rFonts w:hint="eastAsia"/>
          <w:b/>
          <w:color w:val="auto"/>
          <w:szCs w:val="21"/>
          <w:highlight w:val="none"/>
        </w:rPr>
        <w:t>修改类型：删除</w:t>
      </w:r>
    </w:p>
    <w:p>
      <w:pPr>
        <w:spacing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olor w:val="auto"/>
          <w:sz w:val="24"/>
          <w:szCs w:val="24"/>
          <w:highlight w:val="none"/>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pPr>
        <w:pBdr>
          <w:bottom w:val="single" w:color="auto" w:sz="6" w:space="1"/>
        </w:pBdr>
        <w:spacing w:line="360" w:lineRule="auto"/>
        <w:rPr>
          <w:color w:val="auto"/>
          <w:highlight w:val="none"/>
        </w:rPr>
      </w:pPr>
    </w:p>
    <w:p>
      <w:pPr>
        <w:spacing w:line="480" w:lineRule="auto"/>
        <w:ind w:firstLine="472" w:firstLineChars="224"/>
        <w:rPr>
          <w:b/>
          <w:color w:val="auto"/>
          <w:szCs w:val="21"/>
          <w:highlight w:val="none"/>
        </w:rPr>
      </w:pPr>
      <w:r>
        <w:rPr>
          <w:rFonts w:hint="eastAsia"/>
          <w:b/>
          <w:color w:val="auto"/>
          <w:szCs w:val="21"/>
          <w:highlight w:val="none"/>
        </w:rPr>
        <w:t>条款号：36.5.1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olor w:val="auto"/>
          <w:sz w:val="24"/>
          <w:highlight w:val="none"/>
        </w:rPr>
        <w:t>36.5.1在投标截止时间后</w:t>
      </w:r>
      <w:r>
        <w:rPr>
          <w:rFonts w:hint="eastAsia" w:ascii="宋体" w:hAnsi="宋体"/>
          <w:color w:val="auto"/>
          <w:sz w:val="24"/>
          <w:highlight w:val="none"/>
          <w:u w:val="single"/>
        </w:rPr>
        <w:t>1</w:t>
      </w:r>
      <w:r>
        <w:rPr>
          <w:rFonts w:hint="eastAsia" w:ascii="宋体" w:hAnsi="宋体"/>
          <w:color w:val="auto"/>
          <w:sz w:val="24"/>
          <w:highlight w:val="none"/>
        </w:rPr>
        <w:t>小时内，投标人通过交易平台对已递交的电子投标文件进行解密。投标人完成解密后，再由招标人进行解密。解密完成后，公布招标项目名称、投标人名称、投标保证金的递交情况、投标报价、工期及其他内容；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olor w:val="auto"/>
          <w:sz w:val="24"/>
          <w:highlight w:val="none"/>
        </w:rPr>
        <w:t>36.5.1在投标截止时间后</w:t>
      </w:r>
      <w:r>
        <w:rPr>
          <w:rFonts w:hint="eastAsia" w:ascii="宋体" w:hAnsi="宋体"/>
          <w:color w:val="auto"/>
          <w:sz w:val="24"/>
          <w:highlight w:val="none"/>
          <w:u w:val="single"/>
        </w:rPr>
        <w:t>1</w:t>
      </w:r>
      <w:r>
        <w:rPr>
          <w:rFonts w:hint="eastAsia" w:ascii="宋体" w:hAnsi="宋体"/>
          <w:color w:val="auto"/>
          <w:sz w:val="24"/>
          <w:highlight w:val="none"/>
        </w:rPr>
        <w:t>小时内，投标人通过</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highlight w:val="none"/>
        </w:rPr>
        <w:t>交易平台对已递交的电子投标文件进行解密。投标人完成解密后，再由招标人进行解密。解密完成后，公布招标项目名称、投标人名称、</w:t>
      </w:r>
      <w:r>
        <w:rPr>
          <w:rFonts w:hint="eastAsia" w:ascii="宋体" w:hAnsi="宋体"/>
          <w:strike/>
          <w:color w:val="auto"/>
          <w:sz w:val="24"/>
          <w:highlight w:val="none"/>
        </w:rPr>
        <w:t>投标保证金的递交情况、</w:t>
      </w:r>
      <w:r>
        <w:rPr>
          <w:rFonts w:hint="eastAsia" w:ascii="宋体" w:hAnsi="宋体"/>
          <w:color w:val="auto"/>
          <w:sz w:val="24"/>
          <w:highlight w:val="none"/>
        </w:rPr>
        <w:t>投标报价、工期及其他内容；</w:t>
      </w:r>
    </w:p>
    <w:p>
      <w:pPr>
        <w:spacing w:line="480" w:lineRule="auto"/>
        <w:ind w:firstLine="472" w:firstLineChars="224"/>
        <w:rPr>
          <w:b/>
          <w:color w:val="auto"/>
          <w:szCs w:val="21"/>
          <w:highlight w:val="none"/>
        </w:rPr>
      </w:pPr>
      <w:r>
        <w:rPr>
          <w:rFonts w:hint="eastAsia"/>
          <w:b/>
          <w:color w:val="auto"/>
          <w:szCs w:val="21"/>
          <w:highlight w:val="none"/>
        </w:rPr>
        <w:t>条款号：39.2</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采用评定分离方式确定中标人的从其规定。若发现委派的项目负责人已在其他在建项目中任职，不符合任职数量规定时，招标人可以确定排名第二的中标候选人为中标人。</w:t>
      </w:r>
    </w:p>
    <w:p>
      <w:pPr>
        <w:spacing w:line="360" w:lineRule="auto"/>
        <w:ind w:firstLine="422" w:firstLineChars="200"/>
        <w:rPr>
          <w:color w:val="auto"/>
          <w:highlight w:val="none"/>
        </w:rPr>
      </w:pPr>
      <w:r>
        <w:rPr>
          <w:rFonts w:hint="eastAsia"/>
          <w:b/>
          <w:color w:val="auto"/>
          <w:szCs w:val="21"/>
          <w:highlight w:val="none"/>
        </w:rPr>
        <w:t>现文：</w:t>
      </w: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r>
        <w:rPr>
          <w:rFonts w:hint="eastAsia" w:ascii="宋体" w:hAnsi="宋体"/>
          <w:strike/>
          <w:color w:val="auto"/>
          <w:sz w:val="24"/>
          <w:szCs w:val="24"/>
          <w:highlight w:val="none"/>
        </w:rPr>
        <w:t>采用评定分离方式确定中标人的从其规定。</w:t>
      </w:r>
      <w:r>
        <w:rPr>
          <w:rFonts w:hint="eastAsia" w:ascii="宋体" w:hAnsi="宋体"/>
          <w:color w:val="auto"/>
          <w:sz w:val="24"/>
          <w:szCs w:val="24"/>
          <w:highlight w:val="none"/>
        </w:rPr>
        <w:t>若发现委派的项目负责人已在其他在建项目中任职，不符合任职数量规定时，招标人可以确定排名第二的中标候选人为中标人。</w:t>
      </w:r>
    </w:p>
    <w:p>
      <w:pPr>
        <w:spacing w:line="480" w:lineRule="auto"/>
        <w:ind w:firstLine="470" w:firstLineChars="224"/>
        <w:rPr>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81915</wp:posOffset>
                </wp:positionH>
                <wp:positionV relativeFrom="paragraph">
                  <wp:posOffset>156845</wp:posOffset>
                </wp:positionV>
                <wp:extent cx="5676900" cy="0"/>
                <wp:effectExtent l="0" t="6350" r="0" b="6350"/>
                <wp:wrapNone/>
                <wp:docPr id="6" name="直接连接符 6"/>
                <wp:cNvGraphicFramePr/>
                <a:graphic xmlns:a="http://schemas.openxmlformats.org/drawingml/2006/main">
                  <a:graphicData uri="http://schemas.microsoft.com/office/word/2010/wordprocessingShape">
                    <wps:wsp>
                      <wps:cNvCnPr/>
                      <wps:spPr>
                        <a:xfrm>
                          <a:off x="982345" y="1768475"/>
                          <a:ext cx="56769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45pt;margin-top:12.35pt;height:0pt;width:447pt;z-index:251659264;mso-width-relative:page;mso-height-relative:page;" filled="f" stroked="t" coordsize="21600,21600" o:gfxdata="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4ymlNYAAAAIAQAADwAAAAAAAAABACAAAAAiAAAAZHJzL2Rvd25yZXYueG1sUEsBAhQAFAAA&#10;AAgAh07iQBUrtTzxAQAAvQMAAA4AAAAAAAAAAQAgAAAAJQEAAGRycy9lMm9Eb2MueG1sUEsFBgAA&#10;AAAGAAYAWQEAAIgFAAAAAA==&#10;">
                <v:fill on="f" focussize="0,0"/>
                <v:stroke weight="1pt" color="#000000 [3213]" miterlimit="8" joinstyle="miter"/>
                <v:imagedata o:title=""/>
                <o:lock v:ext="edit" aspectratio="f"/>
              </v:line>
            </w:pict>
          </mc:Fallback>
        </mc:AlternateConten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lang w:bidi="ar"/>
        </w:rPr>
        <w:t>评标办法</w:t>
      </w:r>
      <w:r>
        <w:rPr>
          <w:b/>
          <w:color w:val="auto"/>
          <w:szCs w:val="21"/>
          <w:highlight w:val="none"/>
        </w:rPr>
        <w:t xml:space="preserve">             </w:t>
      </w:r>
      <w:r>
        <w:rPr>
          <w:rFonts w:hint="eastAsia"/>
          <w:b/>
          <w:color w:val="auto"/>
          <w:szCs w:val="21"/>
          <w:highlight w:val="none"/>
        </w:rPr>
        <w:t>修改类型：删除</w:t>
      </w:r>
    </w:p>
    <w:p>
      <w:pPr>
        <w:pBdr>
          <w:bottom w:val="single" w:color="auto" w:sz="6" w:space="1"/>
        </w:pBdr>
        <w:spacing w:line="360" w:lineRule="auto"/>
        <w:ind w:firstLine="527" w:firstLineChars="250"/>
        <w:rPr>
          <w:rFonts w:ascii="宋体" w:hAnsi="宋体" w:cs="宋体"/>
          <w:color w:val="auto"/>
          <w:highlight w:val="none"/>
        </w:rPr>
      </w:pPr>
      <w:r>
        <w:rPr>
          <w:rFonts w:hint="eastAsia"/>
          <w:b/>
          <w:color w:val="auto"/>
          <w:szCs w:val="21"/>
          <w:highlight w:val="none"/>
        </w:rPr>
        <w:t>原文：</w:t>
      </w:r>
      <w:r>
        <w:rPr>
          <w:rStyle w:val="43"/>
          <w:rFonts w:hint="eastAsia" w:ascii="宋体" w:hAnsi="宋体" w:cs="宋体"/>
          <w:color w:val="auto"/>
          <w:highlight w:val="none"/>
          <w:u w:val="none"/>
          <w:lang w:bidi="ar"/>
        </w:rPr>
        <w:t>可选</w:t>
      </w:r>
      <w:r>
        <w:rPr>
          <w:rFonts w:hint="eastAsia" w:ascii="宋体" w:hAnsi="宋体" w:cs="宋体"/>
          <w:color w:val="auto"/>
          <w:szCs w:val="21"/>
          <w:highlight w:val="none"/>
          <w:lang w:bidi="ar"/>
        </w:rPr>
        <w:t>办法</w:t>
      </w:r>
      <w:r>
        <w:rPr>
          <w:rStyle w:val="43"/>
          <w:rFonts w:hint="eastAsia" w:ascii="宋体" w:hAnsi="宋体" w:cs="宋体"/>
          <w:color w:val="auto"/>
          <w:highlight w:val="none"/>
          <w:u w:val="none"/>
          <w:lang w:bidi="ar"/>
        </w:rPr>
        <w:t>一（适合</w:t>
      </w:r>
      <w:r>
        <w:rPr>
          <w:rStyle w:val="43"/>
          <w:rFonts w:hint="eastAsia" w:ascii="宋体" w:hAnsi="宋体" w:cs="宋体"/>
          <w:color w:val="auto"/>
          <w:kern w:val="0"/>
          <w:highlight w:val="none"/>
          <w:u w:val="none"/>
          <w:lang w:bidi="ar"/>
        </w:rPr>
        <w:t>综合评分法一</w:t>
      </w:r>
      <w:r>
        <w:rPr>
          <w:rStyle w:val="43"/>
          <w:rFonts w:hint="eastAsia" w:ascii="宋体" w:hAnsi="宋体" w:cs="宋体"/>
          <w:color w:val="auto"/>
          <w:highlight w:val="none"/>
          <w:u w:val="none"/>
          <w:lang w:bidi="ar"/>
        </w:rPr>
        <w:t>，技术标与经济标先后分别开启）</w:t>
      </w:r>
    </w:p>
    <w:p>
      <w:pPr>
        <w:pBdr>
          <w:bottom w:val="single" w:color="auto" w:sz="6" w:space="1"/>
        </w:pBdr>
        <w:spacing w:line="360" w:lineRule="auto"/>
        <w:ind w:firstLine="1155" w:firstLineChars="550"/>
        <w:rPr>
          <w:rFonts w:ascii="宋体" w:hAnsi="宋体" w:cs="宋体"/>
          <w:color w:val="auto"/>
          <w:highlight w:val="none"/>
        </w:rPr>
      </w:pPr>
      <w:r>
        <w:rPr>
          <w:rStyle w:val="43"/>
          <w:rFonts w:hint="eastAsia" w:ascii="宋体" w:hAnsi="宋体" w:cs="宋体"/>
          <w:color w:val="auto"/>
          <w:highlight w:val="none"/>
          <w:u w:val="none"/>
          <w:lang w:bidi="ar"/>
        </w:rPr>
        <w:t>可选</w:t>
      </w:r>
      <w:r>
        <w:rPr>
          <w:rFonts w:hint="eastAsia" w:ascii="宋体" w:hAnsi="宋体" w:cs="宋体"/>
          <w:color w:val="auto"/>
          <w:szCs w:val="21"/>
          <w:highlight w:val="none"/>
          <w:lang w:bidi="ar"/>
        </w:rPr>
        <w:t>办法</w:t>
      </w:r>
      <w:r>
        <w:rPr>
          <w:rStyle w:val="43"/>
          <w:rFonts w:hint="eastAsia" w:ascii="宋体" w:hAnsi="宋体" w:cs="宋体"/>
          <w:color w:val="auto"/>
          <w:highlight w:val="none"/>
          <w:u w:val="none"/>
          <w:lang w:bidi="ar"/>
        </w:rPr>
        <w:t>二（适合综合评分法一，技术标与经济标同时开启）</w:t>
      </w:r>
    </w:p>
    <w:p>
      <w:pPr>
        <w:pBdr>
          <w:bottom w:val="single" w:color="auto" w:sz="6" w:space="1"/>
        </w:pBdr>
        <w:spacing w:line="360" w:lineRule="auto"/>
        <w:ind w:firstLine="1155" w:firstLineChars="550"/>
        <w:rPr>
          <w:rFonts w:ascii="宋体" w:hAnsi="宋体" w:cs="宋体"/>
          <w:color w:val="auto"/>
          <w:highlight w:val="none"/>
        </w:rPr>
      </w:pPr>
      <w:r>
        <w:rPr>
          <w:rStyle w:val="43"/>
          <w:rFonts w:hint="eastAsia" w:ascii="宋体" w:hAnsi="宋体" w:cs="宋体"/>
          <w:color w:val="auto"/>
          <w:highlight w:val="none"/>
          <w:u w:val="none"/>
          <w:lang w:bidi="ar"/>
        </w:rPr>
        <w:t>可选办法三（适合综合评分法二，技术标与经济标先后分别开启）</w:t>
      </w:r>
    </w:p>
    <w:p>
      <w:pPr>
        <w:pBdr>
          <w:bottom w:val="single" w:color="auto" w:sz="6" w:space="1"/>
        </w:pBdr>
        <w:spacing w:line="360" w:lineRule="auto"/>
        <w:ind w:firstLine="1155" w:firstLineChars="550"/>
        <w:rPr>
          <w:rFonts w:ascii="宋体" w:hAnsi="宋体" w:cs="宋体"/>
          <w:color w:val="auto"/>
          <w:highlight w:val="none"/>
        </w:rPr>
      </w:pPr>
      <w:r>
        <w:rPr>
          <w:rStyle w:val="43"/>
          <w:rFonts w:hint="eastAsia" w:ascii="宋体" w:hAnsi="宋体" w:cs="宋体"/>
          <w:color w:val="auto"/>
          <w:highlight w:val="none"/>
          <w:u w:val="none"/>
          <w:lang w:bidi="ar"/>
        </w:rPr>
        <w:t>可选办法四（适合综合评分法二，技术标与经济标同时开启）</w:t>
      </w:r>
    </w:p>
    <w:p>
      <w:pPr>
        <w:pBdr>
          <w:bottom w:val="single" w:color="auto" w:sz="6" w:space="1"/>
        </w:pBdr>
        <w:spacing w:line="360" w:lineRule="auto"/>
        <w:ind w:firstLine="1155" w:firstLineChars="550"/>
        <w:rPr>
          <w:rStyle w:val="43"/>
          <w:rFonts w:ascii="宋体" w:hAnsi="宋体" w:cs="宋体"/>
          <w:color w:val="auto"/>
          <w:highlight w:val="none"/>
          <w:u w:val="none"/>
          <w:lang w:bidi="ar"/>
        </w:rPr>
      </w:pPr>
      <w:r>
        <w:rPr>
          <w:rStyle w:val="43"/>
          <w:rFonts w:hint="eastAsia" w:ascii="宋体" w:hAnsi="宋体" w:cs="宋体"/>
          <w:color w:val="auto"/>
          <w:highlight w:val="none"/>
          <w:u w:val="none"/>
          <w:lang w:bidi="ar"/>
        </w:rPr>
        <w:t>可选办法五（适合综合评分法三，技术标与经济标先后分别开启）</w:t>
      </w:r>
    </w:p>
    <w:p>
      <w:pPr>
        <w:pBdr>
          <w:bottom w:val="single" w:color="auto" w:sz="6" w:space="1"/>
        </w:pBdr>
        <w:spacing w:line="360" w:lineRule="auto"/>
        <w:ind w:firstLine="1155" w:firstLineChars="550"/>
        <w:rPr>
          <w:rStyle w:val="43"/>
          <w:rFonts w:ascii="宋体" w:hAnsi="宋体" w:cs="宋体"/>
          <w:color w:val="auto"/>
          <w:highlight w:val="none"/>
          <w:u w:val="none"/>
          <w:lang w:bidi="ar"/>
        </w:rPr>
      </w:pPr>
      <w:r>
        <w:rPr>
          <w:rStyle w:val="43"/>
          <w:rFonts w:hint="eastAsia" w:ascii="宋体" w:hAnsi="宋体" w:cs="宋体"/>
          <w:color w:val="auto"/>
          <w:highlight w:val="none"/>
          <w:u w:val="none"/>
          <w:lang w:bidi="ar"/>
        </w:rPr>
        <w:t>可选办法六（适合综合评分法三，技术标与经济标同时开启）</w:t>
      </w:r>
    </w:p>
    <w:p>
      <w:pPr>
        <w:pBdr>
          <w:bottom w:val="single" w:color="auto" w:sz="6" w:space="1"/>
        </w:pBdr>
        <w:spacing w:line="360" w:lineRule="auto"/>
        <w:ind w:firstLine="1155" w:firstLineChars="550"/>
        <w:rPr>
          <w:rStyle w:val="43"/>
          <w:rFonts w:ascii="宋体" w:hAnsi="宋体" w:cs="宋体"/>
          <w:color w:val="auto"/>
          <w:highlight w:val="none"/>
          <w:u w:val="none"/>
          <w:lang w:bidi="ar"/>
        </w:rPr>
      </w:pPr>
      <w:r>
        <w:rPr>
          <w:rStyle w:val="43"/>
          <w:rFonts w:hint="eastAsia" w:ascii="宋体" w:hAnsi="宋体" w:cs="宋体"/>
          <w:color w:val="auto"/>
          <w:highlight w:val="none"/>
          <w:u w:val="none"/>
          <w:lang w:bidi="ar"/>
        </w:rPr>
        <w:t>可选办法八（适合经评审的最低投标价法，技术标与经济标同时开启）</w:t>
      </w:r>
    </w:p>
    <w:p>
      <w:pPr>
        <w:pBdr>
          <w:bottom w:val="single" w:color="auto" w:sz="6" w:space="1"/>
        </w:pBdr>
        <w:spacing w:line="360" w:lineRule="auto"/>
        <w:ind w:firstLine="1155" w:firstLineChars="550"/>
        <w:rPr>
          <w:rStyle w:val="43"/>
          <w:rFonts w:ascii="宋体" w:hAnsi="宋体" w:cs="宋体"/>
          <w:color w:val="auto"/>
          <w:highlight w:val="none"/>
          <w:u w:val="none"/>
          <w:lang w:bidi="ar"/>
        </w:rPr>
      </w:pPr>
      <w:r>
        <w:rPr>
          <w:rStyle w:val="43"/>
          <w:rFonts w:hint="eastAsia" w:ascii="宋体" w:hAnsi="宋体" w:cs="宋体"/>
          <w:color w:val="auto"/>
          <w:highlight w:val="none"/>
          <w:u w:val="none"/>
          <w:lang w:bidi="ar"/>
        </w:rPr>
        <w:t>可选办法九（适用于规模较小的一般项目）</w:t>
      </w:r>
    </w:p>
    <w:p>
      <w:pP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 xml:space="preserve"> </w:t>
      </w:r>
      <w:r>
        <w:rPr>
          <w:rFonts w:hint="eastAsia"/>
          <w:b/>
          <w:color w:val="auto"/>
          <w:szCs w:val="21"/>
          <w:highlight w:val="none"/>
        </w:rPr>
        <w:t>41.1</w:t>
      </w:r>
      <w:r>
        <w:rPr>
          <w:b/>
          <w:color w:val="auto"/>
          <w:szCs w:val="21"/>
          <w:highlight w:val="none"/>
        </w:rPr>
        <w:t xml:space="preserve">            </w:t>
      </w:r>
      <w:r>
        <w:rPr>
          <w:rFonts w:hint="eastAsia"/>
          <w:b/>
          <w:color w:val="auto"/>
          <w:szCs w:val="21"/>
          <w:highlight w:val="none"/>
        </w:rPr>
        <w:t>修改类型：修改</w:t>
      </w:r>
    </w:p>
    <w:p>
      <w:pPr>
        <w:snapToGrid w:val="0"/>
        <w:spacing w:line="360" w:lineRule="auto"/>
        <w:ind w:firstLine="422" w:firstLineChars="200"/>
        <w:rPr>
          <w:b/>
          <w:color w:val="auto"/>
          <w:szCs w:val="21"/>
          <w:highlight w:val="none"/>
        </w:rPr>
      </w:pPr>
      <w:r>
        <w:rPr>
          <w:rFonts w:hint="eastAsia"/>
          <w:b/>
          <w:color w:val="auto"/>
          <w:szCs w:val="21"/>
          <w:highlight w:val="none"/>
        </w:rPr>
        <w:t>原文：</w:t>
      </w:r>
      <w:r>
        <w:rPr>
          <w:rFonts w:hint="eastAsia" w:ascii="宋体"/>
          <w:color w:val="auto"/>
          <w:sz w:val="24"/>
          <w:szCs w:val="24"/>
          <w:highlight w:val="none"/>
        </w:rPr>
        <w:t>41.1开标由招标人主持。</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 w:val="24"/>
          <w:szCs w:val="24"/>
          <w:highlight w:val="none"/>
        </w:rPr>
        <w:t>41.1开标由</w:t>
      </w:r>
      <w:r>
        <w:rPr>
          <w:rFonts w:hint="eastAsia" w:ascii="宋体" w:hAnsi="宋体" w:cs="宋体"/>
          <w:b/>
          <w:bCs/>
          <w:color w:val="auto"/>
          <w:sz w:val="24"/>
          <w:szCs w:val="24"/>
          <w:highlight w:val="none"/>
          <w:u w:val="single"/>
        </w:rPr>
        <w:t>招标人或招标代理</w:t>
      </w:r>
      <w:r>
        <w:rPr>
          <w:rFonts w:hint="eastAsia" w:ascii="宋体" w:hAnsi="宋体" w:cs="宋体"/>
          <w:color w:val="auto"/>
          <w:sz w:val="24"/>
          <w:szCs w:val="24"/>
          <w:highlight w:val="none"/>
        </w:rPr>
        <w:t>主持。</w:t>
      </w:r>
    </w:p>
    <w:p>
      <w:pPr>
        <w:spacing w:line="480" w:lineRule="auto"/>
        <w:ind w:firstLine="472" w:firstLineChars="224"/>
        <w:rPr>
          <w:b/>
          <w:color w:val="auto"/>
          <w:szCs w:val="21"/>
          <w:highlight w:val="none"/>
        </w:rPr>
      </w:pPr>
      <w:r>
        <w:rPr>
          <w:rFonts w:hint="eastAsia"/>
          <w:b/>
          <w:color w:val="auto"/>
          <w:szCs w:val="21"/>
          <w:highlight w:val="none"/>
        </w:rPr>
        <w:t>条款号：41.2.1</w:t>
      </w:r>
      <w:r>
        <w:rPr>
          <w:b/>
          <w:color w:val="auto"/>
          <w:szCs w:val="21"/>
          <w:highlight w:val="none"/>
        </w:rPr>
        <w:t xml:space="preserve">             </w:t>
      </w:r>
      <w:r>
        <w:rPr>
          <w:rFonts w:hint="eastAsia"/>
          <w:b/>
          <w:color w:val="auto"/>
          <w:szCs w:val="21"/>
          <w:highlight w:val="none"/>
        </w:rPr>
        <w:t>修改类型：修改</w:t>
      </w:r>
    </w:p>
    <w:p>
      <w:pPr>
        <w:snapToGrid w:val="0"/>
        <w:spacing w:line="360" w:lineRule="auto"/>
        <w:ind w:firstLine="422" w:firstLineChars="200"/>
        <w:rPr>
          <w:rFonts w:ascii="宋体"/>
          <w:color w:val="auto"/>
          <w:sz w:val="24"/>
          <w:szCs w:val="24"/>
          <w:highlight w:val="none"/>
        </w:rPr>
      </w:pPr>
      <w:r>
        <w:rPr>
          <w:rFonts w:hint="eastAsia"/>
          <w:b/>
          <w:color w:val="auto"/>
          <w:szCs w:val="21"/>
          <w:highlight w:val="none"/>
        </w:rPr>
        <w:t>原文：</w:t>
      </w: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交易平台。有关投标文件提交的事项详见第一章投标须知。 </w:t>
      </w:r>
    </w:p>
    <w:p>
      <w:pPr>
        <w:snapToGrid w:val="0"/>
        <w:spacing w:line="360" w:lineRule="auto"/>
        <w:ind w:firstLine="422" w:firstLineChars="200"/>
        <w:rPr>
          <w:rFonts w:ascii="宋体"/>
          <w:color w:val="auto"/>
          <w:sz w:val="24"/>
          <w:szCs w:val="24"/>
          <w:highlight w:val="none"/>
        </w:rPr>
      </w:pPr>
      <w:r>
        <w:rPr>
          <w:rFonts w:hint="eastAsia"/>
          <w:b/>
          <w:color w:val="auto"/>
          <w:szCs w:val="21"/>
          <w:highlight w:val="none"/>
        </w:rPr>
        <w:t>现文：</w:t>
      </w:r>
      <w:r>
        <w:rPr>
          <w:rFonts w:hint="eastAsia" w:ascii="宋体"/>
          <w:color w:val="auto"/>
          <w:sz w:val="24"/>
          <w:szCs w:val="24"/>
          <w:highlight w:val="none"/>
        </w:rPr>
        <w:t>41.2.1投标截止期前，各投标人递交投标文件（包括技术标投标文件、经济标投标文件）至</w:t>
      </w:r>
      <w:r>
        <w:rPr>
          <w:rFonts w:hint="eastAsia" w:ascii="宋体" w:hAnsi="宋体" w:cs="宋体"/>
          <w:b/>
          <w:bCs/>
          <w:color w:val="auto"/>
          <w:sz w:val="24"/>
          <w:szCs w:val="24"/>
          <w:highlight w:val="none"/>
          <w:u w:val="single"/>
        </w:rPr>
        <w:t>广州交易集团有限公司（广州公共资源交易中心）</w:t>
      </w:r>
      <w:r>
        <w:rPr>
          <w:rFonts w:hint="eastAsia" w:ascii="宋体"/>
          <w:color w:val="auto"/>
          <w:sz w:val="24"/>
          <w:szCs w:val="24"/>
          <w:highlight w:val="none"/>
        </w:rPr>
        <w:t xml:space="preserve">交易平台。有关投标文件提交的事项详见第一章投标须知。 </w:t>
      </w:r>
    </w:p>
    <w:p>
      <w:pPr>
        <w:pBdr>
          <w:bottom w:val="single" w:color="auto" w:sz="6" w:space="1"/>
        </w:pBdr>
        <w:spacing w:line="480" w:lineRule="auto"/>
        <w:rPr>
          <w:b/>
          <w:color w:val="auto"/>
          <w:szCs w:val="21"/>
          <w:highlight w:val="none"/>
        </w:rPr>
      </w:pPr>
    </w:p>
    <w:p>
      <w:pPr>
        <w:spacing w:line="480" w:lineRule="auto"/>
        <w:ind w:firstLine="472" w:firstLineChars="224"/>
        <w:rPr>
          <w:b/>
          <w:color w:val="auto"/>
          <w:szCs w:val="21"/>
          <w:highlight w:val="none"/>
        </w:rPr>
      </w:pPr>
      <w:r>
        <w:rPr>
          <w:rFonts w:hint="eastAsia"/>
          <w:b/>
          <w:color w:val="auto"/>
          <w:szCs w:val="21"/>
          <w:highlight w:val="none"/>
        </w:rPr>
        <w:t>条款号：41.2.3.1</w:t>
      </w:r>
      <w:r>
        <w:rPr>
          <w:b/>
          <w:color w:val="auto"/>
          <w:szCs w:val="21"/>
          <w:highlight w:val="none"/>
        </w:rPr>
        <w:t xml:space="preserve">             </w:t>
      </w:r>
      <w:r>
        <w:rPr>
          <w:rFonts w:hint="eastAsia"/>
          <w:b/>
          <w:color w:val="auto"/>
          <w:szCs w:val="21"/>
          <w:highlight w:val="none"/>
        </w:rPr>
        <w:t>修改类型：修改</w:t>
      </w:r>
    </w:p>
    <w:p>
      <w:pPr>
        <w:snapToGrid w:val="0"/>
        <w:spacing w:line="360" w:lineRule="auto"/>
        <w:ind w:firstLine="422" w:firstLineChars="200"/>
        <w:rPr>
          <w:b/>
          <w:color w:val="auto"/>
          <w:szCs w:val="21"/>
          <w:highlight w:val="none"/>
        </w:rPr>
      </w:pPr>
      <w:r>
        <w:rPr>
          <w:rFonts w:hint="eastAsia"/>
          <w:b/>
          <w:color w:val="auto"/>
          <w:szCs w:val="21"/>
          <w:highlight w:val="none"/>
        </w:rPr>
        <w:t>原文：</w:t>
      </w:r>
      <w:r>
        <w:rPr>
          <w:rFonts w:hint="eastAsia" w:ascii="宋体"/>
          <w:color w:val="auto"/>
          <w:sz w:val="24"/>
          <w:szCs w:val="24"/>
          <w:highlight w:val="none"/>
        </w:rPr>
        <w:t>41.2.3.1开标时，公布：</w:t>
      </w:r>
      <w:r>
        <w:rPr>
          <w:rFonts w:hint="eastAsia" w:ascii="宋体" w:hAnsi="宋体"/>
          <w:color w:val="auto"/>
          <w:sz w:val="24"/>
          <w:szCs w:val="24"/>
          <w:highlight w:val="none"/>
        </w:rPr>
        <w:t>a、投标人名称；</w:t>
      </w:r>
      <w:r>
        <w:rPr>
          <w:rFonts w:ascii="宋体" w:hAnsi="宋体"/>
          <w:color w:val="auto"/>
          <w:sz w:val="24"/>
          <w:szCs w:val="24"/>
          <w:highlight w:val="none"/>
        </w:rPr>
        <w:t>b</w:t>
      </w:r>
      <w:r>
        <w:rPr>
          <w:rFonts w:hint="eastAsia" w:ascii="宋体" w:hAnsi="宋体"/>
          <w:color w:val="auto"/>
          <w:sz w:val="24"/>
          <w:szCs w:val="24"/>
          <w:highlight w:val="none"/>
        </w:rPr>
        <w:t>、投标文件递交情况</w:t>
      </w:r>
      <w:r>
        <w:rPr>
          <w:rFonts w:ascii="宋体" w:hAnsi="宋体"/>
          <w:color w:val="auto"/>
          <w:sz w:val="24"/>
          <w:szCs w:val="24"/>
          <w:highlight w:val="none"/>
        </w:rPr>
        <w:t>c</w:t>
      </w:r>
      <w:r>
        <w:rPr>
          <w:rFonts w:hint="eastAsia" w:ascii="宋体" w:hAnsi="宋体"/>
          <w:color w:val="auto"/>
          <w:sz w:val="24"/>
          <w:szCs w:val="24"/>
          <w:highlight w:val="none"/>
        </w:rPr>
        <w:t>、</w:t>
      </w:r>
      <w:r>
        <w:rPr>
          <w:rFonts w:hint="eastAsia" w:ascii="宋体" w:hAnsi="宋体"/>
          <w:color w:val="auto"/>
          <w:sz w:val="24"/>
          <w:highlight w:val="none"/>
        </w:rPr>
        <w:t>投标文件解</w:t>
      </w:r>
      <w:r>
        <w:rPr>
          <w:rFonts w:hint="eastAsia" w:ascii="宋体" w:hAnsi="宋体"/>
          <w:color w:val="auto"/>
          <w:sz w:val="24"/>
          <w:szCs w:val="24"/>
          <w:highlight w:val="none"/>
        </w:rPr>
        <w:t>密情况；</w:t>
      </w:r>
      <w:r>
        <w:rPr>
          <w:rFonts w:ascii="宋体" w:hAnsi="宋体"/>
          <w:color w:val="auto"/>
          <w:sz w:val="24"/>
          <w:szCs w:val="24"/>
          <w:highlight w:val="none"/>
        </w:rPr>
        <w:t>d</w:t>
      </w:r>
      <w:r>
        <w:rPr>
          <w:rFonts w:hint="eastAsia" w:ascii="宋体" w:hAnsi="宋体"/>
          <w:color w:val="auto"/>
          <w:sz w:val="24"/>
          <w:szCs w:val="24"/>
          <w:highlight w:val="none"/>
        </w:rPr>
        <w:t>、法定代表人证明及授权委托；</w:t>
      </w:r>
      <w:r>
        <w:rPr>
          <w:rFonts w:ascii="宋体" w:hAnsi="宋体"/>
          <w:color w:val="auto"/>
          <w:sz w:val="24"/>
          <w:szCs w:val="24"/>
          <w:highlight w:val="none"/>
        </w:rPr>
        <w:t>e</w:t>
      </w:r>
      <w:r>
        <w:rPr>
          <w:rFonts w:hint="eastAsia" w:ascii="宋体" w:hAnsi="宋体"/>
          <w:color w:val="auto"/>
          <w:sz w:val="24"/>
          <w:szCs w:val="24"/>
          <w:highlight w:val="none"/>
        </w:rPr>
        <w:t>、投标保证金；f、项目经理（负责人）名称；</w:t>
      </w:r>
      <w:r>
        <w:rPr>
          <w:rFonts w:ascii="宋体" w:hAnsi="宋体"/>
          <w:color w:val="auto"/>
          <w:sz w:val="24"/>
          <w:szCs w:val="24"/>
          <w:highlight w:val="none"/>
        </w:rPr>
        <w:t>f</w:t>
      </w:r>
      <w:r>
        <w:rPr>
          <w:rFonts w:hint="eastAsia" w:ascii="宋体" w:hAnsi="宋体"/>
          <w:color w:val="auto"/>
          <w:sz w:val="24"/>
          <w:szCs w:val="24"/>
          <w:highlight w:val="none"/>
        </w:rPr>
        <w:t>、投标报价等</w:t>
      </w:r>
      <w:r>
        <w:rPr>
          <w:rFonts w:hint="eastAsia" w:ascii="宋体"/>
          <w:color w:val="auto"/>
          <w:sz w:val="24"/>
          <w:szCs w:val="24"/>
          <w:highlight w:val="none"/>
        </w:rPr>
        <w:t>主要内容及开标记录表中的其他必要内容。投标报价以数字和文字两种方式表述的，应公布文字表述的投标报价。</w:t>
      </w:r>
    </w:p>
    <w:p>
      <w:pPr>
        <w:snapToGrid w:val="0"/>
        <w:spacing w:line="360" w:lineRule="auto"/>
        <w:ind w:firstLine="422" w:firstLineChars="200"/>
        <w:rPr>
          <w:rFonts w:ascii="宋体"/>
          <w:color w:val="auto"/>
          <w:sz w:val="24"/>
          <w:szCs w:val="24"/>
          <w:highlight w:val="none"/>
        </w:rPr>
      </w:pPr>
      <w:r>
        <w:rPr>
          <w:rFonts w:hint="eastAsia"/>
          <w:b/>
          <w:color w:val="auto"/>
          <w:szCs w:val="21"/>
          <w:highlight w:val="none"/>
        </w:rPr>
        <w:t>现文：</w:t>
      </w:r>
      <w:r>
        <w:rPr>
          <w:rFonts w:hint="eastAsia" w:ascii="宋体"/>
          <w:color w:val="auto"/>
          <w:sz w:val="24"/>
          <w:szCs w:val="24"/>
          <w:highlight w:val="none"/>
        </w:rPr>
        <w:t>41.2.3.1开标时，公布：</w:t>
      </w:r>
      <w:r>
        <w:rPr>
          <w:rFonts w:hint="eastAsia" w:ascii="宋体" w:hAnsi="宋体"/>
          <w:color w:val="auto"/>
          <w:sz w:val="24"/>
          <w:szCs w:val="24"/>
          <w:highlight w:val="none"/>
        </w:rPr>
        <w:t>a、投标人名称；</w:t>
      </w:r>
      <w:r>
        <w:rPr>
          <w:rFonts w:ascii="宋体" w:hAnsi="宋体"/>
          <w:color w:val="auto"/>
          <w:sz w:val="24"/>
          <w:szCs w:val="24"/>
          <w:highlight w:val="none"/>
        </w:rPr>
        <w:t>b</w:t>
      </w:r>
      <w:r>
        <w:rPr>
          <w:rFonts w:hint="eastAsia" w:ascii="宋体" w:hAnsi="宋体"/>
          <w:color w:val="auto"/>
          <w:sz w:val="24"/>
          <w:szCs w:val="24"/>
          <w:highlight w:val="none"/>
        </w:rPr>
        <w:t>、投标文件递交情况</w:t>
      </w:r>
      <w:r>
        <w:rPr>
          <w:rFonts w:ascii="宋体" w:hAnsi="宋体"/>
          <w:color w:val="auto"/>
          <w:sz w:val="24"/>
          <w:szCs w:val="24"/>
          <w:highlight w:val="none"/>
        </w:rPr>
        <w:t>c</w:t>
      </w:r>
      <w:r>
        <w:rPr>
          <w:rFonts w:hint="eastAsia" w:ascii="宋体" w:hAnsi="宋体"/>
          <w:color w:val="auto"/>
          <w:sz w:val="24"/>
          <w:szCs w:val="24"/>
          <w:highlight w:val="none"/>
        </w:rPr>
        <w:t>、</w:t>
      </w:r>
      <w:r>
        <w:rPr>
          <w:rFonts w:hint="eastAsia" w:ascii="宋体" w:hAnsi="宋体"/>
          <w:color w:val="auto"/>
          <w:sz w:val="24"/>
          <w:highlight w:val="none"/>
        </w:rPr>
        <w:t>投标文件解</w:t>
      </w:r>
      <w:r>
        <w:rPr>
          <w:rFonts w:hint="eastAsia" w:ascii="宋体" w:hAnsi="宋体"/>
          <w:color w:val="auto"/>
          <w:sz w:val="24"/>
          <w:szCs w:val="24"/>
          <w:highlight w:val="none"/>
        </w:rPr>
        <w:t>密情况；</w:t>
      </w:r>
      <w:r>
        <w:rPr>
          <w:rFonts w:ascii="宋体" w:hAnsi="宋体"/>
          <w:color w:val="auto"/>
          <w:sz w:val="24"/>
          <w:szCs w:val="24"/>
          <w:highlight w:val="none"/>
        </w:rPr>
        <w:t>d</w:t>
      </w:r>
      <w:r>
        <w:rPr>
          <w:rFonts w:hint="eastAsia" w:ascii="宋体" w:hAnsi="宋体"/>
          <w:color w:val="auto"/>
          <w:sz w:val="24"/>
          <w:szCs w:val="24"/>
          <w:highlight w:val="none"/>
        </w:rPr>
        <w:t>、法定代表人证明及授权委托；</w:t>
      </w:r>
      <w:r>
        <w:rPr>
          <w:rFonts w:ascii="宋体" w:hAnsi="宋体"/>
          <w:strike/>
          <w:color w:val="auto"/>
          <w:sz w:val="24"/>
          <w:szCs w:val="24"/>
          <w:highlight w:val="none"/>
        </w:rPr>
        <w:t>e</w:t>
      </w:r>
      <w:r>
        <w:rPr>
          <w:rFonts w:hint="eastAsia" w:ascii="宋体" w:hAnsi="宋体"/>
          <w:strike/>
          <w:color w:val="auto"/>
          <w:sz w:val="24"/>
          <w:szCs w:val="24"/>
          <w:highlight w:val="none"/>
        </w:rPr>
        <w:t>、投标保证金；</w:t>
      </w:r>
      <w:r>
        <w:rPr>
          <w:rFonts w:hint="eastAsia" w:ascii="宋体" w:hAnsi="宋体"/>
          <w:color w:val="auto"/>
          <w:sz w:val="24"/>
          <w:szCs w:val="24"/>
          <w:highlight w:val="none"/>
        </w:rPr>
        <w:t>f、项目经理（负责人）名称；</w:t>
      </w:r>
      <w:r>
        <w:rPr>
          <w:rFonts w:ascii="宋体" w:hAnsi="宋体"/>
          <w:color w:val="auto"/>
          <w:sz w:val="24"/>
          <w:szCs w:val="24"/>
          <w:highlight w:val="none"/>
        </w:rPr>
        <w:t>f</w:t>
      </w:r>
      <w:r>
        <w:rPr>
          <w:rFonts w:hint="eastAsia" w:ascii="宋体" w:hAnsi="宋体"/>
          <w:color w:val="auto"/>
          <w:sz w:val="24"/>
          <w:szCs w:val="24"/>
          <w:highlight w:val="none"/>
        </w:rPr>
        <w:t>、投标报价等</w:t>
      </w:r>
      <w:r>
        <w:rPr>
          <w:rFonts w:hint="eastAsia" w:ascii="宋体"/>
          <w:color w:val="auto"/>
          <w:sz w:val="24"/>
          <w:szCs w:val="24"/>
          <w:highlight w:val="none"/>
        </w:rPr>
        <w:t>主要内容及开标记录表中的其他必要内容。投标报价以数字和文字两种方式表述的，应公布文字表述的投标报价。</w:t>
      </w:r>
    </w:p>
    <w:p>
      <w:pPr>
        <w:pBdr>
          <w:bottom w:val="single" w:color="auto" w:sz="6" w:space="1"/>
        </w:pBdr>
        <w:spacing w:line="360" w:lineRule="auto"/>
        <w:rPr>
          <w:color w:val="auto"/>
          <w:highlight w:val="none"/>
        </w:rPr>
      </w:pPr>
    </w:p>
    <w:p>
      <w:pPr>
        <w:spacing w:line="480" w:lineRule="auto"/>
        <w:ind w:firstLine="472" w:firstLineChars="224"/>
        <w:rPr>
          <w:b/>
          <w:color w:val="auto"/>
          <w:szCs w:val="21"/>
          <w:highlight w:val="none"/>
        </w:rPr>
      </w:pPr>
      <w:r>
        <w:rPr>
          <w:rFonts w:hint="eastAsia"/>
          <w:b/>
          <w:color w:val="auto"/>
          <w:szCs w:val="21"/>
          <w:highlight w:val="none"/>
        </w:rPr>
        <w:t>条款号：42.2</w:t>
      </w:r>
      <w:r>
        <w:rPr>
          <w:b/>
          <w:color w:val="auto"/>
          <w:szCs w:val="21"/>
          <w:highlight w:val="none"/>
        </w:rPr>
        <w:t xml:space="preserve">             </w:t>
      </w:r>
      <w:r>
        <w:rPr>
          <w:rFonts w:hint="eastAsia"/>
          <w:b/>
          <w:color w:val="auto"/>
          <w:szCs w:val="21"/>
          <w:highlight w:val="none"/>
        </w:rPr>
        <w:t>修改类型：修改</w:t>
      </w:r>
    </w:p>
    <w:p>
      <w:pPr>
        <w:pStyle w:val="5"/>
        <w:tabs>
          <w:tab w:val="left" w:pos="7380"/>
        </w:tabs>
        <w:snapToGrid w:val="0"/>
        <w:spacing w:after="0" w:line="360" w:lineRule="auto"/>
        <w:ind w:firstLine="422" w:firstLineChars="200"/>
        <w:rPr>
          <w:rFonts w:ascii="宋体"/>
          <w:color w:val="auto"/>
          <w:sz w:val="24"/>
          <w:szCs w:val="24"/>
          <w:highlight w:val="none"/>
        </w:rPr>
      </w:pPr>
      <w:r>
        <w:rPr>
          <w:rFonts w:hint="eastAsia"/>
          <w:b/>
          <w:color w:val="auto"/>
          <w:szCs w:val="21"/>
          <w:highlight w:val="none"/>
        </w:rPr>
        <w:t>原文：</w:t>
      </w: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rPr>
        <w:t>。</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pPr>
        <w:pStyle w:val="5"/>
        <w:tabs>
          <w:tab w:val="left" w:pos="7380"/>
        </w:tabs>
        <w:snapToGrid w:val="0"/>
        <w:spacing w:after="0" w:line="360" w:lineRule="auto"/>
        <w:rPr>
          <w:rFonts w:asci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2" w:firstLineChars="200"/>
        <w:rPr>
          <w:rFonts w:ascii="宋体"/>
          <w:color w:val="auto"/>
          <w:sz w:val="24"/>
          <w:szCs w:val="24"/>
          <w:highlight w:val="none"/>
        </w:rPr>
      </w:pPr>
      <w:r>
        <w:rPr>
          <w:rFonts w:hint="eastAsia" w:ascii="宋体"/>
          <w:b/>
          <w:bCs/>
          <w:color w:val="auto"/>
          <w:sz w:val="24"/>
          <w:szCs w:val="24"/>
          <w:highlight w:val="none"/>
        </w:rPr>
        <w:t>现文：</w:t>
      </w: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一  </w:t>
      </w:r>
      <w:r>
        <w:rPr>
          <w:rFonts w:hint="eastAsia" w:ascii="宋体"/>
          <w:color w:val="auto"/>
          <w:sz w:val="24"/>
          <w:szCs w:val="24"/>
          <w:highlight w:val="none"/>
        </w:rPr>
        <w:t>。</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pPr>
        <w:pStyle w:val="5"/>
        <w:tabs>
          <w:tab w:val="left" w:pos="7380"/>
        </w:tabs>
        <w:snapToGrid w:val="0"/>
        <w:spacing w:after="0" w:line="360" w:lineRule="auto"/>
        <w:rPr>
          <w:rFonts w:ascii="宋体"/>
          <w:strike/>
          <w:color w:val="auto"/>
          <w:sz w:val="24"/>
          <w:szCs w:val="24"/>
          <w:highlight w:val="none"/>
        </w:rPr>
      </w:pPr>
      <w:r>
        <w:rPr>
          <w:rFonts w:hint="eastAsia" w:ascii="宋体"/>
          <w:strike/>
          <w:color w:val="auto"/>
          <w:sz w:val="24"/>
          <w:szCs w:val="24"/>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rPr>
          <w:color w:val="auto"/>
          <w:highlight w:val="none"/>
        </w:rPr>
      </w:pPr>
    </w:p>
    <w:p>
      <w:pPr>
        <w:spacing w:line="480" w:lineRule="auto"/>
        <w:ind w:firstLine="472" w:firstLineChars="224"/>
        <w:rPr>
          <w:b/>
          <w:color w:val="auto"/>
          <w:szCs w:val="21"/>
          <w:highlight w:val="none"/>
        </w:rPr>
      </w:pPr>
      <w:r>
        <w:rPr>
          <w:rFonts w:hint="eastAsia"/>
          <w:b/>
          <w:color w:val="auto"/>
          <w:szCs w:val="21"/>
          <w:highlight w:val="none"/>
        </w:rPr>
        <w:t>条款号：45.8</w:t>
      </w:r>
      <w:r>
        <w:rPr>
          <w:b/>
          <w:color w:val="auto"/>
          <w:szCs w:val="21"/>
          <w:highlight w:val="none"/>
        </w:rPr>
        <w:t xml:space="preserve">            </w:t>
      </w:r>
      <w:r>
        <w:rPr>
          <w:rFonts w:hint="eastAsia"/>
          <w:b/>
          <w:color w:val="auto"/>
          <w:szCs w:val="21"/>
          <w:highlight w:val="none"/>
        </w:rPr>
        <w:t>修改类型：修改</w:t>
      </w:r>
    </w:p>
    <w:p>
      <w:pPr>
        <w:pStyle w:val="5"/>
        <w:tabs>
          <w:tab w:val="left" w:pos="7380"/>
        </w:tabs>
        <w:snapToGrid w:val="0"/>
        <w:spacing w:after="0" w:line="360" w:lineRule="auto"/>
        <w:ind w:firstLine="422" w:firstLineChars="200"/>
        <w:rPr>
          <w:rFonts w:ascii="宋体"/>
          <w:color w:val="auto"/>
          <w:sz w:val="24"/>
          <w:szCs w:val="24"/>
          <w:highlight w:val="none"/>
        </w:rPr>
      </w:pPr>
      <w:r>
        <w:rPr>
          <w:rFonts w:hint="eastAsia"/>
          <w:b/>
          <w:color w:val="auto"/>
          <w:szCs w:val="21"/>
          <w:highlight w:val="none"/>
        </w:rPr>
        <w:t>原文：</w:t>
      </w:r>
      <w:r>
        <w:rPr>
          <w:rFonts w:ascii="宋体" w:hAnsi="宋体"/>
          <w:color w:val="auto"/>
          <w:sz w:val="24"/>
          <w:szCs w:val="24"/>
          <w:highlight w:val="none"/>
        </w:rPr>
        <w:t>4</w:t>
      </w:r>
      <w:r>
        <w:rPr>
          <w:rFonts w:hint="eastAsia" w:ascii="宋体" w:hAnsi="宋体"/>
          <w:color w:val="auto"/>
          <w:sz w:val="24"/>
          <w:szCs w:val="24"/>
          <w:highlight w:val="none"/>
        </w:rPr>
        <w:t>5.</w:t>
      </w:r>
      <w:r>
        <w:rPr>
          <w:rFonts w:ascii="宋体" w:hAnsi="宋体"/>
          <w:color w:val="auto"/>
          <w:sz w:val="24"/>
          <w:szCs w:val="24"/>
          <w:highlight w:val="none"/>
        </w:rPr>
        <w:t>8</w:t>
      </w:r>
      <w:r>
        <w:rPr>
          <w:rFonts w:hint="eastAsia" w:ascii="宋体" w:hAnsi="宋体"/>
          <w:color w:val="auto"/>
          <w:sz w:val="24"/>
          <w:szCs w:val="24"/>
          <w:highlight w:val="none"/>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w:t>
      </w:r>
    </w:p>
    <w:p>
      <w:pPr>
        <w:pStyle w:val="5"/>
        <w:tabs>
          <w:tab w:val="left" w:pos="7380"/>
        </w:tabs>
        <w:snapToGrid w:val="0"/>
        <w:spacing w:after="0" w:line="360" w:lineRule="auto"/>
        <w:ind w:firstLine="482" w:firstLineChars="200"/>
        <w:rPr>
          <w:rFonts w:ascii="宋体"/>
          <w:strike/>
          <w:color w:val="auto"/>
          <w:sz w:val="24"/>
          <w:szCs w:val="24"/>
          <w:highlight w:val="none"/>
        </w:rPr>
      </w:pPr>
      <w:r>
        <w:rPr>
          <w:rFonts w:hint="eastAsia" w:ascii="宋体"/>
          <w:b/>
          <w:bCs/>
          <w:color w:val="auto"/>
          <w:sz w:val="24"/>
          <w:szCs w:val="24"/>
          <w:highlight w:val="none"/>
        </w:rPr>
        <w:t>现文：</w:t>
      </w:r>
      <w:r>
        <w:rPr>
          <w:rFonts w:ascii="宋体" w:hAnsi="宋体"/>
          <w:color w:val="auto"/>
          <w:sz w:val="24"/>
          <w:szCs w:val="24"/>
          <w:highlight w:val="none"/>
        </w:rPr>
        <w:t>4</w:t>
      </w:r>
      <w:r>
        <w:rPr>
          <w:rFonts w:hint="eastAsia" w:ascii="宋体" w:hAnsi="宋体"/>
          <w:color w:val="auto"/>
          <w:sz w:val="24"/>
          <w:szCs w:val="24"/>
          <w:highlight w:val="none"/>
        </w:rPr>
        <w:t>5.</w:t>
      </w:r>
      <w:r>
        <w:rPr>
          <w:rFonts w:ascii="宋体" w:hAnsi="宋体"/>
          <w:color w:val="auto"/>
          <w:sz w:val="24"/>
          <w:szCs w:val="24"/>
          <w:highlight w:val="none"/>
        </w:rPr>
        <w:t>8</w:t>
      </w:r>
      <w:r>
        <w:rPr>
          <w:rFonts w:hint="eastAsia" w:ascii="宋体" w:hAnsi="宋体"/>
          <w:color w:val="auto"/>
          <w:sz w:val="24"/>
          <w:szCs w:val="24"/>
          <w:highlight w:val="none"/>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w:t>
      </w:r>
      <w:r>
        <w:rPr>
          <w:rFonts w:hint="eastAsia" w:ascii="宋体" w:hAnsi="宋体"/>
          <w:strike/>
          <w:color w:val="auto"/>
          <w:sz w:val="24"/>
          <w:szCs w:val="24"/>
          <w:highlight w:val="none"/>
        </w:rPr>
        <w:t>，并且其投标保证金也将不予退还</w:t>
      </w:r>
      <w:r>
        <w:rPr>
          <w:rFonts w:hint="eastAsia" w:ascii="宋体" w:hAnsi="宋体"/>
          <w:color w:val="auto"/>
          <w:sz w:val="24"/>
          <w:szCs w:val="24"/>
          <w:highlight w:val="none"/>
        </w:rPr>
        <w:t>。</w:t>
      </w:r>
    </w:p>
    <w:p>
      <w:pPr>
        <w:pBdr>
          <w:bottom w:val="single" w:color="auto" w:sz="6" w:space="1"/>
        </w:pBdr>
        <w:spacing w:line="480" w:lineRule="auto"/>
        <w:rPr>
          <w:b/>
          <w:color w:val="auto"/>
          <w:szCs w:val="21"/>
          <w:highlight w:val="none"/>
        </w:rPr>
      </w:pPr>
    </w:p>
    <w:p>
      <w:pPr>
        <w:spacing w:line="480" w:lineRule="auto"/>
        <w:ind w:firstLine="472" w:firstLineChars="224"/>
        <w:rPr>
          <w:b/>
          <w:color w:val="auto"/>
          <w:szCs w:val="21"/>
          <w:highlight w:val="none"/>
        </w:rPr>
      </w:pPr>
      <w:r>
        <w:rPr>
          <w:rFonts w:hint="eastAsia"/>
          <w:b/>
          <w:color w:val="auto"/>
          <w:szCs w:val="21"/>
          <w:highlight w:val="none"/>
        </w:rPr>
        <w:t>条款号：46.2</w:t>
      </w:r>
      <w:r>
        <w:rPr>
          <w:b/>
          <w:color w:val="auto"/>
          <w:szCs w:val="21"/>
          <w:highlight w:val="none"/>
        </w:rPr>
        <w:t xml:space="preserve">             </w:t>
      </w:r>
      <w:r>
        <w:rPr>
          <w:rFonts w:hint="eastAsia"/>
          <w:b/>
          <w:color w:val="auto"/>
          <w:szCs w:val="21"/>
          <w:highlight w:val="none"/>
        </w:rPr>
        <w:t>修改类型：修改</w:t>
      </w:r>
    </w:p>
    <w:p>
      <w:pPr>
        <w:pStyle w:val="5"/>
        <w:tabs>
          <w:tab w:val="left" w:pos="7380"/>
        </w:tabs>
        <w:snapToGrid w:val="0"/>
        <w:spacing w:after="0" w:line="360" w:lineRule="auto"/>
        <w:ind w:firstLine="422" w:firstLineChars="200"/>
        <w:rPr>
          <w:rFonts w:ascii="宋体"/>
          <w:color w:val="auto"/>
          <w:sz w:val="24"/>
          <w:szCs w:val="24"/>
          <w:highlight w:val="none"/>
        </w:rPr>
      </w:pPr>
      <w:r>
        <w:rPr>
          <w:rFonts w:hint="eastAsia"/>
          <w:b/>
          <w:color w:val="auto"/>
          <w:szCs w:val="21"/>
          <w:highlight w:val="none"/>
        </w:rPr>
        <w:t>原文：</w:t>
      </w:r>
      <w:r>
        <w:rPr>
          <w:rFonts w:hint="eastAsia" w:ascii="宋体" w:hAnsi="宋体"/>
          <w:color w:val="auto"/>
          <w:sz w:val="24"/>
          <w:szCs w:val="24"/>
          <w:highlight w:val="none"/>
        </w:rPr>
        <w:t>46.2按以下方法计算评标参考价：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企业信用评价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w:t>
      </w:r>
      <w:r>
        <w:rPr>
          <w:rFonts w:hint="eastAsia" w:ascii="宋体" w:hAnsi="宋体" w:cs="仿宋"/>
          <w:color w:val="auto"/>
          <w:sz w:val="24"/>
          <w:szCs w:val="24"/>
          <w:highlight w:val="none"/>
          <w:u w:val="single"/>
        </w:rPr>
        <w:t>为最高投标限价*D%（政府投资项目，D的取值范围为[94-100],由招标人自主确定；非政府投资项目由招标人自主确定取值范围），具体金额为          元。</w:t>
      </w:r>
    </w:p>
    <w:p>
      <w:pPr>
        <w:spacing w:line="360" w:lineRule="auto"/>
        <w:ind w:firstLine="480" w:firstLineChars="200"/>
        <w:rPr>
          <w:b/>
          <w:color w:val="auto"/>
          <w:szCs w:val="21"/>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pStyle w:val="5"/>
        <w:tabs>
          <w:tab w:val="left" w:pos="7380"/>
        </w:tabs>
        <w:snapToGrid w:val="0"/>
        <w:spacing w:after="0" w:line="360" w:lineRule="auto"/>
        <w:ind w:firstLine="422" w:firstLineChars="200"/>
        <w:rPr>
          <w:rFonts w:ascii="宋体"/>
          <w:color w:val="auto"/>
          <w:sz w:val="24"/>
          <w:szCs w:val="24"/>
          <w:highlight w:val="none"/>
        </w:rPr>
      </w:pPr>
      <w:r>
        <w:rPr>
          <w:rFonts w:hint="eastAsia"/>
          <w:b/>
          <w:color w:val="auto"/>
          <w:szCs w:val="21"/>
          <w:highlight w:val="none"/>
        </w:rPr>
        <w:t>现文：</w:t>
      </w:r>
      <w:r>
        <w:rPr>
          <w:rFonts w:hint="eastAsia" w:ascii="宋体" w:hAnsi="宋体"/>
          <w:color w:val="auto"/>
          <w:sz w:val="24"/>
          <w:szCs w:val="24"/>
          <w:highlight w:val="none"/>
        </w:rPr>
        <w:t>46.2按以下方法计算评标参考价：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w:t>
      </w:r>
      <w:r>
        <w:rPr>
          <w:rFonts w:hint="eastAsia" w:ascii="宋体" w:hAnsi="宋体" w:cs="宋体"/>
          <w:b/>
          <w:bCs/>
          <w:color w:val="auto"/>
          <w:sz w:val="24"/>
          <w:szCs w:val="24"/>
          <w:highlight w:val="none"/>
          <w:u w:val="single"/>
        </w:rPr>
        <w:t>技术标得分85分</w:t>
      </w:r>
      <w:r>
        <w:rPr>
          <w:rFonts w:hint="eastAsia" w:ascii="宋体" w:hAnsi="宋体" w:cs="仿宋"/>
          <w:color w:val="auto"/>
          <w:sz w:val="24"/>
          <w:szCs w:val="24"/>
          <w:highlight w:val="none"/>
        </w:rPr>
        <w:t>），达到或超过及格线的投标人的报价方能参与评标参考价的计算。将达到或超过技术标及格分数线的投标报价由低至高进行排列，按以下公式计算评标参考价，计算公式如下：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w:t>
      </w:r>
      <w:r>
        <w:rPr>
          <w:rFonts w:hint="eastAsia" w:ascii="宋体" w:hAnsi="宋体" w:cs="仿宋"/>
          <w:color w:val="auto"/>
          <w:sz w:val="24"/>
          <w:szCs w:val="24"/>
          <w:highlight w:val="none"/>
          <w:u w:val="single"/>
        </w:rPr>
        <w:t>为最高投标限价*D%（D的取值范围为[100]），具体金额为14532212.44元。</w:t>
      </w:r>
    </w:p>
    <w:p>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pBdr>
          <w:bottom w:val="single" w:color="auto" w:sz="6" w:space="1"/>
        </w:pBdr>
        <w:spacing w:line="360" w:lineRule="auto"/>
        <w:ind w:firstLine="525" w:firstLineChars="250"/>
        <w:rPr>
          <w:color w:val="auto"/>
          <w:highlight w:val="none"/>
        </w:rPr>
      </w:pPr>
    </w:p>
    <w:p>
      <w:pPr>
        <w:spacing w:line="480" w:lineRule="auto"/>
        <w:ind w:firstLine="472" w:firstLineChars="224"/>
        <w:rPr>
          <w:b/>
          <w:color w:val="auto"/>
          <w:szCs w:val="21"/>
          <w:highlight w:val="none"/>
        </w:rPr>
      </w:pPr>
      <w:r>
        <w:rPr>
          <w:rFonts w:hint="eastAsia"/>
          <w:b/>
          <w:color w:val="auto"/>
          <w:szCs w:val="21"/>
          <w:highlight w:val="none"/>
        </w:rPr>
        <w:t>条款号：46.4</w:t>
      </w:r>
      <w:r>
        <w:rPr>
          <w:b/>
          <w:color w:val="auto"/>
          <w:szCs w:val="21"/>
          <w:highlight w:val="none"/>
        </w:rPr>
        <w:t xml:space="preserve">             </w:t>
      </w:r>
      <w:r>
        <w:rPr>
          <w:rFonts w:hint="eastAsia"/>
          <w:b/>
          <w:color w:val="auto"/>
          <w:szCs w:val="21"/>
          <w:highlight w:val="none"/>
        </w:rPr>
        <w:t>修改类型：修改</w:t>
      </w:r>
    </w:p>
    <w:p>
      <w:pPr>
        <w:pStyle w:val="5"/>
        <w:tabs>
          <w:tab w:val="left" w:pos="7380"/>
        </w:tabs>
        <w:snapToGrid w:val="0"/>
        <w:spacing w:after="0" w:line="360" w:lineRule="auto"/>
        <w:ind w:firstLine="422" w:firstLineChars="200"/>
        <w:rPr>
          <w:rFonts w:ascii="宋体"/>
          <w:color w:val="auto"/>
          <w:sz w:val="24"/>
          <w:szCs w:val="24"/>
          <w:highlight w:val="none"/>
        </w:rPr>
      </w:pPr>
      <w:r>
        <w:rPr>
          <w:rFonts w:hint="eastAsia"/>
          <w:b/>
          <w:color w:val="auto"/>
          <w:szCs w:val="21"/>
          <w:highlight w:val="none"/>
        </w:rPr>
        <w:t>原文：</w:t>
      </w:r>
      <w:r>
        <w:rPr>
          <w:rFonts w:hint="eastAsia" w:ascii="宋体" w:hAnsi="宋体"/>
          <w:color w:val="auto"/>
          <w:sz w:val="24"/>
          <w:szCs w:val="24"/>
          <w:highlight w:val="none"/>
        </w:rPr>
        <w:t>46.4</w:t>
      </w:r>
      <w:r>
        <w:rPr>
          <w:rFonts w:hint="eastAsia" w:ascii="宋体"/>
          <w:color w:val="auto"/>
          <w:sz w:val="24"/>
          <w:szCs w:val="24"/>
          <w:highlight w:val="none"/>
          <w:u w:val="single"/>
        </w:rPr>
        <w:t>计算通过技术标有效性审查的投标人总得分。投标人总得分=（技术得分×  %（技术得分权重）</w:t>
      </w:r>
      <w:r>
        <w:rPr>
          <w:rFonts w:hint="eastAsia" w:ascii="宋体" w:cs="宋体"/>
          <w:color w:val="auto"/>
          <w:sz w:val="24"/>
          <w:szCs w:val="24"/>
          <w:highlight w:val="none"/>
          <w:u w:val="single"/>
        </w:rPr>
        <w:t>＋</w:t>
      </w:r>
      <w:r>
        <w:rPr>
          <w:rFonts w:hint="eastAsia" w:ascii="宋体"/>
          <w:color w:val="auto"/>
          <w:sz w:val="24"/>
          <w:szCs w:val="24"/>
          <w:highlight w:val="none"/>
          <w:u w:val="single"/>
        </w:rPr>
        <w:t>经济得分×  %（经济得分权重）×（1-信用评价分数权重）</w:t>
      </w:r>
      <w:r>
        <w:rPr>
          <w:rFonts w:hint="eastAsia" w:ascii="宋体" w:cs="宋体"/>
          <w:color w:val="auto"/>
          <w:sz w:val="24"/>
          <w:szCs w:val="24"/>
          <w:highlight w:val="none"/>
          <w:u w:val="single"/>
        </w:rPr>
        <w:t>＋</w:t>
      </w:r>
      <w:r>
        <w:rPr>
          <w:rFonts w:hint="eastAsia" w:ascii="宋体"/>
          <w:color w:val="auto"/>
          <w:sz w:val="24"/>
          <w:szCs w:val="24"/>
          <w:highlight w:val="none"/>
          <w:u w:val="single"/>
        </w:rPr>
        <w:t>信用评价得分×  %（</w:t>
      </w:r>
      <w:r>
        <w:rPr>
          <w:rFonts w:hint="eastAsia" w:ascii="宋体" w:hAnsi="宋体"/>
          <w:color w:val="auto"/>
          <w:sz w:val="24"/>
          <w:szCs w:val="24"/>
          <w:highlight w:val="none"/>
          <w:u w:val="single"/>
        </w:rPr>
        <w:t>企业信用评价得分权重，招标人可在[10%-20%]范围内自主确定</w:t>
      </w:r>
      <w:r>
        <w:rPr>
          <w:rFonts w:hint="eastAsia" w:ascii="宋体"/>
          <w:color w:val="auto"/>
          <w:sz w:val="24"/>
          <w:szCs w:val="24"/>
          <w:highlight w:val="none"/>
          <w:u w:val="single"/>
        </w:rPr>
        <w:t>）。</w:t>
      </w:r>
      <w:r>
        <w:rPr>
          <w:rFonts w:hint="eastAsia" w:ascii="宋体"/>
          <w:color w:val="auto"/>
          <w:sz w:val="24"/>
          <w:szCs w:val="24"/>
          <w:highlight w:val="none"/>
        </w:rPr>
        <w:t>技术、经济得分权重按投标须知前附表的规定执行。总得分四舍五入保留两位小数。</w:t>
      </w:r>
    </w:p>
    <w:p>
      <w:pPr>
        <w:pBdr>
          <w:bottom w:val="single" w:color="auto" w:sz="6" w:space="1"/>
        </w:pBdr>
        <w:spacing w:line="480" w:lineRule="auto"/>
        <w:rPr>
          <w:rFonts w:ascii="宋体" w:hAnsi="宋体" w:cs="仿宋"/>
          <w:color w:val="auto"/>
          <w:sz w:val="24"/>
          <w:szCs w:val="24"/>
          <w:highlight w:val="none"/>
        </w:rPr>
      </w:pPr>
      <w:r>
        <w:rPr>
          <w:rFonts w:hint="eastAsia"/>
          <w:b/>
          <w:color w:val="auto"/>
          <w:szCs w:val="21"/>
          <w:highlight w:val="none"/>
        </w:rPr>
        <w:t xml:space="preserve">  </w:t>
      </w:r>
      <w:r>
        <w:rPr>
          <w:rFonts w:hint="eastAsia" w:ascii="Times New Roman" w:hAnsi="Times New Roman"/>
          <w:b/>
          <w:color w:val="auto"/>
          <w:szCs w:val="21"/>
          <w:highlight w:val="none"/>
        </w:rPr>
        <w:t xml:space="preserve"> </w:t>
      </w:r>
      <w:r>
        <w:rPr>
          <w:rFonts w:hint="eastAsia" w:ascii="宋体" w:hAnsi="宋体" w:cs="仿宋"/>
          <w:color w:val="auto"/>
          <w:sz w:val="24"/>
          <w:szCs w:val="24"/>
          <w:highlight w:val="none"/>
        </w:rPr>
        <w:t xml:space="preserve"> </w:t>
      </w:r>
      <w:r>
        <w:rPr>
          <w:rFonts w:hint="eastAsia" w:ascii="宋体" w:hAnsi="宋体" w:cs="仿宋"/>
          <w:b/>
          <w:bCs/>
          <w:color w:val="auto"/>
          <w:sz w:val="24"/>
          <w:szCs w:val="24"/>
          <w:highlight w:val="none"/>
        </w:rPr>
        <w:t>现文：</w:t>
      </w:r>
      <w:r>
        <w:rPr>
          <w:rFonts w:hint="eastAsia" w:ascii="宋体" w:hAnsi="宋体" w:cs="仿宋"/>
          <w:color w:val="auto"/>
          <w:sz w:val="24"/>
          <w:szCs w:val="24"/>
          <w:highlight w:val="none"/>
        </w:rPr>
        <w:t>46.4计算通过技术标有效性审查的投标人总得分。投标人总得分=（技术得分×</w:t>
      </w:r>
      <w:r>
        <w:rPr>
          <w:rFonts w:ascii="宋体" w:hAnsi="宋体" w:cs="仿宋"/>
          <w:color w:val="auto"/>
          <w:sz w:val="24"/>
          <w:szCs w:val="24"/>
          <w:highlight w:val="none"/>
        </w:rPr>
        <w:t>20</w:t>
      </w:r>
      <w:r>
        <w:rPr>
          <w:rFonts w:hint="eastAsia" w:ascii="宋体" w:hAnsi="宋体" w:cs="仿宋"/>
          <w:color w:val="auto"/>
          <w:sz w:val="24"/>
          <w:szCs w:val="24"/>
          <w:highlight w:val="none"/>
        </w:rPr>
        <w:t>%＋经济得分×</w:t>
      </w:r>
      <w:r>
        <w:rPr>
          <w:rFonts w:ascii="宋体" w:hAnsi="宋体" w:cs="仿宋"/>
          <w:color w:val="auto"/>
          <w:sz w:val="24"/>
          <w:szCs w:val="24"/>
          <w:highlight w:val="none"/>
        </w:rPr>
        <w:t>80</w:t>
      </w:r>
      <w:r>
        <w:rPr>
          <w:rFonts w:hint="eastAsia" w:ascii="宋体" w:hAnsi="宋体" w:cs="仿宋"/>
          <w:color w:val="auto"/>
          <w:sz w:val="24"/>
          <w:szCs w:val="24"/>
          <w:highlight w:val="none"/>
        </w:rPr>
        <w:t>%</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w:t>
      </w:r>
      <w:r>
        <w:rPr>
          <w:rFonts w:ascii="宋体" w:hAnsi="宋体" w:cs="仿宋"/>
          <w:color w:val="auto"/>
          <w:sz w:val="24"/>
          <w:szCs w:val="24"/>
          <w:highlight w:val="none"/>
        </w:rPr>
        <w:t>90%</w:t>
      </w:r>
      <w:r>
        <w:rPr>
          <w:rFonts w:hint="eastAsia" w:ascii="宋体" w:hAnsi="宋体" w:cs="仿宋"/>
          <w:color w:val="auto"/>
          <w:sz w:val="24"/>
          <w:szCs w:val="24"/>
          <w:highlight w:val="none"/>
        </w:rPr>
        <w:t>）＋信用评价得分×</w:t>
      </w:r>
      <w:r>
        <w:rPr>
          <w:rFonts w:ascii="宋体" w:hAnsi="宋体" w:cs="仿宋"/>
          <w:color w:val="auto"/>
          <w:sz w:val="24"/>
          <w:szCs w:val="24"/>
          <w:highlight w:val="none"/>
        </w:rPr>
        <w:t>10</w:t>
      </w:r>
      <w:r>
        <w:rPr>
          <w:rFonts w:hint="eastAsia" w:ascii="宋体" w:hAnsi="宋体" w:cs="仿宋"/>
          <w:color w:val="auto"/>
          <w:sz w:val="24"/>
          <w:szCs w:val="24"/>
          <w:highlight w:val="none"/>
        </w:rPr>
        <w:t>%（企业信用评价得分权重，招标人可在[10%-20%]范围内自主确定）。技术、经济得分权重按投标须知前附表的规定执行。总得分四舍五入保留两位小数。</w:t>
      </w:r>
    </w:p>
    <w:p>
      <w:pPr>
        <w:spacing w:line="480" w:lineRule="auto"/>
        <w:ind w:firstLine="472" w:firstLineChars="224"/>
        <w:rPr>
          <w:b/>
          <w:color w:val="auto"/>
          <w:szCs w:val="21"/>
          <w:highlight w:val="none"/>
        </w:rPr>
      </w:pPr>
      <w:r>
        <w:rPr>
          <w:rFonts w:hint="eastAsia"/>
          <w:b/>
          <w:color w:val="auto"/>
          <w:szCs w:val="21"/>
          <w:highlight w:val="none"/>
        </w:rPr>
        <w:t>条款号：46.5</w:t>
      </w:r>
      <w:r>
        <w:rPr>
          <w:b/>
          <w:color w:val="auto"/>
          <w:szCs w:val="21"/>
          <w:highlight w:val="none"/>
        </w:rPr>
        <w:t xml:space="preserve">             </w:t>
      </w:r>
      <w:r>
        <w:rPr>
          <w:rFonts w:hint="eastAsia"/>
          <w:b/>
          <w:color w:val="auto"/>
          <w:szCs w:val="21"/>
          <w:highlight w:val="none"/>
        </w:rPr>
        <w:t>修改类型：增加</w:t>
      </w:r>
    </w:p>
    <w:p>
      <w:pPr>
        <w:spacing w:line="360" w:lineRule="auto"/>
        <w:ind w:firstLine="422" w:firstLineChars="200"/>
        <w:rPr>
          <w:b/>
          <w:color w:val="auto"/>
          <w:szCs w:val="21"/>
          <w:highlight w:val="none"/>
          <w:u w:val="single"/>
        </w:rPr>
      </w:pPr>
      <w:r>
        <w:rPr>
          <w:rFonts w:hint="eastAsia"/>
          <w:b/>
          <w:color w:val="auto"/>
          <w:szCs w:val="21"/>
          <w:highlight w:val="none"/>
          <w:u w:val="single"/>
        </w:rPr>
        <w:t>现文：</w:t>
      </w:r>
      <w:r>
        <w:rPr>
          <w:rFonts w:hint="eastAsia" w:ascii="宋体" w:hAnsi="宋体" w:cs="宋体"/>
          <w:b/>
          <w:color w:val="auto"/>
          <w:sz w:val="24"/>
          <w:szCs w:val="24"/>
          <w:highlight w:val="none"/>
          <w:u w:val="single"/>
        </w:rPr>
        <w:t>46.5总得分相同的，以技术标得分较高的排前；总得分与技术标得分均相同的投标文件，则对具有相同情况的投标人，按中标候选人数量规定，由评标委员会采用随机抽取方式，确定中标候选人的排序。随机方式确定排序的具体操作步骤为：由评标会对出现该情况的投标人进行编号，然后通过记名投票方式，以得票多的排前确定排序。</w:t>
      </w:r>
    </w:p>
    <w:p>
      <w:pPr>
        <w:pBdr>
          <w:bottom w:val="single" w:color="auto" w:sz="6" w:space="1"/>
        </w:pBdr>
        <w:spacing w:line="360" w:lineRule="auto"/>
        <w:ind w:firstLine="525" w:firstLineChars="250"/>
        <w:rPr>
          <w:color w:val="auto"/>
          <w:highlight w:val="none"/>
        </w:rPr>
      </w:pP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条款号：附表一：《资格审查表》  附表二：《技术标有效性审查表》  附表三：《经济标有效性审查表》  附表四：</w:t>
      </w:r>
      <w:r>
        <w:rPr>
          <w:rFonts w:hint="eastAsia" w:ascii="宋体" w:hAnsi="宋体" w:cs="宋体"/>
          <w:b/>
          <w:bCs/>
          <w:color w:val="auto"/>
          <w:szCs w:val="21"/>
          <w:highlight w:val="none"/>
        </w:rPr>
        <w:t>《技术标详细审查定档表》《</w:t>
      </w:r>
      <w:r>
        <w:rPr>
          <w:rFonts w:hint="eastAsia" w:ascii="宋体" w:hAnsi="宋体" w:cs="宋体"/>
          <w:b/>
          <w:color w:val="auto"/>
          <w:szCs w:val="21"/>
          <w:highlight w:val="none"/>
        </w:rPr>
        <w:t>技术标详细审查评分表》   修改类型：修改</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详见原范本附表一：《资格审查表》    附表二：《技术标有效性审查表》   附表三：《经济标有效性审查表》   附表四：《技术标详细审查定档表》《技术标详细审查评分表》。</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w:t>
      </w:r>
      <w:r>
        <w:rPr>
          <w:rFonts w:hint="eastAsia" w:ascii="宋体" w:hAnsi="宋体" w:cs="宋体"/>
          <w:color w:val="auto"/>
          <w:szCs w:val="21"/>
          <w:highlight w:val="none"/>
          <w:u w:val="single"/>
        </w:rPr>
        <w:t>附表一：《资格审查表》    附表二：《技术标有效性审查表》   附表三：《经济标有效性审查表》   附表四：《技术标详细审查定档表》《技术标详细审查评分表》。</w:t>
      </w:r>
    </w:p>
    <w:p>
      <w:pPr>
        <w:spacing w:line="480" w:lineRule="auto"/>
        <w:ind w:firstLine="472" w:firstLineChars="224"/>
        <w:rPr>
          <w:b/>
          <w:color w:val="auto"/>
          <w:szCs w:val="21"/>
          <w:highlight w:val="none"/>
        </w:rPr>
      </w:pPr>
      <w:r>
        <w:rPr>
          <w:rFonts w:hint="eastAsia"/>
          <w:b/>
          <w:color w:val="auto"/>
          <w:szCs w:val="21"/>
          <w:highlight w:val="none"/>
        </w:rPr>
        <w:t>条款号：附表六：（适用于有主要项目单价评审的项目）、附表七：《适用于有主要项目单价评审的项目》、附表八：《适用于有主要项目单价评审的项目》、附表九：《适用于有主要项目单价评审的项目》</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Cs/>
          <w:color w:val="auto"/>
          <w:szCs w:val="21"/>
          <w:highlight w:val="none"/>
        </w:rPr>
      </w:pPr>
      <w:r>
        <w:rPr>
          <w:rFonts w:hint="eastAsia"/>
          <w:b/>
          <w:color w:val="auto"/>
          <w:szCs w:val="21"/>
          <w:highlight w:val="none"/>
        </w:rPr>
        <w:t>原文：</w:t>
      </w:r>
      <w:r>
        <w:rPr>
          <w:rFonts w:hint="eastAsia"/>
          <w:bCs/>
          <w:color w:val="auto"/>
          <w:szCs w:val="21"/>
          <w:highlight w:val="none"/>
        </w:rPr>
        <w:t>附表六：（适用于有主要项目单价评审的项目）、附表七：《适用于有主要项目单价评审的项目》、附表八：《适用于有主要项目单价评审的项目》、附表九：《适用于有主要项目单价评审的项目》</w:t>
      </w:r>
    </w:p>
    <w:p>
      <w:pPr>
        <w:pBdr>
          <w:bottom w:val="single" w:color="auto" w:sz="6" w:space="1"/>
        </w:pBdr>
        <w:spacing w:line="360" w:lineRule="auto"/>
        <w:ind w:firstLine="525" w:firstLineChars="250"/>
        <w:rPr>
          <w:color w:val="auto"/>
          <w:highlight w:val="none"/>
        </w:rPr>
      </w:pP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2"/>
        <w:spacing w:line="360" w:lineRule="auto"/>
        <w:rPr>
          <w:color w:val="auto"/>
          <w:highlight w:val="none"/>
        </w:rPr>
      </w:pPr>
      <w:r>
        <w:rPr>
          <w:color w:val="auto"/>
          <w:highlight w:val="none"/>
        </w:rPr>
        <w:br w:type="page"/>
      </w:r>
    </w:p>
    <w:p>
      <w:pPr>
        <w:pStyle w:val="7"/>
        <w:rPr>
          <w:color w:val="auto"/>
          <w:highlight w:val="none"/>
        </w:rPr>
      </w:pPr>
      <w:bookmarkStart w:id="51" w:name="_Toc9828"/>
      <w:bookmarkStart w:id="52" w:name="_Toc2272556"/>
      <w:bookmarkStart w:id="53" w:name="_Toc22241"/>
      <w:bookmarkStart w:id="54" w:name="_Toc21525500"/>
      <w:r>
        <w:rPr>
          <w:rFonts w:hint="eastAsia"/>
          <w:color w:val="auto"/>
          <w:highlight w:val="none"/>
        </w:rPr>
        <w:t>二、开标、评标及定标办法通用条款</w:t>
      </w:r>
      <w:bookmarkEnd w:id="51"/>
      <w:bookmarkEnd w:id="52"/>
      <w:bookmarkEnd w:id="53"/>
      <w:bookmarkEnd w:id="54"/>
    </w:p>
    <w:p>
      <w:pPr>
        <w:pStyle w:val="8"/>
        <w:ind w:firstLine="480" w:firstLineChars="200"/>
        <w:rPr>
          <w:color w:val="auto"/>
          <w:highlight w:val="none"/>
        </w:rPr>
      </w:pPr>
      <w:bookmarkStart w:id="55" w:name="_Toc9587"/>
      <w:bookmarkStart w:id="56" w:name="_Toc26489"/>
      <w:r>
        <w:rPr>
          <w:rFonts w:hint="eastAsia"/>
          <w:color w:val="auto"/>
          <w:highlight w:val="none"/>
        </w:rPr>
        <w:t>（一）总则</w:t>
      </w:r>
      <w:bookmarkEnd w:id="55"/>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35.开标、评标及定标所依据的规则</w:t>
      </w:r>
      <w:bookmarkEnd w:id="56"/>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35.1《中华人民共和国招标投标法》；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.5</w:t>
      </w:r>
      <w:r>
        <w:rPr>
          <w:rFonts w:hint="eastAsia" w:ascii="宋体" w:hAnsi="宋体"/>
          <w:color w:val="auto"/>
          <w:sz w:val="24"/>
          <w:szCs w:val="24"/>
          <w:highlight w:val="none"/>
        </w:rPr>
        <w:t>《电子招标投标办法》；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35.6《广东省实施〈中华人民共和国招标投标法〉办法》；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w:t>
      </w:r>
      <w:r>
        <w:rPr>
          <w:rFonts w:hint="eastAsia" w:ascii="宋体" w:hAnsi="宋体"/>
          <w:color w:val="auto"/>
          <w:sz w:val="24"/>
          <w:szCs w:val="24"/>
          <w:highlight w:val="none"/>
        </w:rPr>
        <w:t>7《房屋建筑和市政基础设施工程施工招标投标管理办法》（建设部令第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w:t>
      </w:r>
      <w:r>
        <w:rPr>
          <w:rFonts w:hint="eastAsia" w:ascii="宋体" w:hAnsi="宋体"/>
          <w:color w:val="auto"/>
          <w:sz w:val="24"/>
          <w:szCs w:val="24"/>
          <w:highlight w:val="none"/>
        </w:rPr>
        <w:t>8《广东省加强建设工程招标投标监督管理的若干规定》（粤发[2004]4号）；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w:t>
      </w:r>
      <w:r>
        <w:rPr>
          <w:rFonts w:hint="eastAsia" w:ascii="宋体" w:hAnsi="宋体"/>
          <w:color w:val="auto"/>
          <w:sz w:val="24"/>
          <w:szCs w:val="24"/>
          <w:highlight w:val="none"/>
        </w:rPr>
        <w:t>9《广州市工程建设项目招标投标管理办法》（穗建规字〔</w:t>
      </w:r>
      <w:r>
        <w:rPr>
          <w:rFonts w:ascii="宋体" w:hAnsi="宋体"/>
          <w:color w:val="auto"/>
          <w:sz w:val="24"/>
          <w:szCs w:val="24"/>
          <w:highlight w:val="none"/>
        </w:rPr>
        <w:t>2023</w:t>
      </w:r>
      <w:r>
        <w:rPr>
          <w:rFonts w:hint="eastAsia" w:ascii="宋体" w:hAnsi="宋体"/>
          <w:color w:val="auto"/>
          <w:sz w:val="24"/>
          <w:szCs w:val="24"/>
          <w:highlight w:val="none"/>
        </w:rPr>
        <w:t>〕</w:t>
      </w:r>
      <w:r>
        <w:rPr>
          <w:rFonts w:ascii="宋体" w:hAnsi="宋体"/>
          <w:color w:val="auto"/>
          <w:sz w:val="24"/>
          <w:szCs w:val="24"/>
          <w:highlight w:val="none"/>
        </w:rPr>
        <w:t>12</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35.10本项目招标文件。</w:t>
      </w:r>
    </w:p>
    <w:p>
      <w:pPr>
        <w:spacing w:line="360" w:lineRule="auto"/>
        <w:ind w:firstLine="480" w:firstLineChars="200"/>
        <w:rPr>
          <w:rFonts w:ascii="宋体" w:hAnsi="宋体"/>
          <w:color w:val="auto"/>
          <w:sz w:val="24"/>
          <w:szCs w:val="24"/>
          <w:highlight w:val="none"/>
        </w:rPr>
      </w:pPr>
      <w:bookmarkStart w:id="57" w:name="_Toc1310"/>
      <w:r>
        <w:rPr>
          <w:rFonts w:hint="eastAsia" w:ascii="宋体" w:hAnsi="宋体"/>
          <w:color w:val="auto"/>
          <w:sz w:val="24"/>
          <w:szCs w:val="24"/>
          <w:highlight w:val="none"/>
        </w:rPr>
        <w:t>36．开标</w:t>
      </w:r>
      <w:bookmarkEnd w:id="57"/>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36.1 招标人按投标须知前附表第18项所规定的时间和地点通过电子招标投标交易平台公开开标，并邀请所有投标人参加，投标人可选择在开标室参加开标或准时在线参加开标，也可以不参加开标，均不影响开标程序。</w:t>
      </w:r>
      <w:r>
        <w:rPr>
          <w:rFonts w:hint="eastAsia"/>
          <w:color w:val="auto"/>
          <w:sz w:val="24"/>
          <w:highlight w:val="none"/>
        </w:rPr>
        <w:t>投标人不派代表参加开标会，则视其为放弃参与开标的权利，认可开标结果。</w:t>
      </w:r>
      <w:r>
        <w:rPr>
          <w:rFonts w:hint="eastAsia" w:ascii="宋体" w:hAnsi="宋体"/>
          <w:color w:val="auto"/>
          <w:sz w:val="24"/>
          <w:szCs w:val="24"/>
          <w:highlight w:val="none"/>
        </w:rPr>
        <w:t>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w:t>
      </w:r>
      <w:r>
        <w:rPr>
          <w:rFonts w:hint="eastAsia" w:ascii="宋体" w:hAnsi="宋体"/>
          <w:color w:val="auto"/>
          <w:sz w:val="24"/>
          <w:highlight w:val="none"/>
          <w:u w:val="single"/>
        </w:rPr>
        <w:t>1</w:t>
      </w:r>
      <w:r>
        <w:rPr>
          <w:rFonts w:hint="eastAsia" w:ascii="宋体" w:hAnsi="宋体"/>
          <w:color w:val="auto"/>
          <w:sz w:val="24"/>
          <w:highlight w:val="none"/>
        </w:rPr>
        <w:t>小时内，投标人通过</w:t>
      </w:r>
      <w:r>
        <w:rPr>
          <w:rFonts w:hint="eastAsia" w:ascii="宋体" w:hAnsi="宋体" w:cs="宋体"/>
          <w:b/>
          <w:bCs/>
          <w:color w:val="auto"/>
          <w:sz w:val="24"/>
          <w:highlight w:val="none"/>
          <w:u w:val="single"/>
        </w:rPr>
        <w:t>广州交易集团有限公司（广州公共资源交易中心）</w:t>
      </w:r>
      <w:r>
        <w:rPr>
          <w:rFonts w:hint="eastAsia" w:ascii="宋体" w:hAnsi="宋体"/>
          <w:color w:val="auto"/>
          <w:sz w:val="24"/>
          <w:highlight w:val="none"/>
        </w:rPr>
        <w:t>交易平台对已递交的电子投标文件进行解密。投标人完成解密后，再由招标人进行解密。解密完成后，公布招标项目名称、投标人名称、</w:t>
      </w:r>
      <w:r>
        <w:rPr>
          <w:rFonts w:hint="eastAsia" w:ascii="宋体" w:hAnsi="宋体"/>
          <w:strike/>
          <w:color w:val="auto"/>
          <w:sz w:val="24"/>
          <w:highlight w:val="none"/>
        </w:rPr>
        <w:t>投标保证金的递交情况、</w:t>
      </w:r>
      <w:r>
        <w:rPr>
          <w:rFonts w:hint="eastAsia" w:ascii="宋体" w:hAnsi="宋体"/>
          <w:color w:val="auto"/>
          <w:sz w:val="24"/>
          <w:highlight w:val="none"/>
        </w:rPr>
        <w:t>投标报价、工期及其他内容；</w:t>
      </w:r>
    </w:p>
    <w:p>
      <w:pPr>
        <w:tabs>
          <w:tab w:val="left" w:pos="10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36.5.2备用光盘的读取按投标须知前附表第35项的规定执行；</w:t>
      </w:r>
    </w:p>
    <w:p>
      <w:pPr>
        <w:spacing w:line="360" w:lineRule="auto"/>
        <w:ind w:firstLine="480" w:firstLineChars="200"/>
        <w:rPr>
          <w:rFonts w:ascii="宋体" w:hAnsi="宋体"/>
          <w:color w:val="auto"/>
          <w:sz w:val="24"/>
          <w:highlight w:val="none"/>
        </w:rPr>
      </w:pPr>
      <w:bookmarkStart w:id="58" w:name="_Toc501"/>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36.5.6开标结束。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36.7开标时，两个（含两个）以上的投标人加密打包投标文件电脑机器特征码一致的，由评标委员会否决其投标。</w:t>
      </w:r>
    </w:p>
    <w:p>
      <w:pPr>
        <w:pStyle w:val="20"/>
        <w:ind w:firstLine="480"/>
        <w:rPr>
          <w:rFonts w:hAnsi="宋体"/>
          <w:color w:val="auto"/>
          <w:sz w:val="24"/>
          <w:highlight w:val="none"/>
        </w:rPr>
      </w:pPr>
      <w:r>
        <w:rPr>
          <w:rFonts w:hint="eastAsia" w:hAnsi="宋体"/>
          <w:color w:val="auto"/>
          <w:sz w:val="24"/>
          <w:highlight w:val="none"/>
        </w:rPr>
        <w:t>36.8开标异议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36.8.1参加现场开标的投标人对开标结果有异议的，应当在开标现场提出，该投标人代表须同时出示本人身份证原件，招标人应当当场作出答复，并制作记录。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36.8.2参加在线开标的投标人对开标结果有异议的，应当在唱标结束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pPr>
        <w:pStyle w:val="20"/>
        <w:spacing w:line="360" w:lineRule="auto"/>
        <w:ind w:firstLine="480"/>
        <w:rPr>
          <w:color w:val="auto"/>
          <w:sz w:val="24"/>
          <w:highlight w:val="none"/>
        </w:rPr>
      </w:pPr>
      <w:r>
        <w:rPr>
          <w:rFonts w:hint="eastAsia" w:hAnsi="宋体"/>
          <w:color w:val="auto"/>
          <w:sz w:val="24"/>
          <w:highlight w:val="none"/>
        </w:rPr>
        <w:t>36.8.3</w:t>
      </w:r>
      <w:r>
        <w:rPr>
          <w:rFonts w:hint="eastAsia" w:hAnsi="宋体" w:cs="宋体"/>
          <w:color w:val="auto"/>
          <w:kern w:val="0"/>
          <w:sz w:val="24"/>
          <w:szCs w:val="24"/>
          <w:highlight w:val="none"/>
        </w:rPr>
        <w:t>对开标的异议，招标人应当当场作出答复并予以书面记录，异议成立的，招标人应当及时采取纠正措施，或者提交评标委员会评审确认；异议不成立的，招标人应当当场给予解释说明。</w:t>
      </w:r>
      <w:r>
        <w:rPr>
          <w:rFonts w:hint="eastAsia"/>
          <w:color w:val="auto"/>
          <w:sz w:val="24"/>
          <w:highlight w:val="none"/>
        </w:rPr>
        <w:t>投标人未参加开标或在规定的时间内未提出异议的，视为对开标无异议。</w:t>
      </w:r>
      <w:bookmarkEnd w:id="58"/>
    </w:p>
    <w:p>
      <w:pPr>
        <w:pStyle w:val="20"/>
        <w:spacing w:line="360" w:lineRule="auto"/>
        <w:ind w:firstLine="480"/>
        <w:rPr>
          <w:rFonts w:hAnsi="宋体" w:cs="宋体"/>
          <w:color w:val="auto"/>
          <w:kern w:val="0"/>
          <w:sz w:val="24"/>
          <w:szCs w:val="24"/>
          <w:highlight w:val="none"/>
        </w:rPr>
      </w:pPr>
      <w:r>
        <w:rPr>
          <w:rFonts w:hint="eastAsia"/>
          <w:color w:val="auto"/>
          <w:sz w:val="24"/>
          <w:highlight w:val="none"/>
        </w:rPr>
        <w:t>36.8.4</w:t>
      </w:r>
      <w:r>
        <w:rPr>
          <w:rFonts w:hint="eastAsia" w:hAnsi="宋体" w:cs="宋体"/>
          <w:color w:val="auto"/>
          <w:kern w:val="0"/>
          <w:sz w:val="24"/>
          <w:szCs w:val="24"/>
          <w:highlight w:val="none"/>
        </w:rPr>
        <w:t>招标人应当按照同一异议提起人一份记录的方式，对异议事项的处理应逐条进行书面记录，并由异议提起人、招标人签名确认。书面记录含义应清晰而明确，包括但不限于纠正的措施、解释说明的内容、相关依据等。</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highlight w:val="none"/>
        </w:rPr>
        <w:t>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r>
        <w:rPr>
          <w:rFonts w:hint="eastAsia" w:ascii="宋体" w:hAnsi="宋体"/>
          <w:color w:val="auto"/>
          <w:sz w:val="24"/>
          <w:szCs w:val="24"/>
          <w:highlight w:val="none"/>
        </w:rPr>
        <w:t>。</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37.2评标委员会成员有下列情形之一的，应当回避：</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（1）招标人或投标人的主要负责人的近亲属；</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（2）项目主管部门或者行政监督部门的人员；</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（3）招标人或投标人的工作人员、退休或离职未满3年的人员；</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（4）与投标人有经济利益关系，可能影响对投标公正评审的；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（5）曾因在招标、评标以及其他与招标投标有关活动中从事违法行为而受过行政处罚或刑事处罚的。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（6）与投标人有其他利害关系。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w:t>
      </w:r>
      <w:r>
        <w:rPr>
          <w:rFonts w:hint="eastAsia" w:ascii="宋体" w:hAnsi="宋体"/>
          <w:bCs/>
          <w:color w:val="auto"/>
          <w:sz w:val="24"/>
          <w:szCs w:val="24"/>
          <w:highlight w:val="none"/>
        </w:rPr>
        <w:t>3</w:t>
      </w:r>
      <w:r>
        <w:rPr>
          <w:rFonts w:ascii="宋体" w:hAnsi="宋体"/>
          <w:bCs/>
          <w:color w:val="auto"/>
          <w:sz w:val="24"/>
          <w:szCs w:val="24"/>
          <w:highlight w:val="none"/>
        </w:rPr>
        <w:t>.3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.4.6 </w:t>
      </w:r>
      <w:r>
        <w:rPr>
          <w:rFonts w:hint="eastAsia" w:ascii="宋体" w:hAnsi="宋体"/>
          <w:color w:val="auto"/>
          <w:sz w:val="24"/>
          <w:szCs w:val="24"/>
          <w:highlight w:val="none"/>
        </w:rPr>
        <w:t>必须严谨、不得随意马虎。</w:t>
      </w:r>
    </w:p>
    <w:p>
      <w:pPr>
        <w:pStyle w:val="20"/>
        <w:spacing w:line="360" w:lineRule="auto"/>
        <w:ind w:firstLine="480" w:firstLineChars="200"/>
        <w:rPr>
          <w:rFonts w:hAnsi="宋体"/>
          <w:color w:val="auto"/>
          <w:sz w:val="24"/>
          <w:szCs w:val="24"/>
          <w:highlight w:val="none"/>
        </w:rPr>
      </w:pPr>
      <w:r>
        <w:rPr>
          <w:rFonts w:hint="eastAsia" w:hAnsi="宋体"/>
          <w:color w:val="auto"/>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37.5</w:t>
      </w:r>
      <w:r>
        <w:rPr>
          <w:rFonts w:hint="eastAsia" w:ascii="宋体" w:hAnsi="宋体"/>
          <w:color w:val="auto"/>
          <w:sz w:val="24"/>
          <w:highlight w:val="none"/>
        </w:rPr>
        <w:t>评标委员会按照第二章“开标、评标及定标办法”规定的方法、评审因素、标准和程序对投标文件进行评审。第三章“开标、评标及定标办法”没有规定的方法、评审因素和标准，不作为评标依据。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highlight w:val="none"/>
        </w:rPr>
        <w:t>37.6</w:t>
      </w:r>
      <w:r>
        <w:rPr>
          <w:rFonts w:hint="eastAsia" w:ascii="宋体" w:hAnsi="宋体"/>
          <w:color w:val="auto"/>
          <w:sz w:val="24"/>
          <w:szCs w:val="24"/>
          <w:highlight w:val="none"/>
        </w:rPr>
        <w:t>评标结束后，评标委员会递交评标报告并依法推荐中标候选人。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对同类问题表述不一致，有明显格式或文字、计算错误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依法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r>
        <w:rPr>
          <w:rFonts w:hint="eastAsia" w:ascii="宋体" w:hAnsi="宋体"/>
          <w:strike/>
          <w:color w:val="auto"/>
          <w:sz w:val="24"/>
          <w:szCs w:val="24"/>
          <w:highlight w:val="none"/>
        </w:rPr>
        <w:t>采用评定分离方式确定中标人的从其规定。</w:t>
      </w:r>
      <w:r>
        <w:rPr>
          <w:rFonts w:hint="eastAsia" w:ascii="宋体" w:hAnsi="宋体"/>
          <w:color w:val="auto"/>
          <w:sz w:val="24"/>
          <w:szCs w:val="24"/>
          <w:highlight w:val="none"/>
        </w:rPr>
        <w:t>若发现委派的项目负责人已在其他在建项目中任职，不符合任职数量规定时，招标人可以确定排名第二的中标候选人为中标人。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39.6有效投标不足3个的，评标委员会应当对投标是否明显缺乏竞争和是否需要否决全部投标进行充分论证，并在评标报告中记载论证过程和结果。</w:t>
      </w:r>
    </w:p>
    <w:p>
      <w:pPr>
        <w:pStyle w:val="20"/>
        <w:rPr>
          <w:rFonts w:hAnsi="宋体"/>
          <w:color w:val="auto"/>
          <w:sz w:val="24"/>
          <w:szCs w:val="24"/>
          <w:highlight w:val="none"/>
        </w:rPr>
      </w:pPr>
      <w:r>
        <w:rPr>
          <w:rFonts w:hint="eastAsia" w:hAnsi="宋体"/>
          <w:color w:val="auto"/>
          <w:sz w:val="24"/>
          <w:szCs w:val="24"/>
          <w:highlight w:val="none"/>
        </w:rPr>
        <w:t xml:space="preserve">    </w:t>
      </w:r>
      <w:r>
        <w:rPr>
          <w:rFonts w:hint="eastAsia" w:ascii="楷体" w:hAnsi="楷体" w:eastAsia="楷体" w:cs="楷体"/>
          <w:color w:val="auto"/>
          <w:sz w:val="24"/>
          <w:szCs w:val="24"/>
          <w:highlight w:val="none"/>
        </w:rPr>
        <w:t>注：采用评定分离方式的，招标人应在招标文件中明确定标方式。</w:t>
      </w:r>
    </w:p>
    <w:p>
      <w:pPr>
        <w:rPr>
          <w:color w:val="auto"/>
          <w:highlight w:val="none"/>
        </w:rPr>
      </w:pPr>
    </w:p>
    <w:p>
      <w:pPr>
        <w:pStyle w:val="20"/>
        <w:jc w:val="center"/>
        <w:rPr>
          <w:rStyle w:val="46"/>
          <w:b/>
          <w:color w:val="auto"/>
          <w:sz w:val="28"/>
          <w:szCs w:val="28"/>
          <w:highlight w:val="none"/>
        </w:rPr>
      </w:pPr>
      <w:bookmarkStart w:id="59" w:name="_Toc2272558"/>
      <w:bookmarkStart w:id="60" w:name="_Toc31469"/>
      <w:bookmarkStart w:id="61" w:name="_Toc21525502"/>
      <w:bookmarkStart w:id="62" w:name="_Toc16793"/>
      <w:r>
        <w:rPr>
          <w:rStyle w:val="46"/>
          <w:rFonts w:hint="eastAsia"/>
          <w:b/>
          <w:bCs/>
          <w:color w:val="auto"/>
          <w:sz w:val="28"/>
          <w:szCs w:val="28"/>
          <w:highlight w:val="none"/>
        </w:rPr>
        <w:t>（二）开标评标办法程序和细则</w:t>
      </w:r>
      <w:bookmarkEnd w:id="59"/>
      <w:bookmarkEnd w:id="60"/>
      <w:bookmarkEnd w:id="61"/>
      <w:bookmarkStart w:id="63" w:name="_Toc7116"/>
    </w:p>
    <w:bookmarkEnd w:id="62"/>
    <w:p>
      <w:pPr>
        <w:spacing w:before="156" w:after="156"/>
        <w:ind w:firstLine="482" w:firstLineChars="200"/>
        <w:rPr>
          <w:b/>
          <w:bCs/>
          <w:color w:val="auto"/>
          <w:sz w:val="24"/>
          <w:szCs w:val="24"/>
          <w:highlight w:val="none"/>
        </w:rPr>
      </w:pPr>
      <w:bookmarkStart w:id="64" w:name="_Toc2272564"/>
      <w:bookmarkStart w:id="65" w:name="_Toc9750"/>
      <w:r>
        <w:rPr>
          <w:rFonts w:hint="eastAsia"/>
          <w:b/>
          <w:bCs/>
          <w:color w:val="auto"/>
          <w:sz w:val="24"/>
          <w:szCs w:val="24"/>
          <w:highlight w:val="none"/>
        </w:rPr>
        <w:t>可选办法七（适合综合评分法四，技术标与经济标同时开启）</w:t>
      </w:r>
      <w:bookmarkEnd w:id="64"/>
      <w:bookmarkEnd w:id="65"/>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40.1投标人递交技术标、经济标投标文件；</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40.2</w:t>
      </w:r>
      <w:r>
        <w:rPr>
          <w:rFonts w:hint="eastAsia" w:ascii="宋体"/>
          <w:color w:val="auto"/>
          <w:sz w:val="24"/>
          <w:szCs w:val="24"/>
          <w:highlight w:val="none"/>
        </w:rPr>
        <w:t>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40.3由招标人随机抽取确定该工程计算评标参考价的等分点值X（适用于区间抽取法）；</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40.7经济标的算术校核；</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40.8经济标详细审查评分；</w:t>
      </w:r>
      <w:r>
        <w:rPr>
          <w:rFonts w:ascii="宋体"/>
          <w:color w:val="auto"/>
          <w:sz w:val="24"/>
          <w:szCs w:val="24"/>
          <w:highlight w:val="none"/>
        </w:rPr>
        <w:t xml:space="preserve">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40.9评标委员会按照投标人总得分由高至低排序；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40.10经济标投标文件有效性审查；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40.11评标委员会按排序向招标人推荐中标候选人名单，并递交资格审查报告及评标报告。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w:t>
      </w:r>
      <w:r>
        <w:rPr>
          <w:rFonts w:hint="eastAsia" w:ascii="宋体" w:hAnsi="宋体" w:cs="宋体"/>
          <w:b/>
          <w:bCs/>
          <w:color w:val="auto"/>
          <w:sz w:val="24"/>
          <w:szCs w:val="24"/>
          <w:highlight w:val="none"/>
          <w:u w:val="single"/>
        </w:rPr>
        <w:t>招标人或招标代理</w:t>
      </w:r>
      <w:r>
        <w:rPr>
          <w:rFonts w:hint="eastAsia" w:ascii="宋体"/>
          <w:color w:val="auto"/>
          <w:sz w:val="24"/>
          <w:szCs w:val="24"/>
          <w:highlight w:val="none"/>
        </w:rPr>
        <w:t>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hAnsi="宋体" w:cs="宋体"/>
          <w:b/>
          <w:bCs/>
          <w:color w:val="auto"/>
          <w:sz w:val="24"/>
          <w:szCs w:val="24"/>
          <w:highlight w:val="none"/>
          <w:u w:val="single"/>
        </w:rPr>
        <w:t>广州交易集团有限公司（广州公共资源交易中心）</w:t>
      </w:r>
      <w:r>
        <w:rPr>
          <w:rFonts w:hint="eastAsia" w:ascii="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w:t>
      </w:r>
      <w:r>
        <w:rPr>
          <w:rFonts w:hint="eastAsia" w:ascii="宋体" w:hAnsi="宋体"/>
          <w:color w:val="auto"/>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41.2.3按36.5.1的规定完成解密后，公布下列内容，并予以记录，记录提交评标委员会评审：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41.2.3.1开标时，公布：</w:t>
      </w:r>
      <w:r>
        <w:rPr>
          <w:rFonts w:hint="eastAsia" w:ascii="宋体" w:hAnsi="宋体"/>
          <w:color w:val="auto"/>
          <w:sz w:val="24"/>
          <w:szCs w:val="24"/>
          <w:highlight w:val="none"/>
        </w:rPr>
        <w:t>a、投标人名称；</w:t>
      </w:r>
      <w:r>
        <w:rPr>
          <w:rFonts w:ascii="宋体" w:hAnsi="宋体"/>
          <w:color w:val="auto"/>
          <w:sz w:val="24"/>
          <w:szCs w:val="24"/>
          <w:highlight w:val="none"/>
        </w:rPr>
        <w:t>b</w:t>
      </w:r>
      <w:r>
        <w:rPr>
          <w:rFonts w:hint="eastAsia" w:ascii="宋体" w:hAnsi="宋体"/>
          <w:color w:val="auto"/>
          <w:sz w:val="24"/>
          <w:szCs w:val="24"/>
          <w:highlight w:val="none"/>
        </w:rPr>
        <w:t>、投标文件递交情况</w:t>
      </w:r>
      <w:r>
        <w:rPr>
          <w:rFonts w:ascii="宋体" w:hAnsi="宋体"/>
          <w:color w:val="auto"/>
          <w:sz w:val="24"/>
          <w:szCs w:val="24"/>
          <w:highlight w:val="none"/>
        </w:rPr>
        <w:t>c</w:t>
      </w:r>
      <w:r>
        <w:rPr>
          <w:rFonts w:hint="eastAsia" w:ascii="宋体" w:hAnsi="宋体"/>
          <w:color w:val="auto"/>
          <w:sz w:val="24"/>
          <w:szCs w:val="24"/>
          <w:highlight w:val="none"/>
        </w:rPr>
        <w:t>、</w:t>
      </w:r>
      <w:r>
        <w:rPr>
          <w:rFonts w:hint="eastAsia" w:ascii="宋体" w:hAnsi="宋体"/>
          <w:color w:val="auto"/>
          <w:sz w:val="24"/>
          <w:highlight w:val="none"/>
        </w:rPr>
        <w:t>投标文件解</w:t>
      </w:r>
      <w:r>
        <w:rPr>
          <w:rFonts w:hint="eastAsia" w:ascii="宋体" w:hAnsi="宋体"/>
          <w:color w:val="auto"/>
          <w:sz w:val="24"/>
          <w:szCs w:val="24"/>
          <w:highlight w:val="none"/>
        </w:rPr>
        <w:t>密情况；</w:t>
      </w:r>
      <w:r>
        <w:rPr>
          <w:rFonts w:ascii="宋体" w:hAnsi="宋体"/>
          <w:color w:val="auto"/>
          <w:sz w:val="24"/>
          <w:szCs w:val="24"/>
          <w:highlight w:val="none"/>
        </w:rPr>
        <w:t>d</w:t>
      </w:r>
      <w:r>
        <w:rPr>
          <w:rFonts w:hint="eastAsia" w:ascii="宋体" w:hAnsi="宋体"/>
          <w:color w:val="auto"/>
          <w:sz w:val="24"/>
          <w:szCs w:val="24"/>
          <w:highlight w:val="none"/>
        </w:rPr>
        <w:t>、法定代表人证明及授权委托；</w:t>
      </w:r>
      <w:r>
        <w:rPr>
          <w:rFonts w:ascii="宋体" w:hAnsi="宋体"/>
          <w:strike/>
          <w:color w:val="auto"/>
          <w:sz w:val="24"/>
          <w:szCs w:val="24"/>
          <w:highlight w:val="none"/>
        </w:rPr>
        <w:t>e</w:t>
      </w:r>
      <w:r>
        <w:rPr>
          <w:rFonts w:hint="eastAsia" w:ascii="宋体" w:hAnsi="宋体"/>
          <w:strike/>
          <w:color w:val="auto"/>
          <w:sz w:val="24"/>
          <w:szCs w:val="24"/>
          <w:highlight w:val="none"/>
        </w:rPr>
        <w:t>、投标保证金；</w:t>
      </w:r>
      <w:r>
        <w:rPr>
          <w:rFonts w:hint="eastAsia" w:ascii="宋体" w:hAnsi="宋体"/>
          <w:color w:val="auto"/>
          <w:sz w:val="24"/>
          <w:szCs w:val="24"/>
          <w:highlight w:val="none"/>
        </w:rPr>
        <w:t>f、项目经理（负责人）名称；</w:t>
      </w:r>
      <w:r>
        <w:rPr>
          <w:rFonts w:ascii="宋体" w:hAnsi="宋体"/>
          <w:color w:val="auto"/>
          <w:sz w:val="24"/>
          <w:szCs w:val="24"/>
          <w:highlight w:val="none"/>
        </w:rPr>
        <w:t>f</w:t>
      </w:r>
      <w:r>
        <w:rPr>
          <w:rFonts w:hint="eastAsia" w:ascii="宋体" w:hAnsi="宋体"/>
          <w:color w:val="auto"/>
          <w:sz w:val="24"/>
          <w:szCs w:val="24"/>
          <w:highlight w:val="none"/>
        </w:rPr>
        <w:t>、投标报价等</w:t>
      </w:r>
      <w:r>
        <w:rPr>
          <w:rFonts w:hint="eastAsia" w:ascii="宋体"/>
          <w:color w:val="auto"/>
          <w:sz w:val="24"/>
          <w:szCs w:val="24"/>
          <w:highlight w:val="none"/>
        </w:rPr>
        <w:t>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41.2.3.2由招标人随机抽取确定该工程计算评标参考价的等分点值X。</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一  </w:t>
      </w:r>
      <w:r>
        <w:rPr>
          <w:rFonts w:hint="eastAsia" w:ascii="宋体"/>
          <w:color w:val="auto"/>
          <w:sz w:val="24"/>
          <w:szCs w:val="24"/>
          <w:highlight w:val="none"/>
        </w:rPr>
        <w:t>。</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pPr>
        <w:pStyle w:val="5"/>
        <w:tabs>
          <w:tab w:val="left" w:pos="7380"/>
        </w:tabs>
        <w:snapToGrid w:val="0"/>
        <w:spacing w:after="0" w:line="360" w:lineRule="auto"/>
        <w:rPr>
          <w:rFonts w:ascii="宋体"/>
          <w:strike/>
          <w:color w:val="auto"/>
          <w:sz w:val="24"/>
          <w:szCs w:val="24"/>
          <w:highlight w:val="none"/>
        </w:rPr>
      </w:pPr>
      <w:r>
        <w:rPr>
          <w:rFonts w:hint="eastAsia" w:ascii="宋体"/>
          <w:strike/>
          <w:color w:val="auto"/>
          <w:sz w:val="24"/>
          <w:szCs w:val="24"/>
          <w:highlight w:val="none"/>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43.6资格审查合格的投标人少于3名的（当N个标段同时招标且不允许兼中时，资格审查合格的投标人少于N+2名），则本项目招标失败，由招标人依法重新招标。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当N个标段同时招标且不允许兼中时，通过技术标有效性审查投标人应≥N+2）</w:t>
      </w:r>
      <w:r>
        <w:rPr>
          <w:rFonts w:hint="eastAsia" w:ascii="宋体"/>
          <w:color w:val="auto"/>
          <w:sz w:val="24"/>
          <w:szCs w:val="24"/>
          <w:highlight w:val="none"/>
        </w:rPr>
        <w:t>，由招标人依法重新招标</w:t>
      </w:r>
      <w:r>
        <w:rPr>
          <w:rFonts w:hint="eastAsia" w:ascii="宋体" w:hAnsi="宋体"/>
          <w:color w:val="auto"/>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5.</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5.</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5.</w:t>
      </w:r>
      <w:r>
        <w:rPr>
          <w:rFonts w:ascii="宋体" w:hAnsi="宋体"/>
          <w:color w:val="auto"/>
          <w:sz w:val="24"/>
          <w:szCs w:val="24"/>
          <w:highlight w:val="none"/>
        </w:rPr>
        <w:t>8</w:t>
      </w:r>
      <w:r>
        <w:rPr>
          <w:rFonts w:hint="eastAsia" w:ascii="宋体" w:hAnsi="宋体"/>
          <w:color w:val="auto"/>
          <w:sz w:val="24"/>
          <w:szCs w:val="24"/>
          <w:highlight w:val="none"/>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w:t>
      </w:r>
      <w:r>
        <w:rPr>
          <w:rFonts w:hint="eastAsia" w:ascii="宋体" w:hAnsi="宋体"/>
          <w:strike/>
          <w:color w:val="auto"/>
          <w:sz w:val="24"/>
          <w:szCs w:val="24"/>
          <w:highlight w:val="none"/>
        </w:rPr>
        <w:t>，并且其投标保证金也将不予退还</w:t>
      </w:r>
      <w:r>
        <w:rPr>
          <w:rFonts w:hint="eastAsia" w:ascii="宋体" w:hAnsi="宋体"/>
          <w:color w:val="auto"/>
          <w:sz w:val="24"/>
          <w:szCs w:val="24"/>
          <w:highlight w:val="none"/>
        </w:rPr>
        <w:t>。</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46．经济标评审和得分汇总</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46.1若通过技术标有效性审查的投标人中所有投标报价均大于等于最高投标限价，则本项目招标失败，由招标人依法重新招标。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46.2按以下方法计算评标参考价：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w:t>
      </w:r>
      <w:r>
        <w:rPr>
          <w:rFonts w:hint="eastAsia" w:ascii="宋体" w:hAnsi="宋体" w:cs="宋体"/>
          <w:b/>
          <w:bCs/>
          <w:color w:val="auto"/>
          <w:sz w:val="24"/>
          <w:szCs w:val="24"/>
          <w:highlight w:val="none"/>
          <w:u w:val="single"/>
        </w:rPr>
        <w:t>技术标得分85分</w:t>
      </w:r>
      <w:r>
        <w:rPr>
          <w:rFonts w:hint="eastAsia" w:ascii="宋体" w:hAnsi="宋体" w:cs="仿宋"/>
          <w:color w:val="auto"/>
          <w:sz w:val="24"/>
          <w:szCs w:val="24"/>
          <w:highlight w:val="none"/>
        </w:rPr>
        <w:t>），达到或超过及格线的投标人的报价方能参与评标参考价的计算。将达到或超过技术标及格分数线的投标报价由低至高进行排列，按以下公式计算评标参考价，计算公式如下：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w:t>
      </w:r>
      <w:r>
        <w:rPr>
          <w:rFonts w:hint="eastAsia" w:ascii="宋体" w:hAnsi="宋体" w:cs="仿宋"/>
          <w:color w:val="auto"/>
          <w:sz w:val="24"/>
          <w:szCs w:val="24"/>
          <w:highlight w:val="none"/>
          <w:u w:val="single"/>
        </w:rPr>
        <w:t>为最高投标限价*D%（D的取值范围为[</w:t>
      </w:r>
      <w:r>
        <w:rPr>
          <w:rFonts w:hint="eastAsia" w:ascii="宋体" w:hAnsi="宋体" w:cs="仿宋"/>
          <w:b/>
          <w:bCs/>
          <w:color w:val="auto"/>
          <w:sz w:val="24"/>
          <w:szCs w:val="24"/>
          <w:highlight w:val="none"/>
          <w:u w:val="single"/>
        </w:rPr>
        <w:t>100</w:t>
      </w:r>
      <w:r>
        <w:rPr>
          <w:rFonts w:hint="eastAsia" w:ascii="宋体" w:hAnsi="宋体" w:cs="仿宋"/>
          <w:color w:val="auto"/>
          <w:sz w:val="24"/>
          <w:szCs w:val="24"/>
          <w:highlight w:val="none"/>
          <w:u w:val="single"/>
        </w:rPr>
        <w:t>]），具体金额为14532212.44元。</w:t>
      </w:r>
    </w:p>
    <w:p>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46.3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46.4</w:t>
      </w:r>
      <w:r>
        <w:rPr>
          <w:rFonts w:hint="eastAsia" w:ascii="宋体"/>
          <w:color w:val="auto"/>
          <w:sz w:val="24"/>
          <w:szCs w:val="24"/>
          <w:highlight w:val="none"/>
          <w:u w:val="single"/>
        </w:rPr>
        <w:t>计算通过技术标有效性审查的投标人总得分。</w:t>
      </w:r>
      <w:r>
        <w:rPr>
          <w:rFonts w:hint="eastAsia" w:ascii="宋体" w:hAnsi="宋体" w:cs="宋体"/>
          <w:b/>
          <w:bCs/>
          <w:color w:val="auto"/>
          <w:sz w:val="24"/>
          <w:szCs w:val="24"/>
          <w:highlight w:val="none"/>
          <w:u w:val="single"/>
        </w:rPr>
        <w:t>投标人总得分（满分100分）=技术得分（100分）×技术得分权重（20%）＋经济得分(100分)×经济得分权重（80%）。</w:t>
      </w:r>
      <w:r>
        <w:rPr>
          <w:rFonts w:hint="eastAsia" w:ascii="宋体"/>
          <w:color w:val="auto"/>
          <w:sz w:val="24"/>
          <w:szCs w:val="24"/>
          <w:highlight w:val="none"/>
        </w:rPr>
        <w:t>技术、经济得分权重按投标须知前附表的规定执行。总得分四舍五入保留两位小数。</w:t>
      </w:r>
      <w:r>
        <w:rPr>
          <w:rFonts w:hint="eastAsia" w:ascii="宋体"/>
          <w:color w:val="auto"/>
          <w:sz w:val="24"/>
          <w:szCs w:val="24"/>
          <w:highlight w:val="none"/>
        </w:rPr>
        <w:br w:type="textWrapping"/>
      </w:r>
      <w:r>
        <w:rPr>
          <w:rFonts w:hint="eastAsia" w:ascii="宋体"/>
          <w:color w:val="auto"/>
          <w:sz w:val="24"/>
          <w:szCs w:val="24"/>
          <w:highlight w:val="none"/>
        </w:rPr>
        <w:t xml:space="preserve">   </w:t>
      </w:r>
      <w:r>
        <w:rPr>
          <w:rFonts w:hint="eastAsia" w:ascii="宋体"/>
          <w:b/>
          <w:bCs/>
          <w:color w:val="auto"/>
          <w:sz w:val="24"/>
          <w:szCs w:val="24"/>
          <w:highlight w:val="none"/>
          <w:u w:val="single"/>
        </w:rPr>
        <w:t xml:space="preserve"> </w:t>
      </w:r>
      <w:r>
        <w:rPr>
          <w:rFonts w:hint="eastAsia" w:ascii="宋体" w:hAnsi="宋体" w:cs="宋体"/>
          <w:b/>
          <w:bCs/>
          <w:color w:val="auto"/>
          <w:sz w:val="24"/>
          <w:szCs w:val="24"/>
          <w:highlight w:val="none"/>
          <w:u w:val="single"/>
        </w:rPr>
        <w:t>46.5总得分相同的，以技术标得分较高的排前；总得分与技术标得分均相同的投标文件，则对具有相同情况的投标人，按中标候选人数量规定，由评标委员会采用随机抽取方式，确定中标候选人的排序。随机方式确定排序的具体操作步骤为：由评标会对出现该情况的投标人进行编号，然后通过记名投票方式，以得票多的排前确定排序。</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47.经济标的有效性审查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47.1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48.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50.若通过经济标有效性审查的投标人不足三家，则本项目招标失败，由招标人依法重新招标（当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个标段同时招标且不允许兼中时，有效投标人应≥</w:t>
      </w:r>
      <w:r>
        <w:rPr>
          <w:rFonts w:ascii="宋体" w:hAnsi="宋体"/>
          <w:color w:val="auto"/>
          <w:sz w:val="24"/>
          <w:szCs w:val="24"/>
          <w:highlight w:val="none"/>
        </w:rPr>
        <w:t>N+2</w:t>
      </w:r>
      <w:r>
        <w:rPr>
          <w:rFonts w:hint="eastAsia" w:ascii="宋体" w:hAnsi="宋体"/>
          <w:color w:val="auto"/>
          <w:sz w:val="24"/>
          <w:szCs w:val="24"/>
          <w:highlight w:val="none"/>
        </w:rPr>
        <w:t>家）。</w:t>
      </w:r>
    </w:p>
    <w:p>
      <w:pPr>
        <w:spacing w:before="156" w:after="156"/>
        <w:ind w:firstLine="482" w:firstLineChars="200"/>
        <w:rPr>
          <w:b/>
          <w:bCs/>
          <w:color w:val="auto"/>
          <w:sz w:val="24"/>
          <w:szCs w:val="24"/>
          <w:highlight w:val="none"/>
        </w:rPr>
      </w:pPr>
      <w:bookmarkStart w:id="66" w:name="_Toc31037"/>
    </w:p>
    <w:bookmarkEnd w:id="63"/>
    <w:bookmarkEnd w:id="66"/>
    <w:p>
      <w:pPr>
        <w:widowControl/>
        <w:snapToGrid w:val="0"/>
        <w:spacing w:line="360" w:lineRule="auto"/>
        <w:ind w:right="102"/>
        <w:jc w:val="left"/>
        <w:rPr>
          <w:rFonts w:ascii="宋体" w:hAnsi="宋体"/>
          <w:color w:val="auto"/>
          <w:sz w:val="28"/>
          <w:szCs w:val="28"/>
          <w:highlight w:val="none"/>
        </w:rPr>
      </w:pPr>
    </w:p>
    <w:p>
      <w:pPr>
        <w:widowControl/>
        <w:snapToGrid w:val="0"/>
        <w:spacing w:line="360" w:lineRule="auto"/>
        <w:ind w:right="102"/>
        <w:jc w:val="left"/>
        <w:rPr>
          <w:rFonts w:ascii="宋体" w:hAnsi="宋体"/>
          <w:color w:val="auto"/>
          <w:sz w:val="28"/>
          <w:szCs w:val="28"/>
          <w:highlight w:val="none"/>
        </w:rPr>
      </w:pPr>
    </w:p>
    <w:p>
      <w:pPr>
        <w:widowControl/>
        <w:snapToGrid w:val="0"/>
        <w:spacing w:line="360" w:lineRule="auto"/>
        <w:ind w:right="102"/>
        <w:jc w:val="left"/>
        <w:rPr>
          <w:rFonts w:ascii="宋体" w:hAnsi="宋体"/>
          <w:color w:val="auto"/>
          <w:sz w:val="28"/>
          <w:szCs w:val="28"/>
          <w:highlight w:val="none"/>
        </w:rPr>
      </w:pPr>
    </w:p>
    <w:p>
      <w:pPr>
        <w:widowControl/>
        <w:snapToGrid w:val="0"/>
        <w:spacing w:line="360" w:lineRule="auto"/>
        <w:ind w:right="102"/>
        <w:jc w:val="left"/>
        <w:rPr>
          <w:rFonts w:ascii="宋体" w:hAnsi="宋体"/>
          <w:color w:val="auto"/>
          <w:sz w:val="28"/>
          <w:szCs w:val="28"/>
          <w:highlight w:val="none"/>
        </w:rPr>
      </w:pPr>
    </w:p>
    <w:p>
      <w:pPr>
        <w:widowControl/>
        <w:snapToGrid w:val="0"/>
        <w:spacing w:line="360" w:lineRule="auto"/>
        <w:ind w:right="102"/>
        <w:jc w:val="left"/>
        <w:rPr>
          <w:rFonts w:ascii="宋体" w:hAnsi="宋体"/>
          <w:color w:val="auto"/>
          <w:sz w:val="28"/>
          <w:szCs w:val="28"/>
          <w:highlight w:val="none"/>
        </w:rPr>
      </w:pPr>
    </w:p>
    <w:p>
      <w:pPr>
        <w:widowControl/>
        <w:snapToGrid w:val="0"/>
        <w:spacing w:line="360" w:lineRule="auto"/>
        <w:ind w:right="102"/>
        <w:jc w:val="left"/>
        <w:rPr>
          <w:rFonts w:ascii="宋体" w:hAnsi="宋体"/>
          <w:color w:val="auto"/>
          <w:sz w:val="28"/>
          <w:szCs w:val="28"/>
          <w:highlight w:val="none"/>
        </w:rPr>
      </w:pPr>
    </w:p>
    <w:p>
      <w:pPr>
        <w:widowControl/>
        <w:snapToGrid w:val="0"/>
        <w:spacing w:line="360" w:lineRule="auto"/>
        <w:ind w:right="102"/>
        <w:jc w:val="left"/>
        <w:rPr>
          <w:rFonts w:ascii="宋体" w:hAnsi="宋体"/>
          <w:color w:val="auto"/>
          <w:sz w:val="28"/>
          <w:szCs w:val="28"/>
          <w:highlight w:val="none"/>
        </w:rPr>
      </w:pPr>
    </w:p>
    <w:p>
      <w:pPr>
        <w:widowControl/>
        <w:snapToGrid w:val="0"/>
        <w:spacing w:line="360" w:lineRule="auto"/>
        <w:ind w:right="102"/>
        <w:jc w:val="left"/>
        <w:rPr>
          <w:rFonts w:ascii="宋体" w:hAnsi="宋体"/>
          <w:color w:val="auto"/>
          <w:sz w:val="28"/>
          <w:szCs w:val="28"/>
          <w:highlight w:val="none"/>
        </w:rPr>
      </w:pPr>
    </w:p>
    <w:p>
      <w:pPr>
        <w:widowControl/>
        <w:snapToGrid w:val="0"/>
        <w:spacing w:line="360" w:lineRule="auto"/>
        <w:ind w:right="102"/>
        <w:jc w:val="left"/>
        <w:rPr>
          <w:rFonts w:ascii="宋体" w:hAnsi="宋体"/>
          <w:color w:val="auto"/>
          <w:sz w:val="28"/>
          <w:szCs w:val="28"/>
          <w:highlight w:val="none"/>
        </w:rPr>
      </w:pPr>
    </w:p>
    <w:p>
      <w:pPr>
        <w:widowControl/>
        <w:snapToGrid w:val="0"/>
        <w:spacing w:line="360" w:lineRule="auto"/>
        <w:ind w:right="102"/>
        <w:jc w:val="left"/>
        <w:rPr>
          <w:rFonts w:ascii="宋体" w:hAnsi="宋体"/>
          <w:color w:val="auto"/>
          <w:sz w:val="28"/>
          <w:szCs w:val="28"/>
          <w:highlight w:val="none"/>
        </w:rPr>
      </w:pPr>
    </w:p>
    <w:p>
      <w:pPr>
        <w:widowControl/>
        <w:snapToGrid w:val="0"/>
        <w:spacing w:line="360" w:lineRule="auto"/>
        <w:ind w:right="102"/>
        <w:jc w:val="left"/>
        <w:rPr>
          <w:rFonts w:ascii="宋体"/>
          <w:color w:val="auto"/>
          <w:sz w:val="28"/>
          <w:szCs w:val="28"/>
          <w:highlight w:val="none"/>
        </w:rPr>
      </w:pPr>
      <w:r>
        <w:rPr>
          <w:rFonts w:hint="eastAsia" w:ascii="宋体" w:hAnsi="宋体"/>
          <w:color w:val="auto"/>
          <w:sz w:val="28"/>
          <w:szCs w:val="28"/>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招标项目名称：</w:t>
      </w:r>
    </w:p>
    <w:p>
      <w:pPr>
        <w:spacing w:line="480" w:lineRule="auto"/>
        <w:rPr>
          <w:color w:val="auto"/>
          <w:sz w:val="24"/>
          <w:szCs w:val="24"/>
          <w:highlight w:val="none"/>
        </w:rPr>
      </w:pPr>
      <w:r>
        <w:rPr>
          <w:rFonts w:hint="eastAsia"/>
          <w:color w:val="auto"/>
          <w:sz w:val="24"/>
          <w:szCs w:val="24"/>
          <w:highlight w:val="none"/>
        </w:rPr>
        <w:t>投标人名称：</w:t>
      </w:r>
    </w:p>
    <w:tbl>
      <w:tblPr>
        <w:tblStyle w:val="36"/>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884"/>
        <w:gridCol w:w="3294"/>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88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2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128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88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2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128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88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2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营业执照</w:t>
            </w:r>
          </w:p>
        </w:tc>
        <w:tc>
          <w:tcPr>
            <w:tcW w:w="128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88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投标人均持有建设行政主管部门颁发有效期内的企业资质证书及安全生产许可证；投标人资质符合公告要求</w:t>
            </w:r>
          </w:p>
        </w:tc>
        <w:tc>
          <w:tcPr>
            <w:tcW w:w="32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资质证书及安全生产许可证</w:t>
            </w:r>
          </w:p>
        </w:tc>
        <w:tc>
          <w:tcPr>
            <w:tcW w:w="128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88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2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使用有效期内的注册建造师注册证书。</w:t>
            </w:r>
          </w:p>
        </w:tc>
        <w:tc>
          <w:tcPr>
            <w:tcW w:w="128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88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持有项目负责人安全生产考核合格证（B类）或建筑施工企业项目负责人安全生产考核合格证</w:t>
            </w:r>
          </w:p>
        </w:tc>
        <w:tc>
          <w:tcPr>
            <w:tcW w:w="32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项目负责人安全生产考核合格证（B类）或建筑施工企业项目负责人安全生产考核合格证</w:t>
            </w:r>
          </w:p>
        </w:tc>
        <w:tc>
          <w:tcPr>
            <w:tcW w:w="128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6</w:t>
            </w:r>
          </w:p>
        </w:tc>
        <w:tc>
          <w:tcPr>
            <w:tcW w:w="388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u w:val="single"/>
              </w:rPr>
              <w:t>投标人拟担任本工程技术负责人符合公告要求</w:t>
            </w:r>
          </w:p>
        </w:tc>
        <w:tc>
          <w:tcPr>
            <w:tcW w:w="32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u w:val="single"/>
                <w:lang w:bidi="ar"/>
              </w:rPr>
              <w:t>拟委派技术负责人的职称证书</w:t>
            </w:r>
          </w:p>
        </w:tc>
        <w:tc>
          <w:tcPr>
            <w:tcW w:w="128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88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拟配备的专职安全员不少于</w:t>
            </w:r>
            <w:r>
              <w:rPr>
                <w:rFonts w:hint="eastAsia" w:ascii="宋体" w:hAnsi="宋体"/>
                <w:b/>
                <w:bCs/>
                <w:color w:val="auto"/>
                <w:szCs w:val="21"/>
                <w:highlight w:val="none"/>
                <w:u w:val="single"/>
              </w:rPr>
              <w:t>1</w:t>
            </w:r>
            <w:r>
              <w:rPr>
                <w:rFonts w:hint="eastAsia" w:ascii="宋体" w:hAnsi="宋体"/>
                <w:color w:val="auto"/>
                <w:szCs w:val="21"/>
                <w:highlight w:val="none"/>
              </w:rPr>
              <w:t>人，专职安全员须具有安全生产考核合格证（C类）或建筑施工企业专职安全生产管理人员安全生产考核合格证书（C3）</w:t>
            </w:r>
          </w:p>
        </w:tc>
        <w:tc>
          <w:tcPr>
            <w:tcW w:w="32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专职安全员的安全生产考核合格证（</w:t>
            </w:r>
            <w:r>
              <w:rPr>
                <w:rFonts w:ascii="宋体" w:hAnsi="宋体"/>
                <w:color w:val="auto"/>
                <w:szCs w:val="21"/>
                <w:highlight w:val="none"/>
              </w:rPr>
              <w:t>C</w:t>
            </w:r>
            <w:r>
              <w:rPr>
                <w:rFonts w:hint="eastAsia" w:ascii="宋体" w:hAnsi="宋体"/>
                <w:color w:val="auto"/>
                <w:szCs w:val="21"/>
                <w:highlight w:val="none"/>
              </w:rPr>
              <w:t>证）或建筑施工企业专职安全生产管理人员安全生产考核合格证（C3）</w:t>
            </w:r>
          </w:p>
        </w:tc>
        <w:tc>
          <w:tcPr>
            <w:tcW w:w="128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388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2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投标人声明（一）</w:t>
            </w:r>
            <w:r>
              <w:rPr>
                <w:rFonts w:hint="eastAsia" w:ascii="宋体" w:hAnsi="宋体" w:cs="宋体"/>
                <w:color w:val="auto"/>
                <w:szCs w:val="21"/>
                <w:highlight w:val="none"/>
              </w:rPr>
              <w:t>、投标人声明（二）、投标人声明（三）</w:t>
            </w:r>
          </w:p>
        </w:tc>
        <w:tc>
          <w:tcPr>
            <w:tcW w:w="128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88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2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128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88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政府投资项目，在投标截止时间前，</w:t>
            </w:r>
            <w:r>
              <w:rPr>
                <w:rFonts w:ascii="宋体" w:hAnsi="宋体"/>
                <w:color w:val="auto"/>
                <w:szCs w:val="21"/>
                <w:highlight w:val="none"/>
              </w:rPr>
              <w:t>投标人未被列入“</w:t>
            </w:r>
            <w:r>
              <w:rPr>
                <w:rFonts w:hint="eastAsia" w:ascii="宋体" w:hAnsi="宋体"/>
                <w:color w:val="auto"/>
                <w:szCs w:val="21"/>
                <w:highlight w:val="none"/>
              </w:rPr>
              <w:t>失信被执行人</w:t>
            </w:r>
            <w:r>
              <w:rPr>
                <w:rFonts w:ascii="宋体" w:hAnsi="宋体"/>
                <w:color w:val="auto"/>
                <w:szCs w:val="21"/>
                <w:highlight w:val="none"/>
              </w:rPr>
              <w:t>”</w:t>
            </w:r>
            <w:r>
              <w:rPr>
                <w:rFonts w:hint="eastAsia" w:ascii="宋体" w:hAnsi="宋体"/>
                <w:color w:val="auto"/>
                <w:szCs w:val="21"/>
                <w:highlight w:val="none"/>
              </w:rPr>
              <w:t>名单</w:t>
            </w:r>
          </w:p>
        </w:tc>
        <w:tc>
          <w:tcPr>
            <w:tcW w:w="32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投标人无需提供资料，按交易系统比对的结果进行评审</w:t>
            </w:r>
          </w:p>
        </w:tc>
        <w:tc>
          <w:tcPr>
            <w:tcW w:w="128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11</w:t>
            </w:r>
          </w:p>
        </w:tc>
        <w:tc>
          <w:tcPr>
            <w:tcW w:w="388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投标人未出现以下情形：与其它投标人的单位负责人为同一人或者存在控股、管理关系的（按投标人提供的《投标人声明（一）》第八条内容进行评审）</w:t>
            </w:r>
          </w:p>
        </w:tc>
        <w:tc>
          <w:tcPr>
            <w:tcW w:w="32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投标人声明（一）</w:t>
            </w:r>
          </w:p>
        </w:tc>
        <w:tc>
          <w:tcPr>
            <w:tcW w:w="128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12</w:t>
            </w:r>
          </w:p>
        </w:tc>
        <w:tc>
          <w:tcPr>
            <w:tcW w:w="388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未被列入拖欠农民工工资失信联合惩戒对象名单</w:t>
            </w:r>
          </w:p>
        </w:tc>
        <w:tc>
          <w:tcPr>
            <w:tcW w:w="32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投标人无需提供资料，按交易系统比对的结果进行评审</w:t>
            </w:r>
          </w:p>
        </w:tc>
        <w:tc>
          <w:tcPr>
            <w:tcW w:w="128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备注：</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 xml:space="preserve">1、每一项目符合的打“○”，不符合的打“×”； </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2、若评委意见不一致时，则按少数服从多数的原则，作出评审结论。汇总后，出现一个“×”的结论为“不通过”。</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3.不得将文件顺序、明显的格式或文字错误等列为否决投标的情形。评委发现资格审查文件中含义不明确、对同类问题表述不一致、有明显格式或文字、计算错误的，应当要求投标人作必要的澄清、说明后再判定投标人是否通过资格审查，不得直接认定其不通过资格审查。</w:t>
      </w:r>
    </w:p>
    <w:p>
      <w:pPr>
        <w:rPr>
          <w:color w:val="auto"/>
          <w:highlight w:val="none"/>
        </w:rPr>
        <w:sectPr>
          <w:headerReference r:id="rId4" w:type="first"/>
          <w:footerReference r:id="rId6" w:type="first"/>
          <w:headerReference r:id="rId3" w:type="default"/>
          <w:footerReference r:id="rId5" w:type="default"/>
          <w:endnotePr>
            <w:numFmt w:val="decimal"/>
          </w:endnotePr>
          <w:pgSz w:w="11906" w:h="16838"/>
          <w:pgMar w:top="1134" w:right="1418" w:bottom="1247" w:left="1418" w:header="851" w:footer="907" w:gutter="0"/>
          <w:pgNumType w:start="1"/>
          <w:cols w:space="425" w:num="1"/>
          <w:titlePg/>
          <w:docGrid w:type="lines" w:linePitch="312" w:charSpace="0"/>
        </w:sectPr>
      </w:pPr>
    </w:p>
    <w:p>
      <w:pPr>
        <w:rPr>
          <w:color w:val="auto"/>
          <w:sz w:val="28"/>
          <w:szCs w:val="28"/>
          <w:highlight w:val="none"/>
        </w:rPr>
      </w:pPr>
      <w:r>
        <w:rPr>
          <w:rFonts w:hint="eastAsia"/>
          <w:color w:val="auto"/>
          <w:sz w:val="28"/>
          <w:szCs w:val="28"/>
          <w:highlight w:val="none"/>
        </w:rPr>
        <w:t>附表二</w:t>
      </w:r>
    </w:p>
    <w:p>
      <w:pPr>
        <w:jc w:val="center"/>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36"/>
        <w:tblW w:w="14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248"/>
        <w:gridCol w:w="1950"/>
        <w:gridCol w:w="1800"/>
        <w:gridCol w:w="1635"/>
        <w:gridCol w:w="160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5248"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9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524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不能满足完成投标项目工期的；</w:t>
            </w:r>
          </w:p>
        </w:tc>
        <w:tc>
          <w:tcPr>
            <w:tcW w:w="19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524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不符合招标文件及有关技术规格、质量要求、检验标准和方法的；</w:t>
            </w:r>
          </w:p>
        </w:tc>
        <w:tc>
          <w:tcPr>
            <w:tcW w:w="19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524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9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524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9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5</w:t>
            </w:r>
          </w:p>
        </w:tc>
        <w:tc>
          <w:tcPr>
            <w:tcW w:w="524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9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8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3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75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6</w:t>
            </w:r>
          </w:p>
        </w:tc>
        <w:tc>
          <w:tcPr>
            <w:tcW w:w="524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9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7</w:t>
            </w:r>
          </w:p>
        </w:tc>
        <w:tc>
          <w:tcPr>
            <w:tcW w:w="524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投标人与本项目其他投标人加密打包投标文件硬件机器特征码一致的</w:t>
            </w:r>
            <w:r>
              <w:rPr>
                <w:rFonts w:ascii="宋体" w:hAnsi="宋体"/>
                <w:color w:val="auto"/>
                <w:szCs w:val="21"/>
                <w:highlight w:val="none"/>
              </w:rPr>
              <w:t>(以</w:t>
            </w:r>
            <w:r>
              <w:rPr>
                <w:rFonts w:hint="eastAsia" w:ascii="宋体" w:hAnsi="宋体" w:cs="宋体"/>
                <w:color w:val="auto"/>
                <w:szCs w:val="21"/>
                <w:highlight w:val="none"/>
                <w:u w:val="single"/>
                <w:lang w:bidi="ar"/>
              </w:rPr>
              <w:t>广州交易集团有限公司（广州公共资源交易中心）</w:t>
            </w:r>
            <w:r>
              <w:rPr>
                <w:rFonts w:ascii="宋体" w:hAnsi="宋体"/>
                <w:color w:val="auto"/>
                <w:szCs w:val="21"/>
                <w:highlight w:val="none"/>
              </w:rPr>
              <w:t>交易平台评标系统的检索信息为准)</w:t>
            </w:r>
          </w:p>
        </w:tc>
        <w:tc>
          <w:tcPr>
            <w:tcW w:w="19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注：1.本表使用招标文件范本，与范本内容不同之处均以下划线标明。技术标评审中，响应性、承诺性内容不应作为评分因素，可在该表中对上述内容进行符合性审查。审查标准须具备可操作性。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格式或文字、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3.凡出现以上任何一项情形，结论均为无效，否则就为有效。</w:t>
      </w:r>
    </w:p>
    <w:p>
      <w:pPr>
        <w:rPr>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r>
        <w:rPr>
          <w:color w:val="auto"/>
          <w:highlight w:val="none"/>
        </w:rPr>
        <w:br w:type="page"/>
      </w:r>
      <w:r>
        <w:rPr>
          <w:rFonts w:hint="eastAsia"/>
          <w:color w:val="auto"/>
          <w:sz w:val="28"/>
          <w:szCs w:val="28"/>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36"/>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w:t>
            </w:r>
            <w:r>
              <w:rPr>
                <w:rFonts w:hint="eastAsia" w:ascii="宋体" w:hAnsi="宋体" w:cs="宋体"/>
                <w:color w:val="auto"/>
                <w:szCs w:val="21"/>
                <w:highlight w:val="none"/>
                <w:u w:val="single"/>
                <w:lang w:bidi="ar"/>
              </w:rPr>
              <w:t>广州交易集团有限公司（广州公共资源交易中心）</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注：1.本表使用招标文件范本，与范本内容不同之处均以下划线标明。</w:t>
      </w:r>
    </w:p>
    <w:p>
      <w:pPr>
        <w:ind w:firstLine="458"/>
        <w:rPr>
          <w:rFonts w:ascii="宋体" w:hAnsi="宋体"/>
          <w:color w:val="auto"/>
          <w:szCs w:val="21"/>
          <w:highlight w:val="none"/>
        </w:rPr>
      </w:pPr>
      <w:r>
        <w:rPr>
          <w:rFonts w:hint="eastAsia" w:ascii="宋体" w:hAnsi="宋体"/>
          <w:color w:val="auto"/>
          <w:szCs w:val="21"/>
          <w:highlight w:val="none"/>
        </w:rPr>
        <w:t>2.凡出现以上任何一项情形，结论均为无效，否则就为有效。</w:t>
      </w:r>
    </w:p>
    <w:p>
      <w:pPr>
        <w:ind w:firstLine="458"/>
        <w:rPr>
          <w:rFonts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pPr>
        <w:ind w:firstLine="458"/>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格式或文字、计算错误、投标报价可能低于成本影响履约的，应当要求投标人作必要的澄清、说明后再判定投标人是否通过有效性审查，不得直接否决投标。</w:t>
      </w:r>
    </w:p>
    <w:p>
      <w:pPr>
        <w:pStyle w:val="5"/>
        <w:ind w:firstLine="458"/>
        <w:rPr>
          <w:rFonts w:ascii="宋体" w:hAnsi="宋体"/>
          <w:color w:val="auto"/>
          <w:szCs w:val="21"/>
          <w:highlight w:val="none"/>
        </w:rPr>
      </w:pPr>
    </w:p>
    <w:p>
      <w:pPr>
        <w:pStyle w:val="5"/>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color w:val="auto"/>
          <w:szCs w:val="21"/>
          <w:highlight w:val="none"/>
        </w:rPr>
        <w:t>评委签名：</w:t>
      </w:r>
    </w:p>
    <w:p>
      <w:pPr>
        <w:rPr>
          <w:color w:val="auto"/>
          <w:szCs w:val="21"/>
          <w:highlight w:val="none"/>
        </w:rPr>
      </w:pPr>
      <w:r>
        <w:rPr>
          <w:rFonts w:hint="eastAsia"/>
          <w:color w:val="auto"/>
          <w:sz w:val="28"/>
          <w:szCs w:val="28"/>
          <w:highlight w:val="none"/>
        </w:rPr>
        <w:t>附表四</w:t>
      </w:r>
    </w:p>
    <w:p>
      <w:pPr>
        <w:jc w:val="center"/>
        <w:rPr>
          <w:color w:val="auto"/>
          <w:highlight w:val="none"/>
        </w:rPr>
      </w:pPr>
      <w:r>
        <w:rPr>
          <w:rFonts w:hint="eastAsia" w:ascii="宋体" w:hAnsi="宋体" w:cs="宋体"/>
          <w:b/>
          <w:color w:val="auto"/>
          <w:sz w:val="36"/>
          <w:szCs w:val="36"/>
          <w:highlight w:val="none"/>
        </w:rPr>
        <w:t>技术标详细审查评分表</w:t>
      </w:r>
    </w:p>
    <w:p>
      <w:pPr>
        <w:rPr>
          <w:color w:val="auto"/>
          <w:highlight w:val="none"/>
        </w:rPr>
      </w:pPr>
      <w:r>
        <w:rPr>
          <w:rFonts w:hint="eastAsia"/>
          <w:color w:val="auto"/>
          <w:highlight w:val="none"/>
        </w:rPr>
        <w:t>工程名称：</w:t>
      </w:r>
    </w:p>
    <w:tbl>
      <w:tblPr>
        <w:tblStyle w:val="36"/>
        <w:tblW w:w="15210"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795"/>
        <w:gridCol w:w="851"/>
        <w:gridCol w:w="11853"/>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11" w:type="dxa"/>
            <w:tcBorders>
              <w:top w:val="single" w:color="auto" w:sz="8" w:space="0"/>
              <w:left w:val="single" w:color="auto" w:sz="8" w:space="0"/>
              <w:bottom w:val="single" w:color="auto" w:sz="4" w:space="0"/>
              <w:right w:val="single" w:color="auto" w:sz="4" w:space="0"/>
            </w:tcBorders>
            <w:vAlign w:val="center"/>
          </w:tcPr>
          <w:p>
            <w:pPr>
              <w:jc w:val="center"/>
              <w:rPr>
                <w:color w:val="auto"/>
                <w:highlight w:val="none"/>
              </w:rPr>
            </w:pPr>
            <w:r>
              <w:rPr>
                <w:rFonts w:hint="eastAsia"/>
                <w:color w:val="auto"/>
                <w:highlight w:val="none"/>
              </w:rPr>
              <w:t>评分项目</w:t>
            </w:r>
          </w:p>
        </w:tc>
        <w:tc>
          <w:tcPr>
            <w:tcW w:w="1795" w:type="dxa"/>
            <w:tcBorders>
              <w:top w:val="single" w:color="auto" w:sz="8"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评分内容</w:t>
            </w:r>
          </w:p>
        </w:tc>
        <w:tc>
          <w:tcPr>
            <w:tcW w:w="851" w:type="dxa"/>
            <w:tcBorders>
              <w:top w:val="single" w:color="auto" w:sz="8"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分值</w:t>
            </w:r>
          </w:p>
        </w:tc>
        <w:tc>
          <w:tcPr>
            <w:tcW w:w="11853" w:type="dxa"/>
            <w:tcBorders>
              <w:top w:val="single" w:color="auto" w:sz="8"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711" w:type="dxa"/>
            <w:vMerge w:val="restart"/>
            <w:tcBorders>
              <w:top w:val="single" w:color="auto" w:sz="4" w:space="0"/>
              <w:left w:val="single" w:color="auto" w:sz="8" w:space="0"/>
              <w:bottom w:val="single" w:color="auto" w:sz="4" w:space="0"/>
              <w:right w:val="single" w:color="auto" w:sz="4" w:space="0"/>
            </w:tcBorders>
            <w:vAlign w:val="center"/>
          </w:tcPr>
          <w:p>
            <w:pPr>
              <w:rPr>
                <w:color w:val="auto"/>
                <w:highlight w:val="none"/>
              </w:rPr>
            </w:pPr>
            <w:r>
              <w:rPr>
                <w:rStyle w:val="118"/>
                <w:color w:val="auto"/>
                <w:szCs w:val="21"/>
                <w:highlight w:val="none"/>
              </w:rPr>
              <w:t>项目管理机构能力</w:t>
            </w:r>
            <w:r>
              <w:rPr>
                <w:rStyle w:val="118"/>
                <w:color w:val="auto"/>
                <w:szCs w:val="21"/>
                <w:highlight w:val="none"/>
                <w:lang w:eastAsia="zh-TW"/>
              </w:rPr>
              <w:t>(</w:t>
            </w:r>
            <w:r>
              <w:rPr>
                <w:rStyle w:val="118"/>
                <w:color w:val="auto"/>
                <w:szCs w:val="21"/>
                <w:highlight w:val="none"/>
                <w:lang w:val="en-US"/>
              </w:rPr>
              <w:t>70</w:t>
            </w:r>
            <w:r>
              <w:rPr>
                <w:rStyle w:val="118"/>
                <w:color w:val="auto"/>
                <w:szCs w:val="21"/>
                <w:highlight w:val="none"/>
              </w:rPr>
              <w:t>分</w:t>
            </w:r>
            <w:r>
              <w:rPr>
                <w:rStyle w:val="118"/>
                <w:color w:val="auto"/>
                <w:szCs w:val="21"/>
                <w:highlight w:val="none"/>
                <w:lang w:eastAsia="zh-TW"/>
              </w:rPr>
              <w:t>)</w:t>
            </w:r>
          </w:p>
        </w:tc>
        <w:tc>
          <w:tcPr>
            <w:tcW w:w="1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color w:val="auto"/>
                <w:highlight w:val="none"/>
              </w:rPr>
            </w:pPr>
            <w:r>
              <w:rPr>
                <w:rFonts w:hint="eastAsia" w:ascii="宋体" w:hAnsi="宋体" w:cs="宋体"/>
                <w:snapToGrid w:val="0"/>
                <w:color w:val="auto"/>
                <w:highlight w:val="none"/>
              </w:rPr>
              <w:t>技术负责人</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color w:val="auto"/>
                <w:highlight w:val="none"/>
              </w:rPr>
            </w:pPr>
            <w:r>
              <w:rPr>
                <w:rFonts w:hint="eastAsia" w:ascii="宋体" w:hAnsi="宋体" w:cs="宋体"/>
                <w:snapToGrid w:val="0"/>
                <w:color w:val="auto"/>
                <w:highlight w:val="none"/>
              </w:rPr>
              <w:t>10</w:t>
            </w:r>
          </w:p>
        </w:tc>
        <w:tc>
          <w:tcPr>
            <w:tcW w:w="11853" w:type="dxa"/>
            <w:tcBorders>
              <w:top w:val="single" w:color="auto" w:sz="4" w:space="0"/>
              <w:left w:val="single" w:color="auto" w:sz="4" w:space="0"/>
              <w:bottom w:val="single" w:color="auto" w:sz="4" w:space="0"/>
              <w:right w:val="single" w:color="auto" w:sz="4" w:space="0"/>
            </w:tcBorders>
            <w:vAlign w:val="center"/>
          </w:tcPr>
          <w:p>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1</w:t>
            </w:r>
            <w:r>
              <w:rPr>
                <w:rStyle w:val="118"/>
                <w:color w:val="auto"/>
                <w:sz w:val="21"/>
                <w:szCs w:val="21"/>
                <w:highlight w:val="none"/>
              </w:rPr>
              <w:t>）技术负责人自</w:t>
            </w:r>
            <w:r>
              <w:rPr>
                <w:rStyle w:val="118"/>
                <w:color w:val="auto"/>
                <w:sz w:val="21"/>
                <w:szCs w:val="21"/>
                <w:highlight w:val="none"/>
                <w:lang w:eastAsia="zh-TW"/>
              </w:rPr>
              <w:t>2020</w:t>
            </w:r>
            <w:r>
              <w:rPr>
                <w:rStyle w:val="118"/>
                <w:color w:val="auto"/>
                <w:sz w:val="21"/>
                <w:szCs w:val="21"/>
                <w:highlight w:val="none"/>
              </w:rPr>
              <w:t>年</w:t>
            </w:r>
            <w:r>
              <w:rPr>
                <w:rStyle w:val="118"/>
                <w:color w:val="auto"/>
                <w:sz w:val="21"/>
                <w:szCs w:val="21"/>
                <w:highlight w:val="none"/>
                <w:lang w:eastAsia="zh-TW"/>
              </w:rPr>
              <w:t>1</w:t>
            </w:r>
            <w:r>
              <w:rPr>
                <w:rStyle w:val="118"/>
                <w:color w:val="auto"/>
                <w:sz w:val="21"/>
                <w:szCs w:val="21"/>
                <w:highlight w:val="none"/>
              </w:rPr>
              <w:t>月</w:t>
            </w:r>
            <w:r>
              <w:rPr>
                <w:rStyle w:val="118"/>
                <w:color w:val="auto"/>
                <w:sz w:val="21"/>
                <w:szCs w:val="21"/>
                <w:highlight w:val="none"/>
                <w:lang w:eastAsia="zh-TW"/>
              </w:rPr>
              <w:t>1</w:t>
            </w:r>
            <w:r>
              <w:rPr>
                <w:rStyle w:val="118"/>
                <w:color w:val="auto"/>
                <w:sz w:val="21"/>
                <w:szCs w:val="21"/>
                <w:highlight w:val="none"/>
              </w:rPr>
              <w:t>日至今担任过质量合格的类似工程业绩的技术负责人或项目负责人的，得</w:t>
            </w:r>
            <w:r>
              <w:rPr>
                <w:rStyle w:val="118"/>
                <w:color w:val="auto"/>
                <w:sz w:val="21"/>
                <w:szCs w:val="21"/>
                <w:highlight w:val="none"/>
                <w:lang w:eastAsia="zh-TW"/>
              </w:rPr>
              <w:t>7</w:t>
            </w:r>
            <w:r>
              <w:rPr>
                <w:rStyle w:val="118"/>
                <w:color w:val="auto"/>
                <w:sz w:val="21"/>
                <w:szCs w:val="21"/>
                <w:highlight w:val="none"/>
              </w:rPr>
              <w:t>分；不满足上述条件的不得分。</w:t>
            </w:r>
          </w:p>
          <w:p>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2</w:t>
            </w:r>
            <w:r>
              <w:rPr>
                <w:rStyle w:val="118"/>
                <w:color w:val="auto"/>
                <w:sz w:val="21"/>
                <w:szCs w:val="21"/>
                <w:highlight w:val="none"/>
              </w:rPr>
              <w:t>）技术负责人具有</w:t>
            </w:r>
            <w:r>
              <w:rPr>
                <w:rStyle w:val="118"/>
                <w:color w:val="auto"/>
                <w:sz w:val="21"/>
                <w:szCs w:val="21"/>
                <w:highlight w:val="none"/>
                <w:lang w:eastAsia="zh-TW"/>
              </w:rPr>
              <w:t>10</w:t>
            </w:r>
            <w:r>
              <w:rPr>
                <w:rStyle w:val="118"/>
                <w:color w:val="auto"/>
                <w:sz w:val="21"/>
                <w:szCs w:val="21"/>
                <w:highlight w:val="none"/>
              </w:rPr>
              <w:t>年或以上（含</w:t>
            </w:r>
            <w:r>
              <w:rPr>
                <w:rStyle w:val="118"/>
                <w:color w:val="auto"/>
                <w:sz w:val="21"/>
                <w:szCs w:val="21"/>
                <w:highlight w:val="none"/>
                <w:lang w:eastAsia="zh-TW"/>
              </w:rPr>
              <w:t>10</w:t>
            </w:r>
            <w:r>
              <w:rPr>
                <w:rStyle w:val="118"/>
                <w:color w:val="auto"/>
                <w:sz w:val="21"/>
                <w:szCs w:val="21"/>
                <w:highlight w:val="none"/>
              </w:rPr>
              <w:t>年）施工管理工作经验，得</w:t>
            </w:r>
            <w:r>
              <w:rPr>
                <w:rStyle w:val="118"/>
                <w:color w:val="auto"/>
                <w:sz w:val="21"/>
                <w:szCs w:val="21"/>
                <w:highlight w:val="none"/>
                <w:lang w:eastAsia="zh-TW"/>
              </w:rPr>
              <w:t>3</w:t>
            </w:r>
            <w:r>
              <w:rPr>
                <w:rStyle w:val="118"/>
                <w:color w:val="auto"/>
                <w:sz w:val="21"/>
                <w:szCs w:val="21"/>
                <w:highlight w:val="none"/>
              </w:rPr>
              <w:t>分；具有</w:t>
            </w:r>
            <w:r>
              <w:rPr>
                <w:rStyle w:val="118"/>
                <w:color w:val="auto"/>
                <w:sz w:val="21"/>
                <w:szCs w:val="21"/>
                <w:highlight w:val="none"/>
                <w:lang w:eastAsia="zh-TW"/>
              </w:rPr>
              <w:t>5</w:t>
            </w:r>
            <w:r>
              <w:rPr>
                <w:rStyle w:val="118"/>
                <w:color w:val="auto"/>
                <w:sz w:val="21"/>
                <w:szCs w:val="21"/>
                <w:highlight w:val="none"/>
              </w:rPr>
              <w:t>年（含</w:t>
            </w:r>
            <w:r>
              <w:rPr>
                <w:rStyle w:val="118"/>
                <w:color w:val="auto"/>
                <w:sz w:val="21"/>
                <w:szCs w:val="21"/>
                <w:highlight w:val="none"/>
                <w:lang w:eastAsia="zh-TW"/>
              </w:rPr>
              <w:t>5</w:t>
            </w:r>
            <w:r>
              <w:rPr>
                <w:rStyle w:val="118"/>
                <w:color w:val="auto"/>
                <w:sz w:val="21"/>
                <w:szCs w:val="21"/>
                <w:highlight w:val="none"/>
              </w:rPr>
              <w:t>年）至</w:t>
            </w:r>
            <w:r>
              <w:rPr>
                <w:rStyle w:val="118"/>
                <w:color w:val="auto"/>
                <w:sz w:val="21"/>
                <w:szCs w:val="21"/>
                <w:highlight w:val="none"/>
                <w:lang w:eastAsia="zh-TW"/>
              </w:rPr>
              <w:t>10</w:t>
            </w:r>
            <w:r>
              <w:rPr>
                <w:rStyle w:val="118"/>
                <w:color w:val="auto"/>
                <w:sz w:val="21"/>
                <w:szCs w:val="21"/>
                <w:highlight w:val="none"/>
              </w:rPr>
              <w:t>年（不含</w:t>
            </w:r>
            <w:r>
              <w:rPr>
                <w:rStyle w:val="118"/>
                <w:color w:val="auto"/>
                <w:sz w:val="21"/>
                <w:szCs w:val="21"/>
                <w:highlight w:val="none"/>
                <w:lang w:eastAsia="zh-TW"/>
              </w:rPr>
              <w:t>10</w:t>
            </w:r>
            <w:r>
              <w:rPr>
                <w:rStyle w:val="118"/>
                <w:color w:val="auto"/>
                <w:sz w:val="21"/>
                <w:szCs w:val="21"/>
                <w:highlight w:val="none"/>
              </w:rPr>
              <w:t>年）施工管理工作经验，得</w:t>
            </w:r>
            <w:r>
              <w:rPr>
                <w:rStyle w:val="118"/>
                <w:color w:val="auto"/>
                <w:sz w:val="21"/>
                <w:szCs w:val="21"/>
                <w:highlight w:val="none"/>
                <w:lang w:eastAsia="zh-TW"/>
              </w:rPr>
              <w:t>2</w:t>
            </w:r>
            <w:r>
              <w:rPr>
                <w:rStyle w:val="118"/>
                <w:color w:val="auto"/>
                <w:sz w:val="21"/>
                <w:szCs w:val="21"/>
                <w:highlight w:val="none"/>
              </w:rPr>
              <w:t>分；具有</w:t>
            </w:r>
            <w:r>
              <w:rPr>
                <w:rStyle w:val="118"/>
                <w:color w:val="auto"/>
                <w:sz w:val="21"/>
                <w:szCs w:val="21"/>
                <w:highlight w:val="none"/>
                <w:lang w:eastAsia="zh-TW"/>
              </w:rPr>
              <w:t>5</w:t>
            </w:r>
            <w:r>
              <w:rPr>
                <w:rStyle w:val="118"/>
                <w:color w:val="auto"/>
                <w:sz w:val="21"/>
                <w:szCs w:val="21"/>
                <w:highlight w:val="none"/>
              </w:rPr>
              <w:t>年以下施工管理工作经验，得</w:t>
            </w:r>
            <w:r>
              <w:rPr>
                <w:rStyle w:val="118"/>
                <w:color w:val="auto"/>
                <w:sz w:val="21"/>
                <w:szCs w:val="21"/>
                <w:highlight w:val="none"/>
                <w:lang w:eastAsia="zh-TW"/>
              </w:rPr>
              <w:t>1</w:t>
            </w:r>
            <w:r>
              <w:rPr>
                <w:rStyle w:val="118"/>
                <w:color w:val="auto"/>
                <w:sz w:val="21"/>
                <w:szCs w:val="21"/>
                <w:highlight w:val="none"/>
              </w:rPr>
              <w:t>分。</w:t>
            </w:r>
          </w:p>
          <w:p>
            <w:pPr>
              <w:rPr>
                <w:color w:val="auto"/>
                <w:highlight w:val="none"/>
              </w:rPr>
            </w:pPr>
            <w:r>
              <w:rPr>
                <w:rStyle w:val="118"/>
                <w:color w:val="auto"/>
                <w:kern w:val="0"/>
                <w:szCs w:val="21"/>
                <w:highlight w:val="none"/>
              </w:rPr>
              <w:t>备注：须提供曾担任技术负责人或项目负责人的市政项目工程业绩证明文件（中标通知书、合同及竣工验收报告）、毕业证扫描件。未提供证明文件或证明文件不满足上述要求，不计分。本项最高得</w:t>
            </w:r>
            <w:r>
              <w:rPr>
                <w:rStyle w:val="118"/>
                <w:color w:val="auto"/>
                <w:kern w:val="0"/>
                <w:szCs w:val="21"/>
                <w:highlight w:val="none"/>
                <w:lang w:eastAsia="zh-TW"/>
              </w:rPr>
              <w:t>10</w:t>
            </w:r>
            <w:r>
              <w:rPr>
                <w:rStyle w:val="118"/>
                <w:color w:val="auto"/>
                <w:kern w:val="0"/>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11"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color w:val="auto"/>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color w:val="auto"/>
                <w:highlight w:val="none"/>
              </w:rPr>
            </w:pPr>
            <w:r>
              <w:rPr>
                <w:rFonts w:hint="eastAsia" w:ascii="宋体" w:hAnsi="宋体" w:cs="宋体"/>
                <w:snapToGrid w:val="0"/>
                <w:color w:val="auto"/>
                <w:highlight w:val="none"/>
              </w:rPr>
              <w:t>安全负责人</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cs="宋体"/>
                <w:color w:val="auto"/>
                <w:szCs w:val="21"/>
                <w:highlight w:val="none"/>
              </w:rPr>
            </w:pPr>
            <w:r>
              <w:rPr>
                <w:rFonts w:hint="eastAsia" w:ascii="宋体" w:hAnsi="宋体" w:cs="宋体"/>
                <w:snapToGrid w:val="0"/>
                <w:color w:val="auto"/>
                <w:szCs w:val="21"/>
                <w:highlight w:val="none"/>
              </w:rPr>
              <w:t>10</w:t>
            </w:r>
          </w:p>
        </w:tc>
        <w:tc>
          <w:tcPr>
            <w:tcW w:w="11853" w:type="dxa"/>
            <w:tcBorders>
              <w:top w:val="single" w:color="auto" w:sz="4" w:space="0"/>
              <w:left w:val="single" w:color="auto" w:sz="4" w:space="0"/>
              <w:bottom w:val="single" w:color="auto" w:sz="4" w:space="0"/>
              <w:right w:val="single" w:color="auto" w:sz="4" w:space="0"/>
            </w:tcBorders>
            <w:vAlign w:val="center"/>
          </w:tcPr>
          <w:p>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1</w:t>
            </w:r>
            <w:r>
              <w:rPr>
                <w:rStyle w:val="118"/>
                <w:color w:val="auto"/>
                <w:sz w:val="21"/>
                <w:szCs w:val="21"/>
                <w:highlight w:val="none"/>
              </w:rPr>
              <w:t>）安全负责人持有有效期内的注册安全工程师证书，得</w:t>
            </w:r>
            <w:r>
              <w:rPr>
                <w:rStyle w:val="118"/>
                <w:color w:val="auto"/>
                <w:sz w:val="21"/>
                <w:szCs w:val="21"/>
                <w:highlight w:val="none"/>
                <w:lang w:eastAsia="zh-TW"/>
              </w:rPr>
              <w:t>4</w:t>
            </w:r>
            <w:r>
              <w:rPr>
                <w:rStyle w:val="118"/>
                <w:color w:val="auto"/>
                <w:sz w:val="21"/>
                <w:szCs w:val="21"/>
                <w:highlight w:val="none"/>
              </w:rPr>
              <w:t>分；不满足上述条件不得分。</w:t>
            </w:r>
          </w:p>
          <w:p>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2</w:t>
            </w:r>
            <w:r>
              <w:rPr>
                <w:rStyle w:val="118"/>
                <w:color w:val="auto"/>
                <w:sz w:val="21"/>
                <w:szCs w:val="21"/>
                <w:highlight w:val="none"/>
              </w:rPr>
              <w:t>）安全负责人具有省级建设行政主管部门颁发的安全生产考核合格证（</w:t>
            </w:r>
            <w:r>
              <w:rPr>
                <w:rStyle w:val="118"/>
                <w:color w:val="auto"/>
                <w:sz w:val="21"/>
                <w:szCs w:val="21"/>
                <w:highlight w:val="none"/>
                <w:lang w:eastAsia="zh-TW"/>
              </w:rPr>
              <w:t>C</w:t>
            </w:r>
            <w:r>
              <w:rPr>
                <w:rStyle w:val="118"/>
                <w:color w:val="auto"/>
                <w:sz w:val="21"/>
                <w:szCs w:val="21"/>
                <w:highlight w:val="none"/>
              </w:rPr>
              <w:t>类）或建筑施工企业专职安全生产管理人员安全生产考核合格证书（</w:t>
            </w:r>
            <w:r>
              <w:rPr>
                <w:rStyle w:val="118"/>
                <w:color w:val="auto"/>
                <w:sz w:val="21"/>
                <w:szCs w:val="21"/>
                <w:highlight w:val="none"/>
                <w:lang w:eastAsia="zh-TW"/>
              </w:rPr>
              <w:t>C3</w:t>
            </w:r>
            <w:r>
              <w:rPr>
                <w:rStyle w:val="118"/>
                <w:color w:val="auto"/>
                <w:sz w:val="21"/>
                <w:szCs w:val="21"/>
                <w:highlight w:val="none"/>
              </w:rPr>
              <w:t>），得</w:t>
            </w:r>
            <w:r>
              <w:rPr>
                <w:rStyle w:val="118"/>
                <w:color w:val="auto"/>
                <w:sz w:val="21"/>
                <w:szCs w:val="21"/>
                <w:highlight w:val="none"/>
                <w:lang w:eastAsia="zh-TW"/>
              </w:rPr>
              <w:t>3</w:t>
            </w:r>
            <w:r>
              <w:rPr>
                <w:rStyle w:val="118"/>
                <w:color w:val="auto"/>
                <w:sz w:val="21"/>
                <w:szCs w:val="21"/>
                <w:highlight w:val="none"/>
              </w:rPr>
              <w:t>分；不满足上述条件不得分。</w:t>
            </w:r>
          </w:p>
          <w:p>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3</w:t>
            </w:r>
            <w:r>
              <w:rPr>
                <w:rStyle w:val="118"/>
                <w:color w:val="auto"/>
                <w:sz w:val="21"/>
                <w:szCs w:val="21"/>
                <w:highlight w:val="none"/>
              </w:rPr>
              <w:t>）安全负责人具有</w:t>
            </w:r>
            <w:r>
              <w:rPr>
                <w:rStyle w:val="118"/>
                <w:color w:val="auto"/>
                <w:sz w:val="21"/>
                <w:szCs w:val="21"/>
                <w:highlight w:val="none"/>
                <w:lang w:eastAsia="zh-TW"/>
              </w:rPr>
              <w:t>10</w:t>
            </w:r>
            <w:r>
              <w:rPr>
                <w:rStyle w:val="118"/>
                <w:color w:val="auto"/>
                <w:sz w:val="21"/>
                <w:szCs w:val="21"/>
                <w:highlight w:val="none"/>
              </w:rPr>
              <w:t>年或以上（含</w:t>
            </w:r>
            <w:r>
              <w:rPr>
                <w:rStyle w:val="118"/>
                <w:color w:val="auto"/>
                <w:sz w:val="21"/>
                <w:szCs w:val="21"/>
                <w:highlight w:val="none"/>
                <w:lang w:eastAsia="zh-TW"/>
              </w:rPr>
              <w:t>10</w:t>
            </w:r>
            <w:r>
              <w:rPr>
                <w:rStyle w:val="118"/>
                <w:color w:val="auto"/>
                <w:sz w:val="21"/>
                <w:szCs w:val="21"/>
                <w:highlight w:val="none"/>
              </w:rPr>
              <w:t>年）施工管理工作经验，得</w:t>
            </w:r>
            <w:r>
              <w:rPr>
                <w:rStyle w:val="118"/>
                <w:color w:val="auto"/>
                <w:sz w:val="21"/>
                <w:szCs w:val="21"/>
                <w:highlight w:val="none"/>
                <w:lang w:eastAsia="zh-TW"/>
              </w:rPr>
              <w:t>3</w:t>
            </w:r>
            <w:r>
              <w:rPr>
                <w:rStyle w:val="118"/>
                <w:color w:val="auto"/>
                <w:sz w:val="21"/>
                <w:szCs w:val="21"/>
                <w:highlight w:val="none"/>
              </w:rPr>
              <w:t>分；具有</w:t>
            </w:r>
            <w:r>
              <w:rPr>
                <w:rStyle w:val="118"/>
                <w:color w:val="auto"/>
                <w:sz w:val="21"/>
                <w:szCs w:val="21"/>
                <w:highlight w:val="none"/>
                <w:lang w:eastAsia="zh-TW"/>
              </w:rPr>
              <w:t>5</w:t>
            </w:r>
            <w:r>
              <w:rPr>
                <w:rStyle w:val="118"/>
                <w:color w:val="auto"/>
                <w:sz w:val="21"/>
                <w:szCs w:val="21"/>
                <w:highlight w:val="none"/>
              </w:rPr>
              <w:t>年（含</w:t>
            </w:r>
            <w:r>
              <w:rPr>
                <w:rStyle w:val="118"/>
                <w:color w:val="auto"/>
                <w:sz w:val="21"/>
                <w:szCs w:val="21"/>
                <w:highlight w:val="none"/>
                <w:lang w:eastAsia="zh-TW"/>
              </w:rPr>
              <w:t>5</w:t>
            </w:r>
            <w:r>
              <w:rPr>
                <w:rStyle w:val="118"/>
                <w:color w:val="auto"/>
                <w:sz w:val="21"/>
                <w:szCs w:val="21"/>
                <w:highlight w:val="none"/>
              </w:rPr>
              <w:t>年）至</w:t>
            </w:r>
            <w:r>
              <w:rPr>
                <w:rStyle w:val="118"/>
                <w:color w:val="auto"/>
                <w:sz w:val="21"/>
                <w:szCs w:val="21"/>
                <w:highlight w:val="none"/>
                <w:lang w:eastAsia="zh-TW"/>
              </w:rPr>
              <w:t>10</w:t>
            </w:r>
            <w:r>
              <w:rPr>
                <w:rStyle w:val="118"/>
                <w:color w:val="auto"/>
                <w:sz w:val="21"/>
                <w:szCs w:val="21"/>
                <w:highlight w:val="none"/>
              </w:rPr>
              <w:t>年（不含</w:t>
            </w:r>
            <w:r>
              <w:rPr>
                <w:rStyle w:val="118"/>
                <w:color w:val="auto"/>
                <w:sz w:val="21"/>
                <w:szCs w:val="21"/>
                <w:highlight w:val="none"/>
                <w:lang w:eastAsia="zh-TW"/>
              </w:rPr>
              <w:t>10</w:t>
            </w:r>
            <w:r>
              <w:rPr>
                <w:rStyle w:val="118"/>
                <w:color w:val="auto"/>
                <w:sz w:val="21"/>
                <w:szCs w:val="21"/>
                <w:highlight w:val="none"/>
              </w:rPr>
              <w:t>年）施工管理工作经验，得</w:t>
            </w:r>
            <w:r>
              <w:rPr>
                <w:rStyle w:val="118"/>
                <w:color w:val="auto"/>
                <w:sz w:val="21"/>
                <w:szCs w:val="21"/>
                <w:highlight w:val="none"/>
                <w:lang w:eastAsia="zh-TW"/>
              </w:rPr>
              <w:t>2</w:t>
            </w:r>
            <w:r>
              <w:rPr>
                <w:rStyle w:val="118"/>
                <w:color w:val="auto"/>
                <w:sz w:val="21"/>
                <w:szCs w:val="21"/>
                <w:highlight w:val="none"/>
              </w:rPr>
              <w:t>分；具有</w:t>
            </w:r>
            <w:r>
              <w:rPr>
                <w:rStyle w:val="118"/>
                <w:color w:val="auto"/>
                <w:sz w:val="21"/>
                <w:szCs w:val="21"/>
                <w:highlight w:val="none"/>
                <w:lang w:eastAsia="zh-TW"/>
              </w:rPr>
              <w:t>5</w:t>
            </w:r>
            <w:r>
              <w:rPr>
                <w:rStyle w:val="118"/>
                <w:color w:val="auto"/>
                <w:sz w:val="21"/>
                <w:szCs w:val="21"/>
                <w:highlight w:val="none"/>
              </w:rPr>
              <w:t>年以下施工管理工作经验，得</w:t>
            </w:r>
            <w:r>
              <w:rPr>
                <w:rStyle w:val="118"/>
                <w:color w:val="auto"/>
                <w:sz w:val="21"/>
                <w:szCs w:val="21"/>
                <w:highlight w:val="none"/>
                <w:lang w:eastAsia="zh-TW"/>
              </w:rPr>
              <w:t>1</w:t>
            </w:r>
            <w:r>
              <w:rPr>
                <w:rStyle w:val="118"/>
                <w:color w:val="auto"/>
                <w:sz w:val="21"/>
                <w:szCs w:val="21"/>
                <w:highlight w:val="none"/>
              </w:rPr>
              <w:t>分。</w:t>
            </w:r>
          </w:p>
          <w:p>
            <w:pPr>
              <w:rPr>
                <w:color w:val="auto"/>
                <w:highlight w:val="none"/>
              </w:rPr>
            </w:pPr>
            <w:r>
              <w:rPr>
                <w:rStyle w:val="118"/>
                <w:color w:val="auto"/>
                <w:kern w:val="0"/>
                <w:szCs w:val="21"/>
                <w:highlight w:val="none"/>
              </w:rPr>
              <w:t>备注：须提供注册安全工程师、安全考核</w:t>
            </w:r>
            <w:r>
              <w:rPr>
                <w:rStyle w:val="118"/>
                <w:color w:val="auto"/>
                <w:kern w:val="0"/>
                <w:szCs w:val="21"/>
                <w:highlight w:val="none"/>
                <w:lang w:eastAsia="zh-TW"/>
              </w:rPr>
              <w:t>C</w:t>
            </w:r>
            <w:r>
              <w:rPr>
                <w:rStyle w:val="118"/>
                <w:color w:val="auto"/>
                <w:kern w:val="0"/>
                <w:szCs w:val="21"/>
                <w:highlight w:val="none"/>
              </w:rPr>
              <w:t>证或</w:t>
            </w:r>
            <w:r>
              <w:rPr>
                <w:rStyle w:val="118"/>
                <w:color w:val="auto"/>
                <w:kern w:val="0"/>
                <w:szCs w:val="21"/>
                <w:highlight w:val="none"/>
                <w:lang w:eastAsia="zh-TW"/>
              </w:rPr>
              <w:t>C3</w:t>
            </w:r>
            <w:r>
              <w:rPr>
                <w:rStyle w:val="118"/>
                <w:color w:val="auto"/>
                <w:kern w:val="0"/>
                <w:szCs w:val="21"/>
                <w:highlight w:val="none"/>
              </w:rPr>
              <w:t>证及毕业证扫描件，本项最高得</w:t>
            </w:r>
            <w:r>
              <w:rPr>
                <w:rStyle w:val="118"/>
                <w:color w:val="auto"/>
                <w:kern w:val="0"/>
                <w:szCs w:val="21"/>
                <w:highlight w:val="none"/>
                <w:lang w:eastAsia="zh-TW"/>
              </w:rPr>
              <w:t>10</w:t>
            </w:r>
            <w:r>
              <w:rPr>
                <w:rStyle w:val="118"/>
                <w:color w:val="auto"/>
                <w:kern w:val="0"/>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1"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color w:val="auto"/>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color w:val="auto"/>
                <w:highlight w:val="none"/>
              </w:rPr>
            </w:pPr>
            <w:r>
              <w:rPr>
                <w:rFonts w:hint="eastAsia" w:ascii="宋体" w:hAnsi="宋体" w:cs="宋体"/>
                <w:snapToGrid w:val="0"/>
                <w:color w:val="auto"/>
                <w:highlight w:val="none"/>
              </w:rPr>
              <w:t>质量负责人</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cs="宋体"/>
                <w:color w:val="auto"/>
                <w:szCs w:val="21"/>
                <w:highlight w:val="none"/>
              </w:rPr>
            </w:pPr>
            <w:r>
              <w:rPr>
                <w:rFonts w:hint="eastAsia" w:ascii="宋体" w:hAnsi="宋体" w:cs="宋体"/>
                <w:snapToGrid w:val="0"/>
                <w:color w:val="auto"/>
                <w:szCs w:val="21"/>
                <w:highlight w:val="none"/>
              </w:rPr>
              <w:t>10</w:t>
            </w:r>
          </w:p>
        </w:tc>
        <w:tc>
          <w:tcPr>
            <w:tcW w:w="11853" w:type="dxa"/>
            <w:tcBorders>
              <w:top w:val="single" w:color="auto" w:sz="4" w:space="0"/>
              <w:left w:val="single" w:color="auto" w:sz="4" w:space="0"/>
              <w:bottom w:val="single" w:color="auto" w:sz="4" w:space="0"/>
              <w:right w:val="single" w:color="auto" w:sz="4" w:space="0"/>
            </w:tcBorders>
            <w:vAlign w:val="center"/>
          </w:tcPr>
          <w:p>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1</w:t>
            </w:r>
            <w:r>
              <w:rPr>
                <w:rStyle w:val="118"/>
                <w:color w:val="auto"/>
                <w:sz w:val="21"/>
                <w:szCs w:val="21"/>
                <w:highlight w:val="none"/>
              </w:rPr>
              <w:t>）拟委派的质量负责人具备质量员岗位证，得</w:t>
            </w:r>
            <w:r>
              <w:rPr>
                <w:rStyle w:val="118"/>
                <w:color w:val="auto"/>
                <w:sz w:val="21"/>
                <w:szCs w:val="21"/>
                <w:highlight w:val="none"/>
                <w:lang w:eastAsia="zh-TW"/>
              </w:rPr>
              <w:t>3</w:t>
            </w:r>
            <w:r>
              <w:rPr>
                <w:rStyle w:val="118"/>
                <w:color w:val="auto"/>
                <w:sz w:val="21"/>
                <w:szCs w:val="21"/>
                <w:highlight w:val="none"/>
              </w:rPr>
              <w:t>分；不满足上述条件不得分。</w:t>
            </w:r>
          </w:p>
          <w:p>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2</w:t>
            </w:r>
            <w:r>
              <w:rPr>
                <w:rStyle w:val="118"/>
                <w:color w:val="auto"/>
                <w:sz w:val="21"/>
                <w:szCs w:val="21"/>
                <w:highlight w:val="none"/>
              </w:rPr>
              <w:t>）质量负责人具有市政工程相关专业高级工程师或以上职称，得</w:t>
            </w:r>
            <w:r>
              <w:rPr>
                <w:rStyle w:val="118"/>
                <w:color w:val="auto"/>
                <w:sz w:val="21"/>
                <w:szCs w:val="21"/>
                <w:highlight w:val="none"/>
                <w:lang w:eastAsia="zh-TW"/>
              </w:rPr>
              <w:t>4</w:t>
            </w:r>
            <w:r>
              <w:rPr>
                <w:rStyle w:val="118"/>
                <w:color w:val="auto"/>
                <w:sz w:val="21"/>
                <w:szCs w:val="21"/>
                <w:highlight w:val="none"/>
              </w:rPr>
              <w:t>分；</w:t>
            </w:r>
            <w:r>
              <w:rPr>
                <w:rStyle w:val="118"/>
                <w:color w:val="auto"/>
                <w:sz w:val="21"/>
                <w:szCs w:val="21"/>
                <w:highlight w:val="none"/>
                <w:lang w:eastAsia="zh-TW"/>
              </w:rPr>
              <w:t>质量负责人具有市政工程相关专业中级工程师职称，得2分；</w:t>
            </w:r>
            <w:r>
              <w:rPr>
                <w:rStyle w:val="118"/>
                <w:color w:val="auto"/>
                <w:sz w:val="21"/>
                <w:szCs w:val="21"/>
                <w:highlight w:val="none"/>
              </w:rPr>
              <w:t>不满足上述条件不得分。</w:t>
            </w:r>
          </w:p>
          <w:p>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3</w:t>
            </w:r>
            <w:r>
              <w:rPr>
                <w:rStyle w:val="118"/>
                <w:color w:val="auto"/>
                <w:sz w:val="21"/>
                <w:szCs w:val="21"/>
                <w:highlight w:val="none"/>
              </w:rPr>
              <w:t>）质量负责人具有</w:t>
            </w:r>
            <w:r>
              <w:rPr>
                <w:rStyle w:val="118"/>
                <w:color w:val="auto"/>
                <w:sz w:val="21"/>
                <w:szCs w:val="21"/>
                <w:highlight w:val="none"/>
                <w:lang w:eastAsia="zh-TW"/>
              </w:rPr>
              <w:t>10</w:t>
            </w:r>
            <w:r>
              <w:rPr>
                <w:rStyle w:val="118"/>
                <w:color w:val="auto"/>
                <w:sz w:val="21"/>
                <w:szCs w:val="21"/>
                <w:highlight w:val="none"/>
              </w:rPr>
              <w:t>年或以上（含</w:t>
            </w:r>
            <w:r>
              <w:rPr>
                <w:rStyle w:val="118"/>
                <w:color w:val="auto"/>
                <w:sz w:val="21"/>
                <w:szCs w:val="21"/>
                <w:highlight w:val="none"/>
                <w:lang w:eastAsia="zh-TW"/>
              </w:rPr>
              <w:t>10</w:t>
            </w:r>
            <w:r>
              <w:rPr>
                <w:rStyle w:val="118"/>
                <w:color w:val="auto"/>
                <w:sz w:val="21"/>
                <w:szCs w:val="21"/>
                <w:highlight w:val="none"/>
              </w:rPr>
              <w:t>年）施工管理工作经验，得</w:t>
            </w:r>
            <w:r>
              <w:rPr>
                <w:rStyle w:val="118"/>
                <w:color w:val="auto"/>
                <w:sz w:val="21"/>
                <w:szCs w:val="21"/>
                <w:highlight w:val="none"/>
                <w:lang w:eastAsia="zh-TW"/>
              </w:rPr>
              <w:t>3</w:t>
            </w:r>
            <w:r>
              <w:rPr>
                <w:rStyle w:val="118"/>
                <w:color w:val="auto"/>
                <w:sz w:val="21"/>
                <w:szCs w:val="21"/>
                <w:highlight w:val="none"/>
              </w:rPr>
              <w:t>分；具有</w:t>
            </w:r>
            <w:r>
              <w:rPr>
                <w:rStyle w:val="118"/>
                <w:color w:val="auto"/>
                <w:sz w:val="21"/>
                <w:szCs w:val="21"/>
                <w:highlight w:val="none"/>
                <w:lang w:eastAsia="zh-TW"/>
              </w:rPr>
              <w:t>5</w:t>
            </w:r>
            <w:r>
              <w:rPr>
                <w:rStyle w:val="118"/>
                <w:color w:val="auto"/>
                <w:sz w:val="21"/>
                <w:szCs w:val="21"/>
                <w:highlight w:val="none"/>
              </w:rPr>
              <w:t>年（含</w:t>
            </w:r>
            <w:r>
              <w:rPr>
                <w:rStyle w:val="118"/>
                <w:color w:val="auto"/>
                <w:sz w:val="21"/>
                <w:szCs w:val="21"/>
                <w:highlight w:val="none"/>
                <w:lang w:eastAsia="zh-TW"/>
              </w:rPr>
              <w:t>5</w:t>
            </w:r>
            <w:r>
              <w:rPr>
                <w:rStyle w:val="118"/>
                <w:color w:val="auto"/>
                <w:sz w:val="21"/>
                <w:szCs w:val="21"/>
                <w:highlight w:val="none"/>
              </w:rPr>
              <w:t>年）至</w:t>
            </w:r>
            <w:r>
              <w:rPr>
                <w:rStyle w:val="118"/>
                <w:color w:val="auto"/>
                <w:sz w:val="21"/>
                <w:szCs w:val="21"/>
                <w:highlight w:val="none"/>
                <w:lang w:eastAsia="zh-TW"/>
              </w:rPr>
              <w:t>10</w:t>
            </w:r>
            <w:r>
              <w:rPr>
                <w:rStyle w:val="118"/>
                <w:color w:val="auto"/>
                <w:sz w:val="21"/>
                <w:szCs w:val="21"/>
                <w:highlight w:val="none"/>
              </w:rPr>
              <w:t>年（不含</w:t>
            </w:r>
            <w:r>
              <w:rPr>
                <w:rStyle w:val="118"/>
                <w:color w:val="auto"/>
                <w:sz w:val="21"/>
                <w:szCs w:val="21"/>
                <w:highlight w:val="none"/>
                <w:lang w:eastAsia="zh-TW"/>
              </w:rPr>
              <w:t>10</w:t>
            </w:r>
            <w:r>
              <w:rPr>
                <w:rStyle w:val="118"/>
                <w:color w:val="auto"/>
                <w:sz w:val="21"/>
                <w:szCs w:val="21"/>
                <w:highlight w:val="none"/>
              </w:rPr>
              <w:t>年）施工管理工作经验，得</w:t>
            </w:r>
            <w:r>
              <w:rPr>
                <w:rStyle w:val="118"/>
                <w:color w:val="auto"/>
                <w:sz w:val="21"/>
                <w:szCs w:val="21"/>
                <w:highlight w:val="none"/>
                <w:lang w:eastAsia="zh-TW"/>
              </w:rPr>
              <w:t>2</w:t>
            </w:r>
            <w:r>
              <w:rPr>
                <w:rStyle w:val="118"/>
                <w:color w:val="auto"/>
                <w:sz w:val="21"/>
                <w:szCs w:val="21"/>
                <w:highlight w:val="none"/>
              </w:rPr>
              <w:t>分；具有</w:t>
            </w:r>
            <w:r>
              <w:rPr>
                <w:rStyle w:val="118"/>
                <w:color w:val="auto"/>
                <w:sz w:val="21"/>
                <w:szCs w:val="21"/>
                <w:highlight w:val="none"/>
                <w:lang w:eastAsia="zh-TW"/>
              </w:rPr>
              <w:t>5</w:t>
            </w:r>
            <w:r>
              <w:rPr>
                <w:rStyle w:val="118"/>
                <w:color w:val="auto"/>
                <w:sz w:val="21"/>
                <w:szCs w:val="21"/>
                <w:highlight w:val="none"/>
              </w:rPr>
              <w:t>年以下施工管理工作经验，得</w:t>
            </w:r>
            <w:r>
              <w:rPr>
                <w:rStyle w:val="118"/>
                <w:color w:val="auto"/>
                <w:sz w:val="21"/>
                <w:szCs w:val="21"/>
                <w:highlight w:val="none"/>
                <w:lang w:eastAsia="zh-TW"/>
              </w:rPr>
              <w:t>1</w:t>
            </w:r>
            <w:r>
              <w:rPr>
                <w:rStyle w:val="118"/>
                <w:color w:val="auto"/>
                <w:sz w:val="21"/>
                <w:szCs w:val="21"/>
                <w:highlight w:val="none"/>
              </w:rPr>
              <w:t>分。</w:t>
            </w:r>
          </w:p>
          <w:p>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备注：须提供岗位证书、职称证书、毕业证扫描件，本项最高得</w:t>
            </w:r>
            <w:r>
              <w:rPr>
                <w:rStyle w:val="118"/>
                <w:color w:val="auto"/>
                <w:sz w:val="21"/>
                <w:szCs w:val="21"/>
                <w:highlight w:val="none"/>
                <w:lang w:eastAsia="zh-TW"/>
              </w:rPr>
              <w:t>10</w:t>
            </w:r>
            <w:r>
              <w:rPr>
                <w:rStyle w:val="118"/>
                <w:color w:val="auto"/>
                <w:sz w:val="21"/>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atLeast"/>
          <w:jc w:val="center"/>
        </w:trPr>
        <w:tc>
          <w:tcPr>
            <w:tcW w:w="711"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color w:val="auto"/>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color w:val="auto"/>
                <w:highlight w:val="none"/>
              </w:rPr>
            </w:pPr>
            <w:r>
              <w:rPr>
                <w:rFonts w:hint="eastAsia" w:ascii="宋体" w:hAnsi="宋体" w:cs="宋体"/>
                <w:snapToGrid w:val="0"/>
                <w:color w:val="auto"/>
                <w:highlight w:val="none"/>
              </w:rPr>
              <w:t>造价负责人</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cs="宋体"/>
                <w:color w:val="auto"/>
                <w:szCs w:val="21"/>
                <w:highlight w:val="none"/>
              </w:rPr>
            </w:pPr>
            <w:r>
              <w:rPr>
                <w:rFonts w:hint="eastAsia" w:ascii="宋体" w:hAnsi="宋体" w:cs="宋体"/>
                <w:snapToGrid w:val="0"/>
                <w:color w:val="auto"/>
                <w:highlight w:val="none"/>
              </w:rPr>
              <w:t>10</w:t>
            </w:r>
          </w:p>
        </w:tc>
        <w:tc>
          <w:tcPr>
            <w:tcW w:w="11853" w:type="dxa"/>
            <w:tcBorders>
              <w:top w:val="single" w:color="auto" w:sz="4" w:space="0"/>
              <w:left w:val="single" w:color="auto" w:sz="4" w:space="0"/>
              <w:bottom w:val="single" w:color="auto" w:sz="4" w:space="0"/>
              <w:right w:val="single" w:color="auto" w:sz="4" w:space="0"/>
            </w:tcBorders>
            <w:vAlign w:val="center"/>
          </w:tcPr>
          <w:p>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1</w:t>
            </w:r>
            <w:r>
              <w:rPr>
                <w:rStyle w:val="118"/>
                <w:color w:val="auto"/>
                <w:sz w:val="21"/>
                <w:szCs w:val="21"/>
                <w:highlight w:val="none"/>
              </w:rPr>
              <w:t>）造价负责人具有注册造价工程师（或注册一级造价工程师）证书，得</w:t>
            </w:r>
            <w:r>
              <w:rPr>
                <w:rStyle w:val="118"/>
                <w:color w:val="auto"/>
                <w:sz w:val="21"/>
                <w:szCs w:val="21"/>
                <w:highlight w:val="none"/>
                <w:lang w:eastAsia="zh-TW"/>
              </w:rPr>
              <w:t>4</w:t>
            </w:r>
            <w:r>
              <w:rPr>
                <w:rStyle w:val="118"/>
                <w:color w:val="auto"/>
                <w:sz w:val="21"/>
                <w:szCs w:val="21"/>
                <w:highlight w:val="none"/>
              </w:rPr>
              <w:t>分；不满足上述条件不得分。</w:t>
            </w:r>
          </w:p>
          <w:p>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2</w:t>
            </w:r>
            <w:r>
              <w:rPr>
                <w:rStyle w:val="118"/>
                <w:color w:val="auto"/>
                <w:sz w:val="21"/>
                <w:szCs w:val="21"/>
                <w:highlight w:val="none"/>
              </w:rPr>
              <w:t>）具有造价类专业高级（或以上）职称得</w:t>
            </w:r>
            <w:r>
              <w:rPr>
                <w:rStyle w:val="118"/>
                <w:color w:val="auto"/>
                <w:sz w:val="21"/>
                <w:szCs w:val="21"/>
                <w:highlight w:val="none"/>
                <w:lang w:eastAsia="zh-TW"/>
              </w:rPr>
              <w:t>3</w:t>
            </w:r>
            <w:r>
              <w:rPr>
                <w:rStyle w:val="118"/>
                <w:color w:val="auto"/>
                <w:sz w:val="21"/>
                <w:szCs w:val="21"/>
                <w:highlight w:val="none"/>
              </w:rPr>
              <w:t>分；具有造价类专业中级职称得</w:t>
            </w:r>
            <w:r>
              <w:rPr>
                <w:rStyle w:val="118"/>
                <w:color w:val="auto"/>
                <w:sz w:val="21"/>
                <w:szCs w:val="21"/>
                <w:highlight w:val="none"/>
                <w:lang w:eastAsia="zh-TW"/>
              </w:rPr>
              <w:t>1.5</w:t>
            </w:r>
            <w:r>
              <w:rPr>
                <w:rStyle w:val="118"/>
                <w:color w:val="auto"/>
                <w:sz w:val="21"/>
                <w:szCs w:val="21"/>
                <w:highlight w:val="none"/>
              </w:rPr>
              <w:t>分；</w:t>
            </w:r>
          </w:p>
          <w:p>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3</w:t>
            </w:r>
            <w:r>
              <w:rPr>
                <w:rStyle w:val="118"/>
                <w:color w:val="auto"/>
                <w:sz w:val="21"/>
                <w:szCs w:val="21"/>
                <w:highlight w:val="none"/>
              </w:rPr>
              <w:t>）具有</w:t>
            </w:r>
            <w:r>
              <w:rPr>
                <w:rStyle w:val="118"/>
                <w:color w:val="auto"/>
                <w:sz w:val="21"/>
                <w:szCs w:val="21"/>
                <w:highlight w:val="none"/>
                <w:lang w:eastAsia="zh-TW"/>
              </w:rPr>
              <w:t>10</w:t>
            </w:r>
            <w:r>
              <w:rPr>
                <w:rStyle w:val="118"/>
                <w:color w:val="auto"/>
                <w:sz w:val="21"/>
                <w:szCs w:val="21"/>
                <w:highlight w:val="none"/>
              </w:rPr>
              <w:t>年或以上（含</w:t>
            </w:r>
            <w:r>
              <w:rPr>
                <w:rStyle w:val="118"/>
                <w:color w:val="auto"/>
                <w:sz w:val="21"/>
                <w:szCs w:val="21"/>
                <w:highlight w:val="none"/>
                <w:lang w:eastAsia="zh-TW"/>
              </w:rPr>
              <w:t>10</w:t>
            </w:r>
            <w:r>
              <w:rPr>
                <w:rStyle w:val="118"/>
                <w:color w:val="auto"/>
                <w:sz w:val="21"/>
                <w:szCs w:val="21"/>
                <w:highlight w:val="none"/>
              </w:rPr>
              <w:t>年）造价管理工作经验，得</w:t>
            </w:r>
            <w:r>
              <w:rPr>
                <w:rStyle w:val="118"/>
                <w:color w:val="auto"/>
                <w:sz w:val="21"/>
                <w:szCs w:val="21"/>
                <w:highlight w:val="none"/>
                <w:lang w:eastAsia="zh-TW"/>
              </w:rPr>
              <w:t>3</w:t>
            </w:r>
            <w:r>
              <w:rPr>
                <w:rStyle w:val="118"/>
                <w:color w:val="auto"/>
                <w:sz w:val="21"/>
                <w:szCs w:val="21"/>
                <w:highlight w:val="none"/>
              </w:rPr>
              <w:t>分；具有</w:t>
            </w:r>
            <w:r>
              <w:rPr>
                <w:rStyle w:val="118"/>
                <w:color w:val="auto"/>
                <w:sz w:val="21"/>
                <w:szCs w:val="21"/>
                <w:highlight w:val="none"/>
                <w:lang w:eastAsia="zh-TW"/>
              </w:rPr>
              <w:t>5</w:t>
            </w:r>
            <w:r>
              <w:rPr>
                <w:rStyle w:val="118"/>
                <w:color w:val="auto"/>
                <w:sz w:val="21"/>
                <w:szCs w:val="21"/>
                <w:highlight w:val="none"/>
              </w:rPr>
              <w:t>年（含</w:t>
            </w:r>
            <w:r>
              <w:rPr>
                <w:rStyle w:val="118"/>
                <w:color w:val="auto"/>
                <w:sz w:val="21"/>
                <w:szCs w:val="21"/>
                <w:highlight w:val="none"/>
                <w:lang w:eastAsia="zh-TW"/>
              </w:rPr>
              <w:t>5</w:t>
            </w:r>
            <w:r>
              <w:rPr>
                <w:rStyle w:val="118"/>
                <w:color w:val="auto"/>
                <w:sz w:val="21"/>
                <w:szCs w:val="21"/>
                <w:highlight w:val="none"/>
              </w:rPr>
              <w:t>年）至</w:t>
            </w:r>
            <w:r>
              <w:rPr>
                <w:rStyle w:val="118"/>
                <w:color w:val="auto"/>
                <w:sz w:val="21"/>
                <w:szCs w:val="21"/>
                <w:highlight w:val="none"/>
                <w:lang w:eastAsia="zh-TW"/>
              </w:rPr>
              <w:t>10</w:t>
            </w:r>
            <w:r>
              <w:rPr>
                <w:rStyle w:val="118"/>
                <w:color w:val="auto"/>
                <w:sz w:val="21"/>
                <w:szCs w:val="21"/>
                <w:highlight w:val="none"/>
              </w:rPr>
              <w:t>年（不含</w:t>
            </w:r>
            <w:r>
              <w:rPr>
                <w:rStyle w:val="118"/>
                <w:color w:val="auto"/>
                <w:sz w:val="21"/>
                <w:szCs w:val="21"/>
                <w:highlight w:val="none"/>
                <w:lang w:eastAsia="zh-TW"/>
              </w:rPr>
              <w:t>10</w:t>
            </w:r>
            <w:r>
              <w:rPr>
                <w:rStyle w:val="118"/>
                <w:color w:val="auto"/>
                <w:sz w:val="21"/>
                <w:szCs w:val="21"/>
                <w:highlight w:val="none"/>
              </w:rPr>
              <w:t>年）造价管理工作经验，得</w:t>
            </w:r>
            <w:r>
              <w:rPr>
                <w:rStyle w:val="118"/>
                <w:color w:val="auto"/>
                <w:sz w:val="21"/>
                <w:szCs w:val="21"/>
                <w:highlight w:val="none"/>
                <w:lang w:eastAsia="zh-TW"/>
              </w:rPr>
              <w:t>2</w:t>
            </w:r>
            <w:r>
              <w:rPr>
                <w:rStyle w:val="118"/>
                <w:color w:val="auto"/>
                <w:sz w:val="21"/>
                <w:szCs w:val="21"/>
                <w:highlight w:val="none"/>
              </w:rPr>
              <w:t>分；具有</w:t>
            </w:r>
            <w:r>
              <w:rPr>
                <w:rStyle w:val="118"/>
                <w:color w:val="auto"/>
                <w:sz w:val="21"/>
                <w:szCs w:val="21"/>
                <w:highlight w:val="none"/>
                <w:lang w:eastAsia="zh-TW"/>
              </w:rPr>
              <w:t>5</w:t>
            </w:r>
            <w:r>
              <w:rPr>
                <w:rStyle w:val="118"/>
                <w:color w:val="auto"/>
                <w:sz w:val="21"/>
                <w:szCs w:val="21"/>
                <w:highlight w:val="none"/>
              </w:rPr>
              <w:t>年以下造价管理工作经验，得</w:t>
            </w:r>
            <w:r>
              <w:rPr>
                <w:rStyle w:val="118"/>
                <w:color w:val="auto"/>
                <w:sz w:val="21"/>
                <w:szCs w:val="21"/>
                <w:highlight w:val="none"/>
                <w:lang w:eastAsia="zh-TW"/>
              </w:rPr>
              <w:t>1</w:t>
            </w:r>
            <w:r>
              <w:rPr>
                <w:rStyle w:val="118"/>
                <w:color w:val="auto"/>
                <w:sz w:val="21"/>
                <w:szCs w:val="21"/>
                <w:highlight w:val="none"/>
              </w:rPr>
              <w:t>分。</w:t>
            </w:r>
          </w:p>
          <w:p>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备注：须提供造价工程师注册证、职称证书、毕业证扫描件，本项最高得</w:t>
            </w:r>
            <w:r>
              <w:rPr>
                <w:rStyle w:val="118"/>
                <w:color w:val="auto"/>
                <w:sz w:val="21"/>
                <w:szCs w:val="21"/>
                <w:highlight w:val="none"/>
                <w:lang w:eastAsia="zh-TW"/>
              </w:rPr>
              <w:t>10</w:t>
            </w:r>
            <w:r>
              <w:rPr>
                <w:rStyle w:val="118"/>
                <w:color w:val="auto"/>
                <w:sz w:val="21"/>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1" w:hRule="atLeast"/>
          <w:jc w:val="center"/>
        </w:trPr>
        <w:tc>
          <w:tcPr>
            <w:tcW w:w="711"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color w:val="auto"/>
                <w:highlight w:val="none"/>
              </w:rPr>
            </w:pPr>
          </w:p>
        </w:tc>
        <w:tc>
          <w:tcPr>
            <w:tcW w:w="179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color w:val="auto"/>
                <w:highlight w:val="none"/>
              </w:rPr>
            </w:pPr>
            <w:r>
              <w:rPr>
                <w:rFonts w:hint="eastAsia" w:ascii="宋体" w:hAnsi="宋体" w:cs="宋体"/>
                <w:color w:val="auto"/>
                <w:szCs w:val="21"/>
                <w:highlight w:val="none"/>
              </w:rPr>
              <w:t>项目管理班子答辩</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cs="宋体"/>
                <w:color w:val="auto"/>
                <w:szCs w:val="21"/>
                <w:highlight w:val="none"/>
              </w:rPr>
            </w:pPr>
            <w:r>
              <w:rPr>
                <w:rFonts w:ascii="宋体" w:hAnsi="宋体" w:cs="宋体"/>
                <w:color w:val="auto"/>
                <w:szCs w:val="21"/>
                <w:highlight w:val="none"/>
              </w:rPr>
              <w:t>30</w:t>
            </w:r>
          </w:p>
        </w:tc>
        <w:tc>
          <w:tcPr>
            <w:tcW w:w="1185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3"/>
              <w:spacing w:before="0" w:beforeAutospacing="0" w:after="0" w:afterAutospacing="0" w:line="360" w:lineRule="auto"/>
              <w:ind w:left="210" w:leftChars="100"/>
              <w:rPr>
                <w:rStyle w:val="118"/>
                <w:color w:val="auto"/>
                <w:sz w:val="21"/>
                <w:szCs w:val="21"/>
                <w:highlight w:val="none"/>
                <w:lang w:eastAsia="zh-TW"/>
              </w:rPr>
            </w:pPr>
            <w:r>
              <w:rPr>
                <w:rStyle w:val="118"/>
                <w:color w:val="auto"/>
                <w:sz w:val="21"/>
                <w:szCs w:val="21"/>
                <w:highlight w:val="none"/>
              </w:rPr>
              <w:t>投标人项目负责人就本工程内容从以下方面进行陈述（答辩时长控制在</w:t>
            </w:r>
            <w:r>
              <w:rPr>
                <w:rStyle w:val="118"/>
                <w:color w:val="auto"/>
                <w:sz w:val="21"/>
                <w:szCs w:val="21"/>
                <w:highlight w:val="none"/>
                <w:lang w:eastAsia="zh-TW"/>
              </w:rPr>
              <w:t>10</w:t>
            </w:r>
            <w:r>
              <w:rPr>
                <w:rStyle w:val="118"/>
                <w:color w:val="auto"/>
                <w:sz w:val="21"/>
                <w:szCs w:val="21"/>
                <w:highlight w:val="none"/>
              </w:rPr>
              <w:t>分钟内）：</w:t>
            </w:r>
          </w:p>
          <w:p>
            <w:pPr>
              <w:pStyle w:val="33"/>
              <w:spacing w:before="0" w:beforeAutospacing="0" w:after="0" w:afterAutospacing="0" w:line="360" w:lineRule="auto"/>
              <w:ind w:left="210" w:leftChars="100"/>
              <w:rPr>
                <w:rStyle w:val="118"/>
                <w:color w:val="auto"/>
                <w:sz w:val="21"/>
                <w:szCs w:val="21"/>
                <w:highlight w:val="none"/>
                <w:lang w:eastAsia="zh-TW"/>
              </w:rPr>
            </w:pPr>
            <w:r>
              <w:rPr>
                <w:rStyle w:val="118"/>
                <w:color w:val="auto"/>
                <w:sz w:val="21"/>
                <w:szCs w:val="21"/>
                <w:highlight w:val="none"/>
                <w:lang w:eastAsia="zh-TW"/>
              </w:rPr>
              <w:t>1</w:t>
            </w:r>
            <w:r>
              <w:rPr>
                <w:rStyle w:val="118"/>
                <w:color w:val="auto"/>
                <w:sz w:val="21"/>
                <w:szCs w:val="21"/>
                <w:highlight w:val="none"/>
              </w:rPr>
              <w:t>、对参与投标项目的了解情况；</w:t>
            </w:r>
          </w:p>
          <w:p>
            <w:pPr>
              <w:pStyle w:val="33"/>
              <w:spacing w:before="0" w:beforeAutospacing="0" w:after="0" w:afterAutospacing="0" w:line="360" w:lineRule="auto"/>
              <w:ind w:left="210" w:leftChars="100"/>
              <w:rPr>
                <w:rStyle w:val="118"/>
                <w:color w:val="auto"/>
                <w:sz w:val="21"/>
                <w:szCs w:val="21"/>
                <w:highlight w:val="none"/>
                <w:lang w:eastAsia="zh-TW"/>
              </w:rPr>
            </w:pPr>
            <w:r>
              <w:rPr>
                <w:rStyle w:val="118"/>
                <w:color w:val="auto"/>
                <w:sz w:val="21"/>
                <w:szCs w:val="21"/>
                <w:highlight w:val="none"/>
                <w:lang w:eastAsia="zh-TW"/>
              </w:rPr>
              <w:t>2</w:t>
            </w:r>
            <w:r>
              <w:rPr>
                <w:rStyle w:val="118"/>
                <w:color w:val="auto"/>
                <w:sz w:val="21"/>
                <w:szCs w:val="21"/>
                <w:highlight w:val="none"/>
              </w:rPr>
              <w:t>、项目施工的重点、难点分析及应对措施；</w:t>
            </w:r>
          </w:p>
          <w:p>
            <w:pPr>
              <w:pStyle w:val="33"/>
              <w:spacing w:before="0" w:beforeAutospacing="0" w:after="0" w:afterAutospacing="0" w:line="360" w:lineRule="auto"/>
              <w:ind w:left="210" w:leftChars="100"/>
              <w:rPr>
                <w:rStyle w:val="118"/>
                <w:color w:val="auto"/>
                <w:sz w:val="21"/>
                <w:szCs w:val="21"/>
                <w:highlight w:val="none"/>
                <w:lang w:eastAsia="zh-TW"/>
              </w:rPr>
            </w:pPr>
            <w:r>
              <w:rPr>
                <w:rStyle w:val="118"/>
                <w:color w:val="auto"/>
                <w:sz w:val="21"/>
                <w:szCs w:val="21"/>
                <w:highlight w:val="none"/>
                <w:lang w:eastAsia="zh-TW"/>
              </w:rPr>
              <w:t>3</w:t>
            </w:r>
            <w:r>
              <w:rPr>
                <w:rStyle w:val="118"/>
                <w:color w:val="auto"/>
                <w:sz w:val="21"/>
                <w:szCs w:val="21"/>
                <w:highlight w:val="none"/>
              </w:rPr>
              <w:t>、对工程质量、工程总工期的全面掌控，保证工程保质量保工期完工；</w:t>
            </w:r>
          </w:p>
          <w:p>
            <w:pPr>
              <w:pStyle w:val="33"/>
              <w:spacing w:before="0" w:beforeAutospacing="0" w:after="0" w:afterAutospacing="0" w:line="360" w:lineRule="auto"/>
              <w:ind w:left="210" w:leftChars="100"/>
              <w:rPr>
                <w:rStyle w:val="118"/>
                <w:color w:val="auto"/>
                <w:sz w:val="21"/>
                <w:szCs w:val="21"/>
                <w:highlight w:val="none"/>
                <w:lang w:eastAsia="zh-TW"/>
              </w:rPr>
            </w:pPr>
            <w:r>
              <w:rPr>
                <w:rStyle w:val="118"/>
                <w:color w:val="auto"/>
                <w:sz w:val="21"/>
                <w:szCs w:val="21"/>
                <w:highlight w:val="none"/>
                <w:lang w:eastAsia="zh-TW"/>
              </w:rPr>
              <w:t>4</w:t>
            </w:r>
            <w:r>
              <w:rPr>
                <w:rStyle w:val="118"/>
                <w:color w:val="auto"/>
                <w:sz w:val="21"/>
                <w:szCs w:val="21"/>
                <w:highlight w:val="none"/>
              </w:rPr>
              <w:t>、回答评委现场提问。</w:t>
            </w:r>
          </w:p>
          <w:p>
            <w:pPr>
              <w:pStyle w:val="33"/>
              <w:spacing w:before="0" w:beforeAutospacing="0" w:after="0" w:afterAutospacing="0" w:line="360" w:lineRule="auto"/>
              <w:ind w:left="210" w:leftChars="100"/>
              <w:rPr>
                <w:rStyle w:val="118"/>
                <w:color w:val="auto"/>
                <w:sz w:val="21"/>
                <w:szCs w:val="21"/>
                <w:highlight w:val="none"/>
                <w:lang w:eastAsia="zh-TW"/>
              </w:rPr>
            </w:pPr>
            <w:r>
              <w:rPr>
                <w:rStyle w:val="118"/>
                <w:color w:val="auto"/>
                <w:sz w:val="21"/>
                <w:szCs w:val="21"/>
                <w:highlight w:val="none"/>
              </w:rPr>
              <w:t>解答：评委针对其陈述内容及投标文件所提出的相关问题。</w:t>
            </w:r>
          </w:p>
          <w:p>
            <w:pPr>
              <w:pStyle w:val="33"/>
              <w:spacing w:before="0" w:beforeAutospacing="0" w:after="0" w:afterAutospacing="0" w:line="360" w:lineRule="auto"/>
              <w:ind w:left="210" w:leftChars="100"/>
              <w:rPr>
                <w:rStyle w:val="118"/>
                <w:color w:val="auto"/>
                <w:sz w:val="21"/>
                <w:szCs w:val="21"/>
                <w:highlight w:val="none"/>
                <w:lang w:eastAsia="zh-TW"/>
              </w:rPr>
            </w:pPr>
            <w:r>
              <w:rPr>
                <w:rStyle w:val="118"/>
                <w:color w:val="auto"/>
                <w:sz w:val="21"/>
                <w:szCs w:val="21"/>
                <w:highlight w:val="none"/>
              </w:rPr>
              <w:t>横向比较各投标人的答辩情况：</w:t>
            </w:r>
          </w:p>
          <w:p>
            <w:pPr>
              <w:pStyle w:val="33"/>
              <w:spacing w:before="0" w:beforeAutospacing="0" w:after="0" w:afterAutospacing="0" w:line="360" w:lineRule="auto"/>
              <w:ind w:left="210" w:leftChars="100"/>
              <w:rPr>
                <w:rStyle w:val="118"/>
                <w:color w:val="auto"/>
                <w:sz w:val="21"/>
                <w:szCs w:val="21"/>
                <w:highlight w:val="none"/>
                <w:lang w:eastAsia="zh-TW"/>
              </w:rPr>
            </w:pPr>
            <w:r>
              <w:rPr>
                <w:rStyle w:val="118"/>
                <w:color w:val="auto"/>
                <w:sz w:val="21"/>
                <w:szCs w:val="21"/>
                <w:highlight w:val="none"/>
              </w:rPr>
              <w:t>【优】答辩与招标文件、投标文件意思一致，对工程内容熟悉（包括对施工整体部署、项目重难点分析及措施；工程质量、工程总工期的全面掌控；现场周边情况了解），答辩思路清晰，应变能力强，得</w:t>
            </w:r>
            <w:r>
              <w:rPr>
                <w:rStyle w:val="118"/>
                <w:color w:val="auto"/>
                <w:sz w:val="21"/>
                <w:szCs w:val="21"/>
                <w:highlight w:val="none"/>
                <w:lang w:eastAsia="zh-TW"/>
              </w:rPr>
              <w:t>21-30</w:t>
            </w:r>
            <w:r>
              <w:rPr>
                <w:rStyle w:val="118"/>
                <w:color w:val="auto"/>
                <w:sz w:val="21"/>
                <w:szCs w:val="21"/>
                <w:highlight w:val="none"/>
              </w:rPr>
              <w:t>分；</w:t>
            </w:r>
          </w:p>
          <w:p>
            <w:pPr>
              <w:pStyle w:val="33"/>
              <w:spacing w:before="0" w:beforeAutospacing="0" w:after="0" w:afterAutospacing="0" w:line="360" w:lineRule="auto"/>
              <w:ind w:left="210" w:leftChars="100"/>
              <w:rPr>
                <w:rStyle w:val="118"/>
                <w:color w:val="auto"/>
                <w:sz w:val="21"/>
                <w:szCs w:val="21"/>
                <w:highlight w:val="none"/>
                <w:lang w:eastAsia="zh-TW"/>
              </w:rPr>
            </w:pPr>
            <w:r>
              <w:rPr>
                <w:rStyle w:val="118"/>
                <w:color w:val="auto"/>
                <w:sz w:val="21"/>
                <w:szCs w:val="21"/>
                <w:highlight w:val="none"/>
              </w:rPr>
              <w:t>【中】答辩与招标文件、投标文件意思一致，对工程内容较熟悉，答辩思路较清晰，应变能力较强，得</w:t>
            </w:r>
            <w:r>
              <w:rPr>
                <w:rStyle w:val="118"/>
                <w:color w:val="auto"/>
                <w:sz w:val="21"/>
                <w:szCs w:val="21"/>
                <w:highlight w:val="none"/>
                <w:lang w:eastAsia="zh-TW"/>
              </w:rPr>
              <w:t>11-20</w:t>
            </w:r>
            <w:r>
              <w:rPr>
                <w:rStyle w:val="118"/>
                <w:color w:val="auto"/>
                <w:sz w:val="21"/>
                <w:szCs w:val="21"/>
                <w:highlight w:val="none"/>
              </w:rPr>
              <w:t>分；</w:t>
            </w:r>
          </w:p>
          <w:p>
            <w:pPr>
              <w:pStyle w:val="33"/>
              <w:spacing w:before="0" w:beforeAutospacing="0" w:after="0" w:afterAutospacing="0" w:line="360" w:lineRule="auto"/>
              <w:ind w:left="210" w:leftChars="100"/>
              <w:rPr>
                <w:rStyle w:val="118"/>
                <w:color w:val="auto"/>
                <w:sz w:val="21"/>
                <w:szCs w:val="21"/>
                <w:highlight w:val="none"/>
                <w:lang w:eastAsia="zh-TW"/>
              </w:rPr>
            </w:pPr>
            <w:r>
              <w:rPr>
                <w:rStyle w:val="118"/>
                <w:color w:val="auto"/>
                <w:sz w:val="21"/>
                <w:szCs w:val="21"/>
                <w:highlight w:val="none"/>
              </w:rPr>
              <w:t>【差】答辩与招标文件、投标文件意思一致，答辩思路一般，应变能力一般，得</w:t>
            </w:r>
            <w:r>
              <w:rPr>
                <w:rStyle w:val="118"/>
                <w:color w:val="auto"/>
                <w:sz w:val="21"/>
                <w:szCs w:val="21"/>
                <w:highlight w:val="none"/>
                <w:lang w:eastAsia="zh-TW"/>
              </w:rPr>
              <w:t>1-10</w:t>
            </w:r>
            <w:r>
              <w:rPr>
                <w:rStyle w:val="118"/>
                <w:color w:val="auto"/>
                <w:sz w:val="21"/>
                <w:szCs w:val="21"/>
                <w:highlight w:val="none"/>
              </w:rPr>
              <w:t>分；</w:t>
            </w:r>
          </w:p>
          <w:p>
            <w:pPr>
              <w:rPr>
                <w:rStyle w:val="118"/>
                <w:color w:val="auto"/>
                <w:sz w:val="21"/>
                <w:szCs w:val="21"/>
                <w:highlight w:val="none"/>
                <w:lang w:eastAsia="zh-TW"/>
              </w:rPr>
            </w:pPr>
            <w:r>
              <w:rPr>
                <w:rStyle w:val="118"/>
                <w:color w:val="auto"/>
                <w:szCs w:val="21"/>
                <w:highlight w:val="none"/>
              </w:rPr>
              <w:t>注：投标人项目负责人未到现场进行答辩的，不计分。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711" w:type="dxa"/>
            <w:tcBorders>
              <w:top w:val="single" w:color="auto" w:sz="4" w:space="0"/>
              <w:left w:val="single" w:color="auto" w:sz="4" w:space="0"/>
              <w:bottom w:val="single" w:color="auto" w:sz="6" w:space="0"/>
              <w:right w:val="single" w:color="auto" w:sz="6" w:space="0"/>
            </w:tcBorders>
            <w:shd w:val="clear" w:color="auto" w:fill="FFFFFF"/>
            <w:vAlign w:val="center"/>
          </w:tcPr>
          <w:p>
            <w:pPr>
              <w:rPr>
                <w:color w:val="auto"/>
                <w:highlight w:val="none"/>
              </w:rPr>
            </w:pPr>
            <w:r>
              <w:rPr>
                <w:rFonts w:hint="eastAsia" w:hAnsi="宋体" w:cs="宋体"/>
                <w:color w:val="auto"/>
                <w:szCs w:val="21"/>
                <w:highlight w:val="none"/>
              </w:rPr>
              <w:t>二、企业资信（15分）</w:t>
            </w:r>
          </w:p>
        </w:tc>
        <w:tc>
          <w:tcPr>
            <w:tcW w:w="1795" w:type="dxa"/>
            <w:tcBorders>
              <w:top w:val="single" w:color="auto" w:sz="4" w:space="0"/>
              <w:left w:val="single" w:color="auto" w:sz="6" w:space="0"/>
              <w:bottom w:val="single" w:color="auto" w:sz="6" w:space="0"/>
              <w:right w:val="single" w:color="auto" w:sz="6" w:space="0"/>
            </w:tcBorders>
            <w:shd w:val="clear" w:color="auto" w:fill="FFFFFF"/>
            <w:vAlign w:val="center"/>
          </w:tcPr>
          <w:p>
            <w:pPr>
              <w:widowControl/>
              <w:adjustRightInd w:val="0"/>
              <w:snapToGrid w:val="0"/>
              <w:spacing w:line="288" w:lineRule="auto"/>
              <w:jc w:val="center"/>
              <w:rPr>
                <w:color w:val="auto"/>
                <w:highlight w:val="none"/>
                <w:lang w:val="zh-TW" w:eastAsia="zh-TW"/>
              </w:rPr>
            </w:pPr>
            <w:r>
              <w:rPr>
                <w:rStyle w:val="118"/>
                <w:color w:val="auto"/>
                <w:szCs w:val="21"/>
                <w:highlight w:val="none"/>
              </w:rPr>
              <w:t>类似工程业绩</w:t>
            </w:r>
          </w:p>
        </w:tc>
        <w:tc>
          <w:tcPr>
            <w:tcW w:w="851" w:type="dxa"/>
            <w:tcBorders>
              <w:top w:val="single" w:color="auto" w:sz="4" w:space="0"/>
              <w:left w:val="single" w:color="auto" w:sz="6" w:space="0"/>
              <w:bottom w:val="single" w:color="auto" w:sz="6" w:space="0"/>
              <w:right w:val="single" w:color="auto" w:sz="6" w:space="0"/>
            </w:tcBorders>
            <w:shd w:val="clear" w:color="auto" w:fill="FFFFFF"/>
            <w:vAlign w:val="center"/>
          </w:tcPr>
          <w:p>
            <w:pPr>
              <w:adjustRightInd w:val="0"/>
              <w:snapToGrid w:val="0"/>
              <w:spacing w:line="288" w:lineRule="auto"/>
              <w:jc w:val="center"/>
              <w:rPr>
                <w:rFonts w:ascii="宋体" w:hAnsi="宋体" w:cs="宋体"/>
                <w:color w:val="auto"/>
                <w:szCs w:val="21"/>
                <w:highlight w:val="none"/>
              </w:rPr>
            </w:pPr>
            <w:r>
              <w:rPr>
                <w:rStyle w:val="118"/>
                <w:rFonts w:hint="eastAsia"/>
                <w:color w:val="auto"/>
                <w:szCs w:val="21"/>
                <w:highlight w:val="none"/>
              </w:rPr>
              <w:t>15</w:t>
            </w:r>
          </w:p>
        </w:tc>
        <w:tc>
          <w:tcPr>
            <w:tcW w:w="11853" w:type="dxa"/>
            <w:tcBorders>
              <w:top w:val="single" w:color="auto" w:sz="4" w:space="0"/>
              <w:left w:val="single" w:color="auto" w:sz="6" w:space="0"/>
              <w:bottom w:val="single" w:color="auto" w:sz="6" w:space="0"/>
              <w:right w:val="single" w:color="auto" w:sz="4" w:space="0"/>
            </w:tcBorders>
            <w:shd w:val="clear" w:color="auto" w:fill="FFFFFF"/>
            <w:vAlign w:val="center"/>
          </w:tcPr>
          <w:p>
            <w:pPr>
              <w:rPr>
                <w:rStyle w:val="118"/>
                <w:color w:val="auto"/>
                <w:sz w:val="21"/>
                <w:szCs w:val="21"/>
                <w:highlight w:val="none"/>
              </w:rPr>
            </w:pPr>
            <w:r>
              <w:rPr>
                <w:rStyle w:val="118"/>
                <w:color w:val="auto"/>
                <w:szCs w:val="21"/>
                <w:highlight w:val="none"/>
              </w:rPr>
              <w:t>投标人自</w:t>
            </w:r>
            <w:r>
              <w:rPr>
                <w:rStyle w:val="118"/>
                <w:color w:val="auto"/>
                <w:szCs w:val="21"/>
                <w:highlight w:val="none"/>
                <w:lang w:eastAsia="zh-TW"/>
              </w:rPr>
              <w:t>202</w:t>
            </w:r>
            <w:r>
              <w:rPr>
                <w:rStyle w:val="118"/>
                <w:rFonts w:eastAsia="PMingLiU"/>
                <w:color w:val="auto"/>
                <w:szCs w:val="21"/>
                <w:highlight w:val="none"/>
                <w:lang w:eastAsia="zh-TW"/>
              </w:rPr>
              <w:t>2</w:t>
            </w:r>
            <w:r>
              <w:rPr>
                <w:rStyle w:val="118"/>
                <w:color w:val="auto"/>
                <w:szCs w:val="21"/>
                <w:highlight w:val="none"/>
              </w:rPr>
              <w:t>年</w:t>
            </w:r>
            <w:r>
              <w:rPr>
                <w:rStyle w:val="118"/>
                <w:color w:val="auto"/>
                <w:szCs w:val="21"/>
                <w:highlight w:val="none"/>
                <w:lang w:eastAsia="zh-TW"/>
              </w:rPr>
              <w:t>1</w:t>
            </w:r>
            <w:r>
              <w:rPr>
                <w:rStyle w:val="118"/>
                <w:color w:val="auto"/>
                <w:szCs w:val="21"/>
                <w:highlight w:val="none"/>
              </w:rPr>
              <w:t>月</w:t>
            </w:r>
            <w:r>
              <w:rPr>
                <w:rStyle w:val="118"/>
                <w:color w:val="auto"/>
                <w:szCs w:val="21"/>
                <w:highlight w:val="none"/>
                <w:lang w:eastAsia="zh-TW"/>
              </w:rPr>
              <w:t>1</w:t>
            </w:r>
            <w:r>
              <w:rPr>
                <w:rStyle w:val="118"/>
                <w:color w:val="auto"/>
                <w:szCs w:val="21"/>
                <w:highlight w:val="none"/>
              </w:rPr>
              <w:t>日至投标截止时间止，完成过质量合格的类似工程业绩</w:t>
            </w:r>
            <w:r>
              <w:rPr>
                <w:color w:val="auto"/>
                <w:szCs w:val="21"/>
                <w:highlight w:val="none"/>
              </w:rPr>
              <w:t>，每项得</w:t>
            </w:r>
            <w:r>
              <w:rPr>
                <w:rFonts w:hint="eastAsia"/>
                <w:color w:val="auto"/>
                <w:szCs w:val="21"/>
                <w:highlight w:val="none"/>
              </w:rPr>
              <w:t>5</w:t>
            </w:r>
            <w:r>
              <w:rPr>
                <w:color w:val="auto"/>
                <w:szCs w:val="21"/>
                <w:highlight w:val="none"/>
              </w:rPr>
              <w:t>分，最多得</w:t>
            </w:r>
            <w:r>
              <w:rPr>
                <w:rFonts w:hint="eastAsia"/>
                <w:color w:val="auto"/>
                <w:szCs w:val="21"/>
                <w:highlight w:val="none"/>
              </w:rPr>
              <w:t>15</w:t>
            </w:r>
            <w:r>
              <w:rPr>
                <w:color w:val="auto"/>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11" w:type="dxa"/>
            <w:vMerge w:val="restart"/>
            <w:tcBorders>
              <w:top w:val="single" w:color="auto" w:sz="6" w:space="0"/>
              <w:left w:val="single" w:color="auto" w:sz="4" w:space="0"/>
              <w:right w:val="single" w:color="auto" w:sz="6" w:space="0"/>
            </w:tcBorders>
            <w:shd w:val="clear" w:color="auto" w:fill="FFFFFF"/>
            <w:vAlign w:val="center"/>
          </w:tcPr>
          <w:p>
            <w:pPr>
              <w:rPr>
                <w:color w:val="auto"/>
                <w:highlight w:val="none"/>
              </w:rPr>
            </w:pPr>
            <w:r>
              <w:rPr>
                <w:rFonts w:hint="eastAsia"/>
                <w:color w:val="auto"/>
                <w:highlight w:val="none"/>
              </w:rPr>
              <w:t>三、施工组织设计（15分）</w:t>
            </w:r>
          </w:p>
        </w:tc>
        <w:tc>
          <w:tcPr>
            <w:tcW w:w="1795"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adjustRightInd w:val="0"/>
              <w:snapToGrid w:val="0"/>
              <w:spacing w:line="288" w:lineRule="auto"/>
              <w:jc w:val="center"/>
              <w:rPr>
                <w:rStyle w:val="118"/>
                <w:color w:val="auto"/>
                <w:szCs w:val="21"/>
                <w:highlight w:val="none"/>
              </w:rPr>
            </w:pPr>
            <w:r>
              <w:rPr>
                <w:rFonts w:hint="eastAsia" w:ascii="宋体" w:hAnsi="宋体" w:cs="宋体"/>
                <w:color w:val="auto"/>
                <w:szCs w:val="21"/>
                <w:highlight w:val="none"/>
              </w:rPr>
              <w:t>施工组织设计内容与技术措施的完整性、合理性、科学性与可行性</w:t>
            </w:r>
          </w:p>
        </w:tc>
        <w:tc>
          <w:tcPr>
            <w:tcW w:w="851" w:type="dxa"/>
            <w:tcBorders>
              <w:top w:val="single" w:color="auto" w:sz="6" w:space="0"/>
              <w:left w:val="single" w:color="auto" w:sz="6" w:space="0"/>
              <w:bottom w:val="single" w:color="auto" w:sz="6" w:space="0"/>
              <w:right w:val="single" w:color="auto" w:sz="6" w:space="0"/>
            </w:tcBorders>
            <w:shd w:val="clear" w:color="auto" w:fill="FFFFFF"/>
            <w:vAlign w:val="center"/>
          </w:tcPr>
          <w:p>
            <w:pPr>
              <w:adjustRightInd w:val="0"/>
              <w:snapToGrid w:val="0"/>
              <w:spacing w:line="288" w:lineRule="auto"/>
              <w:jc w:val="center"/>
              <w:rPr>
                <w:rFonts w:ascii="宋体" w:hAnsi="宋体" w:cs="宋体"/>
                <w:color w:val="auto"/>
                <w:szCs w:val="21"/>
                <w:highlight w:val="none"/>
              </w:rPr>
            </w:pPr>
            <w:r>
              <w:rPr>
                <w:rFonts w:ascii="宋体" w:hAnsi="宋体" w:cs="宋体"/>
                <w:color w:val="auto"/>
                <w:szCs w:val="21"/>
                <w:highlight w:val="none"/>
              </w:rPr>
              <w:t>7</w:t>
            </w:r>
          </w:p>
        </w:tc>
        <w:tc>
          <w:tcPr>
            <w:tcW w:w="11853" w:type="dxa"/>
            <w:tcBorders>
              <w:top w:val="single" w:color="auto" w:sz="6" w:space="0"/>
              <w:left w:val="single" w:color="auto" w:sz="6" w:space="0"/>
              <w:bottom w:val="single" w:color="auto" w:sz="6" w:space="0"/>
              <w:right w:val="single" w:color="auto" w:sz="4" w:space="0"/>
            </w:tcBorders>
            <w:shd w:val="clear" w:color="auto" w:fill="FFFFFF"/>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施工组织设计结构完整、措施详细，编制思路清晰、层次清楚，内容严谨全面，能图文结合。结合现场实际情况，针对性提出及编制的施工方案，包括但不限于项目管理目标、施工部署安排、符合项目实施特点的专业人员配置、重点部位及特殊工艺施工技术、专业劳务队伍等，充分考虑施工中存在因素，及采取的保护措施等，技术措施合理、科学与可行，提出应针对不同的风险点制定突发事件紧急预案。有指导性、针对性、可操作性，符合规范。</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【优】：制定的方案详细，工作内容切实可行，逻辑严谨，得7分，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【良】：制定的方案较详细，工作内容基本可行，逻辑较严谨，得</w:t>
            </w:r>
            <w:r>
              <w:rPr>
                <w:rFonts w:hint="eastAsia" w:ascii="宋体" w:hAnsi="宋体" w:cs="宋体"/>
                <w:color w:val="auto"/>
                <w:szCs w:val="21"/>
                <w:highlight w:val="none"/>
                <w:lang w:eastAsia="zh-TW"/>
              </w:rPr>
              <w:t>4</w:t>
            </w:r>
            <w:r>
              <w:rPr>
                <w:rFonts w:hint="eastAsia" w:ascii="宋体" w:hAnsi="宋体" w:cs="宋体"/>
                <w:color w:val="auto"/>
                <w:szCs w:val="21"/>
                <w:highlight w:val="none"/>
              </w:rPr>
              <w:t>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【一般】：制定的方案基本内容阐述缺项，逻辑混乱、不合理，可行性差，得1分，</w:t>
            </w:r>
          </w:p>
          <w:p>
            <w:pPr>
              <w:widowControl/>
              <w:spacing w:line="276" w:lineRule="auto"/>
              <w:jc w:val="left"/>
              <w:rPr>
                <w:rFonts w:ascii="宋体" w:hAnsi="宋体" w:cs="宋体"/>
                <w:snapToGrid w:val="0"/>
                <w:color w:val="auto"/>
                <w:szCs w:val="21"/>
                <w:highlight w:val="none"/>
              </w:rPr>
            </w:pPr>
            <w:r>
              <w:rPr>
                <w:rFonts w:hint="eastAsia" w:ascii="宋体" w:hAnsi="宋体" w:cs="宋体"/>
                <w:color w:val="auto"/>
                <w:szCs w:val="21"/>
                <w:highlight w:val="none"/>
              </w:rPr>
              <w:t>【差】：未提供得0分。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11" w:type="dxa"/>
            <w:vMerge w:val="continue"/>
            <w:tcBorders>
              <w:left w:val="single" w:color="auto" w:sz="4" w:space="0"/>
              <w:right w:val="single" w:color="auto" w:sz="6" w:space="0"/>
            </w:tcBorders>
            <w:shd w:val="clear" w:color="auto" w:fill="FFFFFF"/>
            <w:vAlign w:val="center"/>
          </w:tcPr>
          <w:p>
            <w:pPr>
              <w:rPr>
                <w:color w:val="auto"/>
                <w:highlight w:val="none"/>
              </w:rPr>
            </w:pPr>
          </w:p>
        </w:tc>
        <w:tc>
          <w:tcPr>
            <w:tcW w:w="1795"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adjustRightInd w:val="0"/>
              <w:snapToGrid w:val="0"/>
              <w:spacing w:line="288" w:lineRule="auto"/>
              <w:jc w:val="center"/>
              <w:rPr>
                <w:rStyle w:val="118"/>
                <w:color w:val="auto"/>
                <w:szCs w:val="21"/>
                <w:highlight w:val="none"/>
              </w:rPr>
            </w:pPr>
            <w:r>
              <w:rPr>
                <w:rFonts w:hint="eastAsia" w:ascii="宋体" w:hAnsi="宋体" w:cs="宋体"/>
                <w:color w:val="auto"/>
                <w:szCs w:val="21"/>
                <w:highlight w:val="none"/>
              </w:rPr>
              <w:t>质量、进度计划、安全、环境管理体系与措施</w:t>
            </w:r>
          </w:p>
        </w:tc>
        <w:tc>
          <w:tcPr>
            <w:tcW w:w="851" w:type="dxa"/>
            <w:tcBorders>
              <w:top w:val="single" w:color="auto" w:sz="6" w:space="0"/>
              <w:left w:val="single" w:color="auto" w:sz="6" w:space="0"/>
              <w:bottom w:val="single" w:color="auto" w:sz="6" w:space="0"/>
              <w:right w:val="single" w:color="auto" w:sz="6" w:space="0"/>
            </w:tcBorders>
            <w:shd w:val="clear" w:color="auto" w:fill="FFFFFF"/>
            <w:vAlign w:val="center"/>
          </w:tcPr>
          <w:p>
            <w:pPr>
              <w:adjustRightInd w:val="0"/>
              <w:snapToGrid w:val="0"/>
              <w:spacing w:line="288" w:lineRule="auto"/>
              <w:jc w:val="center"/>
              <w:rPr>
                <w:rFonts w:ascii="宋体" w:hAnsi="宋体" w:cs="宋体"/>
                <w:color w:val="auto"/>
                <w:szCs w:val="21"/>
                <w:highlight w:val="none"/>
              </w:rPr>
            </w:pPr>
            <w:r>
              <w:rPr>
                <w:rFonts w:ascii="宋体" w:hAnsi="宋体" w:cs="宋体"/>
                <w:color w:val="auto"/>
                <w:szCs w:val="21"/>
                <w:highlight w:val="none"/>
              </w:rPr>
              <w:t>5</w:t>
            </w:r>
          </w:p>
        </w:tc>
        <w:tc>
          <w:tcPr>
            <w:tcW w:w="11853" w:type="dxa"/>
            <w:tcBorders>
              <w:top w:val="single" w:color="auto" w:sz="6" w:space="0"/>
              <w:left w:val="single" w:color="auto" w:sz="6" w:space="0"/>
              <w:bottom w:val="single" w:color="auto" w:sz="6" w:space="0"/>
              <w:right w:val="single" w:color="auto" w:sz="4" w:space="0"/>
            </w:tcBorders>
            <w:shd w:val="clear" w:color="auto" w:fill="FFFFFF"/>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根据本工程的质量、进度计划、安全、环境目标，针对项目的重点、难点等实际情况，从质量、进度计划、安全、环境保证体系、管理机构、专业实施能力保证等方面提出详细的保证措施。管理体系完善、保证措施得当。</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【优】：制定了健全的管理体系与措施，针对性强，对本项目质量、进度计划、安全、环境管理目标的重点、难点分析透彻，保证措施切实可行，得</w:t>
            </w:r>
            <w:r>
              <w:rPr>
                <w:rFonts w:hint="eastAsia" w:ascii="宋体" w:hAnsi="宋体" w:cs="宋体"/>
                <w:color w:val="auto"/>
                <w:szCs w:val="21"/>
                <w:highlight w:val="none"/>
                <w:lang w:eastAsia="zh-TW"/>
              </w:rPr>
              <w:t>5</w:t>
            </w:r>
            <w:r>
              <w:rPr>
                <w:rFonts w:hint="eastAsia" w:ascii="宋体" w:hAnsi="宋体" w:cs="宋体"/>
                <w:color w:val="auto"/>
                <w:szCs w:val="21"/>
                <w:highlight w:val="none"/>
              </w:rPr>
              <w:t>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【良】：制定了管理体系与措施，针对性一般，对本项目质量、进度计划、安全、环境管理目标的重点、难点分析较透彻，保证措施基本可行，得3分，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【一般】：制定了管理体系与措施，缺乏针对性，对本项目质量、进度计划、安全、环境管理目标的重点、难点分析缺项、不合理，保证措施可行性差，得1分，</w:t>
            </w:r>
          </w:p>
          <w:p>
            <w:pPr>
              <w:widowControl/>
              <w:spacing w:line="276" w:lineRule="auto"/>
              <w:jc w:val="left"/>
              <w:rPr>
                <w:rFonts w:ascii="宋体" w:hAnsi="宋体" w:cs="宋体"/>
                <w:snapToGrid w:val="0"/>
                <w:color w:val="auto"/>
                <w:szCs w:val="21"/>
                <w:highlight w:val="none"/>
              </w:rPr>
            </w:pPr>
            <w:r>
              <w:rPr>
                <w:rFonts w:hint="eastAsia" w:ascii="宋体" w:hAnsi="宋体" w:cs="宋体"/>
                <w:color w:val="auto"/>
                <w:szCs w:val="21"/>
                <w:highlight w:val="none"/>
              </w:rPr>
              <w:t>【差】：未提供得0分。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11" w:type="dxa"/>
            <w:vMerge w:val="continue"/>
            <w:tcBorders>
              <w:left w:val="single" w:color="auto" w:sz="4" w:space="0"/>
              <w:bottom w:val="single" w:color="auto" w:sz="4" w:space="0"/>
              <w:right w:val="single" w:color="auto" w:sz="6" w:space="0"/>
            </w:tcBorders>
            <w:shd w:val="clear" w:color="auto" w:fill="auto"/>
            <w:vAlign w:val="center"/>
          </w:tcPr>
          <w:p>
            <w:pPr>
              <w:rPr>
                <w:color w:val="auto"/>
                <w:highlight w:val="none"/>
              </w:rPr>
            </w:pPr>
          </w:p>
        </w:tc>
        <w:tc>
          <w:tcPr>
            <w:tcW w:w="1795" w:type="dxa"/>
            <w:tcBorders>
              <w:top w:val="single" w:color="auto" w:sz="6" w:space="0"/>
              <w:left w:val="single" w:color="auto" w:sz="6" w:space="0"/>
              <w:bottom w:val="single" w:color="auto" w:sz="4" w:space="0"/>
              <w:right w:val="single" w:color="auto" w:sz="6" w:space="0"/>
            </w:tcBorders>
            <w:shd w:val="clear" w:color="auto" w:fill="FFFFFF"/>
            <w:vAlign w:val="center"/>
          </w:tcPr>
          <w:p>
            <w:pPr>
              <w:widowControl/>
              <w:adjustRightInd w:val="0"/>
              <w:snapToGrid w:val="0"/>
              <w:spacing w:line="288" w:lineRule="auto"/>
              <w:jc w:val="center"/>
              <w:rPr>
                <w:rStyle w:val="118"/>
                <w:color w:val="auto"/>
                <w:szCs w:val="21"/>
                <w:highlight w:val="none"/>
              </w:rPr>
            </w:pPr>
            <w:r>
              <w:rPr>
                <w:rFonts w:hint="eastAsia" w:ascii="宋体" w:hAnsi="宋体" w:cs="宋体"/>
                <w:color w:val="auto"/>
                <w:szCs w:val="21"/>
                <w:highlight w:val="none"/>
              </w:rPr>
              <w:t>绿色施工</w:t>
            </w:r>
          </w:p>
        </w:tc>
        <w:tc>
          <w:tcPr>
            <w:tcW w:w="851" w:type="dxa"/>
            <w:tcBorders>
              <w:top w:val="single" w:color="auto" w:sz="6" w:space="0"/>
              <w:left w:val="single" w:color="auto" w:sz="6" w:space="0"/>
              <w:bottom w:val="single" w:color="auto" w:sz="4" w:space="0"/>
              <w:right w:val="single" w:color="auto" w:sz="6" w:space="0"/>
            </w:tcBorders>
            <w:shd w:val="clear" w:color="auto" w:fill="FFFFFF"/>
            <w:vAlign w:val="center"/>
          </w:tcPr>
          <w:p>
            <w:pPr>
              <w:adjustRightInd w:val="0"/>
              <w:snapToGrid w:val="0"/>
              <w:spacing w:line="288" w:lineRule="auto"/>
              <w:jc w:val="center"/>
              <w:rPr>
                <w:rFonts w:ascii="宋体" w:hAnsi="宋体" w:cs="宋体"/>
                <w:color w:val="auto"/>
                <w:szCs w:val="21"/>
                <w:highlight w:val="none"/>
              </w:rPr>
            </w:pPr>
            <w:r>
              <w:rPr>
                <w:rFonts w:ascii="宋体" w:hAnsi="宋体" w:cs="宋体"/>
                <w:color w:val="auto"/>
                <w:szCs w:val="21"/>
                <w:highlight w:val="none"/>
              </w:rPr>
              <w:t>3</w:t>
            </w:r>
          </w:p>
        </w:tc>
        <w:tc>
          <w:tcPr>
            <w:tcW w:w="11853" w:type="dxa"/>
            <w:tcBorders>
              <w:top w:val="single" w:color="auto" w:sz="6" w:space="0"/>
              <w:left w:val="single" w:color="auto" w:sz="6" w:space="0"/>
              <w:bottom w:val="single" w:color="auto" w:sz="4" w:space="0"/>
              <w:right w:val="single" w:color="auto" w:sz="4" w:space="0"/>
            </w:tcBorders>
            <w:shd w:val="clear" w:color="auto" w:fill="FFFFFF"/>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投标人在施工过程中通过科学管理和先进的技术手段，最大限度地节约资源与减少对环境的负面影响，以达到四节一环保（节能、节地、节水、节材和环境保护）的目标。</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【优】：制定了施工过程中的科学管理和先进的技术手段，管理措施合理、技术手段切实可行，得3分，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【良】：制定了施工过程中的科学管理和先进的技术手段，管理措施合理、技术手段基本可行，得2分，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【一般】：制定了施工过程中的科学管理和先进的技术手段，管理措施合理、技术手段可行性差，得1分，</w:t>
            </w:r>
          </w:p>
          <w:p>
            <w:pPr>
              <w:widowControl/>
              <w:spacing w:line="276" w:lineRule="auto"/>
              <w:jc w:val="left"/>
              <w:rPr>
                <w:rFonts w:ascii="宋体" w:hAnsi="宋体" w:cs="宋体"/>
                <w:snapToGrid w:val="0"/>
                <w:color w:val="auto"/>
                <w:szCs w:val="21"/>
                <w:highlight w:val="none"/>
              </w:rPr>
            </w:pPr>
            <w:r>
              <w:rPr>
                <w:rFonts w:hint="eastAsia" w:ascii="宋体" w:hAnsi="宋体" w:cs="宋体"/>
                <w:color w:val="auto"/>
                <w:szCs w:val="21"/>
                <w:highlight w:val="none"/>
              </w:rPr>
              <w:t>【差】：未提供得0分。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2506" w:type="dxa"/>
            <w:gridSpan w:val="2"/>
            <w:tcBorders>
              <w:top w:val="single" w:color="auto" w:sz="4" w:space="0"/>
              <w:left w:val="single" w:color="auto" w:sz="8" w:space="0"/>
              <w:bottom w:val="single" w:color="auto" w:sz="4" w:space="0"/>
              <w:right w:val="single" w:color="auto" w:sz="4" w:space="0"/>
            </w:tcBorders>
            <w:vAlign w:val="center"/>
          </w:tcPr>
          <w:p>
            <w:pPr>
              <w:rPr>
                <w:color w:val="auto"/>
                <w:highlight w:val="none"/>
              </w:rPr>
            </w:pPr>
            <w:r>
              <w:rPr>
                <w:rFonts w:hint="eastAsia" w:ascii="宋体" w:hAnsi="宋体" w:cs="宋体"/>
                <w:color w:val="auto"/>
                <w:szCs w:val="21"/>
                <w:highlight w:val="none"/>
              </w:rPr>
              <w:t>合计（一+二）</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100分</w:t>
            </w:r>
          </w:p>
        </w:tc>
        <w:tc>
          <w:tcPr>
            <w:tcW w:w="1185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bl>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w:t>
      </w:r>
    </w:p>
    <w:p>
      <w:pPr>
        <w:adjustRightInd w:val="0"/>
        <w:snapToGrid w:val="0"/>
        <w:spacing w:line="360" w:lineRule="auto"/>
        <w:ind w:right="42" w:rightChars="20"/>
        <w:rPr>
          <w:rFonts w:ascii="宋体" w:hAnsi="宋体" w:cs="宋体"/>
          <w:color w:val="auto"/>
          <w:szCs w:val="21"/>
          <w:highlight w:val="none"/>
        </w:rPr>
      </w:pPr>
      <w:r>
        <w:rPr>
          <w:rFonts w:hint="eastAsia" w:ascii="宋体" w:hAnsi="宋体" w:cs="宋体"/>
          <w:color w:val="auto"/>
          <w:szCs w:val="21"/>
          <w:highlight w:val="none"/>
        </w:rPr>
        <w:t>备注：1、【类似工程业绩】：</w:t>
      </w:r>
    </w:p>
    <w:p>
      <w:pPr>
        <w:adjustRightInd w:val="0"/>
        <w:snapToGrid w:val="0"/>
        <w:spacing w:line="360" w:lineRule="auto"/>
        <w:ind w:right="42" w:rightChars="20"/>
        <w:rPr>
          <w:rFonts w:ascii="宋体" w:hAnsi="宋体" w:cs="宋体"/>
          <w:color w:val="auto"/>
          <w:szCs w:val="21"/>
          <w:highlight w:val="none"/>
        </w:rPr>
      </w:pPr>
      <w:r>
        <w:rPr>
          <w:rFonts w:hint="eastAsia" w:ascii="宋体" w:hAnsi="宋体" w:cs="宋体"/>
          <w:color w:val="auto"/>
          <w:szCs w:val="21"/>
          <w:highlight w:val="none"/>
        </w:rPr>
        <w:t>(1)类似工程业绩是指中标金额大于或等于</w:t>
      </w:r>
      <w:r>
        <w:rPr>
          <w:rFonts w:hint="eastAsia" w:ascii="宋体" w:hAnsi="宋体" w:cs="宋体"/>
          <w:color w:val="auto"/>
          <w:szCs w:val="21"/>
          <w:highlight w:val="none"/>
          <w:lang w:eastAsia="zh-CN"/>
        </w:rPr>
        <w:t>9</w:t>
      </w:r>
      <w:r>
        <w:rPr>
          <w:rFonts w:ascii="宋体" w:hAnsi="宋体" w:cs="宋体"/>
          <w:color w:val="auto"/>
          <w:szCs w:val="21"/>
          <w:highlight w:val="none"/>
        </w:rPr>
        <w:t>00</w:t>
      </w:r>
      <w:r>
        <w:rPr>
          <w:rFonts w:hint="eastAsia" w:ascii="宋体" w:hAnsi="宋体" w:cs="宋体"/>
          <w:color w:val="auto"/>
          <w:szCs w:val="21"/>
          <w:highlight w:val="none"/>
        </w:rPr>
        <w:t>万元的市政公用工程施工总承包（不含轨道交通工程）业绩，金额以中标通知书（其中勘察设计施工总承包或设计施工总承包或设计采购施工总承包或勘察设计采购施工总承包业绩以施工费中标金额）为准，若中标通知书没有显示中标金额或免招标的，以施工总承包合同或设计施工总承包合同或勘察设计施工总承包合同或设计采购施工总承包合同或勘察设计采购施工总承包合同为准，完成时间以竣工验收报告为准。</w:t>
      </w:r>
    </w:p>
    <w:p>
      <w:pPr>
        <w:adjustRightInd w:val="0"/>
        <w:snapToGrid w:val="0"/>
        <w:spacing w:line="360" w:lineRule="auto"/>
        <w:ind w:right="42" w:rightChars="20"/>
        <w:rPr>
          <w:rFonts w:ascii="宋体" w:hAnsi="宋体" w:cs="宋体"/>
          <w:color w:val="auto"/>
          <w:szCs w:val="21"/>
          <w:highlight w:val="none"/>
        </w:rPr>
      </w:pPr>
      <w:r>
        <w:rPr>
          <w:rFonts w:hint="eastAsia" w:ascii="宋体" w:hAnsi="宋体" w:cs="宋体"/>
          <w:color w:val="auto"/>
          <w:szCs w:val="21"/>
          <w:highlight w:val="none"/>
        </w:rPr>
        <w:t>(2)企业业绩须提交证明资料:①中标通知书扫描件（或免招标证明扫描件）；②合同扫描件(不含补充合同)；③竣工验收报告扫描件（文件至少具有建设单位、设计、施工和监理单位盖章）；④项目业绩在全国建筑市场监管公共服务平台（四库一平台）上的网页截图须含（招投标信息、合同登记信息、施工图审查、施工许可及竣工验收信息（含竣工验收备案信息及竣工验收信息））。上述资料显示的内容须一致且工程业绩须为市政公用工程施工总承包资质方能承接的业绩（勘察设计施工总承包或设计施工总承包或设计采购施工总承包或勘察设计采购施工总承包以施工资质为准），不符合上述条件或提供的资料不齐全的业绩不予评审。</w:t>
      </w:r>
    </w:p>
    <w:p>
      <w:pPr>
        <w:adjustRightInd w:val="0"/>
        <w:snapToGrid w:val="0"/>
        <w:spacing w:line="360" w:lineRule="auto"/>
        <w:ind w:right="42" w:rightChars="20"/>
        <w:rPr>
          <w:rFonts w:ascii="宋体" w:hAnsi="宋体" w:cs="宋体"/>
          <w:color w:val="auto"/>
          <w:szCs w:val="21"/>
          <w:highlight w:val="none"/>
        </w:rPr>
      </w:pPr>
      <w:r>
        <w:rPr>
          <w:rFonts w:hint="eastAsia" w:ascii="宋体" w:hAnsi="宋体" w:cs="宋体"/>
          <w:color w:val="auto"/>
          <w:szCs w:val="21"/>
          <w:highlight w:val="none"/>
        </w:rPr>
        <w:t>2、项目管理机构人员不得相互兼任，须提供相应人员岗位证（如有）、职称证书（如有）、执业资格证书（如有）、毕业证（如有）的原件扫描件，管理工作经验以大专或以上毕业时间起计；注册造价工程师（或一级注册造价工程师）须同时提供注册造价工程师注册信息查询网站（http://zaojiasys.jianshe99.com/cecaopsys/queryAndSearch/view.do?op=queryUserInfoInit）查询结果网页截图。须提供相应人员近一个月在本单位（不含投标人的子公司）的社保证明材料。</w:t>
      </w:r>
    </w:p>
    <w:p>
      <w:pPr>
        <w:adjustRightInd w:val="0"/>
        <w:snapToGrid w:val="0"/>
        <w:spacing w:line="360" w:lineRule="auto"/>
        <w:ind w:right="42" w:rightChars="20"/>
        <w:rPr>
          <w:rFonts w:ascii="宋体" w:hAnsi="宋体" w:cs="宋体"/>
          <w:color w:val="auto"/>
          <w:szCs w:val="21"/>
          <w:highlight w:val="none"/>
        </w:rPr>
      </w:pPr>
      <w:r>
        <w:rPr>
          <w:rFonts w:hint="eastAsia" w:ascii="宋体" w:hAnsi="宋体" w:cs="宋体"/>
          <w:color w:val="auto"/>
          <w:szCs w:val="21"/>
          <w:highlight w:val="none"/>
        </w:rPr>
        <w:t>注：注册造价工程师（或一级注册造价工程师）执业资格证书划分与认定，详见《造价工程师执业资格制度暂行规定》（人发〔1996〕77号）</w:t>
      </w:r>
    </w:p>
    <w:p>
      <w:pPr>
        <w:adjustRightInd w:val="0"/>
        <w:snapToGrid w:val="0"/>
        <w:spacing w:line="360" w:lineRule="auto"/>
        <w:ind w:right="42" w:rightChars="20"/>
        <w:rPr>
          <w:rFonts w:ascii="宋体" w:hAnsi="宋体" w:cs="宋体"/>
          <w:color w:val="auto"/>
          <w:szCs w:val="21"/>
          <w:highlight w:val="none"/>
        </w:rPr>
      </w:pPr>
      <w:r>
        <w:rPr>
          <w:rFonts w:hint="eastAsia" w:ascii="宋体" w:hAnsi="宋体" w:cs="宋体"/>
          <w:color w:val="auto"/>
          <w:szCs w:val="21"/>
          <w:highlight w:val="none"/>
        </w:rPr>
        <w:t>3、项目管理班子答辩要求：</w:t>
      </w:r>
    </w:p>
    <w:p>
      <w:pPr>
        <w:adjustRightInd w:val="0"/>
        <w:snapToGrid w:val="0"/>
        <w:spacing w:line="360" w:lineRule="auto"/>
        <w:ind w:right="42" w:rightChars="20"/>
        <w:rPr>
          <w:rFonts w:ascii="宋体" w:hAnsi="宋体" w:cs="宋体"/>
          <w:color w:val="auto"/>
          <w:szCs w:val="21"/>
          <w:highlight w:val="none"/>
        </w:rPr>
      </w:pPr>
      <w:r>
        <w:rPr>
          <w:rFonts w:hint="eastAsia" w:ascii="宋体" w:hAnsi="宋体" w:cs="宋体"/>
          <w:color w:val="auto"/>
          <w:szCs w:val="21"/>
          <w:highlight w:val="none"/>
        </w:rPr>
        <w:t>1)答辨顺序的确定：在开标时，根据广州公共资源交易中心交易平台电子开标系统显示的先后顺序，由投标人代表依次在1~N(“N”值为办理投标登记成功递交电子投标文件的单位数量)号珠中随机抽取一个珠号(如投标人代表未出席开标会的，由招标代理在广州公共资源交易中心见证人员的见证下抽取，视为投标人默认抽取结果)，代表相应投标人的现场答辨的初步顺序号。各参加答辩的投标单位按顺序依次进行答辩。</w:t>
      </w:r>
    </w:p>
    <w:p>
      <w:pPr>
        <w:adjustRightInd w:val="0"/>
        <w:snapToGrid w:val="0"/>
        <w:spacing w:line="360" w:lineRule="auto"/>
        <w:ind w:right="42" w:rightChars="2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)答辩形式与要求：答辩人员先陈述，评委针对陈述内容提问，由答辩人员进行解答；</w:t>
      </w:r>
    </w:p>
    <w:p>
      <w:pPr>
        <w:adjustRightInd w:val="0"/>
        <w:snapToGrid w:val="0"/>
        <w:spacing w:line="360" w:lineRule="auto"/>
        <w:ind w:right="42" w:rightChars="2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)答辩时长控制：每个投标人的答辩时间控制在10分钟内。</w:t>
      </w:r>
    </w:p>
    <w:p>
      <w:pPr>
        <w:adjustRightInd w:val="0"/>
        <w:snapToGrid w:val="0"/>
        <w:spacing w:line="360" w:lineRule="auto"/>
        <w:ind w:right="42" w:rightChars="20"/>
        <w:rPr>
          <w:rFonts w:ascii="宋体" w:hAnsi="宋体" w:cs="宋体"/>
          <w:color w:val="auto"/>
          <w:szCs w:val="21"/>
          <w:highlight w:val="none"/>
        </w:rPr>
      </w:pPr>
      <w:r>
        <w:rPr>
          <w:rFonts w:hint="eastAsia" w:ascii="宋体" w:hAnsi="宋体" w:cs="宋体"/>
          <w:color w:val="auto"/>
          <w:szCs w:val="21"/>
          <w:highlight w:val="none"/>
        </w:rPr>
        <w:t>4、投标人得分为各评委评的算术平均值（若分数出现小数点时，保留小数点后二位，第三位小数四舍五入）。</w:t>
      </w:r>
    </w:p>
    <w:p>
      <w:pPr>
        <w:spacing w:line="360" w:lineRule="auto"/>
        <w:ind w:firstLine="420" w:firstLineChars="200"/>
        <w:rPr>
          <w:color w:val="auto"/>
          <w:highlight w:val="none"/>
        </w:rPr>
      </w:pPr>
    </w:p>
    <w:p>
      <w:pPr>
        <w:spacing w:line="360" w:lineRule="auto"/>
        <w:ind w:firstLine="420" w:firstLineChars="200"/>
        <w:rPr>
          <w:color w:val="auto"/>
          <w:highlight w:val="none"/>
        </w:rPr>
      </w:pPr>
      <w:r>
        <w:rPr>
          <w:rFonts w:hint="eastAsia"/>
          <w:color w:val="auto"/>
          <w:highlight w:val="none"/>
        </w:rPr>
        <w:t>评委签名：</w:t>
      </w:r>
      <w:r>
        <w:rPr>
          <w:color w:val="auto"/>
          <w:highlight w:val="none"/>
        </w:rPr>
        <w:t xml:space="preserve">                                                                       </w:t>
      </w:r>
      <w:r>
        <w:rPr>
          <w:rFonts w:hint="eastAsia"/>
          <w:color w:val="auto"/>
          <w:highlight w:val="none"/>
        </w:rPr>
        <w:t>日期：</w:t>
      </w: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r>
        <w:rPr>
          <w:rFonts w:hint="eastAsia"/>
          <w:color w:val="auto"/>
          <w:sz w:val="28"/>
          <w:szCs w:val="28"/>
          <w:highlight w:val="none"/>
        </w:rPr>
        <w:t>附表五（适用于区间抽取法）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color w:val="auto"/>
          <w:szCs w:val="21"/>
          <w:highlight w:val="none"/>
        </w:rPr>
      </w:pPr>
      <w:r>
        <w:rPr>
          <w:rFonts w:hint="eastAsia"/>
          <w:color w:val="auto"/>
          <w:szCs w:val="21"/>
          <w:highlight w:val="none"/>
        </w:rPr>
        <w:t>评委签名：</w:t>
      </w:r>
    </w:p>
    <w:p>
      <w:pPr>
        <w:rPr>
          <w:color w:val="auto"/>
          <w:szCs w:val="21"/>
          <w:highlight w:val="none"/>
        </w:rPr>
      </w:pPr>
    </w:p>
    <w:p>
      <w:pPr>
        <w:rPr>
          <w:color w:val="auto"/>
          <w:szCs w:val="21"/>
          <w:highlight w:val="none"/>
        </w:rPr>
      </w:pPr>
    </w:p>
    <w:p>
      <w:pPr>
        <w:pStyle w:val="20"/>
        <w:rPr>
          <w:color w:val="auto"/>
          <w:highlight w:val="none"/>
        </w:rPr>
      </w:pPr>
    </w:p>
    <w:p>
      <w:pPr>
        <w:rPr>
          <w:rFonts w:ascii="Tahoma" w:hAnsi="Tahoma" w:cs="Tahoma"/>
          <w:strike/>
          <w:color w:val="auto"/>
          <w:sz w:val="28"/>
          <w:szCs w:val="28"/>
          <w:highlight w:val="none"/>
        </w:rPr>
      </w:pPr>
      <w:r>
        <w:rPr>
          <w:rFonts w:hint="eastAsia" w:ascii="Tahoma" w:hAnsi="Tahoma" w:cs="Tahoma"/>
          <w:strike/>
          <w:color w:val="auto"/>
          <w:sz w:val="28"/>
          <w:szCs w:val="28"/>
          <w:highlight w:val="none"/>
        </w:rPr>
        <w:t>附表六：（适用于有主要项目单价评审的项目）</w:t>
      </w:r>
    </w:p>
    <w:p>
      <w:pPr>
        <w:jc w:val="center"/>
        <w:rPr>
          <w:b/>
          <w:strike/>
          <w:color w:val="auto"/>
          <w:sz w:val="36"/>
          <w:szCs w:val="36"/>
          <w:highlight w:val="none"/>
        </w:rPr>
      </w:pPr>
      <w:r>
        <w:rPr>
          <w:rFonts w:hint="eastAsia"/>
          <w:b/>
          <w:strike/>
          <w:color w:val="auto"/>
          <w:sz w:val="36"/>
          <w:szCs w:val="36"/>
          <w:highlight w:val="none"/>
        </w:rPr>
        <w:t>需评审的主要项目表</w:t>
      </w:r>
    </w:p>
    <w:tbl>
      <w:tblPr>
        <w:tblStyle w:val="36"/>
        <w:tblW w:w="13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947"/>
        <w:gridCol w:w="2310"/>
        <w:gridCol w:w="2835"/>
        <w:gridCol w:w="1134"/>
        <w:gridCol w:w="170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47" w:type="dxa"/>
            <w:vAlign w:val="center"/>
          </w:tcPr>
          <w:p>
            <w:pPr>
              <w:tabs>
                <w:tab w:val="left" w:pos="720"/>
              </w:tabs>
              <w:spacing w:line="360" w:lineRule="auto"/>
              <w:jc w:val="center"/>
              <w:rPr>
                <w:rFonts w:ascii="Tahoma" w:hAnsi="Tahoma" w:cs="Tahoma"/>
                <w:strike/>
                <w:color w:val="auto"/>
                <w:szCs w:val="21"/>
                <w:highlight w:val="none"/>
              </w:rPr>
            </w:pPr>
            <w:r>
              <w:rPr>
                <w:rFonts w:ascii="Tahoma" w:hAnsi="Tahoma" w:cs="Tahoma"/>
                <w:strike/>
                <w:color w:val="auto"/>
                <w:szCs w:val="21"/>
                <w:highlight w:val="none"/>
              </w:rPr>
              <w:t>清单序号</w:t>
            </w:r>
          </w:p>
        </w:tc>
        <w:tc>
          <w:tcPr>
            <w:tcW w:w="1947" w:type="dxa"/>
            <w:vAlign w:val="center"/>
          </w:tcPr>
          <w:p>
            <w:pPr>
              <w:tabs>
                <w:tab w:val="left" w:pos="720"/>
              </w:tabs>
              <w:spacing w:line="360" w:lineRule="auto"/>
              <w:jc w:val="center"/>
              <w:rPr>
                <w:rFonts w:ascii="Tahoma" w:hAnsi="Tahoma" w:cs="Tahoma"/>
                <w:strike/>
                <w:color w:val="auto"/>
                <w:szCs w:val="21"/>
                <w:highlight w:val="none"/>
              </w:rPr>
            </w:pPr>
            <w:r>
              <w:rPr>
                <w:rFonts w:ascii="Tahoma" w:hAnsi="Tahoma" w:cs="Tahoma"/>
                <w:strike/>
                <w:color w:val="auto"/>
                <w:szCs w:val="21"/>
                <w:highlight w:val="none"/>
              </w:rPr>
              <w:t>项目编码</w:t>
            </w:r>
          </w:p>
        </w:tc>
        <w:tc>
          <w:tcPr>
            <w:tcW w:w="2310" w:type="dxa"/>
            <w:vAlign w:val="center"/>
          </w:tcPr>
          <w:p>
            <w:pPr>
              <w:tabs>
                <w:tab w:val="left" w:pos="720"/>
              </w:tabs>
              <w:spacing w:line="360" w:lineRule="auto"/>
              <w:jc w:val="center"/>
              <w:rPr>
                <w:rFonts w:ascii="Tahoma" w:hAnsi="Tahoma" w:cs="Tahoma"/>
                <w:strike/>
                <w:color w:val="auto"/>
                <w:szCs w:val="21"/>
                <w:highlight w:val="none"/>
              </w:rPr>
            </w:pPr>
            <w:r>
              <w:rPr>
                <w:rFonts w:ascii="Tahoma" w:hAnsi="Tahoma" w:cs="Tahoma"/>
                <w:strike/>
                <w:color w:val="auto"/>
                <w:szCs w:val="21"/>
                <w:highlight w:val="none"/>
              </w:rPr>
              <w:t>项目名称</w:t>
            </w:r>
          </w:p>
        </w:tc>
        <w:tc>
          <w:tcPr>
            <w:tcW w:w="2835" w:type="dxa"/>
            <w:vAlign w:val="center"/>
          </w:tcPr>
          <w:p>
            <w:pPr>
              <w:tabs>
                <w:tab w:val="left" w:pos="720"/>
              </w:tabs>
              <w:spacing w:line="360" w:lineRule="auto"/>
              <w:jc w:val="center"/>
              <w:rPr>
                <w:rFonts w:ascii="Tahoma" w:hAnsi="Tahoma" w:cs="Tahoma"/>
                <w:strike/>
                <w:color w:val="auto"/>
                <w:szCs w:val="21"/>
                <w:highlight w:val="none"/>
              </w:rPr>
            </w:pPr>
            <w:r>
              <w:rPr>
                <w:rFonts w:ascii="Tahoma" w:hAnsi="Tahoma" w:cs="Tahoma"/>
                <w:strike/>
                <w:color w:val="auto"/>
                <w:szCs w:val="21"/>
                <w:highlight w:val="none"/>
              </w:rPr>
              <w:t>项目特征描述</w:t>
            </w:r>
          </w:p>
        </w:tc>
        <w:tc>
          <w:tcPr>
            <w:tcW w:w="1134" w:type="dxa"/>
            <w:vAlign w:val="center"/>
          </w:tcPr>
          <w:p>
            <w:pPr>
              <w:tabs>
                <w:tab w:val="left" w:pos="720"/>
              </w:tabs>
              <w:spacing w:line="360" w:lineRule="auto"/>
              <w:jc w:val="center"/>
              <w:rPr>
                <w:rFonts w:ascii="Tahoma" w:hAnsi="Tahoma" w:cs="Tahoma"/>
                <w:strike/>
                <w:color w:val="auto"/>
                <w:szCs w:val="21"/>
                <w:highlight w:val="none"/>
              </w:rPr>
            </w:pPr>
            <w:r>
              <w:rPr>
                <w:rFonts w:ascii="Tahoma" w:hAnsi="Tahoma" w:cs="Tahoma"/>
                <w:strike/>
                <w:color w:val="auto"/>
                <w:szCs w:val="21"/>
                <w:highlight w:val="none"/>
              </w:rPr>
              <w:t>计量单位</w:t>
            </w:r>
          </w:p>
        </w:tc>
        <w:tc>
          <w:tcPr>
            <w:tcW w:w="1701" w:type="dxa"/>
            <w:vAlign w:val="center"/>
          </w:tcPr>
          <w:p>
            <w:pPr>
              <w:tabs>
                <w:tab w:val="left" w:pos="720"/>
              </w:tabs>
              <w:spacing w:line="360" w:lineRule="auto"/>
              <w:jc w:val="center"/>
              <w:rPr>
                <w:rFonts w:ascii="Tahoma" w:hAnsi="Tahoma" w:cs="Tahoma"/>
                <w:strike/>
                <w:color w:val="auto"/>
                <w:szCs w:val="21"/>
                <w:highlight w:val="none"/>
              </w:rPr>
            </w:pPr>
            <w:r>
              <w:rPr>
                <w:rFonts w:ascii="Tahoma" w:hAnsi="Tahoma" w:cs="Tahoma"/>
                <w:strike/>
                <w:color w:val="auto"/>
                <w:szCs w:val="21"/>
                <w:highlight w:val="none"/>
              </w:rPr>
              <w:t>工程量</w:t>
            </w:r>
          </w:p>
        </w:tc>
        <w:tc>
          <w:tcPr>
            <w:tcW w:w="1275" w:type="dxa"/>
            <w:vAlign w:val="center"/>
          </w:tcPr>
          <w:p>
            <w:pPr>
              <w:tabs>
                <w:tab w:val="left" w:pos="720"/>
              </w:tabs>
              <w:spacing w:line="360" w:lineRule="auto"/>
              <w:jc w:val="center"/>
              <w:rPr>
                <w:rFonts w:ascii="Tahoma" w:hAnsi="Tahoma" w:cs="Tahoma"/>
                <w:strike/>
                <w:color w:val="auto"/>
                <w:szCs w:val="21"/>
                <w:highlight w:val="none"/>
              </w:rPr>
            </w:pPr>
            <w:r>
              <w:rPr>
                <w:rFonts w:ascii="Tahoma" w:hAnsi="Tahoma" w:cs="Tahoma"/>
                <w:strike/>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47" w:type="dxa"/>
            <w:vAlign w:val="center"/>
          </w:tcPr>
          <w:p>
            <w:pPr>
              <w:tabs>
                <w:tab w:val="left" w:pos="720"/>
              </w:tabs>
              <w:spacing w:line="360" w:lineRule="auto"/>
              <w:jc w:val="center"/>
              <w:rPr>
                <w:rFonts w:ascii="Tahoma" w:hAnsi="Tahoma" w:cs="Tahoma"/>
                <w:strike/>
                <w:color w:val="auto"/>
                <w:szCs w:val="21"/>
                <w:highlight w:val="none"/>
              </w:rPr>
            </w:pPr>
          </w:p>
        </w:tc>
        <w:tc>
          <w:tcPr>
            <w:tcW w:w="194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Tahoma" w:hAnsi="Tahoma" w:cs="Tahoma"/>
                <w:strike/>
                <w:color w:val="auto"/>
                <w:szCs w:val="21"/>
                <w:highlight w:val="none"/>
              </w:rPr>
            </w:pPr>
          </w:p>
        </w:tc>
        <w:tc>
          <w:tcPr>
            <w:tcW w:w="2310" w:type="dxa"/>
            <w:tcBorders>
              <w:top w:val="single" w:color="auto" w:sz="4" w:space="0"/>
              <w:left w:val="nil"/>
              <w:bottom w:val="single" w:color="auto" w:sz="4" w:space="0"/>
              <w:right w:val="single" w:color="auto" w:sz="4" w:space="0"/>
            </w:tcBorders>
            <w:vAlign w:val="center"/>
          </w:tcPr>
          <w:p>
            <w:pPr>
              <w:tabs>
                <w:tab w:val="left" w:pos="720"/>
              </w:tabs>
              <w:spacing w:line="360" w:lineRule="auto"/>
              <w:jc w:val="center"/>
              <w:rPr>
                <w:rFonts w:ascii="Tahoma" w:hAnsi="Tahoma" w:cs="Tahoma"/>
                <w:strike/>
                <w:color w:val="auto"/>
                <w:szCs w:val="21"/>
                <w:highlight w:val="none"/>
              </w:rPr>
            </w:pPr>
          </w:p>
        </w:tc>
        <w:tc>
          <w:tcPr>
            <w:tcW w:w="2835" w:type="dxa"/>
            <w:tcBorders>
              <w:top w:val="single" w:color="auto" w:sz="4" w:space="0"/>
              <w:left w:val="nil"/>
              <w:bottom w:val="single" w:color="auto" w:sz="4" w:space="0"/>
              <w:right w:val="single" w:color="auto" w:sz="4" w:space="0"/>
            </w:tcBorders>
            <w:vAlign w:val="center"/>
          </w:tcPr>
          <w:p>
            <w:pPr>
              <w:tabs>
                <w:tab w:val="left" w:pos="720"/>
              </w:tabs>
              <w:spacing w:line="360" w:lineRule="auto"/>
              <w:jc w:val="center"/>
              <w:rPr>
                <w:rFonts w:ascii="Tahoma" w:hAnsi="Tahoma" w:cs="Tahoma"/>
                <w:strike/>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Tahoma" w:hAnsi="Tahoma" w:cs="Tahoma"/>
                <w:strike/>
                <w:color w:val="auto"/>
                <w:sz w:val="28"/>
                <w:szCs w:val="28"/>
                <w:highlight w:val="none"/>
              </w:rPr>
            </w:pPr>
          </w:p>
        </w:tc>
        <w:tc>
          <w:tcPr>
            <w:tcW w:w="1701" w:type="dxa"/>
            <w:tcBorders>
              <w:top w:val="single" w:color="auto" w:sz="4" w:space="0"/>
              <w:left w:val="nil"/>
              <w:bottom w:val="single" w:color="auto" w:sz="4" w:space="0"/>
              <w:right w:val="single" w:color="auto" w:sz="4" w:space="0"/>
            </w:tcBorders>
            <w:vAlign w:val="center"/>
          </w:tcPr>
          <w:p>
            <w:pPr>
              <w:tabs>
                <w:tab w:val="left" w:pos="720"/>
              </w:tabs>
              <w:spacing w:line="360" w:lineRule="auto"/>
              <w:jc w:val="center"/>
              <w:rPr>
                <w:rFonts w:ascii="Tahoma" w:hAnsi="Tahoma" w:cs="Tahoma"/>
                <w:strike/>
                <w:color w:val="auto"/>
                <w:szCs w:val="21"/>
                <w:highlight w:val="none"/>
              </w:rPr>
            </w:pPr>
          </w:p>
        </w:tc>
        <w:tc>
          <w:tcPr>
            <w:tcW w:w="1275" w:type="dxa"/>
            <w:vAlign w:val="center"/>
          </w:tcPr>
          <w:p>
            <w:pPr>
              <w:tabs>
                <w:tab w:val="left" w:pos="720"/>
              </w:tabs>
              <w:spacing w:line="360" w:lineRule="auto"/>
              <w:jc w:val="center"/>
              <w:rPr>
                <w:rFonts w:ascii="Tahoma" w:hAnsi="Tahoma" w:cs="Tahoma"/>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947" w:type="dxa"/>
            <w:vAlign w:val="center"/>
          </w:tcPr>
          <w:p>
            <w:pPr>
              <w:tabs>
                <w:tab w:val="left" w:pos="720"/>
              </w:tabs>
              <w:spacing w:line="360" w:lineRule="auto"/>
              <w:jc w:val="center"/>
              <w:rPr>
                <w:rFonts w:ascii="Tahoma" w:hAnsi="Tahoma" w:cs="Tahoma"/>
                <w:strike/>
                <w:color w:val="auto"/>
                <w:szCs w:val="21"/>
                <w:highlight w:val="none"/>
              </w:rPr>
            </w:pPr>
          </w:p>
        </w:tc>
        <w:tc>
          <w:tcPr>
            <w:tcW w:w="194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Tahoma" w:hAnsi="Tahoma" w:cs="Tahoma"/>
                <w:strike/>
                <w:color w:val="auto"/>
                <w:szCs w:val="21"/>
                <w:highlight w:val="none"/>
              </w:rPr>
            </w:pPr>
          </w:p>
        </w:tc>
        <w:tc>
          <w:tcPr>
            <w:tcW w:w="2310" w:type="dxa"/>
            <w:tcBorders>
              <w:top w:val="single" w:color="auto" w:sz="4" w:space="0"/>
              <w:left w:val="nil"/>
              <w:bottom w:val="single" w:color="auto" w:sz="4" w:space="0"/>
              <w:right w:val="single" w:color="auto" w:sz="4" w:space="0"/>
            </w:tcBorders>
            <w:vAlign w:val="center"/>
          </w:tcPr>
          <w:p>
            <w:pPr>
              <w:tabs>
                <w:tab w:val="left" w:pos="720"/>
              </w:tabs>
              <w:spacing w:line="360" w:lineRule="auto"/>
              <w:jc w:val="center"/>
              <w:rPr>
                <w:rFonts w:ascii="Tahoma" w:hAnsi="Tahoma" w:cs="Tahoma"/>
                <w:strike/>
                <w:color w:val="auto"/>
                <w:szCs w:val="21"/>
                <w:highlight w:val="none"/>
              </w:rPr>
            </w:pPr>
          </w:p>
        </w:tc>
        <w:tc>
          <w:tcPr>
            <w:tcW w:w="2835" w:type="dxa"/>
            <w:tcBorders>
              <w:top w:val="single" w:color="auto" w:sz="4" w:space="0"/>
              <w:left w:val="nil"/>
              <w:bottom w:val="single" w:color="auto" w:sz="4" w:space="0"/>
              <w:right w:val="single" w:color="auto" w:sz="4" w:space="0"/>
            </w:tcBorders>
            <w:vAlign w:val="center"/>
          </w:tcPr>
          <w:p>
            <w:pPr>
              <w:tabs>
                <w:tab w:val="left" w:pos="720"/>
              </w:tabs>
              <w:spacing w:line="360" w:lineRule="auto"/>
              <w:jc w:val="center"/>
              <w:rPr>
                <w:rFonts w:ascii="Tahoma" w:hAnsi="Tahoma" w:cs="Tahoma"/>
                <w:strike/>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Tahoma" w:hAnsi="Tahoma" w:cs="Tahoma"/>
                <w:strike/>
                <w:color w:val="auto"/>
                <w:szCs w:val="21"/>
                <w:highlight w:val="none"/>
              </w:rPr>
            </w:pPr>
          </w:p>
        </w:tc>
        <w:tc>
          <w:tcPr>
            <w:tcW w:w="1701" w:type="dxa"/>
            <w:tcBorders>
              <w:top w:val="single" w:color="auto" w:sz="4" w:space="0"/>
              <w:left w:val="nil"/>
              <w:bottom w:val="single" w:color="auto" w:sz="4" w:space="0"/>
              <w:right w:val="single" w:color="auto" w:sz="4" w:space="0"/>
            </w:tcBorders>
            <w:vAlign w:val="center"/>
          </w:tcPr>
          <w:p>
            <w:pPr>
              <w:tabs>
                <w:tab w:val="left" w:pos="720"/>
              </w:tabs>
              <w:spacing w:line="360" w:lineRule="auto"/>
              <w:jc w:val="center"/>
              <w:rPr>
                <w:rFonts w:ascii="Tahoma" w:hAnsi="Tahoma" w:cs="Tahoma"/>
                <w:strike/>
                <w:color w:val="auto"/>
                <w:szCs w:val="21"/>
                <w:highlight w:val="none"/>
              </w:rPr>
            </w:pPr>
          </w:p>
        </w:tc>
        <w:tc>
          <w:tcPr>
            <w:tcW w:w="1275" w:type="dxa"/>
            <w:vAlign w:val="center"/>
          </w:tcPr>
          <w:p>
            <w:pPr>
              <w:tabs>
                <w:tab w:val="left" w:pos="720"/>
              </w:tabs>
              <w:spacing w:line="360" w:lineRule="auto"/>
              <w:jc w:val="center"/>
              <w:rPr>
                <w:rFonts w:ascii="Tahoma" w:hAnsi="Tahoma" w:cs="Tahoma"/>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947" w:type="dxa"/>
            <w:vAlign w:val="center"/>
          </w:tcPr>
          <w:p>
            <w:pPr>
              <w:tabs>
                <w:tab w:val="left" w:pos="720"/>
              </w:tabs>
              <w:spacing w:line="360" w:lineRule="auto"/>
              <w:jc w:val="center"/>
              <w:rPr>
                <w:rFonts w:ascii="Tahoma" w:hAnsi="Tahoma" w:cs="Tahoma"/>
                <w:strike/>
                <w:color w:val="auto"/>
                <w:szCs w:val="21"/>
                <w:highlight w:val="none"/>
              </w:rPr>
            </w:pPr>
          </w:p>
        </w:tc>
        <w:tc>
          <w:tcPr>
            <w:tcW w:w="194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Tahoma" w:hAnsi="Tahoma" w:cs="Tahoma"/>
                <w:strike/>
                <w:color w:val="auto"/>
                <w:szCs w:val="21"/>
                <w:highlight w:val="none"/>
              </w:rPr>
            </w:pPr>
          </w:p>
        </w:tc>
        <w:tc>
          <w:tcPr>
            <w:tcW w:w="2310" w:type="dxa"/>
            <w:tcBorders>
              <w:top w:val="single" w:color="auto" w:sz="4" w:space="0"/>
              <w:left w:val="nil"/>
              <w:bottom w:val="single" w:color="auto" w:sz="4" w:space="0"/>
              <w:right w:val="single" w:color="auto" w:sz="4" w:space="0"/>
            </w:tcBorders>
            <w:vAlign w:val="center"/>
          </w:tcPr>
          <w:p>
            <w:pPr>
              <w:tabs>
                <w:tab w:val="left" w:pos="720"/>
              </w:tabs>
              <w:spacing w:line="360" w:lineRule="auto"/>
              <w:jc w:val="center"/>
              <w:rPr>
                <w:rFonts w:ascii="Tahoma" w:hAnsi="Tahoma" w:cs="Tahoma"/>
                <w:strike/>
                <w:color w:val="auto"/>
                <w:szCs w:val="21"/>
                <w:highlight w:val="none"/>
              </w:rPr>
            </w:pPr>
          </w:p>
        </w:tc>
        <w:tc>
          <w:tcPr>
            <w:tcW w:w="2835" w:type="dxa"/>
            <w:tcBorders>
              <w:top w:val="single" w:color="auto" w:sz="4" w:space="0"/>
              <w:left w:val="nil"/>
              <w:bottom w:val="single" w:color="auto" w:sz="4" w:space="0"/>
              <w:right w:val="single" w:color="auto" w:sz="4" w:space="0"/>
            </w:tcBorders>
            <w:vAlign w:val="center"/>
          </w:tcPr>
          <w:p>
            <w:pPr>
              <w:tabs>
                <w:tab w:val="left" w:pos="720"/>
              </w:tabs>
              <w:spacing w:line="360" w:lineRule="auto"/>
              <w:jc w:val="center"/>
              <w:rPr>
                <w:rFonts w:ascii="Tahoma" w:hAnsi="Tahoma" w:cs="Tahoma"/>
                <w:strike/>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Tahoma" w:hAnsi="Tahoma" w:cs="Tahoma"/>
                <w:strike/>
                <w:color w:val="auto"/>
                <w:szCs w:val="21"/>
                <w:highlight w:val="none"/>
              </w:rPr>
            </w:pPr>
          </w:p>
        </w:tc>
        <w:tc>
          <w:tcPr>
            <w:tcW w:w="1701" w:type="dxa"/>
            <w:tcBorders>
              <w:top w:val="single" w:color="auto" w:sz="4" w:space="0"/>
              <w:left w:val="nil"/>
              <w:bottom w:val="single" w:color="auto" w:sz="4" w:space="0"/>
              <w:right w:val="single" w:color="auto" w:sz="4" w:space="0"/>
            </w:tcBorders>
            <w:vAlign w:val="center"/>
          </w:tcPr>
          <w:p>
            <w:pPr>
              <w:tabs>
                <w:tab w:val="left" w:pos="720"/>
              </w:tabs>
              <w:spacing w:line="360" w:lineRule="auto"/>
              <w:jc w:val="center"/>
              <w:rPr>
                <w:rFonts w:ascii="Tahoma" w:hAnsi="Tahoma" w:cs="Tahoma"/>
                <w:strike/>
                <w:color w:val="auto"/>
                <w:szCs w:val="21"/>
                <w:highlight w:val="none"/>
              </w:rPr>
            </w:pPr>
          </w:p>
        </w:tc>
        <w:tc>
          <w:tcPr>
            <w:tcW w:w="1275" w:type="dxa"/>
            <w:vAlign w:val="center"/>
          </w:tcPr>
          <w:p>
            <w:pPr>
              <w:tabs>
                <w:tab w:val="left" w:pos="720"/>
              </w:tabs>
              <w:spacing w:line="360" w:lineRule="auto"/>
              <w:jc w:val="center"/>
              <w:rPr>
                <w:rFonts w:ascii="Tahoma" w:hAnsi="Tahoma" w:cs="Tahoma"/>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947" w:type="dxa"/>
            <w:vAlign w:val="center"/>
          </w:tcPr>
          <w:p>
            <w:pPr>
              <w:tabs>
                <w:tab w:val="left" w:pos="720"/>
              </w:tabs>
              <w:spacing w:line="360" w:lineRule="auto"/>
              <w:jc w:val="center"/>
              <w:rPr>
                <w:rFonts w:ascii="Tahoma" w:hAnsi="Tahoma" w:cs="Tahoma"/>
                <w:strike/>
                <w:color w:val="auto"/>
                <w:szCs w:val="21"/>
                <w:highlight w:val="none"/>
              </w:rPr>
            </w:pPr>
          </w:p>
        </w:tc>
        <w:tc>
          <w:tcPr>
            <w:tcW w:w="194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Tahoma" w:hAnsi="Tahoma" w:cs="Tahoma"/>
                <w:strike/>
                <w:color w:val="auto"/>
                <w:szCs w:val="21"/>
                <w:highlight w:val="none"/>
              </w:rPr>
            </w:pPr>
          </w:p>
        </w:tc>
        <w:tc>
          <w:tcPr>
            <w:tcW w:w="2310" w:type="dxa"/>
            <w:tcBorders>
              <w:top w:val="single" w:color="auto" w:sz="4" w:space="0"/>
              <w:left w:val="nil"/>
              <w:bottom w:val="single" w:color="auto" w:sz="4" w:space="0"/>
              <w:right w:val="single" w:color="auto" w:sz="4" w:space="0"/>
            </w:tcBorders>
            <w:vAlign w:val="center"/>
          </w:tcPr>
          <w:p>
            <w:pPr>
              <w:tabs>
                <w:tab w:val="left" w:pos="720"/>
              </w:tabs>
              <w:spacing w:line="360" w:lineRule="auto"/>
              <w:jc w:val="center"/>
              <w:rPr>
                <w:rFonts w:ascii="Tahoma" w:hAnsi="Tahoma" w:cs="Tahoma"/>
                <w:strike/>
                <w:color w:val="auto"/>
                <w:szCs w:val="21"/>
                <w:highlight w:val="none"/>
              </w:rPr>
            </w:pPr>
          </w:p>
        </w:tc>
        <w:tc>
          <w:tcPr>
            <w:tcW w:w="2835" w:type="dxa"/>
            <w:tcBorders>
              <w:top w:val="single" w:color="auto" w:sz="4" w:space="0"/>
              <w:left w:val="nil"/>
              <w:bottom w:val="single" w:color="auto" w:sz="4" w:space="0"/>
              <w:right w:val="single" w:color="auto" w:sz="4" w:space="0"/>
            </w:tcBorders>
            <w:vAlign w:val="center"/>
          </w:tcPr>
          <w:p>
            <w:pPr>
              <w:tabs>
                <w:tab w:val="left" w:pos="720"/>
              </w:tabs>
              <w:spacing w:line="360" w:lineRule="auto"/>
              <w:jc w:val="center"/>
              <w:rPr>
                <w:rFonts w:ascii="Tahoma" w:hAnsi="Tahoma" w:cs="Tahoma"/>
                <w:strike/>
                <w:color w:val="auto"/>
                <w:szCs w:val="21"/>
                <w:highlight w:val="none"/>
              </w:rPr>
            </w:pPr>
          </w:p>
        </w:tc>
        <w:tc>
          <w:tcPr>
            <w:tcW w:w="1134" w:type="dxa"/>
            <w:vAlign w:val="center"/>
          </w:tcPr>
          <w:p>
            <w:pPr>
              <w:tabs>
                <w:tab w:val="left" w:pos="720"/>
              </w:tabs>
              <w:spacing w:line="360" w:lineRule="auto"/>
              <w:jc w:val="center"/>
              <w:rPr>
                <w:rFonts w:ascii="Tahoma" w:hAnsi="Tahoma" w:cs="Tahoma"/>
                <w:strike/>
                <w:color w:val="auto"/>
                <w:szCs w:val="21"/>
                <w:highlight w:val="none"/>
              </w:rPr>
            </w:pPr>
          </w:p>
        </w:tc>
        <w:tc>
          <w:tcPr>
            <w:tcW w:w="1701" w:type="dxa"/>
            <w:vAlign w:val="center"/>
          </w:tcPr>
          <w:p>
            <w:pPr>
              <w:tabs>
                <w:tab w:val="left" w:pos="720"/>
              </w:tabs>
              <w:spacing w:line="360" w:lineRule="auto"/>
              <w:jc w:val="center"/>
              <w:rPr>
                <w:rFonts w:ascii="Tahoma" w:hAnsi="Tahoma" w:cs="Tahoma"/>
                <w:strike/>
                <w:color w:val="auto"/>
                <w:szCs w:val="21"/>
                <w:highlight w:val="none"/>
              </w:rPr>
            </w:pPr>
          </w:p>
        </w:tc>
        <w:tc>
          <w:tcPr>
            <w:tcW w:w="1275" w:type="dxa"/>
            <w:vAlign w:val="center"/>
          </w:tcPr>
          <w:p>
            <w:pPr>
              <w:tabs>
                <w:tab w:val="left" w:pos="720"/>
              </w:tabs>
              <w:spacing w:line="360" w:lineRule="auto"/>
              <w:jc w:val="center"/>
              <w:rPr>
                <w:rFonts w:ascii="Tahoma" w:hAnsi="Tahoma" w:cs="Tahoma"/>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947" w:type="dxa"/>
            <w:vAlign w:val="center"/>
          </w:tcPr>
          <w:p>
            <w:pPr>
              <w:tabs>
                <w:tab w:val="left" w:pos="720"/>
              </w:tabs>
              <w:spacing w:line="360" w:lineRule="auto"/>
              <w:jc w:val="center"/>
              <w:rPr>
                <w:rFonts w:ascii="Tahoma" w:hAnsi="Tahoma" w:cs="Tahoma"/>
                <w:strike/>
                <w:color w:val="auto"/>
                <w:szCs w:val="21"/>
                <w:highlight w:val="none"/>
              </w:rPr>
            </w:pPr>
          </w:p>
        </w:tc>
        <w:tc>
          <w:tcPr>
            <w:tcW w:w="1947" w:type="dxa"/>
            <w:vAlign w:val="center"/>
          </w:tcPr>
          <w:p>
            <w:pPr>
              <w:tabs>
                <w:tab w:val="left" w:pos="720"/>
              </w:tabs>
              <w:spacing w:line="360" w:lineRule="auto"/>
              <w:jc w:val="center"/>
              <w:rPr>
                <w:rFonts w:ascii="Tahoma" w:hAnsi="Tahoma" w:cs="Tahoma"/>
                <w:strike/>
                <w:color w:val="auto"/>
                <w:szCs w:val="21"/>
                <w:highlight w:val="none"/>
              </w:rPr>
            </w:pPr>
          </w:p>
        </w:tc>
        <w:tc>
          <w:tcPr>
            <w:tcW w:w="2310" w:type="dxa"/>
            <w:vAlign w:val="center"/>
          </w:tcPr>
          <w:p>
            <w:pPr>
              <w:tabs>
                <w:tab w:val="left" w:pos="720"/>
              </w:tabs>
              <w:spacing w:line="360" w:lineRule="auto"/>
              <w:jc w:val="center"/>
              <w:rPr>
                <w:rFonts w:ascii="Tahoma" w:hAnsi="Tahoma" w:cs="Tahoma"/>
                <w:strike/>
                <w:color w:val="auto"/>
                <w:szCs w:val="21"/>
                <w:highlight w:val="none"/>
              </w:rPr>
            </w:pPr>
          </w:p>
        </w:tc>
        <w:tc>
          <w:tcPr>
            <w:tcW w:w="2835" w:type="dxa"/>
            <w:vAlign w:val="center"/>
          </w:tcPr>
          <w:p>
            <w:pPr>
              <w:tabs>
                <w:tab w:val="left" w:pos="720"/>
              </w:tabs>
              <w:spacing w:line="360" w:lineRule="auto"/>
              <w:jc w:val="center"/>
              <w:rPr>
                <w:rFonts w:ascii="Tahoma" w:hAnsi="Tahoma" w:cs="Tahoma"/>
                <w:strike/>
                <w:color w:val="auto"/>
                <w:szCs w:val="21"/>
                <w:highlight w:val="none"/>
              </w:rPr>
            </w:pPr>
          </w:p>
        </w:tc>
        <w:tc>
          <w:tcPr>
            <w:tcW w:w="1134" w:type="dxa"/>
            <w:vAlign w:val="center"/>
          </w:tcPr>
          <w:p>
            <w:pPr>
              <w:tabs>
                <w:tab w:val="left" w:pos="720"/>
              </w:tabs>
              <w:spacing w:line="360" w:lineRule="auto"/>
              <w:jc w:val="center"/>
              <w:rPr>
                <w:rFonts w:ascii="Tahoma" w:hAnsi="Tahoma" w:cs="Tahoma"/>
                <w:strike/>
                <w:color w:val="auto"/>
                <w:szCs w:val="21"/>
                <w:highlight w:val="none"/>
              </w:rPr>
            </w:pPr>
          </w:p>
        </w:tc>
        <w:tc>
          <w:tcPr>
            <w:tcW w:w="1701" w:type="dxa"/>
            <w:vAlign w:val="center"/>
          </w:tcPr>
          <w:p>
            <w:pPr>
              <w:tabs>
                <w:tab w:val="left" w:pos="720"/>
              </w:tabs>
              <w:spacing w:line="360" w:lineRule="auto"/>
              <w:jc w:val="center"/>
              <w:rPr>
                <w:rFonts w:ascii="Tahoma" w:hAnsi="Tahoma" w:cs="Tahoma"/>
                <w:strike/>
                <w:color w:val="auto"/>
                <w:szCs w:val="21"/>
                <w:highlight w:val="none"/>
              </w:rPr>
            </w:pPr>
          </w:p>
        </w:tc>
        <w:tc>
          <w:tcPr>
            <w:tcW w:w="1275" w:type="dxa"/>
            <w:vAlign w:val="center"/>
          </w:tcPr>
          <w:p>
            <w:pPr>
              <w:tabs>
                <w:tab w:val="left" w:pos="720"/>
              </w:tabs>
              <w:spacing w:line="360" w:lineRule="auto"/>
              <w:jc w:val="center"/>
              <w:rPr>
                <w:rFonts w:ascii="Tahoma" w:hAnsi="Tahoma" w:cs="Tahoma"/>
                <w:strike/>
                <w:color w:val="auto"/>
                <w:szCs w:val="21"/>
                <w:highlight w:val="none"/>
              </w:rPr>
            </w:pPr>
          </w:p>
        </w:tc>
      </w:tr>
    </w:tbl>
    <w:p>
      <w:pPr>
        <w:tabs>
          <w:tab w:val="left" w:pos="720"/>
        </w:tabs>
        <w:spacing w:line="360" w:lineRule="auto"/>
        <w:ind w:firstLine="480" w:firstLineChars="200"/>
        <w:rPr>
          <w:rFonts w:ascii="Tahoma" w:hAnsi="Tahoma" w:cs="Tahoma"/>
          <w:strike/>
          <w:color w:val="auto"/>
          <w:sz w:val="24"/>
          <w:szCs w:val="24"/>
          <w:highlight w:val="none"/>
        </w:rPr>
      </w:pPr>
    </w:p>
    <w:p>
      <w:pPr>
        <w:tabs>
          <w:tab w:val="left" w:pos="720"/>
        </w:tabs>
        <w:spacing w:line="360" w:lineRule="auto"/>
        <w:ind w:firstLine="480" w:firstLineChars="200"/>
        <w:rPr>
          <w:rFonts w:ascii="Tahoma" w:hAnsi="Tahoma" w:cs="Tahoma"/>
          <w:strike/>
          <w:color w:val="auto"/>
          <w:sz w:val="24"/>
          <w:szCs w:val="24"/>
          <w:highlight w:val="none"/>
        </w:rPr>
      </w:pPr>
      <w:r>
        <w:rPr>
          <w:rFonts w:ascii="Tahoma" w:hAnsi="Tahoma" w:cs="Tahoma"/>
          <w:strike/>
          <w:color w:val="auto"/>
          <w:sz w:val="24"/>
          <w:szCs w:val="24"/>
          <w:highlight w:val="none"/>
        </w:rPr>
        <w:t>评委签名：</w:t>
      </w:r>
    </w:p>
    <w:p>
      <w:pPr>
        <w:tabs>
          <w:tab w:val="left" w:pos="720"/>
        </w:tabs>
        <w:spacing w:line="360" w:lineRule="auto"/>
        <w:ind w:firstLine="480" w:firstLineChars="200"/>
        <w:rPr>
          <w:rFonts w:ascii="Tahoma" w:hAnsi="Tahoma" w:cs="Tahoma"/>
          <w:strike/>
          <w:color w:val="auto"/>
          <w:sz w:val="24"/>
          <w:szCs w:val="24"/>
          <w:highlight w:val="none"/>
        </w:rPr>
      </w:pPr>
      <w:r>
        <w:rPr>
          <w:rFonts w:ascii="Tahoma" w:hAnsi="Tahoma" w:cs="Tahoma"/>
          <w:strike/>
          <w:color w:val="auto"/>
          <w:sz w:val="24"/>
          <w:szCs w:val="24"/>
          <w:highlight w:val="none"/>
        </w:rPr>
        <w:br w:type="page"/>
      </w:r>
    </w:p>
    <w:p>
      <w:pPr>
        <w:rPr>
          <w:rFonts w:ascii="Tahoma" w:hAnsi="Tahoma" w:cs="Tahoma"/>
          <w:strike/>
          <w:color w:val="auto"/>
          <w:sz w:val="28"/>
          <w:szCs w:val="28"/>
          <w:highlight w:val="none"/>
        </w:rPr>
      </w:pPr>
      <w:r>
        <w:rPr>
          <w:rFonts w:hint="eastAsia" w:ascii="Tahoma" w:hAnsi="Tahoma" w:cs="Tahoma"/>
          <w:strike/>
          <w:color w:val="auto"/>
          <w:sz w:val="28"/>
          <w:szCs w:val="28"/>
          <w:highlight w:val="none"/>
        </w:rPr>
        <w:t>附表七：（适用于有主要项目单价评审的项目）</w:t>
      </w:r>
    </w:p>
    <w:p>
      <w:pPr>
        <w:jc w:val="center"/>
        <w:rPr>
          <w:b/>
          <w:strike/>
          <w:color w:val="auto"/>
          <w:sz w:val="36"/>
          <w:szCs w:val="36"/>
          <w:highlight w:val="none"/>
        </w:rPr>
      </w:pPr>
      <w:r>
        <w:rPr>
          <w:rFonts w:hint="eastAsia"/>
          <w:b/>
          <w:strike/>
          <w:color w:val="auto"/>
          <w:sz w:val="36"/>
          <w:szCs w:val="36"/>
          <w:highlight w:val="none"/>
        </w:rPr>
        <w:t>单价基准值计算表</w:t>
      </w:r>
    </w:p>
    <w:tbl>
      <w:tblPr>
        <w:tblStyle w:val="36"/>
        <w:tblW w:w="14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460"/>
        <w:gridCol w:w="2043"/>
        <w:gridCol w:w="2268"/>
        <w:gridCol w:w="2410"/>
        <w:gridCol w:w="2126"/>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pPr>
              <w:tabs>
                <w:tab w:val="left" w:pos="720"/>
              </w:tabs>
              <w:spacing w:line="360" w:lineRule="auto"/>
              <w:jc w:val="center"/>
              <w:rPr>
                <w:rFonts w:ascii="Tahoma" w:hAnsi="Tahoma" w:cs="Tahoma"/>
                <w:strike/>
                <w:color w:val="auto"/>
                <w:kern w:val="0"/>
                <w:szCs w:val="21"/>
                <w:highlight w:val="none"/>
              </w:rPr>
            </w:pPr>
            <w:r>
              <w:rPr>
                <w:rFonts w:ascii="Tahoma" w:hAnsi="Tahoma" w:cs="Tahoma"/>
                <w:strike/>
                <w:color w:val="auto"/>
                <w:kern w:val="0"/>
                <w:szCs w:val="21"/>
                <w:highlight w:val="none"/>
              </w:rPr>
              <w:t>清单序号</w:t>
            </w:r>
          </w:p>
        </w:tc>
        <w:tc>
          <w:tcPr>
            <w:tcW w:w="2460" w:type="dxa"/>
            <w:vAlign w:val="center"/>
          </w:tcPr>
          <w:p>
            <w:pPr>
              <w:tabs>
                <w:tab w:val="left" w:pos="720"/>
              </w:tabs>
              <w:spacing w:line="360" w:lineRule="auto"/>
              <w:jc w:val="center"/>
              <w:rPr>
                <w:rFonts w:ascii="Tahoma" w:hAnsi="Tahoma" w:cs="Tahoma"/>
                <w:strike/>
                <w:color w:val="auto"/>
                <w:kern w:val="0"/>
                <w:szCs w:val="21"/>
                <w:highlight w:val="none"/>
              </w:rPr>
            </w:pPr>
            <w:r>
              <w:rPr>
                <w:rFonts w:ascii="Tahoma" w:hAnsi="Tahoma" w:cs="Tahoma"/>
                <w:strike/>
                <w:color w:val="auto"/>
                <w:kern w:val="0"/>
                <w:szCs w:val="21"/>
                <w:highlight w:val="none"/>
              </w:rPr>
              <w:t>主要单价项目名称</w:t>
            </w:r>
          </w:p>
        </w:tc>
        <w:tc>
          <w:tcPr>
            <w:tcW w:w="2043" w:type="dxa"/>
            <w:vAlign w:val="center"/>
          </w:tcPr>
          <w:p>
            <w:pPr>
              <w:tabs>
                <w:tab w:val="left" w:pos="720"/>
              </w:tabs>
              <w:spacing w:line="360" w:lineRule="auto"/>
              <w:ind w:firstLine="199" w:firstLineChars="95"/>
              <w:jc w:val="center"/>
              <w:rPr>
                <w:rFonts w:ascii="Tahoma" w:hAnsi="Tahoma" w:cs="Tahoma"/>
                <w:strike/>
                <w:color w:val="auto"/>
                <w:kern w:val="0"/>
                <w:szCs w:val="21"/>
                <w:highlight w:val="none"/>
              </w:rPr>
            </w:pPr>
            <w:r>
              <w:rPr>
                <w:rFonts w:ascii="Tahoma" w:hAnsi="Tahoma" w:cs="Tahoma"/>
                <w:strike/>
                <w:color w:val="auto"/>
                <w:kern w:val="0"/>
                <w:szCs w:val="21"/>
                <w:highlight w:val="none"/>
              </w:rPr>
              <w:t>单价基准值Di</w:t>
            </w:r>
          </w:p>
        </w:tc>
        <w:tc>
          <w:tcPr>
            <w:tcW w:w="2268" w:type="dxa"/>
            <w:vAlign w:val="center"/>
          </w:tcPr>
          <w:p>
            <w:pPr>
              <w:tabs>
                <w:tab w:val="left" w:pos="720"/>
              </w:tabs>
              <w:spacing w:line="360" w:lineRule="auto"/>
              <w:jc w:val="center"/>
              <w:rPr>
                <w:rFonts w:ascii="Tahoma" w:hAnsi="Tahoma" w:cs="Tahoma"/>
                <w:strike/>
                <w:color w:val="auto"/>
                <w:kern w:val="0"/>
                <w:szCs w:val="21"/>
                <w:highlight w:val="none"/>
              </w:rPr>
            </w:pPr>
            <w:r>
              <w:rPr>
                <w:rFonts w:ascii="Tahoma" w:hAnsi="Tahoma" w:cs="Tahoma"/>
                <w:strike/>
                <w:color w:val="auto"/>
                <w:kern w:val="0"/>
                <w:szCs w:val="21"/>
                <w:highlight w:val="none"/>
              </w:rPr>
              <w:t>投标人1报价</w:t>
            </w:r>
          </w:p>
        </w:tc>
        <w:tc>
          <w:tcPr>
            <w:tcW w:w="2410" w:type="dxa"/>
            <w:vAlign w:val="center"/>
          </w:tcPr>
          <w:p>
            <w:pPr>
              <w:tabs>
                <w:tab w:val="left" w:pos="720"/>
              </w:tabs>
              <w:spacing w:line="360" w:lineRule="auto"/>
              <w:jc w:val="center"/>
              <w:rPr>
                <w:rFonts w:ascii="Tahoma" w:hAnsi="Tahoma" w:cs="Tahoma"/>
                <w:strike/>
                <w:color w:val="auto"/>
                <w:kern w:val="0"/>
                <w:szCs w:val="21"/>
                <w:highlight w:val="none"/>
              </w:rPr>
            </w:pPr>
            <w:r>
              <w:rPr>
                <w:rFonts w:ascii="Tahoma" w:hAnsi="Tahoma" w:cs="Tahoma"/>
                <w:strike/>
                <w:color w:val="auto"/>
                <w:kern w:val="0"/>
                <w:szCs w:val="21"/>
                <w:highlight w:val="none"/>
              </w:rPr>
              <w:t>投标人2报价</w:t>
            </w:r>
          </w:p>
        </w:tc>
        <w:tc>
          <w:tcPr>
            <w:tcW w:w="2126" w:type="dxa"/>
            <w:vAlign w:val="center"/>
          </w:tcPr>
          <w:p>
            <w:pPr>
              <w:tabs>
                <w:tab w:val="left" w:pos="720"/>
              </w:tabs>
              <w:spacing w:line="360" w:lineRule="auto"/>
              <w:jc w:val="center"/>
              <w:rPr>
                <w:rFonts w:ascii="Tahoma" w:hAnsi="Tahoma" w:cs="Tahoma"/>
                <w:strike/>
                <w:color w:val="auto"/>
                <w:kern w:val="0"/>
                <w:szCs w:val="21"/>
                <w:highlight w:val="none"/>
              </w:rPr>
            </w:pPr>
            <w:r>
              <w:rPr>
                <w:rFonts w:ascii="Tahoma" w:hAnsi="Tahoma" w:cs="Tahoma"/>
                <w:strike/>
                <w:color w:val="auto"/>
                <w:kern w:val="0"/>
                <w:szCs w:val="21"/>
                <w:highlight w:val="none"/>
              </w:rPr>
              <w:t>投标人3报价</w:t>
            </w:r>
          </w:p>
        </w:tc>
        <w:tc>
          <w:tcPr>
            <w:tcW w:w="2163" w:type="dxa"/>
            <w:vAlign w:val="center"/>
          </w:tcPr>
          <w:p>
            <w:pPr>
              <w:tabs>
                <w:tab w:val="left" w:pos="720"/>
              </w:tabs>
              <w:spacing w:line="360" w:lineRule="auto"/>
              <w:jc w:val="center"/>
              <w:rPr>
                <w:rFonts w:ascii="Tahoma" w:hAnsi="Tahoma" w:cs="Tahoma"/>
                <w:strike/>
                <w:color w:val="auto"/>
                <w:kern w:val="0"/>
                <w:szCs w:val="21"/>
                <w:highlight w:val="none"/>
              </w:rPr>
            </w:pPr>
            <w:r>
              <w:rPr>
                <w:rFonts w:ascii="Tahoma" w:hAnsi="Tahoma" w:cs="Tahoma"/>
                <w:strike/>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460"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043"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268"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410"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126"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163"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460"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043"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268"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410"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126"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163"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460"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043"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268"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410"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126"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163"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460"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043"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268"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410"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126"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163"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460"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043"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268"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410"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126"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163"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460"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043"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268"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410"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126"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163"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460"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043"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268"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410"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126"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163"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460"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043"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268"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410"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126"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163"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460"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043"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268"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410"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126"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163"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460"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043"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268"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410"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126"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c>
          <w:tcPr>
            <w:tcW w:w="2163" w:type="dxa"/>
            <w:vAlign w:val="center"/>
          </w:tcPr>
          <w:p>
            <w:pPr>
              <w:tabs>
                <w:tab w:val="left" w:pos="720"/>
              </w:tabs>
              <w:spacing w:line="360" w:lineRule="auto"/>
              <w:ind w:firstLine="420" w:firstLineChars="200"/>
              <w:jc w:val="center"/>
              <w:rPr>
                <w:rFonts w:ascii="Tahoma" w:hAnsi="Tahoma" w:cs="Tahoma"/>
                <w:strike/>
                <w:color w:val="auto"/>
                <w:kern w:val="0"/>
                <w:szCs w:val="21"/>
                <w:highlight w:val="none"/>
              </w:rPr>
            </w:pPr>
          </w:p>
        </w:tc>
      </w:tr>
    </w:tbl>
    <w:p>
      <w:pPr>
        <w:tabs>
          <w:tab w:val="left" w:pos="720"/>
        </w:tabs>
        <w:spacing w:line="360" w:lineRule="auto"/>
        <w:ind w:firstLine="480" w:firstLineChars="200"/>
        <w:rPr>
          <w:rFonts w:ascii="Tahoma" w:hAnsi="Tahoma" w:cs="Tahoma"/>
          <w:strike/>
          <w:color w:val="auto"/>
          <w:sz w:val="24"/>
          <w:szCs w:val="24"/>
          <w:highlight w:val="none"/>
        </w:rPr>
      </w:pPr>
    </w:p>
    <w:p>
      <w:pPr>
        <w:tabs>
          <w:tab w:val="left" w:pos="720"/>
        </w:tabs>
        <w:spacing w:line="360" w:lineRule="auto"/>
        <w:ind w:firstLine="480" w:firstLineChars="200"/>
        <w:rPr>
          <w:rFonts w:ascii="Tahoma" w:hAnsi="Tahoma" w:cs="Tahoma"/>
          <w:strike/>
          <w:color w:val="auto"/>
          <w:sz w:val="24"/>
          <w:szCs w:val="24"/>
          <w:highlight w:val="none"/>
        </w:rPr>
      </w:pPr>
      <w:r>
        <w:rPr>
          <w:rFonts w:ascii="Tahoma" w:hAnsi="Tahoma" w:cs="Tahoma"/>
          <w:strike/>
          <w:color w:val="auto"/>
          <w:sz w:val="24"/>
          <w:szCs w:val="24"/>
          <w:highlight w:val="none"/>
        </w:rPr>
        <w:t>评委签名：</w:t>
      </w:r>
    </w:p>
    <w:p>
      <w:pPr>
        <w:tabs>
          <w:tab w:val="left" w:pos="720"/>
        </w:tabs>
        <w:spacing w:line="360" w:lineRule="auto"/>
        <w:ind w:firstLine="480" w:firstLineChars="200"/>
        <w:rPr>
          <w:rFonts w:ascii="Tahoma" w:hAnsi="Tahoma" w:cs="Tahoma"/>
          <w:strike/>
          <w:color w:val="auto"/>
          <w:sz w:val="24"/>
          <w:szCs w:val="24"/>
          <w:highlight w:val="none"/>
        </w:rPr>
      </w:pPr>
      <w:r>
        <w:rPr>
          <w:rFonts w:ascii="Tahoma" w:hAnsi="Tahoma" w:cs="Tahoma"/>
          <w:strike/>
          <w:color w:val="auto"/>
          <w:sz w:val="24"/>
          <w:szCs w:val="24"/>
          <w:highlight w:val="none"/>
        </w:rPr>
        <w:br w:type="page"/>
      </w:r>
    </w:p>
    <w:p>
      <w:pPr>
        <w:rPr>
          <w:rFonts w:ascii="Tahoma" w:hAnsi="Tahoma" w:cs="Tahoma"/>
          <w:strike/>
          <w:color w:val="auto"/>
          <w:sz w:val="28"/>
          <w:szCs w:val="28"/>
          <w:highlight w:val="none"/>
        </w:rPr>
      </w:pPr>
      <w:r>
        <w:rPr>
          <w:rFonts w:hint="eastAsia" w:ascii="Tahoma" w:hAnsi="Tahoma" w:cs="Tahoma"/>
          <w:strike/>
          <w:color w:val="auto"/>
          <w:sz w:val="28"/>
          <w:szCs w:val="28"/>
          <w:highlight w:val="none"/>
        </w:rPr>
        <w:t>附表八：（适用于有主要项目单价评审的项目）</w:t>
      </w:r>
    </w:p>
    <w:p>
      <w:pPr>
        <w:jc w:val="center"/>
        <w:rPr>
          <w:b/>
          <w:strike/>
          <w:color w:val="auto"/>
          <w:sz w:val="36"/>
          <w:szCs w:val="36"/>
          <w:highlight w:val="none"/>
        </w:rPr>
      </w:pPr>
      <w:r>
        <w:rPr>
          <w:rFonts w:hint="eastAsia"/>
          <w:b/>
          <w:strike/>
          <w:color w:val="auto"/>
          <w:sz w:val="36"/>
          <w:szCs w:val="36"/>
          <w:highlight w:val="none"/>
        </w:rPr>
        <w:t xml:space="preserve"> 投标人（名称）经济标的主要单价评分表</w:t>
      </w:r>
    </w:p>
    <w:tbl>
      <w:tblPr>
        <w:tblStyle w:val="36"/>
        <w:tblW w:w="13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2524"/>
        <w:gridCol w:w="2817"/>
        <w:gridCol w:w="2268"/>
        <w:gridCol w:w="255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tabs>
                <w:tab w:val="left" w:pos="720"/>
              </w:tabs>
              <w:spacing w:line="360" w:lineRule="auto"/>
              <w:jc w:val="center"/>
              <w:rPr>
                <w:rFonts w:ascii="Tahoma" w:hAnsi="Tahoma" w:cs="Tahoma"/>
                <w:strike/>
                <w:color w:val="auto"/>
                <w:kern w:val="0"/>
                <w:sz w:val="24"/>
                <w:szCs w:val="24"/>
                <w:highlight w:val="none"/>
              </w:rPr>
            </w:pPr>
            <w:r>
              <w:rPr>
                <w:rFonts w:ascii="Tahoma" w:hAnsi="Tahoma" w:cs="Tahoma"/>
                <w:strike/>
                <w:color w:val="auto"/>
                <w:kern w:val="0"/>
                <w:sz w:val="24"/>
                <w:szCs w:val="24"/>
                <w:highlight w:val="none"/>
              </w:rPr>
              <w:t>清单序号</w:t>
            </w:r>
          </w:p>
        </w:tc>
        <w:tc>
          <w:tcPr>
            <w:tcW w:w="2524" w:type="dxa"/>
            <w:vAlign w:val="center"/>
          </w:tcPr>
          <w:p>
            <w:pPr>
              <w:tabs>
                <w:tab w:val="left" w:pos="720"/>
              </w:tabs>
              <w:spacing w:line="360" w:lineRule="auto"/>
              <w:jc w:val="center"/>
              <w:rPr>
                <w:rFonts w:ascii="Tahoma" w:hAnsi="Tahoma" w:cs="Tahoma"/>
                <w:strike/>
                <w:color w:val="auto"/>
                <w:kern w:val="0"/>
                <w:sz w:val="24"/>
                <w:szCs w:val="24"/>
                <w:highlight w:val="none"/>
              </w:rPr>
            </w:pPr>
            <w:r>
              <w:rPr>
                <w:rFonts w:ascii="Tahoma" w:hAnsi="Tahoma" w:cs="Tahoma"/>
                <w:strike/>
                <w:color w:val="auto"/>
                <w:kern w:val="0"/>
                <w:sz w:val="24"/>
                <w:szCs w:val="24"/>
                <w:highlight w:val="none"/>
              </w:rPr>
              <w:t>主要单价项目名称</w:t>
            </w:r>
          </w:p>
        </w:tc>
        <w:tc>
          <w:tcPr>
            <w:tcW w:w="2817" w:type="dxa"/>
            <w:vAlign w:val="center"/>
          </w:tcPr>
          <w:p>
            <w:pPr>
              <w:tabs>
                <w:tab w:val="left" w:pos="720"/>
              </w:tabs>
              <w:spacing w:line="360" w:lineRule="auto"/>
              <w:jc w:val="center"/>
              <w:rPr>
                <w:rFonts w:ascii="Tahoma" w:hAnsi="Tahoma" w:cs="Tahoma"/>
                <w:strike/>
                <w:color w:val="auto"/>
                <w:kern w:val="0"/>
                <w:sz w:val="24"/>
                <w:szCs w:val="24"/>
                <w:highlight w:val="none"/>
              </w:rPr>
            </w:pPr>
            <w:r>
              <w:rPr>
                <w:rFonts w:ascii="Tahoma" w:hAnsi="Tahoma" w:cs="Tahoma"/>
                <w:strike/>
                <w:color w:val="auto"/>
                <w:kern w:val="0"/>
                <w:sz w:val="24"/>
                <w:szCs w:val="24"/>
                <w:highlight w:val="none"/>
              </w:rPr>
              <w:t>投标人单价</w:t>
            </w:r>
          </w:p>
        </w:tc>
        <w:tc>
          <w:tcPr>
            <w:tcW w:w="2268" w:type="dxa"/>
            <w:vAlign w:val="center"/>
          </w:tcPr>
          <w:p>
            <w:pPr>
              <w:tabs>
                <w:tab w:val="left" w:pos="720"/>
              </w:tabs>
              <w:spacing w:line="360" w:lineRule="auto"/>
              <w:jc w:val="center"/>
              <w:rPr>
                <w:rFonts w:ascii="Tahoma" w:hAnsi="Tahoma" w:cs="Tahoma"/>
                <w:strike/>
                <w:color w:val="auto"/>
                <w:kern w:val="0"/>
                <w:sz w:val="24"/>
                <w:szCs w:val="24"/>
                <w:highlight w:val="none"/>
              </w:rPr>
            </w:pPr>
            <w:r>
              <w:rPr>
                <w:rFonts w:ascii="Tahoma" w:hAnsi="Tahoma" w:cs="Tahoma"/>
                <w:strike/>
                <w:color w:val="auto"/>
                <w:kern w:val="0"/>
                <w:sz w:val="24"/>
                <w:szCs w:val="24"/>
                <w:highlight w:val="none"/>
              </w:rPr>
              <w:t>单价基准值Di</w:t>
            </w:r>
          </w:p>
        </w:tc>
        <w:tc>
          <w:tcPr>
            <w:tcW w:w="2552" w:type="dxa"/>
            <w:vAlign w:val="center"/>
          </w:tcPr>
          <w:p>
            <w:pPr>
              <w:tabs>
                <w:tab w:val="left" w:pos="720"/>
              </w:tabs>
              <w:spacing w:line="360" w:lineRule="auto"/>
              <w:jc w:val="center"/>
              <w:rPr>
                <w:rFonts w:ascii="Tahoma" w:hAnsi="Tahoma" w:cs="Tahoma"/>
                <w:strike/>
                <w:color w:val="auto"/>
                <w:kern w:val="0"/>
                <w:sz w:val="24"/>
                <w:szCs w:val="24"/>
                <w:highlight w:val="none"/>
              </w:rPr>
            </w:pPr>
            <w:r>
              <w:rPr>
                <w:rFonts w:ascii="Tahoma" w:hAnsi="Tahoma" w:cs="Tahoma"/>
                <w:strike/>
                <w:color w:val="auto"/>
                <w:kern w:val="0"/>
                <w:sz w:val="24"/>
                <w:szCs w:val="24"/>
                <w:highlight w:val="none"/>
              </w:rPr>
              <w:t>偏离率</w:t>
            </w:r>
          </w:p>
        </w:tc>
        <w:tc>
          <w:tcPr>
            <w:tcW w:w="1984" w:type="dxa"/>
            <w:vAlign w:val="center"/>
          </w:tcPr>
          <w:p>
            <w:pPr>
              <w:tabs>
                <w:tab w:val="left" w:pos="720"/>
              </w:tabs>
              <w:spacing w:line="360" w:lineRule="auto"/>
              <w:jc w:val="center"/>
              <w:rPr>
                <w:rFonts w:ascii="Tahoma" w:hAnsi="Tahoma" w:cs="Tahoma"/>
                <w:strike/>
                <w:color w:val="auto"/>
                <w:kern w:val="0"/>
                <w:sz w:val="24"/>
                <w:szCs w:val="24"/>
                <w:highlight w:val="none"/>
              </w:rPr>
            </w:pPr>
            <w:r>
              <w:rPr>
                <w:rFonts w:ascii="Tahoma" w:hAnsi="Tahoma" w:cs="Tahoma"/>
                <w:strike/>
                <w:color w:val="auto"/>
                <w:kern w:val="0"/>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524"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817"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268"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552"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1984" w:type="dxa"/>
            <w:vAlign w:val="center"/>
          </w:tcPr>
          <w:p>
            <w:pPr>
              <w:tabs>
                <w:tab w:val="left" w:pos="720"/>
              </w:tabs>
              <w:spacing w:line="360" w:lineRule="auto"/>
              <w:jc w:val="center"/>
              <w:rPr>
                <w:rFonts w:ascii="Tahoma" w:hAnsi="Tahoma" w:cs="Tahoma"/>
                <w:strike/>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524"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817"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268"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552"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1984" w:type="dxa"/>
            <w:vAlign w:val="center"/>
          </w:tcPr>
          <w:p>
            <w:pPr>
              <w:tabs>
                <w:tab w:val="left" w:pos="720"/>
              </w:tabs>
              <w:spacing w:line="360" w:lineRule="auto"/>
              <w:jc w:val="center"/>
              <w:rPr>
                <w:rFonts w:ascii="Tahoma" w:hAnsi="Tahoma" w:cs="Tahoma"/>
                <w:strike/>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524"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817"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268"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552"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1984" w:type="dxa"/>
            <w:vAlign w:val="center"/>
          </w:tcPr>
          <w:p>
            <w:pPr>
              <w:tabs>
                <w:tab w:val="left" w:pos="720"/>
              </w:tabs>
              <w:spacing w:line="360" w:lineRule="auto"/>
              <w:jc w:val="center"/>
              <w:rPr>
                <w:rFonts w:ascii="Tahoma" w:hAnsi="Tahoma" w:cs="Tahoma"/>
                <w:strike/>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524"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817"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268"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552"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1984" w:type="dxa"/>
            <w:vAlign w:val="center"/>
          </w:tcPr>
          <w:p>
            <w:pPr>
              <w:tabs>
                <w:tab w:val="left" w:pos="720"/>
              </w:tabs>
              <w:spacing w:line="360" w:lineRule="auto"/>
              <w:jc w:val="center"/>
              <w:rPr>
                <w:rFonts w:ascii="Tahoma" w:hAnsi="Tahoma" w:cs="Tahoma"/>
                <w:strike/>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524"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817"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268"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552"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1984" w:type="dxa"/>
            <w:vAlign w:val="center"/>
          </w:tcPr>
          <w:p>
            <w:pPr>
              <w:tabs>
                <w:tab w:val="left" w:pos="720"/>
              </w:tabs>
              <w:spacing w:line="360" w:lineRule="auto"/>
              <w:jc w:val="center"/>
              <w:rPr>
                <w:rFonts w:ascii="Tahoma" w:hAnsi="Tahoma" w:cs="Tahoma"/>
                <w:strike/>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524"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817"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268"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552"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1984" w:type="dxa"/>
            <w:vAlign w:val="center"/>
          </w:tcPr>
          <w:p>
            <w:pPr>
              <w:tabs>
                <w:tab w:val="left" w:pos="720"/>
              </w:tabs>
              <w:spacing w:line="360" w:lineRule="auto"/>
              <w:jc w:val="center"/>
              <w:rPr>
                <w:rFonts w:ascii="Tahoma" w:hAnsi="Tahoma" w:cs="Tahoma"/>
                <w:strike/>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524"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817"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268"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552"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1984" w:type="dxa"/>
            <w:vAlign w:val="center"/>
          </w:tcPr>
          <w:p>
            <w:pPr>
              <w:tabs>
                <w:tab w:val="left" w:pos="720"/>
              </w:tabs>
              <w:spacing w:line="360" w:lineRule="auto"/>
              <w:jc w:val="center"/>
              <w:rPr>
                <w:rFonts w:ascii="Tahoma" w:hAnsi="Tahoma" w:cs="Tahoma"/>
                <w:strike/>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524"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817"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268"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552"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1984" w:type="dxa"/>
            <w:vAlign w:val="center"/>
          </w:tcPr>
          <w:p>
            <w:pPr>
              <w:tabs>
                <w:tab w:val="left" w:pos="720"/>
              </w:tabs>
              <w:spacing w:line="360" w:lineRule="auto"/>
              <w:jc w:val="center"/>
              <w:rPr>
                <w:rFonts w:ascii="Tahoma" w:hAnsi="Tahoma" w:cs="Tahoma"/>
                <w:strike/>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524" w:type="dxa"/>
            <w:vAlign w:val="center"/>
          </w:tcPr>
          <w:p>
            <w:pPr>
              <w:tabs>
                <w:tab w:val="left" w:pos="720"/>
              </w:tabs>
              <w:spacing w:line="360" w:lineRule="auto"/>
              <w:jc w:val="center"/>
              <w:rPr>
                <w:rFonts w:ascii="Tahoma" w:hAnsi="Tahoma" w:cs="Tahoma"/>
                <w:strike/>
                <w:color w:val="auto"/>
                <w:kern w:val="0"/>
                <w:sz w:val="24"/>
                <w:szCs w:val="24"/>
                <w:highlight w:val="none"/>
              </w:rPr>
            </w:pPr>
            <w:r>
              <w:rPr>
                <w:rFonts w:ascii="Tahoma" w:hAnsi="Tahoma" w:cs="Tahoma"/>
                <w:strike/>
                <w:color w:val="auto"/>
                <w:kern w:val="0"/>
                <w:sz w:val="24"/>
                <w:szCs w:val="24"/>
                <w:highlight w:val="none"/>
              </w:rPr>
              <w:t>………</w:t>
            </w:r>
          </w:p>
        </w:tc>
        <w:tc>
          <w:tcPr>
            <w:tcW w:w="2817"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268"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552"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1984" w:type="dxa"/>
            <w:vAlign w:val="center"/>
          </w:tcPr>
          <w:p>
            <w:pPr>
              <w:tabs>
                <w:tab w:val="left" w:pos="720"/>
              </w:tabs>
              <w:spacing w:line="360" w:lineRule="auto"/>
              <w:jc w:val="center"/>
              <w:rPr>
                <w:rFonts w:ascii="Tahoma" w:hAnsi="Tahoma" w:cs="Tahoma"/>
                <w:strike/>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524" w:type="dxa"/>
            <w:vAlign w:val="center"/>
          </w:tcPr>
          <w:p>
            <w:pPr>
              <w:tabs>
                <w:tab w:val="left" w:pos="720"/>
              </w:tabs>
              <w:spacing w:line="360" w:lineRule="auto"/>
              <w:jc w:val="center"/>
              <w:rPr>
                <w:rFonts w:ascii="Tahoma" w:hAnsi="Tahoma" w:cs="Tahoma"/>
                <w:strike/>
                <w:color w:val="auto"/>
                <w:kern w:val="0"/>
                <w:sz w:val="24"/>
                <w:szCs w:val="24"/>
                <w:highlight w:val="none"/>
              </w:rPr>
            </w:pPr>
            <w:r>
              <w:rPr>
                <w:rFonts w:ascii="Tahoma" w:hAnsi="Tahoma" w:cs="Tahoma"/>
                <w:strike/>
                <w:color w:val="auto"/>
                <w:kern w:val="0"/>
                <w:sz w:val="24"/>
                <w:szCs w:val="24"/>
                <w:highlight w:val="none"/>
              </w:rPr>
              <w:t>合计</w:t>
            </w:r>
          </w:p>
        </w:tc>
        <w:tc>
          <w:tcPr>
            <w:tcW w:w="2817"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268"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2552" w:type="dxa"/>
            <w:vAlign w:val="center"/>
          </w:tcPr>
          <w:p>
            <w:pPr>
              <w:tabs>
                <w:tab w:val="left" w:pos="720"/>
              </w:tabs>
              <w:spacing w:line="360" w:lineRule="auto"/>
              <w:jc w:val="center"/>
              <w:rPr>
                <w:rFonts w:ascii="Tahoma" w:hAnsi="Tahoma" w:cs="Tahoma"/>
                <w:strike/>
                <w:color w:val="auto"/>
                <w:kern w:val="0"/>
                <w:sz w:val="24"/>
                <w:szCs w:val="24"/>
                <w:highlight w:val="none"/>
              </w:rPr>
            </w:pPr>
          </w:p>
        </w:tc>
        <w:tc>
          <w:tcPr>
            <w:tcW w:w="1984" w:type="dxa"/>
            <w:vAlign w:val="center"/>
          </w:tcPr>
          <w:p>
            <w:pPr>
              <w:tabs>
                <w:tab w:val="left" w:pos="720"/>
              </w:tabs>
              <w:spacing w:line="360" w:lineRule="auto"/>
              <w:jc w:val="center"/>
              <w:rPr>
                <w:rFonts w:ascii="Tahoma" w:hAnsi="Tahoma" w:cs="Tahoma"/>
                <w:strike/>
                <w:color w:val="auto"/>
                <w:kern w:val="0"/>
                <w:sz w:val="24"/>
                <w:szCs w:val="24"/>
                <w:highlight w:val="none"/>
              </w:rPr>
            </w:pPr>
          </w:p>
        </w:tc>
      </w:tr>
    </w:tbl>
    <w:p>
      <w:pPr>
        <w:tabs>
          <w:tab w:val="left" w:pos="720"/>
        </w:tabs>
        <w:spacing w:line="360" w:lineRule="auto"/>
        <w:ind w:firstLine="480" w:firstLineChars="200"/>
        <w:rPr>
          <w:rFonts w:ascii="Tahoma" w:hAnsi="Tahoma" w:cs="Tahoma"/>
          <w:strike/>
          <w:color w:val="auto"/>
          <w:sz w:val="24"/>
          <w:szCs w:val="24"/>
          <w:highlight w:val="none"/>
        </w:rPr>
      </w:pPr>
    </w:p>
    <w:p>
      <w:pPr>
        <w:tabs>
          <w:tab w:val="left" w:pos="720"/>
        </w:tabs>
        <w:spacing w:line="360" w:lineRule="auto"/>
        <w:ind w:firstLine="480" w:firstLineChars="200"/>
        <w:rPr>
          <w:rFonts w:ascii="Tahoma" w:hAnsi="Tahoma" w:cs="Tahoma"/>
          <w:strike/>
          <w:color w:val="auto"/>
          <w:sz w:val="24"/>
          <w:szCs w:val="24"/>
          <w:highlight w:val="none"/>
        </w:rPr>
      </w:pPr>
      <w:r>
        <w:rPr>
          <w:rFonts w:ascii="Tahoma" w:hAnsi="Tahoma" w:cs="Tahoma"/>
          <w:strike/>
          <w:color w:val="auto"/>
          <w:sz w:val="24"/>
          <w:szCs w:val="24"/>
          <w:highlight w:val="none"/>
        </w:rPr>
        <w:t>评委签名：</w:t>
      </w:r>
    </w:p>
    <w:p>
      <w:pPr>
        <w:rPr>
          <w:rFonts w:ascii="Tahoma" w:hAnsi="Tahoma" w:cs="Tahoma"/>
          <w:strike/>
          <w:color w:val="auto"/>
          <w:szCs w:val="21"/>
          <w:highlight w:val="none"/>
        </w:rPr>
      </w:pPr>
      <w:r>
        <w:rPr>
          <w:rFonts w:ascii="Tahoma" w:hAnsi="Tahoma" w:cs="Tahoma"/>
          <w:strike/>
          <w:color w:val="auto"/>
          <w:sz w:val="24"/>
          <w:szCs w:val="24"/>
          <w:highlight w:val="none"/>
        </w:rPr>
        <w:br w:type="page"/>
      </w:r>
      <w:r>
        <w:rPr>
          <w:rFonts w:hint="eastAsia" w:ascii="Tahoma" w:hAnsi="Tahoma" w:cs="Tahoma"/>
          <w:strike/>
          <w:color w:val="auto"/>
          <w:sz w:val="28"/>
          <w:szCs w:val="28"/>
          <w:highlight w:val="none"/>
        </w:rPr>
        <w:t>附表九：（适用于有主要项目单价评审的项目）</w:t>
      </w:r>
    </w:p>
    <w:p>
      <w:pPr>
        <w:jc w:val="center"/>
        <w:rPr>
          <w:b/>
          <w:strike/>
          <w:color w:val="auto"/>
          <w:sz w:val="36"/>
          <w:szCs w:val="36"/>
          <w:highlight w:val="none"/>
        </w:rPr>
      </w:pPr>
      <w:r>
        <w:rPr>
          <w:b/>
          <w:strike/>
          <w:color w:val="auto"/>
          <w:sz w:val="36"/>
          <w:szCs w:val="36"/>
          <w:highlight w:val="none"/>
        </w:rPr>
        <w:t>经济分汇总表</w:t>
      </w:r>
    </w:p>
    <w:tbl>
      <w:tblPr>
        <w:tblStyle w:val="36"/>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440"/>
        <w:gridCol w:w="1980"/>
        <w:gridCol w:w="1620"/>
        <w:gridCol w:w="1620"/>
        <w:gridCol w:w="18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blHeader/>
        </w:trPr>
        <w:tc>
          <w:tcPr>
            <w:tcW w:w="828" w:type="dxa"/>
            <w:vAlign w:val="center"/>
          </w:tcPr>
          <w:p>
            <w:pPr>
              <w:tabs>
                <w:tab w:val="left" w:pos="720"/>
              </w:tabs>
              <w:spacing w:line="360" w:lineRule="auto"/>
              <w:jc w:val="center"/>
              <w:rPr>
                <w:rFonts w:ascii="Tahoma" w:hAnsi="Tahoma" w:cs="Tahoma"/>
                <w:strike/>
                <w:color w:val="auto"/>
                <w:sz w:val="24"/>
                <w:szCs w:val="24"/>
                <w:highlight w:val="none"/>
              </w:rPr>
            </w:pPr>
            <w:r>
              <w:rPr>
                <w:rFonts w:ascii="Tahoma" w:hAnsi="Tahoma" w:cs="Tahoma"/>
                <w:strike/>
                <w:color w:val="auto"/>
                <w:sz w:val="24"/>
                <w:szCs w:val="24"/>
                <w:highlight w:val="none"/>
              </w:rPr>
              <w:t>序号</w:t>
            </w:r>
          </w:p>
        </w:tc>
        <w:tc>
          <w:tcPr>
            <w:tcW w:w="3060" w:type="dxa"/>
            <w:vAlign w:val="center"/>
          </w:tcPr>
          <w:p>
            <w:pPr>
              <w:tabs>
                <w:tab w:val="left" w:pos="720"/>
              </w:tabs>
              <w:spacing w:line="360" w:lineRule="auto"/>
              <w:jc w:val="center"/>
              <w:rPr>
                <w:rFonts w:ascii="Tahoma" w:hAnsi="Tahoma" w:cs="Tahoma"/>
                <w:strike/>
                <w:color w:val="auto"/>
                <w:sz w:val="24"/>
                <w:szCs w:val="24"/>
                <w:highlight w:val="none"/>
              </w:rPr>
            </w:pPr>
            <w:r>
              <w:rPr>
                <w:rFonts w:ascii="Tahoma" w:hAnsi="Tahoma" w:cs="Tahoma"/>
                <w:strike/>
                <w:color w:val="auto"/>
                <w:sz w:val="24"/>
                <w:szCs w:val="24"/>
                <w:highlight w:val="none"/>
              </w:rPr>
              <w:t>项目</w:t>
            </w:r>
          </w:p>
        </w:tc>
        <w:tc>
          <w:tcPr>
            <w:tcW w:w="1440" w:type="dxa"/>
            <w:vAlign w:val="center"/>
          </w:tcPr>
          <w:p>
            <w:pPr>
              <w:tabs>
                <w:tab w:val="left" w:pos="720"/>
              </w:tabs>
              <w:spacing w:line="360" w:lineRule="auto"/>
              <w:jc w:val="center"/>
              <w:rPr>
                <w:rFonts w:ascii="Tahoma" w:hAnsi="Tahoma" w:cs="Tahoma"/>
                <w:strike/>
                <w:color w:val="auto"/>
                <w:sz w:val="24"/>
                <w:szCs w:val="24"/>
                <w:highlight w:val="none"/>
              </w:rPr>
            </w:pPr>
            <w:r>
              <w:rPr>
                <w:rFonts w:ascii="Tahoma" w:hAnsi="Tahoma" w:cs="Tahoma"/>
                <w:strike/>
                <w:color w:val="auto"/>
                <w:sz w:val="24"/>
                <w:szCs w:val="24"/>
                <w:highlight w:val="none"/>
              </w:rPr>
              <w:t>标准分</w:t>
            </w:r>
          </w:p>
        </w:tc>
        <w:tc>
          <w:tcPr>
            <w:tcW w:w="1980" w:type="dxa"/>
            <w:vAlign w:val="center"/>
          </w:tcPr>
          <w:p>
            <w:pPr>
              <w:tabs>
                <w:tab w:val="left" w:pos="720"/>
              </w:tabs>
              <w:spacing w:line="360" w:lineRule="auto"/>
              <w:jc w:val="center"/>
              <w:rPr>
                <w:rFonts w:ascii="Tahoma" w:hAnsi="Tahoma" w:cs="Tahoma"/>
                <w:strike/>
                <w:color w:val="auto"/>
                <w:sz w:val="24"/>
                <w:szCs w:val="24"/>
                <w:highlight w:val="none"/>
              </w:rPr>
            </w:pPr>
            <w:r>
              <w:rPr>
                <w:rFonts w:ascii="Tahoma" w:hAnsi="Tahoma" w:cs="Tahoma"/>
                <w:strike/>
                <w:color w:val="auto"/>
                <w:sz w:val="24"/>
                <w:szCs w:val="24"/>
                <w:highlight w:val="none"/>
              </w:rPr>
              <w:t>投标单位1</w:t>
            </w:r>
          </w:p>
        </w:tc>
        <w:tc>
          <w:tcPr>
            <w:tcW w:w="1620" w:type="dxa"/>
            <w:vAlign w:val="center"/>
          </w:tcPr>
          <w:p>
            <w:pPr>
              <w:tabs>
                <w:tab w:val="left" w:pos="720"/>
              </w:tabs>
              <w:spacing w:line="360" w:lineRule="auto"/>
              <w:jc w:val="center"/>
              <w:rPr>
                <w:rFonts w:ascii="Tahoma" w:hAnsi="Tahoma" w:cs="Tahoma"/>
                <w:strike/>
                <w:color w:val="auto"/>
                <w:sz w:val="24"/>
                <w:szCs w:val="24"/>
                <w:highlight w:val="none"/>
              </w:rPr>
            </w:pPr>
            <w:r>
              <w:rPr>
                <w:rFonts w:ascii="Tahoma" w:hAnsi="Tahoma" w:cs="Tahoma"/>
                <w:strike/>
                <w:color w:val="auto"/>
                <w:sz w:val="24"/>
                <w:szCs w:val="24"/>
                <w:highlight w:val="none"/>
              </w:rPr>
              <w:t>投标单位2</w:t>
            </w:r>
          </w:p>
        </w:tc>
        <w:tc>
          <w:tcPr>
            <w:tcW w:w="1620" w:type="dxa"/>
            <w:vAlign w:val="center"/>
          </w:tcPr>
          <w:p>
            <w:pPr>
              <w:tabs>
                <w:tab w:val="left" w:pos="720"/>
              </w:tabs>
              <w:spacing w:line="360" w:lineRule="auto"/>
              <w:jc w:val="center"/>
              <w:rPr>
                <w:rFonts w:ascii="Tahoma" w:hAnsi="Tahoma" w:cs="Tahoma"/>
                <w:strike/>
                <w:color w:val="auto"/>
                <w:sz w:val="24"/>
                <w:szCs w:val="24"/>
                <w:highlight w:val="none"/>
              </w:rPr>
            </w:pPr>
            <w:r>
              <w:rPr>
                <w:rFonts w:ascii="Tahoma" w:hAnsi="Tahoma" w:cs="Tahoma"/>
                <w:strike/>
                <w:color w:val="auto"/>
                <w:sz w:val="24"/>
                <w:szCs w:val="24"/>
                <w:highlight w:val="none"/>
              </w:rPr>
              <w:t>投标单位3</w:t>
            </w:r>
          </w:p>
        </w:tc>
        <w:tc>
          <w:tcPr>
            <w:tcW w:w="1800" w:type="dxa"/>
            <w:vAlign w:val="center"/>
          </w:tcPr>
          <w:p>
            <w:pPr>
              <w:tabs>
                <w:tab w:val="left" w:pos="720"/>
              </w:tabs>
              <w:spacing w:line="360" w:lineRule="auto"/>
              <w:jc w:val="center"/>
              <w:rPr>
                <w:rFonts w:ascii="Tahoma" w:hAnsi="Tahoma" w:cs="Tahoma"/>
                <w:strike/>
                <w:color w:val="auto"/>
                <w:sz w:val="24"/>
                <w:szCs w:val="24"/>
                <w:highlight w:val="none"/>
              </w:rPr>
            </w:pPr>
            <w:r>
              <w:rPr>
                <w:rFonts w:ascii="Tahoma" w:hAnsi="Tahoma" w:cs="Tahoma"/>
                <w:strike/>
                <w:color w:val="auto"/>
                <w:sz w:val="24"/>
                <w:szCs w:val="24"/>
                <w:highlight w:val="none"/>
              </w:rPr>
              <w:t>……</w:t>
            </w:r>
          </w:p>
        </w:tc>
        <w:tc>
          <w:tcPr>
            <w:tcW w:w="1980" w:type="dxa"/>
            <w:vAlign w:val="center"/>
          </w:tcPr>
          <w:p>
            <w:pPr>
              <w:tabs>
                <w:tab w:val="left" w:pos="720"/>
              </w:tabs>
              <w:spacing w:line="360" w:lineRule="auto"/>
              <w:jc w:val="center"/>
              <w:rPr>
                <w:rFonts w:ascii="Tahoma" w:hAnsi="Tahoma" w:cs="Tahoma"/>
                <w:strike/>
                <w:color w:val="auto"/>
                <w:sz w:val="24"/>
                <w:szCs w:val="24"/>
                <w:highlight w:val="none"/>
              </w:rPr>
            </w:pPr>
            <w:r>
              <w:rPr>
                <w:rFonts w:ascii="Tahoma" w:hAnsi="Tahoma" w:cs="Tahoma"/>
                <w:strike/>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28" w:type="dxa"/>
            <w:vAlign w:val="center"/>
          </w:tcPr>
          <w:p>
            <w:pPr>
              <w:tabs>
                <w:tab w:val="left" w:pos="720"/>
              </w:tabs>
              <w:spacing w:line="360" w:lineRule="auto"/>
              <w:jc w:val="center"/>
              <w:rPr>
                <w:rFonts w:ascii="Tahoma" w:hAnsi="Tahoma" w:cs="Tahoma"/>
                <w:strike/>
                <w:color w:val="auto"/>
                <w:sz w:val="24"/>
                <w:szCs w:val="24"/>
                <w:highlight w:val="none"/>
              </w:rPr>
            </w:pPr>
            <w:r>
              <w:rPr>
                <w:rFonts w:ascii="Tahoma" w:hAnsi="Tahoma" w:cs="Tahoma"/>
                <w:strike/>
                <w:color w:val="auto"/>
                <w:sz w:val="24"/>
                <w:szCs w:val="24"/>
                <w:highlight w:val="none"/>
              </w:rPr>
              <w:t>1</w:t>
            </w:r>
          </w:p>
        </w:tc>
        <w:tc>
          <w:tcPr>
            <w:tcW w:w="3060" w:type="dxa"/>
            <w:vAlign w:val="center"/>
          </w:tcPr>
          <w:p>
            <w:pPr>
              <w:tabs>
                <w:tab w:val="left" w:pos="720"/>
              </w:tabs>
              <w:spacing w:line="360" w:lineRule="auto"/>
              <w:jc w:val="center"/>
              <w:rPr>
                <w:rFonts w:ascii="Tahoma" w:hAnsi="Tahoma" w:cs="Tahoma"/>
                <w:strike/>
                <w:color w:val="auto"/>
                <w:sz w:val="24"/>
                <w:szCs w:val="24"/>
                <w:highlight w:val="none"/>
              </w:rPr>
            </w:pPr>
            <w:r>
              <w:rPr>
                <w:rFonts w:ascii="Tahoma" w:hAnsi="Tahoma" w:cs="Tahoma"/>
                <w:strike/>
                <w:color w:val="auto"/>
                <w:sz w:val="24"/>
                <w:szCs w:val="24"/>
                <w:highlight w:val="none"/>
              </w:rPr>
              <w:t>经济标的评标价评分</w:t>
            </w:r>
          </w:p>
        </w:tc>
        <w:tc>
          <w:tcPr>
            <w:tcW w:w="1440" w:type="dxa"/>
            <w:vAlign w:val="center"/>
          </w:tcPr>
          <w:p>
            <w:pPr>
              <w:tabs>
                <w:tab w:val="left" w:pos="720"/>
              </w:tabs>
              <w:spacing w:line="360" w:lineRule="auto"/>
              <w:jc w:val="center"/>
              <w:rPr>
                <w:rFonts w:ascii="Tahoma" w:hAnsi="Tahoma" w:cs="Tahoma"/>
                <w:strike/>
                <w:color w:val="auto"/>
                <w:sz w:val="24"/>
                <w:szCs w:val="24"/>
                <w:highlight w:val="none"/>
              </w:rPr>
            </w:pPr>
            <w:r>
              <w:rPr>
                <w:rFonts w:hint="eastAsia" w:ascii="Tahoma" w:hAnsi="Tahoma" w:cs="Tahoma"/>
                <w:strike/>
                <w:color w:val="auto"/>
                <w:sz w:val="24"/>
                <w:szCs w:val="24"/>
                <w:highlight w:val="none"/>
              </w:rPr>
              <w:t>...</w:t>
            </w:r>
          </w:p>
        </w:tc>
        <w:tc>
          <w:tcPr>
            <w:tcW w:w="1980" w:type="dxa"/>
            <w:vAlign w:val="center"/>
          </w:tcPr>
          <w:p>
            <w:pPr>
              <w:tabs>
                <w:tab w:val="left" w:pos="720"/>
              </w:tabs>
              <w:spacing w:line="360" w:lineRule="auto"/>
              <w:jc w:val="center"/>
              <w:rPr>
                <w:rFonts w:ascii="Tahoma" w:hAnsi="Tahoma" w:cs="Tahoma"/>
                <w:strike/>
                <w:color w:val="auto"/>
                <w:sz w:val="24"/>
                <w:szCs w:val="24"/>
                <w:highlight w:val="none"/>
              </w:rPr>
            </w:pPr>
          </w:p>
        </w:tc>
        <w:tc>
          <w:tcPr>
            <w:tcW w:w="1620" w:type="dxa"/>
            <w:vAlign w:val="center"/>
          </w:tcPr>
          <w:p>
            <w:pPr>
              <w:tabs>
                <w:tab w:val="left" w:pos="720"/>
              </w:tabs>
              <w:spacing w:line="360" w:lineRule="auto"/>
              <w:jc w:val="center"/>
              <w:rPr>
                <w:rFonts w:ascii="Tahoma" w:hAnsi="Tahoma" w:cs="Tahoma"/>
                <w:strike/>
                <w:color w:val="auto"/>
                <w:sz w:val="24"/>
                <w:szCs w:val="24"/>
                <w:highlight w:val="none"/>
              </w:rPr>
            </w:pPr>
          </w:p>
        </w:tc>
        <w:tc>
          <w:tcPr>
            <w:tcW w:w="1620" w:type="dxa"/>
            <w:vAlign w:val="center"/>
          </w:tcPr>
          <w:p>
            <w:pPr>
              <w:tabs>
                <w:tab w:val="left" w:pos="720"/>
              </w:tabs>
              <w:spacing w:line="360" w:lineRule="auto"/>
              <w:jc w:val="center"/>
              <w:rPr>
                <w:rFonts w:ascii="Tahoma" w:hAnsi="Tahoma" w:cs="Tahoma"/>
                <w:strike/>
                <w:color w:val="auto"/>
                <w:sz w:val="24"/>
                <w:szCs w:val="24"/>
                <w:highlight w:val="none"/>
              </w:rPr>
            </w:pPr>
          </w:p>
        </w:tc>
        <w:tc>
          <w:tcPr>
            <w:tcW w:w="1800" w:type="dxa"/>
            <w:vAlign w:val="center"/>
          </w:tcPr>
          <w:p>
            <w:pPr>
              <w:tabs>
                <w:tab w:val="left" w:pos="720"/>
              </w:tabs>
              <w:spacing w:line="360" w:lineRule="auto"/>
              <w:jc w:val="center"/>
              <w:rPr>
                <w:rFonts w:ascii="Tahoma" w:hAnsi="Tahoma" w:cs="Tahoma"/>
                <w:strike/>
                <w:color w:val="auto"/>
                <w:sz w:val="24"/>
                <w:szCs w:val="24"/>
                <w:highlight w:val="none"/>
              </w:rPr>
            </w:pPr>
          </w:p>
        </w:tc>
        <w:tc>
          <w:tcPr>
            <w:tcW w:w="1980" w:type="dxa"/>
            <w:vAlign w:val="center"/>
          </w:tcPr>
          <w:p>
            <w:pPr>
              <w:tabs>
                <w:tab w:val="left" w:pos="720"/>
              </w:tabs>
              <w:spacing w:line="360" w:lineRule="auto"/>
              <w:jc w:val="center"/>
              <w:rPr>
                <w:rFonts w:ascii="Tahoma" w:hAnsi="Tahoma" w:cs="Tahom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28" w:type="dxa"/>
            <w:vAlign w:val="center"/>
          </w:tcPr>
          <w:p>
            <w:pPr>
              <w:tabs>
                <w:tab w:val="left" w:pos="720"/>
              </w:tabs>
              <w:spacing w:line="360" w:lineRule="auto"/>
              <w:jc w:val="center"/>
              <w:rPr>
                <w:rFonts w:ascii="Tahoma" w:hAnsi="Tahoma" w:cs="Tahoma"/>
                <w:strike/>
                <w:color w:val="auto"/>
                <w:sz w:val="24"/>
                <w:szCs w:val="24"/>
                <w:highlight w:val="none"/>
              </w:rPr>
            </w:pPr>
            <w:r>
              <w:rPr>
                <w:rFonts w:ascii="Tahoma" w:hAnsi="Tahoma" w:cs="Tahoma"/>
                <w:strike/>
                <w:color w:val="auto"/>
                <w:sz w:val="24"/>
                <w:szCs w:val="24"/>
                <w:highlight w:val="none"/>
              </w:rPr>
              <w:t>2</w:t>
            </w:r>
          </w:p>
        </w:tc>
        <w:tc>
          <w:tcPr>
            <w:tcW w:w="3060" w:type="dxa"/>
            <w:vAlign w:val="center"/>
          </w:tcPr>
          <w:p>
            <w:pPr>
              <w:tabs>
                <w:tab w:val="left" w:pos="720"/>
              </w:tabs>
              <w:spacing w:line="360" w:lineRule="auto"/>
              <w:jc w:val="center"/>
              <w:rPr>
                <w:rFonts w:ascii="Tahoma" w:hAnsi="Tahoma" w:cs="Tahoma"/>
                <w:strike/>
                <w:color w:val="auto"/>
                <w:sz w:val="24"/>
                <w:szCs w:val="24"/>
                <w:highlight w:val="none"/>
              </w:rPr>
            </w:pPr>
            <w:r>
              <w:rPr>
                <w:rFonts w:ascii="Tahoma" w:hAnsi="Tahoma" w:cs="Tahoma"/>
                <w:strike/>
                <w:color w:val="auto"/>
                <w:kern w:val="0"/>
                <w:sz w:val="24"/>
                <w:szCs w:val="24"/>
                <w:highlight w:val="none"/>
              </w:rPr>
              <w:t>经济标的主要单价评分</w:t>
            </w:r>
          </w:p>
        </w:tc>
        <w:tc>
          <w:tcPr>
            <w:tcW w:w="1440" w:type="dxa"/>
            <w:vAlign w:val="center"/>
          </w:tcPr>
          <w:p>
            <w:pPr>
              <w:tabs>
                <w:tab w:val="left" w:pos="720"/>
              </w:tabs>
              <w:spacing w:line="360" w:lineRule="auto"/>
              <w:jc w:val="center"/>
              <w:rPr>
                <w:rFonts w:ascii="Tahoma" w:hAnsi="Tahoma" w:cs="Tahoma"/>
                <w:strike/>
                <w:color w:val="auto"/>
                <w:sz w:val="24"/>
                <w:szCs w:val="24"/>
                <w:highlight w:val="none"/>
              </w:rPr>
            </w:pPr>
            <w:r>
              <w:rPr>
                <w:rFonts w:hint="eastAsia" w:ascii="Tahoma" w:hAnsi="Tahoma" w:cs="Tahoma"/>
                <w:strike/>
                <w:color w:val="auto"/>
                <w:sz w:val="24"/>
                <w:szCs w:val="24"/>
                <w:highlight w:val="none"/>
              </w:rPr>
              <w:t>...</w:t>
            </w:r>
          </w:p>
        </w:tc>
        <w:tc>
          <w:tcPr>
            <w:tcW w:w="1980" w:type="dxa"/>
            <w:vAlign w:val="center"/>
          </w:tcPr>
          <w:p>
            <w:pPr>
              <w:tabs>
                <w:tab w:val="left" w:pos="720"/>
              </w:tabs>
              <w:spacing w:line="360" w:lineRule="auto"/>
              <w:jc w:val="center"/>
              <w:rPr>
                <w:rFonts w:ascii="Tahoma" w:hAnsi="Tahoma" w:cs="Tahoma"/>
                <w:strike/>
                <w:color w:val="auto"/>
                <w:sz w:val="24"/>
                <w:szCs w:val="24"/>
                <w:highlight w:val="none"/>
              </w:rPr>
            </w:pPr>
          </w:p>
        </w:tc>
        <w:tc>
          <w:tcPr>
            <w:tcW w:w="1620" w:type="dxa"/>
            <w:vAlign w:val="center"/>
          </w:tcPr>
          <w:p>
            <w:pPr>
              <w:tabs>
                <w:tab w:val="left" w:pos="720"/>
              </w:tabs>
              <w:spacing w:line="360" w:lineRule="auto"/>
              <w:jc w:val="center"/>
              <w:rPr>
                <w:rFonts w:ascii="Tahoma" w:hAnsi="Tahoma" w:cs="Tahoma"/>
                <w:strike/>
                <w:color w:val="auto"/>
                <w:sz w:val="24"/>
                <w:szCs w:val="24"/>
                <w:highlight w:val="none"/>
              </w:rPr>
            </w:pPr>
          </w:p>
        </w:tc>
        <w:tc>
          <w:tcPr>
            <w:tcW w:w="1620" w:type="dxa"/>
            <w:vAlign w:val="center"/>
          </w:tcPr>
          <w:p>
            <w:pPr>
              <w:tabs>
                <w:tab w:val="left" w:pos="720"/>
              </w:tabs>
              <w:spacing w:line="360" w:lineRule="auto"/>
              <w:jc w:val="center"/>
              <w:rPr>
                <w:rFonts w:ascii="Tahoma" w:hAnsi="Tahoma" w:cs="Tahoma"/>
                <w:strike/>
                <w:color w:val="auto"/>
                <w:sz w:val="24"/>
                <w:szCs w:val="24"/>
                <w:highlight w:val="none"/>
              </w:rPr>
            </w:pPr>
          </w:p>
        </w:tc>
        <w:tc>
          <w:tcPr>
            <w:tcW w:w="1800" w:type="dxa"/>
            <w:vAlign w:val="center"/>
          </w:tcPr>
          <w:p>
            <w:pPr>
              <w:tabs>
                <w:tab w:val="left" w:pos="720"/>
              </w:tabs>
              <w:spacing w:line="360" w:lineRule="auto"/>
              <w:jc w:val="center"/>
              <w:rPr>
                <w:rFonts w:ascii="Tahoma" w:hAnsi="Tahoma" w:cs="Tahoma"/>
                <w:strike/>
                <w:color w:val="auto"/>
                <w:sz w:val="24"/>
                <w:szCs w:val="24"/>
                <w:highlight w:val="none"/>
              </w:rPr>
            </w:pPr>
          </w:p>
        </w:tc>
        <w:tc>
          <w:tcPr>
            <w:tcW w:w="1980" w:type="dxa"/>
            <w:vAlign w:val="center"/>
          </w:tcPr>
          <w:p>
            <w:pPr>
              <w:tabs>
                <w:tab w:val="left" w:pos="720"/>
              </w:tabs>
              <w:spacing w:line="360" w:lineRule="auto"/>
              <w:jc w:val="center"/>
              <w:rPr>
                <w:rFonts w:ascii="Tahoma" w:hAnsi="Tahoma" w:cs="Tahom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3888" w:type="dxa"/>
            <w:gridSpan w:val="2"/>
            <w:vAlign w:val="center"/>
          </w:tcPr>
          <w:p>
            <w:pPr>
              <w:tabs>
                <w:tab w:val="left" w:pos="720"/>
              </w:tabs>
              <w:spacing w:line="360" w:lineRule="auto"/>
              <w:jc w:val="center"/>
              <w:rPr>
                <w:rFonts w:ascii="Tahoma" w:hAnsi="Tahoma" w:cs="Tahoma"/>
                <w:strike/>
                <w:color w:val="auto"/>
                <w:sz w:val="24"/>
                <w:szCs w:val="24"/>
                <w:highlight w:val="none"/>
              </w:rPr>
            </w:pPr>
            <w:r>
              <w:rPr>
                <w:rFonts w:ascii="Tahoma" w:hAnsi="Tahoma" w:cs="Tahoma"/>
                <w:strike/>
                <w:color w:val="auto"/>
                <w:sz w:val="24"/>
                <w:szCs w:val="24"/>
                <w:highlight w:val="none"/>
              </w:rPr>
              <w:t>经济得分</w:t>
            </w:r>
          </w:p>
        </w:tc>
        <w:tc>
          <w:tcPr>
            <w:tcW w:w="1440" w:type="dxa"/>
            <w:vAlign w:val="center"/>
          </w:tcPr>
          <w:p>
            <w:pPr>
              <w:tabs>
                <w:tab w:val="left" w:pos="720"/>
              </w:tabs>
              <w:spacing w:line="360" w:lineRule="auto"/>
              <w:jc w:val="center"/>
              <w:rPr>
                <w:rFonts w:ascii="Tahoma" w:hAnsi="Tahoma" w:cs="Tahoma"/>
                <w:strike/>
                <w:color w:val="auto"/>
                <w:sz w:val="24"/>
                <w:szCs w:val="24"/>
                <w:highlight w:val="none"/>
              </w:rPr>
            </w:pPr>
            <w:r>
              <w:rPr>
                <w:rFonts w:ascii="Tahoma" w:hAnsi="Tahoma" w:cs="Tahoma"/>
                <w:strike/>
                <w:color w:val="auto"/>
                <w:sz w:val="24"/>
                <w:szCs w:val="24"/>
                <w:highlight w:val="none"/>
              </w:rPr>
              <w:t>100</w:t>
            </w:r>
          </w:p>
        </w:tc>
        <w:tc>
          <w:tcPr>
            <w:tcW w:w="1980" w:type="dxa"/>
            <w:vAlign w:val="center"/>
          </w:tcPr>
          <w:p>
            <w:pPr>
              <w:tabs>
                <w:tab w:val="left" w:pos="720"/>
              </w:tabs>
              <w:spacing w:line="360" w:lineRule="auto"/>
              <w:jc w:val="center"/>
              <w:rPr>
                <w:rFonts w:ascii="Tahoma" w:hAnsi="Tahoma" w:cs="Tahoma"/>
                <w:strike/>
                <w:color w:val="auto"/>
                <w:sz w:val="24"/>
                <w:szCs w:val="24"/>
                <w:highlight w:val="none"/>
              </w:rPr>
            </w:pPr>
          </w:p>
        </w:tc>
        <w:tc>
          <w:tcPr>
            <w:tcW w:w="1620" w:type="dxa"/>
            <w:vAlign w:val="center"/>
          </w:tcPr>
          <w:p>
            <w:pPr>
              <w:tabs>
                <w:tab w:val="left" w:pos="720"/>
              </w:tabs>
              <w:spacing w:line="360" w:lineRule="auto"/>
              <w:jc w:val="center"/>
              <w:rPr>
                <w:rFonts w:ascii="Tahoma" w:hAnsi="Tahoma" w:cs="Tahoma"/>
                <w:strike/>
                <w:color w:val="auto"/>
                <w:sz w:val="24"/>
                <w:szCs w:val="24"/>
                <w:highlight w:val="none"/>
              </w:rPr>
            </w:pPr>
          </w:p>
        </w:tc>
        <w:tc>
          <w:tcPr>
            <w:tcW w:w="1620" w:type="dxa"/>
            <w:vAlign w:val="center"/>
          </w:tcPr>
          <w:p>
            <w:pPr>
              <w:tabs>
                <w:tab w:val="left" w:pos="720"/>
              </w:tabs>
              <w:spacing w:line="360" w:lineRule="auto"/>
              <w:jc w:val="center"/>
              <w:rPr>
                <w:rFonts w:ascii="Tahoma" w:hAnsi="Tahoma" w:cs="Tahoma"/>
                <w:strike/>
                <w:color w:val="auto"/>
                <w:sz w:val="24"/>
                <w:szCs w:val="24"/>
                <w:highlight w:val="none"/>
              </w:rPr>
            </w:pPr>
          </w:p>
        </w:tc>
        <w:tc>
          <w:tcPr>
            <w:tcW w:w="1800" w:type="dxa"/>
            <w:vAlign w:val="center"/>
          </w:tcPr>
          <w:p>
            <w:pPr>
              <w:tabs>
                <w:tab w:val="left" w:pos="720"/>
              </w:tabs>
              <w:spacing w:line="360" w:lineRule="auto"/>
              <w:jc w:val="center"/>
              <w:rPr>
                <w:rFonts w:ascii="Tahoma" w:hAnsi="Tahoma" w:cs="Tahoma"/>
                <w:strike/>
                <w:color w:val="auto"/>
                <w:sz w:val="24"/>
                <w:szCs w:val="24"/>
                <w:highlight w:val="none"/>
              </w:rPr>
            </w:pPr>
          </w:p>
        </w:tc>
        <w:tc>
          <w:tcPr>
            <w:tcW w:w="1980" w:type="dxa"/>
            <w:vAlign w:val="center"/>
          </w:tcPr>
          <w:p>
            <w:pPr>
              <w:tabs>
                <w:tab w:val="left" w:pos="720"/>
              </w:tabs>
              <w:spacing w:line="360" w:lineRule="auto"/>
              <w:jc w:val="center"/>
              <w:rPr>
                <w:rFonts w:ascii="Tahoma" w:hAnsi="Tahoma" w:cs="Tahoma"/>
                <w:strike/>
                <w:color w:val="auto"/>
                <w:sz w:val="24"/>
                <w:szCs w:val="24"/>
                <w:highlight w:val="none"/>
              </w:rPr>
            </w:pPr>
          </w:p>
        </w:tc>
      </w:tr>
    </w:tbl>
    <w:p>
      <w:pPr>
        <w:tabs>
          <w:tab w:val="left" w:pos="720"/>
        </w:tabs>
        <w:spacing w:line="360" w:lineRule="auto"/>
        <w:rPr>
          <w:rFonts w:ascii="Tahoma" w:hAnsi="Tahoma" w:cs="Tahoma"/>
          <w:strike/>
          <w:color w:val="auto"/>
          <w:sz w:val="24"/>
          <w:szCs w:val="24"/>
          <w:highlight w:val="none"/>
        </w:rPr>
      </w:pPr>
    </w:p>
    <w:p>
      <w:pPr>
        <w:tabs>
          <w:tab w:val="left" w:pos="720"/>
        </w:tabs>
        <w:spacing w:line="360" w:lineRule="auto"/>
        <w:ind w:firstLine="480" w:firstLineChars="200"/>
        <w:rPr>
          <w:rFonts w:ascii="Tahoma" w:hAnsi="Tahoma" w:cs="Tahoma"/>
          <w:strike/>
          <w:color w:val="auto"/>
          <w:sz w:val="24"/>
          <w:szCs w:val="24"/>
          <w:highlight w:val="none"/>
        </w:rPr>
      </w:pPr>
      <w:r>
        <w:rPr>
          <w:rFonts w:ascii="Tahoma" w:hAnsi="Tahoma" w:cs="Tahoma"/>
          <w:strike/>
          <w:color w:val="auto"/>
          <w:sz w:val="24"/>
          <w:szCs w:val="24"/>
          <w:highlight w:val="none"/>
        </w:rPr>
        <w:t>评委签名</w:t>
      </w:r>
    </w:p>
    <w:p>
      <w:pPr>
        <w:tabs>
          <w:tab w:val="left" w:pos="720"/>
        </w:tabs>
        <w:spacing w:line="360" w:lineRule="auto"/>
        <w:ind w:firstLine="480" w:firstLineChars="200"/>
        <w:rPr>
          <w:rFonts w:ascii="Tahoma" w:hAnsi="Tahoma" w:cs="Tahoma"/>
          <w:strike/>
          <w:color w:val="auto"/>
          <w:sz w:val="24"/>
          <w:szCs w:val="24"/>
          <w:highlight w:val="none"/>
        </w:rPr>
      </w:pPr>
      <w:r>
        <w:rPr>
          <w:rFonts w:ascii="Tahoma" w:hAnsi="Tahoma" w:cs="Tahoma"/>
          <w:strike/>
          <w:color w:val="auto"/>
          <w:sz w:val="24"/>
          <w:szCs w:val="24"/>
          <w:highlight w:val="none"/>
        </w:rPr>
        <w:br w:type="page"/>
      </w:r>
    </w:p>
    <w:p>
      <w:pPr>
        <w:rPr>
          <w:b/>
          <w:color w:val="auto"/>
          <w:sz w:val="28"/>
          <w:szCs w:val="28"/>
          <w:highlight w:val="none"/>
        </w:rPr>
      </w:pPr>
      <w:r>
        <w:rPr>
          <w:rFonts w:hint="eastAsia"/>
          <w:color w:val="auto"/>
          <w:sz w:val="28"/>
          <w:szCs w:val="28"/>
          <w:highlight w:val="none"/>
        </w:rPr>
        <w:t>附表十</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sectPr>
          <w:headerReference r:id="rId9" w:type="first"/>
          <w:footerReference r:id="rId12" w:type="first"/>
          <w:headerReference r:id="rId7" w:type="default"/>
          <w:footerReference r:id="rId10" w:type="default"/>
          <w:headerReference r:id="rId8" w:type="even"/>
          <w:footerReference r:id="rId11" w:type="even"/>
          <w:endnotePr>
            <w:numFmt w:val="decimal"/>
          </w:endnotePr>
          <w:pgSz w:w="16838" w:h="11906" w:orient="landscape"/>
          <w:pgMar w:top="1418" w:right="1247" w:bottom="1418" w:left="1134" w:header="851" w:footer="907" w:gutter="0"/>
          <w:cols w:space="425" w:num="1"/>
          <w:titlePg/>
          <w:docGrid w:type="lines" w:linePitch="312" w:charSpace="0"/>
        </w:sectPr>
      </w:pPr>
      <w:r>
        <w:rPr>
          <w:color w:val="auto"/>
          <w:highlight w:val="none"/>
        </w:rPr>
        <w:br w:type="page"/>
      </w:r>
    </w:p>
    <w:p>
      <w:pPr>
        <w:rPr>
          <w:color w:val="auto"/>
          <w:highlight w:val="none"/>
        </w:rPr>
      </w:pPr>
    </w:p>
    <w:p>
      <w:pPr>
        <w:pStyle w:val="3"/>
        <w:rPr>
          <w:color w:val="auto"/>
          <w:highlight w:val="none"/>
        </w:rPr>
      </w:pPr>
      <w:bookmarkStart w:id="67" w:name="_Toc21525511"/>
      <w:bookmarkStart w:id="68" w:name="_Toc2272566"/>
      <w:bookmarkStart w:id="69" w:name="_Toc25611"/>
      <w:bookmarkStart w:id="70" w:name="_Toc15112"/>
      <w:r>
        <w:rPr>
          <w:rFonts w:hint="eastAsia"/>
          <w:color w:val="auto"/>
          <w:highlight w:val="none"/>
        </w:rPr>
        <w:t>第三章</w:t>
      </w:r>
      <w:r>
        <w:rPr>
          <w:color w:val="auto"/>
          <w:highlight w:val="none"/>
        </w:rPr>
        <w:t xml:space="preserve">  </w:t>
      </w:r>
      <w:r>
        <w:rPr>
          <w:rFonts w:hint="eastAsia"/>
          <w:color w:val="auto"/>
          <w:highlight w:val="none"/>
        </w:rPr>
        <w:t>合同条款</w:t>
      </w:r>
      <w:bookmarkEnd w:id="67"/>
      <w:bookmarkEnd w:id="68"/>
      <w:r>
        <w:rPr>
          <w:rFonts w:hint="eastAsia"/>
          <w:color w:val="auto"/>
          <w:highlight w:val="none"/>
        </w:rPr>
        <w:t>及格式</w:t>
      </w:r>
      <w:bookmarkEnd w:id="69"/>
      <w:bookmarkEnd w:id="70"/>
    </w:p>
    <w:p>
      <w:pPr>
        <w:pStyle w:val="5"/>
        <w:spacing w:line="360" w:lineRule="auto"/>
        <w:jc w:val="center"/>
        <w:rPr>
          <w:b/>
          <w:bCs/>
          <w:color w:val="auto"/>
          <w:sz w:val="24"/>
          <w:szCs w:val="24"/>
          <w:highlight w:val="none"/>
        </w:rPr>
      </w:pPr>
    </w:p>
    <w:p>
      <w:pPr>
        <w:pStyle w:val="5"/>
        <w:spacing w:line="360" w:lineRule="auto"/>
        <w:jc w:val="center"/>
        <w:rPr>
          <w:b/>
          <w:bCs/>
          <w:color w:val="auto"/>
          <w:sz w:val="24"/>
          <w:szCs w:val="24"/>
          <w:highlight w:val="none"/>
        </w:rPr>
      </w:pPr>
    </w:p>
    <w:p>
      <w:pPr>
        <w:pStyle w:val="5"/>
        <w:spacing w:line="360" w:lineRule="auto"/>
        <w:jc w:val="center"/>
        <w:rPr>
          <w:b/>
          <w:bCs/>
          <w:color w:val="auto"/>
          <w:sz w:val="24"/>
          <w:szCs w:val="24"/>
          <w:highlight w:val="none"/>
        </w:rPr>
      </w:pPr>
      <w:r>
        <w:rPr>
          <w:rFonts w:hint="eastAsia"/>
          <w:b/>
          <w:bCs/>
          <w:color w:val="auto"/>
          <w:sz w:val="24"/>
          <w:szCs w:val="24"/>
          <w:highlight w:val="none"/>
        </w:rPr>
        <w:t>另册</w:t>
      </w: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ind w:firstLine="0"/>
        <w:rPr>
          <w:color w:val="auto"/>
          <w:sz w:val="24"/>
          <w:szCs w:val="24"/>
          <w:highlight w:val="none"/>
        </w:rPr>
      </w:pPr>
    </w:p>
    <w:p>
      <w:pPr>
        <w:pStyle w:val="20"/>
        <w:spacing w:line="360" w:lineRule="auto"/>
        <w:rPr>
          <w:color w:val="auto"/>
          <w:sz w:val="24"/>
          <w:szCs w:val="24"/>
          <w:highlight w:val="none"/>
        </w:rPr>
      </w:pPr>
    </w:p>
    <w:p>
      <w:pPr>
        <w:pStyle w:val="20"/>
        <w:spacing w:line="360" w:lineRule="auto"/>
        <w:rPr>
          <w:color w:val="auto"/>
          <w:sz w:val="24"/>
          <w:szCs w:val="24"/>
          <w:highlight w:val="none"/>
        </w:rPr>
      </w:pPr>
      <w:r>
        <w:rPr>
          <w:color w:val="auto"/>
          <w:sz w:val="24"/>
          <w:szCs w:val="24"/>
          <w:highlight w:val="none"/>
        </w:rPr>
        <w:br w:type="page"/>
      </w:r>
    </w:p>
    <w:p>
      <w:pPr>
        <w:pStyle w:val="3"/>
        <w:rPr>
          <w:color w:val="auto"/>
          <w:highlight w:val="none"/>
        </w:rPr>
      </w:pPr>
      <w:bookmarkStart w:id="71" w:name="_Toc32300"/>
      <w:bookmarkStart w:id="72" w:name="_Toc21525512"/>
      <w:bookmarkStart w:id="73" w:name="_Toc29898"/>
      <w:bookmarkStart w:id="74" w:name="_Toc2272567"/>
      <w:r>
        <w:rPr>
          <w:rFonts w:hint="eastAsia"/>
          <w:color w:val="auto"/>
          <w:highlight w:val="none"/>
        </w:rPr>
        <w:t>第四章</w:t>
      </w:r>
      <w:r>
        <w:rPr>
          <w:color w:val="auto"/>
          <w:highlight w:val="none"/>
        </w:rPr>
        <w:t xml:space="preserve">  </w:t>
      </w:r>
      <w:r>
        <w:rPr>
          <w:rFonts w:hint="eastAsia"/>
          <w:color w:val="auto"/>
          <w:highlight w:val="none"/>
        </w:rPr>
        <w:t>投标文件格式</w:t>
      </w:r>
      <w:bookmarkEnd w:id="71"/>
      <w:bookmarkEnd w:id="72"/>
      <w:bookmarkEnd w:id="73"/>
      <w:bookmarkEnd w:id="74"/>
    </w:p>
    <w:p>
      <w:pPr>
        <w:autoSpaceDE w:val="0"/>
        <w:autoSpaceDN w:val="0"/>
        <w:adjustRightInd w:val="0"/>
        <w:rPr>
          <w:bCs/>
          <w:color w:val="auto"/>
          <w:szCs w:val="21"/>
          <w:highlight w:val="none"/>
        </w:rPr>
      </w:pPr>
      <w:r>
        <w:rPr>
          <w:color w:val="auto"/>
          <w:highlight w:val="none"/>
        </w:rPr>
        <w:br w:type="page"/>
      </w:r>
      <w:r>
        <w:rPr>
          <w:rFonts w:hint="eastAsia"/>
          <w:bCs/>
          <w:color w:val="auto"/>
          <w:sz w:val="28"/>
          <w:szCs w:val="28"/>
          <w:highlight w:val="none"/>
        </w:rPr>
        <w:t>附件1</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jc w:val="center"/>
        <w:rPr>
          <w:b/>
          <w:bCs/>
          <w:color w:val="auto"/>
          <w:sz w:val="44"/>
          <w:szCs w:val="44"/>
          <w:highlight w:val="none"/>
          <w:lang w:val="zh-CN"/>
        </w:rPr>
      </w:pPr>
      <w:r>
        <w:rPr>
          <w:rFonts w:hint="eastAsia"/>
          <w:b/>
          <w:bCs/>
          <w:color w:val="auto"/>
          <w:sz w:val="44"/>
          <w:szCs w:val="44"/>
          <w:highlight w:val="none"/>
          <w:lang w:val="zh-CN"/>
        </w:rPr>
        <w:t>广州建设工程施工招标投标书</w:t>
      </w:r>
    </w:p>
    <w:p>
      <w:pPr>
        <w:jc w:val="center"/>
        <w:rPr>
          <w:color w:val="auto"/>
          <w:sz w:val="28"/>
          <w:szCs w:val="28"/>
          <w:highlight w:val="none"/>
          <w:lang w:val="zh-CN"/>
        </w:rPr>
      </w:pPr>
      <w:r>
        <w:rPr>
          <w:rFonts w:hint="eastAsia"/>
          <w:color w:val="auto"/>
          <w:sz w:val="28"/>
          <w:szCs w:val="28"/>
          <w:highlight w:val="none"/>
        </w:rPr>
        <w:t>（适用于技术标与经济标同时开启）</w:t>
      </w:r>
    </w:p>
    <w:tbl>
      <w:tblPr>
        <w:tblStyle w:val="36"/>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lang w:val="zh-CN"/>
              </w:rPr>
            </w:pPr>
            <w:r>
              <w:rPr>
                <w:rFonts w:hint="eastAsia"/>
                <w:color w:val="auto"/>
                <w:sz w:val="28"/>
                <w:szCs w:val="28"/>
                <w:highlight w:val="none"/>
                <w:lang w:val="zh-CN"/>
              </w:rPr>
              <w:t>工</w:t>
            </w:r>
            <w:r>
              <w:rPr>
                <w:color w:val="auto"/>
                <w:sz w:val="28"/>
                <w:szCs w:val="28"/>
                <w:highlight w:val="none"/>
                <w:lang w:val="zh-CN"/>
              </w:rPr>
              <w:t xml:space="preserve"> </w:t>
            </w:r>
            <w:r>
              <w:rPr>
                <w:rFonts w:hint="eastAsia"/>
                <w:color w:val="auto"/>
                <w:sz w:val="28"/>
                <w:szCs w:val="28"/>
                <w:highlight w:val="none"/>
                <w:lang w:val="zh-CN"/>
              </w:rPr>
              <w:t>程</w:t>
            </w:r>
            <w:r>
              <w:rPr>
                <w:color w:val="auto"/>
                <w:sz w:val="28"/>
                <w:szCs w:val="28"/>
                <w:highlight w:val="none"/>
                <w:lang w:val="zh-CN"/>
              </w:rPr>
              <w:t xml:space="preserve"> </w:t>
            </w:r>
            <w:r>
              <w:rPr>
                <w:rFonts w:hint="eastAsia"/>
                <w:color w:val="auto"/>
                <w:sz w:val="28"/>
                <w:szCs w:val="28"/>
                <w:highlight w:val="none"/>
                <w:lang w:val="zh-CN"/>
              </w:rPr>
              <w:t>名</w:t>
            </w:r>
            <w:r>
              <w:rPr>
                <w:color w:val="auto"/>
                <w:sz w:val="28"/>
                <w:szCs w:val="28"/>
                <w:highlight w:val="none"/>
                <w:lang w:val="zh-CN"/>
              </w:rPr>
              <w:t xml:space="preserve"> </w:t>
            </w:r>
            <w:r>
              <w:rPr>
                <w:rFonts w:hint="eastAsia"/>
                <w:color w:val="auto"/>
                <w:sz w:val="28"/>
                <w:szCs w:val="28"/>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pPr>
              <w:rPr>
                <w:color w:val="auto"/>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lang w:val="zh-CN"/>
              </w:rPr>
            </w:pPr>
            <w:r>
              <w:rPr>
                <w:rFonts w:hint="eastAsia"/>
                <w:color w:val="auto"/>
                <w:sz w:val="28"/>
                <w:szCs w:val="28"/>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lang w:val="zh-CN"/>
              </w:rPr>
            </w:pPr>
            <w:r>
              <w:rPr>
                <w:rFonts w:hint="eastAsia"/>
                <w:color w:val="auto"/>
                <w:sz w:val="28"/>
                <w:szCs w:val="28"/>
                <w:highlight w:val="none"/>
                <w:lang w:val="zh-CN"/>
              </w:rPr>
              <w:t>其中：人工费（元）</w:t>
            </w:r>
          </w:p>
        </w:tc>
        <w:tc>
          <w:tcPr>
            <w:tcW w:w="3574" w:type="dxa"/>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lang w:val="zh-CN"/>
              </w:rPr>
            </w:pPr>
            <w:r>
              <w:rPr>
                <w:rFonts w:hint="eastAsia"/>
                <w:color w:val="auto"/>
                <w:sz w:val="28"/>
                <w:szCs w:val="28"/>
                <w:highlight w:val="none"/>
                <w:lang w:val="zh-CN"/>
              </w:rPr>
              <w:t>其中：绿色施工安全防护措施费（元）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lang w:val="zh-CN"/>
              </w:rPr>
            </w:pPr>
            <w:r>
              <w:rPr>
                <w:rFonts w:hint="eastAsia"/>
                <w:color w:val="auto"/>
                <w:sz w:val="28"/>
                <w:szCs w:val="28"/>
                <w:highlight w:val="none"/>
                <w:lang w:val="zh-CN"/>
              </w:rPr>
              <w:t>投</w:t>
            </w:r>
            <w:r>
              <w:rPr>
                <w:color w:val="auto"/>
                <w:sz w:val="28"/>
                <w:szCs w:val="28"/>
                <w:highlight w:val="none"/>
                <w:lang w:val="zh-CN"/>
              </w:rPr>
              <w:t xml:space="preserve"> </w:t>
            </w:r>
            <w:r>
              <w:rPr>
                <w:rFonts w:hint="eastAsia"/>
                <w:color w:val="auto"/>
                <w:sz w:val="28"/>
                <w:szCs w:val="28"/>
                <w:highlight w:val="none"/>
                <w:lang w:val="zh-CN"/>
              </w:rPr>
              <w:t>标</w:t>
            </w:r>
            <w:r>
              <w:rPr>
                <w:color w:val="auto"/>
                <w:sz w:val="28"/>
                <w:szCs w:val="28"/>
                <w:highlight w:val="none"/>
                <w:lang w:val="zh-CN"/>
              </w:rPr>
              <w:t xml:space="preserve"> </w:t>
            </w:r>
            <w:r>
              <w:rPr>
                <w:rFonts w:hint="eastAsia"/>
                <w:color w:val="auto"/>
                <w:sz w:val="28"/>
                <w:szCs w:val="28"/>
                <w:highlight w:val="none"/>
                <w:lang w:val="zh-CN"/>
              </w:rPr>
              <w:t>总工</w:t>
            </w:r>
            <w:r>
              <w:rPr>
                <w:color w:val="auto"/>
                <w:sz w:val="28"/>
                <w:szCs w:val="28"/>
                <w:highlight w:val="none"/>
                <w:lang w:val="zh-CN"/>
              </w:rPr>
              <w:t xml:space="preserve"> </w:t>
            </w:r>
            <w:r>
              <w:rPr>
                <w:rFonts w:hint="eastAsia"/>
                <w:color w:val="auto"/>
                <w:sz w:val="28"/>
                <w:szCs w:val="28"/>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pPr>
              <w:rPr>
                <w:color w:val="auto"/>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rPr>
                <w:color w:val="auto"/>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lang w:val="zh-CN"/>
              </w:rPr>
            </w:pPr>
            <w:r>
              <w:rPr>
                <w:rFonts w:hint="eastAsia"/>
                <w:color w:val="auto"/>
                <w:sz w:val="28"/>
                <w:szCs w:val="28"/>
                <w:highlight w:val="none"/>
                <w:lang w:val="zh-CN"/>
              </w:rPr>
              <w:t>保</w:t>
            </w:r>
            <w:r>
              <w:rPr>
                <w:color w:val="auto"/>
                <w:sz w:val="28"/>
                <w:szCs w:val="28"/>
                <w:highlight w:val="none"/>
                <w:lang w:val="zh-CN"/>
              </w:rPr>
              <w:t xml:space="preserve"> </w:t>
            </w:r>
            <w:r>
              <w:rPr>
                <w:rFonts w:hint="eastAsia"/>
                <w:color w:val="auto"/>
                <w:sz w:val="28"/>
                <w:szCs w:val="28"/>
                <w:highlight w:val="none"/>
                <w:lang w:val="zh-CN"/>
              </w:rPr>
              <w:t>修</w:t>
            </w:r>
            <w:r>
              <w:rPr>
                <w:color w:val="auto"/>
                <w:sz w:val="28"/>
                <w:szCs w:val="28"/>
                <w:highlight w:val="none"/>
                <w:lang w:val="zh-CN"/>
              </w:rPr>
              <w:t xml:space="preserve"> </w:t>
            </w:r>
            <w:r>
              <w:rPr>
                <w:rFonts w:hint="eastAsia"/>
                <w:color w:val="auto"/>
                <w:sz w:val="28"/>
                <w:szCs w:val="28"/>
                <w:highlight w:val="none"/>
                <w:lang w:val="zh-CN"/>
              </w:rPr>
              <w:t>期</w:t>
            </w:r>
            <w:r>
              <w:rPr>
                <w:color w:val="auto"/>
                <w:sz w:val="28"/>
                <w:szCs w:val="28"/>
                <w:highlight w:val="none"/>
                <w:lang w:val="zh-CN"/>
              </w:rPr>
              <w:t xml:space="preserve"> </w:t>
            </w:r>
            <w:r>
              <w:rPr>
                <w:rFonts w:hint="eastAsia"/>
                <w:color w:val="auto"/>
                <w:sz w:val="28"/>
                <w:szCs w:val="28"/>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pPr>
              <w:rPr>
                <w:color w:val="auto"/>
                <w:sz w:val="28"/>
                <w:szCs w:val="28"/>
                <w:highlight w:val="none"/>
                <w:lang w:val="zh-CN"/>
              </w:rPr>
            </w:pPr>
          </w:p>
        </w:tc>
      </w:tr>
    </w:tbl>
    <w:p>
      <w:pPr>
        <w:rPr>
          <w:color w:val="auto"/>
          <w:highlight w:val="none"/>
        </w:rPr>
      </w:pPr>
    </w:p>
    <w:tbl>
      <w:tblPr>
        <w:tblStyle w:val="36"/>
        <w:tblW w:w="9008" w:type="dxa"/>
        <w:tblInd w:w="0" w:type="dxa"/>
        <w:tblLayout w:type="fixed"/>
        <w:tblCellMar>
          <w:top w:w="0" w:type="dxa"/>
          <w:left w:w="108" w:type="dxa"/>
          <w:bottom w:w="0" w:type="dxa"/>
          <w:right w:w="108" w:type="dxa"/>
        </w:tblCellMar>
      </w:tblPr>
      <w:tblGrid>
        <w:gridCol w:w="9008"/>
      </w:tblGrid>
      <w:tr>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noWrap/>
            <w:vAlign w:val="bottom"/>
          </w:tcPr>
          <w:p>
            <w:pPr>
              <w:rPr>
                <w:color w:val="auto"/>
                <w:highlight w:val="none"/>
              </w:rPr>
            </w:pPr>
            <w:r>
              <w:rPr>
                <w:color w:val="auto"/>
                <w:highlight w:val="none"/>
              </w:rPr>
              <w:t xml:space="preserve">                                                                                             </w:t>
            </w:r>
          </w:p>
        </w:tc>
      </w:tr>
    </w:tbl>
    <w:p>
      <w:pPr>
        <w:autoSpaceDE w:val="0"/>
        <w:autoSpaceDN w:val="0"/>
        <w:adjustRightInd w:val="0"/>
        <w:rPr>
          <w:color w:val="auto"/>
          <w:szCs w:val="21"/>
          <w:highlight w:val="none"/>
        </w:rPr>
      </w:pPr>
      <w:r>
        <w:rPr>
          <w:color w:val="auto"/>
          <w:highlight w:val="none"/>
        </w:rPr>
        <w:br w:type="page"/>
      </w:r>
      <w:r>
        <w:rPr>
          <w:rFonts w:hint="eastAsia"/>
          <w:color w:val="auto"/>
          <w:sz w:val="28"/>
          <w:szCs w:val="28"/>
          <w:highlight w:val="none"/>
        </w:rPr>
        <w:t>附件2</w:t>
      </w:r>
    </w:p>
    <w:p>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pStyle w:val="5"/>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pPr>
        <w:pStyle w:val="5"/>
        <w:spacing w:after="0" w:line="360" w:lineRule="auto"/>
        <w:ind w:firstLine="0"/>
        <w:jc w:val="left"/>
        <w:rPr>
          <w:color w:val="auto"/>
          <w:sz w:val="28"/>
          <w:szCs w:val="28"/>
          <w:highlight w:val="none"/>
        </w:rPr>
      </w:pPr>
      <w:r>
        <w:rPr>
          <w:rFonts w:hint="eastAsia"/>
          <w:color w:val="auto"/>
          <w:sz w:val="28"/>
          <w:szCs w:val="28"/>
          <w:highlight w:val="none"/>
        </w:rPr>
        <w:t>附件3</w:t>
      </w:r>
    </w:p>
    <w:p>
      <w:pPr>
        <w:pStyle w:val="5"/>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r>
        <w:rPr>
          <w:rFonts w:hint="eastAsia" w:ascii="宋体" w:hAnsi="宋体"/>
          <w:color w:val="auto"/>
          <w:sz w:val="24"/>
          <w:szCs w:val="24"/>
          <w:highlight w:val="none"/>
          <w:u w:val="single"/>
        </w:rPr>
        <w:t xml:space="preserve">                  </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pPr>
        <w:pStyle w:val="5"/>
        <w:spacing w:after="0" w:line="360" w:lineRule="auto"/>
        <w:ind w:firstLine="0"/>
        <w:rPr>
          <w:b/>
          <w:color w:val="auto"/>
          <w:sz w:val="32"/>
          <w:szCs w:val="32"/>
          <w:highlight w:val="none"/>
        </w:rPr>
      </w:pPr>
    </w:p>
    <w:p>
      <w:pPr>
        <w:pStyle w:val="5"/>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36"/>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pPr>
        <w:pStyle w:val="33"/>
        <w:spacing w:before="156" w:beforeLines="50" w:beforeAutospacing="0" w:after="156" w:afterLines="50" w:afterAutospacing="0" w:line="360" w:lineRule="auto"/>
        <w:jc w:val="left"/>
        <w:rPr>
          <w:rFonts w:eastAsia="宋体"/>
          <w:color w:val="auto"/>
          <w:sz w:val="28"/>
          <w:szCs w:val="28"/>
          <w:highlight w:val="none"/>
        </w:rPr>
      </w:pPr>
      <w:bookmarkStart w:id="75" w:name="_Toc21525513"/>
      <w:bookmarkStart w:id="76" w:name="_Toc2272568"/>
      <w:bookmarkStart w:id="77" w:name="_Toc15835"/>
      <w:r>
        <w:rPr>
          <w:rFonts w:hint="eastAsia" w:eastAsia="宋体"/>
          <w:color w:val="auto"/>
          <w:sz w:val="28"/>
          <w:szCs w:val="28"/>
          <w:highlight w:val="none"/>
        </w:rPr>
        <w:t>附件4</w:t>
      </w:r>
    </w:p>
    <w:p>
      <w:pPr>
        <w:pStyle w:val="33"/>
        <w:spacing w:before="156" w:beforeLines="50" w:beforeAutospacing="0" w:after="156" w:afterLines="50" w:afterAutospacing="0" w:line="360" w:lineRule="auto"/>
        <w:ind w:firstLine="482"/>
        <w:jc w:val="center"/>
        <w:rPr>
          <w:b/>
          <w:bCs/>
          <w:color w:val="auto"/>
          <w:sz w:val="32"/>
          <w:szCs w:val="32"/>
          <w:highlight w:val="none"/>
        </w:rPr>
      </w:pPr>
      <w:r>
        <w:rPr>
          <w:rFonts w:hint="eastAsia" w:eastAsia="宋体"/>
          <w:b/>
          <w:bCs/>
          <w:color w:val="auto"/>
          <w:sz w:val="32"/>
          <w:szCs w:val="32"/>
          <w:highlight w:val="none"/>
        </w:rPr>
        <w:t>投标人廉洁承诺书</w:t>
      </w:r>
    </w:p>
    <w:p>
      <w:pPr>
        <w:pStyle w:val="20"/>
        <w:spacing w:line="360" w:lineRule="auto"/>
        <w:ind w:right="420"/>
        <w:rPr>
          <w:rFonts w:hAnsi="宋体" w:cs="宋体"/>
          <w:color w:val="auto"/>
          <w:szCs w:val="21"/>
          <w:highlight w:val="none"/>
        </w:rPr>
      </w:pPr>
      <w:r>
        <w:rPr>
          <w:rFonts w:hint="eastAsia" w:hAnsi="宋体" w:cs="宋体"/>
          <w:color w:val="auto"/>
          <w:szCs w:val="21"/>
          <w:highlight w:val="none"/>
        </w:rPr>
        <w:t>本招标项目招标人及招标监管机构：</w:t>
      </w:r>
    </w:p>
    <w:p>
      <w:pPr>
        <w:pStyle w:val="20"/>
        <w:spacing w:line="360" w:lineRule="auto"/>
        <w:ind w:right="420" w:firstLine="420" w:firstLineChars="200"/>
        <w:rPr>
          <w:rFonts w:hAnsi="宋体" w:cs="宋体"/>
          <w:color w:val="auto"/>
          <w:szCs w:val="21"/>
          <w:highlight w:val="none"/>
        </w:rPr>
      </w:pPr>
      <w:r>
        <w:rPr>
          <w:rFonts w:hint="eastAsia" w:hAnsi="宋体" w:cs="宋体"/>
          <w:color w:val="auto"/>
          <w:szCs w:val="21"/>
          <w:highlight w:val="none"/>
        </w:rPr>
        <w:t>本公司参加了</w:t>
      </w:r>
      <w:r>
        <w:rPr>
          <w:rFonts w:hint="eastAsia" w:hAnsi="宋体" w:cs="宋体"/>
          <w:color w:val="auto"/>
          <w:szCs w:val="21"/>
          <w:highlight w:val="none"/>
          <w:u w:val="single"/>
        </w:rPr>
        <w:t xml:space="preserve">   （项目名称/标段名称）    </w:t>
      </w:r>
      <w:r>
        <w:rPr>
          <w:rFonts w:hint="eastAsia" w:hAnsi="宋体" w:cs="宋体"/>
          <w:color w:val="auto"/>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pPr>
        <w:pStyle w:val="20"/>
        <w:spacing w:line="360" w:lineRule="auto"/>
        <w:ind w:right="420" w:firstLine="420" w:firstLineChars="200"/>
        <w:rPr>
          <w:rFonts w:hAnsi="宋体" w:cs="宋体"/>
          <w:color w:val="auto"/>
          <w:szCs w:val="21"/>
          <w:highlight w:val="none"/>
        </w:rPr>
      </w:pPr>
      <w:r>
        <w:rPr>
          <w:rFonts w:hint="eastAsia" w:hAnsi="宋体" w:cs="宋体"/>
          <w:color w:val="auto"/>
          <w:szCs w:val="21"/>
          <w:highlight w:val="none"/>
        </w:rPr>
        <w:t>一、自觉遵守国家有关法律法规及廉洁规定。</w:t>
      </w:r>
    </w:p>
    <w:p>
      <w:pPr>
        <w:pStyle w:val="20"/>
        <w:spacing w:line="360" w:lineRule="auto"/>
        <w:ind w:right="420" w:firstLine="420" w:firstLineChars="200"/>
        <w:rPr>
          <w:rFonts w:hAnsi="宋体" w:cs="宋体"/>
          <w:color w:val="auto"/>
          <w:szCs w:val="21"/>
          <w:highlight w:val="none"/>
        </w:rPr>
      </w:pPr>
      <w:r>
        <w:rPr>
          <w:rFonts w:hint="eastAsia" w:hAnsi="宋体" w:cs="宋体"/>
          <w:color w:val="auto"/>
          <w:szCs w:val="21"/>
          <w:highlight w:val="none"/>
        </w:rPr>
        <w:t>二、不与招标单位工作人员串通投标，损害国家利益、企业利益以及他人的合法利益；</w:t>
      </w:r>
    </w:p>
    <w:p>
      <w:pPr>
        <w:pStyle w:val="20"/>
        <w:spacing w:line="360" w:lineRule="auto"/>
        <w:ind w:right="420" w:firstLine="420" w:firstLineChars="200"/>
        <w:rPr>
          <w:rFonts w:hAnsi="宋体" w:cs="宋体"/>
          <w:color w:val="auto"/>
          <w:szCs w:val="21"/>
          <w:highlight w:val="none"/>
        </w:rPr>
      </w:pPr>
      <w:r>
        <w:rPr>
          <w:rFonts w:hint="eastAsia" w:hAnsi="宋体" w:cs="宋体"/>
          <w:color w:val="auto"/>
          <w:szCs w:val="21"/>
          <w:highlight w:val="none"/>
        </w:rPr>
        <w:t>三、不与其他单位围标、串标，不出让投标资格，不向招标人或评标委员会成员行贿。</w:t>
      </w:r>
    </w:p>
    <w:p>
      <w:pPr>
        <w:pStyle w:val="20"/>
        <w:spacing w:line="360" w:lineRule="auto"/>
        <w:ind w:right="420" w:firstLine="420" w:firstLineChars="200"/>
        <w:rPr>
          <w:rFonts w:hAnsi="宋体" w:cs="宋体"/>
          <w:color w:val="auto"/>
          <w:szCs w:val="21"/>
          <w:highlight w:val="none"/>
        </w:rPr>
      </w:pPr>
      <w:r>
        <w:rPr>
          <w:rFonts w:hint="eastAsia" w:hAnsi="宋体" w:cs="宋体"/>
          <w:color w:val="auto"/>
          <w:szCs w:val="21"/>
          <w:highlight w:val="none"/>
        </w:rPr>
        <w:t xml:space="preserve">四、不以任何名义向参与招标、评标工作的有关人员提供高消费宴请及娱乐活动和赠送回扣、红包、礼金、购物卡、有价证券、贵重物品和好处费、感谢费等； </w:t>
      </w:r>
    </w:p>
    <w:p>
      <w:pPr>
        <w:pStyle w:val="20"/>
        <w:spacing w:line="360" w:lineRule="auto"/>
        <w:ind w:right="420" w:firstLine="420" w:firstLineChars="200"/>
        <w:rPr>
          <w:rFonts w:hAnsi="宋体" w:cs="宋体"/>
          <w:color w:val="auto"/>
          <w:szCs w:val="21"/>
          <w:highlight w:val="none"/>
        </w:rPr>
      </w:pPr>
      <w:r>
        <w:rPr>
          <w:rFonts w:hint="eastAsia" w:hAnsi="宋体" w:cs="宋体"/>
          <w:color w:val="auto"/>
          <w:szCs w:val="21"/>
          <w:highlight w:val="none"/>
        </w:rPr>
        <w:t>五、不以任何名义为参与招标、评标工作的有关人员装修住房、婚丧嫁娶、配偶子女的工作安排以及境内外旅游等提供方便；</w:t>
      </w:r>
    </w:p>
    <w:p>
      <w:pPr>
        <w:pStyle w:val="20"/>
        <w:spacing w:line="360" w:lineRule="auto"/>
        <w:ind w:right="420" w:firstLine="420" w:firstLineChars="200"/>
        <w:rPr>
          <w:rFonts w:hAnsi="宋体" w:cs="宋体"/>
          <w:color w:val="auto"/>
          <w:szCs w:val="21"/>
          <w:highlight w:val="none"/>
        </w:rPr>
      </w:pPr>
      <w:r>
        <w:rPr>
          <w:rFonts w:hint="eastAsia" w:hAnsi="宋体" w:cs="宋体"/>
          <w:color w:val="auto"/>
          <w:szCs w:val="21"/>
          <w:highlight w:val="none"/>
        </w:rPr>
        <w:t>六、不以谋取非正当利益为目的，擅自与参与招标、评标工作的有关人员就业务问题进行私下商谈或者达成利益默契。</w:t>
      </w:r>
    </w:p>
    <w:p>
      <w:pPr>
        <w:pStyle w:val="20"/>
        <w:spacing w:line="360" w:lineRule="auto"/>
        <w:ind w:right="420" w:firstLine="420" w:firstLineChars="200"/>
        <w:rPr>
          <w:rFonts w:hAnsi="宋体" w:cs="宋体"/>
          <w:color w:val="auto"/>
          <w:szCs w:val="21"/>
          <w:highlight w:val="none"/>
        </w:rPr>
      </w:pPr>
      <w:r>
        <w:rPr>
          <w:rFonts w:hint="eastAsia" w:hAnsi="宋体" w:cs="宋体"/>
          <w:color w:val="auto"/>
          <w:szCs w:val="21"/>
          <w:highlight w:val="none"/>
        </w:rPr>
        <w:t>本公司违反上述承诺，或本承诺陈述与事实不符，经查实，本公司愿意接受公开通报，被招标监管部门信用评价记录不良行为并扣分，并承担由此带来的法律后果。</w:t>
      </w:r>
    </w:p>
    <w:p>
      <w:pPr>
        <w:rPr>
          <w:rFonts w:hAnsi="宋体" w:cs="宋体"/>
          <w:color w:val="auto"/>
          <w:szCs w:val="21"/>
          <w:highlight w:val="none"/>
        </w:rPr>
      </w:pPr>
    </w:p>
    <w:p>
      <w:pPr>
        <w:pStyle w:val="2"/>
        <w:rPr>
          <w:rFonts w:hAnsi="宋体" w:cs="宋体"/>
          <w:color w:val="auto"/>
          <w:szCs w:val="21"/>
          <w:highlight w:val="none"/>
        </w:rPr>
      </w:pPr>
    </w:p>
    <w:p>
      <w:pPr>
        <w:jc w:val="right"/>
        <w:rPr>
          <w:rFonts w:hAnsi="宋体" w:cs="宋体"/>
          <w:color w:val="auto"/>
          <w:szCs w:val="21"/>
          <w:highlight w:val="none"/>
        </w:rPr>
      </w:pPr>
      <w:r>
        <w:rPr>
          <w:rFonts w:hint="eastAsia" w:hAnsi="宋体" w:cs="宋体"/>
          <w:color w:val="auto"/>
          <w:szCs w:val="21"/>
          <w:highlight w:val="none"/>
        </w:rPr>
        <w:t>承诺企业：</w:t>
      </w:r>
      <w:r>
        <w:rPr>
          <w:rFonts w:hint="eastAsia" w:hAnsi="宋体" w:cs="宋体"/>
          <w:color w:val="auto"/>
          <w:szCs w:val="21"/>
          <w:highlight w:val="none"/>
          <w:u w:val="single"/>
        </w:rPr>
        <w:t xml:space="preserve">                           </w:t>
      </w:r>
      <w:r>
        <w:rPr>
          <w:rFonts w:hint="eastAsia" w:hAnsi="宋体" w:cs="宋体"/>
          <w:color w:val="auto"/>
          <w:szCs w:val="21"/>
          <w:highlight w:val="none"/>
        </w:rPr>
        <w:t>（盖单位章）</w:t>
      </w:r>
    </w:p>
    <w:p>
      <w:pPr>
        <w:pStyle w:val="2"/>
        <w:rPr>
          <w:color w:val="auto"/>
          <w:highlight w:val="none"/>
        </w:rPr>
      </w:pPr>
    </w:p>
    <w:p>
      <w:pPr>
        <w:pStyle w:val="2"/>
        <w:wordWrap w:val="0"/>
        <w:jc w:val="right"/>
        <w:rPr>
          <w:color w:val="auto"/>
          <w:highlight w:val="none"/>
          <w:u w:val="single"/>
        </w:rPr>
      </w:pPr>
      <w:r>
        <w:rPr>
          <w:rFonts w:hint="eastAsia" w:hAnsi="宋体" w:cs="宋体"/>
          <w:color w:val="auto"/>
          <w:szCs w:val="21"/>
          <w:highlight w:val="none"/>
        </w:rPr>
        <w:t>法定代表人：</w:t>
      </w:r>
      <w:r>
        <w:rPr>
          <w:rFonts w:hint="eastAsia" w:hAnsi="宋体" w:cs="宋体"/>
          <w:color w:val="auto"/>
          <w:szCs w:val="21"/>
          <w:highlight w:val="none"/>
          <w:u w:val="single"/>
        </w:rPr>
        <w:t xml:space="preserve">                                                  </w:t>
      </w:r>
      <w:r>
        <w:rPr>
          <w:rFonts w:hint="eastAsia" w:hAnsi="宋体" w:cs="宋体"/>
          <w:color w:val="auto"/>
          <w:szCs w:val="21"/>
          <w:highlight w:val="none"/>
        </w:rPr>
        <w:t>（签字或盖章）</w:t>
      </w:r>
    </w:p>
    <w:p>
      <w:pPr>
        <w:tabs>
          <w:tab w:val="left" w:pos="720"/>
        </w:tabs>
        <w:snapToGrid w:val="0"/>
        <w:spacing w:line="360" w:lineRule="auto"/>
        <w:ind w:firstLine="2530" w:firstLineChars="900"/>
        <w:rPr>
          <w:rStyle w:val="60"/>
          <w:color w:val="auto"/>
          <w:highlight w:val="none"/>
        </w:rPr>
      </w:pPr>
      <w:bookmarkStart w:id="78" w:name="_Toc26180"/>
    </w:p>
    <w:p>
      <w:pPr>
        <w:tabs>
          <w:tab w:val="left" w:pos="720"/>
        </w:tabs>
        <w:snapToGrid w:val="0"/>
        <w:spacing w:line="360" w:lineRule="auto"/>
        <w:ind w:firstLine="2530" w:firstLineChars="900"/>
        <w:rPr>
          <w:rStyle w:val="60"/>
          <w:color w:val="auto"/>
          <w:highlight w:val="none"/>
        </w:rPr>
      </w:pPr>
    </w:p>
    <w:p>
      <w:pPr>
        <w:tabs>
          <w:tab w:val="left" w:pos="720"/>
        </w:tabs>
        <w:snapToGrid w:val="0"/>
        <w:spacing w:line="360" w:lineRule="auto"/>
        <w:ind w:firstLine="2530" w:firstLineChars="900"/>
        <w:rPr>
          <w:rStyle w:val="60"/>
          <w:color w:val="auto"/>
          <w:highlight w:val="none"/>
        </w:rPr>
      </w:pPr>
    </w:p>
    <w:p>
      <w:pPr>
        <w:pStyle w:val="6"/>
        <w:rPr>
          <w:color w:val="auto"/>
          <w:highlight w:val="none"/>
        </w:rPr>
      </w:pPr>
    </w:p>
    <w:p>
      <w:pPr>
        <w:tabs>
          <w:tab w:val="left" w:pos="720"/>
        </w:tabs>
        <w:snapToGrid w:val="0"/>
        <w:spacing w:line="360" w:lineRule="auto"/>
        <w:ind w:firstLine="2530" w:firstLineChars="900"/>
        <w:rPr>
          <w:rStyle w:val="60"/>
          <w:color w:val="auto"/>
          <w:highlight w:val="none"/>
        </w:rPr>
      </w:pPr>
    </w:p>
    <w:p>
      <w:pPr>
        <w:tabs>
          <w:tab w:val="left" w:pos="720"/>
        </w:tabs>
        <w:snapToGrid w:val="0"/>
        <w:spacing w:line="360" w:lineRule="auto"/>
        <w:ind w:firstLine="2530" w:firstLineChars="900"/>
        <w:rPr>
          <w:rStyle w:val="60"/>
          <w:color w:val="auto"/>
          <w:highlight w:val="none"/>
        </w:rPr>
      </w:pPr>
      <w:r>
        <w:rPr>
          <w:rStyle w:val="60"/>
          <w:rFonts w:hint="eastAsia"/>
          <w:color w:val="auto"/>
          <w:highlight w:val="none"/>
        </w:rPr>
        <w:t>第五章</w:t>
      </w:r>
      <w:r>
        <w:rPr>
          <w:rStyle w:val="60"/>
          <w:color w:val="auto"/>
          <w:highlight w:val="none"/>
        </w:rPr>
        <w:t xml:space="preserve">  </w:t>
      </w:r>
      <w:r>
        <w:rPr>
          <w:rStyle w:val="60"/>
          <w:rFonts w:hint="eastAsia"/>
          <w:color w:val="auto"/>
          <w:highlight w:val="none"/>
        </w:rPr>
        <w:t>技术条件（工程建设标准）</w:t>
      </w:r>
      <w:bookmarkEnd w:id="75"/>
      <w:bookmarkEnd w:id="76"/>
    </w:p>
    <w:bookmarkEnd w:id="77"/>
    <w:bookmarkEnd w:id="78"/>
    <w:p>
      <w:pPr>
        <w:rPr>
          <w:rFonts w:ascii="宋体" w:hAnsi="宋体" w:cs="宋体"/>
          <w:b/>
          <w:color w:val="auto"/>
          <w:sz w:val="24"/>
          <w:szCs w:val="24"/>
          <w:highlight w:val="none"/>
        </w:rPr>
      </w:pPr>
      <w:r>
        <w:rPr>
          <w:rFonts w:hint="eastAsia" w:ascii="宋体" w:hAnsi="宋体" w:cs="宋体"/>
          <w:b/>
          <w:color w:val="auto"/>
          <w:sz w:val="24"/>
          <w:szCs w:val="24"/>
          <w:highlight w:val="none"/>
          <w:lang w:bidi="ar"/>
        </w:rPr>
        <w:t>1.标准</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引用的国家及有关部委颁布的标准、规范、和规程。若施工时期建设主管部门颁布新的规范、标准，则按照新的规范、标准执行。</w:t>
      </w:r>
    </w:p>
    <w:p>
      <w:pPr>
        <w:rPr>
          <w:rFonts w:ascii="宋体" w:hAnsi="宋体" w:cs="宋体"/>
          <w:color w:val="auto"/>
          <w:sz w:val="24"/>
          <w:szCs w:val="24"/>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lang w:bidi="ar"/>
        </w:rPr>
        <w:t>2、施工组织设计要点</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如果中标，中标人应按项目的进展需求，并在规定的时间内按要点要求，编制详细的施工组织设计，作为工程施工的指导性文件，向建设单位提交一式五份的《施工组织设计方案》，内容包括（不限于）以下：</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（一）工程概况及特点</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1.1 工程概况</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工程简述，工程规模，工程承包范围，地质及地貌状况，自然环境，交通情况等。</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1.2 工程特点</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设计特点、工程特点、影响施工的主要和特殊环节分析等。</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（二）施工现场组织机构</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2.1 组织机构关系图</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2.2 工程主要负责人简介。</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（三）施工现场总平面布置图</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3.1 施工现场平面布置图</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（四）施工方案</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4.1 施工准备</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简要叙述施工技术资料、材料、通讯、施工场地的准备，施工机械、施工力量的配置，以及生活设施等的准备情况。主要施工机械设备表。</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4.2 施工工序总体安排</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4.3 主要工序和特殊工序的施工方法和施工效率估计，潜在问题的分析。</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4.4 工程成本的控制措施为控制成本，提高效益，拟采取的措施。</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（五）工期及施工进度计划</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5.1 工期规划及要求</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用横道图反映各主要施工过程的计划进度，深度达到全面、准确、清楚的描述工程实施过程，从中可衍生出各种施工资源计划及其过程管理信息。</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5.2 施工进度计划网络图</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施工网络图应明确工程开工、竣工日期，工程施工的关键路线，并针对关键工序，提出确保工期拟采取的措施。</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5.3 施工资源（人力、材料、机具、场地及进场道路、公共关系）计划</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5.4 施工进度计划分析</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计划潜在问题，计划中的潜力及其开发途径等。</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5.5 计划控制</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程序、方法及制度等。</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（六）质量目标、质量保证体系及技术组织措施</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6.1 质量目标</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本工程要求的质量目标：合格。</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用单位工程和分项工程合格率、优良品率表示，欲达到的工程质量等级。</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6.2 质量管理组织机构及主要职责</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用框图表示质量管理组织机构，并简要叙述各质量管理部门的主要职责。</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6.3 质量管理的措施</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简要叙述质量管理的措施和关键工序的质量控制。</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6.4 质量管理及检验的标准</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执行的主要质量标准、规范。</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6.5 质量保证技术措施</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针对本工程特点，分析质量薄弱环节，拟将采取的技术措施。</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（七）安全目标、安全保证体系及技术组织措施</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7.1 安全管理目标</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7.2 安全管理组织机构及主要职责</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用框图表示安全管理组织机构，并简要叙述各安全管理部门及人员的主要职责。</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7.3 安全管理制度及办法</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7.4 安全组织技术措施</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针对本工程特点，分析安全薄弱环节，拟将采取的技术措施。</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7.5 重要施工方案和特殊施工工序的安全过程控制</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ascii="宋体" w:hAnsi="宋体" w:cs="宋体"/>
          <w:color w:val="auto"/>
          <w:sz w:val="24"/>
          <w:szCs w:val="24"/>
          <w:highlight w:val="none"/>
        </w:rPr>
      </w:pPr>
      <w:bookmarkStart w:id="79" w:name="_Hlt531956504"/>
      <w:r>
        <w:rPr>
          <w:rFonts w:hint="eastAsia" w:ascii="宋体" w:hAnsi="宋体" w:cs="宋体"/>
          <w:color w:val="auto"/>
          <w:sz w:val="24"/>
          <w:szCs w:val="24"/>
          <w:highlight w:val="none"/>
          <w:lang w:bidi="ar"/>
        </w:rPr>
        <w:t>安全生产目标：杜绝本项目施工人员重大伤亡事故。</w:t>
      </w:r>
      <w:bookmarkEnd w:id="79"/>
    </w:p>
    <w:p>
      <w:pPr>
        <w:rPr>
          <w:rFonts w:ascii="宋体" w:hAnsi="宋体" w:cs="宋体"/>
          <w:color w:val="auto"/>
          <w:sz w:val="24"/>
          <w:szCs w:val="24"/>
          <w:highlight w:val="none"/>
        </w:rPr>
      </w:pPr>
      <w:r>
        <w:rPr>
          <w:rFonts w:hint="eastAsia" w:ascii="宋体" w:hAnsi="宋体" w:cs="宋体"/>
          <w:color w:val="auto"/>
          <w:sz w:val="24"/>
          <w:szCs w:val="24"/>
          <w:highlight w:val="none"/>
          <w:lang w:bidi="ar"/>
        </w:rPr>
        <w:t>文明施工目标：标准化管理。</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（八）环境保护及文明施工</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8.1 环境保护</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分析因施工可能引起的环境保护方面的问题。</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8.2 加强施工管理、严格保护环境</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提出环境保护的目标及采取的具体措施。</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8.3 文明施工的目标、组织机构和实施方案</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8.4 文明施工考核、管理办法</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（九）计划、统计和信息管理</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9.1 计划、统计报表的编制与传递；</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9.2 信息管理</w:t>
      </w:r>
    </w:p>
    <w:p>
      <w:pPr>
        <w:rPr>
          <w:rFonts w:ascii="宋体" w:hAnsi="宋体" w:cs="宋体"/>
          <w:color w:val="auto"/>
          <w:sz w:val="24"/>
          <w:szCs w:val="24"/>
          <w:highlight w:val="none"/>
        </w:rPr>
      </w:pPr>
      <w:r>
        <w:rPr>
          <w:rFonts w:hint="eastAsia" w:ascii="宋体" w:hAnsi="宋体" w:cs="宋体"/>
          <w:color w:val="auto"/>
          <w:sz w:val="24"/>
          <w:szCs w:val="24"/>
          <w:highlight w:val="none"/>
          <w:lang w:bidi="ar"/>
        </w:rPr>
        <w:t>提出信息管理的目标及拟将采取的措施。</w:t>
      </w:r>
    </w:p>
    <w:p>
      <w:pPr>
        <w:rPr>
          <w:rFonts w:ascii="宋体" w:hAnsi="宋体" w:cs="宋体"/>
          <w:color w:val="auto"/>
          <w:sz w:val="24"/>
          <w:szCs w:val="24"/>
          <w:highlight w:val="none"/>
          <w:lang w:bidi="ar"/>
        </w:rPr>
      </w:pPr>
      <w:bookmarkStart w:id="80" w:name="_Toc4526"/>
      <w:r>
        <w:rPr>
          <w:rFonts w:hint="eastAsia" w:ascii="宋体" w:hAnsi="宋体" w:cs="宋体"/>
          <w:color w:val="auto"/>
          <w:sz w:val="24"/>
          <w:szCs w:val="24"/>
          <w:highlight w:val="none"/>
          <w:lang w:bidi="ar"/>
        </w:rPr>
        <w:t>（十）建筑垃圾减量及利用要求</w:t>
      </w:r>
      <w:bookmarkEnd w:id="80"/>
    </w:p>
    <w:p>
      <w:pPr>
        <w:widowControl/>
        <w:jc w:val="left"/>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pPr>
        <w:widowControl/>
        <w:jc w:val="left"/>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建筑垃圾处理方案应当包括下列内容：</w:t>
      </w:r>
    </w:p>
    <w:p>
      <w:pPr>
        <w:widowControl/>
        <w:jc w:val="left"/>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(一)工程概况和施工单位基本信息；</w:t>
      </w:r>
    </w:p>
    <w:p>
      <w:pPr>
        <w:widowControl/>
        <w:jc w:val="left"/>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(二)建筑垃圾产生量与种类；</w:t>
      </w:r>
    </w:p>
    <w:p>
      <w:pPr>
        <w:widowControl/>
        <w:jc w:val="left"/>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(三)建筑垃圾源头减量、分类收集、综合利用、污染防治的措施和目标；</w:t>
      </w:r>
    </w:p>
    <w:p>
      <w:pPr>
        <w:widowControl/>
        <w:jc w:val="left"/>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(四)需要外运的建筑垃圾种类、数量与运输的时间、路线、方式和运输单位；</w:t>
      </w:r>
    </w:p>
    <w:p>
      <w:pPr>
        <w:widowControl/>
        <w:jc w:val="left"/>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(五)建筑垃圾回填、消纳、综合利用场所名称；</w:t>
      </w:r>
    </w:p>
    <w:p>
      <w:pPr>
        <w:widowControl/>
        <w:jc w:val="left"/>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(六)法律、法规规定的其他内容。</w:t>
      </w:r>
    </w:p>
    <w:p>
      <w:pPr>
        <w:pStyle w:val="3"/>
        <w:rPr>
          <w:color w:val="auto"/>
          <w:highlight w:val="none"/>
        </w:rPr>
      </w:pPr>
      <w:r>
        <w:rPr>
          <w:color w:val="auto"/>
          <w:sz w:val="24"/>
          <w:szCs w:val="24"/>
          <w:highlight w:val="none"/>
        </w:rPr>
        <w:br w:type="page"/>
      </w:r>
      <w:bookmarkStart w:id="81" w:name="_Toc24011"/>
      <w:bookmarkStart w:id="82" w:name="_Toc17091"/>
      <w:bookmarkStart w:id="83" w:name="_Toc2272569"/>
      <w:bookmarkStart w:id="84" w:name="_Toc21525514"/>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81"/>
      <w:bookmarkEnd w:id="82"/>
      <w:bookmarkEnd w:id="83"/>
      <w:bookmarkEnd w:id="84"/>
    </w:p>
    <w:p>
      <w:pPr>
        <w:jc w:val="center"/>
        <w:rPr>
          <w:rFonts w:ascii="宋体" w:hAnsi="宋体"/>
          <w:color w:val="auto"/>
          <w:sz w:val="24"/>
          <w:szCs w:val="24"/>
          <w:highlight w:val="none"/>
        </w:rPr>
      </w:pPr>
    </w:p>
    <w:p>
      <w:pPr>
        <w:jc w:val="center"/>
        <w:rPr>
          <w:rFonts w:ascii="宋体" w:hAnsi="宋体"/>
          <w:color w:val="auto"/>
          <w:sz w:val="24"/>
          <w:szCs w:val="24"/>
          <w:highlight w:val="none"/>
        </w:rPr>
      </w:pPr>
    </w:p>
    <w:p>
      <w:pPr>
        <w:jc w:val="center"/>
        <w:rPr>
          <w:rFonts w:ascii="宋体" w:hAnsi="宋体"/>
          <w:color w:val="auto"/>
          <w:sz w:val="24"/>
          <w:szCs w:val="24"/>
          <w:highlight w:val="none"/>
        </w:rPr>
      </w:pPr>
    </w:p>
    <w:p>
      <w:pPr>
        <w:jc w:val="center"/>
        <w:rPr>
          <w:rFonts w:ascii="宋体" w:hAnsi="宋体"/>
          <w:color w:val="auto"/>
          <w:sz w:val="24"/>
          <w:szCs w:val="24"/>
          <w:highlight w:val="none"/>
        </w:rPr>
      </w:pPr>
    </w:p>
    <w:p>
      <w:pPr>
        <w:jc w:val="center"/>
        <w:rPr>
          <w:rFonts w:ascii="宋体"/>
          <w:b/>
          <w:bCs/>
          <w:color w:val="auto"/>
          <w:sz w:val="24"/>
          <w:szCs w:val="24"/>
          <w:highlight w:val="none"/>
        </w:rPr>
      </w:pPr>
      <w:r>
        <w:rPr>
          <w:rFonts w:hint="eastAsia" w:ascii="宋体" w:hAnsi="宋体"/>
          <w:b/>
          <w:bCs/>
          <w:color w:val="auto"/>
          <w:sz w:val="24"/>
          <w:szCs w:val="24"/>
          <w:highlight w:val="none"/>
        </w:rPr>
        <w:t>另册</w:t>
      </w:r>
    </w:p>
    <w:p>
      <w:pPr>
        <w:pStyle w:val="3"/>
        <w:rPr>
          <w:color w:val="auto"/>
          <w:highlight w:val="none"/>
        </w:rPr>
      </w:pPr>
      <w:r>
        <w:rPr>
          <w:color w:val="auto"/>
          <w:sz w:val="24"/>
          <w:szCs w:val="24"/>
          <w:highlight w:val="none"/>
        </w:rPr>
        <w:br w:type="page"/>
      </w:r>
      <w:bookmarkStart w:id="85" w:name="_Toc21525515"/>
      <w:bookmarkStart w:id="86" w:name="_Toc13042"/>
      <w:bookmarkStart w:id="87" w:name="_Toc1393"/>
      <w:bookmarkStart w:id="88" w:name="_Toc2272570"/>
      <w:r>
        <w:rPr>
          <w:rFonts w:hint="eastAsia"/>
          <w:color w:val="auto"/>
          <w:highlight w:val="none"/>
        </w:rPr>
        <w:t>第七章</w:t>
      </w:r>
      <w:r>
        <w:rPr>
          <w:color w:val="auto"/>
          <w:highlight w:val="none"/>
        </w:rPr>
        <w:t xml:space="preserve">  </w:t>
      </w:r>
      <w:r>
        <w:rPr>
          <w:rFonts w:hint="eastAsia"/>
          <w:color w:val="auto"/>
          <w:highlight w:val="none"/>
        </w:rPr>
        <w:t>工程量清单</w:t>
      </w:r>
      <w:bookmarkEnd w:id="85"/>
      <w:bookmarkEnd w:id="86"/>
      <w:bookmarkEnd w:id="87"/>
      <w:bookmarkEnd w:id="88"/>
    </w:p>
    <w:p>
      <w:pPr>
        <w:pStyle w:val="5"/>
        <w:spacing w:after="0" w:line="360" w:lineRule="auto"/>
        <w:ind w:firstLine="0"/>
        <w:jc w:val="center"/>
        <w:rPr>
          <w:rFonts w:ascii="宋体"/>
          <w:color w:val="auto"/>
          <w:sz w:val="24"/>
          <w:highlight w:val="none"/>
        </w:rPr>
      </w:pPr>
    </w:p>
    <w:p>
      <w:pPr>
        <w:pStyle w:val="5"/>
        <w:spacing w:after="0" w:line="360" w:lineRule="auto"/>
        <w:ind w:firstLine="0"/>
        <w:jc w:val="center"/>
        <w:rPr>
          <w:rFonts w:ascii="宋体"/>
          <w:color w:val="auto"/>
          <w:sz w:val="24"/>
          <w:highlight w:val="none"/>
        </w:rPr>
      </w:pPr>
    </w:p>
    <w:p>
      <w:pPr>
        <w:pStyle w:val="5"/>
        <w:spacing w:after="0" w:line="360" w:lineRule="auto"/>
        <w:ind w:firstLine="0"/>
        <w:jc w:val="center"/>
        <w:rPr>
          <w:rFonts w:ascii="宋体"/>
          <w:b/>
          <w:bCs/>
          <w:color w:val="auto"/>
          <w:sz w:val="24"/>
          <w:highlight w:val="none"/>
        </w:rPr>
      </w:pPr>
      <w:r>
        <w:rPr>
          <w:rFonts w:hint="eastAsia" w:ascii="宋体"/>
          <w:b/>
          <w:bCs/>
          <w:color w:val="auto"/>
          <w:sz w:val="24"/>
          <w:highlight w:val="none"/>
        </w:rPr>
        <w:t>另册</w:t>
      </w:r>
    </w:p>
    <w:p>
      <w:pPr>
        <w:pStyle w:val="3"/>
        <w:rPr>
          <w:color w:val="auto"/>
          <w:highlight w:val="none"/>
        </w:rPr>
      </w:pPr>
    </w:p>
    <w:p>
      <w:pPr>
        <w:pStyle w:val="3"/>
        <w:rPr>
          <w:rFonts w:ascii="宋体"/>
          <w:color w:val="auto"/>
          <w:highlight w:val="none"/>
        </w:rPr>
      </w:pPr>
      <w:r>
        <w:rPr>
          <w:color w:val="auto"/>
          <w:sz w:val="24"/>
          <w:szCs w:val="24"/>
          <w:highlight w:val="none"/>
        </w:rPr>
        <w:br w:type="page"/>
      </w:r>
      <w:bookmarkStart w:id="89" w:name="_Toc18445"/>
      <w:bookmarkStart w:id="90" w:name="_Toc21525516"/>
      <w:bookmarkStart w:id="91" w:name="_Toc19152"/>
      <w:bookmarkStart w:id="92" w:name="_Toc2272571"/>
      <w:r>
        <w:rPr>
          <w:rFonts w:hint="eastAsia"/>
          <w:color w:val="auto"/>
          <w:highlight w:val="none"/>
        </w:rPr>
        <w:t>第八章</w:t>
      </w:r>
      <w:r>
        <w:rPr>
          <w:color w:val="auto"/>
          <w:highlight w:val="none"/>
        </w:rPr>
        <w:t xml:space="preserve">  </w:t>
      </w:r>
      <w:r>
        <w:rPr>
          <w:rFonts w:hint="eastAsia"/>
          <w:color w:val="auto"/>
          <w:highlight w:val="none"/>
        </w:rPr>
        <w:t>最高投标限价</w:t>
      </w:r>
      <w:bookmarkEnd w:id="89"/>
      <w:bookmarkEnd w:id="90"/>
      <w:bookmarkEnd w:id="91"/>
      <w:bookmarkEnd w:id="92"/>
    </w:p>
    <w:p>
      <w:pPr>
        <w:spacing w:line="360" w:lineRule="auto"/>
        <w:ind w:firstLine="480"/>
        <w:rPr>
          <w:rFonts w:ascii="宋体" w:hAnsi="宋体"/>
          <w:color w:val="auto"/>
          <w:sz w:val="24"/>
          <w:szCs w:val="24"/>
          <w:highlight w:val="none"/>
          <w:u w:val="single"/>
        </w:rPr>
      </w:pPr>
    </w:p>
    <w:p>
      <w:pPr>
        <w:rPr>
          <w:color w:val="auto"/>
          <w:highlight w:val="none"/>
        </w:rPr>
      </w:pPr>
      <w:r>
        <w:rPr>
          <w:rFonts w:hint="eastAsia" w:ascii="宋体" w:hAnsi="宋体" w:cs="宋体"/>
          <w:color w:val="auto"/>
          <w:sz w:val="24"/>
          <w:szCs w:val="24"/>
          <w:highlight w:val="none"/>
          <w:lang w:bidi="ar"/>
        </w:rPr>
        <w:t>具体详见本项目公告附件最高投标限价公布函。</w:t>
      </w:r>
    </w:p>
    <w:p>
      <w:pPr>
        <w:pStyle w:val="20"/>
        <w:rPr>
          <w:color w:val="auto"/>
          <w:sz w:val="36"/>
          <w:highlight w:val="none"/>
          <w:u w:val="single"/>
        </w:rPr>
      </w:pPr>
    </w:p>
    <w:sectPr>
      <w:headerReference r:id="rId13" w:type="default"/>
      <w:footerReference r:id="rId1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楷体_GB2312">
    <w:altName w:val="楷体_GB2312"/>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center"/>
      <w:rPr>
        <w:rStyle w:val="41"/>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ind w:firstLine="392"/>
                            <w:jc w:val="center"/>
                          </w:pPr>
                          <w:r>
                            <w:rPr>
                              <w:rStyle w:val="41"/>
                            </w:rPr>
                            <w:fldChar w:fldCharType="begin"/>
                          </w:r>
                          <w:r>
                            <w:rPr>
                              <w:rStyle w:val="41"/>
                            </w:rPr>
                            <w:instrText xml:space="preserve"> PAGE </w:instrText>
                          </w:r>
                          <w:r>
                            <w:rPr>
                              <w:rStyle w:val="41"/>
                            </w:rPr>
                            <w:fldChar w:fldCharType="separate"/>
                          </w:r>
                          <w:r>
                            <w:rPr>
                              <w:rStyle w:val="41"/>
                            </w:rPr>
                            <w:t>52</w:t>
                          </w:r>
                          <w:r>
                            <w:rPr>
                              <w:rStyle w:val="4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5"/>
                      <w:ind w:firstLine="392"/>
                      <w:jc w:val="center"/>
                    </w:pPr>
                    <w:r>
                      <w:rPr>
                        <w:rStyle w:val="41"/>
                      </w:rPr>
                      <w:fldChar w:fldCharType="begin"/>
                    </w:r>
                    <w:r>
                      <w:rPr>
                        <w:rStyle w:val="41"/>
                      </w:rPr>
                      <w:instrText xml:space="preserve"> PAGE </w:instrText>
                    </w:r>
                    <w:r>
                      <w:rPr>
                        <w:rStyle w:val="41"/>
                      </w:rPr>
                      <w:fldChar w:fldCharType="separate"/>
                    </w:r>
                    <w:r>
                      <w:rPr>
                        <w:rStyle w:val="41"/>
                      </w:rPr>
                      <w:t>52</w:t>
                    </w:r>
                    <w:r>
                      <w:rPr>
                        <w:rStyle w:val="4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74</w:t>
                          </w:r>
                          <w:r>
                            <w:rPr>
                              <w:rStyle w:val="41"/>
                            </w:rPr>
                            <w:fldChar w:fldCharType="end"/>
                          </w:r>
                        </w:p>
                        <w:p>
                          <w:pPr>
                            <w:pStyle w:val="25"/>
                            <w:ind w:left="-4410" w:leftChars="-2100" w:right="-4439" w:rightChars="-2114"/>
                            <w:rPr>
                              <w:rStyle w:val="41"/>
                            </w:rP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74</w:t>
                    </w:r>
                    <w:r>
                      <w:rPr>
                        <w:rStyle w:val="41"/>
                      </w:rPr>
                      <w:fldChar w:fldCharType="end"/>
                    </w:r>
                  </w:p>
                  <w:p>
                    <w:pPr>
                      <w:pStyle w:val="25"/>
                      <w:ind w:left="-4410" w:leftChars="-2100" w:right="-4439" w:rightChars="-2114"/>
                      <w:rPr>
                        <w:rStyle w:val="41"/>
                      </w:rPr>
                    </w:pP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5"/>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jc w:val="center"/>
                          </w:pPr>
                          <w:r>
                            <w:rPr>
                              <w:rStyle w:val="41"/>
                            </w:rPr>
                            <w:fldChar w:fldCharType="begin"/>
                          </w:r>
                          <w:r>
                            <w:rPr>
                              <w:rStyle w:val="41"/>
                            </w:rPr>
                            <w:instrText xml:space="preserve"> PAGE </w:instrText>
                          </w:r>
                          <w:r>
                            <w:rPr>
                              <w:rStyle w:val="41"/>
                            </w:rPr>
                            <w:fldChar w:fldCharType="separate"/>
                          </w:r>
                          <w:r>
                            <w:rPr>
                              <w:rStyle w:val="41"/>
                            </w:rPr>
                            <w:t>55</w:t>
                          </w:r>
                          <w:r>
                            <w:rPr>
                              <w:rStyle w:val="4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5"/>
                      <w:jc w:val="center"/>
                    </w:pPr>
                    <w:r>
                      <w:rPr>
                        <w:rStyle w:val="41"/>
                      </w:rPr>
                      <w:fldChar w:fldCharType="begin"/>
                    </w:r>
                    <w:r>
                      <w:rPr>
                        <w:rStyle w:val="41"/>
                      </w:rPr>
                      <w:instrText xml:space="preserve"> PAGE </w:instrText>
                    </w:r>
                    <w:r>
                      <w:rPr>
                        <w:rStyle w:val="41"/>
                      </w:rPr>
                      <w:fldChar w:fldCharType="separate"/>
                    </w:r>
                    <w:r>
                      <w:rPr>
                        <w:rStyle w:val="41"/>
                      </w:rPr>
                      <w:t>55</w:t>
                    </w:r>
                    <w:r>
                      <w:rPr>
                        <w:rStyle w:val="4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74</w:t>
                          </w:r>
                          <w:r>
                            <w:rPr>
                              <w:rStyle w:val="41"/>
                            </w:rPr>
                            <w:fldChar w:fldCharType="end"/>
                          </w:r>
                        </w:p>
                        <w:p>
                          <w:pPr>
                            <w:pStyle w:val="25"/>
                            <w:ind w:left="-4410" w:leftChars="-2100" w:right="-4439" w:rightChars="-2114"/>
                            <w:rPr>
                              <w:rStyle w:val="41"/>
                            </w:rP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74</w:t>
                    </w:r>
                    <w:r>
                      <w:rPr>
                        <w:rStyle w:val="41"/>
                      </w:rPr>
                      <w:fldChar w:fldCharType="end"/>
                    </w:r>
                  </w:p>
                  <w:p>
                    <w:pPr>
                      <w:pStyle w:val="25"/>
                      <w:ind w:left="-4410" w:leftChars="-2100" w:right="-4439" w:rightChars="-2114"/>
                      <w:rPr>
                        <w:rStyle w:val="41"/>
                      </w:rPr>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8F24C"/>
    <w:multiLevelType w:val="singleLevel"/>
    <w:tmpl w:val="8798F24C"/>
    <w:lvl w:ilvl="0" w:tentative="0">
      <w:start w:val="1"/>
      <w:numFmt w:val="decimal"/>
      <w:suff w:val="nothing"/>
      <w:lvlText w:val="%1、"/>
      <w:lvlJc w:val="left"/>
    </w:lvl>
  </w:abstractNum>
  <w:abstractNum w:abstractNumId="1">
    <w:nsid w:val="E70D7EBD"/>
    <w:multiLevelType w:val="singleLevel"/>
    <w:tmpl w:val="E70D7EBD"/>
    <w:lvl w:ilvl="0" w:tentative="0">
      <w:start w:val="27"/>
      <w:numFmt w:val="decimal"/>
      <w:suff w:val="nothing"/>
      <w:lvlText w:val="%1．"/>
      <w:lvlJc w:val="left"/>
    </w:lvl>
  </w:abstractNum>
  <w:abstractNum w:abstractNumId="2">
    <w:nsid w:val="E978D6AA"/>
    <w:multiLevelType w:val="singleLevel"/>
    <w:tmpl w:val="E978D6AA"/>
    <w:lvl w:ilvl="0" w:tentative="0">
      <w:start w:val="1"/>
      <w:numFmt w:val="decimal"/>
      <w:suff w:val="nothing"/>
      <w:lvlText w:val="（%1）"/>
      <w:lvlJc w:val="left"/>
    </w:lvl>
  </w:abstractNum>
  <w:abstractNum w:abstractNumId="3">
    <w:nsid w:val="E998A4BE"/>
    <w:multiLevelType w:val="singleLevel"/>
    <w:tmpl w:val="E998A4BE"/>
    <w:lvl w:ilvl="0" w:tentative="0">
      <w:start w:val="32"/>
      <w:numFmt w:val="decimal"/>
      <w:suff w:val="space"/>
      <w:lvlText w:val="%1."/>
      <w:lvlJc w:val="left"/>
    </w:lvl>
  </w:abstractNum>
  <w:abstractNum w:abstractNumId="4">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5">
    <w:nsid w:val="4A4A6516"/>
    <w:multiLevelType w:val="singleLevel"/>
    <w:tmpl w:val="4A4A6516"/>
    <w:lvl w:ilvl="0" w:tentative="0">
      <w:start w:val="1"/>
      <w:numFmt w:val="decimal"/>
      <w:suff w:val="nothing"/>
      <w:lvlText w:val="（%1）"/>
      <w:lvlJc w:val="left"/>
    </w:lvl>
  </w:abstractNum>
  <w:abstractNum w:abstractNumId="6">
    <w:nsid w:val="553AFA00"/>
    <w:multiLevelType w:val="singleLevel"/>
    <w:tmpl w:val="553AFA00"/>
    <w:lvl w:ilvl="0" w:tentative="0">
      <w:start w:val="1"/>
      <w:numFmt w:val="decimal"/>
      <w:suff w:val="nothing"/>
      <w:lvlText w:val="（%1）"/>
      <w:lvlJc w:val="left"/>
    </w:lvl>
  </w:abstractNum>
  <w:abstractNum w:abstractNumId="7">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4"/>
  </w:num>
  <w:num w:numId="2">
    <w:abstractNumId w:val="7"/>
  </w:num>
  <w:num w:numId="3">
    <w:abstractNumId w:val="0"/>
  </w:num>
  <w:num w:numId="4">
    <w:abstractNumId w:val="5"/>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3NGYxNzViOTEwMzgwYTVlOTRiNjE5NjAyMDMyNmEifQ=="/>
  </w:docVars>
  <w:rsids>
    <w:rsidRoot w:val="007B41BE"/>
    <w:rsid w:val="000200EE"/>
    <w:rsid w:val="00055C10"/>
    <w:rsid w:val="000575F8"/>
    <w:rsid w:val="00074FD1"/>
    <w:rsid w:val="0007706A"/>
    <w:rsid w:val="00091BFE"/>
    <w:rsid w:val="000B5826"/>
    <w:rsid w:val="000C1007"/>
    <w:rsid w:val="000C11E0"/>
    <w:rsid w:val="000C2710"/>
    <w:rsid w:val="000D396E"/>
    <w:rsid w:val="001667FD"/>
    <w:rsid w:val="00172E82"/>
    <w:rsid w:val="00181CAA"/>
    <w:rsid w:val="00193EB2"/>
    <w:rsid w:val="001C5D94"/>
    <w:rsid w:val="001F3D02"/>
    <w:rsid w:val="002025C6"/>
    <w:rsid w:val="0022299B"/>
    <w:rsid w:val="00250092"/>
    <w:rsid w:val="00266748"/>
    <w:rsid w:val="00280CC3"/>
    <w:rsid w:val="00291DD8"/>
    <w:rsid w:val="002C4F11"/>
    <w:rsid w:val="003204F0"/>
    <w:rsid w:val="00336AA3"/>
    <w:rsid w:val="0037590B"/>
    <w:rsid w:val="003A5C56"/>
    <w:rsid w:val="00405D31"/>
    <w:rsid w:val="004370EC"/>
    <w:rsid w:val="004424B8"/>
    <w:rsid w:val="00472A98"/>
    <w:rsid w:val="00484698"/>
    <w:rsid w:val="004B295D"/>
    <w:rsid w:val="004D63FD"/>
    <w:rsid w:val="00510754"/>
    <w:rsid w:val="005118C8"/>
    <w:rsid w:val="00576448"/>
    <w:rsid w:val="005866FB"/>
    <w:rsid w:val="005B5915"/>
    <w:rsid w:val="005C212B"/>
    <w:rsid w:val="006036EF"/>
    <w:rsid w:val="00673B83"/>
    <w:rsid w:val="00680BFD"/>
    <w:rsid w:val="006B5ED1"/>
    <w:rsid w:val="006B6B0D"/>
    <w:rsid w:val="006F014A"/>
    <w:rsid w:val="006F3576"/>
    <w:rsid w:val="0073229B"/>
    <w:rsid w:val="0074497E"/>
    <w:rsid w:val="007471C2"/>
    <w:rsid w:val="00780EC8"/>
    <w:rsid w:val="007A3304"/>
    <w:rsid w:val="007B41BE"/>
    <w:rsid w:val="007B6534"/>
    <w:rsid w:val="007D6D06"/>
    <w:rsid w:val="007E2745"/>
    <w:rsid w:val="00835C9E"/>
    <w:rsid w:val="008C4DAF"/>
    <w:rsid w:val="008D2515"/>
    <w:rsid w:val="008E20BD"/>
    <w:rsid w:val="008E4AD1"/>
    <w:rsid w:val="00920E49"/>
    <w:rsid w:val="00934DF4"/>
    <w:rsid w:val="00991949"/>
    <w:rsid w:val="009A704D"/>
    <w:rsid w:val="009E5A35"/>
    <w:rsid w:val="009F18D3"/>
    <w:rsid w:val="00A0387A"/>
    <w:rsid w:val="00A05F7D"/>
    <w:rsid w:val="00A0619D"/>
    <w:rsid w:val="00A15723"/>
    <w:rsid w:val="00A20AF3"/>
    <w:rsid w:val="00A2579D"/>
    <w:rsid w:val="00A460C3"/>
    <w:rsid w:val="00A50D34"/>
    <w:rsid w:val="00A55F9B"/>
    <w:rsid w:val="00A64E29"/>
    <w:rsid w:val="00AD3DEE"/>
    <w:rsid w:val="00AD6716"/>
    <w:rsid w:val="00AF1BCD"/>
    <w:rsid w:val="00AF2A6F"/>
    <w:rsid w:val="00B112E4"/>
    <w:rsid w:val="00B53804"/>
    <w:rsid w:val="00B64DDC"/>
    <w:rsid w:val="00B72862"/>
    <w:rsid w:val="00BC2597"/>
    <w:rsid w:val="00BC7B91"/>
    <w:rsid w:val="00BE1732"/>
    <w:rsid w:val="00BE216D"/>
    <w:rsid w:val="00BE7667"/>
    <w:rsid w:val="00BF1FEA"/>
    <w:rsid w:val="00C267C0"/>
    <w:rsid w:val="00C32C1E"/>
    <w:rsid w:val="00C408D3"/>
    <w:rsid w:val="00C81F53"/>
    <w:rsid w:val="00C82C8A"/>
    <w:rsid w:val="00CA7676"/>
    <w:rsid w:val="00CB3932"/>
    <w:rsid w:val="00CD156B"/>
    <w:rsid w:val="00CF68BB"/>
    <w:rsid w:val="00D60E1D"/>
    <w:rsid w:val="00D75B45"/>
    <w:rsid w:val="00D84E64"/>
    <w:rsid w:val="00DF1C79"/>
    <w:rsid w:val="00E22EAB"/>
    <w:rsid w:val="00E36378"/>
    <w:rsid w:val="00E457F6"/>
    <w:rsid w:val="00E54A7D"/>
    <w:rsid w:val="00E638F3"/>
    <w:rsid w:val="00EA368C"/>
    <w:rsid w:val="00EB4FAD"/>
    <w:rsid w:val="00EB6530"/>
    <w:rsid w:val="00EC014E"/>
    <w:rsid w:val="00F214CA"/>
    <w:rsid w:val="00F26640"/>
    <w:rsid w:val="00F40301"/>
    <w:rsid w:val="00F50A88"/>
    <w:rsid w:val="00F525A5"/>
    <w:rsid w:val="00FA5926"/>
    <w:rsid w:val="00FC5596"/>
    <w:rsid w:val="02690261"/>
    <w:rsid w:val="02C05BB1"/>
    <w:rsid w:val="02FD74EC"/>
    <w:rsid w:val="030977B8"/>
    <w:rsid w:val="03B73450"/>
    <w:rsid w:val="03F53B6F"/>
    <w:rsid w:val="04016C0A"/>
    <w:rsid w:val="042965C4"/>
    <w:rsid w:val="04A75B49"/>
    <w:rsid w:val="05935ABA"/>
    <w:rsid w:val="05EA2C50"/>
    <w:rsid w:val="06047C39"/>
    <w:rsid w:val="061A393B"/>
    <w:rsid w:val="061C7FBD"/>
    <w:rsid w:val="06CF5060"/>
    <w:rsid w:val="06D038B7"/>
    <w:rsid w:val="071250C8"/>
    <w:rsid w:val="072F44E3"/>
    <w:rsid w:val="07312890"/>
    <w:rsid w:val="073C3C45"/>
    <w:rsid w:val="07A13F45"/>
    <w:rsid w:val="07EF4429"/>
    <w:rsid w:val="08061A64"/>
    <w:rsid w:val="08517165"/>
    <w:rsid w:val="08A51580"/>
    <w:rsid w:val="08C11542"/>
    <w:rsid w:val="090C13B6"/>
    <w:rsid w:val="090F4EF1"/>
    <w:rsid w:val="094E1D6F"/>
    <w:rsid w:val="09EB6AE1"/>
    <w:rsid w:val="09F33618"/>
    <w:rsid w:val="0A0F62EE"/>
    <w:rsid w:val="0AF62F6A"/>
    <w:rsid w:val="0B4354CB"/>
    <w:rsid w:val="0B6E4437"/>
    <w:rsid w:val="0B9109AA"/>
    <w:rsid w:val="0BC3240C"/>
    <w:rsid w:val="0BC83F60"/>
    <w:rsid w:val="0C521233"/>
    <w:rsid w:val="0C730B66"/>
    <w:rsid w:val="0D020937"/>
    <w:rsid w:val="0D38267F"/>
    <w:rsid w:val="0D4A0241"/>
    <w:rsid w:val="0DA717DD"/>
    <w:rsid w:val="0E1D06E9"/>
    <w:rsid w:val="0E4C4CAD"/>
    <w:rsid w:val="0E6C4374"/>
    <w:rsid w:val="0F6A1B72"/>
    <w:rsid w:val="0F7E4AB5"/>
    <w:rsid w:val="0FDF5C57"/>
    <w:rsid w:val="0FEF45D8"/>
    <w:rsid w:val="106B07D0"/>
    <w:rsid w:val="10B57C21"/>
    <w:rsid w:val="11052D75"/>
    <w:rsid w:val="11121F8F"/>
    <w:rsid w:val="11CA3566"/>
    <w:rsid w:val="11E8746F"/>
    <w:rsid w:val="129B2E90"/>
    <w:rsid w:val="12C51E21"/>
    <w:rsid w:val="137A5404"/>
    <w:rsid w:val="13EF0EA4"/>
    <w:rsid w:val="14D34591"/>
    <w:rsid w:val="14D74F4B"/>
    <w:rsid w:val="14D9719C"/>
    <w:rsid w:val="14F35BB7"/>
    <w:rsid w:val="15DD252D"/>
    <w:rsid w:val="162C4539"/>
    <w:rsid w:val="17077E1E"/>
    <w:rsid w:val="173741A6"/>
    <w:rsid w:val="17497256"/>
    <w:rsid w:val="174B1C4B"/>
    <w:rsid w:val="17684412"/>
    <w:rsid w:val="17822770"/>
    <w:rsid w:val="17AE485B"/>
    <w:rsid w:val="17B0263E"/>
    <w:rsid w:val="17B8199D"/>
    <w:rsid w:val="17EC2627"/>
    <w:rsid w:val="18151F96"/>
    <w:rsid w:val="181C07FE"/>
    <w:rsid w:val="18474916"/>
    <w:rsid w:val="18891660"/>
    <w:rsid w:val="190E2584"/>
    <w:rsid w:val="195E4844"/>
    <w:rsid w:val="19AE6A7C"/>
    <w:rsid w:val="19D2412A"/>
    <w:rsid w:val="1A205D77"/>
    <w:rsid w:val="1A2F4635"/>
    <w:rsid w:val="1A6500CD"/>
    <w:rsid w:val="1A6E3101"/>
    <w:rsid w:val="1AA40A79"/>
    <w:rsid w:val="1AAA7997"/>
    <w:rsid w:val="1AB67180"/>
    <w:rsid w:val="1AD03189"/>
    <w:rsid w:val="1AD432CC"/>
    <w:rsid w:val="1AEA5623"/>
    <w:rsid w:val="1B6569CA"/>
    <w:rsid w:val="1B927ADD"/>
    <w:rsid w:val="1B927E91"/>
    <w:rsid w:val="1B9E2075"/>
    <w:rsid w:val="1BAE4885"/>
    <w:rsid w:val="1BDF0B10"/>
    <w:rsid w:val="1BED33B9"/>
    <w:rsid w:val="1C471BAE"/>
    <w:rsid w:val="1C5C0C26"/>
    <w:rsid w:val="1CD4051D"/>
    <w:rsid w:val="1CDD2E94"/>
    <w:rsid w:val="1D027F1C"/>
    <w:rsid w:val="1D0A3E09"/>
    <w:rsid w:val="1E1D26F4"/>
    <w:rsid w:val="1E486D96"/>
    <w:rsid w:val="1E513B7B"/>
    <w:rsid w:val="1E66059A"/>
    <w:rsid w:val="1EBA5A37"/>
    <w:rsid w:val="1F47327D"/>
    <w:rsid w:val="1F816AF6"/>
    <w:rsid w:val="1F8E47EB"/>
    <w:rsid w:val="1FCD6E14"/>
    <w:rsid w:val="20E36C50"/>
    <w:rsid w:val="21250A1F"/>
    <w:rsid w:val="21924D23"/>
    <w:rsid w:val="219F1FA0"/>
    <w:rsid w:val="21E76FBA"/>
    <w:rsid w:val="21F80471"/>
    <w:rsid w:val="22016D7A"/>
    <w:rsid w:val="226B42AC"/>
    <w:rsid w:val="226F3203"/>
    <w:rsid w:val="22AD29BB"/>
    <w:rsid w:val="232F5F2B"/>
    <w:rsid w:val="232F6B26"/>
    <w:rsid w:val="23355E47"/>
    <w:rsid w:val="233A2E13"/>
    <w:rsid w:val="23AD17DA"/>
    <w:rsid w:val="24116252"/>
    <w:rsid w:val="244D1F35"/>
    <w:rsid w:val="24615AF1"/>
    <w:rsid w:val="24646B5B"/>
    <w:rsid w:val="24A47FAB"/>
    <w:rsid w:val="24A972CC"/>
    <w:rsid w:val="24B2644C"/>
    <w:rsid w:val="24BD7292"/>
    <w:rsid w:val="259D757A"/>
    <w:rsid w:val="25C90160"/>
    <w:rsid w:val="25EB1CBA"/>
    <w:rsid w:val="26CA70AB"/>
    <w:rsid w:val="27206676"/>
    <w:rsid w:val="27323AFD"/>
    <w:rsid w:val="273625F3"/>
    <w:rsid w:val="27640D6C"/>
    <w:rsid w:val="281929B4"/>
    <w:rsid w:val="284631BC"/>
    <w:rsid w:val="28790229"/>
    <w:rsid w:val="28955221"/>
    <w:rsid w:val="29463324"/>
    <w:rsid w:val="29483044"/>
    <w:rsid w:val="29DB5E89"/>
    <w:rsid w:val="29EB7503"/>
    <w:rsid w:val="2A880A7B"/>
    <w:rsid w:val="2AE47E9C"/>
    <w:rsid w:val="2AE5327C"/>
    <w:rsid w:val="2AEC5CA9"/>
    <w:rsid w:val="2B044026"/>
    <w:rsid w:val="2B585185"/>
    <w:rsid w:val="2B987E93"/>
    <w:rsid w:val="2BA900DA"/>
    <w:rsid w:val="2BFF6D43"/>
    <w:rsid w:val="2C5E4903"/>
    <w:rsid w:val="2CCD5185"/>
    <w:rsid w:val="2CDE257A"/>
    <w:rsid w:val="2CEE627B"/>
    <w:rsid w:val="2D1D0F10"/>
    <w:rsid w:val="2D254805"/>
    <w:rsid w:val="2D3E6293"/>
    <w:rsid w:val="2D716FB7"/>
    <w:rsid w:val="2D7D1990"/>
    <w:rsid w:val="2DB66D80"/>
    <w:rsid w:val="2DC144F7"/>
    <w:rsid w:val="2DC4660F"/>
    <w:rsid w:val="2DE02B6B"/>
    <w:rsid w:val="2ED85E73"/>
    <w:rsid w:val="2EDA6F06"/>
    <w:rsid w:val="2F384988"/>
    <w:rsid w:val="2F3E13BB"/>
    <w:rsid w:val="2F60641D"/>
    <w:rsid w:val="2F6239B5"/>
    <w:rsid w:val="2FC04BEF"/>
    <w:rsid w:val="30057BEC"/>
    <w:rsid w:val="301A4A2F"/>
    <w:rsid w:val="30287B62"/>
    <w:rsid w:val="30442541"/>
    <w:rsid w:val="305C69DC"/>
    <w:rsid w:val="30997F39"/>
    <w:rsid w:val="30B03D7B"/>
    <w:rsid w:val="31047F0E"/>
    <w:rsid w:val="315C46BD"/>
    <w:rsid w:val="329135B7"/>
    <w:rsid w:val="32BF3509"/>
    <w:rsid w:val="32DC0A7A"/>
    <w:rsid w:val="32E35695"/>
    <w:rsid w:val="33110959"/>
    <w:rsid w:val="33B916E0"/>
    <w:rsid w:val="33D321A9"/>
    <w:rsid w:val="33E31656"/>
    <w:rsid w:val="33FC15EB"/>
    <w:rsid w:val="349E2586"/>
    <w:rsid w:val="34AC0990"/>
    <w:rsid w:val="35150EE6"/>
    <w:rsid w:val="35615EF9"/>
    <w:rsid w:val="36107F4A"/>
    <w:rsid w:val="36174299"/>
    <w:rsid w:val="36504865"/>
    <w:rsid w:val="366D489F"/>
    <w:rsid w:val="367C1664"/>
    <w:rsid w:val="36807F5F"/>
    <w:rsid w:val="368F09FA"/>
    <w:rsid w:val="36E76FE1"/>
    <w:rsid w:val="375D203C"/>
    <w:rsid w:val="38026A6F"/>
    <w:rsid w:val="38244844"/>
    <w:rsid w:val="383C5696"/>
    <w:rsid w:val="387B18EF"/>
    <w:rsid w:val="387E303B"/>
    <w:rsid w:val="38FD1C54"/>
    <w:rsid w:val="392D582E"/>
    <w:rsid w:val="39C15447"/>
    <w:rsid w:val="3A3C34B9"/>
    <w:rsid w:val="3A9827B6"/>
    <w:rsid w:val="3AB578C7"/>
    <w:rsid w:val="3AD14697"/>
    <w:rsid w:val="3B69338A"/>
    <w:rsid w:val="3BC63B24"/>
    <w:rsid w:val="3BCD3EBF"/>
    <w:rsid w:val="3CAB19CD"/>
    <w:rsid w:val="3CAC7EDE"/>
    <w:rsid w:val="3CDB3BDA"/>
    <w:rsid w:val="3CFB3391"/>
    <w:rsid w:val="3D562934"/>
    <w:rsid w:val="3D60411F"/>
    <w:rsid w:val="3D8A02CD"/>
    <w:rsid w:val="3DA93298"/>
    <w:rsid w:val="3DDF4B2C"/>
    <w:rsid w:val="3DF94976"/>
    <w:rsid w:val="3E004CF1"/>
    <w:rsid w:val="3E547E99"/>
    <w:rsid w:val="3EC82150"/>
    <w:rsid w:val="3EFA5782"/>
    <w:rsid w:val="3F0D44AE"/>
    <w:rsid w:val="3F1D6618"/>
    <w:rsid w:val="3F36468C"/>
    <w:rsid w:val="3FB75AA7"/>
    <w:rsid w:val="3FBA1F41"/>
    <w:rsid w:val="3FFC782B"/>
    <w:rsid w:val="401B3CF2"/>
    <w:rsid w:val="40327DB0"/>
    <w:rsid w:val="404B6090"/>
    <w:rsid w:val="40A9190D"/>
    <w:rsid w:val="40AB1D23"/>
    <w:rsid w:val="40F53849"/>
    <w:rsid w:val="41E657FF"/>
    <w:rsid w:val="41E70D48"/>
    <w:rsid w:val="420F514B"/>
    <w:rsid w:val="42917FBA"/>
    <w:rsid w:val="43054E88"/>
    <w:rsid w:val="436C0A8D"/>
    <w:rsid w:val="43DB52A2"/>
    <w:rsid w:val="43DC2B82"/>
    <w:rsid w:val="43E22ABA"/>
    <w:rsid w:val="43F80DCD"/>
    <w:rsid w:val="43FB75A4"/>
    <w:rsid w:val="445D41D8"/>
    <w:rsid w:val="44751F2B"/>
    <w:rsid w:val="44884C83"/>
    <w:rsid w:val="449622B7"/>
    <w:rsid w:val="44AC17D9"/>
    <w:rsid w:val="453074E6"/>
    <w:rsid w:val="45DA471F"/>
    <w:rsid w:val="46500EC4"/>
    <w:rsid w:val="467E1C70"/>
    <w:rsid w:val="468A4245"/>
    <w:rsid w:val="4748596C"/>
    <w:rsid w:val="47500045"/>
    <w:rsid w:val="47601042"/>
    <w:rsid w:val="476B40D2"/>
    <w:rsid w:val="478B7839"/>
    <w:rsid w:val="48040645"/>
    <w:rsid w:val="48523C0A"/>
    <w:rsid w:val="48763CF2"/>
    <w:rsid w:val="487C78C9"/>
    <w:rsid w:val="489E3890"/>
    <w:rsid w:val="494975E8"/>
    <w:rsid w:val="497A2C70"/>
    <w:rsid w:val="49E47F6E"/>
    <w:rsid w:val="4A4F766A"/>
    <w:rsid w:val="4A51245D"/>
    <w:rsid w:val="4A95584F"/>
    <w:rsid w:val="4B3A06D7"/>
    <w:rsid w:val="4B3F6B82"/>
    <w:rsid w:val="4B447127"/>
    <w:rsid w:val="4B6B7860"/>
    <w:rsid w:val="4B822253"/>
    <w:rsid w:val="4BC56187"/>
    <w:rsid w:val="4BD34E49"/>
    <w:rsid w:val="4C0C01C1"/>
    <w:rsid w:val="4CBC28D9"/>
    <w:rsid w:val="4D3021F3"/>
    <w:rsid w:val="4D3F455B"/>
    <w:rsid w:val="4D6E3BBD"/>
    <w:rsid w:val="4DBC088F"/>
    <w:rsid w:val="4DCF2F60"/>
    <w:rsid w:val="4E2174AB"/>
    <w:rsid w:val="4E2C1433"/>
    <w:rsid w:val="4E300D69"/>
    <w:rsid w:val="4E4E5A90"/>
    <w:rsid w:val="4E6C325B"/>
    <w:rsid w:val="4EC54C1D"/>
    <w:rsid w:val="4ED35B75"/>
    <w:rsid w:val="4EE00DE1"/>
    <w:rsid w:val="4F7072B9"/>
    <w:rsid w:val="4F7E2EF6"/>
    <w:rsid w:val="4F8464B4"/>
    <w:rsid w:val="4F9A1B35"/>
    <w:rsid w:val="4FD70343"/>
    <w:rsid w:val="50391FDB"/>
    <w:rsid w:val="504E4830"/>
    <w:rsid w:val="50530F7D"/>
    <w:rsid w:val="50806617"/>
    <w:rsid w:val="50D76907"/>
    <w:rsid w:val="50E71153"/>
    <w:rsid w:val="513F1823"/>
    <w:rsid w:val="516F27CB"/>
    <w:rsid w:val="5196143C"/>
    <w:rsid w:val="51DC2339"/>
    <w:rsid w:val="51E63FE0"/>
    <w:rsid w:val="52043826"/>
    <w:rsid w:val="52125025"/>
    <w:rsid w:val="524266BE"/>
    <w:rsid w:val="52F13971"/>
    <w:rsid w:val="531151F6"/>
    <w:rsid w:val="53193AC3"/>
    <w:rsid w:val="53356AB0"/>
    <w:rsid w:val="53597175"/>
    <w:rsid w:val="53687418"/>
    <w:rsid w:val="53720DE2"/>
    <w:rsid w:val="53C90016"/>
    <w:rsid w:val="53CD4272"/>
    <w:rsid w:val="53F92C98"/>
    <w:rsid w:val="54067AFD"/>
    <w:rsid w:val="54FD6B07"/>
    <w:rsid w:val="555D67A4"/>
    <w:rsid w:val="55634D38"/>
    <w:rsid w:val="55B60238"/>
    <w:rsid w:val="55EA5219"/>
    <w:rsid w:val="561505D4"/>
    <w:rsid w:val="563102A4"/>
    <w:rsid w:val="56973E1F"/>
    <w:rsid w:val="576772B5"/>
    <w:rsid w:val="57CD71C9"/>
    <w:rsid w:val="57E34306"/>
    <w:rsid w:val="57E57589"/>
    <w:rsid w:val="57ED2754"/>
    <w:rsid w:val="58AC71CF"/>
    <w:rsid w:val="591254B9"/>
    <w:rsid w:val="59A92A61"/>
    <w:rsid w:val="59C9560C"/>
    <w:rsid w:val="5A5C35D8"/>
    <w:rsid w:val="5ADE1F73"/>
    <w:rsid w:val="5BF8382F"/>
    <w:rsid w:val="5C22684F"/>
    <w:rsid w:val="5CB52BD2"/>
    <w:rsid w:val="5CDF456F"/>
    <w:rsid w:val="5CE3322E"/>
    <w:rsid w:val="5D572C78"/>
    <w:rsid w:val="5DCB33F6"/>
    <w:rsid w:val="5DD153DA"/>
    <w:rsid w:val="5DFF429F"/>
    <w:rsid w:val="5E3556CC"/>
    <w:rsid w:val="5E554B4E"/>
    <w:rsid w:val="5E6A2CC5"/>
    <w:rsid w:val="5E990EF9"/>
    <w:rsid w:val="5E99583F"/>
    <w:rsid w:val="5EBF74D1"/>
    <w:rsid w:val="5F2465E8"/>
    <w:rsid w:val="5F306102"/>
    <w:rsid w:val="5F4B72E8"/>
    <w:rsid w:val="5F783DAA"/>
    <w:rsid w:val="601A24B3"/>
    <w:rsid w:val="603B11D0"/>
    <w:rsid w:val="60E15CF6"/>
    <w:rsid w:val="60FE4D9D"/>
    <w:rsid w:val="61067EA9"/>
    <w:rsid w:val="612C47B1"/>
    <w:rsid w:val="61AA49D7"/>
    <w:rsid w:val="61DB480A"/>
    <w:rsid w:val="626A12F1"/>
    <w:rsid w:val="629C77D8"/>
    <w:rsid w:val="62B063C4"/>
    <w:rsid w:val="62F241E8"/>
    <w:rsid w:val="632B71C6"/>
    <w:rsid w:val="634C153F"/>
    <w:rsid w:val="636F7002"/>
    <w:rsid w:val="6438051B"/>
    <w:rsid w:val="645940DA"/>
    <w:rsid w:val="64834DD8"/>
    <w:rsid w:val="648C318D"/>
    <w:rsid w:val="64D30970"/>
    <w:rsid w:val="653505E7"/>
    <w:rsid w:val="658F218E"/>
    <w:rsid w:val="661B154B"/>
    <w:rsid w:val="662114A5"/>
    <w:rsid w:val="662E766F"/>
    <w:rsid w:val="66AC2722"/>
    <w:rsid w:val="67305B69"/>
    <w:rsid w:val="676A38DC"/>
    <w:rsid w:val="678F1196"/>
    <w:rsid w:val="67A05B7E"/>
    <w:rsid w:val="67ED5EED"/>
    <w:rsid w:val="68101CC4"/>
    <w:rsid w:val="687424E1"/>
    <w:rsid w:val="68D433DA"/>
    <w:rsid w:val="68D81006"/>
    <w:rsid w:val="69146FEF"/>
    <w:rsid w:val="69D34CDF"/>
    <w:rsid w:val="6A5F4FA1"/>
    <w:rsid w:val="6A7A4E34"/>
    <w:rsid w:val="6ADA6866"/>
    <w:rsid w:val="6B61332D"/>
    <w:rsid w:val="6C4516BE"/>
    <w:rsid w:val="6C4F5101"/>
    <w:rsid w:val="6C7621DF"/>
    <w:rsid w:val="6C787452"/>
    <w:rsid w:val="6C853C97"/>
    <w:rsid w:val="6CE1254E"/>
    <w:rsid w:val="6CEF4F0F"/>
    <w:rsid w:val="6D397846"/>
    <w:rsid w:val="6DAA12B9"/>
    <w:rsid w:val="6DAB59DE"/>
    <w:rsid w:val="6DAC0CA7"/>
    <w:rsid w:val="6E434EF0"/>
    <w:rsid w:val="6E6E4E06"/>
    <w:rsid w:val="6E7A016D"/>
    <w:rsid w:val="6EC47A23"/>
    <w:rsid w:val="6EF47564"/>
    <w:rsid w:val="701B0E3A"/>
    <w:rsid w:val="70235C5C"/>
    <w:rsid w:val="702C1048"/>
    <w:rsid w:val="70455FF7"/>
    <w:rsid w:val="705B4869"/>
    <w:rsid w:val="707215D5"/>
    <w:rsid w:val="708B7B34"/>
    <w:rsid w:val="71493855"/>
    <w:rsid w:val="71525973"/>
    <w:rsid w:val="71B53A87"/>
    <w:rsid w:val="71D55BDA"/>
    <w:rsid w:val="71DA2ABA"/>
    <w:rsid w:val="71E717EF"/>
    <w:rsid w:val="71F76241"/>
    <w:rsid w:val="726971FF"/>
    <w:rsid w:val="72F42593"/>
    <w:rsid w:val="730043D2"/>
    <w:rsid w:val="73724465"/>
    <w:rsid w:val="73CC483B"/>
    <w:rsid w:val="74125A53"/>
    <w:rsid w:val="741D2362"/>
    <w:rsid w:val="74933D70"/>
    <w:rsid w:val="749C2B7B"/>
    <w:rsid w:val="749D1342"/>
    <w:rsid w:val="7548123A"/>
    <w:rsid w:val="75566EE4"/>
    <w:rsid w:val="7583200C"/>
    <w:rsid w:val="7660428B"/>
    <w:rsid w:val="76C56DC4"/>
    <w:rsid w:val="76F2653C"/>
    <w:rsid w:val="7731279D"/>
    <w:rsid w:val="77404545"/>
    <w:rsid w:val="77B4314C"/>
    <w:rsid w:val="77CD13AB"/>
    <w:rsid w:val="77D84AFD"/>
    <w:rsid w:val="77EB6DF0"/>
    <w:rsid w:val="789E6215"/>
    <w:rsid w:val="78C647AD"/>
    <w:rsid w:val="79900684"/>
    <w:rsid w:val="79963F39"/>
    <w:rsid w:val="79A65463"/>
    <w:rsid w:val="79F31D17"/>
    <w:rsid w:val="7A286456"/>
    <w:rsid w:val="7AAA2C74"/>
    <w:rsid w:val="7ACF0E2A"/>
    <w:rsid w:val="7ADC31A8"/>
    <w:rsid w:val="7AE11CFE"/>
    <w:rsid w:val="7B275319"/>
    <w:rsid w:val="7B4324F0"/>
    <w:rsid w:val="7B453B00"/>
    <w:rsid w:val="7B6A4869"/>
    <w:rsid w:val="7B8F0214"/>
    <w:rsid w:val="7BF111A2"/>
    <w:rsid w:val="7C280C89"/>
    <w:rsid w:val="7CAE4569"/>
    <w:rsid w:val="7CB121DB"/>
    <w:rsid w:val="7CBE43EB"/>
    <w:rsid w:val="7D040A54"/>
    <w:rsid w:val="7D2B5029"/>
    <w:rsid w:val="7DBB4185"/>
    <w:rsid w:val="7DC934DB"/>
    <w:rsid w:val="7E063FEB"/>
    <w:rsid w:val="7E5739DC"/>
    <w:rsid w:val="7E9E3841"/>
    <w:rsid w:val="7ECB1A77"/>
    <w:rsid w:val="7ECC1B65"/>
    <w:rsid w:val="7ED60533"/>
    <w:rsid w:val="7EE23AE4"/>
    <w:rsid w:val="7EE52B34"/>
    <w:rsid w:val="7FB77874"/>
    <w:rsid w:val="7FE3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0"/>
    <w:qFormat/>
    <w:uiPriority w:val="0"/>
    <w:pPr>
      <w:keepNext/>
      <w:keepLines/>
      <w:spacing w:after="120" w:line="360" w:lineRule="auto"/>
      <w:outlineLvl w:val="0"/>
    </w:pPr>
    <w:rPr>
      <w:kern w:val="44"/>
      <w:sz w:val="28"/>
      <w:szCs w:val="28"/>
    </w:rPr>
  </w:style>
  <w:style w:type="paragraph" w:styleId="7">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46"/>
    <w:qFormat/>
    <w:uiPriority w:val="0"/>
    <w:pPr>
      <w:widowControl/>
      <w:spacing w:before="100" w:beforeAutospacing="1" w:after="100" w:afterAutospacing="1"/>
      <w:jc w:val="left"/>
      <w:outlineLvl w:val="2"/>
    </w:pPr>
    <w:rPr>
      <w:rFonts w:ascii="宋体" w:hAnsi="宋体" w:cs="宋体"/>
      <w:kern w:val="0"/>
      <w:sz w:val="24"/>
      <w:szCs w:val="27"/>
    </w:rPr>
  </w:style>
  <w:style w:type="paragraph" w:styleId="9">
    <w:name w:val="heading 4"/>
    <w:basedOn w:val="8"/>
    <w:next w:val="2"/>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0">
    <w:name w:val="heading 5"/>
    <w:basedOn w:val="9"/>
    <w:next w:val="2"/>
    <w:link w:val="63"/>
    <w:qFormat/>
    <w:uiPriority w:val="0"/>
    <w:pPr>
      <w:numPr>
        <w:ilvl w:val="4"/>
      </w:numPr>
      <w:spacing w:line="240" w:lineRule="exact"/>
      <w:outlineLvl w:val="4"/>
    </w:pPr>
  </w:style>
  <w:style w:type="paragraph" w:styleId="11">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2"/>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2"/>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2"/>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4">
    <w:name w:val="Title"/>
    <w:basedOn w:val="1"/>
    <w:link w:val="69"/>
    <w:qFormat/>
    <w:uiPriority w:val="0"/>
    <w:pPr>
      <w:spacing w:before="120" w:after="60"/>
      <w:jc w:val="center"/>
    </w:pPr>
    <w:rPr>
      <w:rFonts w:ascii="Arial" w:hAnsi="Arial"/>
      <w:b/>
      <w:sz w:val="44"/>
      <w:szCs w:val="20"/>
    </w:rPr>
  </w:style>
  <w:style w:type="paragraph" w:styleId="5">
    <w:name w:val="Body Text First Indent"/>
    <w:basedOn w:val="6"/>
    <w:link w:val="73"/>
    <w:qFormat/>
    <w:uiPriority w:val="0"/>
    <w:pPr>
      <w:ind w:firstLine="420"/>
    </w:pPr>
  </w:style>
  <w:style w:type="paragraph" w:styleId="6">
    <w:name w:val="Body Text"/>
    <w:basedOn w:val="1"/>
    <w:link w:val="71"/>
    <w:qFormat/>
    <w:uiPriority w:val="0"/>
    <w:pPr>
      <w:spacing w:after="120"/>
    </w:pPr>
    <w:rPr>
      <w:rFonts w:ascii="Times New Roman" w:hAnsi="Times New Roman"/>
      <w:szCs w:val="20"/>
    </w:rPr>
  </w:style>
  <w:style w:type="paragraph" w:styleId="15">
    <w:name w:val="Document Map"/>
    <w:basedOn w:val="1"/>
    <w:link w:val="79"/>
    <w:qFormat/>
    <w:uiPriority w:val="0"/>
    <w:pPr>
      <w:shd w:val="clear" w:color="auto" w:fill="000080"/>
    </w:pPr>
    <w:rPr>
      <w:rFonts w:ascii="Times New Roman" w:hAnsi="Times New Roman"/>
      <w:szCs w:val="20"/>
    </w:rPr>
  </w:style>
  <w:style w:type="paragraph" w:styleId="16">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7">
    <w:name w:val="Body Text Indent"/>
    <w:basedOn w:val="1"/>
    <w:link w:val="77"/>
    <w:qFormat/>
    <w:uiPriority w:val="0"/>
    <w:pPr>
      <w:ind w:firstLine="570"/>
    </w:pPr>
    <w:rPr>
      <w:rFonts w:ascii="Times New Roman" w:hAnsi="Times New Roman"/>
      <w:sz w:val="28"/>
      <w:szCs w:val="20"/>
    </w:rPr>
  </w:style>
  <w:style w:type="paragraph" w:styleId="18">
    <w:name w:val="index 4"/>
    <w:basedOn w:val="1"/>
    <w:next w:val="1"/>
    <w:unhideWhenUsed/>
    <w:qFormat/>
    <w:uiPriority w:val="99"/>
    <w:pPr>
      <w:ind w:left="600" w:leftChars="600"/>
    </w:p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next w:val="1"/>
    <w:link w:val="81"/>
    <w:qFormat/>
    <w:uiPriority w:val="0"/>
    <w:rPr>
      <w:rFonts w:ascii="宋体" w:hAnsi="Courier New"/>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3">
    <w:name w:val="endnote text"/>
    <w:basedOn w:val="1"/>
    <w:link w:val="92"/>
    <w:qFormat/>
    <w:uiPriority w:val="0"/>
    <w:pPr>
      <w:snapToGrid w:val="0"/>
      <w:jc w:val="left"/>
    </w:pPr>
    <w:rPr>
      <w:rFonts w:ascii="Times New Roman" w:hAnsi="Times New Roman"/>
      <w:szCs w:val="20"/>
    </w:rPr>
  </w:style>
  <w:style w:type="paragraph" w:styleId="24">
    <w:name w:val="Balloon Text"/>
    <w:basedOn w:val="1"/>
    <w:link w:val="102"/>
    <w:qFormat/>
    <w:uiPriority w:val="0"/>
    <w:rPr>
      <w:rFonts w:ascii="Times New Roman" w:hAnsi="Times New Roman"/>
      <w:sz w:val="18"/>
      <w:szCs w:val="18"/>
    </w:rPr>
  </w:style>
  <w:style w:type="paragraph" w:styleId="25">
    <w:name w:val="footer"/>
    <w:basedOn w:val="1"/>
    <w:link w:val="59"/>
    <w:unhideWhenUsed/>
    <w:qFormat/>
    <w:uiPriority w:val="0"/>
    <w:pPr>
      <w:tabs>
        <w:tab w:val="center" w:pos="4153"/>
        <w:tab w:val="right" w:pos="8306"/>
      </w:tabs>
      <w:snapToGrid w:val="0"/>
      <w:jc w:val="left"/>
    </w:pPr>
    <w:rPr>
      <w:sz w:val="18"/>
      <w:szCs w:val="18"/>
    </w:rPr>
  </w:style>
  <w:style w:type="paragraph" w:styleId="26">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89"/>
    <w:qFormat/>
    <w:uiPriority w:val="0"/>
    <w:rPr>
      <w:rFonts w:ascii="宋体" w:hAnsi="宋体"/>
      <w:szCs w:val="24"/>
      <w:u w:val="single"/>
    </w:rPr>
  </w:style>
  <w:style w:type="paragraph" w:styleId="3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qFormat/>
    <w:uiPriority w:val="0"/>
    <w:pPr>
      <w:widowControl/>
      <w:spacing w:before="100" w:beforeAutospacing="1" w:after="100" w:afterAutospacing="1"/>
    </w:pPr>
    <w:rPr>
      <w:rFonts w:ascii="宋体" w:hAnsi="宋体" w:eastAsia="方正楷体_GB2312" w:cs="宋体"/>
      <w:sz w:val="24"/>
      <w:szCs w:val="24"/>
    </w:rPr>
  </w:style>
  <w:style w:type="paragraph" w:styleId="34">
    <w:name w:val="index 1"/>
    <w:basedOn w:val="1"/>
    <w:next w:val="1"/>
    <w:qFormat/>
    <w:uiPriority w:val="0"/>
    <w:rPr>
      <w:rFonts w:ascii="Times New Roman" w:hAnsi="Times New Roman" w:eastAsia="仿宋_GB2312"/>
      <w:sz w:val="28"/>
      <w:szCs w:val="20"/>
    </w:rPr>
  </w:style>
  <w:style w:type="paragraph" w:styleId="35">
    <w:name w:val="annotation subject"/>
    <w:basedOn w:val="16"/>
    <w:next w:val="16"/>
    <w:link w:val="109"/>
    <w:qFormat/>
    <w:uiPriority w:val="0"/>
    <w:rPr>
      <w:b/>
      <w:bCs/>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3 字符1"/>
    <w:link w:val="8"/>
    <w:qFormat/>
    <w:uiPriority w:val="0"/>
    <w:rPr>
      <w:rFonts w:ascii="宋体" w:hAnsi="宋体" w:eastAsia="宋体" w:cs="宋体"/>
      <w:kern w:val="0"/>
      <w:sz w:val="24"/>
      <w:szCs w:val="27"/>
    </w:rPr>
  </w:style>
  <w:style w:type="character" w:customStyle="1" w:styleId="47">
    <w:name w:val="标题 1 字符"/>
    <w:qFormat/>
    <w:uiPriority w:val="9"/>
    <w:rPr>
      <w:rFonts w:ascii="Calibri" w:hAnsi="Calibri" w:eastAsia="宋体" w:cs="Times New Roman"/>
      <w:b/>
      <w:bCs/>
      <w:kern w:val="44"/>
      <w:sz w:val="44"/>
      <w:szCs w:val="44"/>
    </w:rPr>
  </w:style>
  <w:style w:type="character" w:customStyle="1" w:styleId="48">
    <w:name w:val="标题 2 字符"/>
    <w:semiHidden/>
    <w:qFormat/>
    <w:uiPriority w:val="9"/>
    <w:rPr>
      <w:rFonts w:ascii="等线 Light" w:hAnsi="等线 Light" w:eastAsia="等线 Light" w:cs="Times New Roman"/>
      <w:b/>
      <w:bCs/>
      <w:sz w:val="32"/>
      <w:szCs w:val="32"/>
    </w:rPr>
  </w:style>
  <w:style w:type="character" w:customStyle="1" w:styleId="49">
    <w:name w:val="标题 3 字符"/>
    <w:semiHidden/>
    <w:qFormat/>
    <w:uiPriority w:val="9"/>
    <w:rPr>
      <w:rFonts w:ascii="Calibri" w:hAnsi="Calibri" w:eastAsia="宋体" w:cs="Times New Roman"/>
      <w:b/>
      <w:bCs/>
      <w:sz w:val="32"/>
      <w:szCs w:val="32"/>
    </w:rPr>
  </w:style>
  <w:style w:type="character" w:customStyle="1" w:styleId="50">
    <w:name w:val="标题 4 字符"/>
    <w:semiHidden/>
    <w:qFormat/>
    <w:uiPriority w:val="9"/>
    <w:rPr>
      <w:rFonts w:ascii="等线 Light" w:hAnsi="等线 Light" w:eastAsia="等线 Light" w:cs="Times New Roman"/>
      <w:b/>
      <w:bCs/>
      <w:sz w:val="28"/>
      <w:szCs w:val="28"/>
    </w:rPr>
  </w:style>
  <w:style w:type="character" w:customStyle="1" w:styleId="51">
    <w:name w:val="标题 5 字符"/>
    <w:semiHidden/>
    <w:qFormat/>
    <w:uiPriority w:val="9"/>
    <w:rPr>
      <w:rFonts w:ascii="Calibri" w:hAnsi="Calibri" w:eastAsia="宋体" w:cs="Times New Roman"/>
      <w:b/>
      <w:bCs/>
      <w:sz w:val="28"/>
      <w:szCs w:val="28"/>
    </w:rPr>
  </w:style>
  <w:style w:type="character" w:customStyle="1" w:styleId="52">
    <w:name w:val="标题 6 字符"/>
    <w:semiHidden/>
    <w:qFormat/>
    <w:uiPriority w:val="9"/>
    <w:rPr>
      <w:rFonts w:ascii="等线 Light" w:hAnsi="等线 Light" w:eastAsia="等线 Light" w:cs="Times New Roman"/>
      <w:b/>
      <w:bCs/>
      <w:sz w:val="24"/>
      <w:szCs w:val="24"/>
    </w:rPr>
  </w:style>
  <w:style w:type="character" w:customStyle="1" w:styleId="53">
    <w:name w:val="标题 7 字符"/>
    <w:semiHidden/>
    <w:qFormat/>
    <w:uiPriority w:val="9"/>
    <w:rPr>
      <w:rFonts w:ascii="Calibri" w:hAnsi="Calibri" w:eastAsia="宋体" w:cs="Times New Roman"/>
      <w:b/>
      <w:bCs/>
      <w:sz w:val="24"/>
      <w:szCs w:val="24"/>
    </w:rPr>
  </w:style>
  <w:style w:type="character" w:customStyle="1" w:styleId="54">
    <w:name w:val="标题 8 字符"/>
    <w:semiHidden/>
    <w:qFormat/>
    <w:uiPriority w:val="9"/>
    <w:rPr>
      <w:rFonts w:ascii="等线 Light" w:hAnsi="等线 Light" w:eastAsia="等线 Light" w:cs="Times New Roman"/>
      <w:sz w:val="24"/>
      <w:szCs w:val="24"/>
    </w:rPr>
  </w:style>
  <w:style w:type="character" w:customStyle="1" w:styleId="55">
    <w:name w:val="标题 9 字符"/>
    <w:semiHidden/>
    <w:qFormat/>
    <w:uiPriority w:val="9"/>
    <w:rPr>
      <w:rFonts w:ascii="等线 Light" w:hAnsi="等线 Light" w:eastAsia="等线 Light" w:cs="Times New Roman"/>
      <w:szCs w:val="21"/>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字符1"/>
    <w:link w:val="26"/>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字符1"/>
    <w:link w:val="25"/>
    <w:qFormat/>
    <w:uiPriority w:val="0"/>
    <w:rPr>
      <w:rFonts w:ascii="Calibri" w:hAnsi="Calibri" w:eastAsia="宋体" w:cs="Times New Roman"/>
      <w:sz w:val="18"/>
      <w:szCs w:val="18"/>
    </w:rPr>
  </w:style>
  <w:style w:type="character" w:customStyle="1" w:styleId="60">
    <w:name w:val="标题 1 字符1"/>
    <w:link w:val="3"/>
    <w:qFormat/>
    <w:uiPriority w:val="0"/>
    <w:rPr>
      <w:rFonts w:ascii="Arial" w:hAnsi="Arial" w:eastAsia="宋体"/>
      <w:b/>
      <w:kern w:val="44"/>
      <w:sz w:val="28"/>
      <w:szCs w:val="28"/>
    </w:rPr>
  </w:style>
  <w:style w:type="character" w:customStyle="1" w:styleId="61">
    <w:name w:val="标题 2 字符1"/>
    <w:link w:val="7"/>
    <w:qFormat/>
    <w:uiPriority w:val="0"/>
    <w:rPr>
      <w:rFonts w:ascii="Arial" w:hAnsi="Arial" w:eastAsia="宋体" w:cs="Times New Roman"/>
      <w:b/>
      <w:color w:val="000000"/>
      <w:sz w:val="24"/>
      <w:szCs w:val="24"/>
    </w:rPr>
  </w:style>
  <w:style w:type="character" w:customStyle="1" w:styleId="62">
    <w:name w:val="标题 4 字符1"/>
    <w:link w:val="9"/>
    <w:qFormat/>
    <w:uiPriority w:val="0"/>
    <w:rPr>
      <w:rFonts w:ascii="Arial" w:hAnsi="Arial" w:eastAsia="宋体" w:cs="Times New Roman"/>
      <w:color w:val="000000"/>
      <w:szCs w:val="21"/>
    </w:rPr>
  </w:style>
  <w:style w:type="character" w:customStyle="1" w:styleId="63">
    <w:name w:val="标题 5 字符1"/>
    <w:link w:val="10"/>
    <w:qFormat/>
    <w:uiPriority w:val="0"/>
    <w:rPr>
      <w:rFonts w:ascii="Arial" w:hAnsi="Arial" w:eastAsia="宋体" w:cs="Times New Roman"/>
      <w:color w:val="000000"/>
      <w:szCs w:val="21"/>
    </w:rPr>
  </w:style>
  <w:style w:type="character" w:customStyle="1" w:styleId="64">
    <w:name w:val="标题 6 字符1"/>
    <w:link w:val="11"/>
    <w:qFormat/>
    <w:uiPriority w:val="0"/>
    <w:rPr>
      <w:rFonts w:ascii="Arial" w:hAnsi="Arial" w:eastAsia="黑体" w:cs="Times New Roman"/>
      <w:b/>
      <w:bCs/>
      <w:sz w:val="24"/>
      <w:szCs w:val="24"/>
    </w:rPr>
  </w:style>
  <w:style w:type="character" w:customStyle="1" w:styleId="65">
    <w:name w:val="标题 7 字符1"/>
    <w:link w:val="12"/>
    <w:qFormat/>
    <w:uiPriority w:val="0"/>
    <w:rPr>
      <w:rFonts w:ascii="Times New Roman" w:hAnsi="Times New Roman" w:eastAsia="宋体" w:cs="Times New Roman"/>
      <w:b/>
      <w:sz w:val="24"/>
      <w:szCs w:val="20"/>
    </w:rPr>
  </w:style>
  <w:style w:type="character" w:customStyle="1" w:styleId="66">
    <w:name w:val="标题 8 字符1"/>
    <w:link w:val="13"/>
    <w:qFormat/>
    <w:uiPriority w:val="0"/>
    <w:rPr>
      <w:rFonts w:ascii="Arial" w:hAnsi="Arial" w:eastAsia="黑体" w:cs="Times New Roman"/>
      <w:sz w:val="24"/>
      <w:szCs w:val="20"/>
    </w:rPr>
  </w:style>
  <w:style w:type="character" w:customStyle="1" w:styleId="67">
    <w:name w:val="标题 9 字符1"/>
    <w:link w:val="14"/>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字符1"/>
    <w:link w:val="4"/>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字符1"/>
    <w:link w:val="6"/>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文本首行缩进 字符"/>
    <w:link w:val="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字符1"/>
    <w:link w:val="21"/>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字符1"/>
    <w:link w:val="17"/>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字符1"/>
    <w:link w:val="15"/>
    <w:qFormat/>
    <w:uiPriority w:val="0"/>
    <w:rPr>
      <w:rFonts w:ascii="Times New Roman" w:hAnsi="Times New Roman" w:eastAsia="宋体" w:cs="Times New Roman"/>
      <w:szCs w:val="20"/>
      <w:shd w:val="clear" w:color="auto" w:fill="000080"/>
    </w:rPr>
  </w:style>
  <w:style w:type="character" w:customStyle="1" w:styleId="80">
    <w:name w:val="纯文本 字符"/>
    <w:qFormat/>
    <w:uiPriority w:val="0"/>
    <w:rPr>
      <w:rFonts w:ascii="等线" w:hAnsi="Courier New" w:cs="Courier New"/>
    </w:rPr>
  </w:style>
  <w:style w:type="character" w:customStyle="1" w:styleId="81">
    <w:name w:val="纯文本 字符1"/>
    <w:link w:val="20"/>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字符1"/>
    <w:link w:val="22"/>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字符1"/>
    <w:link w:val="29"/>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字符1"/>
    <w:link w:val="31"/>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字符1"/>
    <w:link w:val="23"/>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2"/>
    <w:qFormat/>
    <w:uiPriority w:val="0"/>
    <w:pPr>
      <w:ind w:firstLine="0"/>
    </w:pPr>
    <w:rPr>
      <w:rFonts w:ascii="仿宋_GB2312" w:eastAsia="仿宋_GB2312"/>
      <w:sz w:val="30"/>
      <w:szCs w:val="24"/>
    </w:rPr>
  </w:style>
  <w:style w:type="paragraph" w:customStyle="1" w:styleId="96">
    <w:name w:val="Char Char Char1 Char"/>
    <w:basedOn w:val="15"/>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字符1"/>
    <w:link w:val="24"/>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字符1"/>
    <w:link w:val="16"/>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字符1"/>
    <w:link w:val="28"/>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字符1"/>
    <w:link w:val="35"/>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paragraph" w:customStyle="1" w:styleId="112">
    <w:name w:val="修订2"/>
    <w:hidden/>
    <w:unhideWhenUsed/>
    <w:qFormat/>
    <w:uiPriority w:val="99"/>
    <w:rPr>
      <w:rFonts w:ascii="Calibri" w:hAnsi="Calibri" w:eastAsia="宋体" w:cs="Times New Roman"/>
      <w:kern w:val="2"/>
      <w:sz w:val="21"/>
      <w:szCs w:val="22"/>
      <w:lang w:val="en-US" w:eastAsia="zh-CN" w:bidi="ar-SA"/>
    </w:rPr>
  </w:style>
  <w:style w:type="paragraph" w:customStyle="1" w:styleId="113">
    <w:name w:val="修订3"/>
    <w:hidden/>
    <w:unhideWhenUsed/>
    <w:qFormat/>
    <w:uiPriority w:val="99"/>
    <w:rPr>
      <w:rFonts w:ascii="Calibri" w:hAnsi="Calibri" w:eastAsia="宋体" w:cs="Times New Roman"/>
      <w:kern w:val="2"/>
      <w:sz w:val="21"/>
      <w:szCs w:val="22"/>
      <w:lang w:val="en-US" w:eastAsia="zh-CN" w:bidi="ar-SA"/>
    </w:rPr>
  </w:style>
  <w:style w:type="character" w:customStyle="1" w:styleId="114">
    <w:name w:val="页眉 Char"/>
    <w:qFormat/>
    <w:uiPriority w:val="99"/>
    <w:rPr>
      <w:kern w:val="2"/>
      <w:sz w:val="18"/>
      <w:szCs w:val="18"/>
      <w:lang w:val="zh-CN" w:eastAsia="zh-CN"/>
    </w:rPr>
  </w:style>
  <w:style w:type="character" w:customStyle="1" w:styleId="115">
    <w:name w:val="标准正文 Char"/>
    <w:link w:val="116"/>
    <w:qFormat/>
    <w:uiPriority w:val="0"/>
    <w:rPr>
      <w:szCs w:val="24"/>
    </w:rPr>
  </w:style>
  <w:style w:type="paragraph" w:customStyle="1" w:styleId="116">
    <w:name w:val="标准正文"/>
    <w:basedOn w:val="1"/>
    <w:link w:val="115"/>
    <w:qFormat/>
    <w:uiPriority w:val="0"/>
    <w:pPr>
      <w:tabs>
        <w:tab w:val="left" w:pos="720"/>
      </w:tabs>
      <w:spacing w:line="360" w:lineRule="auto"/>
      <w:ind w:firstLine="200" w:firstLineChars="200"/>
    </w:pPr>
    <w:rPr>
      <w:rFonts w:ascii="等线" w:hAnsi="等线" w:eastAsia="等线"/>
      <w:kern w:val="0"/>
      <w:sz w:val="20"/>
      <w:szCs w:val="24"/>
    </w:rPr>
  </w:style>
  <w:style w:type="paragraph" w:customStyle="1" w:styleId="117">
    <w:name w:val="PlainText"/>
    <w:basedOn w:val="1"/>
    <w:qFormat/>
    <w:uiPriority w:val="0"/>
    <w:pPr>
      <w:textAlignment w:val="baseline"/>
    </w:pPr>
    <w:rPr>
      <w:rFonts w:ascii="宋体" w:hAnsi="Courier New" w:cs="Calibri"/>
      <w:color w:val="000000"/>
      <w:kern w:val="0"/>
      <w:sz w:val="20"/>
      <w:szCs w:val="20"/>
    </w:rPr>
  </w:style>
  <w:style w:type="character" w:customStyle="1" w:styleId="118">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19">
    <w:name w:val="正文文本3"/>
    <w:basedOn w:val="1"/>
    <w:qFormat/>
    <w:uiPriority w:val="0"/>
    <w:pPr>
      <w:shd w:val="clear" w:color="auto" w:fill="FFFFFF"/>
      <w:spacing w:line="0" w:lineRule="atLeast"/>
      <w:jc w:val="left"/>
    </w:pPr>
    <w:rPr>
      <w:rFonts w:ascii="宋体" w:hAnsi="宋体"/>
      <w:kern w:val="0"/>
      <w:sz w:val="19"/>
      <w:szCs w:val="19"/>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74</Pages>
  <Words>41541</Words>
  <Characters>43476</Characters>
  <DocSecurity>0</DocSecurity>
  <Lines>340</Lines>
  <Paragraphs>95</Paragraphs>
  <ScaleCrop>false</ScaleCrop>
  <LinksUpToDate>false</LinksUpToDate>
  <CharactersWithSpaces>45142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2025-06-16T07:05:00Z</dcterms:created>
  <dcterms:modified xsi:type="dcterms:W3CDTF">2025-09-04T06:36:49Z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B5500F81B1B445C2B1185437853BFA4A</vt:lpwstr>
  </property>
  <property fmtid="{D5CDD505-2E9C-101B-9397-08002B2CF9AE}" pid="4" name="KSOTemplateDocerSaveRecord">
    <vt:lpwstr>eyJoZGlkIjoiOTM3NGYxNzViOTEwMzgwYTVlOTRiNjE5NjAyMDMyNmEiLCJ1c2VySWQiOiIzNDY1NzgxMDUifQ==</vt:lpwstr>
  </property>
</Properties>
</file>