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6998D">
      <w:pPr>
        <w:pStyle w:val="2"/>
        <w:jc w:val="center"/>
        <w:rPr>
          <w:color w:val="auto"/>
          <w:highlight w:val="none"/>
        </w:rPr>
      </w:pPr>
      <w:bookmarkStart w:id="0" w:name="_Toc21787745"/>
      <w:bookmarkStart w:id="1" w:name="_Toc32482"/>
      <w:r>
        <w:rPr>
          <w:rFonts w:hint="eastAsia"/>
          <w:color w:val="auto"/>
          <w:highlight w:val="none"/>
        </w:rPr>
        <w:t>第四章</w:t>
      </w:r>
      <w:r>
        <w:rPr>
          <w:rFonts w:hint="eastAsia"/>
          <w:color w:val="auto"/>
          <w:highlight w:val="none"/>
          <w:lang w:val="en-US" w:eastAsia="zh-CN"/>
        </w:rPr>
        <w:t xml:space="preserve"> </w:t>
      </w:r>
      <w:r>
        <w:rPr>
          <w:rFonts w:hint="eastAsia"/>
          <w:color w:val="auto"/>
          <w:highlight w:val="none"/>
        </w:rPr>
        <w:t>合同条款</w:t>
      </w:r>
      <w:bookmarkEnd w:id="0"/>
      <w:bookmarkEnd w:id="1"/>
    </w:p>
    <w:p w14:paraId="3FD95CFA">
      <w:pPr>
        <w:pStyle w:val="6"/>
        <w:jc w:val="center"/>
        <w:outlineLvl w:val="1"/>
        <w:rPr>
          <w:rFonts w:ascii="宋体" w:hAnsi="宋体" w:eastAsia="宋体"/>
          <w:b/>
          <w:color w:val="auto"/>
          <w:sz w:val="28"/>
          <w:szCs w:val="28"/>
          <w:highlight w:val="none"/>
        </w:rPr>
      </w:pPr>
      <w:bookmarkStart w:id="2" w:name="_Toc493406951"/>
      <w:bookmarkStart w:id="3" w:name="_Toc149721957"/>
      <w:bookmarkStart w:id="4" w:name="_Toc6054"/>
      <w:bookmarkStart w:id="5" w:name="_Toc11836"/>
      <w:bookmarkStart w:id="6" w:name="_Toc491187125"/>
      <w:bookmarkStart w:id="7" w:name="_Toc23287"/>
      <w:bookmarkStart w:id="8" w:name="_Toc32320"/>
      <w:bookmarkStart w:id="9" w:name="_Toc11929"/>
      <w:bookmarkStart w:id="10" w:name="_Toc23149"/>
      <w:r>
        <w:rPr>
          <w:rFonts w:hint="eastAsia" w:ascii="宋体" w:hAnsi="宋体" w:eastAsia="宋体"/>
          <w:b/>
          <w:color w:val="auto"/>
          <w:sz w:val="28"/>
          <w:szCs w:val="28"/>
          <w:highlight w:val="none"/>
        </w:rPr>
        <w:t>第一节</w:t>
      </w:r>
      <w:r>
        <w:rPr>
          <w:rFonts w:ascii="宋体" w:hAnsi="宋体" w:eastAsia="宋体"/>
          <w:b/>
          <w:color w:val="auto"/>
          <w:sz w:val="28"/>
          <w:szCs w:val="28"/>
          <w:highlight w:val="none"/>
        </w:rPr>
        <w:t xml:space="preserve">  </w:t>
      </w:r>
      <w:r>
        <w:rPr>
          <w:rFonts w:hint="eastAsia" w:ascii="宋体" w:hAnsi="宋体" w:eastAsia="宋体"/>
          <w:b/>
          <w:color w:val="auto"/>
          <w:sz w:val="28"/>
          <w:szCs w:val="28"/>
          <w:highlight w:val="none"/>
        </w:rPr>
        <w:t>合同条款</w:t>
      </w:r>
      <w:bookmarkEnd w:id="2"/>
      <w:bookmarkEnd w:id="3"/>
    </w:p>
    <w:p w14:paraId="5412A01F">
      <w:pPr>
        <w:spacing w:line="400" w:lineRule="exact"/>
        <w:outlineLvl w:val="2"/>
        <w:rPr>
          <w:rFonts w:ascii="宋体" w:hAnsi="宋体" w:eastAsia="宋体"/>
          <w:bCs/>
          <w:color w:val="auto"/>
          <w:sz w:val="24"/>
          <w:highlight w:val="none"/>
        </w:rPr>
      </w:pPr>
      <w:bookmarkStart w:id="11" w:name="_Toc149721958"/>
      <w:bookmarkStart w:id="12" w:name="_Toc493406952"/>
      <w:r>
        <w:rPr>
          <w:rFonts w:hint="eastAsia" w:ascii="宋体" w:hAnsi="宋体" w:eastAsia="宋体"/>
          <w:bCs/>
          <w:color w:val="auto"/>
          <w:sz w:val="24"/>
          <w:highlight w:val="none"/>
        </w:rPr>
        <w:t>一、词语定义及合同文件</w:t>
      </w:r>
      <w:bookmarkEnd w:id="11"/>
      <w:bookmarkEnd w:id="12"/>
    </w:p>
    <w:p w14:paraId="00FCE881">
      <w:pPr>
        <w:spacing w:line="400" w:lineRule="exact"/>
        <w:ind w:firstLine="480" w:firstLineChars="200"/>
        <w:outlineLvl w:val="3"/>
        <w:rPr>
          <w:rFonts w:ascii="宋体" w:hAnsi="宋体" w:eastAsia="宋体"/>
          <w:bCs/>
          <w:color w:val="auto"/>
          <w:sz w:val="24"/>
          <w:highlight w:val="none"/>
        </w:rPr>
      </w:pPr>
      <w:bookmarkStart w:id="13" w:name="_Toc493406953"/>
      <w:r>
        <w:rPr>
          <w:rFonts w:ascii="宋体" w:hAnsi="宋体" w:eastAsia="宋体"/>
          <w:bCs/>
          <w:color w:val="auto"/>
          <w:sz w:val="24"/>
          <w:highlight w:val="none"/>
        </w:rPr>
        <w:t xml:space="preserve">1. </w:t>
      </w:r>
      <w:r>
        <w:rPr>
          <w:rFonts w:hint="eastAsia" w:ascii="宋体" w:hAnsi="宋体" w:eastAsia="宋体"/>
          <w:bCs/>
          <w:color w:val="auto"/>
          <w:sz w:val="24"/>
          <w:highlight w:val="none"/>
        </w:rPr>
        <w:t>词语定义</w:t>
      </w:r>
      <w:bookmarkEnd w:id="13"/>
    </w:p>
    <w:p w14:paraId="0D997A9E">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下列词语除了合同条款另有规定外，应具有本条所赋予的定义：</w:t>
      </w:r>
    </w:p>
    <w:p w14:paraId="2D803685">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1.1</w:t>
      </w:r>
      <w:r>
        <w:rPr>
          <w:rFonts w:hint="eastAsia" w:ascii="宋体" w:hAnsi="宋体" w:eastAsia="宋体"/>
          <w:color w:val="auto"/>
          <w:sz w:val="24"/>
          <w:highlight w:val="none"/>
        </w:rPr>
        <w:t>合同条款：指根据法律、行政法规规定及</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的需要订立，用于本项目合同服务期内</w:t>
      </w:r>
      <w:r>
        <w:rPr>
          <w:rFonts w:hint="eastAsia" w:ascii="宋体" w:hAnsi="宋体" w:eastAsia="宋体"/>
          <w:color w:val="auto"/>
          <w:sz w:val="24"/>
          <w:highlight w:val="none"/>
          <w:lang w:val="en-US" w:eastAsia="zh-CN"/>
        </w:rPr>
        <w:t>日</w:t>
      </w:r>
      <w:r>
        <w:rPr>
          <w:rFonts w:hint="eastAsia" w:ascii="宋体" w:hAnsi="宋体" w:eastAsia="宋体"/>
          <w:color w:val="auto"/>
          <w:sz w:val="24"/>
          <w:highlight w:val="none"/>
        </w:rPr>
        <w:t>常</w:t>
      </w:r>
      <w:r>
        <w:rPr>
          <w:rFonts w:hint="eastAsia" w:ascii="宋体" w:hAnsi="宋体" w:eastAsia="宋体"/>
          <w:color w:val="auto"/>
          <w:sz w:val="24"/>
          <w:highlight w:val="none"/>
          <w:lang w:val="en-US" w:eastAsia="zh-CN"/>
        </w:rPr>
        <w:t>维护</w:t>
      </w:r>
      <w:r>
        <w:rPr>
          <w:rFonts w:hint="eastAsia" w:ascii="宋体" w:hAnsi="宋体" w:eastAsia="宋体"/>
          <w:color w:val="auto"/>
          <w:sz w:val="24"/>
          <w:highlight w:val="none"/>
        </w:rPr>
        <w:t>的一般或特殊条款。</w:t>
      </w:r>
      <w:bookmarkStart w:id="115" w:name="_GoBack"/>
      <w:bookmarkEnd w:id="115"/>
    </w:p>
    <w:p w14:paraId="73FDE01C">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1.2</w:t>
      </w:r>
      <w:r>
        <w:rPr>
          <w:rFonts w:hint="eastAsia" w:ascii="宋体" w:hAnsi="宋体" w:eastAsia="宋体"/>
          <w:color w:val="auto"/>
          <w:sz w:val="24"/>
          <w:highlight w:val="none"/>
        </w:rPr>
        <w:t>发包人：</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rPr>
        <w:t>。</w:t>
      </w:r>
    </w:p>
    <w:p w14:paraId="46C70B03">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1.3</w:t>
      </w:r>
      <w:r>
        <w:rPr>
          <w:rFonts w:hint="eastAsia" w:ascii="宋体" w:hAnsi="宋体" w:eastAsia="宋体"/>
          <w:color w:val="auto"/>
          <w:sz w:val="24"/>
          <w:highlight w:val="none"/>
        </w:rPr>
        <w:t>发包人代表：</w:t>
      </w:r>
      <w:r>
        <w:rPr>
          <w:rFonts w:hint="eastAsia" w:ascii="宋体" w:hAnsi="宋体" w:eastAsia="宋体"/>
          <w:color w:val="auto"/>
          <w:sz w:val="24"/>
          <w:highlight w:val="none"/>
          <w:u w:val="single"/>
        </w:rPr>
        <w:t>指本项目发包人指派或委托在该项目行使发包人权利的人员</w:t>
      </w:r>
      <w:r>
        <w:rPr>
          <w:rFonts w:hint="eastAsia" w:ascii="宋体" w:hAnsi="宋体" w:eastAsia="宋体"/>
          <w:color w:val="auto"/>
          <w:sz w:val="24"/>
          <w:highlight w:val="none"/>
        </w:rPr>
        <w:t>。</w:t>
      </w:r>
    </w:p>
    <w:p w14:paraId="73F8732A">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1.4</w:t>
      </w:r>
      <w:r>
        <w:rPr>
          <w:rFonts w:hint="eastAsia" w:ascii="宋体" w:hAnsi="宋体" w:eastAsia="宋体"/>
          <w:color w:val="auto"/>
          <w:sz w:val="24"/>
          <w:highlight w:val="none"/>
        </w:rPr>
        <w:t>承包人：</w:t>
      </w:r>
      <w:r>
        <w:rPr>
          <w:rFonts w:hint="eastAsia" w:ascii="宋体" w:hAnsi="宋体" w:eastAsia="宋体"/>
          <w:color w:val="auto"/>
          <w:sz w:val="24"/>
          <w:highlight w:val="none"/>
          <w:u w:val="single"/>
        </w:rPr>
        <w:t>指在协议书中规定，被发包人接受的</w:t>
      </w:r>
      <w:r>
        <w:rPr>
          <w:rFonts w:hint="eastAsia" w:ascii="宋体" w:hAnsi="宋体"/>
          <w:color w:val="auto"/>
          <w:sz w:val="24"/>
          <w:highlight w:val="none"/>
          <w:u w:val="single"/>
          <w:lang w:val="en-US" w:eastAsia="zh-CN"/>
        </w:rPr>
        <w:t>承担本项目</w:t>
      </w:r>
      <w:r>
        <w:rPr>
          <w:rFonts w:hint="eastAsia" w:ascii="宋体" w:hAnsi="宋体" w:eastAsia="宋体"/>
          <w:color w:val="auto"/>
          <w:sz w:val="24"/>
          <w:highlight w:val="none"/>
          <w:u w:val="single"/>
          <w:lang w:eastAsia="zh-CN"/>
        </w:rPr>
        <w:t>运行维护</w:t>
      </w:r>
      <w:r>
        <w:rPr>
          <w:rFonts w:hint="eastAsia" w:ascii="宋体" w:hAnsi="宋体" w:eastAsia="宋体"/>
          <w:color w:val="auto"/>
          <w:sz w:val="24"/>
          <w:highlight w:val="none"/>
          <w:u w:val="single"/>
          <w:lang w:val="en-US" w:eastAsia="zh-CN"/>
        </w:rPr>
        <w:t>工作</w:t>
      </w:r>
      <w:r>
        <w:rPr>
          <w:rFonts w:hint="eastAsia" w:ascii="宋体" w:hAnsi="宋体" w:eastAsia="宋体"/>
          <w:color w:val="auto"/>
          <w:sz w:val="24"/>
          <w:highlight w:val="none"/>
          <w:u w:val="single"/>
        </w:rPr>
        <w:t>的当事人以及取得该当事人资格的合法继承人</w:t>
      </w:r>
      <w:r>
        <w:rPr>
          <w:rFonts w:hint="eastAsia" w:ascii="宋体" w:hAnsi="宋体" w:eastAsia="宋体"/>
          <w:color w:val="auto"/>
          <w:sz w:val="24"/>
          <w:highlight w:val="none"/>
        </w:rPr>
        <w:t>。</w:t>
      </w:r>
    </w:p>
    <w:p w14:paraId="64877F77">
      <w:pPr>
        <w:spacing w:line="400" w:lineRule="exact"/>
        <w:ind w:firstLine="480" w:firstLineChars="200"/>
        <w:rPr>
          <w:rFonts w:hint="eastAsia" w:ascii="宋体" w:hAnsi="宋体" w:eastAsia="宋体"/>
          <w:color w:val="auto"/>
          <w:sz w:val="24"/>
          <w:highlight w:val="none"/>
          <w:u w:val="single"/>
        </w:rPr>
      </w:pPr>
      <w:r>
        <w:rPr>
          <w:rFonts w:ascii="宋体" w:hAnsi="宋体" w:eastAsia="宋体"/>
          <w:color w:val="auto"/>
          <w:sz w:val="24"/>
          <w:highlight w:val="none"/>
        </w:rPr>
        <w:t>1.5</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w:t>
      </w:r>
      <w:r>
        <w:rPr>
          <w:rFonts w:hint="eastAsia" w:ascii="宋体" w:hAnsi="宋体" w:eastAsia="宋体"/>
          <w:color w:val="auto"/>
          <w:sz w:val="24"/>
          <w:highlight w:val="none"/>
          <w:u w:val="single"/>
        </w:rPr>
        <w:t>指承包人在合同文件中指定的负责</w:t>
      </w:r>
      <w:r>
        <w:rPr>
          <w:rFonts w:hint="eastAsia" w:ascii="宋体" w:hAnsi="宋体" w:eastAsia="宋体"/>
          <w:color w:val="auto"/>
          <w:sz w:val="24"/>
          <w:highlight w:val="none"/>
          <w:u w:val="single"/>
          <w:lang w:eastAsia="zh-CN"/>
        </w:rPr>
        <w:t>运行维护</w:t>
      </w:r>
      <w:r>
        <w:rPr>
          <w:rFonts w:hint="eastAsia" w:ascii="宋体" w:hAnsi="宋体" w:eastAsia="宋体"/>
          <w:color w:val="auto"/>
          <w:sz w:val="24"/>
          <w:highlight w:val="none"/>
          <w:u w:val="single"/>
        </w:rPr>
        <w:t>管理和合同履行的代表。</w:t>
      </w:r>
    </w:p>
    <w:p w14:paraId="2B2E56C6">
      <w:pPr>
        <w:spacing w:line="400" w:lineRule="exact"/>
        <w:ind w:firstLine="480" w:firstLineChars="200"/>
        <w:rPr>
          <w:rFonts w:hint="eastAsia" w:ascii="宋体" w:hAnsi="宋体" w:eastAsia="宋体"/>
          <w:color w:val="auto"/>
          <w:sz w:val="24"/>
          <w:highlight w:val="none"/>
          <w:u w:val="none"/>
          <w:lang w:val="en-US" w:eastAsia="zh-CN"/>
        </w:rPr>
      </w:pPr>
      <w:r>
        <w:rPr>
          <w:rFonts w:hint="eastAsia" w:ascii="宋体" w:hAnsi="宋体" w:eastAsia="宋体"/>
          <w:color w:val="auto"/>
          <w:sz w:val="24"/>
          <w:highlight w:val="none"/>
          <w:u w:val="none"/>
          <w:lang w:val="en-US" w:eastAsia="zh-CN"/>
        </w:rPr>
        <w:t>1.6</w:t>
      </w:r>
      <w:r>
        <w:rPr>
          <w:rFonts w:hint="eastAsia" w:ascii="宋体" w:hAnsi="宋体"/>
          <w:color w:val="auto"/>
          <w:sz w:val="24"/>
          <w:highlight w:val="none"/>
          <w:u w:val="none"/>
          <w:lang w:val="en-US" w:eastAsia="zh-CN"/>
        </w:rPr>
        <w:t>项目咨询单位</w:t>
      </w:r>
      <w:r>
        <w:rPr>
          <w:rFonts w:hint="eastAsia" w:ascii="宋体" w:hAnsi="宋体" w:eastAsia="宋体"/>
          <w:color w:val="auto"/>
          <w:sz w:val="24"/>
          <w:highlight w:val="none"/>
          <w:u w:val="none"/>
          <w:lang w:val="en-US" w:eastAsia="zh-CN"/>
        </w:rPr>
        <w:t>：</w:t>
      </w:r>
      <w:r>
        <w:rPr>
          <w:rFonts w:hint="eastAsia" w:ascii="宋体" w:hAnsi="宋体" w:eastAsia="宋体"/>
          <w:color w:val="auto"/>
          <w:sz w:val="24"/>
          <w:highlight w:val="none"/>
          <w:u w:val="single"/>
          <w:lang w:val="en-US" w:eastAsia="zh-CN"/>
        </w:rPr>
        <w:t>指</w:t>
      </w:r>
      <w:r>
        <w:rPr>
          <w:rFonts w:hint="eastAsia" w:ascii="宋体" w:hAnsi="宋体"/>
          <w:color w:val="auto"/>
          <w:sz w:val="24"/>
          <w:highlight w:val="none"/>
          <w:u w:val="single"/>
          <w:lang w:val="en-US" w:eastAsia="zh-CN"/>
        </w:rPr>
        <w:t>受</w:t>
      </w:r>
      <w:r>
        <w:rPr>
          <w:rFonts w:hint="eastAsia" w:ascii="宋体" w:hAnsi="宋体" w:eastAsia="宋体"/>
          <w:color w:val="auto"/>
          <w:sz w:val="24"/>
          <w:highlight w:val="none"/>
          <w:u w:val="single"/>
          <w:lang w:val="en-US" w:eastAsia="zh-CN"/>
        </w:rPr>
        <w:t>发包人委托，根据委托协议对承包人的运行管理、</w:t>
      </w:r>
      <w:r>
        <w:rPr>
          <w:rFonts w:hint="eastAsia" w:ascii="宋体" w:hAnsi="宋体"/>
          <w:color w:val="auto"/>
          <w:sz w:val="24"/>
          <w:highlight w:val="none"/>
          <w:u w:val="single"/>
          <w:lang w:val="en-US" w:eastAsia="zh-CN"/>
        </w:rPr>
        <w:t>运行维护</w:t>
      </w:r>
      <w:r>
        <w:rPr>
          <w:rFonts w:hint="eastAsia" w:ascii="宋体" w:hAnsi="宋体" w:eastAsia="宋体"/>
          <w:color w:val="auto"/>
          <w:sz w:val="24"/>
          <w:highlight w:val="none"/>
          <w:u w:val="single"/>
          <w:lang w:val="en-US" w:eastAsia="zh-CN"/>
        </w:rPr>
        <w:t>情况进行监督、考核，协助发包人进行设施维护</w:t>
      </w:r>
      <w:r>
        <w:rPr>
          <w:rFonts w:hint="eastAsia" w:ascii="宋体" w:hAnsi="宋体"/>
          <w:color w:val="auto"/>
          <w:sz w:val="24"/>
          <w:highlight w:val="none"/>
          <w:u w:val="single"/>
          <w:lang w:val="en-US" w:eastAsia="zh-CN"/>
        </w:rPr>
        <w:t>项目</w:t>
      </w:r>
      <w:r>
        <w:rPr>
          <w:rFonts w:hint="eastAsia" w:ascii="宋体" w:hAnsi="宋体" w:eastAsia="宋体"/>
          <w:color w:val="auto"/>
          <w:sz w:val="24"/>
          <w:highlight w:val="none"/>
          <w:u w:val="single"/>
          <w:lang w:val="en-US" w:eastAsia="zh-CN"/>
        </w:rPr>
        <w:t>管理</w:t>
      </w:r>
      <w:r>
        <w:rPr>
          <w:rFonts w:hint="eastAsia" w:ascii="宋体" w:hAnsi="宋体"/>
          <w:color w:val="auto"/>
          <w:sz w:val="24"/>
          <w:highlight w:val="none"/>
          <w:u w:val="single"/>
          <w:lang w:val="en-US" w:eastAsia="zh-CN"/>
        </w:rPr>
        <w:t>等</w:t>
      </w:r>
      <w:r>
        <w:rPr>
          <w:rFonts w:hint="eastAsia" w:ascii="宋体" w:hAnsi="宋体" w:eastAsia="宋体"/>
          <w:color w:val="auto"/>
          <w:sz w:val="24"/>
          <w:highlight w:val="none"/>
          <w:u w:val="single"/>
          <w:lang w:val="en-US" w:eastAsia="zh-CN"/>
        </w:rPr>
        <w:t>工作</w:t>
      </w:r>
      <w:r>
        <w:rPr>
          <w:rFonts w:hint="eastAsia" w:ascii="宋体" w:hAnsi="宋体"/>
          <w:color w:val="auto"/>
          <w:sz w:val="24"/>
          <w:highlight w:val="none"/>
          <w:u w:val="single"/>
          <w:lang w:val="en-US" w:eastAsia="zh-CN"/>
        </w:rPr>
        <w:t>的咨询服务单位</w:t>
      </w:r>
      <w:r>
        <w:rPr>
          <w:rFonts w:hint="eastAsia" w:ascii="宋体" w:hAnsi="宋体" w:eastAsia="宋体"/>
          <w:color w:val="auto"/>
          <w:sz w:val="24"/>
          <w:highlight w:val="none"/>
          <w:u w:val="single"/>
          <w:lang w:val="en-US" w:eastAsia="zh-CN"/>
        </w:rPr>
        <w:t>。</w:t>
      </w:r>
      <w:r>
        <w:rPr>
          <w:rFonts w:hint="eastAsia" w:ascii="宋体" w:hAnsi="宋体" w:eastAsia="宋体"/>
          <w:color w:val="auto"/>
          <w:sz w:val="24"/>
          <w:highlight w:val="none"/>
          <w:u w:val="none"/>
          <w:lang w:val="en-US" w:eastAsia="zh-CN"/>
        </w:rPr>
        <w:t xml:space="preserve"> </w:t>
      </w:r>
    </w:p>
    <w:p w14:paraId="261770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olor w:val="auto"/>
          <w:sz w:val="24"/>
          <w:szCs w:val="24"/>
          <w:highlight w:val="none"/>
          <w:u w:val="single"/>
          <w:lang w:val="en-US" w:eastAsia="zh-CN"/>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w:t>
      </w:r>
      <w:r>
        <w:rPr>
          <w:rFonts w:hint="eastAsia" w:ascii="宋体" w:hAnsi="宋体"/>
          <w:color w:val="auto"/>
          <w:sz w:val="24"/>
          <w:szCs w:val="24"/>
          <w:highlight w:val="none"/>
          <w:u w:val="single"/>
        </w:rPr>
        <w:t>本项目主要是对南沙区外江水利设施</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 xml:space="preserve">水闸、泵站、堤防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及调蓄湖等水利工程设施管理及运行维护</w:t>
      </w:r>
      <w:r>
        <w:rPr>
          <w:rFonts w:hint="eastAsia" w:ascii="宋体" w:hAnsi="宋体" w:eastAsia="宋体"/>
          <w:color w:val="auto"/>
          <w:sz w:val="24"/>
          <w:szCs w:val="24"/>
          <w:highlight w:val="none"/>
          <w:u w:val="single"/>
          <w:lang w:val="en-US" w:eastAsia="zh-CN"/>
        </w:rPr>
        <w:t>，主要工作内容包括但不限于：</w:t>
      </w:r>
    </w:p>
    <w:p w14:paraId="35F5F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①</w:t>
      </w:r>
      <w:r>
        <w:rPr>
          <w:rFonts w:hint="eastAsia" w:ascii="宋体" w:hAnsi="宋体" w:eastAsia="宋体"/>
          <w:color w:val="auto"/>
          <w:sz w:val="24"/>
          <w:szCs w:val="24"/>
          <w:highlight w:val="none"/>
          <w:u w:val="single"/>
          <w:lang w:val="en-US" w:eastAsia="zh-CN"/>
        </w:rPr>
        <w:t>水闸运行维护工作内容：工程安全管理、管理范围内保洁绿化养护、环境卫生作业、建筑物维护保养、闸门维护保养、启闭机维护保养、辅助设备维护保养、机电设备维护保养、自动控制设施维护保养、附属设施维护保养、管理用房的日常维修养护、水闸运行调度、水闸观测、水闸检查、水闸保护、鼠蚁害防治、安全保卫、标识标牌设置与维护、自动化控制系统维护、安全监控系统维护、视频监控系统维护等日常工作，以及特种设备定期检测、防雷设施定期检测、电力设备预防性试验、信息化管理提升改进、水闸标准化管理创建等专项工作。</w:t>
      </w:r>
    </w:p>
    <w:p w14:paraId="7A16EF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②</w:t>
      </w:r>
      <w:r>
        <w:rPr>
          <w:rFonts w:hint="eastAsia" w:ascii="宋体" w:hAnsi="宋体" w:eastAsia="宋体"/>
          <w:color w:val="auto"/>
          <w:sz w:val="24"/>
          <w:szCs w:val="24"/>
          <w:highlight w:val="none"/>
          <w:u w:val="single"/>
          <w:lang w:val="en-US" w:eastAsia="zh-CN"/>
        </w:rPr>
        <w:t>泵站运行维护工作内容：工程安全管理、管理范围内保洁绿化养护、环境卫生作业、建筑物维护保养、水泵机组维护保养、辅助设备维护保养、机电设备维护保养、自动控制设施维护保养、附属设施维护保养、管理用房的日常维修养护、泵站运行调度、泵站观测、泵站检查、泵站保护、鼠蚁害防治、安全保卫、标识标牌设置与维护、自动化控制系统维护、安全监测系统维护、视频监控系统维护等日常工作，以及特种设备定期检测、防雷设施定期检测、电力设备预防性试验、泵站标准化管理创建等专项工作。</w:t>
      </w:r>
    </w:p>
    <w:p w14:paraId="29F0D7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③</w:t>
      </w:r>
      <w:r>
        <w:rPr>
          <w:rFonts w:hint="eastAsia" w:ascii="宋体" w:hAnsi="宋体" w:eastAsia="宋体"/>
          <w:color w:val="auto"/>
          <w:sz w:val="24"/>
          <w:szCs w:val="24"/>
          <w:highlight w:val="none"/>
          <w:u w:val="single"/>
          <w:lang w:val="en-US" w:eastAsia="zh-CN"/>
        </w:rPr>
        <w:t>堤防运行维护工作内容：工程安全管理、管理范围内保洁绿化养护、环境卫生作业、堤防观测、堤防检查、堤防保护、堤防及其附属设施的维修养护、鼠蚁害防治、安全保卫、标识标牌设置与维护、安全监控系统维护、视频监控系统维护等日常工作，堤防标准化管理创建等专项工作。</w:t>
      </w:r>
    </w:p>
    <w:p w14:paraId="0A757C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④调蓄湖、竹湖运行维护工作内容：工程安全管理、绿化养护、环境保洁、园建设施维修养护、园区安全保卫管理等工作。</w:t>
      </w:r>
    </w:p>
    <w:p w14:paraId="47C78B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⑤对在建待移交项目和企业岸线的建设、管养、运维情况进行巡查；配合发包人</w:t>
      </w:r>
      <w:r>
        <w:rPr>
          <w:rFonts w:hint="eastAsia" w:ascii="宋体" w:hAnsi="宋体" w:eastAsia="宋体"/>
          <w:color w:val="auto"/>
          <w:sz w:val="24"/>
          <w:szCs w:val="24"/>
          <w:highlight w:val="none"/>
          <w:u w:val="single"/>
          <w:lang w:val="en-US" w:eastAsia="zh-CN"/>
        </w:rPr>
        <w:t>组织各项移交</w:t>
      </w:r>
      <w:r>
        <w:rPr>
          <w:rFonts w:hint="eastAsia" w:ascii="宋体" w:hAnsi="宋体"/>
          <w:color w:val="auto"/>
          <w:sz w:val="24"/>
          <w:szCs w:val="24"/>
          <w:highlight w:val="none"/>
          <w:u w:val="single"/>
          <w:lang w:val="en-US" w:eastAsia="zh-CN"/>
        </w:rPr>
        <w:t>工作</w:t>
      </w:r>
      <w:r>
        <w:rPr>
          <w:rFonts w:hint="eastAsia" w:ascii="宋体" w:hAnsi="宋体" w:eastAsia="宋体"/>
          <w:color w:val="auto"/>
          <w:sz w:val="24"/>
          <w:szCs w:val="24"/>
          <w:highlight w:val="none"/>
          <w:u w:val="single"/>
          <w:lang w:val="en-US" w:eastAsia="zh-CN"/>
        </w:rPr>
        <w:t>、参加验收等事宜。</w:t>
      </w:r>
    </w:p>
    <w:p w14:paraId="12EFF6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Times New Roman"/>
          <w:color w:val="auto"/>
          <w:sz w:val="24"/>
          <w:szCs w:val="24"/>
          <w:highlight w:val="none"/>
          <w:u w:val="single"/>
          <w:lang w:val="en-US" w:eastAsia="zh-CN"/>
        </w:rPr>
      </w:pPr>
      <w:r>
        <w:rPr>
          <w:rFonts w:hint="eastAsia" w:ascii="宋体" w:hAnsi="宋体" w:cs="Times New Roman"/>
          <w:color w:val="auto"/>
          <w:sz w:val="24"/>
          <w:szCs w:val="24"/>
          <w:highlight w:val="none"/>
          <w:u w:val="single"/>
          <w:lang w:val="en-US" w:eastAsia="zh-CN"/>
        </w:rPr>
        <w:t>⑥“数智化”服务</w:t>
      </w:r>
      <w:r>
        <w:rPr>
          <w:rFonts w:hint="eastAsia" w:ascii="宋体" w:hAnsi="宋体" w:eastAsia="宋体" w:cs="Times New Roman"/>
          <w:color w:val="auto"/>
          <w:sz w:val="24"/>
          <w:szCs w:val="24"/>
          <w:highlight w:val="none"/>
          <w:u w:val="single"/>
          <w:lang w:val="en-US" w:eastAsia="zh-CN"/>
        </w:rPr>
        <w:t>：</w:t>
      </w:r>
      <w:r>
        <w:rPr>
          <w:rFonts w:hint="eastAsia" w:ascii="宋体" w:hAnsi="宋体" w:cs="Times New Roman"/>
          <w:color w:val="auto"/>
          <w:sz w:val="24"/>
          <w:szCs w:val="24"/>
          <w:highlight w:val="none"/>
          <w:u w:val="single"/>
          <w:lang w:val="en-US" w:eastAsia="zh-CN"/>
        </w:rPr>
        <w:t>通过运行维护管理平台，提供水利设施运行维护数字化管理服务，</w:t>
      </w:r>
      <w:r>
        <w:rPr>
          <w:rFonts w:hint="eastAsia" w:ascii="宋体" w:hAnsi="宋体" w:eastAsia="宋体" w:cs="Times New Roman"/>
          <w:color w:val="auto"/>
          <w:sz w:val="24"/>
          <w:szCs w:val="24"/>
          <w:highlight w:val="none"/>
          <w:u w:val="single"/>
          <w:lang w:val="en-US" w:eastAsia="zh-CN"/>
        </w:rPr>
        <w:t>实时水位情况、水闸开关闸情况、泵站运行情况、远程监控等相关数据</w:t>
      </w:r>
      <w:r>
        <w:rPr>
          <w:rFonts w:hint="eastAsia" w:ascii="宋体" w:hAnsi="宋体" w:cs="Times New Roman"/>
          <w:color w:val="auto"/>
          <w:sz w:val="24"/>
          <w:szCs w:val="24"/>
          <w:highlight w:val="none"/>
          <w:u w:val="single"/>
          <w:lang w:val="en-US" w:eastAsia="zh-CN"/>
        </w:rPr>
        <w:t>。通过整合静态基础数据，结合雨水情动态的数据，综合分析，实现水利设施管理从“被动应对”到“主动管理”的转变，提升工程安全运行保障能力、水资源利用效率和防汛抗旱指挥决策水平，为区域水安全与经济发展提供强有力的数字化支撑。</w:t>
      </w:r>
    </w:p>
    <w:p w14:paraId="7CB176F3">
      <w:pPr>
        <w:pStyle w:val="6"/>
        <w:spacing w:line="400" w:lineRule="exact"/>
        <w:ind w:firstLine="480" w:firstLineChars="200"/>
        <w:rPr>
          <w:rFonts w:hint="eastAsia" w:ascii="宋体" w:hAnsi="宋体" w:eastAsia="宋体"/>
          <w:color w:val="auto"/>
          <w:sz w:val="24"/>
          <w:highlight w:val="none"/>
          <w:u w:val="single"/>
        </w:rPr>
      </w:pPr>
      <w:r>
        <w:rPr>
          <w:rFonts w:hint="eastAsia" w:ascii="宋体" w:hAnsi="宋体"/>
          <w:color w:val="auto"/>
          <w:sz w:val="24"/>
          <w:szCs w:val="24"/>
          <w:highlight w:val="none"/>
          <w:u w:val="single"/>
          <w:lang w:val="en-US" w:eastAsia="zh-CN"/>
        </w:rPr>
        <w:t>⑦配合创建南沙区水利设施运行维护标准，完成合同约定的其他工作内容。</w:t>
      </w:r>
    </w:p>
    <w:p w14:paraId="28015537">
      <w:pPr>
        <w:spacing w:line="400" w:lineRule="exact"/>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1.</w:t>
      </w:r>
      <w:r>
        <w:rPr>
          <w:rFonts w:hint="eastAsia" w:ascii="宋体" w:hAnsi="宋体" w:eastAsia="宋体" w:cs="Times New Roman"/>
          <w:color w:val="auto"/>
          <w:sz w:val="24"/>
          <w:highlight w:val="none"/>
          <w:lang w:val="en-US" w:eastAsia="zh-CN"/>
        </w:rPr>
        <w:t>7.1</w:t>
      </w:r>
      <w:r>
        <w:rPr>
          <w:rFonts w:hint="eastAsia" w:ascii="宋体" w:hAnsi="宋体" w:eastAsia="宋体" w:cs="Times New Roman"/>
          <w:color w:val="auto"/>
          <w:sz w:val="24"/>
          <w:highlight w:val="none"/>
        </w:rPr>
        <w:t>“堤防</w:t>
      </w:r>
      <w:r>
        <w:rPr>
          <w:rFonts w:hint="eastAsia" w:ascii="宋体" w:hAnsi="宋体" w:eastAsia="宋体" w:cs="Times New Roman"/>
          <w:color w:val="auto"/>
          <w:sz w:val="24"/>
          <w:highlight w:val="none"/>
          <w:lang w:val="en-US" w:eastAsia="zh-CN"/>
        </w:rPr>
        <w:t>维护</w:t>
      </w:r>
      <w:r>
        <w:rPr>
          <w:rFonts w:hint="eastAsia" w:ascii="宋体" w:hAnsi="宋体" w:eastAsia="宋体" w:cs="Times New Roman"/>
          <w:color w:val="auto"/>
          <w:sz w:val="24"/>
          <w:highlight w:val="none"/>
        </w:rPr>
        <w:t>范围”是指</w:t>
      </w:r>
      <w:r>
        <w:rPr>
          <w:rFonts w:hint="eastAsia" w:ascii="宋体" w:hAnsi="宋体" w:eastAsia="宋体" w:cs="Times New Roman"/>
          <w:color w:val="auto"/>
          <w:sz w:val="24"/>
          <w:highlight w:val="none"/>
          <w:lang w:val="en-US" w:eastAsia="zh-CN"/>
        </w:rPr>
        <w:t>堤防</w:t>
      </w:r>
      <w:r>
        <w:rPr>
          <w:rFonts w:hint="eastAsia" w:ascii="宋体" w:hAnsi="宋体" w:eastAsia="宋体" w:cs="Times New Roman"/>
          <w:color w:val="auto"/>
          <w:sz w:val="24"/>
          <w:highlight w:val="none"/>
        </w:rPr>
        <w:t>各组成部分</w:t>
      </w:r>
      <w:r>
        <w:rPr>
          <w:rFonts w:hint="eastAsia" w:ascii="宋体" w:hAnsi="宋体" w:eastAsia="宋体" w:cs="Times New Roman"/>
          <w:color w:val="auto"/>
          <w:sz w:val="24"/>
          <w:highlight w:val="none"/>
          <w:lang w:val="en-US" w:eastAsia="zh-CN"/>
        </w:rPr>
        <w:t>覆盖范围</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迎水侧至抛石护脚边缘、背水坡至背水坡脚\排水沟\挡土墙</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“水闸</w:t>
      </w:r>
      <w:r>
        <w:rPr>
          <w:rFonts w:hint="eastAsia" w:ascii="宋体" w:hAnsi="宋体" w:eastAsia="宋体" w:cs="Times New Roman"/>
          <w:color w:val="auto"/>
          <w:sz w:val="24"/>
          <w:highlight w:val="none"/>
          <w:lang w:val="en-US" w:eastAsia="zh-CN"/>
        </w:rPr>
        <w:t>维护</w:t>
      </w:r>
      <w:r>
        <w:rPr>
          <w:rFonts w:hint="eastAsia" w:ascii="宋体" w:hAnsi="宋体" w:eastAsia="宋体" w:cs="Times New Roman"/>
          <w:color w:val="auto"/>
          <w:sz w:val="24"/>
          <w:highlight w:val="none"/>
        </w:rPr>
        <w:t>范围”是指水闸各组成部分</w:t>
      </w:r>
      <w:r>
        <w:rPr>
          <w:rFonts w:hint="eastAsia" w:ascii="宋体" w:hAnsi="宋体" w:eastAsia="宋体" w:cs="Times New Roman"/>
          <w:color w:val="auto"/>
          <w:sz w:val="24"/>
          <w:highlight w:val="none"/>
          <w:lang w:val="en-US" w:eastAsia="zh-CN"/>
        </w:rPr>
        <w:t>覆盖范围</w:t>
      </w:r>
      <w:r>
        <w:rPr>
          <w:rFonts w:hint="eastAsia" w:ascii="宋体" w:hAnsi="宋体" w:eastAsia="宋体" w:cs="Times New Roman"/>
          <w:color w:val="auto"/>
          <w:sz w:val="24"/>
          <w:highlight w:val="none"/>
        </w:rPr>
        <w:t>（包括上游引水渠、闸室、下游消能防冲工程和两岸联接建筑物等）的覆盖范围以及水闸上、下游、两侧的宽度</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泵站</w:t>
      </w:r>
      <w:r>
        <w:rPr>
          <w:rFonts w:hint="eastAsia" w:ascii="宋体" w:hAnsi="宋体" w:eastAsia="宋体" w:cs="Times New Roman"/>
          <w:color w:val="auto"/>
          <w:sz w:val="24"/>
          <w:highlight w:val="none"/>
          <w:lang w:val="en-US" w:eastAsia="zh-CN"/>
        </w:rPr>
        <w:t>维护</w:t>
      </w:r>
      <w:r>
        <w:rPr>
          <w:rFonts w:hint="eastAsia" w:ascii="宋体" w:hAnsi="宋体" w:eastAsia="宋体" w:cs="Times New Roman"/>
          <w:color w:val="auto"/>
          <w:sz w:val="24"/>
          <w:highlight w:val="none"/>
        </w:rPr>
        <w:t>范围”是指泵站各组成部分（包括进水前池、出水箱涵室、出水池和出水消能防冲工程建筑物等）的覆盖范围</w:t>
      </w:r>
      <w:r>
        <w:rPr>
          <w:rFonts w:hint="eastAsia" w:ascii="宋体" w:hAnsi="宋体" w:eastAsia="宋体" w:cs="Times New Roman"/>
          <w:color w:val="auto"/>
          <w:sz w:val="24"/>
          <w:highlight w:val="none"/>
          <w:lang w:eastAsia="zh-CN"/>
        </w:rPr>
        <w:t>。</w:t>
      </w:r>
    </w:p>
    <w:p w14:paraId="148AEBBA">
      <w:pPr>
        <w:spacing w:line="40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1.</w:t>
      </w:r>
      <w:r>
        <w:rPr>
          <w:rFonts w:hint="eastAsia" w:ascii="宋体" w:hAnsi="宋体" w:eastAsia="宋体" w:cs="Times New Roman"/>
          <w:color w:val="auto"/>
          <w:sz w:val="24"/>
          <w:highlight w:val="none"/>
          <w:lang w:val="en-US" w:eastAsia="zh-CN"/>
        </w:rPr>
        <w:t>7.2</w:t>
      </w:r>
      <w:r>
        <w:rPr>
          <w:rFonts w:hint="eastAsia" w:ascii="宋体" w:hAnsi="宋体" w:eastAsia="宋体" w:cs="Times New Roman"/>
          <w:color w:val="auto"/>
          <w:sz w:val="24"/>
          <w:highlight w:val="none"/>
        </w:rPr>
        <w:t>“堤防</w:t>
      </w:r>
      <w:r>
        <w:rPr>
          <w:rFonts w:hint="eastAsia" w:ascii="宋体" w:hAnsi="宋体" w:eastAsia="宋体" w:cs="Times New Roman"/>
          <w:color w:val="auto"/>
          <w:sz w:val="24"/>
          <w:highlight w:val="none"/>
          <w:lang w:val="en-US" w:eastAsia="zh-CN"/>
        </w:rPr>
        <w:t>管理</w:t>
      </w:r>
      <w:r>
        <w:rPr>
          <w:rFonts w:hint="eastAsia" w:ascii="宋体" w:hAnsi="宋体" w:eastAsia="宋体" w:cs="Times New Roman"/>
          <w:color w:val="auto"/>
          <w:sz w:val="24"/>
          <w:highlight w:val="none"/>
        </w:rPr>
        <w:t>范围”是指堤身、二级堤防、背水坡脚</w:t>
      </w:r>
      <w:r>
        <w:rPr>
          <w:rFonts w:hint="eastAsia" w:ascii="宋体" w:hAnsi="宋体" w:eastAsia="宋体" w:cs="Times New Roman"/>
          <w:color w:val="auto"/>
          <w:sz w:val="24"/>
          <w:highlight w:val="none"/>
          <w:lang w:val="en-US" w:eastAsia="zh-CN"/>
        </w:rPr>
        <w:t>及</w:t>
      </w:r>
      <w:r>
        <w:rPr>
          <w:rFonts w:hint="eastAsia" w:ascii="宋体" w:hAnsi="宋体" w:eastAsia="宋体" w:cs="Times New Roman"/>
          <w:color w:val="auto"/>
          <w:sz w:val="24"/>
          <w:highlight w:val="none"/>
        </w:rPr>
        <w:t>以外三十米范围</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“水闸</w:t>
      </w:r>
      <w:r>
        <w:rPr>
          <w:rFonts w:hint="eastAsia" w:ascii="宋体" w:hAnsi="宋体" w:eastAsia="宋体" w:cs="Times New Roman"/>
          <w:color w:val="auto"/>
          <w:sz w:val="24"/>
          <w:highlight w:val="none"/>
          <w:lang w:val="en-US" w:eastAsia="zh-CN"/>
        </w:rPr>
        <w:t>管理</w:t>
      </w:r>
      <w:r>
        <w:rPr>
          <w:rFonts w:hint="eastAsia" w:ascii="宋体" w:hAnsi="宋体" w:eastAsia="宋体" w:cs="Times New Roman"/>
          <w:color w:val="auto"/>
          <w:sz w:val="24"/>
          <w:highlight w:val="none"/>
        </w:rPr>
        <w:t>范围”是指水闸各组成部分</w:t>
      </w:r>
      <w:r>
        <w:rPr>
          <w:rFonts w:hint="eastAsia" w:ascii="宋体" w:hAnsi="宋体" w:eastAsia="宋体" w:cs="Times New Roman"/>
          <w:color w:val="auto"/>
          <w:sz w:val="24"/>
          <w:highlight w:val="none"/>
          <w:lang w:val="en-US" w:eastAsia="zh-CN"/>
        </w:rPr>
        <w:t>覆盖范围</w:t>
      </w:r>
      <w:r>
        <w:rPr>
          <w:rFonts w:hint="eastAsia" w:ascii="宋体" w:hAnsi="宋体" w:eastAsia="宋体" w:cs="Times New Roman"/>
          <w:color w:val="auto"/>
          <w:sz w:val="24"/>
          <w:highlight w:val="none"/>
        </w:rPr>
        <w:t>（包括上游引水渠、闸室、下游消能防冲工程和两岸联接建筑物等）的覆盖范围以及水闸上、下游、两侧的宽度，水闸上、下游五十至三百米，两侧宽度三十至五十米</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泵站</w:t>
      </w:r>
      <w:r>
        <w:rPr>
          <w:rFonts w:hint="eastAsia" w:ascii="宋体" w:hAnsi="宋体" w:eastAsia="宋体" w:cs="Times New Roman"/>
          <w:color w:val="auto"/>
          <w:sz w:val="24"/>
          <w:highlight w:val="none"/>
          <w:lang w:val="en-US" w:eastAsia="zh-CN"/>
        </w:rPr>
        <w:t>管理</w:t>
      </w:r>
      <w:r>
        <w:rPr>
          <w:rFonts w:hint="eastAsia" w:ascii="宋体" w:hAnsi="宋体" w:eastAsia="宋体" w:cs="Times New Roman"/>
          <w:color w:val="auto"/>
          <w:sz w:val="24"/>
          <w:highlight w:val="none"/>
        </w:rPr>
        <w:t>范围”是指泵站各组成部分（包括进水前池、出水箱涵室、出水池和出水消能防冲工程建筑物等）的覆盖范围以及泵站上、下游及两侧范围</w:t>
      </w:r>
      <w:r>
        <w:rPr>
          <w:rFonts w:hint="eastAsia" w:ascii="宋体" w:hAnsi="宋体" w:eastAsia="宋体" w:cs="Times New Roman"/>
          <w:color w:val="auto"/>
          <w:sz w:val="24"/>
          <w:highlight w:val="none"/>
          <w:lang w:eastAsia="zh-CN"/>
        </w:rPr>
        <w:t>。</w:t>
      </w:r>
    </w:p>
    <w:p w14:paraId="6D582620">
      <w:pPr>
        <w:spacing w:line="400" w:lineRule="exact"/>
        <w:ind w:firstLine="480" w:firstLineChars="200"/>
        <w:rPr>
          <w:rFonts w:ascii="宋体" w:hAnsi="宋体" w:eastAsia="宋体"/>
          <w:color w:val="auto"/>
          <w:sz w:val="24"/>
          <w:highlight w:val="none"/>
          <w:u w:val="singl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合同价格：</w:t>
      </w:r>
      <w:r>
        <w:rPr>
          <w:rFonts w:hint="eastAsia" w:ascii="宋体" w:hAnsi="宋体" w:eastAsia="宋体"/>
          <w:color w:val="auto"/>
          <w:sz w:val="24"/>
          <w:highlight w:val="none"/>
          <w:u w:val="single"/>
        </w:rPr>
        <w:t>指发包人在协议书中规定，发包人用以支付承包人按照合同规定完成承包范围内全部</w:t>
      </w:r>
      <w:r>
        <w:rPr>
          <w:rFonts w:hint="eastAsia" w:ascii="宋体" w:hAnsi="宋体" w:eastAsia="宋体"/>
          <w:color w:val="auto"/>
          <w:sz w:val="24"/>
          <w:highlight w:val="none"/>
          <w:u w:val="single"/>
          <w:lang w:eastAsia="zh-CN"/>
        </w:rPr>
        <w:t>运行维护</w:t>
      </w:r>
      <w:r>
        <w:rPr>
          <w:rFonts w:hint="eastAsia" w:ascii="宋体" w:hAnsi="宋体" w:eastAsia="宋体"/>
          <w:color w:val="auto"/>
          <w:sz w:val="24"/>
          <w:highlight w:val="none"/>
          <w:u w:val="single"/>
        </w:rPr>
        <w:t>的款项。</w:t>
      </w:r>
    </w:p>
    <w:p w14:paraId="6C672753">
      <w:pPr>
        <w:spacing w:line="400" w:lineRule="exact"/>
        <w:ind w:firstLine="480" w:firstLineChars="200"/>
        <w:rPr>
          <w:rFonts w:ascii="宋体" w:hAnsi="宋体" w:eastAsia="宋体"/>
          <w:color w:val="auto"/>
          <w:sz w:val="24"/>
          <w:highlight w:val="none"/>
          <w:u w:val="singl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rPr>
        <w:t>合同服务期：</w:t>
      </w:r>
      <w:r>
        <w:rPr>
          <w:rFonts w:hint="eastAsia" w:ascii="宋体" w:hAnsi="宋体" w:eastAsia="宋体"/>
          <w:color w:val="auto"/>
          <w:sz w:val="24"/>
          <w:highlight w:val="none"/>
          <w:u w:val="single"/>
        </w:rPr>
        <w:t>指发包人通知本项目正式进场开展</w:t>
      </w:r>
      <w:r>
        <w:rPr>
          <w:rFonts w:hint="eastAsia" w:ascii="宋体" w:hAnsi="宋体" w:eastAsia="宋体"/>
          <w:color w:val="auto"/>
          <w:sz w:val="24"/>
          <w:highlight w:val="none"/>
          <w:u w:val="single"/>
          <w:lang w:eastAsia="zh-CN"/>
        </w:rPr>
        <w:t>运行维护</w:t>
      </w:r>
      <w:r>
        <w:rPr>
          <w:rFonts w:hint="eastAsia" w:ascii="宋体" w:hAnsi="宋体" w:eastAsia="宋体"/>
          <w:color w:val="auto"/>
          <w:sz w:val="24"/>
          <w:highlight w:val="none"/>
          <w:u w:val="single"/>
        </w:rPr>
        <w:t>工作之日起至合同约定的合同服务期满之日止。</w:t>
      </w:r>
    </w:p>
    <w:p w14:paraId="3CDCB96A">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10</w:t>
      </w:r>
      <w:r>
        <w:rPr>
          <w:rFonts w:hint="eastAsia" w:ascii="宋体" w:hAnsi="宋体" w:eastAsia="宋体"/>
          <w:color w:val="auto"/>
          <w:sz w:val="24"/>
          <w:highlight w:val="none"/>
        </w:rPr>
        <w:t>服务起始日期：</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p>
    <w:p w14:paraId="0C324121">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1.1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服务终止日期：</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（包括根据合同约定续签合同中约定的终止日期）。</w:t>
      </w:r>
    </w:p>
    <w:p w14:paraId="61C4D75E">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1.1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图纸：</w:t>
      </w:r>
      <w:r>
        <w:rPr>
          <w:rFonts w:hint="eastAsia" w:ascii="宋体" w:hAnsi="宋体" w:eastAsia="宋体"/>
          <w:color w:val="auto"/>
          <w:sz w:val="24"/>
          <w:highlight w:val="none"/>
          <w:u w:val="single"/>
        </w:rPr>
        <w:t>指由发包人提供或由承包人提供并经发包人批准，满足承包人</w:t>
      </w:r>
      <w:r>
        <w:rPr>
          <w:rFonts w:hint="eastAsia" w:ascii="宋体" w:hAnsi="宋体" w:eastAsia="宋体"/>
          <w:color w:val="auto"/>
          <w:sz w:val="24"/>
          <w:highlight w:val="none"/>
          <w:u w:val="single"/>
          <w:lang w:val="en-US" w:eastAsia="zh-CN"/>
        </w:rPr>
        <w:t>运行维护</w:t>
      </w:r>
      <w:r>
        <w:rPr>
          <w:rFonts w:hint="eastAsia" w:ascii="宋体" w:hAnsi="宋体" w:eastAsia="宋体"/>
          <w:color w:val="auto"/>
          <w:sz w:val="24"/>
          <w:highlight w:val="none"/>
          <w:u w:val="single"/>
        </w:rPr>
        <w:t>需要的所有图纸及</w:t>
      </w:r>
      <w:r>
        <w:rPr>
          <w:rFonts w:hint="eastAsia" w:ascii="宋体" w:hAnsi="宋体" w:eastAsia="宋体"/>
          <w:color w:val="auto"/>
          <w:sz w:val="24"/>
          <w:highlight w:val="none"/>
          <w:u w:val="single"/>
          <w:lang w:eastAsia="zh-CN"/>
        </w:rPr>
        <w:t>运行维护</w:t>
      </w:r>
      <w:r>
        <w:rPr>
          <w:rFonts w:hint="eastAsia" w:ascii="宋体" w:hAnsi="宋体" w:eastAsia="宋体"/>
          <w:color w:val="auto"/>
          <w:sz w:val="24"/>
          <w:highlight w:val="none"/>
          <w:u w:val="single"/>
        </w:rPr>
        <w:t>方案（包括配套说明和有关资料）</w:t>
      </w:r>
      <w:r>
        <w:rPr>
          <w:rFonts w:hint="eastAsia" w:ascii="宋体" w:hAnsi="宋体" w:eastAsia="宋体"/>
          <w:color w:val="auto"/>
          <w:sz w:val="24"/>
          <w:highlight w:val="none"/>
        </w:rPr>
        <w:t>。</w:t>
      </w:r>
    </w:p>
    <w:p w14:paraId="221EB3E0">
      <w:pPr>
        <w:spacing w:line="400" w:lineRule="exact"/>
        <w:ind w:firstLine="480" w:firstLineChars="200"/>
        <w:rPr>
          <w:rFonts w:ascii="宋体" w:hAnsi="宋体" w:eastAsia="宋体"/>
          <w:color w:val="auto"/>
          <w:sz w:val="24"/>
          <w:highlight w:val="none"/>
          <w:u w:val="single"/>
        </w:rPr>
      </w:pPr>
      <w:r>
        <w:rPr>
          <w:rFonts w:ascii="宋体" w:hAnsi="宋体" w:eastAsia="宋体"/>
          <w:color w:val="auto"/>
          <w:sz w:val="24"/>
          <w:highlight w:val="none"/>
        </w:rPr>
        <w:t>1.1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书面形式：</w:t>
      </w:r>
      <w:r>
        <w:rPr>
          <w:rFonts w:hint="eastAsia" w:ascii="宋体" w:hAnsi="宋体" w:eastAsia="宋体"/>
          <w:color w:val="auto"/>
          <w:sz w:val="24"/>
          <w:highlight w:val="none"/>
          <w:u w:val="single"/>
        </w:rPr>
        <w:t>指合同书、信件和数据电文（包括电报、电传、传真、电子数据交换和电子邮件）等可以有形地表现所载内容的形式。</w:t>
      </w:r>
    </w:p>
    <w:p w14:paraId="4569900F">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1.1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不可抗力：</w:t>
      </w:r>
      <w:r>
        <w:rPr>
          <w:rFonts w:hint="eastAsia" w:ascii="宋体" w:hAnsi="宋体" w:eastAsia="宋体"/>
          <w:color w:val="auto"/>
          <w:sz w:val="24"/>
          <w:highlight w:val="none"/>
          <w:u w:val="single"/>
        </w:rPr>
        <w:t>指</w:t>
      </w:r>
      <w:r>
        <w:rPr>
          <w:rFonts w:hint="eastAsia" w:ascii="宋体" w:hAnsi="宋体" w:eastAsia="宋体"/>
          <w:color w:val="auto"/>
          <w:sz w:val="24"/>
          <w:highlight w:val="none"/>
          <w:u w:val="single"/>
          <w:lang w:eastAsia="zh-CN"/>
        </w:rPr>
        <w:t>运行维护</w:t>
      </w:r>
      <w:r>
        <w:rPr>
          <w:rFonts w:hint="eastAsia" w:ascii="宋体" w:hAnsi="宋体" w:eastAsia="宋体"/>
          <w:color w:val="auto"/>
          <w:sz w:val="24"/>
          <w:highlight w:val="none"/>
          <w:u w:val="single"/>
        </w:rPr>
        <w:t>所在地发生不能预见、不能避免并不能克服的客观情况。</w:t>
      </w:r>
    </w:p>
    <w:p w14:paraId="41F850FE">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1.1</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合同文件：指本合同条款第</w:t>
      </w:r>
      <w:r>
        <w:rPr>
          <w:rFonts w:ascii="宋体" w:hAnsi="宋体" w:eastAsia="宋体"/>
          <w:color w:val="auto"/>
          <w:sz w:val="24"/>
          <w:highlight w:val="none"/>
        </w:rPr>
        <w:t>2.1</w:t>
      </w:r>
      <w:r>
        <w:rPr>
          <w:rFonts w:hint="eastAsia" w:ascii="宋体" w:hAnsi="宋体" w:eastAsia="宋体"/>
          <w:color w:val="auto"/>
          <w:sz w:val="24"/>
          <w:highlight w:val="none"/>
        </w:rPr>
        <w:t>款约定构成合同组成部分的文件。</w:t>
      </w:r>
    </w:p>
    <w:p w14:paraId="0318F98D">
      <w:pPr>
        <w:spacing w:line="400" w:lineRule="exact"/>
        <w:ind w:firstLine="480" w:firstLineChars="200"/>
        <w:rPr>
          <w:rFonts w:hint="eastAsia" w:ascii="宋体" w:hAnsi="宋体" w:eastAsia="宋体"/>
          <w:color w:val="auto"/>
          <w:sz w:val="24"/>
          <w:highlight w:val="none"/>
          <w:u w:val="single"/>
        </w:rPr>
      </w:pPr>
      <w:r>
        <w:rPr>
          <w:rFonts w:ascii="宋体" w:hAnsi="宋体" w:eastAsia="宋体"/>
          <w:color w:val="auto"/>
          <w:sz w:val="24"/>
          <w:highlight w:val="none"/>
        </w:rPr>
        <w:t>1.1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天：日历日，</w:t>
      </w:r>
      <w:r>
        <w:rPr>
          <w:rFonts w:hint="eastAsia" w:ascii="宋体" w:hAnsi="宋体" w:eastAsia="宋体"/>
          <w:color w:val="auto"/>
          <w:sz w:val="24"/>
          <w:highlight w:val="none"/>
          <w:u w:val="single"/>
        </w:rPr>
        <w:t>规定按天计算时间的，开始当天不计入，从次日开始计算，时限的最后一天的截止时间为当日</w:t>
      </w:r>
      <w:r>
        <w:rPr>
          <w:rFonts w:ascii="宋体" w:hAnsi="宋体" w:eastAsia="宋体"/>
          <w:color w:val="auto"/>
          <w:sz w:val="24"/>
          <w:highlight w:val="none"/>
          <w:u w:val="single"/>
        </w:rPr>
        <w:t>24</w:t>
      </w:r>
      <w:r>
        <w:rPr>
          <w:rFonts w:hint="eastAsia" w:ascii="宋体" w:hAnsi="宋体" w:eastAsia="宋体"/>
          <w:color w:val="auto"/>
          <w:sz w:val="24"/>
          <w:highlight w:val="none"/>
          <w:u w:val="single"/>
        </w:rPr>
        <w:t>时。</w:t>
      </w:r>
    </w:p>
    <w:p w14:paraId="1AF0DD94">
      <w:pPr>
        <w:spacing w:line="400" w:lineRule="exact"/>
        <w:ind w:firstLine="480" w:firstLineChars="200"/>
        <w:rPr>
          <w:rFonts w:hint="default" w:ascii="宋体" w:hAnsi="宋体" w:eastAsia="宋体"/>
          <w:color w:val="auto"/>
          <w:sz w:val="24"/>
          <w:highlight w:val="none"/>
          <w:u w:val="single"/>
          <w:lang w:val="en-US" w:eastAsia="zh-CN"/>
        </w:rPr>
      </w:pPr>
      <w:r>
        <w:rPr>
          <w:rFonts w:hint="eastAsia" w:ascii="宋体" w:hAnsi="宋体"/>
          <w:color w:val="auto"/>
          <w:sz w:val="24"/>
          <w:highlight w:val="none"/>
          <w:u w:val="none"/>
          <w:lang w:val="en-US" w:eastAsia="zh-CN"/>
        </w:rPr>
        <w:t>1.17 暂列金：</w:t>
      </w:r>
      <w:r>
        <w:rPr>
          <w:color w:val="auto"/>
          <w:sz w:val="24"/>
          <w:highlight w:val="none"/>
          <w:u w:val="single"/>
        </w:rPr>
        <w:t>指已标价工程量清单中所列的暂列金额，用于在签订协议书时尚未确定或不可预见变更的</w:t>
      </w:r>
      <w:r>
        <w:rPr>
          <w:rFonts w:hint="eastAsia"/>
          <w:color w:val="auto"/>
          <w:sz w:val="24"/>
          <w:highlight w:val="none"/>
          <w:u w:val="single"/>
          <w:lang w:val="en-US" w:eastAsia="zh-CN"/>
        </w:rPr>
        <w:t>维修</w:t>
      </w:r>
      <w:r>
        <w:rPr>
          <w:color w:val="auto"/>
          <w:sz w:val="24"/>
          <w:highlight w:val="none"/>
          <w:u w:val="single"/>
        </w:rPr>
        <w:t>及其所需材料、工程设备、服务等的金额，包括以计日工方式支付的金额</w:t>
      </w:r>
      <w:r>
        <w:rPr>
          <w:rFonts w:hint="eastAsia" w:ascii="宋体" w:hAnsi="宋体"/>
          <w:color w:val="auto"/>
          <w:sz w:val="24"/>
          <w:highlight w:val="none"/>
          <w:u w:val="single"/>
          <w:lang w:val="en-US" w:eastAsia="zh-CN"/>
        </w:rPr>
        <w:t>。</w:t>
      </w:r>
    </w:p>
    <w:p w14:paraId="76B225CE">
      <w:pPr>
        <w:spacing w:line="400" w:lineRule="exact"/>
        <w:ind w:firstLine="480" w:firstLineChars="200"/>
        <w:rPr>
          <w:rFonts w:ascii="宋体" w:hAnsi="宋体" w:eastAsia="宋体"/>
          <w:color w:val="auto"/>
          <w:sz w:val="24"/>
          <w:highlight w:val="none"/>
        </w:rPr>
      </w:pPr>
    </w:p>
    <w:p w14:paraId="65DEC244">
      <w:pPr>
        <w:spacing w:line="400" w:lineRule="exact"/>
        <w:ind w:firstLine="480" w:firstLineChars="200"/>
        <w:outlineLvl w:val="3"/>
        <w:rPr>
          <w:rFonts w:ascii="宋体" w:hAnsi="宋体" w:eastAsia="宋体"/>
          <w:bCs/>
          <w:color w:val="auto"/>
          <w:sz w:val="24"/>
          <w:highlight w:val="none"/>
        </w:rPr>
      </w:pPr>
      <w:bookmarkStart w:id="14" w:name="_Toc493406954"/>
      <w:r>
        <w:rPr>
          <w:rFonts w:ascii="宋体" w:hAnsi="宋体" w:eastAsia="宋体"/>
          <w:bCs/>
          <w:color w:val="auto"/>
          <w:sz w:val="24"/>
          <w:highlight w:val="none"/>
        </w:rPr>
        <w:t xml:space="preserve">2. </w:t>
      </w:r>
      <w:r>
        <w:rPr>
          <w:rFonts w:hint="eastAsia" w:ascii="宋体" w:hAnsi="宋体" w:eastAsia="宋体"/>
          <w:bCs/>
          <w:color w:val="auto"/>
          <w:sz w:val="24"/>
          <w:highlight w:val="none"/>
        </w:rPr>
        <w:t>合同文件及解释顺序</w:t>
      </w:r>
      <w:bookmarkEnd w:id="14"/>
    </w:p>
    <w:p w14:paraId="1DF7205C">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2.1 </w:t>
      </w:r>
      <w:r>
        <w:rPr>
          <w:rFonts w:hint="eastAsia" w:ascii="宋体" w:hAnsi="宋体" w:eastAsia="宋体"/>
          <w:color w:val="auto"/>
          <w:sz w:val="24"/>
          <w:highlight w:val="none"/>
        </w:rPr>
        <w:t>合同解释顺序</w:t>
      </w:r>
    </w:p>
    <w:p w14:paraId="613169E2">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合同文件应能相互解释，互为说明。</w:t>
      </w:r>
      <w:r>
        <w:rPr>
          <w:rFonts w:ascii="宋体" w:hAnsi="宋体" w:eastAsia="宋体"/>
          <w:color w:val="auto"/>
          <w:sz w:val="24"/>
          <w:highlight w:val="none"/>
        </w:rPr>
        <w:t>除</w:t>
      </w:r>
      <w:r>
        <w:rPr>
          <w:rFonts w:hint="eastAsia" w:ascii="宋体" w:hAnsi="宋体" w:eastAsia="宋体"/>
          <w:color w:val="auto"/>
          <w:sz w:val="24"/>
          <w:highlight w:val="none"/>
        </w:rPr>
        <w:t>本</w:t>
      </w:r>
      <w:r>
        <w:rPr>
          <w:rFonts w:ascii="宋体" w:hAnsi="宋体" w:eastAsia="宋体"/>
          <w:color w:val="auto"/>
          <w:sz w:val="24"/>
          <w:highlight w:val="none"/>
        </w:rPr>
        <w:t>合同条款另有</w:t>
      </w:r>
      <w:r>
        <w:rPr>
          <w:rFonts w:hint="eastAsia" w:ascii="宋体" w:hAnsi="宋体" w:eastAsia="宋体"/>
          <w:color w:val="auto"/>
          <w:sz w:val="24"/>
          <w:highlight w:val="none"/>
        </w:rPr>
        <w:t>规定</w:t>
      </w:r>
      <w:r>
        <w:rPr>
          <w:rFonts w:ascii="宋体" w:hAnsi="宋体" w:eastAsia="宋体"/>
          <w:color w:val="auto"/>
          <w:sz w:val="24"/>
          <w:highlight w:val="none"/>
        </w:rPr>
        <w:t>外，解释合同文件的优先顺序如下：</w:t>
      </w:r>
    </w:p>
    <w:p w14:paraId="6F50003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color w:val="auto"/>
          <w:sz w:val="24"/>
          <w:highlight w:val="none"/>
        </w:rPr>
        <w:t>合同</w:t>
      </w:r>
      <w:r>
        <w:rPr>
          <w:rFonts w:hint="eastAsia" w:ascii="宋体" w:hAnsi="宋体" w:eastAsia="宋体"/>
          <w:color w:val="auto"/>
          <w:sz w:val="24"/>
          <w:highlight w:val="none"/>
        </w:rPr>
        <w:t>协议书及各种合同附件（含评标期间和合同谈判过程中的澄清文件和补充资料，</w:t>
      </w:r>
      <w:r>
        <w:rPr>
          <w:rFonts w:hint="eastAsia" w:ascii="宋体" w:hAnsi="宋体" w:eastAsia="宋体"/>
          <w:color w:val="auto"/>
          <w:sz w:val="24"/>
          <w:highlight w:val="none"/>
          <w:lang w:eastAsia="zh-CN"/>
        </w:rPr>
        <w:t>本项目运行维护</w:t>
      </w:r>
      <w:r>
        <w:rPr>
          <w:rFonts w:hint="eastAsia" w:ascii="宋体" w:hAnsi="宋体" w:eastAsia="宋体"/>
          <w:color w:val="auto"/>
          <w:sz w:val="24"/>
          <w:highlight w:val="none"/>
        </w:rPr>
        <w:t>实施期间，发包人和承包人依法针对本合同达成的补充协议或发包人下达的正式公文或书面指令）；</w:t>
      </w:r>
    </w:p>
    <w:p w14:paraId="15B01A1D">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2）中</w:t>
      </w:r>
      <w:r>
        <w:rPr>
          <w:rFonts w:hint="eastAsia" w:ascii="宋体" w:hAnsi="宋体" w:eastAsia="宋体"/>
          <w:color w:val="auto"/>
          <w:sz w:val="24"/>
          <w:highlight w:val="none"/>
        </w:rPr>
        <w:t>标通知书；</w:t>
      </w:r>
    </w:p>
    <w:p w14:paraId="10CFD0E1">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3）投</w:t>
      </w:r>
      <w:r>
        <w:rPr>
          <w:rFonts w:hint="eastAsia" w:ascii="宋体" w:hAnsi="宋体" w:eastAsia="宋体"/>
          <w:color w:val="auto"/>
          <w:sz w:val="24"/>
          <w:highlight w:val="none"/>
        </w:rPr>
        <w:t>标函；</w:t>
      </w:r>
    </w:p>
    <w:p w14:paraId="39EFB5A4">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4）合同</w:t>
      </w:r>
      <w:r>
        <w:rPr>
          <w:rFonts w:hint="eastAsia" w:ascii="宋体" w:hAnsi="宋体" w:eastAsia="宋体"/>
          <w:color w:val="auto"/>
          <w:sz w:val="24"/>
          <w:highlight w:val="none"/>
        </w:rPr>
        <w:t>条款；</w:t>
      </w:r>
    </w:p>
    <w:p w14:paraId="0036668D">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rPr>
        <w:t>发包人要求；</w:t>
      </w:r>
    </w:p>
    <w:p w14:paraId="20509056">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）已</w:t>
      </w:r>
      <w:r>
        <w:rPr>
          <w:rFonts w:hint="eastAsia" w:ascii="宋体" w:hAnsi="宋体" w:eastAsia="宋体"/>
          <w:color w:val="auto"/>
          <w:sz w:val="24"/>
          <w:highlight w:val="none"/>
        </w:rPr>
        <w:t>标价工程量清单；</w:t>
      </w:r>
    </w:p>
    <w:p w14:paraId="7C6C8904">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7</w:t>
      </w:r>
      <w:r>
        <w:rPr>
          <w:rFonts w:ascii="宋体" w:hAnsi="宋体" w:eastAsia="宋体"/>
          <w:color w:val="auto"/>
          <w:sz w:val="24"/>
          <w:highlight w:val="none"/>
        </w:rPr>
        <w:t>）承包人有</w:t>
      </w:r>
      <w:r>
        <w:rPr>
          <w:rFonts w:hint="eastAsia" w:ascii="宋体" w:hAnsi="宋体" w:eastAsia="宋体"/>
          <w:color w:val="auto"/>
          <w:sz w:val="24"/>
          <w:highlight w:val="none"/>
        </w:rPr>
        <w:t>关人员、设备投入的承诺及投标文件中的</w:t>
      </w:r>
      <w:r>
        <w:rPr>
          <w:rFonts w:hint="eastAsia" w:ascii="宋体" w:hAnsi="宋体" w:eastAsia="宋体"/>
          <w:color w:val="auto"/>
          <w:sz w:val="24"/>
          <w:highlight w:val="none"/>
          <w:lang w:val="en-US" w:eastAsia="zh-CN"/>
        </w:rPr>
        <w:t>运行维护方案</w:t>
      </w:r>
      <w:r>
        <w:rPr>
          <w:rFonts w:hint="eastAsia" w:ascii="宋体" w:hAnsi="宋体" w:eastAsia="宋体"/>
          <w:color w:val="auto"/>
          <w:sz w:val="24"/>
          <w:highlight w:val="none"/>
        </w:rPr>
        <w:t>；</w:t>
      </w:r>
    </w:p>
    <w:p w14:paraId="11AEF4B2">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8</w:t>
      </w:r>
      <w:r>
        <w:rPr>
          <w:rFonts w:ascii="宋体" w:hAnsi="宋体" w:eastAsia="宋体"/>
          <w:color w:val="auto"/>
          <w:sz w:val="24"/>
          <w:highlight w:val="none"/>
        </w:rPr>
        <w:t>）其他合同文件。</w:t>
      </w:r>
    </w:p>
    <w:p w14:paraId="46BA7782">
      <w:pPr>
        <w:spacing w:line="400" w:lineRule="exact"/>
        <w:ind w:firstLine="480" w:firstLineChars="200"/>
        <w:rPr>
          <w:rFonts w:ascii="宋体" w:hAnsi="宋体" w:eastAsia="宋体"/>
          <w:bCs/>
          <w:color w:val="auto"/>
          <w:sz w:val="24"/>
          <w:highlight w:val="none"/>
        </w:rPr>
      </w:pPr>
    </w:p>
    <w:p w14:paraId="6B87F69F">
      <w:pPr>
        <w:spacing w:line="400" w:lineRule="exact"/>
        <w:ind w:firstLine="480" w:firstLineChars="200"/>
        <w:outlineLvl w:val="3"/>
        <w:rPr>
          <w:rFonts w:ascii="宋体" w:hAnsi="宋体" w:eastAsia="宋体"/>
          <w:bCs/>
          <w:color w:val="auto"/>
          <w:sz w:val="24"/>
          <w:highlight w:val="none"/>
        </w:rPr>
      </w:pPr>
      <w:bookmarkStart w:id="15" w:name="_Toc493406955"/>
      <w:r>
        <w:rPr>
          <w:rFonts w:ascii="宋体" w:hAnsi="宋体" w:eastAsia="宋体"/>
          <w:bCs/>
          <w:color w:val="auto"/>
          <w:sz w:val="24"/>
          <w:highlight w:val="none"/>
        </w:rPr>
        <w:t xml:space="preserve">3. </w:t>
      </w:r>
      <w:r>
        <w:rPr>
          <w:rFonts w:hint="eastAsia" w:ascii="宋体" w:hAnsi="宋体" w:eastAsia="宋体"/>
          <w:bCs/>
          <w:color w:val="auto"/>
          <w:sz w:val="24"/>
          <w:highlight w:val="none"/>
        </w:rPr>
        <w:t>语言文字和适用法律、标准及规范</w:t>
      </w:r>
      <w:bookmarkEnd w:id="15"/>
    </w:p>
    <w:p w14:paraId="7938EB6F">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3.1</w:t>
      </w:r>
      <w:r>
        <w:rPr>
          <w:rFonts w:hint="eastAsia" w:ascii="宋体" w:hAnsi="宋体" w:eastAsia="宋体"/>
          <w:color w:val="auto"/>
          <w:sz w:val="24"/>
          <w:highlight w:val="none"/>
        </w:rPr>
        <w:t>语言文字</w:t>
      </w:r>
    </w:p>
    <w:p w14:paraId="6533715F">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本合同文件使用汉语语言文字书写、解释和说明。</w:t>
      </w:r>
    </w:p>
    <w:p w14:paraId="01C4D256">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3.2</w:t>
      </w:r>
      <w:r>
        <w:rPr>
          <w:rFonts w:hint="eastAsia" w:ascii="宋体" w:hAnsi="宋体" w:eastAsia="宋体"/>
          <w:color w:val="auto"/>
          <w:sz w:val="24"/>
          <w:highlight w:val="none"/>
        </w:rPr>
        <w:t>适用法律和法规</w:t>
      </w:r>
    </w:p>
    <w:p w14:paraId="5A0EC1CB">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本合同文件适用国家的现行法律和行政法规。</w:t>
      </w:r>
    </w:p>
    <w:p w14:paraId="69453638">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3.3</w:t>
      </w:r>
      <w:r>
        <w:rPr>
          <w:rFonts w:hint="eastAsia" w:ascii="宋体" w:hAnsi="宋体" w:eastAsia="宋体"/>
          <w:color w:val="auto"/>
          <w:sz w:val="24"/>
          <w:highlight w:val="none"/>
        </w:rPr>
        <w:t>适用标准、规范</w:t>
      </w:r>
    </w:p>
    <w:p w14:paraId="4016ACBB">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本合同文件适用</w:t>
      </w:r>
      <w:r>
        <w:rPr>
          <w:rFonts w:hint="eastAsia" w:ascii="宋体" w:hAnsi="宋体" w:eastAsia="宋体"/>
          <w:color w:val="auto"/>
          <w:sz w:val="24"/>
          <w:highlight w:val="none"/>
          <w:lang w:val="en-US" w:eastAsia="zh-CN"/>
        </w:rPr>
        <w:t>水利设施建设</w:t>
      </w:r>
      <w:r>
        <w:rPr>
          <w:rFonts w:hint="eastAsia" w:ascii="宋体" w:hAnsi="宋体" w:eastAsia="宋体"/>
          <w:color w:val="auto"/>
          <w:sz w:val="24"/>
          <w:highlight w:val="none"/>
        </w:rPr>
        <w:t>及</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有关的现行国家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广东省、广州市、南沙区</w:t>
      </w:r>
      <w:r>
        <w:rPr>
          <w:rFonts w:hint="eastAsia" w:ascii="宋体" w:hAnsi="宋体" w:eastAsia="宋体"/>
          <w:color w:val="auto"/>
          <w:sz w:val="24"/>
          <w:highlight w:val="none"/>
        </w:rPr>
        <w:t>标准、规范和行业标准、规范，并按</w:t>
      </w:r>
      <w:r>
        <w:rPr>
          <w:rFonts w:hint="eastAsia" w:ascii="宋体" w:hAnsi="宋体"/>
          <w:color w:val="auto"/>
          <w:sz w:val="24"/>
          <w:highlight w:val="none"/>
          <w:lang w:val="en-US" w:eastAsia="zh-CN"/>
        </w:rPr>
        <w:t>发包人要求</w:t>
      </w:r>
      <w:r>
        <w:rPr>
          <w:rFonts w:hint="eastAsia" w:ascii="宋体" w:hAnsi="宋体" w:eastAsia="宋体"/>
          <w:color w:val="auto"/>
          <w:sz w:val="24"/>
          <w:highlight w:val="none"/>
        </w:rPr>
        <w:t>的规定执行。</w:t>
      </w:r>
    </w:p>
    <w:p w14:paraId="5908FE13">
      <w:pPr>
        <w:spacing w:line="400" w:lineRule="exact"/>
        <w:ind w:firstLine="480" w:firstLineChars="200"/>
        <w:rPr>
          <w:rFonts w:ascii="宋体" w:hAnsi="宋体" w:eastAsia="宋体"/>
          <w:bCs/>
          <w:color w:val="auto"/>
          <w:sz w:val="24"/>
          <w:highlight w:val="none"/>
        </w:rPr>
      </w:pPr>
    </w:p>
    <w:p w14:paraId="77893411">
      <w:pPr>
        <w:spacing w:line="400" w:lineRule="exact"/>
        <w:ind w:firstLine="480" w:firstLineChars="200"/>
        <w:outlineLvl w:val="3"/>
        <w:rPr>
          <w:rFonts w:ascii="宋体" w:hAnsi="宋体" w:eastAsia="宋体"/>
          <w:bCs/>
          <w:color w:val="auto"/>
          <w:sz w:val="24"/>
          <w:highlight w:val="none"/>
        </w:rPr>
      </w:pPr>
      <w:bookmarkStart w:id="16" w:name="_Toc493406956"/>
      <w:r>
        <w:rPr>
          <w:rFonts w:ascii="宋体" w:hAnsi="宋体" w:eastAsia="宋体"/>
          <w:bCs/>
          <w:color w:val="auto"/>
          <w:sz w:val="24"/>
          <w:highlight w:val="none"/>
        </w:rPr>
        <w:t xml:space="preserve">4. </w:t>
      </w:r>
      <w:r>
        <w:rPr>
          <w:rFonts w:hint="eastAsia" w:ascii="宋体" w:hAnsi="宋体" w:eastAsia="宋体"/>
          <w:bCs/>
          <w:color w:val="auto"/>
          <w:sz w:val="24"/>
          <w:highlight w:val="none"/>
        </w:rPr>
        <w:t>图纸或</w:t>
      </w:r>
      <w:r>
        <w:rPr>
          <w:rFonts w:hint="eastAsia" w:ascii="宋体" w:hAnsi="宋体" w:eastAsia="宋体"/>
          <w:bCs/>
          <w:color w:val="auto"/>
          <w:sz w:val="24"/>
          <w:highlight w:val="none"/>
          <w:lang w:eastAsia="zh-CN"/>
        </w:rPr>
        <w:t>运行维护</w:t>
      </w:r>
      <w:r>
        <w:rPr>
          <w:rFonts w:hint="eastAsia" w:ascii="宋体" w:hAnsi="宋体" w:eastAsia="宋体"/>
          <w:bCs/>
          <w:color w:val="auto"/>
          <w:sz w:val="24"/>
          <w:highlight w:val="none"/>
        </w:rPr>
        <w:t>技术资料</w:t>
      </w:r>
      <w:bookmarkEnd w:id="16"/>
    </w:p>
    <w:p w14:paraId="75A77CDC">
      <w:pPr>
        <w:spacing w:line="400" w:lineRule="exact"/>
        <w:ind w:firstLine="480" w:firstLineChars="200"/>
        <w:rPr>
          <w:rFonts w:ascii="宋体" w:hAnsi="宋体" w:eastAsia="宋体"/>
          <w:color w:val="auto"/>
          <w:sz w:val="24"/>
          <w:highlight w:val="none"/>
        </w:rPr>
      </w:pPr>
      <w:bookmarkStart w:id="17" w:name="_Hlk148003946"/>
      <w:r>
        <w:rPr>
          <w:rFonts w:ascii="宋体" w:hAnsi="宋体" w:eastAsia="宋体"/>
          <w:color w:val="auto"/>
          <w:sz w:val="24"/>
          <w:highlight w:val="none"/>
        </w:rPr>
        <w:t>4.1</w:t>
      </w:r>
      <w:r>
        <w:rPr>
          <w:rFonts w:hint="eastAsia" w:ascii="宋体" w:hAnsi="宋体" w:eastAsia="宋体"/>
          <w:color w:val="auto"/>
          <w:sz w:val="24"/>
          <w:highlight w:val="none"/>
        </w:rPr>
        <w:t>发包人应在签订合同协议书之后</w:t>
      </w:r>
      <w:r>
        <w:rPr>
          <w:rFonts w:ascii="宋体" w:hAnsi="宋体" w:eastAsia="宋体"/>
          <w:color w:val="auto"/>
          <w:sz w:val="24"/>
          <w:highlight w:val="none"/>
        </w:rPr>
        <w:t>14</w:t>
      </w:r>
      <w:r>
        <w:rPr>
          <w:rFonts w:hint="eastAsia" w:ascii="宋体" w:hAnsi="宋体" w:eastAsia="宋体"/>
          <w:color w:val="auto"/>
          <w:sz w:val="24"/>
          <w:highlight w:val="none"/>
        </w:rPr>
        <w:t>天内，向承包人免费提供有关日常</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和维修保养的技术资料和图纸等（电子版）</w:t>
      </w:r>
      <w:r>
        <w:rPr>
          <w:rFonts w:ascii="宋体" w:hAnsi="宋体" w:eastAsia="宋体"/>
          <w:color w:val="auto"/>
          <w:sz w:val="24"/>
          <w:highlight w:val="none"/>
        </w:rPr>
        <w:t>1</w:t>
      </w:r>
      <w:r>
        <w:rPr>
          <w:rFonts w:hint="eastAsia" w:ascii="宋体" w:hAnsi="宋体" w:eastAsia="宋体"/>
          <w:color w:val="auto"/>
          <w:sz w:val="24"/>
          <w:highlight w:val="none"/>
        </w:rPr>
        <w:t>套。承包人需要增加技术资料、图纸及其他资料套数的，由承包人自行复制，复制费用由承包人承担。</w:t>
      </w:r>
    </w:p>
    <w:bookmarkEnd w:id="17"/>
    <w:p w14:paraId="1C68FEC8">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4.2</w:t>
      </w:r>
      <w:r>
        <w:rPr>
          <w:rFonts w:hint="eastAsia" w:ascii="宋体" w:hAnsi="宋体" w:eastAsia="宋体"/>
          <w:color w:val="auto"/>
          <w:sz w:val="24"/>
          <w:highlight w:val="none"/>
        </w:rPr>
        <w:t>承包人未经发包人同意，不得将本</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图纸等资料泄露、提供或转让第三方。</w:t>
      </w:r>
    </w:p>
    <w:p w14:paraId="5EE19059">
      <w:pPr>
        <w:spacing w:line="400" w:lineRule="exact"/>
        <w:ind w:firstLine="480" w:firstLineChars="200"/>
        <w:rPr>
          <w:rFonts w:hint="eastAsia" w:ascii="宋体" w:hAnsi="宋体" w:eastAsia="宋体"/>
          <w:color w:val="auto"/>
          <w:sz w:val="24"/>
          <w:highlight w:val="none"/>
        </w:rPr>
      </w:pPr>
      <w:bookmarkStart w:id="18" w:name="_Hlk148003993"/>
      <w:r>
        <w:rPr>
          <w:rFonts w:ascii="宋体" w:hAnsi="宋体" w:eastAsia="宋体"/>
          <w:color w:val="auto"/>
          <w:sz w:val="24"/>
          <w:highlight w:val="none"/>
        </w:rPr>
        <w:t xml:space="preserve">4.3 </w:t>
      </w:r>
      <w:r>
        <w:rPr>
          <w:rFonts w:hint="eastAsia" w:ascii="宋体" w:hAnsi="宋体" w:eastAsia="宋体"/>
          <w:color w:val="auto"/>
          <w:sz w:val="24"/>
          <w:highlight w:val="none"/>
        </w:rPr>
        <w:t>承包人结合有关技术资料、图纸、合同文件（含</w:t>
      </w:r>
      <w:r>
        <w:rPr>
          <w:rFonts w:hint="eastAsia" w:ascii="宋体" w:hAnsi="宋体" w:eastAsia="宋体"/>
          <w:color w:val="auto"/>
          <w:sz w:val="24"/>
          <w:highlight w:val="none"/>
          <w:lang w:val="en-US" w:eastAsia="zh-CN"/>
        </w:rPr>
        <w:t>运行维护</w:t>
      </w:r>
      <w:r>
        <w:rPr>
          <w:rFonts w:hint="eastAsia" w:ascii="宋体" w:hAnsi="宋体" w:eastAsia="宋体"/>
          <w:color w:val="auto"/>
          <w:sz w:val="24"/>
          <w:highlight w:val="none"/>
        </w:rPr>
        <w:t>手册）等的要求，在签订合同协议书</w:t>
      </w:r>
      <w:r>
        <w:rPr>
          <w:rFonts w:hint="eastAsia" w:ascii="宋体" w:hAnsi="宋体"/>
          <w:color w:val="auto"/>
          <w:sz w:val="24"/>
          <w:highlight w:val="none"/>
          <w:lang w:val="en-US" w:eastAsia="zh-CN"/>
        </w:rPr>
        <w:t>2</w:t>
      </w:r>
      <w:r>
        <w:rPr>
          <w:rFonts w:hint="eastAsia" w:ascii="宋体" w:hAnsi="宋体" w:eastAsia="宋体"/>
          <w:color w:val="auto"/>
          <w:sz w:val="24"/>
          <w:highlight w:val="none"/>
        </w:rPr>
        <w:t>个月内，系统梳理</w:t>
      </w:r>
      <w:r>
        <w:rPr>
          <w:rFonts w:hint="eastAsia" w:ascii="宋体" w:hAnsi="宋体" w:eastAsia="宋体"/>
          <w:color w:val="auto"/>
          <w:sz w:val="24"/>
          <w:highlight w:val="none"/>
          <w:lang w:val="en-US" w:eastAsia="zh-CN"/>
        </w:rPr>
        <w:t>水利工程</w:t>
      </w:r>
      <w:r>
        <w:rPr>
          <w:rFonts w:hint="eastAsia" w:ascii="宋体" w:hAnsi="宋体" w:eastAsia="宋体"/>
          <w:color w:val="auto"/>
          <w:sz w:val="24"/>
          <w:highlight w:val="none"/>
        </w:rPr>
        <w:t>维修恢复至设计标准要求所需的补充技术资料，发包人配合提供，相关费用包含在合同总价内，发包人不另行支付。</w:t>
      </w:r>
    </w:p>
    <w:p w14:paraId="602A43BF">
      <w:pPr>
        <w:spacing w:line="40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4.4 承包人应根据发包人提供的图纸对运行维护现场进行核查，根据现状情况对图纸进行更新，并建立相关台账，报发包人审核。</w:t>
      </w:r>
    </w:p>
    <w:bookmarkEnd w:id="18"/>
    <w:p w14:paraId="20EE97B4">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 </w:t>
      </w:r>
    </w:p>
    <w:p w14:paraId="10989527">
      <w:pPr>
        <w:spacing w:line="400" w:lineRule="exact"/>
        <w:ind w:firstLine="480" w:firstLineChars="200"/>
        <w:outlineLvl w:val="3"/>
        <w:rPr>
          <w:rFonts w:ascii="宋体" w:hAnsi="宋体" w:eastAsia="宋体"/>
          <w:bCs/>
          <w:color w:val="auto"/>
          <w:sz w:val="24"/>
          <w:highlight w:val="none"/>
        </w:rPr>
      </w:pPr>
      <w:bookmarkStart w:id="19" w:name="_Toc493406957"/>
      <w:r>
        <w:rPr>
          <w:rFonts w:ascii="宋体" w:hAnsi="宋体" w:eastAsia="宋体"/>
          <w:bCs/>
          <w:color w:val="auto"/>
          <w:sz w:val="24"/>
          <w:highlight w:val="none"/>
        </w:rPr>
        <w:t xml:space="preserve">5. </w:t>
      </w:r>
      <w:r>
        <w:rPr>
          <w:rFonts w:hint="eastAsia" w:ascii="宋体" w:hAnsi="宋体" w:eastAsia="宋体"/>
          <w:bCs/>
          <w:color w:val="auto"/>
          <w:sz w:val="24"/>
          <w:highlight w:val="none"/>
        </w:rPr>
        <w:t>现场考察</w:t>
      </w:r>
      <w:bookmarkEnd w:id="19"/>
    </w:p>
    <w:p w14:paraId="78A0AC0B">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应该认为，承包人在送交投标文件之前，已自行进行了现场考察，对现场和其周围环境以及可得到的有关资料进行了察看和核查，充分了解现场的地形地貌、水文和气候等各项条件；同时，承包人已取得可能对投标有影响或起作用的风险、意外等必要资料；因此认为，承包人的投标文件是以发包人所提供资料和</w:t>
      </w:r>
      <w:r>
        <w:rPr>
          <w:rFonts w:hint="eastAsia" w:ascii="宋体" w:hAnsi="宋体"/>
          <w:color w:val="auto"/>
          <w:sz w:val="24"/>
          <w:highlight w:val="none"/>
          <w:lang w:val="en-US" w:eastAsia="zh-CN"/>
        </w:rPr>
        <w:t>承包人</w:t>
      </w:r>
      <w:r>
        <w:rPr>
          <w:rFonts w:hint="eastAsia" w:ascii="宋体" w:hAnsi="宋体" w:eastAsia="宋体"/>
          <w:color w:val="auto"/>
          <w:sz w:val="24"/>
          <w:highlight w:val="none"/>
        </w:rPr>
        <w:t>察看和核查为依据的。</w:t>
      </w:r>
    </w:p>
    <w:p w14:paraId="7E4269BD">
      <w:pPr>
        <w:spacing w:line="400" w:lineRule="exact"/>
        <w:ind w:firstLine="480" w:firstLineChars="200"/>
        <w:rPr>
          <w:rFonts w:ascii="宋体" w:hAnsi="宋体" w:eastAsia="宋体"/>
          <w:color w:val="auto"/>
          <w:sz w:val="24"/>
          <w:highlight w:val="none"/>
        </w:rPr>
      </w:pPr>
    </w:p>
    <w:p w14:paraId="7A9F8FB4">
      <w:pPr>
        <w:spacing w:line="400" w:lineRule="exact"/>
        <w:ind w:firstLine="480" w:firstLineChars="200"/>
        <w:outlineLvl w:val="3"/>
        <w:rPr>
          <w:rFonts w:ascii="宋体" w:hAnsi="宋体" w:eastAsia="宋体"/>
          <w:bCs/>
          <w:color w:val="auto"/>
          <w:sz w:val="24"/>
          <w:highlight w:val="none"/>
        </w:rPr>
      </w:pPr>
      <w:bookmarkStart w:id="20" w:name="_Toc493406958"/>
      <w:r>
        <w:rPr>
          <w:rFonts w:ascii="宋体" w:hAnsi="宋体" w:eastAsia="宋体"/>
          <w:bCs/>
          <w:color w:val="auto"/>
          <w:sz w:val="24"/>
          <w:highlight w:val="none"/>
        </w:rPr>
        <w:t xml:space="preserve">6. </w:t>
      </w:r>
      <w:r>
        <w:rPr>
          <w:rFonts w:hint="eastAsia" w:ascii="宋体" w:hAnsi="宋体" w:eastAsia="宋体"/>
          <w:bCs/>
          <w:color w:val="auto"/>
          <w:sz w:val="24"/>
          <w:highlight w:val="none"/>
        </w:rPr>
        <w:t>投标文件的完备性</w:t>
      </w:r>
      <w:bookmarkEnd w:id="20"/>
    </w:p>
    <w:p w14:paraId="5FE2FA57">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应该认为，承包人在递交投标文件前，对</w:t>
      </w:r>
      <w:r>
        <w:rPr>
          <w:rFonts w:hint="eastAsia" w:ascii="宋体" w:hAnsi="宋体" w:eastAsia="宋体"/>
          <w:color w:val="auto"/>
          <w:sz w:val="24"/>
          <w:highlight w:val="none"/>
          <w:lang w:eastAsia="zh-CN"/>
        </w:rPr>
        <w:t>本项目运行维护</w:t>
      </w:r>
      <w:r>
        <w:rPr>
          <w:rFonts w:hint="eastAsia" w:ascii="宋体" w:hAnsi="宋体" w:eastAsia="宋体"/>
          <w:color w:val="auto"/>
          <w:sz w:val="24"/>
          <w:highlight w:val="none"/>
        </w:rPr>
        <w:t>的投标文件和标价的工程量清单中开列的单价和总额价已查明是正确的和完备的。投标的单价和总额价应已包括了合同中规定的承包人的全部义务（包括提供货物、材料、设备、服务的义务），为实施和完成</w:t>
      </w:r>
      <w:r>
        <w:rPr>
          <w:rFonts w:hint="eastAsia" w:ascii="宋体" w:hAnsi="宋体" w:eastAsia="宋体"/>
          <w:color w:val="auto"/>
          <w:sz w:val="24"/>
          <w:highlight w:val="none"/>
          <w:lang w:eastAsia="zh-CN"/>
        </w:rPr>
        <w:t>本项目运行维护</w:t>
      </w:r>
      <w:r>
        <w:rPr>
          <w:rFonts w:hint="eastAsia" w:ascii="宋体" w:hAnsi="宋体" w:eastAsia="宋体"/>
          <w:color w:val="auto"/>
          <w:sz w:val="24"/>
          <w:highlight w:val="none"/>
        </w:rPr>
        <w:t>所必需的一切工作和条件，以及招标文件已明示或暗示的合同风险。</w:t>
      </w:r>
    </w:p>
    <w:p w14:paraId="2BB80727">
      <w:pPr>
        <w:spacing w:line="400" w:lineRule="exact"/>
        <w:ind w:firstLine="480" w:firstLineChars="200"/>
        <w:rPr>
          <w:rFonts w:ascii="宋体" w:hAnsi="宋体" w:eastAsia="宋体"/>
          <w:bCs/>
          <w:color w:val="auto"/>
          <w:sz w:val="24"/>
          <w:highlight w:val="none"/>
        </w:rPr>
      </w:pPr>
    </w:p>
    <w:p w14:paraId="6B55C3EB">
      <w:pPr>
        <w:spacing w:line="400" w:lineRule="exact"/>
        <w:outlineLvl w:val="2"/>
        <w:rPr>
          <w:rFonts w:hint="default" w:ascii="宋体" w:hAnsi="宋体" w:eastAsia="宋体"/>
          <w:bCs/>
          <w:color w:val="auto"/>
          <w:sz w:val="24"/>
          <w:highlight w:val="none"/>
          <w:lang w:val="en-US" w:eastAsia="zh-CN"/>
        </w:rPr>
      </w:pPr>
      <w:bookmarkStart w:id="21" w:name="_Toc493406959"/>
      <w:bookmarkStart w:id="22" w:name="_Toc149721959"/>
      <w:r>
        <w:rPr>
          <w:rFonts w:hint="eastAsia" w:ascii="宋体" w:hAnsi="宋体" w:eastAsia="宋体"/>
          <w:bCs/>
          <w:color w:val="auto"/>
          <w:sz w:val="24"/>
          <w:highlight w:val="none"/>
        </w:rPr>
        <w:t>二、合同模式、职责和义务</w:t>
      </w:r>
      <w:bookmarkEnd w:id="21"/>
      <w:bookmarkEnd w:id="22"/>
    </w:p>
    <w:p w14:paraId="2A9E41FD">
      <w:pPr>
        <w:spacing w:line="400" w:lineRule="exact"/>
        <w:ind w:firstLine="480" w:firstLineChars="200"/>
        <w:outlineLvl w:val="3"/>
        <w:rPr>
          <w:rFonts w:ascii="宋体" w:hAnsi="宋体" w:eastAsia="宋体"/>
          <w:bCs/>
          <w:color w:val="auto"/>
          <w:sz w:val="24"/>
          <w:highlight w:val="none"/>
        </w:rPr>
      </w:pPr>
      <w:bookmarkStart w:id="23" w:name="_Toc493406960"/>
      <w:r>
        <w:rPr>
          <w:rFonts w:ascii="宋体" w:hAnsi="宋体" w:eastAsia="宋体"/>
          <w:bCs/>
          <w:color w:val="auto"/>
          <w:sz w:val="24"/>
          <w:highlight w:val="none"/>
        </w:rPr>
        <w:t xml:space="preserve">7. </w:t>
      </w:r>
      <w:r>
        <w:rPr>
          <w:rFonts w:hint="eastAsia" w:ascii="宋体" w:hAnsi="宋体" w:eastAsia="宋体"/>
          <w:bCs/>
          <w:color w:val="auto"/>
          <w:sz w:val="24"/>
          <w:highlight w:val="none"/>
        </w:rPr>
        <w:t>合同模式</w:t>
      </w:r>
      <w:bookmarkEnd w:id="23"/>
    </w:p>
    <w:p w14:paraId="4065A20E">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7.1 </w:t>
      </w:r>
      <w:r>
        <w:rPr>
          <w:rFonts w:hint="eastAsia" w:ascii="宋体" w:hAnsi="宋体" w:eastAsia="宋体"/>
          <w:color w:val="auto"/>
          <w:sz w:val="24"/>
          <w:highlight w:val="none"/>
        </w:rPr>
        <w:t>本项目合同期为</w:t>
      </w:r>
      <w:r>
        <w:rPr>
          <w:rFonts w:hint="eastAsia" w:ascii="宋体" w:hAnsi="宋体" w:eastAsia="宋体"/>
          <w:color w:val="auto"/>
          <w:sz w:val="24"/>
          <w:highlight w:val="none"/>
          <w:u w:val="single"/>
          <w:lang w:val="en-US" w:eastAsia="zh-CN"/>
        </w:rPr>
        <w:t xml:space="preserve"> 1096日历天  </w:t>
      </w:r>
      <w:r>
        <w:rPr>
          <w:rFonts w:hint="eastAsia" w:ascii="宋体" w:hAnsi="宋体" w:eastAsia="宋体"/>
          <w:color w:val="auto"/>
          <w:sz w:val="24"/>
          <w:highlight w:val="none"/>
        </w:rPr>
        <w:t>。</w:t>
      </w:r>
    </w:p>
    <w:p w14:paraId="1EB846AE">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7.2 </w:t>
      </w:r>
      <w:r>
        <w:rPr>
          <w:rFonts w:hint="eastAsia" w:ascii="宋体" w:hAnsi="宋体" w:eastAsia="宋体"/>
          <w:color w:val="auto"/>
          <w:sz w:val="24"/>
          <w:highlight w:val="none"/>
        </w:rPr>
        <w:t>沟通与协商</w:t>
      </w:r>
    </w:p>
    <w:p w14:paraId="63B564F8">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当对合同文件内容发生争议或合同文件未能全面涵盖的事项或时，在不影响</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正常进行的情况下，鼓励并提倡由双方充分沟通、协商解决。双方多层面、多次沟通、协商不成时，再按本合同条款第</w:t>
      </w:r>
      <w:r>
        <w:rPr>
          <w:rFonts w:ascii="宋体" w:hAnsi="宋体" w:eastAsia="宋体"/>
          <w:color w:val="auto"/>
          <w:sz w:val="24"/>
          <w:highlight w:val="none"/>
        </w:rPr>
        <w:t>26</w:t>
      </w:r>
      <w:r>
        <w:rPr>
          <w:rFonts w:hint="eastAsia" w:ascii="宋体" w:hAnsi="宋体" w:eastAsia="宋体"/>
          <w:color w:val="auto"/>
          <w:sz w:val="24"/>
          <w:highlight w:val="none"/>
        </w:rPr>
        <w:t>款有关争议的规定处理。</w:t>
      </w:r>
    </w:p>
    <w:p w14:paraId="0D2963AB">
      <w:pPr>
        <w:spacing w:line="40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7.3 运行维护工作要求</w:t>
      </w:r>
    </w:p>
    <w:p w14:paraId="60B34F50">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①工作目标</w:t>
      </w:r>
    </w:p>
    <w:p w14:paraId="56DEEE1E">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借鉴国内外水利行业的先进管理理念，对标国内外重大公共基础设施项目的全生命管理流程，以专业化、国际化、数</w:t>
      </w:r>
      <w:r>
        <w:rPr>
          <w:rFonts w:hint="eastAsia" w:ascii="宋体" w:hAnsi="宋体"/>
          <w:color w:val="auto"/>
          <w:sz w:val="24"/>
          <w:highlight w:val="none"/>
          <w:lang w:val="en-US" w:eastAsia="zh-CN"/>
        </w:rPr>
        <w:t>智</w:t>
      </w:r>
      <w:r>
        <w:rPr>
          <w:rFonts w:hint="eastAsia" w:ascii="宋体" w:hAnsi="宋体" w:eastAsia="宋体"/>
          <w:color w:val="auto"/>
          <w:sz w:val="24"/>
          <w:highlight w:val="none"/>
        </w:rPr>
        <w:t>化、信息化、产业化、一体化为导向，引进ESG</w:t>
      </w:r>
      <w:r>
        <w:rPr>
          <w:rFonts w:hint="eastAsia" w:ascii="宋体" w:hAnsi="宋体"/>
          <w:color w:val="auto"/>
          <w:sz w:val="24"/>
          <w:highlight w:val="none"/>
          <w:lang w:val="en-US" w:eastAsia="zh-CN"/>
        </w:rPr>
        <w:t>管理</w:t>
      </w:r>
      <w:r>
        <w:rPr>
          <w:rFonts w:hint="eastAsia" w:ascii="宋体" w:hAnsi="宋体" w:eastAsia="宋体"/>
          <w:color w:val="auto"/>
          <w:sz w:val="24"/>
          <w:highlight w:val="none"/>
        </w:rPr>
        <w:t>体系的相关工作要求，持续改进提升南沙区水利设施运行维护成效和技术水平，致力于打造行业内水利设施运行维护的标杆项目。</w:t>
      </w:r>
    </w:p>
    <w:p w14:paraId="278560AE">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②融合发展</w:t>
      </w:r>
    </w:p>
    <w:p w14:paraId="17DEAC60">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南沙区水利设施需与南沙区排水设施、供水设施等水务设施一体化、综合化、融合部署与发展，需结合各镇街位置与水务设施分布情况，合理部署与规划，避免冲突等情况。</w:t>
      </w:r>
    </w:p>
    <w:p w14:paraId="076BDB6C">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③社会效益</w:t>
      </w:r>
    </w:p>
    <w:p w14:paraId="49F81C31">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本项目在保证完成水利设施运行维护与防洪调度两大主要任务之外，还需创造一些社会效益，结合市场需求，培育一批“水经济”、“水文化”名片，“以水养水”，带动区域内经济社会发展，为南沙区定位“湾区之心”的发展注入澎湃动力。本项目鼓励</w:t>
      </w:r>
      <w:r>
        <w:rPr>
          <w:rFonts w:hint="eastAsia" w:ascii="宋体" w:hAnsi="宋体"/>
          <w:color w:val="auto"/>
          <w:sz w:val="24"/>
          <w:highlight w:val="none"/>
          <w:lang w:eastAsia="zh-CN"/>
        </w:rPr>
        <w:t>承包人</w:t>
      </w:r>
      <w:r>
        <w:rPr>
          <w:rFonts w:hint="eastAsia" w:ascii="宋体" w:hAnsi="宋体" w:eastAsia="宋体"/>
          <w:color w:val="auto"/>
          <w:sz w:val="24"/>
          <w:highlight w:val="none"/>
        </w:rPr>
        <w:t>使用自有资金，在不违反相关法律法规并且征得</w:t>
      </w:r>
      <w:r>
        <w:rPr>
          <w:rFonts w:hint="eastAsia" w:ascii="宋体" w:hAnsi="宋体"/>
          <w:color w:val="auto"/>
          <w:sz w:val="24"/>
          <w:highlight w:val="none"/>
          <w:lang w:val="en-US" w:eastAsia="zh-CN"/>
        </w:rPr>
        <w:t>发包人</w:t>
      </w:r>
      <w:r>
        <w:rPr>
          <w:rFonts w:hint="eastAsia" w:ascii="宋体" w:hAnsi="宋体" w:eastAsia="宋体"/>
          <w:color w:val="auto"/>
          <w:sz w:val="24"/>
          <w:highlight w:val="none"/>
        </w:rPr>
        <w:t>同意的前提下，盘活利用水利设施资产、水资源，对运行维护范围内的水利设施建设附属设施或改善设施的面貌（如生态旅游设施、绿色能源设施等），提升水利工程的整体效益。</w:t>
      </w:r>
      <w:r>
        <w:rPr>
          <w:rFonts w:hint="eastAsia" w:ascii="宋体" w:hAnsi="宋体"/>
          <w:color w:val="auto"/>
          <w:sz w:val="24"/>
          <w:highlight w:val="none"/>
          <w:lang w:eastAsia="zh-CN"/>
        </w:rPr>
        <w:t>承包人</w:t>
      </w:r>
      <w:r>
        <w:rPr>
          <w:rFonts w:hint="eastAsia" w:ascii="宋体" w:hAnsi="宋体"/>
          <w:color w:val="auto"/>
          <w:sz w:val="24"/>
          <w:highlight w:val="none"/>
          <w:lang w:val="en-US" w:eastAsia="zh-CN"/>
        </w:rPr>
        <w:t>应发挥主观能动性，</w:t>
      </w:r>
      <w:r>
        <w:rPr>
          <w:rFonts w:hint="eastAsia" w:ascii="宋体" w:hAnsi="宋体" w:eastAsia="宋体"/>
          <w:color w:val="auto"/>
          <w:sz w:val="24"/>
          <w:highlight w:val="none"/>
        </w:rPr>
        <w:t>盘活水利设施资产、资源，发展水经济、水文化。</w:t>
      </w:r>
    </w:p>
    <w:p w14:paraId="4E7D0466">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④行业引领</w:t>
      </w:r>
    </w:p>
    <w:p w14:paraId="1023E4C9">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在3年的运行维护项目合同期内，吸收行业内先进的管理理念、标准规范，结合现场运维经验，制定一批适用广东省范围内流域水系特色的地方标准；针对水利行业的关键需求、存在挑战，开展水利相关应用型科研，产出一些推动行业发展的应用成果，为水利决策提供科学可靠的参考依据；定期总结运行维护经验与痛点</w:t>
      </w:r>
      <w:r>
        <w:rPr>
          <w:rFonts w:hint="eastAsia" w:ascii="宋体" w:hAnsi="宋体"/>
          <w:color w:val="auto"/>
          <w:sz w:val="24"/>
          <w:highlight w:val="none"/>
          <w:lang w:eastAsia="zh-CN"/>
        </w:rPr>
        <w:t>、</w:t>
      </w:r>
      <w:r>
        <w:rPr>
          <w:rFonts w:hint="eastAsia" w:ascii="宋体" w:hAnsi="宋体" w:eastAsia="宋体"/>
          <w:color w:val="auto"/>
          <w:sz w:val="24"/>
          <w:highlight w:val="none"/>
        </w:rPr>
        <w:t>难点，为南沙区水利设施运行维护制定符合南沙水利发展方向、满足南沙区内经济社会发展要求以及大湾区定位的超前规划、顶层设计，真正做到“行业标杆，行业引领”。</w:t>
      </w:r>
    </w:p>
    <w:p w14:paraId="77E9ABE8">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⑤</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数智化</w:t>
      </w:r>
      <w:r>
        <w:rPr>
          <w:rFonts w:hint="eastAsia" w:ascii="宋体" w:hAnsi="宋体"/>
          <w:color w:val="auto"/>
          <w:sz w:val="24"/>
          <w:highlight w:val="none"/>
          <w:lang w:eastAsia="zh-CN"/>
        </w:rPr>
        <w:t>”</w:t>
      </w:r>
      <w:r>
        <w:rPr>
          <w:rFonts w:hint="eastAsia" w:ascii="宋体" w:hAnsi="宋体" w:eastAsia="宋体"/>
          <w:color w:val="auto"/>
          <w:sz w:val="24"/>
          <w:highlight w:val="none"/>
        </w:rPr>
        <w:t>提升</w:t>
      </w:r>
    </w:p>
    <w:p w14:paraId="49E9E6DD">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目前南沙区水利设施的信息化、智能化水平较低，且部分老旧水利设施不具备接入信息化设备的基础条件。</w:t>
      </w:r>
      <w:r>
        <w:rPr>
          <w:rFonts w:hint="eastAsia" w:ascii="宋体" w:hAnsi="宋体"/>
          <w:color w:val="auto"/>
          <w:sz w:val="24"/>
          <w:highlight w:val="none"/>
          <w:lang w:eastAsia="zh-CN"/>
        </w:rPr>
        <w:t>承包人</w:t>
      </w:r>
      <w:r>
        <w:rPr>
          <w:rFonts w:hint="eastAsia" w:ascii="宋体" w:hAnsi="宋体" w:eastAsia="宋体"/>
          <w:color w:val="auto"/>
          <w:sz w:val="24"/>
          <w:highlight w:val="none"/>
        </w:rPr>
        <w:t>要结合南沙区水利设施现状，主动担当作为，推进信息化提升、跨步前进。</w:t>
      </w:r>
      <w:r>
        <w:rPr>
          <w:rFonts w:hint="eastAsia" w:ascii="宋体" w:hAnsi="宋体"/>
          <w:color w:val="auto"/>
          <w:sz w:val="24"/>
          <w:highlight w:val="none"/>
          <w:lang w:val="en-US" w:eastAsia="zh-CN"/>
        </w:rPr>
        <w:t>承包人应</w:t>
      </w:r>
      <w:r>
        <w:rPr>
          <w:rFonts w:hint="eastAsia" w:ascii="宋体" w:hAnsi="宋体" w:eastAsia="宋体"/>
          <w:color w:val="auto"/>
          <w:sz w:val="24"/>
          <w:highlight w:val="none"/>
        </w:rPr>
        <w:t>采用应用型科研落地的形式实现</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数智化</w:t>
      </w:r>
      <w:r>
        <w:rPr>
          <w:rFonts w:hint="eastAsia" w:ascii="宋体" w:hAnsi="宋体"/>
          <w:color w:val="auto"/>
          <w:sz w:val="24"/>
          <w:highlight w:val="none"/>
          <w:lang w:eastAsia="zh-CN"/>
        </w:rPr>
        <w:t>”</w:t>
      </w:r>
      <w:r>
        <w:rPr>
          <w:rFonts w:hint="eastAsia" w:ascii="宋体" w:hAnsi="宋体" w:eastAsia="宋体"/>
          <w:color w:val="auto"/>
          <w:sz w:val="24"/>
          <w:highlight w:val="none"/>
        </w:rPr>
        <w:t>提升，兼具信息安全、网络安全，朝着“覆盖面广、精准度高、故障率低、响应迅速、数据可靠、共享性高”的方向研究开发。</w:t>
      </w:r>
    </w:p>
    <w:p w14:paraId="4517FF27">
      <w:pPr>
        <w:spacing w:line="400" w:lineRule="exact"/>
        <w:ind w:firstLine="480" w:firstLineChars="200"/>
        <w:rPr>
          <w:rFonts w:hint="eastAsia" w:ascii="宋体" w:hAnsi="宋体"/>
          <w:color w:val="auto"/>
          <w:sz w:val="24"/>
          <w:highlight w:val="none"/>
          <w:lang w:val="en-US" w:eastAsia="zh-CN"/>
        </w:rPr>
      </w:pPr>
    </w:p>
    <w:p w14:paraId="536B7531">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7.4 ESG</w:t>
      </w:r>
      <w:r>
        <w:rPr>
          <w:rFonts w:hint="eastAsia" w:ascii="宋体" w:hAnsi="宋体"/>
          <w:color w:val="auto"/>
          <w:sz w:val="24"/>
          <w:highlight w:val="none"/>
          <w:lang w:val="en-US" w:eastAsia="zh-Hans"/>
        </w:rPr>
        <w:t>工作内容及</w:t>
      </w:r>
      <w:r>
        <w:rPr>
          <w:rFonts w:hint="eastAsia" w:ascii="宋体" w:hAnsi="宋体"/>
          <w:color w:val="auto"/>
          <w:sz w:val="24"/>
          <w:highlight w:val="none"/>
          <w:lang w:val="en-US" w:eastAsia="zh-CN"/>
        </w:rPr>
        <w:t>管理要求</w:t>
      </w:r>
    </w:p>
    <w:p w14:paraId="1038187F">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为推动本项目可持续发展，依照相关法律法规要求，强化动态管理能力，持续优化项目治理水平，提升项目绩效和价值。承包人应将环境、社会及治理理念全过程融入本项目运行维护全过程，建立健全本项目的ESG 管理体系。</w:t>
      </w:r>
    </w:p>
    <w:p w14:paraId="786FB48C">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承包人应根据项目情况识别</w:t>
      </w:r>
      <w:r>
        <w:rPr>
          <w:rFonts w:hint="eastAsia" w:ascii="宋体" w:hAnsi="宋体"/>
          <w:color w:val="auto"/>
          <w:sz w:val="24"/>
          <w:highlight w:val="none"/>
          <w:lang w:val="en-US" w:eastAsia="zh-CN"/>
        </w:rPr>
        <w:t>并</w:t>
      </w:r>
      <w:r>
        <w:rPr>
          <w:rFonts w:hint="eastAsia" w:ascii="宋体" w:hAnsi="宋体" w:eastAsia="宋体"/>
          <w:color w:val="auto"/>
          <w:sz w:val="24"/>
          <w:highlight w:val="none"/>
        </w:rPr>
        <w:t>提出不少于6项水利工程养护关键指标，不同场景、不同阶段指标可不同，但一定要能反映项目核心问题。包括但不限于：管养指标完成率、风险管理与应急能力（水利设施损坏处置措施、极端暴雨、风暴潮应急措施及机制流程等）、信息化（数字化、智能化、协同化等）、文明施工管理（生态环境保护、绿色低碳材料使用、噪音控制、建筑废弃物、扬尘、泥浆水处理等）、多方联动机制。</w:t>
      </w:r>
    </w:p>
    <w:p w14:paraId="409C6A3C">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水利工程养护关键指标具体由承包人提出，以发包人确认为准。</w:t>
      </w:r>
      <w:r>
        <w:rPr>
          <w:rFonts w:hint="eastAsia" w:ascii="宋体" w:hAnsi="宋体"/>
          <w:color w:val="auto"/>
          <w:sz w:val="24"/>
          <w:highlight w:val="none"/>
          <w:lang w:val="en-US" w:eastAsia="zh-CN"/>
        </w:rPr>
        <w:t xml:space="preserve"> </w:t>
      </w:r>
    </w:p>
    <w:p w14:paraId="6048FC59">
      <w:pPr>
        <w:spacing w:line="400" w:lineRule="exact"/>
        <w:ind w:firstLine="480" w:firstLineChars="200"/>
        <w:rPr>
          <w:rFonts w:hint="eastAsia" w:ascii="宋体" w:hAnsi="宋体" w:eastAsia="宋体"/>
          <w:color w:val="auto"/>
          <w:sz w:val="24"/>
          <w:highlight w:val="none"/>
        </w:rPr>
      </w:pPr>
      <w:r>
        <w:rPr>
          <w:rFonts w:hint="eastAsia" w:ascii="宋体" w:hAnsi="宋体"/>
          <w:color w:val="auto"/>
          <w:sz w:val="24"/>
          <w:highlight w:val="none"/>
          <w:lang w:val="en-US" w:eastAsia="zh-CN"/>
        </w:rPr>
        <w:t>7.4.</w:t>
      </w:r>
      <w:r>
        <w:rPr>
          <w:rFonts w:hint="eastAsia" w:ascii="宋体" w:hAnsi="宋体" w:eastAsia="宋体"/>
          <w:color w:val="auto"/>
          <w:sz w:val="24"/>
          <w:highlight w:val="none"/>
        </w:rPr>
        <w:t>1</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承包人相应的ESG工作内容包括但不限于以下：</w:t>
      </w:r>
    </w:p>
    <w:p w14:paraId="7CFEADF0">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（1）总体要求</w:t>
      </w:r>
    </w:p>
    <w:p w14:paraId="1A2D8BB5">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结合水利工程养护场景特点，重点识别关键指标，制定工作方案，开展治理工作，最终实现绩效提升，并形成ESG典型案例。</w:t>
      </w:r>
    </w:p>
    <w:p w14:paraId="144EF6F0">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color w:val="auto"/>
          <w:sz w:val="24"/>
          <w:highlight w:val="none"/>
          <w:lang w:eastAsia="zh-CN"/>
        </w:rPr>
        <w:t>）</w:t>
      </w:r>
      <w:r>
        <w:rPr>
          <w:rFonts w:hint="eastAsia" w:ascii="宋体" w:hAnsi="宋体" w:eastAsia="宋体"/>
          <w:color w:val="auto"/>
          <w:sz w:val="24"/>
          <w:highlight w:val="none"/>
        </w:rPr>
        <w:t>过程评价</w:t>
      </w:r>
    </w:p>
    <w:p w14:paraId="0055A390">
      <w:pPr>
        <w:spacing w:line="400" w:lineRule="exact"/>
        <w:ind w:firstLine="480" w:firstLineChars="200"/>
        <w:rPr>
          <w:rFonts w:hint="eastAsia" w:ascii="宋体" w:hAnsi="宋体" w:eastAsia="宋体"/>
          <w:color w:val="auto"/>
          <w:sz w:val="24"/>
          <w:highlight w:val="none"/>
        </w:rPr>
      </w:pPr>
      <w:r>
        <w:rPr>
          <w:rFonts w:hint="eastAsia" w:ascii="宋体" w:hAnsi="宋体"/>
          <w:color w:val="auto"/>
          <w:sz w:val="24"/>
          <w:highlight w:val="none"/>
          <w:lang w:val="en-US" w:eastAsia="zh-CN"/>
        </w:rPr>
        <w:t>承包人</w:t>
      </w:r>
      <w:r>
        <w:rPr>
          <w:rFonts w:hint="eastAsia" w:ascii="宋体" w:hAnsi="宋体" w:eastAsia="宋体"/>
          <w:color w:val="auto"/>
          <w:sz w:val="24"/>
          <w:highlight w:val="none"/>
        </w:rPr>
        <w:t>应每季度对 ESG 目标完成情况进行自查，每年编制《ESG 绩效报告》。</w:t>
      </w:r>
    </w:p>
    <w:p w14:paraId="462D0C71">
      <w:pPr>
        <w:spacing w:line="400" w:lineRule="exact"/>
        <w:ind w:firstLine="480" w:firstLineChars="200"/>
        <w:rPr>
          <w:rFonts w:hint="eastAsia" w:ascii="宋体" w:hAnsi="宋体" w:eastAsia="宋体"/>
          <w:color w:val="auto"/>
          <w:sz w:val="24"/>
          <w:highlight w:val="none"/>
        </w:rPr>
      </w:pPr>
      <w:r>
        <w:rPr>
          <w:rFonts w:hint="eastAsia" w:ascii="宋体" w:hAnsi="宋体"/>
          <w:color w:val="auto"/>
          <w:sz w:val="24"/>
          <w:highlight w:val="none"/>
          <w:lang w:val="en-US" w:eastAsia="zh-CN"/>
        </w:rPr>
        <w:t>7.4.</w:t>
      </w:r>
      <w:r>
        <w:rPr>
          <w:rFonts w:hint="eastAsia" w:ascii="宋体" w:hAnsi="宋体" w:eastAsia="宋体"/>
          <w:color w:val="auto"/>
          <w:sz w:val="24"/>
          <w:highlight w:val="none"/>
        </w:rPr>
        <w:t>2</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承包人在工作中落实ESG（环境、社会、治理）要求，包括但不限于以下：</w:t>
      </w:r>
    </w:p>
    <w:p w14:paraId="1A36D64F">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（1）环境责任：</w:t>
      </w:r>
    </w:p>
    <w:p w14:paraId="55A1FD69">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①生物多样性保护：应严格遵守生态保护法律法规，最大限度减少对周边生态系统干扰。禁止破坏堤防、水闸、泵站周边的植被、水域及野生动物栖息地，维护区域生态完整性。</w:t>
      </w:r>
    </w:p>
    <w:p w14:paraId="435A3BFA">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②水污染防治与水资源保护：a）实施严格的防渗、防漏措施，防止油料及化学品泄漏污染水体；b</w:t>
      </w:r>
      <w:r>
        <w:rPr>
          <w:rFonts w:hint="eastAsia" w:ascii="宋体" w:hAnsi="宋体"/>
          <w:color w:val="auto"/>
          <w:sz w:val="24"/>
          <w:highlight w:val="none"/>
          <w:lang w:eastAsia="zh-CN"/>
        </w:rPr>
        <w:t>）</w:t>
      </w:r>
      <w:r>
        <w:rPr>
          <w:rFonts w:hint="eastAsia" w:ascii="宋体" w:hAnsi="宋体" w:eastAsia="宋体"/>
          <w:color w:val="auto"/>
          <w:sz w:val="24"/>
          <w:highlight w:val="none"/>
        </w:rPr>
        <w:t>配合开展水质监测与生态调度，在保障防洪安全前提下，通过优化水闸调度调控改善河涌水质；c</w:t>
      </w:r>
      <w:r>
        <w:rPr>
          <w:rFonts w:hint="eastAsia" w:ascii="宋体" w:hAnsi="宋体"/>
          <w:color w:val="auto"/>
          <w:sz w:val="24"/>
          <w:highlight w:val="none"/>
          <w:lang w:eastAsia="zh-CN"/>
        </w:rPr>
        <w:t>）</w:t>
      </w:r>
      <w:r>
        <w:rPr>
          <w:rFonts w:hint="eastAsia" w:ascii="宋体" w:hAnsi="宋体" w:eastAsia="宋体"/>
          <w:color w:val="auto"/>
          <w:sz w:val="24"/>
          <w:highlight w:val="none"/>
        </w:rPr>
        <w:t>加强水域生态监测，防范管养运维活动引发的水体污染。</w:t>
      </w:r>
    </w:p>
    <w:p w14:paraId="7E0A107C">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③排放与废弃物管理：a）落实扬尘控制措施，包括设置围挡、喷淋及覆盖等；b</w:t>
      </w:r>
      <w:r>
        <w:rPr>
          <w:rFonts w:hint="eastAsia" w:ascii="宋体" w:hAnsi="宋体"/>
          <w:color w:val="auto"/>
          <w:sz w:val="24"/>
          <w:highlight w:val="none"/>
          <w:lang w:eastAsia="zh-CN"/>
        </w:rPr>
        <w:t>）</w:t>
      </w:r>
      <w:r>
        <w:rPr>
          <w:rFonts w:hint="eastAsia" w:ascii="宋体" w:hAnsi="宋体" w:eastAsia="宋体"/>
          <w:color w:val="auto"/>
          <w:sz w:val="24"/>
          <w:highlight w:val="none"/>
        </w:rPr>
        <w:t>优先选用低噪声设备，合理规划高噪声作业时间，降低声环境影响；c</w:t>
      </w:r>
      <w:r>
        <w:rPr>
          <w:rFonts w:hint="eastAsia" w:ascii="宋体" w:hAnsi="宋体"/>
          <w:color w:val="auto"/>
          <w:sz w:val="24"/>
          <w:highlight w:val="none"/>
          <w:lang w:eastAsia="zh-CN"/>
        </w:rPr>
        <w:t>）</w:t>
      </w:r>
      <w:r>
        <w:rPr>
          <w:rFonts w:hint="eastAsia" w:ascii="宋体" w:hAnsi="宋体" w:eastAsia="宋体"/>
          <w:color w:val="auto"/>
          <w:sz w:val="24"/>
          <w:highlight w:val="none"/>
        </w:rPr>
        <w:t>对产生的废弃物进行分类收集与合规处置，严禁随意排放。</w:t>
      </w:r>
    </w:p>
    <w:p w14:paraId="5D2987A7">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④低碳运营与能源管理:a</w:t>
      </w:r>
      <w:r>
        <w:rPr>
          <w:rFonts w:hint="eastAsia" w:ascii="宋体" w:hAnsi="宋体"/>
          <w:color w:val="auto"/>
          <w:sz w:val="24"/>
          <w:highlight w:val="none"/>
          <w:lang w:eastAsia="zh-CN"/>
        </w:rPr>
        <w:t>）</w:t>
      </w:r>
      <w:r>
        <w:rPr>
          <w:rFonts w:hint="eastAsia" w:ascii="宋体" w:hAnsi="宋体" w:eastAsia="宋体"/>
          <w:color w:val="auto"/>
          <w:sz w:val="24"/>
          <w:highlight w:val="none"/>
        </w:rPr>
        <w:t>优先采用节能环保设备、材料与工艺，降低能耗与碳排放；b</w:t>
      </w:r>
      <w:r>
        <w:rPr>
          <w:rFonts w:hint="eastAsia" w:ascii="宋体" w:hAnsi="宋体"/>
          <w:color w:val="auto"/>
          <w:sz w:val="24"/>
          <w:highlight w:val="none"/>
          <w:lang w:eastAsia="zh-CN"/>
        </w:rPr>
        <w:t>）</w:t>
      </w:r>
      <w:r>
        <w:rPr>
          <w:rFonts w:hint="eastAsia" w:ascii="宋体" w:hAnsi="宋体" w:eastAsia="宋体"/>
          <w:color w:val="auto"/>
          <w:sz w:val="24"/>
          <w:highlight w:val="none"/>
        </w:rPr>
        <w:t>合理规划设备使用与运输方案，减少燃油消耗；c</w:t>
      </w:r>
      <w:r>
        <w:rPr>
          <w:rFonts w:hint="eastAsia" w:ascii="宋体" w:hAnsi="宋体"/>
          <w:color w:val="auto"/>
          <w:sz w:val="24"/>
          <w:highlight w:val="none"/>
          <w:lang w:eastAsia="zh-CN"/>
        </w:rPr>
        <w:t>）</w:t>
      </w:r>
      <w:r>
        <w:rPr>
          <w:rFonts w:hint="eastAsia" w:ascii="宋体" w:hAnsi="宋体" w:eastAsia="宋体"/>
          <w:color w:val="auto"/>
          <w:sz w:val="24"/>
          <w:highlight w:val="none"/>
        </w:rPr>
        <w:t>积极探索光伏等绿色能源利用，提升运维过程能源效率。</w:t>
      </w:r>
    </w:p>
    <w:p w14:paraId="16B6D96D">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⑤环境与设施综合治理:加强水利设施管理范围内的环境维护，包括保持堤顶道路平整清洁、堤坡整齐无杂物，实施草皮的科学养护与补植，实现环境整体提升、优美。</w:t>
      </w:r>
    </w:p>
    <w:p w14:paraId="09235ECA">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（2）社会责任</w:t>
      </w:r>
    </w:p>
    <w:p w14:paraId="248382A9">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①员工权益保障：a）严格执行本合同第 9.6 款关于员工权益的约定，确保员工获得合理薪酬、休息休假及劳动保护；b</w:t>
      </w:r>
      <w:r>
        <w:rPr>
          <w:rFonts w:hint="eastAsia" w:ascii="宋体" w:hAnsi="宋体"/>
          <w:color w:val="auto"/>
          <w:sz w:val="24"/>
          <w:highlight w:val="none"/>
          <w:lang w:eastAsia="zh-CN"/>
        </w:rPr>
        <w:t>）</w:t>
      </w:r>
      <w:r>
        <w:rPr>
          <w:rFonts w:hint="eastAsia" w:ascii="宋体" w:hAnsi="宋体" w:eastAsia="宋体"/>
          <w:color w:val="auto"/>
          <w:sz w:val="24"/>
          <w:highlight w:val="none"/>
        </w:rPr>
        <w:t>建立健全职业技能培训体系，提升员工专业能力；c</w:t>
      </w:r>
      <w:r>
        <w:rPr>
          <w:rFonts w:hint="eastAsia" w:ascii="宋体" w:hAnsi="宋体"/>
          <w:color w:val="auto"/>
          <w:sz w:val="24"/>
          <w:highlight w:val="none"/>
          <w:lang w:eastAsia="zh-CN"/>
        </w:rPr>
        <w:t>）</w:t>
      </w:r>
      <w:r>
        <w:rPr>
          <w:rFonts w:hint="eastAsia" w:ascii="宋体" w:hAnsi="宋体" w:eastAsia="宋体"/>
          <w:color w:val="auto"/>
          <w:sz w:val="24"/>
          <w:highlight w:val="none"/>
        </w:rPr>
        <w:t>杜绝歧视、强迫劳动等行为，保障员工合法权益，保护工人健康。</w:t>
      </w:r>
    </w:p>
    <w:p w14:paraId="7A9E68EE">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②防洪安全与公共安全：a）确保堤防、水闸等设施的安全运行，保障人民群众生命财产安全；b</w:t>
      </w:r>
      <w:r>
        <w:rPr>
          <w:rFonts w:hint="eastAsia" w:ascii="宋体" w:hAnsi="宋体"/>
          <w:color w:val="auto"/>
          <w:sz w:val="24"/>
          <w:highlight w:val="none"/>
          <w:lang w:eastAsia="zh-CN"/>
        </w:rPr>
        <w:t>）</w:t>
      </w:r>
      <w:r>
        <w:rPr>
          <w:rFonts w:hint="eastAsia" w:ascii="宋体" w:hAnsi="宋体" w:eastAsia="宋体"/>
          <w:color w:val="auto"/>
          <w:sz w:val="24"/>
          <w:highlight w:val="none"/>
        </w:rPr>
        <w:t>管控水利设施周围人为活动，如钓鱼、游泳等，建立防溺水规范处置方案及应急响应机制，加强防溺水管理；c</w:t>
      </w:r>
      <w:r>
        <w:rPr>
          <w:rFonts w:hint="eastAsia" w:ascii="宋体" w:hAnsi="宋体"/>
          <w:color w:val="auto"/>
          <w:sz w:val="24"/>
          <w:highlight w:val="none"/>
          <w:lang w:eastAsia="zh-CN"/>
        </w:rPr>
        <w:t>）</w:t>
      </w:r>
      <w:r>
        <w:rPr>
          <w:rFonts w:hint="eastAsia" w:ascii="宋体" w:hAnsi="宋体" w:eastAsia="宋体"/>
          <w:color w:val="auto"/>
          <w:sz w:val="24"/>
          <w:highlight w:val="none"/>
        </w:rPr>
        <w:t>建立应急联动机制，配合处置涉及公众安全的突发事件（如汛期险情）；d</w:t>
      </w:r>
      <w:r>
        <w:rPr>
          <w:rFonts w:hint="eastAsia" w:ascii="宋体" w:hAnsi="宋体"/>
          <w:color w:val="auto"/>
          <w:sz w:val="24"/>
          <w:highlight w:val="none"/>
          <w:lang w:eastAsia="zh-CN"/>
        </w:rPr>
        <w:t>）</w:t>
      </w:r>
      <w:r>
        <w:rPr>
          <w:rFonts w:hint="eastAsia" w:ascii="宋体" w:hAnsi="宋体" w:eastAsia="宋体"/>
          <w:color w:val="auto"/>
          <w:sz w:val="24"/>
          <w:highlight w:val="none"/>
        </w:rPr>
        <w:t>水闸启闭、运行维护作业前发布公告，告知周边社区作业范围、时间及可能影响；</w:t>
      </w:r>
    </w:p>
    <w:p w14:paraId="402FB3A7">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③利益相关方参与：建立沟通机制，设立与当地居民的沟通渠道（如镇街或村居联络人），评估运维工作对居民生活、文化的影响，通过问卷调查收集意见，及时回应居民投诉，如噪声、围蔽施工影响交通交通等问题。</w:t>
      </w:r>
    </w:p>
    <w:p w14:paraId="6486D999">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④社会实践：承包人应将社会实践与教育基地建设纳入ESG社会责任体系，探索“实践教育基地”，加强校企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港澳</w:t>
      </w:r>
      <w:r>
        <w:rPr>
          <w:rFonts w:hint="eastAsia" w:ascii="宋体" w:hAnsi="宋体" w:eastAsia="宋体"/>
          <w:color w:val="auto"/>
          <w:sz w:val="24"/>
          <w:highlight w:val="none"/>
        </w:rPr>
        <w:t>合作，面向高校</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港澳</w:t>
      </w:r>
      <w:r>
        <w:rPr>
          <w:rFonts w:hint="eastAsia" w:ascii="宋体" w:hAnsi="宋体" w:eastAsia="宋体"/>
          <w:color w:val="auto"/>
          <w:sz w:val="24"/>
          <w:highlight w:val="none"/>
        </w:rPr>
        <w:t>开放设施管理、智能维护等实践岗位。</w:t>
      </w:r>
    </w:p>
    <w:p w14:paraId="6390B34C">
      <w:pPr>
        <w:spacing w:line="40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⑤对外宣传：承包人应在项目咨询单位的监督指导下，建立南沙区水利设施运行维护公众号。每年至少1篇南沙水务相关报道，定期（每月至少1篇，如项目管理经验/优秀做法、政策/知识科普，每季度1篇深度专题，每年1篇年度报告）及不定期（重大事件3个工作日内、重要节点提前 10 天制定计划并发布1篇系列内容、异常天气情况预警及处理方案）发布项目管理经验、优秀做法、政策科普项目进展、ESG管理经验等，确保内容真实准确、兼顾专业与通俗，形式含图文、短视频；相关内容需经项目咨询单位、发包人审批后发布。</w:t>
      </w:r>
    </w:p>
    <w:p w14:paraId="7519B738">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（3）治理要求</w:t>
      </w:r>
    </w:p>
    <w:p w14:paraId="700EDD75">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①水利设施标准化建设：按照上级部门及业主的要求，根据相关法律法规及政策，开展水利设施标准化建设。</w:t>
      </w:r>
    </w:p>
    <w:p w14:paraId="159B0F03">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②信息化管理：承包人通过</w:t>
      </w:r>
      <w:r>
        <w:rPr>
          <w:rFonts w:hint="eastAsia" w:ascii="宋体" w:hAnsi="宋体"/>
          <w:color w:val="auto"/>
          <w:sz w:val="24"/>
          <w:highlight w:val="none"/>
          <w:lang w:val="en-US" w:eastAsia="zh-CN"/>
        </w:rPr>
        <w:t>自行搭建运行维护</w:t>
      </w:r>
      <w:r>
        <w:rPr>
          <w:rFonts w:hint="eastAsia" w:ascii="宋体" w:hAnsi="宋体" w:eastAsia="宋体"/>
          <w:color w:val="auto"/>
          <w:sz w:val="24"/>
          <w:highlight w:val="none"/>
        </w:rPr>
        <w:t>管理平台，助力提升</w:t>
      </w:r>
      <w:r>
        <w:rPr>
          <w:rFonts w:hint="eastAsia" w:ascii="宋体" w:hAnsi="宋体"/>
          <w:color w:val="auto"/>
          <w:sz w:val="24"/>
          <w:highlight w:val="none"/>
          <w:lang w:val="en-US" w:eastAsia="zh-CN"/>
        </w:rPr>
        <w:t>运行维护管理</w:t>
      </w:r>
      <w:r>
        <w:rPr>
          <w:rFonts w:hint="eastAsia" w:ascii="宋体" w:hAnsi="宋体" w:eastAsia="宋体"/>
          <w:color w:val="auto"/>
          <w:sz w:val="24"/>
          <w:highlight w:val="none"/>
        </w:rPr>
        <w:t>效率，</w:t>
      </w:r>
      <w:r>
        <w:rPr>
          <w:rFonts w:hint="eastAsia" w:ascii="宋体" w:hAnsi="宋体"/>
          <w:color w:val="auto"/>
          <w:sz w:val="24"/>
          <w:highlight w:val="none"/>
          <w:lang w:val="en-US" w:eastAsia="zh-CN"/>
        </w:rPr>
        <w:t>实现内业资料全电子化。通过信息化管理</w:t>
      </w:r>
      <w:r>
        <w:rPr>
          <w:rFonts w:hint="eastAsia" w:ascii="宋体" w:hAnsi="宋体" w:eastAsia="宋体"/>
          <w:color w:val="auto"/>
          <w:sz w:val="24"/>
          <w:highlight w:val="none"/>
        </w:rPr>
        <w:t>提升水利工程应对极端天气（如暴雨、洪水、干旱）的韧性，强化预报、预警、预演、预案的“四预”能力。</w:t>
      </w:r>
    </w:p>
    <w:p w14:paraId="457C4593">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③风险管理与应急处置：a）承包人应识别相关风险（如环境污染事件、工人工资纠纷、与村民冲突），制定应对预案，定期开展风险评估；b）针对突发天气时间（台风、风暴潮、暴雨等）、环境事件（如树木倾倒、地面塌陷、堤防滑移、水闸泵站损坏等）或社会事件（如工人工资纠纷等），建立快速响应机制，确保及时处理并减少影响；c）反腐败与合规管理（强化内部</w:t>
      </w:r>
      <w:r>
        <w:rPr>
          <w:rFonts w:hint="eastAsia" w:ascii="宋体" w:hAnsi="宋体"/>
          <w:color w:val="auto"/>
          <w:sz w:val="24"/>
          <w:highlight w:val="none"/>
          <w:lang w:val="en-US" w:eastAsia="zh-CN"/>
        </w:rPr>
        <w:t>管理</w:t>
      </w:r>
      <w:r>
        <w:rPr>
          <w:rFonts w:hint="eastAsia" w:ascii="宋体" w:hAnsi="宋体" w:eastAsia="宋体"/>
          <w:color w:val="auto"/>
          <w:sz w:val="24"/>
          <w:highlight w:val="none"/>
        </w:rPr>
        <w:t>、确保企业廉洁规范）。</w:t>
      </w:r>
    </w:p>
    <w:p w14:paraId="0B7EEA62">
      <w:pPr>
        <w:spacing w:line="400" w:lineRule="exact"/>
        <w:ind w:firstLine="480" w:firstLineChars="200"/>
        <w:rPr>
          <w:rFonts w:hint="eastAsia" w:ascii="宋体" w:hAnsi="宋体" w:eastAsia="宋体"/>
          <w:color w:val="auto"/>
          <w:sz w:val="24"/>
          <w:highlight w:val="none"/>
        </w:rPr>
      </w:pPr>
      <w:r>
        <w:rPr>
          <w:rFonts w:hint="eastAsia" w:ascii="宋体" w:hAnsi="宋体"/>
          <w:color w:val="auto"/>
          <w:sz w:val="24"/>
          <w:highlight w:val="none"/>
          <w:lang w:val="en-US" w:eastAsia="zh-CN"/>
        </w:rPr>
        <w:t xml:space="preserve">7.4.3 </w:t>
      </w:r>
      <w:r>
        <w:rPr>
          <w:rFonts w:hint="eastAsia" w:ascii="宋体" w:hAnsi="宋体" w:eastAsia="宋体"/>
          <w:color w:val="auto"/>
          <w:sz w:val="24"/>
          <w:highlight w:val="none"/>
        </w:rPr>
        <w:t>ESG绩效评估与改进</w:t>
      </w:r>
    </w:p>
    <w:p w14:paraId="0A83748F">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承包人应每季度对 ESG 目标完成情况进行自查，每年编制《ESG 绩效报告》，内容包括环境措施落实情况、社会贡献、治理合规性及改进计划，随年度运行维护报告一并提交发包人；发包人有权对承包人 ESG 执行情况进行监督检查，评估结果纳入履约评价体系（参照第 13 款），对未达要求的，责令限期整改，整改不到位的按本合同第 24.2 款视为违约，情节严重（如造成重大环境污染或劳工事故），发包人可解除合同。</w:t>
      </w:r>
    </w:p>
    <w:p w14:paraId="548F5B96">
      <w:pPr>
        <w:spacing w:line="400" w:lineRule="exact"/>
        <w:ind w:firstLine="480" w:firstLineChars="200"/>
        <w:rPr>
          <w:rFonts w:hint="eastAsia" w:ascii="宋体" w:hAnsi="宋体" w:eastAsia="宋体"/>
          <w:color w:val="auto"/>
          <w:sz w:val="24"/>
          <w:highlight w:val="none"/>
        </w:rPr>
      </w:pPr>
    </w:p>
    <w:p w14:paraId="194D2733">
      <w:pPr>
        <w:spacing w:line="400" w:lineRule="exact"/>
        <w:ind w:firstLine="480" w:firstLineChars="200"/>
        <w:outlineLvl w:val="3"/>
        <w:rPr>
          <w:rFonts w:ascii="宋体" w:hAnsi="宋体" w:eastAsia="宋体"/>
          <w:bCs/>
          <w:color w:val="auto"/>
          <w:sz w:val="24"/>
          <w:highlight w:val="none"/>
        </w:rPr>
      </w:pPr>
      <w:bookmarkStart w:id="24" w:name="_Toc493406961"/>
      <w:r>
        <w:rPr>
          <w:rFonts w:ascii="宋体" w:hAnsi="宋体" w:eastAsia="宋体"/>
          <w:bCs/>
          <w:color w:val="auto"/>
          <w:sz w:val="24"/>
          <w:highlight w:val="none"/>
        </w:rPr>
        <w:t xml:space="preserve">8. </w:t>
      </w:r>
      <w:r>
        <w:rPr>
          <w:rFonts w:hint="eastAsia" w:ascii="宋体" w:hAnsi="宋体" w:eastAsia="宋体"/>
          <w:bCs/>
          <w:color w:val="auto"/>
          <w:sz w:val="24"/>
          <w:highlight w:val="none"/>
        </w:rPr>
        <w:t>发包人</w:t>
      </w:r>
      <w:bookmarkEnd w:id="24"/>
    </w:p>
    <w:p w14:paraId="15F8D86D">
      <w:pPr>
        <w:spacing w:line="400" w:lineRule="exact"/>
        <w:ind w:firstLine="480" w:firstLineChars="200"/>
        <w:rPr>
          <w:rFonts w:ascii="宋体" w:hAnsi="宋体" w:eastAsia="宋体"/>
          <w:bCs/>
          <w:color w:val="auto"/>
          <w:sz w:val="24"/>
          <w:highlight w:val="none"/>
        </w:rPr>
      </w:pPr>
      <w:r>
        <w:rPr>
          <w:rFonts w:ascii="宋体" w:hAnsi="宋体" w:eastAsia="宋体"/>
          <w:bCs/>
          <w:color w:val="auto"/>
          <w:sz w:val="24"/>
          <w:highlight w:val="none"/>
        </w:rPr>
        <w:t xml:space="preserve">8.1 </w:t>
      </w:r>
      <w:r>
        <w:rPr>
          <w:rFonts w:hint="eastAsia" w:ascii="宋体" w:hAnsi="宋体" w:eastAsia="宋体"/>
          <w:bCs/>
          <w:color w:val="auto"/>
          <w:sz w:val="24"/>
          <w:highlight w:val="none"/>
        </w:rPr>
        <w:t>发包人的职责和义务</w:t>
      </w:r>
    </w:p>
    <w:p w14:paraId="13B8996F">
      <w:pPr>
        <w:tabs>
          <w:tab w:val="left" w:pos="0"/>
          <w:tab w:val="left" w:pos="1080"/>
        </w:tabs>
        <w:spacing w:line="400" w:lineRule="exact"/>
        <w:ind w:firstLine="480" w:firstLineChars="200"/>
        <w:jc w:val="left"/>
        <w:rPr>
          <w:rFonts w:ascii="宋体" w:hAnsi="宋体" w:eastAsia="宋体"/>
          <w:color w:val="auto"/>
          <w:sz w:val="24"/>
          <w:highlight w:val="none"/>
        </w:rPr>
      </w:pPr>
      <w:r>
        <w:rPr>
          <w:rFonts w:ascii="宋体" w:hAnsi="宋体" w:eastAsia="宋体"/>
          <w:bCs/>
          <w:color w:val="auto"/>
          <w:sz w:val="24"/>
          <w:highlight w:val="none"/>
        </w:rPr>
        <w:t>8.1.1</w:t>
      </w:r>
      <w:r>
        <w:rPr>
          <w:rFonts w:hint="eastAsia" w:ascii="宋体" w:hAnsi="宋体" w:eastAsia="宋体"/>
          <w:bCs/>
          <w:color w:val="auto"/>
          <w:sz w:val="24"/>
          <w:highlight w:val="none"/>
          <w:lang w:val="en-US" w:eastAsia="zh-CN"/>
        </w:rPr>
        <w:t xml:space="preserve"> </w:t>
      </w:r>
      <w:r>
        <w:rPr>
          <w:rFonts w:hint="eastAsia" w:ascii="宋体" w:hAnsi="宋体" w:eastAsia="宋体"/>
          <w:color w:val="auto"/>
          <w:sz w:val="24"/>
          <w:highlight w:val="none"/>
        </w:rPr>
        <w:t>发包人应按时向承包人提供作业场地，以及作业场地内有关</w:t>
      </w:r>
      <w:r>
        <w:rPr>
          <w:rFonts w:hint="eastAsia" w:ascii="宋体" w:hAnsi="宋体" w:eastAsia="宋体"/>
          <w:color w:val="auto"/>
          <w:sz w:val="24"/>
          <w:highlight w:val="none"/>
          <w:lang w:val="en-US" w:eastAsia="zh-CN"/>
        </w:rPr>
        <w:t>水利</w:t>
      </w:r>
      <w:r>
        <w:rPr>
          <w:rFonts w:hint="eastAsia" w:ascii="宋体" w:hAnsi="宋体" w:eastAsia="宋体"/>
          <w:color w:val="auto"/>
          <w:sz w:val="24"/>
          <w:highlight w:val="none"/>
        </w:rPr>
        <w:t>设施等有关资料，并保证资料的真实、准确、完整。</w:t>
      </w:r>
    </w:p>
    <w:p w14:paraId="4D681F9B">
      <w:pPr>
        <w:tabs>
          <w:tab w:val="left" w:pos="0"/>
          <w:tab w:val="left" w:pos="1080"/>
        </w:tabs>
        <w:spacing w:line="400" w:lineRule="exact"/>
        <w:ind w:firstLine="480" w:firstLineChars="200"/>
        <w:jc w:val="left"/>
        <w:rPr>
          <w:rFonts w:ascii="宋体" w:hAnsi="宋体" w:eastAsia="宋体"/>
          <w:color w:val="auto"/>
          <w:sz w:val="24"/>
          <w:highlight w:val="none"/>
        </w:rPr>
      </w:pPr>
      <w:r>
        <w:rPr>
          <w:rFonts w:ascii="宋体" w:hAnsi="宋体" w:eastAsia="宋体"/>
          <w:bCs/>
          <w:color w:val="auto"/>
          <w:sz w:val="24"/>
          <w:highlight w:val="none"/>
        </w:rPr>
        <w:t>8.1.2</w:t>
      </w:r>
      <w:r>
        <w:rPr>
          <w:rFonts w:hint="eastAsia" w:ascii="宋体" w:hAnsi="宋体" w:eastAsia="宋体"/>
          <w:bCs/>
          <w:color w:val="auto"/>
          <w:sz w:val="24"/>
          <w:highlight w:val="none"/>
          <w:lang w:val="en-US" w:eastAsia="zh-CN"/>
        </w:rPr>
        <w:t xml:space="preserve"> </w:t>
      </w:r>
      <w:r>
        <w:rPr>
          <w:rFonts w:hint="eastAsia" w:ascii="宋体" w:hAnsi="宋体" w:eastAsia="宋体"/>
          <w:color w:val="auto"/>
          <w:sz w:val="24"/>
          <w:highlight w:val="none"/>
        </w:rPr>
        <w:t>发包人在承包人进场后，将集中组织相关单位开展合同交底</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技术交底（明确工作范围），对移交的水利设施现状情况进行确认</w:t>
      </w:r>
      <w:r>
        <w:rPr>
          <w:rFonts w:hint="eastAsia" w:ascii="宋体" w:hAnsi="宋体" w:eastAsia="宋体"/>
          <w:color w:val="auto"/>
          <w:sz w:val="24"/>
          <w:highlight w:val="none"/>
        </w:rPr>
        <w:t>。</w:t>
      </w:r>
    </w:p>
    <w:p w14:paraId="29A456DE">
      <w:pPr>
        <w:spacing w:line="400" w:lineRule="exact"/>
        <w:ind w:firstLine="480" w:firstLineChars="200"/>
        <w:rPr>
          <w:rFonts w:ascii="宋体" w:hAnsi="宋体" w:eastAsia="宋体"/>
          <w:color w:val="auto"/>
          <w:sz w:val="24"/>
          <w:highlight w:val="none"/>
        </w:rPr>
      </w:pPr>
      <w:r>
        <w:rPr>
          <w:rFonts w:ascii="宋体" w:hAnsi="宋体" w:eastAsia="宋体"/>
          <w:bCs/>
          <w:color w:val="auto"/>
          <w:sz w:val="24"/>
          <w:highlight w:val="none"/>
        </w:rPr>
        <w:t>8.1.</w:t>
      </w:r>
      <w:r>
        <w:rPr>
          <w:rFonts w:hint="eastAsia" w:ascii="宋体" w:hAnsi="宋体" w:eastAsia="宋体"/>
          <w:bCs/>
          <w:color w:val="auto"/>
          <w:sz w:val="24"/>
          <w:highlight w:val="none"/>
          <w:lang w:val="en-US" w:eastAsia="zh-CN"/>
        </w:rPr>
        <w:t xml:space="preserve">3 </w:t>
      </w:r>
      <w:r>
        <w:rPr>
          <w:rFonts w:hint="eastAsia" w:ascii="宋体" w:hAnsi="宋体" w:eastAsia="宋体"/>
          <w:color w:val="auto"/>
          <w:sz w:val="24"/>
          <w:highlight w:val="none"/>
        </w:rPr>
        <w:t>发包人应按合同约定向承包人及时支付合同价款。</w:t>
      </w:r>
    </w:p>
    <w:p w14:paraId="5BE2B825">
      <w:pPr>
        <w:spacing w:line="400" w:lineRule="exact"/>
        <w:ind w:firstLine="480" w:firstLineChars="200"/>
        <w:rPr>
          <w:rFonts w:ascii="宋体" w:hAnsi="宋体" w:eastAsia="宋体"/>
          <w:color w:val="auto"/>
          <w:sz w:val="24"/>
          <w:highlight w:val="none"/>
        </w:rPr>
      </w:pPr>
      <w:r>
        <w:rPr>
          <w:rFonts w:ascii="宋体" w:hAnsi="宋体" w:eastAsia="宋体"/>
          <w:bCs/>
          <w:color w:val="auto"/>
          <w:sz w:val="24"/>
          <w:highlight w:val="none"/>
        </w:rPr>
        <w:t>8.1.</w:t>
      </w:r>
      <w:r>
        <w:rPr>
          <w:rFonts w:hint="eastAsia" w:ascii="宋体" w:hAnsi="宋体" w:eastAsia="宋体"/>
          <w:bCs/>
          <w:color w:val="auto"/>
          <w:sz w:val="24"/>
          <w:highlight w:val="none"/>
          <w:lang w:val="en-US" w:eastAsia="zh-CN"/>
        </w:rPr>
        <w:t xml:space="preserve">4 </w:t>
      </w:r>
      <w:r>
        <w:rPr>
          <w:rFonts w:hint="eastAsia" w:ascii="宋体" w:hAnsi="宋体" w:eastAsia="宋体"/>
          <w:color w:val="auto"/>
          <w:sz w:val="24"/>
          <w:highlight w:val="none"/>
        </w:rPr>
        <w:t>负责</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全过程和全方位的监督和管理。</w:t>
      </w:r>
    </w:p>
    <w:p w14:paraId="7039C247">
      <w:pPr>
        <w:spacing w:line="400" w:lineRule="exact"/>
        <w:ind w:firstLine="480" w:firstLineChars="200"/>
        <w:rPr>
          <w:rFonts w:ascii="宋体" w:hAnsi="宋体" w:eastAsia="宋体"/>
          <w:bCs/>
          <w:color w:val="auto"/>
          <w:sz w:val="24"/>
          <w:highlight w:val="none"/>
        </w:rPr>
      </w:pPr>
      <w:bookmarkStart w:id="25" w:name="_Toc493406962"/>
      <w:r>
        <w:rPr>
          <w:rFonts w:ascii="宋体" w:hAnsi="宋体" w:eastAsia="宋体"/>
          <w:bCs/>
          <w:color w:val="auto"/>
          <w:sz w:val="24"/>
          <w:highlight w:val="none"/>
        </w:rPr>
        <w:t xml:space="preserve">8.2 </w:t>
      </w:r>
      <w:r>
        <w:rPr>
          <w:rFonts w:hint="eastAsia" w:ascii="宋体" w:hAnsi="宋体" w:eastAsia="宋体"/>
          <w:bCs/>
          <w:color w:val="auto"/>
          <w:sz w:val="24"/>
          <w:highlight w:val="none"/>
        </w:rPr>
        <w:t>发包人代表</w:t>
      </w:r>
      <w:bookmarkEnd w:id="25"/>
    </w:p>
    <w:p w14:paraId="5E0D907C">
      <w:pPr>
        <w:spacing w:line="400" w:lineRule="exact"/>
        <w:ind w:firstLine="480" w:firstLineChars="200"/>
        <w:rPr>
          <w:rFonts w:ascii="宋体" w:hAnsi="宋体" w:eastAsia="宋体"/>
          <w:color w:val="auto"/>
          <w:sz w:val="24"/>
          <w:highlight w:val="none"/>
        </w:rPr>
      </w:pPr>
      <w:r>
        <w:rPr>
          <w:rFonts w:ascii="宋体" w:hAnsi="宋体" w:eastAsia="宋体"/>
          <w:bCs/>
          <w:color w:val="auto"/>
          <w:sz w:val="24"/>
          <w:highlight w:val="none"/>
        </w:rPr>
        <w:t>8.2.1</w:t>
      </w:r>
      <w:r>
        <w:rPr>
          <w:rFonts w:hint="eastAsia" w:ascii="宋体" w:hAnsi="宋体" w:eastAsia="宋体"/>
          <w:color w:val="auto"/>
          <w:sz w:val="24"/>
          <w:highlight w:val="none"/>
        </w:rPr>
        <w:t>发包人</w:t>
      </w:r>
      <w:r>
        <w:rPr>
          <w:rFonts w:hint="eastAsia" w:ascii="宋体" w:hAnsi="宋体" w:eastAsia="宋体"/>
          <w:color w:val="auto"/>
          <w:sz w:val="24"/>
          <w:highlight w:val="none"/>
          <w:lang w:val="en-US" w:eastAsia="zh-CN"/>
        </w:rPr>
        <w:t>可</w:t>
      </w:r>
      <w:r>
        <w:rPr>
          <w:rFonts w:hint="eastAsia" w:ascii="宋体" w:hAnsi="宋体" w:eastAsia="宋体"/>
          <w:color w:val="auto"/>
          <w:sz w:val="24"/>
          <w:highlight w:val="none"/>
        </w:rPr>
        <w:t>针对本项目的不同业务范围，分别明确相关业务部门</w:t>
      </w:r>
      <w:r>
        <w:rPr>
          <w:rFonts w:hint="eastAsia" w:ascii="宋体" w:hAnsi="宋体" w:eastAsia="宋体"/>
          <w:color w:val="auto"/>
          <w:sz w:val="24"/>
          <w:highlight w:val="none"/>
          <w:lang w:val="en-US" w:eastAsia="zh-CN"/>
        </w:rPr>
        <w:t>或人员</w:t>
      </w:r>
      <w:r>
        <w:rPr>
          <w:rFonts w:hint="eastAsia" w:ascii="宋体" w:hAnsi="宋体" w:eastAsia="宋体"/>
          <w:color w:val="auto"/>
          <w:sz w:val="24"/>
          <w:highlight w:val="none"/>
        </w:rPr>
        <w:t>进行对接并作为发包人代表。发包人代表按合同规定行使职权。</w:t>
      </w:r>
    </w:p>
    <w:p w14:paraId="622683F2">
      <w:pPr>
        <w:spacing w:line="400" w:lineRule="exact"/>
        <w:ind w:firstLine="480" w:firstLineChars="200"/>
        <w:rPr>
          <w:rFonts w:ascii="宋体" w:hAnsi="宋体" w:eastAsia="宋体"/>
          <w:color w:val="auto"/>
          <w:sz w:val="24"/>
          <w:highlight w:val="none"/>
        </w:rPr>
      </w:pPr>
      <w:r>
        <w:rPr>
          <w:rFonts w:ascii="宋体" w:hAnsi="宋体" w:eastAsia="宋体"/>
          <w:bCs/>
          <w:color w:val="auto"/>
          <w:sz w:val="24"/>
          <w:highlight w:val="none"/>
        </w:rPr>
        <w:t>8.2.2</w:t>
      </w:r>
      <w:r>
        <w:rPr>
          <w:rFonts w:ascii="宋体" w:hAnsi="宋体" w:eastAsia="宋体"/>
          <w:color w:val="auto"/>
          <w:sz w:val="24"/>
          <w:highlight w:val="none"/>
        </w:rPr>
        <w:t xml:space="preserve"> </w:t>
      </w:r>
      <w:r>
        <w:rPr>
          <w:rFonts w:hint="eastAsia" w:ascii="宋体" w:hAnsi="宋体" w:eastAsia="宋体"/>
          <w:color w:val="auto"/>
          <w:sz w:val="24"/>
          <w:highlight w:val="none"/>
        </w:rPr>
        <w:t>发包人代表的指令、通知由其本人签字后，以书面形式交给</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在回执上签署姓名和收到时间后生效。必要时，发包人代表可发出口头指令，并在</w:t>
      </w:r>
      <w:r>
        <w:rPr>
          <w:rFonts w:ascii="宋体" w:hAnsi="宋体" w:eastAsia="宋体"/>
          <w:color w:val="auto"/>
          <w:sz w:val="24"/>
          <w:highlight w:val="none"/>
        </w:rPr>
        <w:t>48</w:t>
      </w:r>
      <w:r>
        <w:rPr>
          <w:rFonts w:hint="eastAsia" w:ascii="宋体" w:hAnsi="宋体" w:eastAsia="宋体"/>
          <w:color w:val="auto"/>
          <w:sz w:val="24"/>
          <w:highlight w:val="none"/>
        </w:rPr>
        <w:t>小时内给予书面确认，承包人对发包人代表的指令应予执行。发包人代表不能及时给予书面确认的，承包人应于发包人代表发出口头指令后</w:t>
      </w:r>
      <w:r>
        <w:rPr>
          <w:rFonts w:ascii="宋体" w:hAnsi="宋体" w:eastAsia="宋体"/>
          <w:color w:val="auto"/>
          <w:sz w:val="24"/>
          <w:highlight w:val="none"/>
        </w:rPr>
        <w:t>7</w:t>
      </w:r>
      <w:r>
        <w:rPr>
          <w:rFonts w:hint="eastAsia" w:ascii="宋体" w:hAnsi="宋体" w:eastAsia="宋体"/>
          <w:color w:val="auto"/>
          <w:sz w:val="24"/>
          <w:highlight w:val="none"/>
        </w:rPr>
        <w:t>天内提出书面确认要求。发包人代表在承包人提出确认要求后</w:t>
      </w:r>
      <w:r>
        <w:rPr>
          <w:rFonts w:ascii="宋体" w:hAnsi="宋体" w:eastAsia="宋体"/>
          <w:color w:val="auto"/>
          <w:sz w:val="24"/>
          <w:highlight w:val="none"/>
        </w:rPr>
        <w:t>48</w:t>
      </w:r>
      <w:r>
        <w:rPr>
          <w:rFonts w:hint="eastAsia" w:ascii="宋体" w:hAnsi="宋体" w:eastAsia="宋体"/>
          <w:color w:val="auto"/>
          <w:sz w:val="24"/>
          <w:highlight w:val="none"/>
        </w:rPr>
        <w:t>小时内不予答复的，视为口头指令已被确认。</w:t>
      </w:r>
    </w:p>
    <w:p w14:paraId="150ED810">
      <w:pPr>
        <w:spacing w:line="400" w:lineRule="exact"/>
        <w:ind w:firstLine="480" w:firstLineChars="200"/>
        <w:rPr>
          <w:rFonts w:ascii="宋体" w:hAnsi="宋体" w:eastAsia="宋体"/>
          <w:color w:val="auto"/>
          <w:sz w:val="24"/>
          <w:highlight w:val="none"/>
        </w:rPr>
      </w:pPr>
      <w:r>
        <w:rPr>
          <w:rFonts w:ascii="宋体" w:hAnsi="宋体" w:eastAsia="宋体"/>
          <w:bCs/>
          <w:color w:val="auto"/>
          <w:sz w:val="24"/>
          <w:highlight w:val="none"/>
        </w:rPr>
        <w:t>8.2.3</w:t>
      </w:r>
      <w:r>
        <w:rPr>
          <w:rFonts w:hint="eastAsia" w:ascii="宋体" w:hAnsi="宋体" w:eastAsia="宋体"/>
          <w:color w:val="auto"/>
          <w:sz w:val="24"/>
          <w:highlight w:val="none"/>
        </w:rPr>
        <w:t>发包人代表应按合同规定，及时向承包人提供所需指令、批准并履行规定的其他义务。</w:t>
      </w:r>
    </w:p>
    <w:p w14:paraId="5480BAD1">
      <w:pPr>
        <w:spacing w:line="400" w:lineRule="exact"/>
        <w:ind w:firstLine="480" w:firstLineChars="200"/>
        <w:rPr>
          <w:rFonts w:hint="eastAsia" w:ascii="宋体" w:hAnsi="宋体" w:eastAsia="宋体"/>
          <w:color w:val="auto"/>
          <w:sz w:val="24"/>
          <w:highlight w:val="none"/>
        </w:rPr>
      </w:pPr>
      <w:r>
        <w:rPr>
          <w:rFonts w:ascii="宋体" w:hAnsi="宋体" w:eastAsia="宋体"/>
          <w:bCs/>
          <w:color w:val="auto"/>
          <w:sz w:val="24"/>
          <w:highlight w:val="none"/>
        </w:rPr>
        <w:t>8.2.4</w:t>
      </w:r>
      <w:r>
        <w:rPr>
          <w:rFonts w:hint="eastAsia" w:ascii="宋体" w:hAnsi="宋体" w:eastAsia="宋体"/>
          <w:color w:val="auto"/>
          <w:sz w:val="24"/>
          <w:highlight w:val="none"/>
        </w:rPr>
        <w:t>如需更换发包人代表，发包人应至少提前</w:t>
      </w:r>
      <w:r>
        <w:rPr>
          <w:rFonts w:ascii="宋体" w:hAnsi="宋体" w:eastAsia="宋体"/>
          <w:color w:val="auto"/>
          <w:sz w:val="24"/>
          <w:highlight w:val="none"/>
        </w:rPr>
        <w:t>7</w:t>
      </w:r>
      <w:r>
        <w:rPr>
          <w:rFonts w:hint="eastAsia" w:ascii="宋体" w:hAnsi="宋体" w:eastAsia="宋体"/>
          <w:color w:val="auto"/>
          <w:sz w:val="24"/>
          <w:highlight w:val="none"/>
        </w:rPr>
        <w:t>天以书面形式通知承包人，后任继续行使合同文件规定的职权，履行合同文件规定的义务。</w:t>
      </w:r>
    </w:p>
    <w:p w14:paraId="3D83898A">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8.3 项目咨询单位</w:t>
      </w:r>
    </w:p>
    <w:p w14:paraId="2C53681C">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项目咨询单位受发包人委托，协助履行全过程项目管理职能，以“五控三管一协调”（安全、质量、工期、投资、合规控制；合同、信息、档案管理；参建方协调）为核心，覆盖项目开工至验收全周期，具体包括：</w:t>
      </w:r>
    </w:p>
    <w:p w14:paraId="7C8EACDB">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①前期策划与审批协同：审核承包人运行维护方案、应急预案、调度运行计划、超危大工程专项方案等方案预案，组织专家论证，报发包人审定后监督执行；</w:t>
      </w:r>
    </w:p>
    <w:p w14:paraId="5EA3A6CF">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②质量安全：每日现场巡查，每月开展安全文明检查。</w:t>
      </w:r>
    </w:p>
    <w:p w14:paraId="4C419C05">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③进度管控：定期召开进度协调会，将进展情况和需要协调解决的问题同步报送发包人。</w:t>
      </w:r>
    </w:p>
    <w:p w14:paraId="53DA1EC5">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④投资控制：审核计量支付申请，建立计量支付、变更台账，提出优化建议。</w:t>
      </w:r>
    </w:p>
    <w:p w14:paraId="24D69320">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⑤负责造价全过程审核，重点核查工程量清单准确性、变更签证合规性；审查分包资质、履约担保等合同要素，建立履约档案，牵头处理索赔争议。</w:t>
      </w:r>
    </w:p>
    <w:p w14:paraId="3C357697">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⑥技术指导与评估：应依据日常检查情况，结合水利设施运行维护的工作实际及相关规范标准，对承包人的工作成效进行持续评估，并提供专业技术指导，协助承包人优化管养措施，提升运行维护质量与安全管理水平。</w:t>
      </w:r>
    </w:p>
    <w:p w14:paraId="0AC196F8">
      <w:pPr>
        <w:spacing w:line="40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⑦发包人委托的其他工作。</w:t>
      </w:r>
    </w:p>
    <w:p w14:paraId="5F6DD03D">
      <w:pPr>
        <w:spacing w:line="400" w:lineRule="exact"/>
        <w:ind w:firstLine="480" w:firstLineChars="200"/>
        <w:rPr>
          <w:rFonts w:ascii="宋体" w:hAnsi="宋体" w:eastAsia="宋体"/>
          <w:color w:val="auto"/>
          <w:sz w:val="24"/>
          <w:highlight w:val="none"/>
        </w:rPr>
      </w:pPr>
    </w:p>
    <w:p w14:paraId="21A5ECAD">
      <w:pPr>
        <w:spacing w:line="400" w:lineRule="exact"/>
        <w:ind w:firstLine="480" w:firstLineChars="200"/>
        <w:outlineLvl w:val="3"/>
        <w:rPr>
          <w:rFonts w:ascii="宋体" w:hAnsi="宋体" w:eastAsia="宋体"/>
          <w:bCs/>
          <w:color w:val="auto"/>
          <w:sz w:val="24"/>
          <w:highlight w:val="none"/>
        </w:rPr>
      </w:pPr>
      <w:bookmarkStart w:id="26" w:name="_Toc493406963"/>
      <w:r>
        <w:rPr>
          <w:rFonts w:hint="default" w:ascii="宋体" w:hAnsi="宋体" w:eastAsia="宋体"/>
          <w:bCs/>
          <w:color w:val="auto"/>
          <w:sz w:val="24"/>
          <w:highlight w:val="none"/>
          <w:lang w:eastAsia="zh-CN"/>
        </w:rPr>
        <w:t>9</w:t>
      </w:r>
      <w:r>
        <w:rPr>
          <w:rFonts w:ascii="宋体" w:hAnsi="宋体" w:eastAsia="宋体"/>
          <w:bCs/>
          <w:color w:val="auto"/>
          <w:sz w:val="24"/>
          <w:highlight w:val="none"/>
        </w:rPr>
        <w:t xml:space="preserve">. </w:t>
      </w:r>
      <w:r>
        <w:rPr>
          <w:rFonts w:hint="eastAsia" w:ascii="宋体" w:hAnsi="宋体" w:eastAsia="宋体"/>
          <w:bCs/>
          <w:color w:val="auto"/>
          <w:sz w:val="24"/>
          <w:highlight w:val="none"/>
        </w:rPr>
        <w:t>承包人</w:t>
      </w:r>
      <w:bookmarkEnd w:id="26"/>
    </w:p>
    <w:p w14:paraId="58EA7962">
      <w:pPr>
        <w:spacing w:line="400" w:lineRule="exact"/>
        <w:ind w:firstLine="480" w:firstLineChars="200"/>
        <w:rPr>
          <w:rFonts w:ascii="宋体" w:hAnsi="宋体" w:eastAsia="宋体"/>
          <w:color w:val="auto"/>
          <w:sz w:val="24"/>
          <w:highlight w:val="none"/>
        </w:rPr>
      </w:pPr>
      <w:r>
        <w:rPr>
          <w:rFonts w:hint="default" w:ascii="宋体" w:hAnsi="宋体" w:eastAsia="宋体"/>
          <w:color w:val="auto"/>
          <w:sz w:val="24"/>
          <w:highlight w:val="none"/>
          <w:lang w:eastAsia="zh-CN"/>
        </w:rPr>
        <w:t>9</w:t>
      </w:r>
      <w:r>
        <w:rPr>
          <w:rFonts w:ascii="宋体" w:hAnsi="宋体" w:eastAsia="宋体"/>
          <w:color w:val="auto"/>
          <w:sz w:val="24"/>
          <w:highlight w:val="none"/>
        </w:rPr>
        <w:t xml:space="preserve">.1 </w:t>
      </w:r>
      <w:r>
        <w:rPr>
          <w:rFonts w:hint="eastAsia" w:ascii="宋体" w:hAnsi="宋体" w:eastAsia="宋体"/>
          <w:color w:val="auto"/>
          <w:sz w:val="24"/>
          <w:highlight w:val="none"/>
        </w:rPr>
        <w:t>承包人的一般义务</w:t>
      </w:r>
    </w:p>
    <w:p w14:paraId="76E315C3">
      <w:pPr>
        <w:spacing w:line="400" w:lineRule="exact"/>
        <w:ind w:firstLine="480" w:firstLineChars="200"/>
        <w:rPr>
          <w:rFonts w:ascii="宋体" w:hAnsi="宋体" w:eastAsia="宋体"/>
          <w:color w:val="auto"/>
          <w:sz w:val="24"/>
          <w:highlight w:val="none"/>
        </w:rPr>
      </w:pPr>
      <w:r>
        <w:rPr>
          <w:rFonts w:hint="default" w:ascii="宋体" w:hAnsi="宋体" w:eastAsia="宋体"/>
          <w:color w:val="auto"/>
          <w:sz w:val="24"/>
          <w:highlight w:val="none"/>
          <w:lang w:eastAsia="zh-CN"/>
        </w:rPr>
        <w:t>9</w:t>
      </w:r>
      <w:r>
        <w:rPr>
          <w:rFonts w:ascii="宋体" w:hAnsi="宋体" w:eastAsia="宋体"/>
          <w:color w:val="auto"/>
          <w:sz w:val="24"/>
          <w:highlight w:val="none"/>
        </w:rPr>
        <w:t xml:space="preserve">.1.1 </w:t>
      </w:r>
      <w:r>
        <w:rPr>
          <w:rFonts w:hint="eastAsia" w:ascii="宋体" w:hAnsi="宋体" w:eastAsia="宋体"/>
          <w:color w:val="auto"/>
          <w:sz w:val="24"/>
          <w:highlight w:val="none"/>
        </w:rPr>
        <w:t>遵守法律</w:t>
      </w:r>
    </w:p>
    <w:p w14:paraId="59AFE142">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承包人在履行合同过程中应遵守法律，并保证发包人免于承担因承包人违反法律而引起的任何责任。</w:t>
      </w:r>
    </w:p>
    <w:p w14:paraId="297508CA">
      <w:pPr>
        <w:spacing w:line="400" w:lineRule="exact"/>
        <w:ind w:firstLine="480" w:firstLineChars="200"/>
        <w:rPr>
          <w:rFonts w:ascii="宋体" w:hAnsi="宋体" w:eastAsia="宋体"/>
          <w:color w:val="auto"/>
          <w:sz w:val="24"/>
          <w:highlight w:val="none"/>
        </w:rPr>
      </w:pPr>
      <w:r>
        <w:rPr>
          <w:rFonts w:hint="default" w:ascii="宋体" w:hAnsi="宋体" w:eastAsia="宋体"/>
          <w:color w:val="auto"/>
          <w:sz w:val="24"/>
          <w:highlight w:val="none"/>
          <w:lang w:eastAsia="zh-CN"/>
        </w:rPr>
        <w:t>9</w:t>
      </w:r>
      <w:r>
        <w:rPr>
          <w:rFonts w:ascii="宋体" w:hAnsi="宋体" w:eastAsia="宋体"/>
          <w:color w:val="auto"/>
          <w:sz w:val="24"/>
          <w:highlight w:val="none"/>
        </w:rPr>
        <w:t xml:space="preserve">.1.2 </w:t>
      </w:r>
      <w:r>
        <w:rPr>
          <w:rFonts w:hint="eastAsia" w:ascii="宋体" w:hAnsi="宋体" w:eastAsia="宋体"/>
          <w:color w:val="auto"/>
          <w:sz w:val="24"/>
          <w:highlight w:val="none"/>
        </w:rPr>
        <w:t>依法纳税</w:t>
      </w:r>
    </w:p>
    <w:p w14:paraId="453A59C8">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承包人应按有关法律规定纳税，应缴纳的税金包括在合同价格内。</w:t>
      </w:r>
    </w:p>
    <w:p w14:paraId="43DA6169">
      <w:pPr>
        <w:spacing w:line="400" w:lineRule="exact"/>
        <w:ind w:firstLine="480" w:firstLineChars="200"/>
        <w:rPr>
          <w:rFonts w:ascii="宋体" w:hAnsi="宋体" w:eastAsia="宋体"/>
          <w:color w:val="auto"/>
          <w:sz w:val="24"/>
          <w:highlight w:val="none"/>
        </w:rPr>
      </w:pPr>
      <w:r>
        <w:rPr>
          <w:rFonts w:hint="default" w:ascii="宋体" w:hAnsi="宋体" w:eastAsia="宋体"/>
          <w:color w:val="auto"/>
          <w:sz w:val="24"/>
          <w:highlight w:val="none"/>
          <w:lang w:eastAsia="zh-CN"/>
        </w:rPr>
        <w:t>9</w:t>
      </w:r>
      <w:r>
        <w:rPr>
          <w:rFonts w:ascii="宋体" w:hAnsi="宋体" w:eastAsia="宋体"/>
          <w:color w:val="auto"/>
          <w:sz w:val="24"/>
          <w:highlight w:val="none"/>
        </w:rPr>
        <w:t xml:space="preserve">.1.3 </w:t>
      </w:r>
      <w:r>
        <w:rPr>
          <w:rFonts w:hint="eastAsia" w:ascii="宋体" w:hAnsi="宋体" w:eastAsia="宋体"/>
          <w:color w:val="auto"/>
          <w:sz w:val="24"/>
          <w:highlight w:val="none"/>
        </w:rPr>
        <w:t>完成各项承包工作</w:t>
      </w:r>
    </w:p>
    <w:p w14:paraId="66433D3E">
      <w:pPr>
        <w:tabs>
          <w:tab w:val="left" w:pos="1080"/>
        </w:tabs>
        <w:spacing w:line="40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承包人应按照合同的各项</w:t>
      </w:r>
      <w:r>
        <w:rPr>
          <w:rFonts w:hint="eastAsia" w:ascii="宋体" w:hAnsi="宋体"/>
          <w:color w:val="auto"/>
          <w:sz w:val="24"/>
          <w:highlight w:val="none"/>
          <w:lang w:val="en-US" w:eastAsia="zh-CN"/>
        </w:rPr>
        <w:t>约定</w:t>
      </w:r>
      <w:r>
        <w:rPr>
          <w:rFonts w:ascii="宋体" w:hAnsi="宋体" w:eastAsia="宋体"/>
          <w:color w:val="auto"/>
          <w:sz w:val="24"/>
          <w:highlight w:val="none"/>
        </w:rPr>
        <w:t>，</w:t>
      </w:r>
      <w:r>
        <w:rPr>
          <w:rFonts w:hint="eastAsia" w:ascii="宋体" w:hAnsi="宋体"/>
          <w:color w:val="auto"/>
          <w:sz w:val="24"/>
          <w:highlight w:val="none"/>
          <w:lang w:val="en-US" w:eastAsia="zh-CN"/>
        </w:rPr>
        <w:t>借鉴物业管理体系中精细化管理思路，建立健全承包人各项管理制度（包括但不限于质量、安全、进度、人员管理制度），</w:t>
      </w:r>
      <w:r>
        <w:rPr>
          <w:rFonts w:ascii="宋体" w:hAnsi="宋体" w:eastAsia="宋体"/>
          <w:color w:val="auto"/>
          <w:sz w:val="24"/>
          <w:highlight w:val="none"/>
        </w:rPr>
        <w:t>负责做好本合同规定的</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lang w:val="en-US" w:eastAsia="zh-CN"/>
        </w:rPr>
        <w:t>方案</w:t>
      </w:r>
      <w:r>
        <w:rPr>
          <w:rFonts w:ascii="宋体" w:hAnsi="宋体" w:eastAsia="宋体"/>
          <w:color w:val="auto"/>
          <w:sz w:val="24"/>
          <w:highlight w:val="none"/>
        </w:rPr>
        <w:t>，及时关注本项目外部的各种风险因素及水文、气候环境的影响，精心组织</w:t>
      </w:r>
      <w:r>
        <w:rPr>
          <w:rFonts w:hint="eastAsia" w:ascii="宋体" w:hAnsi="宋体" w:eastAsia="宋体"/>
          <w:color w:val="auto"/>
          <w:sz w:val="24"/>
          <w:highlight w:val="none"/>
          <w:lang w:eastAsia="zh-CN"/>
        </w:rPr>
        <w:t>运行维护</w:t>
      </w:r>
      <w:r>
        <w:rPr>
          <w:rFonts w:ascii="宋体" w:hAnsi="宋体" w:eastAsia="宋体"/>
          <w:color w:val="auto"/>
          <w:sz w:val="24"/>
          <w:highlight w:val="none"/>
        </w:rPr>
        <w:t>，加强</w:t>
      </w:r>
      <w:r>
        <w:rPr>
          <w:rFonts w:hint="eastAsia" w:ascii="宋体" w:hAnsi="宋体" w:eastAsia="宋体"/>
          <w:color w:val="auto"/>
          <w:sz w:val="24"/>
          <w:highlight w:val="none"/>
          <w:lang w:eastAsia="zh-CN"/>
        </w:rPr>
        <w:t>运行维护</w:t>
      </w:r>
      <w:r>
        <w:rPr>
          <w:rFonts w:ascii="宋体" w:hAnsi="宋体" w:eastAsia="宋体"/>
          <w:color w:val="auto"/>
          <w:sz w:val="24"/>
          <w:highlight w:val="none"/>
        </w:rPr>
        <w:t>质量控制，以及为完成本合同</w:t>
      </w:r>
      <w:r>
        <w:rPr>
          <w:rFonts w:hint="eastAsia" w:ascii="宋体" w:hAnsi="宋体" w:eastAsia="宋体"/>
          <w:color w:val="auto"/>
          <w:sz w:val="24"/>
          <w:highlight w:val="none"/>
          <w:lang w:eastAsia="zh-CN"/>
        </w:rPr>
        <w:t>运行维护</w:t>
      </w:r>
      <w:r>
        <w:rPr>
          <w:rFonts w:ascii="宋体" w:hAnsi="宋体" w:eastAsia="宋体"/>
          <w:color w:val="auto"/>
          <w:sz w:val="24"/>
          <w:highlight w:val="none"/>
        </w:rPr>
        <w:t>提供所需的监督管理、劳务、材料、设备、</w:t>
      </w:r>
      <w:r>
        <w:rPr>
          <w:rFonts w:hint="eastAsia" w:ascii="宋体" w:hAnsi="宋体" w:eastAsia="宋体"/>
          <w:color w:val="auto"/>
          <w:sz w:val="24"/>
          <w:highlight w:val="none"/>
          <w:lang w:eastAsia="zh-CN"/>
        </w:rPr>
        <w:t>运行维护</w:t>
      </w:r>
      <w:r>
        <w:rPr>
          <w:rFonts w:ascii="宋体" w:hAnsi="宋体" w:eastAsia="宋体"/>
          <w:color w:val="auto"/>
          <w:sz w:val="24"/>
          <w:highlight w:val="none"/>
        </w:rPr>
        <w:t>装备及其他相关物品等，保证实施、完成本合同的全部</w:t>
      </w:r>
      <w:r>
        <w:rPr>
          <w:rFonts w:hint="eastAsia" w:ascii="宋体" w:hAnsi="宋体" w:eastAsia="宋体"/>
          <w:color w:val="auto"/>
          <w:sz w:val="24"/>
          <w:highlight w:val="none"/>
          <w:lang w:eastAsia="zh-CN"/>
        </w:rPr>
        <w:t>运行维护</w:t>
      </w:r>
      <w:r>
        <w:rPr>
          <w:rFonts w:ascii="宋体" w:hAnsi="宋体" w:eastAsia="宋体"/>
          <w:color w:val="auto"/>
          <w:sz w:val="24"/>
          <w:highlight w:val="none"/>
        </w:rPr>
        <w:t>工作内容，</w:t>
      </w:r>
      <w:r>
        <w:rPr>
          <w:rFonts w:hint="eastAsia" w:ascii="宋体" w:hAnsi="宋体"/>
          <w:color w:val="auto"/>
          <w:sz w:val="24"/>
          <w:highlight w:val="none"/>
          <w:lang w:val="en-US" w:eastAsia="zh-CN"/>
        </w:rPr>
        <w:t>具体详见工程量清单</w:t>
      </w:r>
      <w:r>
        <w:rPr>
          <w:rFonts w:ascii="宋体" w:hAnsi="宋体" w:eastAsia="宋体"/>
          <w:color w:val="auto"/>
          <w:sz w:val="24"/>
          <w:highlight w:val="none"/>
        </w:rPr>
        <w:t>。</w:t>
      </w:r>
    </w:p>
    <w:p w14:paraId="48BC133F">
      <w:pPr>
        <w:tabs>
          <w:tab w:val="left" w:pos="1080"/>
        </w:tabs>
        <w:spacing w:line="40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因本项目实施需要或区政府有关工作安排，发包人有权将承包范围内部分水利设施移交其他单位管理，或依法实施公共资产出租、特许经营、公共资源有偿使用等。承包人须无条件接受相关调整安排，并积极配合</w:t>
      </w:r>
      <w:r>
        <w:rPr>
          <w:rFonts w:hint="eastAsia" w:ascii="宋体" w:hAnsi="宋体"/>
          <w:color w:val="auto"/>
          <w:sz w:val="24"/>
          <w:highlight w:val="none"/>
          <w:lang w:eastAsia="zh-CN"/>
        </w:rPr>
        <w:t>发包人</w:t>
      </w:r>
      <w:r>
        <w:rPr>
          <w:rFonts w:hint="eastAsia" w:ascii="宋体" w:hAnsi="宋体" w:eastAsia="宋体"/>
          <w:color w:val="auto"/>
          <w:sz w:val="24"/>
          <w:highlight w:val="none"/>
        </w:rPr>
        <w:t>及相关单位完成设施移交、协议变更、手续办理等具体工作，不得以此为由提出索赔或其他额外要求。涉及合同价款调整的，双方应按照合同约定协商确定。</w:t>
      </w:r>
    </w:p>
    <w:p w14:paraId="543081BB">
      <w:pPr>
        <w:tabs>
          <w:tab w:val="left" w:pos="1080"/>
        </w:tabs>
        <w:spacing w:line="400" w:lineRule="exact"/>
        <w:ind w:firstLine="480" w:firstLineChars="200"/>
        <w:jc w:val="left"/>
        <w:rPr>
          <w:rFonts w:ascii="宋体" w:hAnsi="宋体" w:eastAsia="宋体"/>
          <w:color w:val="auto"/>
          <w:sz w:val="24"/>
          <w:highlight w:val="none"/>
        </w:rPr>
      </w:pPr>
      <w:r>
        <w:rPr>
          <w:rFonts w:hint="default" w:ascii="宋体" w:hAnsi="宋体" w:eastAsia="宋体"/>
          <w:color w:val="auto"/>
          <w:sz w:val="24"/>
          <w:highlight w:val="none"/>
          <w:lang w:eastAsia="zh-CN"/>
        </w:rPr>
        <w:t>9</w:t>
      </w:r>
      <w:r>
        <w:rPr>
          <w:rFonts w:ascii="宋体" w:hAnsi="宋体" w:eastAsia="宋体"/>
          <w:color w:val="auto"/>
          <w:sz w:val="24"/>
          <w:highlight w:val="none"/>
        </w:rPr>
        <w:t xml:space="preserve">.1.4 </w:t>
      </w:r>
      <w:r>
        <w:rPr>
          <w:rFonts w:hint="eastAsia" w:ascii="宋体" w:hAnsi="宋体" w:eastAsia="宋体"/>
          <w:color w:val="auto"/>
          <w:sz w:val="24"/>
          <w:highlight w:val="none"/>
        </w:rPr>
        <w:t>对</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作业和作业方法的完备性负责</w:t>
      </w:r>
    </w:p>
    <w:p w14:paraId="4C596279">
      <w:pPr>
        <w:tabs>
          <w:tab w:val="left" w:pos="1080"/>
        </w:tabs>
        <w:spacing w:line="40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1）承包人应按合同规定，进行</w:t>
      </w:r>
      <w:r>
        <w:rPr>
          <w:rFonts w:hint="eastAsia" w:ascii="宋体" w:hAnsi="宋体" w:eastAsia="宋体"/>
          <w:color w:val="auto"/>
          <w:sz w:val="24"/>
          <w:highlight w:val="none"/>
          <w:lang w:eastAsia="zh-CN"/>
        </w:rPr>
        <w:t>运行维护</w:t>
      </w:r>
      <w:r>
        <w:rPr>
          <w:rFonts w:ascii="宋体" w:hAnsi="宋体" w:eastAsia="宋体"/>
          <w:color w:val="auto"/>
          <w:sz w:val="24"/>
          <w:highlight w:val="none"/>
        </w:rPr>
        <w:t>作业和巡查，发现</w:t>
      </w:r>
      <w:r>
        <w:rPr>
          <w:rFonts w:hint="eastAsia" w:ascii="宋体" w:hAnsi="宋体"/>
          <w:color w:val="auto"/>
          <w:sz w:val="24"/>
          <w:highlight w:val="none"/>
          <w:lang w:val="en-US" w:eastAsia="zh-CN"/>
        </w:rPr>
        <w:t>隐患及时上报发包人，并按发包人要求</w:t>
      </w:r>
      <w:r>
        <w:rPr>
          <w:rFonts w:ascii="宋体" w:hAnsi="宋体" w:eastAsia="宋体"/>
          <w:color w:val="auto"/>
          <w:sz w:val="24"/>
          <w:highlight w:val="none"/>
        </w:rPr>
        <w:t>及时修复和做好防护措施，确保水利设施运行安全，</w:t>
      </w:r>
      <w:r>
        <w:rPr>
          <w:rFonts w:hint="eastAsia" w:ascii="宋体" w:hAnsi="宋体" w:eastAsia="宋体"/>
          <w:color w:val="auto"/>
          <w:sz w:val="24"/>
          <w:highlight w:val="none"/>
        </w:rPr>
        <w:t>并建立巡视、检查、运行、安全管理等制度</w:t>
      </w:r>
      <w:r>
        <w:rPr>
          <w:rFonts w:ascii="宋体" w:hAnsi="宋体" w:eastAsia="宋体"/>
          <w:color w:val="auto"/>
          <w:sz w:val="24"/>
          <w:highlight w:val="none"/>
        </w:rPr>
        <w:t>。</w:t>
      </w:r>
    </w:p>
    <w:p w14:paraId="3449C784">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2）承包人应对全部现场作业和</w:t>
      </w:r>
      <w:r>
        <w:rPr>
          <w:rFonts w:hint="eastAsia" w:ascii="宋体" w:hAnsi="宋体" w:eastAsia="宋体"/>
          <w:color w:val="auto"/>
          <w:sz w:val="24"/>
          <w:highlight w:val="none"/>
          <w:lang w:eastAsia="zh-CN"/>
        </w:rPr>
        <w:t>运行维护</w:t>
      </w:r>
      <w:r>
        <w:rPr>
          <w:rFonts w:ascii="宋体" w:hAnsi="宋体" w:eastAsia="宋体"/>
          <w:color w:val="auto"/>
          <w:sz w:val="24"/>
          <w:highlight w:val="none"/>
        </w:rPr>
        <w:t>方法的适用性、可靠性和安全性承担相应责任。</w:t>
      </w:r>
    </w:p>
    <w:p w14:paraId="35A51C4D">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9.1.5 未经发包人或主管单位批准，承包人不得擅自许可任何单位、个人在运行维护范围内埋设管线、开挖、占用及进行其他施工。否则，工程损坏由承包人承担修复责任。承包人在管理范围内发现埋设管线、开挖、占用及进行其他施工，应及时上报发包人和主管单位，并协助发包人进行现场管控及处置工作</w:t>
      </w:r>
      <w:r>
        <w:rPr>
          <w:rFonts w:hint="eastAsia" w:ascii="宋体" w:hAnsi="宋体"/>
          <w:color w:val="auto"/>
          <w:sz w:val="24"/>
          <w:highlight w:val="none"/>
          <w:lang w:val="en-US" w:eastAsia="zh-CN"/>
        </w:rPr>
        <w:t>，否则视为承包人违约</w:t>
      </w:r>
      <w:r>
        <w:rPr>
          <w:rFonts w:hint="eastAsia" w:ascii="宋体" w:hAnsi="宋体" w:eastAsia="宋体"/>
          <w:color w:val="auto"/>
          <w:sz w:val="24"/>
          <w:highlight w:val="none"/>
          <w:lang w:val="en-US" w:eastAsia="zh-CN"/>
        </w:rPr>
        <w:t>。</w:t>
      </w:r>
    </w:p>
    <w:p w14:paraId="65D030A3">
      <w:pPr>
        <w:spacing w:line="400" w:lineRule="exact"/>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9.1.6 承包人的项目部办公场地、用电、用水、排水、照明、通信、工具、车辆和员工住所自行解决，并承担一切费用。不得在水利设施管理房内增设与运行维护工作无关的设施设备</w:t>
      </w:r>
      <w:r>
        <w:rPr>
          <w:rFonts w:hint="eastAsia" w:ascii="宋体" w:hAnsi="宋体"/>
          <w:color w:val="auto"/>
          <w:sz w:val="24"/>
          <w:highlight w:val="none"/>
          <w:lang w:val="en-US" w:eastAsia="zh-CN"/>
        </w:rPr>
        <w:t>，否则视为承包人违约</w:t>
      </w:r>
      <w:r>
        <w:rPr>
          <w:rFonts w:hint="eastAsia" w:ascii="宋体" w:hAnsi="宋体" w:eastAsia="宋体"/>
          <w:color w:val="auto"/>
          <w:sz w:val="24"/>
          <w:highlight w:val="none"/>
          <w:lang w:val="en-US" w:eastAsia="zh-CN"/>
        </w:rPr>
        <w:t>。</w:t>
      </w:r>
    </w:p>
    <w:p w14:paraId="31A4F887">
      <w:pPr>
        <w:spacing w:line="400" w:lineRule="exact"/>
        <w:ind w:firstLine="480" w:firstLineChars="200"/>
        <w:rPr>
          <w:rFonts w:hint="eastAsia" w:ascii="宋体" w:hAnsi="宋体" w:eastAsia="宋体"/>
          <w:color w:val="auto"/>
          <w:sz w:val="24"/>
          <w:highlight w:val="none"/>
        </w:rPr>
      </w:pPr>
      <w:r>
        <w:rPr>
          <w:rFonts w:hint="default" w:ascii="宋体" w:hAnsi="宋体" w:eastAsia="宋体"/>
          <w:color w:val="auto"/>
          <w:sz w:val="24"/>
          <w:highlight w:val="none"/>
          <w:lang w:eastAsia="zh-CN"/>
        </w:rPr>
        <w:t>9</w:t>
      </w:r>
      <w:r>
        <w:rPr>
          <w:rFonts w:ascii="宋体" w:hAnsi="宋体" w:eastAsia="宋体"/>
          <w:color w:val="auto"/>
          <w:sz w:val="24"/>
          <w:highlight w:val="none"/>
        </w:rPr>
        <w:t>.1.</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发包人将在合同期满前重新选择</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单位，如发包人重新选择了新的</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单位，承包人应在合同服务期满前配合发包人和新的</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单位做好</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的交接工作，相关费用包含在合同价格中，发包人不另行支付。</w:t>
      </w:r>
    </w:p>
    <w:p w14:paraId="1C9416E8">
      <w:pPr>
        <w:spacing w:line="400" w:lineRule="exact"/>
        <w:ind w:firstLine="480" w:firstLineChars="200"/>
        <w:rPr>
          <w:rFonts w:ascii="宋体" w:hAnsi="宋体" w:eastAsia="宋体"/>
          <w:color w:val="auto"/>
          <w:sz w:val="24"/>
          <w:highlight w:val="none"/>
        </w:rPr>
      </w:pPr>
      <w:r>
        <w:rPr>
          <w:rFonts w:hint="default" w:ascii="宋体" w:hAnsi="宋体" w:eastAsia="宋体"/>
          <w:color w:val="auto"/>
          <w:sz w:val="24"/>
          <w:highlight w:val="none"/>
          <w:lang w:eastAsia="zh-CN"/>
        </w:rPr>
        <w:t>9</w:t>
      </w:r>
      <w:r>
        <w:rPr>
          <w:rFonts w:ascii="宋体" w:hAnsi="宋体" w:eastAsia="宋体"/>
          <w:color w:val="auto"/>
          <w:sz w:val="24"/>
          <w:highlight w:val="none"/>
        </w:rPr>
        <w:t xml:space="preserve">.2 </w:t>
      </w:r>
      <w:r>
        <w:rPr>
          <w:rFonts w:hint="eastAsia" w:ascii="宋体" w:hAnsi="宋体" w:eastAsia="宋体"/>
          <w:color w:val="auto"/>
          <w:sz w:val="24"/>
          <w:highlight w:val="none"/>
        </w:rPr>
        <w:t>履约担保</w:t>
      </w:r>
    </w:p>
    <w:p w14:paraId="50B195D6">
      <w:pPr>
        <w:spacing w:line="400" w:lineRule="exact"/>
        <w:ind w:firstLine="480" w:firstLineChars="200"/>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eastAsia="zh-CN"/>
        </w:rPr>
        <w:t>9</w:t>
      </w:r>
      <w:r>
        <w:rPr>
          <w:rFonts w:ascii="宋体" w:hAnsi="宋体" w:eastAsia="宋体"/>
          <w:color w:val="auto"/>
          <w:sz w:val="24"/>
          <w:highlight w:val="none"/>
        </w:rPr>
        <w:t xml:space="preserve">.2.1 </w:t>
      </w:r>
      <w:r>
        <w:rPr>
          <w:rFonts w:hint="eastAsia" w:ascii="宋体" w:hAnsi="宋体" w:eastAsia="宋体"/>
          <w:color w:val="auto"/>
          <w:sz w:val="24"/>
          <w:highlight w:val="none"/>
        </w:rPr>
        <w:t>承包人在收到中标通知书后</w:t>
      </w:r>
      <w:r>
        <w:rPr>
          <w:rFonts w:hint="default" w:ascii="宋体" w:hAnsi="宋体"/>
          <w:color w:val="auto"/>
          <w:sz w:val="24"/>
          <w:highlight w:val="none"/>
        </w:rPr>
        <w:t>20</w:t>
      </w:r>
      <w:r>
        <w:rPr>
          <w:rFonts w:hint="eastAsia" w:ascii="宋体" w:hAnsi="宋体" w:eastAsia="宋体"/>
          <w:color w:val="auto"/>
          <w:sz w:val="24"/>
          <w:highlight w:val="none"/>
        </w:rPr>
        <w:t>天之内，并在签订合同协议书之前，按签约合同价的</w:t>
      </w:r>
      <w:r>
        <w:rPr>
          <w:rFonts w:hint="eastAsia" w:ascii="宋体" w:hAnsi="宋体"/>
          <w:color w:val="auto"/>
          <w:sz w:val="24"/>
          <w:highlight w:val="none"/>
          <w:lang w:val="en-US" w:eastAsia="zh-CN"/>
        </w:rPr>
        <w:t>5</w:t>
      </w:r>
      <w:r>
        <w:rPr>
          <w:rFonts w:ascii="宋体" w:hAnsi="宋体" w:eastAsia="宋体"/>
          <w:color w:val="auto"/>
          <w:sz w:val="24"/>
          <w:highlight w:val="none"/>
        </w:rPr>
        <w:t>%提交履约担保</w:t>
      </w:r>
      <w:r>
        <w:rPr>
          <w:rFonts w:hint="eastAsia" w:ascii="宋体" w:hAnsi="宋体" w:eastAsia="宋体"/>
          <w:color w:val="auto"/>
          <w:sz w:val="24"/>
          <w:highlight w:val="none"/>
        </w:rPr>
        <w:t>。</w:t>
      </w:r>
    </w:p>
    <w:p w14:paraId="7BA45C63">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履约担保的方式包括见索即付的银行保函或经</w:t>
      </w:r>
      <w:r>
        <w:rPr>
          <w:rFonts w:hint="eastAsia" w:ascii="宋体" w:hAnsi="宋体"/>
          <w:color w:val="auto"/>
          <w:sz w:val="24"/>
          <w:highlight w:val="none"/>
          <w:lang w:val="en-US" w:eastAsia="zh-CN"/>
        </w:rPr>
        <w:t>发包人</w:t>
      </w:r>
      <w:r>
        <w:rPr>
          <w:rFonts w:hint="eastAsia" w:ascii="宋体" w:hAnsi="宋体" w:eastAsia="宋体"/>
          <w:color w:val="auto"/>
          <w:sz w:val="24"/>
          <w:highlight w:val="none"/>
        </w:rPr>
        <w:t>同意的金融机构保函、保证保险等。如果</w:t>
      </w:r>
      <w:r>
        <w:rPr>
          <w:rFonts w:hint="eastAsia" w:ascii="宋体" w:hAnsi="宋体"/>
          <w:color w:val="auto"/>
          <w:sz w:val="24"/>
          <w:highlight w:val="none"/>
          <w:lang w:val="en-US" w:eastAsia="zh-CN"/>
        </w:rPr>
        <w:t>承包人</w:t>
      </w:r>
      <w:r>
        <w:rPr>
          <w:rFonts w:hint="eastAsia" w:ascii="宋体" w:hAnsi="宋体" w:eastAsia="宋体"/>
          <w:color w:val="auto"/>
          <w:sz w:val="24"/>
          <w:highlight w:val="none"/>
        </w:rPr>
        <w:t>的履约担保是以银行保函的形式提供，则该银行保函应由在中国注册的银行开具的不可撤销银行保函并符合要求，如</w:t>
      </w:r>
      <w:r>
        <w:rPr>
          <w:rFonts w:hint="eastAsia" w:ascii="宋体" w:hAnsi="宋体"/>
          <w:color w:val="auto"/>
          <w:sz w:val="24"/>
          <w:highlight w:val="none"/>
          <w:lang w:val="en-US" w:eastAsia="zh-CN"/>
        </w:rPr>
        <w:t>承包人</w:t>
      </w:r>
      <w:r>
        <w:rPr>
          <w:rFonts w:hint="eastAsia" w:ascii="宋体" w:hAnsi="宋体" w:eastAsia="宋体"/>
          <w:color w:val="auto"/>
          <w:sz w:val="24"/>
          <w:highlight w:val="none"/>
        </w:rPr>
        <w:t>提供虚假的担保或未经</w:t>
      </w:r>
      <w:r>
        <w:rPr>
          <w:rFonts w:hint="eastAsia" w:ascii="宋体" w:hAnsi="宋体" w:eastAsia="宋体"/>
          <w:color w:val="auto"/>
          <w:sz w:val="24"/>
          <w:highlight w:val="none"/>
          <w:lang w:val="en-US" w:eastAsia="zh-CN"/>
        </w:rPr>
        <w:t>发包人</w:t>
      </w:r>
      <w:r>
        <w:rPr>
          <w:rFonts w:hint="eastAsia" w:ascii="宋体" w:hAnsi="宋体" w:eastAsia="宋体"/>
          <w:color w:val="auto"/>
          <w:sz w:val="24"/>
          <w:highlight w:val="none"/>
        </w:rPr>
        <w:t>同意前提下不符合前述要求，</w:t>
      </w:r>
      <w:r>
        <w:rPr>
          <w:rFonts w:hint="eastAsia" w:ascii="宋体" w:hAnsi="宋体"/>
          <w:color w:val="auto"/>
          <w:sz w:val="24"/>
          <w:highlight w:val="none"/>
          <w:lang w:val="en-US" w:eastAsia="zh-CN"/>
        </w:rPr>
        <w:t>发包人</w:t>
      </w:r>
      <w:r>
        <w:rPr>
          <w:rFonts w:hint="eastAsia" w:ascii="宋体" w:hAnsi="宋体" w:eastAsia="宋体"/>
          <w:color w:val="auto"/>
          <w:sz w:val="24"/>
          <w:highlight w:val="none"/>
        </w:rPr>
        <w:t>有权取消其中标资格，并追究其法律责任。</w:t>
      </w:r>
    </w:p>
    <w:p w14:paraId="008CDEE4">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保函的格式应符合招标文件的规定或是</w:t>
      </w:r>
      <w:r>
        <w:rPr>
          <w:rFonts w:hint="eastAsia" w:ascii="宋体" w:hAnsi="宋体" w:eastAsia="宋体"/>
          <w:color w:val="auto"/>
          <w:sz w:val="24"/>
          <w:highlight w:val="none"/>
        </w:rPr>
        <w:t>发包人</w:t>
      </w:r>
      <w:r>
        <w:rPr>
          <w:rFonts w:ascii="宋体" w:hAnsi="宋体" w:eastAsia="宋体"/>
          <w:color w:val="auto"/>
          <w:sz w:val="24"/>
          <w:highlight w:val="none"/>
        </w:rPr>
        <w:t>批准同意的格式。</w:t>
      </w:r>
      <w:r>
        <w:rPr>
          <w:rFonts w:hint="eastAsia" w:ascii="宋体" w:hAnsi="宋体" w:eastAsia="宋体"/>
          <w:color w:val="auto"/>
          <w:sz w:val="24"/>
          <w:highlight w:val="none"/>
        </w:rPr>
        <w:t>保函的正本由发包人保存。执行本条各项要求所需的费用由承包人承担。</w:t>
      </w:r>
    </w:p>
    <w:p w14:paraId="0F9E1B45">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.2.2</w:t>
      </w:r>
      <w:r>
        <w:rPr>
          <w:rFonts w:hint="eastAsia" w:ascii="宋体" w:hAnsi="宋体" w:eastAsia="宋体"/>
          <w:color w:val="auto"/>
          <w:sz w:val="24"/>
          <w:highlight w:val="none"/>
        </w:rPr>
        <w:t>承包人违约后，发包人有权从履约担保中支取承包人应承担的违约金，承包人应在发包人支取违约金后</w:t>
      </w:r>
      <w:r>
        <w:rPr>
          <w:rFonts w:ascii="宋体" w:hAnsi="宋体" w:eastAsia="宋体"/>
          <w:color w:val="auto"/>
          <w:sz w:val="24"/>
          <w:highlight w:val="none"/>
        </w:rPr>
        <w:t>2</w:t>
      </w:r>
      <w:r>
        <w:rPr>
          <w:rFonts w:hint="eastAsia" w:ascii="宋体" w:hAnsi="宋体"/>
          <w:color w:val="auto"/>
          <w:sz w:val="24"/>
          <w:highlight w:val="none"/>
          <w:lang w:val="en-US" w:eastAsia="zh-CN"/>
        </w:rPr>
        <w:t>0</w:t>
      </w:r>
      <w:r>
        <w:rPr>
          <w:rFonts w:ascii="宋体" w:hAnsi="宋体" w:eastAsia="宋体"/>
          <w:color w:val="auto"/>
          <w:sz w:val="24"/>
          <w:highlight w:val="none"/>
        </w:rPr>
        <w:t>日</w:t>
      </w:r>
      <w:r>
        <w:rPr>
          <w:rFonts w:hint="eastAsia" w:ascii="宋体" w:hAnsi="宋体" w:eastAsia="宋体"/>
          <w:color w:val="auto"/>
          <w:sz w:val="24"/>
          <w:highlight w:val="none"/>
        </w:rPr>
        <w:t>内补充履约担保以满足</w:t>
      </w:r>
      <w:r>
        <w:rPr>
          <w:rFonts w:ascii="宋体" w:hAnsi="宋体" w:eastAsia="宋体"/>
          <w:color w:val="auto"/>
          <w:sz w:val="24"/>
          <w:highlight w:val="none"/>
        </w:rPr>
        <w:t>9.2.1款</w:t>
      </w:r>
      <w:r>
        <w:rPr>
          <w:rFonts w:hint="eastAsia" w:ascii="宋体" w:hAnsi="宋体" w:eastAsia="宋体"/>
          <w:color w:val="auto"/>
          <w:sz w:val="24"/>
          <w:highlight w:val="none"/>
        </w:rPr>
        <w:t>约定的履约担保金额。</w:t>
      </w:r>
    </w:p>
    <w:p w14:paraId="265CF7CD">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.2.3承包人应保证其履约担保在</w:t>
      </w:r>
      <w:r>
        <w:rPr>
          <w:rFonts w:hint="eastAsia" w:ascii="宋体" w:hAnsi="宋体" w:eastAsia="宋体"/>
          <w:color w:val="auto"/>
          <w:sz w:val="24"/>
          <w:highlight w:val="none"/>
        </w:rPr>
        <w:t>合同结算协议签订</w:t>
      </w:r>
      <w:r>
        <w:rPr>
          <w:rFonts w:ascii="宋体" w:hAnsi="宋体" w:eastAsia="宋体"/>
          <w:color w:val="auto"/>
          <w:sz w:val="24"/>
          <w:highlight w:val="none"/>
        </w:rPr>
        <w:t>前一直有效。发包人应在</w:t>
      </w:r>
      <w:r>
        <w:rPr>
          <w:rFonts w:hint="eastAsia" w:ascii="宋体" w:hAnsi="宋体" w:eastAsia="宋体"/>
          <w:color w:val="auto"/>
          <w:sz w:val="24"/>
          <w:highlight w:val="none"/>
        </w:rPr>
        <w:t>合同结算协议签订</w:t>
      </w:r>
      <w:r>
        <w:rPr>
          <w:rFonts w:ascii="宋体" w:hAnsi="宋体" w:eastAsia="宋体"/>
          <w:color w:val="auto"/>
          <w:sz w:val="24"/>
          <w:highlight w:val="none"/>
        </w:rPr>
        <w:t>后28天内把履约担保退还给承包人。</w:t>
      </w:r>
      <w:r>
        <w:rPr>
          <w:rFonts w:hint="eastAsia" w:ascii="宋体" w:hAnsi="宋体" w:eastAsia="宋体"/>
          <w:color w:val="auto"/>
          <w:sz w:val="24"/>
          <w:highlight w:val="none"/>
        </w:rPr>
        <w:t>如乙方所提交的履约担保期限不能满足前述规定，乙方须在履约担保到期前一个月提前办理续保手续，甲方不为此支付任何费用。如乙方未按要求按期对履约担保续保，甲方有权暂停批准乙方的所有支付申请，直至乙方向甲方提交新的合法有效的履约担保时止。</w:t>
      </w:r>
    </w:p>
    <w:p w14:paraId="3897E8FA">
      <w:pPr>
        <w:spacing w:line="400" w:lineRule="exact"/>
        <w:ind w:firstLine="480" w:firstLineChars="200"/>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 xml:space="preserve">.3 </w:t>
      </w:r>
      <w:r>
        <w:rPr>
          <w:rFonts w:hint="eastAsia" w:ascii="宋体" w:hAnsi="宋体" w:eastAsia="宋体"/>
          <w:color w:val="auto"/>
          <w:sz w:val="24"/>
          <w:highlight w:val="none"/>
        </w:rPr>
        <w:t>分包</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含劳务分包</w:t>
      </w:r>
      <w:r>
        <w:rPr>
          <w:rFonts w:hint="eastAsia" w:ascii="宋体" w:hAnsi="宋体"/>
          <w:color w:val="auto"/>
          <w:sz w:val="24"/>
          <w:highlight w:val="none"/>
          <w:lang w:eastAsia="zh-CN"/>
        </w:rPr>
        <w:t>）</w:t>
      </w:r>
    </w:p>
    <w:p w14:paraId="46CA8563">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 xml:space="preserve">.3.1 </w:t>
      </w:r>
      <w:r>
        <w:rPr>
          <w:rFonts w:hint="eastAsia" w:ascii="宋体" w:hAnsi="宋体" w:eastAsia="宋体"/>
          <w:color w:val="auto"/>
          <w:sz w:val="24"/>
          <w:highlight w:val="none"/>
        </w:rPr>
        <w:t>转包</w:t>
      </w:r>
    </w:p>
    <w:p w14:paraId="68719986">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本项目</w:t>
      </w:r>
      <w:r>
        <w:rPr>
          <w:rFonts w:hint="eastAsia" w:ascii="宋体" w:hAnsi="宋体" w:eastAsia="宋体"/>
          <w:color w:val="auto"/>
          <w:sz w:val="24"/>
          <w:highlight w:val="none"/>
        </w:rPr>
        <w:t>不允许转包。</w:t>
      </w:r>
    </w:p>
    <w:p w14:paraId="08A9589A">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 xml:space="preserve">.3.2 </w:t>
      </w:r>
      <w:r>
        <w:rPr>
          <w:rFonts w:hint="eastAsia" w:ascii="宋体" w:hAnsi="宋体" w:eastAsia="宋体"/>
          <w:color w:val="auto"/>
          <w:sz w:val="24"/>
          <w:highlight w:val="none"/>
        </w:rPr>
        <w:t>分包一般规定</w:t>
      </w:r>
    </w:p>
    <w:p w14:paraId="15FB685B">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）承包人不得将</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主体工作分包给第三人。经发包人同意，承包人可将</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的部分工作分包给第三人，但承包人分包应遵循本合同条款的有关规定，并以发包人书面批准为准。</w:t>
      </w:r>
      <w:r>
        <w:rPr>
          <w:rFonts w:ascii="宋体" w:hAnsi="宋体" w:eastAsia="宋体"/>
          <w:color w:val="auto"/>
          <w:sz w:val="24"/>
          <w:highlight w:val="none"/>
        </w:rPr>
        <w:t>分包人不得将该分包</w:t>
      </w:r>
      <w:r>
        <w:rPr>
          <w:rFonts w:hint="eastAsia" w:ascii="宋体" w:hAnsi="宋体"/>
          <w:color w:val="auto"/>
          <w:sz w:val="24"/>
          <w:highlight w:val="none"/>
          <w:lang w:val="en-US" w:eastAsia="zh-CN"/>
        </w:rPr>
        <w:t>工作</w:t>
      </w:r>
      <w:r>
        <w:rPr>
          <w:rFonts w:ascii="宋体" w:hAnsi="宋体" w:eastAsia="宋体"/>
          <w:color w:val="auto"/>
          <w:sz w:val="24"/>
          <w:highlight w:val="none"/>
        </w:rPr>
        <w:t>再次分包或转包。</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）承包人不得将其承包的全部</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转包给他人，也不得将其承包的全部</w:t>
      </w:r>
      <w:r>
        <w:rPr>
          <w:rFonts w:hint="eastAsia" w:ascii="宋体" w:hAnsi="宋体" w:eastAsia="宋体"/>
          <w:color w:val="auto"/>
          <w:sz w:val="24"/>
          <w:highlight w:val="none"/>
          <w:lang w:eastAsia="zh-CN"/>
        </w:rPr>
        <w:t>运行维护工作维护</w:t>
      </w:r>
      <w:r>
        <w:rPr>
          <w:rFonts w:hint="eastAsia" w:ascii="宋体" w:hAnsi="宋体" w:eastAsia="宋体"/>
          <w:color w:val="auto"/>
          <w:sz w:val="24"/>
          <w:highlight w:val="none"/>
        </w:rPr>
        <w:t>肢解以后以分包的名义分别转包给他人。</w:t>
      </w:r>
    </w:p>
    <w:p w14:paraId="62A61A1A">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的任何分包和对分包的任何批准均不能免除承包人任何责任与义务。承包人应在分包场地派驻相应管理人员，保证本合同的履行。分包单位的任何违约行为或疏忽导致</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损害或给发包人造成其他损失，承包人承担</w:t>
      </w:r>
      <w:r>
        <w:rPr>
          <w:rFonts w:hint="eastAsia" w:ascii="宋体" w:hAnsi="宋体"/>
          <w:color w:val="auto"/>
          <w:sz w:val="24"/>
          <w:highlight w:val="none"/>
          <w:lang w:val="en-US" w:eastAsia="zh-CN"/>
        </w:rPr>
        <w:t>连带</w:t>
      </w:r>
      <w:r>
        <w:rPr>
          <w:rFonts w:hint="eastAsia" w:ascii="宋体" w:hAnsi="宋体" w:eastAsia="宋体"/>
          <w:color w:val="auto"/>
          <w:sz w:val="24"/>
          <w:highlight w:val="none"/>
        </w:rPr>
        <w:t>责任。</w:t>
      </w:r>
      <w:r>
        <w:rPr>
          <w:rFonts w:ascii="宋体" w:hAnsi="宋体" w:eastAsia="宋体"/>
          <w:color w:val="auto"/>
          <w:sz w:val="24"/>
          <w:highlight w:val="none"/>
        </w:rPr>
        <w:t>发包人对</w:t>
      </w:r>
      <w:r>
        <w:rPr>
          <w:rFonts w:hint="eastAsia" w:ascii="宋体" w:hAnsi="宋体" w:eastAsia="宋体"/>
          <w:color w:val="auto"/>
          <w:sz w:val="24"/>
          <w:highlight w:val="none"/>
        </w:rPr>
        <w:t>承包人</w:t>
      </w:r>
      <w:r>
        <w:rPr>
          <w:rFonts w:ascii="宋体" w:hAnsi="宋体" w:eastAsia="宋体"/>
          <w:color w:val="auto"/>
          <w:sz w:val="24"/>
          <w:highlight w:val="none"/>
        </w:rPr>
        <w:t>与分包人之间的法律与经济纠纷不承担任何责任。</w:t>
      </w:r>
    </w:p>
    <w:p w14:paraId="433F4D96">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4</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本项目运行维护</w:t>
      </w:r>
      <w:r>
        <w:rPr>
          <w:rFonts w:hint="eastAsia" w:ascii="宋体" w:hAnsi="宋体" w:eastAsia="宋体"/>
          <w:color w:val="auto"/>
          <w:sz w:val="24"/>
          <w:highlight w:val="none"/>
        </w:rPr>
        <w:t>分包合同原则上应参照原建设部和国家工商行政管理总局联合颁发的范本或发包人指定的其他合同范本签订，且必须在合同中明确约定工程款支付条款、结算方式以及保证按期支付的相应措施。承包人应将签订的专业分包合同和分包人收款账号等资料报发包人备案。在合同执行过程中，承包人应严格按照专业分包合同确立的支付周期、支付方式、支付期限等向分包人进行进度支付，严禁逾期支付或以压低单价、私自扣留或巧设名目等方式收取或变相收取分包人费用。发包人将定期或不定期的检查承包人支付证明或以其他方式核实承包人的支付情况，如发现承包人有上述行为的，发包人有权认定承包人违约，并按照本合同条款第</w:t>
      </w:r>
      <w:r>
        <w:rPr>
          <w:rFonts w:ascii="宋体" w:hAnsi="宋体" w:eastAsia="宋体"/>
          <w:color w:val="auto"/>
          <w:sz w:val="24"/>
          <w:highlight w:val="none"/>
        </w:rPr>
        <w:t>24.2</w:t>
      </w:r>
      <w:r>
        <w:rPr>
          <w:rFonts w:hint="eastAsia" w:ascii="宋体" w:hAnsi="宋体" w:eastAsia="宋体"/>
          <w:color w:val="auto"/>
          <w:sz w:val="24"/>
          <w:highlight w:val="none"/>
        </w:rPr>
        <w:t>款的规定对承包人课以违约金。</w:t>
      </w:r>
    </w:p>
    <w:p w14:paraId="61A0C687">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5</w:t>
      </w:r>
      <w:r>
        <w:rPr>
          <w:rFonts w:hint="eastAsia" w:ascii="宋体" w:hAnsi="宋体" w:eastAsia="宋体"/>
          <w:color w:val="auto"/>
          <w:sz w:val="24"/>
          <w:highlight w:val="none"/>
        </w:rPr>
        <w:t>）在</w:t>
      </w:r>
      <w:r>
        <w:rPr>
          <w:rFonts w:hint="eastAsia" w:ascii="宋体" w:hAnsi="宋体" w:eastAsia="宋体"/>
          <w:color w:val="auto"/>
          <w:sz w:val="24"/>
          <w:highlight w:val="none"/>
          <w:lang w:eastAsia="zh-CN"/>
        </w:rPr>
        <w:t>本项目运行维护</w:t>
      </w:r>
      <w:r>
        <w:rPr>
          <w:rFonts w:hint="eastAsia" w:ascii="宋体" w:hAnsi="宋体" w:eastAsia="宋体"/>
          <w:color w:val="auto"/>
          <w:sz w:val="24"/>
          <w:highlight w:val="none"/>
        </w:rPr>
        <w:t>实施过程中，经发包人审批同意的各分包人应保持稳定，承包人不得随意更换。但出现无法履行合同或出现</w:t>
      </w:r>
      <w:r>
        <w:rPr>
          <w:rFonts w:hint="eastAsia" w:ascii="宋体" w:hAnsi="宋体"/>
          <w:color w:val="auto"/>
          <w:sz w:val="24"/>
          <w:highlight w:val="none"/>
          <w:lang w:eastAsia="zh-CN"/>
        </w:rPr>
        <w:t>质量</w:t>
      </w:r>
      <w:r>
        <w:rPr>
          <w:rFonts w:hint="eastAsia" w:ascii="宋体" w:hAnsi="宋体"/>
          <w:color w:val="auto"/>
          <w:sz w:val="24"/>
          <w:highlight w:val="none"/>
          <w:lang w:val="en-US" w:eastAsia="zh-CN"/>
        </w:rPr>
        <w:t>问题</w:t>
      </w:r>
      <w:r>
        <w:rPr>
          <w:rFonts w:hint="eastAsia" w:ascii="宋体" w:hAnsi="宋体" w:eastAsia="宋体"/>
          <w:color w:val="auto"/>
          <w:sz w:val="24"/>
          <w:highlight w:val="none"/>
        </w:rPr>
        <w:t>不能达到合同文件的要求等严重违约情况的，承包人应将更换说明和其违约事项上报发包人，且出现违约情节严重的情形时，发包人有权提出更换分包人。在发包人同意后，承包人应按照本合同条款的规定重新选择分包人并提交发包人审批，但已确定的分包价格不予调整。</w:t>
      </w:r>
    </w:p>
    <w:p w14:paraId="6D985EBD">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6</w:t>
      </w:r>
      <w:r>
        <w:rPr>
          <w:rFonts w:hint="eastAsia" w:ascii="宋体" w:hAnsi="宋体" w:eastAsia="宋体"/>
          <w:color w:val="auto"/>
          <w:sz w:val="24"/>
          <w:highlight w:val="none"/>
        </w:rPr>
        <w:t>）承包人进行分包及开展相关分包工作所需的各项费用，包括文件编制费、出版费、会议费、专家费、分包费用相关税收等，均已包含在合同价格中，发包人不另行支付。</w:t>
      </w:r>
    </w:p>
    <w:p w14:paraId="47653281">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7</w:t>
      </w:r>
      <w:r>
        <w:rPr>
          <w:rFonts w:hint="eastAsia" w:ascii="宋体" w:hAnsi="宋体" w:eastAsia="宋体"/>
          <w:color w:val="auto"/>
          <w:sz w:val="24"/>
          <w:highlight w:val="none"/>
        </w:rPr>
        <w:t>）如出现上述违规分包的情况（合同另有规定除外），发包人有权拒绝验收和计量，发包人有权拒绝支付和（或）收回该工程，有权认定承包人违约，并按照本合同条款第</w:t>
      </w:r>
      <w:r>
        <w:rPr>
          <w:rFonts w:ascii="宋体" w:hAnsi="宋体" w:eastAsia="宋体"/>
          <w:color w:val="auto"/>
          <w:sz w:val="24"/>
          <w:highlight w:val="none"/>
        </w:rPr>
        <w:t>24.2</w:t>
      </w:r>
      <w:r>
        <w:rPr>
          <w:rFonts w:hint="eastAsia" w:ascii="宋体" w:hAnsi="宋体" w:eastAsia="宋体"/>
          <w:color w:val="auto"/>
          <w:sz w:val="24"/>
          <w:highlight w:val="none"/>
        </w:rPr>
        <w:t>款的规定进行处理。</w:t>
      </w:r>
    </w:p>
    <w:p w14:paraId="00E23675">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.3.3</w:t>
      </w:r>
      <w:r>
        <w:rPr>
          <w:rFonts w:hint="eastAsia" w:ascii="宋体" w:hAnsi="宋体" w:eastAsia="宋体"/>
          <w:color w:val="auto"/>
          <w:sz w:val="24"/>
          <w:highlight w:val="none"/>
        </w:rPr>
        <w:t>分包项目</w:t>
      </w:r>
    </w:p>
    <w:p w14:paraId="6166963B">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本项目运行维护</w:t>
      </w:r>
      <w:r>
        <w:rPr>
          <w:rFonts w:hint="eastAsia" w:ascii="宋体" w:hAnsi="宋体" w:eastAsia="宋体"/>
          <w:color w:val="auto"/>
          <w:sz w:val="24"/>
          <w:highlight w:val="none"/>
        </w:rPr>
        <w:t>分包项目应按照合同条款的规定进行报批和选择分包人。为保证服务质量，在合同执行过程中，承包人可根据实际情况，对承包范围内专业性比较强的部分项目，或更有利于提升服务质量的项目进行分包。</w:t>
      </w:r>
    </w:p>
    <w:p w14:paraId="5AE40E84">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 xml:space="preserve">.4 </w:t>
      </w:r>
      <w:r>
        <w:rPr>
          <w:rFonts w:hint="eastAsia" w:ascii="宋体" w:hAnsi="宋体" w:eastAsia="宋体"/>
          <w:color w:val="auto"/>
          <w:sz w:val="24"/>
          <w:highlight w:val="none"/>
        </w:rPr>
        <w:t>承包人的组织管理</w:t>
      </w:r>
    </w:p>
    <w:p w14:paraId="04E8B7F6">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.4.1</w:t>
      </w:r>
      <w:r>
        <w:rPr>
          <w:rFonts w:hint="eastAsia" w:ascii="宋体" w:hAnsi="宋体" w:eastAsia="宋体"/>
          <w:color w:val="auto"/>
          <w:sz w:val="24"/>
          <w:highlight w:val="none"/>
        </w:rPr>
        <w:t>承包人应</w:t>
      </w:r>
      <w:r>
        <w:rPr>
          <w:rFonts w:hint="eastAsia" w:ascii="宋体" w:hAnsi="宋体" w:eastAsia="宋体"/>
          <w:color w:val="auto"/>
          <w:sz w:val="24"/>
          <w:highlight w:val="none"/>
          <w:lang w:val="en-US" w:eastAsia="zh-CN"/>
        </w:rPr>
        <w:t>积极提升运行维护水平，在进场</w:t>
      </w:r>
      <w:r>
        <w:rPr>
          <w:rFonts w:hint="eastAsia" w:ascii="宋体" w:hAnsi="宋体" w:eastAsia="宋体"/>
          <w:color w:val="auto"/>
          <w:sz w:val="24"/>
          <w:highlight w:val="none"/>
        </w:rPr>
        <w:t>前</w:t>
      </w:r>
      <w:r>
        <w:rPr>
          <w:rFonts w:hint="eastAsia" w:ascii="宋体" w:hAnsi="宋体" w:eastAsia="宋体"/>
          <w:color w:val="auto"/>
          <w:sz w:val="24"/>
          <w:highlight w:val="none"/>
          <w:lang w:val="en-US" w:eastAsia="zh-CN"/>
        </w:rPr>
        <w:t>开展技术</w:t>
      </w:r>
      <w:r>
        <w:rPr>
          <w:rFonts w:hint="eastAsia" w:ascii="宋体" w:hAnsi="宋体" w:eastAsia="宋体"/>
          <w:color w:val="auto"/>
          <w:sz w:val="24"/>
          <w:highlight w:val="none"/>
        </w:rPr>
        <w:t>培训，统一服装及标识，</w:t>
      </w:r>
      <w:r>
        <w:rPr>
          <w:rFonts w:ascii="宋体" w:hAnsi="宋体" w:eastAsia="宋体"/>
          <w:color w:val="auto"/>
          <w:sz w:val="24"/>
          <w:highlight w:val="none"/>
        </w:rPr>
        <w:t>综合</w:t>
      </w:r>
      <w:r>
        <w:rPr>
          <w:rFonts w:hint="eastAsia" w:ascii="宋体" w:hAnsi="宋体" w:eastAsia="宋体"/>
          <w:color w:val="auto"/>
          <w:sz w:val="24"/>
          <w:highlight w:val="none"/>
        </w:rPr>
        <w:t>安排</w:t>
      </w:r>
      <w:r>
        <w:rPr>
          <w:rFonts w:hint="eastAsia" w:ascii="宋体" w:hAnsi="宋体" w:eastAsia="宋体"/>
          <w:color w:val="auto"/>
          <w:sz w:val="24"/>
          <w:highlight w:val="none"/>
          <w:lang w:eastAsia="zh-CN"/>
        </w:rPr>
        <w:t>运行维护</w:t>
      </w:r>
      <w:r>
        <w:rPr>
          <w:rFonts w:hint="eastAsia" w:ascii="宋体" w:hAnsi="宋体"/>
          <w:color w:val="auto"/>
          <w:sz w:val="24"/>
          <w:highlight w:val="none"/>
          <w:lang w:val="en-US" w:eastAsia="zh-CN"/>
        </w:rPr>
        <w:t>工作</w:t>
      </w:r>
      <w:r>
        <w:rPr>
          <w:rFonts w:hint="eastAsia" w:ascii="宋体" w:hAnsi="宋体" w:eastAsia="宋体"/>
          <w:color w:val="auto"/>
          <w:sz w:val="24"/>
          <w:highlight w:val="none"/>
        </w:rPr>
        <w:t>。</w:t>
      </w:r>
    </w:p>
    <w:p w14:paraId="214FF525">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.4.</w:t>
      </w:r>
      <w:r>
        <w:rPr>
          <w:rFonts w:hint="eastAsia" w:ascii="宋体" w:hAnsi="宋体"/>
          <w:color w:val="auto"/>
          <w:sz w:val="24"/>
          <w:highlight w:val="none"/>
          <w:lang w:val="en-US" w:eastAsia="zh-CN"/>
        </w:rPr>
        <w:t>2</w:t>
      </w:r>
      <w:r>
        <w:rPr>
          <w:rFonts w:ascii="宋体" w:hAnsi="宋体" w:eastAsia="宋体"/>
          <w:color w:val="auto"/>
          <w:sz w:val="24"/>
          <w:highlight w:val="none"/>
        </w:rPr>
        <w:t xml:space="preserve"> </w:t>
      </w:r>
      <w:r>
        <w:rPr>
          <w:rFonts w:hint="eastAsia" w:ascii="宋体" w:hAnsi="宋体" w:eastAsia="宋体"/>
          <w:color w:val="auto"/>
          <w:sz w:val="24"/>
          <w:highlight w:val="none"/>
        </w:rPr>
        <w:t>在合同许可的范围内，实施和完成</w:t>
      </w:r>
      <w:r>
        <w:rPr>
          <w:rFonts w:hint="eastAsia" w:ascii="宋体" w:hAnsi="宋体" w:eastAsia="宋体"/>
          <w:color w:val="auto"/>
          <w:sz w:val="24"/>
          <w:highlight w:val="none"/>
          <w:lang w:eastAsia="zh-CN"/>
        </w:rPr>
        <w:t>本项目运行维护</w:t>
      </w:r>
      <w:r>
        <w:rPr>
          <w:rFonts w:hint="eastAsia" w:ascii="宋体" w:hAnsi="宋体" w:eastAsia="宋体"/>
          <w:color w:val="auto"/>
          <w:sz w:val="24"/>
          <w:highlight w:val="none"/>
        </w:rPr>
        <w:t>的一切</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和施工作业，应不影响邻近建筑物、构造物的安全与正常使用，</w:t>
      </w:r>
      <w:r>
        <w:rPr>
          <w:rFonts w:hint="eastAsia" w:ascii="宋体" w:hAnsi="宋体"/>
          <w:color w:val="auto"/>
          <w:sz w:val="24"/>
          <w:highlight w:val="none"/>
          <w:lang w:val="en-US" w:eastAsia="zh-CN"/>
        </w:rPr>
        <w:t>原则上不得</w:t>
      </w:r>
      <w:r>
        <w:rPr>
          <w:rFonts w:hint="eastAsia" w:ascii="宋体" w:hAnsi="宋体" w:eastAsia="宋体"/>
          <w:color w:val="auto"/>
          <w:sz w:val="24"/>
          <w:highlight w:val="none"/>
        </w:rPr>
        <w:t>干扰群众的生产、生活和通行方便。如果发生上述情况，并由此导致索赔、赔偿、诉讼费用及其他开支时，应由承包人承担相应责任及费用。由此引起发包人发生的费用（包括但不限于垫付的费用、政府有关部门的处罚金、发包人应诉或索赔发生的诉讼费、仲裁费、律师费、公证费、鉴定费、保全费、财产保全保险费和合理的差旅费等）均由承包人承担。</w:t>
      </w:r>
    </w:p>
    <w:p w14:paraId="2F146DE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.4.</w:t>
      </w:r>
      <w:r>
        <w:rPr>
          <w:rFonts w:hint="eastAsia" w:ascii="宋体" w:hAnsi="宋体"/>
          <w:color w:val="auto"/>
          <w:sz w:val="24"/>
          <w:highlight w:val="none"/>
          <w:lang w:val="en-US" w:eastAsia="zh-CN"/>
        </w:rPr>
        <w:t>3</w:t>
      </w:r>
      <w:r>
        <w:rPr>
          <w:rFonts w:ascii="宋体" w:hAnsi="宋体" w:eastAsia="宋体"/>
          <w:color w:val="auto"/>
          <w:sz w:val="24"/>
          <w:highlight w:val="none"/>
        </w:rPr>
        <w:t xml:space="preserve"> </w:t>
      </w:r>
      <w:r>
        <w:rPr>
          <w:rFonts w:hint="eastAsia" w:ascii="宋体" w:hAnsi="宋体" w:eastAsia="宋体"/>
          <w:color w:val="auto"/>
          <w:sz w:val="24"/>
          <w:highlight w:val="none"/>
        </w:rPr>
        <w:t>承包人在实施和完成本合同</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的过程中，应该遵守有关部门的规章、细则等，不因本合同的实施而使有关单位的财产或职权受到影响。发包人不承担由于承包人违反任何上述规定的各种罚款和责任。</w:t>
      </w:r>
    </w:p>
    <w:p w14:paraId="38841730">
      <w:pPr>
        <w:tabs>
          <w:tab w:val="left" w:pos="-360"/>
          <w:tab w:val="left" w:pos="1714"/>
        </w:tabs>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.4.</w:t>
      </w:r>
      <w:r>
        <w:rPr>
          <w:rFonts w:hint="eastAsia" w:ascii="宋体" w:hAnsi="宋体"/>
          <w:color w:val="auto"/>
          <w:sz w:val="24"/>
          <w:highlight w:val="none"/>
          <w:lang w:eastAsia="zh-CN"/>
        </w:rPr>
        <w:t>4</w:t>
      </w:r>
      <w:r>
        <w:rPr>
          <w:rFonts w:ascii="宋体" w:hAnsi="宋体" w:eastAsia="宋体"/>
          <w:color w:val="auto"/>
          <w:sz w:val="24"/>
          <w:highlight w:val="none"/>
        </w:rPr>
        <w:t xml:space="preserve"> </w:t>
      </w:r>
      <w:r>
        <w:rPr>
          <w:rFonts w:hint="eastAsia" w:ascii="宋体" w:hAnsi="宋体"/>
          <w:color w:val="auto"/>
          <w:sz w:val="24"/>
          <w:highlight w:val="none"/>
          <w:lang w:val="en-US" w:eastAsia="zh-CN"/>
        </w:rPr>
        <w:t>承包人</w:t>
      </w:r>
      <w:r>
        <w:rPr>
          <w:rFonts w:hint="eastAsia" w:ascii="宋体" w:hAnsi="宋体" w:eastAsia="宋体"/>
          <w:color w:val="auto"/>
          <w:sz w:val="24"/>
          <w:highlight w:val="none"/>
        </w:rPr>
        <w:t>应按照</w:t>
      </w:r>
      <w:r>
        <w:rPr>
          <w:rFonts w:hint="eastAsia" w:ascii="宋体" w:hAnsi="宋体"/>
          <w:color w:val="auto"/>
          <w:sz w:val="24"/>
          <w:highlight w:val="none"/>
          <w:lang w:val="en-US" w:eastAsia="zh-CN"/>
        </w:rPr>
        <w:t>发包人要求、</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南沙区水利设施运行</w:t>
      </w:r>
      <w:r>
        <w:rPr>
          <w:rFonts w:hint="eastAsia" w:ascii="宋体" w:hAnsi="宋体"/>
          <w:color w:val="auto"/>
          <w:sz w:val="24"/>
          <w:highlight w:val="none"/>
          <w:lang w:val="en-US" w:eastAsia="zh-CN"/>
        </w:rPr>
        <w:t>维护</w:t>
      </w:r>
      <w:r>
        <w:rPr>
          <w:rFonts w:hint="eastAsia" w:ascii="宋体" w:hAnsi="宋体" w:eastAsia="宋体"/>
          <w:color w:val="auto"/>
          <w:sz w:val="24"/>
          <w:highlight w:val="none"/>
          <w:lang w:val="en-US" w:eastAsia="zh-CN"/>
        </w:rPr>
        <w:t>手册</w:t>
      </w:r>
      <w:r>
        <w:rPr>
          <w:rFonts w:hint="eastAsia" w:ascii="宋体" w:hAnsi="宋体" w:eastAsia="宋体"/>
          <w:color w:val="auto"/>
          <w:sz w:val="24"/>
          <w:highlight w:val="none"/>
          <w:lang w:eastAsia="zh-CN"/>
        </w:rPr>
        <w:t>》</w:t>
      </w:r>
      <w:r>
        <w:rPr>
          <w:rFonts w:hint="eastAsia" w:ascii="宋体" w:hAnsi="宋体"/>
          <w:color w:val="auto"/>
          <w:sz w:val="24"/>
          <w:highlight w:val="none"/>
          <w:lang w:val="en-US" w:eastAsia="zh-CN"/>
        </w:rPr>
        <w:t>及相关规范</w:t>
      </w:r>
      <w:r>
        <w:rPr>
          <w:rFonts w:hint="eastAsia" w:ascii="宋体" w:hAnsi="宋体" w:eastAsia="宋体"/>
          <w:color w:val="auto"/>
          <w:sz w:val="24"/>
          <w:highlight w:val="none"/>
        </w:rPr>
        <w:t>做好运行</w:t>
      </w:r>
      <w:r>
        <w:rPr>
          <w:rFonts w:hint="eastAsia" w:ascii="宋体" w:hAnsi="宋体"/>
          <w:color w:val="auto"/>
          <w:sz w:val="24"/>
          <w:highlight w:val="none"/>
          <w:lang w:val="en-US" w:eastAsia="zh-CN"/>
        </w:rPr>
        <w:t>维护过程</w:t>
      </w:r>
      <w:r>
        <w:rPr>
          <w:rFonts w:hint="eastAsia" w:ascii="宋体" w:hAnsi="宋体" w:eastAsia="宋体"/>
          <w:color w:val="auto"/>
          <w:sz w:val="24"/>
          <w:highlight w:val="none"/>
        </w:rPr>
        <w:t>资料，保持其及时性、完整性和连续性；应定期向发包人提交运行</w:t>
      </w:r>
      <w:r>
        <w:rPr>
          <w:rFonts w:hint="eastAsia" w:ascii="宋体" w:hAnsi="宋体"/>
          <w:color w:val="auto"/>
          <w:sz w:val="24"/>
          <w:highlight w:val="none"/>
          <w:lang w:eastAsia="zh-CN"/>
        </w:rPr>
        <w:t>维护</w:t>
      </w:r>
      <w:r>
        <w:rPr>
          <w:rFonts w:hint="eastAsia" w:ascii="宋体" w:hAnsi="宋体" w:eastAsia="宋体"/>
          <w:color w:val="auto"/>
          <w:sz w:val="24"/>
          <w:highlight w:val="none"/>
        </w:rPr>
        <w:t>工作月度报告、季度报告、年度报告工作范围内的专题报告。</w:t>
      </w:r>
      <w:r>
        <w:rPr>
          <w:rFonts w:hint="eastAsia" w:ascii="宋体" w:hAnsi="宋体"/>
          <w:color w:val="auto"/>
          <w:sz w:val="24"/>
          <w:highlight w:val="none"/>
          <w:lang w:val="en-US" w:eastAsia="zh-CN"/>
        </w:rPr>
        <w:t>承包人应将按季度上报运行维护方案（包含小修、维养等），经发包人同意后执行。</w:t>
      </w:r>
      <w:r>
        <w:rPr>
          <w:rFonts w:hint="eastAsia" w:ascii="宋体" w:hAnsi="宋体" w:eastAsia="宋体"/>
          <w:color w:val="auto"/>
          <w:sz w:val="24"/>
          <w:highlight w:val="none"/>
        </w:rPr>
        <w:t>承包人应及时向发包人提交对大中修的建议报告和运行调度方案。在巡视检查过程中，如发现需要进行的专项工程等情况，及时向发包人提出建议和处理意见。承包人应配合发包人编制专项工程计划及实施。</w:t>
      </w:r>
    </w:p>
    <w:p w14:paraId="6EE03A9C">
      <w:pPr>
        <w:spacing w:line="40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9.4.</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val="en-US" w:eastAsia="zh-CN"/>
        </w:rPr>
        <w:t xml:space="preserve"> 承包人</w:t>
      </w:r>
      <w:r>
        <w:rPr>
          <w:rFonts w:hint="eastAsia" w:ascii="宋体" w:hAnsi="宋体" w:cs="Times New Roman"/>
          <w:color w:val="auto"/>
          <w:sz w:val="24"/>
          <w:highlight w:val="none"/>
          <w:lang w:val="en-US" w:eastAsia="zh-CN"/>
        </w:rPr>
        <w:t>每季度结束</w:t>
      </w:r>
      <w:r>
        <w:rPr>
          <w:rFonts w:hint="eastAsia" w:ascii="宋体" w:hAnsi="宋体" w:eastAsia="宋体" w:cs="Times New Roman"/>
          <w:color w:val="auto"/>
          <w:sz w:val="24"/>
          <w:highlight w:val="none"/>
          <w:lang w:val="en-US" w:eastAsia="zh-CN"/>
        </w:rPr>
        <w:t>后15</w:t>
      </w:r>
      <w:r>
        <w:rPr>
          <w:rFonts w:hint="eastAsia" w:ascii="宋体" w:hAnsi="宋体" w:cs="Times New Roman"/>
          <w:color w:val="auto"/>
          <w:sz w:val="24"/>
          <w:highlight w:val="none"/>
          <w:lang w:val="en-US" w:eastAsia="zh-CN"/>
        </w:rPr>
        <w:t>天内</w:t>
      </w:r>
      <w:r>
        <w:rPr>
          <w:rFonts w:hint="eastAsia" w:ascii="宋体" w:hAnsi="宋体" w:eastAsia="宋体" w:cs="Times New Roman"/>
          <w:color w:val="auto"/>
          <w:sz w:val="24"/>
          <w:highlight w:val="none"/>
          <w:lang w:val="en-US" w:eastAsia="zh-CN"/>
        </w:rPr>
        <w:t>（非工作日顺延）向发包人提交本季的运行维护工作情况报告，每年</w:t>
      </w:r>
      <w:r>
        <w:rPr>
          <w:rFonts w:hint="eastAsia" w:ascii="宋体" w:hAnsi="宋体" w:cs="Times New Roman"/>
          <w:color w:val="auto"/>
          <w:sz w:val="24"/>
          <w:highlight w:val="none"/>
          <w:lang w:val="en-US" w:eastAsia="zh-CN"/>
        </w:rPr>
        <w:t>1月20日前</w:t>
      </w:r>
      <w:r>
        <w:rPr>
          <w:rFonts w:hint="eastAsia" w:ascii="宋体" w:hAnsi="宋体" w:eastAsia="宋体" w:cs="Times New Roman"/>
          <w:color w:val="auto"/>
          <w:sz w:val="24"/>
          <w:highlight w:val="none"/>
          <w:lang w:val="en-US" w:eastAsia="zh-CN"/>
        </w:rPr>
        <w:t>向发包人提交年度的运行维护工作情况报告</w:t>
      </w:r>
      <w:r>
        <w:rPr>
          <w:rFonts w:hint="eastAsia" w:ascii="宋体" w:hAnsi="宋体" w:cs="Times New Roman"/>
          <w:color w:val="auto"/>
          <w:sz w:val="24"/>
          <w:highlight w:val="none"/>
          <w:lang w:val="en-US" w:eastAsia="zh-CN"/>
        </w:rPr>
        <w:t>（合同最后一个年度的11月20日前提交）</w:t>
      </w:r>
      <w:r>
        <w:rPr>
          <w:rFonts w:hint="eastAsia" w:ascii="宋体" w:hAnsi="宋体" w:eastAsia="宋体" w:cs="Times New Roman"/>
          <w:color w:val="auto"/>
          <w:sz w:val="24"/>
          <w:highlight w:val="none"/>
          <w:lang w:val="en-US" w:eastAsia="zh-CN"/>
        </w:rPr>
        <w:t>。</w:t>
      </w:r>
    </w:p>
    <w:p w14:paraId="0EABA5AD">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9.4.</w:t>
      </w:r>
      <w:r>
        <w:rPr>
          <w:rFonts w:hint="eastAsia" w:ascii="宋体" w:hAnsi="宋体"/>
          <w:color w:val="auto"/>
          <w:sz w:val="24"/>
          <w:highlight w:val="none"/>
          <w:lang w:val="en-US" w:eastAsia="zh-CN"/>
        </w:rPr>
        <w:t>6</w:t>
      </w:r>
      <w:r>
        <w:rPr>
          <w:rFonts w:ascii="宋体" w:hAnsi="宋体" w:eastAsia="宋体"/>
          <w:color w:val="auto"/>
          <w:sz w:val="24"/>
          <w:highlight w:val="none"/>
        </w:rPr>
        <w:t xml:space="preserve"> </w:t>
      </w:r>
      <w:r>
        <w:rPr>
          <w:rFonts w:hint="eastAsia" w:ascii="宋体" w:hAnsi="宋体" w:eastAsia="宋体"/>
          <w:color w:val="auto"/>
          <w:sz w:val="24"/>
          <w:highlight w:val="none"/>
        </w:rPr>
        <w:t>承包人的其它组织管理要求，按发包人要求的约定执行。</w:t>
      </w:r>
    </w:p>
    <w:p w14:paraId="1764750E">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 xml:space="preserve">.5 </w:t>
      </w:r>
      <w:r>
        <w:rPr>
          <w:rFonts w:hint="eastAsia" w:ascii="宋体" w:hAnsi="宋体" w:eastAsia="宋体"/>
          <w:color w:val="auto"/>
          <w:sz w:val="24"/>
          <w:highlight w:val="none"/>
        </w:rPr>
        <w:t>承包人的人员管理</w:t>
      </w:r>
    </w:p>
    <w:p w14:paraId="73771EA1">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 xml:space="preserve">.5.1 </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及管理人员</w:t>
      </w:r>
    </w:p>
    <w:p w14:paraId="33416A4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）承包人应按合同约定指派</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，并在约定的期限内到职。承包人更换</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应事先征得发包人同意，并应在更换</w:t>
      </w:r>
      <w:r>
        <w:rPr>
          <w:rFonts w:ascii="宋体" w:hAnsi="宋体" w:eastAsia="宋体"/>
          <w:color w:val="auto"/>
          <w:sz w:val="24"/>
          <w:highlight w:val="none"/>
        </w:rPr>
        <w:t>7</w:t>
      </w:r>
      <w:r>
        <w:rPr>
          <w:rFonts w:hint="eastAsia" w:ascii="宋体" w:hAnsi="宋体" w:eastAsia="宋体"/>
          <w:color w:val="auto"/>
          <w:sz w:val="24"/>
          <w:highlight w:val="none"/>
        </w:rPr>
        <w:t>天前通知发包人。承包人</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不能在两个或两个以上项目同时任职，且必须保证每月有</w:t>
      </w:r>
      <w:r>
        <w:rPr>
          <w:rFonts w:ascii="宋体" w:hAnsi="宋体" w:eastAsia="宋体"/>
          <w:color w:val="auto"/>
          <w:sz w:val="24"/>
          <w:highlight w:val="none"/>
        </w:rPr>
        <w:t xml:space="preserve"> 22 天以上</w:t>
      </w:r>
      <w:r>
        <w:rPr>
          <w:rFonts w:hint="eastAsia" w:ascii="宋体" w:hAnsi="宋体" w:eastAsia="宋体"/>
          <w:color w:val="auto"/>
          <w:sz w:val="24"/>
          <w:highlight w:val="none"/>
        </w:rPr>
        <w:t>驻守现场，短期离开</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作业场地，应事先征得发包人同意，并委派代表代行其职责。</w:t>
      </w:r>
      <w:r>
        <w:rPr>
          <w:rFonts w:hint="eastAsia" w:ascii="宋体" w:hAnsi="宋体" w:eastAsia="宋体"/>
          <w:color w:val="auto"/>
          <w:sz w:val="24"/>
          <w:highlight w:val="none"/>
          <w:lang w:eastAsia="zh-CN"/>
        </w:rPr>
        <w:t>技术负责人</w:t>
      </w:r>
      <w:r>
        <w:rPr>
          <w:rFonts w:hint="eastAsia" w:ascii="宋体" w:hAnsi="宋体" w:eastAsia="宋体"/>
          <w:color w:val="auto"/>
          <w:sz w:val="24"/>
          <w:highlight w:val="none"/>
        </w:rPr>
        <w:t>必须保证每月有</w:t>
      </w:r>
      <w:r>
        <w:rPr>
          <w:rFonts w:ascii="宋体" w:hAnsi="宋体" w:eastAsia="宋体"/>
          <w:color w:val="auto"/>
          <w:sz w:val="24"/>
          <w:highlight w:val="none"/>
        </w:rPr>
        <w:t xml:space="preserve"> 22 天以上</w:t>
      </w:r>
      <w:r>
        <w:rPr>
          <w:rFonts w:hint="eastAsia" w:ascii="宋体" w:hAnsi="宋体" w:eastAsia="宋体"/>
          <w:color w:val="auto"/>
          <w:sz w:val="24"/>
          <w:highlight w:val="none"/>
        </w:rPr>
        <w:t>驻守现场，否则视为承包人违约。以上两位主要人员因主管部门或发包人检查，被认定存在“挂名”现象的，视为承包人违约。</w:t>
      </w:r>
    </w:p>
    <w:p w14:paraId="01EAC249">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）承包人</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应按合同约定以及发包人按本合同条款作出的指示，负责组织</w:t>
      </w:r>
      <w:r>
        <w:rPr>
          <w:rFonts w:hint="eastAsia" w:ascii="宋体" w:hAnsi="宋体" w:eastAsia="宋体"/>
          <w:color w:val="auto"/>
          <w:sz w:val="24"/>
          <w:highlight w:val="none"/>
          <w:lang w:eastAsia="zh-CN"/>
        </w:rPr>
        <w:t>本项目运行维护</w:t>
      </w:r>
      <w:r>
        <w:rPr>
          <w:rFonts w:hint="eastAsia" w:ascii="宋体" w:hAnsi="宋体" w:eastAsia="宋体"/>
          <w:color w:val="auto"/>
          <w:sz w:val="24"/>
          <w:highlight w:val="none"/>
        </w:rPr>
        <w:t>的实施。在情况紧急且无法与发包人取得联系时，可采取保证工程和人员生命财产安全的紧急措施，并在采取措施后</w:t>
      </w:r>
      <w:r>
        <w:rPr>
          <w:rFonts w:ascii="宋体" w:hAnsi="宋体" w:eastAsia="宋体"/>
          <w:color w:val="auto"/>
          <w:sz w:val="24"/>
          <w:highlight w:val="none"/>
        </w:rPr>
        <w:t>24</w:t>
      </w:r>
      <w:r>
        <w:rPr>
          <w:rFonts w:hint="eastAsia" w:ascii="宋体" w:hAnsi="宋体" w:eastAsia="宋体"/>
          <w:color w:val="auto"/>
          <w:sz w:val="24"/>
          <w:highlight w:val="none"/>
        </w:rPr>
        <w:t>小时内向发包人提交书面报告。</w:t>
      </w:r>
    </w:p>
    <w:p w14:paraId="0DCF7205">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）承包人为履行合同发出的一切函件均应盖有承包人授权的作业场地管理机构章，并由承包人</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或其授权代表签字。</w:t>
      </w:r>
    </w:p>
    <w:p w14:paraId="62968594">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）承包人</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可以授权其下属人员履行其某项职责，但事先应将本授权人员的姓名和授权范围通知发包人。</w:t>
      </w:r>
    </w:p>
    <w:p w14:paraId="68D6A971">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技术负责人</w:t>
      </w:r>
      <w:r>
        <w:rPr>
          <w:rFonts w:hint="eastAsia" w:ascii="宋体" w:hAnsi="宋体" w:eastAsia="宋体"/>
          <w:color w:val="auto"/>
          <w:sz w:val="24"/>
          <w:highlight w:val="none"/>
        </w:rPr>
        <w:t>离开</w:t>
      </w:r>
      <w:r>
        <w:rPr>
          <w:rFonts w:hint="eastAsia" w:ascii="宋体" w:hAnsi="宋体" w:eastAsia="宋体"/>
          <w:color w:val="auto"/>
          <w:sz w:val="24"/>
          <w:highlight w:val="none"/>
          <w:lang w:val="en-US" w:eastAsia="zh-CN"/>
        </w:rPr>
        <w:t>现场</w:t>
      </w:r>
      <w:r>
        <w:rPr>
          <w:rFonts w:hint="eastAsia" w:ascii="宋体" w:hAnsi="宋体" w:eastAsia="宋体"/>
          <w:color w:val="auto"/>
          <w:sz w:val="24"/>
          <w:highlight w:val="none"/>
        </w:rPr>
        <w:t>必须书面请假，经发包人同意后才能离开，其他管理和技术人员经发包人代表同意后才能离开</w:t>
      </w:r>
      <w:r>
        <w:rPr>
          <w:rFonts w:hint="eastAsia" w:ascii="宋体" w:hAnsi="宋体" w:eastAsia="宋体"/>
          <w:color w:val="auto"/>
          <w:sz w:val="24"/>
          <w:highlight w:val="none"/>
          <w:lang w:val="en-US" w:eastAsia="zh-CN"/>
        </w:rPr>
        <w:t>现场</w:t>
      </w:r>
      <w:r>
        <w:rPr>
          <w:rFonts w:hint="eastAsia" w:ascii="宋体" w:hAnsi="宋体" w:eastAsia="宋体"/>
          <w:color w:val="auto"/>
          <w:sz w:val="24"/>
          <w:highlight w:val="none"/>
        </w:rPr>
        <w:t>。</w:t>
      </w:r>
    </w:p>
    <w:p w14:paraId="520152EB">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6</w:t>
      </w:r>
      <w:r>
        <w:rPr>
          <w:rFonts w:hint="eastAsia" w:ascii="宋体" w:hAnsi="宋体" w:eastAsia="宋体"/>
          <w:color w:val="auto"/>
          <w:sz w:val="24"/>
          <w:highlight w:val="none"/>
        </w:rPr>
        <w:t>）承包人应按合同条款的相关要求配置项目管理团队，发包人有权根据合同执行情况对承包人人员的配置和管理要求做出适当调整。</w:t>
      </w:r>
    </w:p>
    <w:p w14:paraId="3622F336">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5.2 </w:t>
      </w:r>
      <w:r>
        <w:rPr>
          <w:rFonts w:hint="eastAsia" w:ascii="宋体" w:hAnsi="宋体" w:eastAsia="宋体"/>
          <w:color w:val="auto"/>
          <w:sz w:val="24"/>
          <w:highlight w:val="none"/>
        </w:rPr>
        <w:t>特殊岗位工作人员</w:t>
      </w:r>
    </w:p>
    <w:p w14:paraId="6D840996">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）承包人须按照国家法律法规、本合同条款、发包人要求的有关规定，配置</w:t>
      </w:r>
      <w:r>
        <w:rPr>
          <w:rFonts w:hint="eastAsia" w:ascii="宋体" w:hAnsi="宋体" w:eastAsia="宋体"/>
          <w:color w:val="auto"/>
          <w:sz w:val="24"/>
          <w:highlight w:val="none"/>
          <w:lang w:eastAsia="zh-CN"/>
        </w:rPr>
        <w:t>本项目运行维护</w:t>
      </w:r>
      <w:r>
        <w:rPr>
          <w:rFonts w:hint="eastAsia" w:ascii="宋体" w:hAnsi="宋体" w:eastAsia="宋体"/>
          <w:color w:val="auto"/>
          <w:sz w:val="24"/>
          <w:highlight w:val="none"/>
        </w:rPr>
        <w:t>中涉及特种设备（包含发包人提供的设备，下同）驾驶员及操作人员，涉及的费用已包含在合同价格中。</w:t>
      </w:r>
    </w:p>
    <w:p w14:paraId="577471C9">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）涉及特种设备（包含发包人提供的设备）驾驶员及操作人员，以及其它特殊岗位的工作人员，承包人应在</w:t>
      </w:r>
      <w:r>
        <w:rPr>
          <w:rFonts w:hint="eastAsia" w:ascii="宋体" w:hAnsi="宋体"/>
          <w:color w:val="auto"/>
          <w:sz w:val="24"/>
          <w:highlight w:val="none"/>
          <w:lang w:eastAsia="zh-CN"/>
        </w:rPr>
        <w:t>运行维护方案</w:t>
      </w:r>
      <w:r>
        <w:rPr>
          <w:rFonts w:hint="eastAsia" w:ascii="宋体" w:hAnsi="宋体" w:eastAsia="宋体"/>
          <w:color w:val="auto"/>
          <w:sz w:val="24"/>
          <w:highlight w:val="none"/>
        </w:rPr>
        <w:t>中，详细列出有关人员的从业资格信息，并按照国家法律法规、合同文件规定准备好相应的从业资格等证明文件备查。</w:t>
      </w:r>
    </w:p>
    <w:p w14:paraId="04F06016">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）严禁不具备从业资格的特殊岗位人员，违规从事有关设备的驾驶或操作工作，由此引起的一切后果与责任由承包人承担。同时，发包人将</w:t>
      </w:r>
      <w:r>
        <w:rPr>
          <w:rFonts w:ascii="宋体" w:hAnsi="宋体" w:eastAsia="宋体"/>
          <w:color w:val="auto"/>
          <w:sz w:val="24"/>
          <w:highlight w:val="none"/>
        </w:rPr>
        <w:t>视为承包人违约</w:t>
      </w:r>
      <w:r>
        <w:rPr>
          <w:rFonts w:hint="eastAsia" w:ascii="宋体" w:hAnsi="宋体" w:eastAsia="宋体"/>
          <w:color w:val="auto"/>
          <w:sz w:val="24"/>
          <w:highlight w:val="none"/>
        </w:rPr>
        <w:t>，</w:t>
      </w:r>
      <w:r>
        <w:rPr>
          <w:rFonts w:ascii="宋体" w:hAnsi="宋体" w:eastAsia="宋体"/>
          <w:color w:val="auto"/>
          <w:sz w:val="24"/>
          <w:highlight w:val="none"/>
        </w:rPr>
        <w:t>按照第24.2款的规定</w:t>
      </w:r>
      <w:r>
        <w:rPr>
          <w:rFonts w:hint="eastAsia" w:ascii="宋体" w:hAnsi="宋体" w:eastAsia="宋体"/>
          <w:color w:val="auto"/>
          <w:sz w:val="24"/>
          <w:highlight w:val="none"/>
        </w:rPr>
        <w:t>处理。</w:t>
      </w:r>
    </w:p>
    <w:p w14:paraId="4BDCF9EE">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5.3 </w:t>
      </w:r>
      <w:r>
        <w:rPr>
          <w:rFonts w:hint="eastAsia" w:ascii="宋体" w:hAnsi="宋体" w:eastAsia="宋体"/>
          <w:color w:val="auto"/>
          <w:sz w:val="24"/>
          <w:highlight w:val="none"/>
        </w:rPr>
        <w:t>人员审查和保障</w:t>
      </w:r>
    </w:p>
    <w:p w14:paraId="47485281">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）发包人在承包人进场前及进场后，</w:t>
      </w:r>
      <w:r>
        <w:rPr>
          <w:rFonts w:hint="eastAsia" w:ascii="宋体" w:hAnsi="宋体"/>
          <w:color w:val="auto"/>
          <w:sz w:val="24"/>
          <w:highlight w:val="none"/>
          <w:lang w:val="en-US" w:eastAsia="zh-CN"/>
        </w:rPr>
        <w:t>可</w:t>
      </w:r>
      <w:r>
        <w:rPr>
          <w:rFonts w:hint="eastAsia" w:ascii="宋体" w:hAnsi="宋体" w:eastAsia="宋体"/>
          <w:color w:val="auto"/>
          <w:sz w:val="24"/>
          <w:highlight w:val="none"/>
        </w:rPr>
        <w:t>分阶段对承包人投入的人员进行审查，并设定</w:t>
      </w:r>
      <w:r>
        <w:rPr>
          <w:rFonts w:ascii="宋体" w:hAnsi="宋体" w:eastAsia="宋体"/>
          <w:color w:val="auto"/>
          <w:sz w:val="24"/>
          <w:highlight w:val="none"/>
        </w:rPr>
        <w:t>1</w:t>
      </w:r>
      <w:r>
        <w:rPr>
          <w:rFonts w:hint="eastAsia" w:ascii="宋体" w:hAnsi="宋体"/>
          <w:color w:val="auto"/>
          <w:sz w:val="24"/>
          <w:highlight w:val="none"/>
          <w:lang w:val="en-US" w:eastAsia="zh-CN"/>
        </w:rPr>
        <w:t>至</w:t>
      </w:r>
      <w:r>
        <w:rPr>
          <w:rFonts w:ascii="宋体" w:hAnsi="宋体" w:eastAsia="宋体"/>
          <w:color w:val="auto"/>
          <w:sz w:val="24"/>
          <w:highlight w:val="none"/>
        </w:rPr>
        <w:t>3</w:t>
      </w:r>
      <w:r>
        <w:rPr>
          <w:rFonts w:hint="eastAsia" w:ascii="宋体" w:hAnsi="宋体" w:eastAsia="宋体"/>
          <w:color w:val="auto"/>
          <w:sz w:val="24"/>
          <w:highlight w:val="none"/>
        </w:rPr>
        <w:t>个月的考察期。承包人应根据</w:t>
      </w:r>
      <w:r>
        <w:rPr>
          <w:rFonts w:hint="eastAsia" w:ascii="宋体" w:hAnsi="宋体" w:eastAsia="宋体"/>
          <w:color w:val="auto"/>
          <w:sz w:val="24"/>
          <w:highlight w:val="none"/>
          <w:lang w:eastAsia="zh-CN"/>
        </w:rPr>
        <w:t>运行维护</w:t>
      </w:r>
      <w:r>
        <w:rPr>
          <w:rFonts w:hint="eastAsia" w:ascii="宋体" w:hAnsi="宋体"/>
          <w:color w:val="auto"/>
          <w:sz w:val="24"/>
          <w:highlight w:val="none"/>
          <w:lang w:val="en-US" w:eastAsia="zh-CN"/>
        </w:rPr>
        <w:t>方案</w:t>
      </w:r>
      <w:r>
        <w:rPr>
          <w:rFonts w:hint="eastAsia" w:ascii="宋体" w:hAnsi="宋体" w:eastAsia="宋体"/>
          <w:color w:val="auto"/>
          <w:sz w:val="24"/>
          <w:highlight w:val="none"/>
        </w:rPr>
        <w:t>安排相应的管理和技术人员进场，在人员进场之前，承包人应在投标文件提供的资料基础上按招标文件规定和发包人要求，将该批人员（包括增加的人员）的补充资格审查资料（如有），在规定的时间内报发包人审查。经发包人审查通过的上述人员，才能承担相应的工作，如未能通过审查，承包人应立即补报符合要求的人员，直至通过审查为止。但发包人对上述人员的审查通过，并不代表对其工作能力或技术水平的认可。如在合同履行过程中，发包人认为该人员不能胜任本职工作的，发包人有权要求承包人更换该人员，直到满足合同规定为止。</w:t>
      </w:r>
    </w:p>
    <w:p w14:paraId="5CDB2D5A">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承包人安排在</w:t>
      </w:r>
      <w:r>
        <w:rPr>
          <w:rFonts w:hint="eastAsia" w:ascii="宋体" w:hAnsi="宋体" w:eastAsia="宋体"/>
          <w:color w:val="auto"/>
          <w:sz w:val="24"/>
          <w:highlight w:val="none"/>
        </w:rPr>
        <w:t>各作业</w:t>
      </w:r>
      <w:r>
        <w:rPr>
          <w:rFonts w:ascii="宋体" w:hAnsi="宋体" w:eastAsia="宋体"/>
          <w:color w:val="auto"/>
          <w:sz w:val="24"/>
          <w:highlight w:val="none"/>
        </w:rPr>
        <w:t>场地的管理人员和技术</w:t>
      </w:r>
      <w:r>
        <w:rPr>
          <w:rFonts w:hint="eastAsia" w:ascii="宋体" w:hAnsi="宋体" w:eastAsia="宋体"/>
          <w:color w:val="auto"/>
          <w:sz w:val="24"/>
          <w:highlight w:val="none"/>
        </w:rPr>
        <w:t>人员</w:t>
      </w:r>
      <w:r>
        <w:rPr>
          <w:rFonts w:ascii="宋体" w:hAnsi="宋体" w:eastAsia="宋体"/>
          <w:color w:val="auto"/>
          <w:sz w:val="24"/>
          <w:highlight w:val="none"/>
        </w:rPr>
        <w:t>应与承包人承诺的名单一致，并保持相对稳定。未经</w:t>
      </w:r>
      <w:r>
        <w:rPr>
          <w:rFonts w:hint="eastAsia" w:ascii="宋体" w:hAnsi="宋体" w:eastAsia="宋体"/>
          <w:color w:val="auto"/>
          <w:sz w:val="24"/>
          <w:highlight w:val="none"/>
        </w:rPr>
        <w:t>发包</w:t>
      </w:r>
      <w:r>
        <w:rPr>
          <w:rFonts w:ascii="宋体" w:hAnsi="宋体" w:eastAsia="宋体"/>
          <w:color w:val="auto"/>
          <w:sz w:val="24"/>
          <w:highlight w:val="none"/>
        </w:rPr>
        <w:t>人批准，上述人员不应无故不到位或被替换；如确实无法到位或需替换，需经报发包人批准后，用同等</w:t>
      </w:r>
      <w:r>
        <w:rPr>
          <w:rFonts w:hint="eastAsia" w:ascii="宋体" w:hAnsi="宋体" w:eastAsia="宋体"/>
          <w:color w:val="auto"/>
          <w:sz w:val="24"/>
          <w:highlight w:val="none"/>
        </w:rPr>
        <w:t>或更高</w:t>
      </w:r>
      <w:r>
        <w:rPr>
          <w:rFonts w:ascii="宋体" w:hAnsi="宋体" w:eastAsia="宋体"/>
          <w:color w:val="auto"/>
          <w:sz w:val="24"/>
          <w:highlight w:val="none"/>
        </w:rPr>
        <w:t>资质和经历的人员替换。</w:t>
      </w:r>
    </w:p>
    <w:p w14:paraId="44D411D5">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）承包人应在合同服务期内，安排相应的管理和技术人员进驻现场，</w:t>
      </w:r>
      <w:r>
        <w:rPr>
          <w:rFonts w:ascii="宋体" w:hAnsi="宋体" w:eastAsia="宋体"/>
          <w:color w:val="auto"/>
          <w:sz w:val="24"/>
          <w:highlight w:val="none"/>
        </w:rPr>
        <w:t>并按照合同规定常驻现场</w:t>
      </w:r>
      <w:r>
        <w:rPr>
          <w:rFonts w:hint="eastAsia" w:ascii="宋体" w:hAnsi="宋体" w:eastAsia="宋体"/>
          <w:color w:val="auto"/>
          <w:sz w:val="24"/>
          <w:highlight w:val="none"/>
        </w:rPr>
        <w:t>（每月2</w:t>
      </w:r>
      <w:r>
        <w:rPr>
          <w:rFonts w:ascii="宋体" w:hAnsi="宋体" w:eastAsia="宋体"/>
          <w:color w:val="auto"/>
          <w:sz w:val="24"/>
          <w:highlight w:val="none"/>
        </w:rPr>
        <w:t>2</w:t>
      </w:r>
      <w:r>
        <w:rPr>
          <w:rFonts w:hint="eastAsia" w:ascii="宋体" w:hAnsi="宋体" w:eastAsia="宋体"/>
          <w:color w:val="auto"/>
          <w:sz w:val="24"/>
          <w:highlight w:val="none"/>
        </w:rPr>
        <w:t>天以上）</w:t>
      </w:r>
      <w:r>
        <w:rPr>
          <w:rFonts w:ascii="宋体" w:hAnsi="宋体" w:eastAsia="宋体"/>
          <w:color w:val="auto"/>
          <w:sz w:val="24"/>
          <w:highlight w:val="none"/>
        </w:rPr>
        <w:t>，否则视为承包人违约</w:t>
      </w:r>
      <w:r>
        <w:rPr>
          <w:rFonts w:hint="eastAsia" w:ascii="宋体" w:hAnsi="宋体" w:eastAsia="宋体"/>
          <w:color w:val="auto"/>
          <w:sz w:val="24"/>
          <w:highlight w:val="none"/>
        </w:rPr>
        <w:t>，</w:t>
      </w:r>
      <w:r>
        <w:rPr>
          <w:rFonts w:ascii="宋体" w:hAnsi="宋体" w:eastAsia="宋体"/>
          <w:color w:val="auto"/>
          <w:sz w:val="24"/>
          <w:highlight w:val="none"/>
        </w:rPr>
        <w:t>按照第24.2款的规定</w:t>
      </w:r>
      <w:r>
        <w:rPr>
          <w:rFonts w:hint="eastAsia" w:ascii="宋体" w:hAnsi="宋体" w:eastAsia="宋体"/>
          <w:color w:val="auto"/>
          <w:sz w:val="24"/>
          <w:highlight w:val="none"/>
        </w:rPr>
        <w:t>办理</w:t>
      </w:r>
      <w:r>
        <w:rPr>
          <w:rFonts w:ascii="宋体" w:hAnsi="宋体" w:eastAsia="宋体"/>
          <w:color w:val="auto"/>
          <w:sz w:val="24"/>
          <w:highlight w:val="none"/>
        </w:rPr>
        <w:t>。</w:t>
      </w:r>
    </w:p>
    <w:p w14:paraId="5C0B6B06">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）为保证承包人的档案资料整理工作具有连续性、稳定性，要求承包人的资料档案管理员在本项目连续工作</w:t>
      </w:r>
      <w:r>
        <w:rPr>
          <w:rFonts w:ascii="宋体" w:hAnsi="宋体" w:eastAsia="宋体"/>
          <w:color w:val="auto"/>
          <w:sz w:val="24"/>
          <w:highlight w:val="none"/>
        </w:rPr>
        <w:t>1</w:t>
      </w:r>
      <w:r>
        <w:rPr>
          <w:rFonts w:hint="eastAsia" w:ascii="宋体" w:hAnsi="宋体" w:eastAsia="宋体"/>
          <w:color w:val="auto"/>
          <w:sz w:val="24"/>
          <w:highlight w:val="none"/>
        </w:rPr>
        <w:t>年及以上，否则按第</w:t>
      </w:r>
      <w:r>
        <w:rPr>
          <w:rFonts w:ascii="宋体" w:hAnsi="宋体" w:eastAsia="宋体"/>
          <w:color w:val="auto"/>
          <w:sz w:val="24"/>
          <w:highlight w:val="none"/>
        </w:rPr>
        <w:t>24.2</w:t>
      </w:r>
      <w:r>
        <w:rPr>
          <w:rFonts w:hint="eastAsia" w:ascii="宋体" w:hAnsi="宋体" w:eastAsia="宋体"/>
          <w:color w:val="auto"/>
          <w:sz w:val="24"/>
          <w:highlight w:val="none"/>
        </w:rPr>
        <w:t>款视为承包人违约。</w:t>
      </w:r>
    </w:p>
    <w:p w14:paraId="6C0E8CF2">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5.4 </w:t>
      </w:r>
      <w:r>
        <w:rPr>
          <w:rFonts w:hint="eastAsia" w:ascii="宋体" w:hAnsi="宋体" w:eastAsia="宋体"/>
          <w:color w:val="auto"/>
          <w:sz w:val="24"/>
          <w:highlight w:val="none"/>
        </w:rPr>
        <w:t>人员培训及考核</w:t>
      </w:r>
    </w:p>
    <w:p w14:paraId="785EB4D8">
      <w:pPr>
        <w:spacing w:line="400" w:lineRule="exact"/>
        <w:ind w:firstLine="480" w:firstLineChars="200"/>
        <w:rPr>
          <w:rFonts w:hint="eastAsia" w:ascii="宋体" w:hAnsi="宋体" w:eastAsia="宋体"/>
          <w:color w:val="auto"/>
          <w:sz w:val="24"/>
          <w:highlight w:val="none"/>
        </w:rPr>
      </w:pPr>
      <w:r>
        <w:rPr>
          <w:rFonts w:hint="eastAsia" w:ascii="宋体" w:hAnsi="宋体"/>
          <w:color w:val="auto"/>
          <w:sz w:val="24"/>
          <w:highlight w:val="none"/>
          <w:lang w:val="en-US" w:eastAsia="zh-CN"/>
        </w:rPr>
        <w:t>（1）</w:t>
      </w:r>
      <w:r>
        <w:rPr>
          <w:rFonts w:hint="eastAsia" w:ascii="宋体" w:hAnsi="宋体" w:eastAsia="宋体"/>
          <w:color w:val="auto"/>
          <w:sz w:val="24"/>
          <w:highlight w:val="none"/>
        </w:rPr>
        <w:t>承包人应制定人员管理和培训计划，并根据项目进展情况，分阶段组织承包人管理及技术人员进行培训和（或）考核，培训和（或）考核内容包括但不限于：机械设备操作、最新的工作技术要求、承包人自身的工艺改进、方案实施及新的管理模式等，确保承包人所有人员均具备良好的管理和技术技能，以满足本合同</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作业要求。</w:t>
      </w:r>
    </w:p>
    <w:p w14:paraId="78E7AD3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eastAsia="zh-CN"/>
        </w:rPr>
        <w:t>2</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本项目</w:t>
      </w:r>
      <w:r>
        <w:rPr>
          <w:rFonts w:hint="eastAsia" w:ascii="宋体" w:hAnsi="宋体" w:eastAsia="宋体"/>
          <w:color w:val="auto"/>
          <w:sz w:val="24"/>
          <w:highlight w:val="none"/>
        </w:rPr>
        <w:t>特殊岗位的工作人员，应按照国家法律法规、本合同条款、发包人要求开展有关培训与考核。</w:t>
      </w:r>
    </w:p>
    <w:p w14:paraId="2CEA9EE6">
      <w:pPr>
        <w:spacing w:line="400" w:lineRule="exact"/>
        <w:ind w:firstLine="480" w:firstLineChars="200"/>
        <w:rPr>
          <w:rFonts w:ascii="宋体" w:hAnsi="宋体" w:eastAsia="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eastAsia="宋体"/>
          <w:color w:val="auto"/>
          <w:sz w:val="24"/>
          <w:highlight w:val="none"/>
        </w:rPr>
        <w:t>如发包人认为必须时，发包人可要求部分关键岗位作业人员需通过发包人的考核，且承包人完成各种操作手册，并经发包人核备后或在作业方法发生更改时，均应组织各相关操作人员进行培训（含中期培训）。</w:t>
      </w:r>
    </w:p>
    <w:p w14:paraId="6D6332AF">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4</w:t>
      </w:r>
      <w:r>
        <w:rPr>
          <w:rFonts w:hint="eastAsia" w:ascii="宋体" w:hAnsi="宋体" w:eastAsia="宋体"/>
          <w:color w:val="auto"/>
          <w:sz w:val="24"/>
          <w:highlight w:val="none"/>
        </w:rPr>
        <w:t>）承包人除对上述人员进行作业培训之外，还应根据实际情况，对承包人自有管理及技术人员制定必要的培训计划，培训内容包括但不限于：</w:t>
      </w:r>
      <w:r>
        <w:rPr>
          <w:rFonts w:hint="eastAsia" w:ascii="宋体" w:hAnsi="宋体"/>
          <w:color w:val="auto"/>
          <w:sz w:val="24"/>
          <w:highlight w:val="none"/>
          <w:lang w:eastAsia="zh-CN"/>
        </w:rPr>
        <w:t>运行维护方案</w:t>
      </w:r>
      <w:r>
        <w:rPr>
          <w:rFonts w:hint="eastAsia" w:ascii="宋体" w:hAnsi="宋体" w:eastAsia="宋体"/>
          <w:color w:val="auto"/>
          <w:sz w:val="24"/>
          <w:highlight w:val="none"/>
        </w:rPr>
        <w:t>交底、技术工艺培训、生产管理培训、安全管理培训、发包人新的技术要求和管理动态等。</w:t>
      </w:r>
    </w:p>
    <w:p w14:paraId="4723B29B">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5</w:t>
      </w:r>
      <w:r>
        <w:rPr>
          <w:rFonts w:hint="eastAsia" w:ascii="宋体" w:hAnsi="宋体" w:eastAsia="宋体"/>
          <w:color w:val="auto"/>
          <w:sz w:val="24"/>
          <w:highlight w:val="none"/>
        </w:rPr>
        <w:t>）承包人对上述人员的培训及实施将纳入的综合考核办法中，承包人对自有管理技术人员的培训所需费用已包含在合同价格中，发包人不另行支付。</w:t>
      </w:r>
    </w:p>
    <w:p w14:paraId="5D72B875">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6</w:t>
      </w:r>
      <w:r>
        <w:rPr>
          <w:rFonts w:hint="eastAsia" w:ascii="宋体" w:hAnsi="宋体" w:eastAsia="宋体"/>
          <w:color w:val="auto"/>
          <w:sz w:val="24"/>
          <w:highlight w:val="none"/>
        </w:rPr>
        <w:t>）尽管承包人已按承诺派遣了上述各类人员，但如这些人员仍不能满足合同进度计划和（或）质量要求时，发包人有权要求承包人继续增派或雇用此类人员，并书面通知承包人。承包人在接到上述通知后应立即执行发包人的上述指示，不得无故拖延，由此增加的费用和（或）时间节点延误由承包人承担。</w:t>
      </w:r>
    </w:p>
    <w:p w14:paraId="7D5A0C1E">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7</w:t>
      </w:r>
      <w:r>
        <w:rPr>
          <w:rFonts w:hint="eastAsia" w:ascii="宋体" w:hAnsi="宋体" w:eastAsia="宋体"/>
          <w:color w:val="auto"/>
          <w:sz w:val="24"/>
          <w:highlight w:val="none"/>
        </w:rPr>
        <w:t>）承包人的所有管理、作业人员（包括分包队伍）需统一着装，并按不同岗位佩证上岗，体现精、气、神的良好精神风貌。</w:t>
      </w:r>
    </w:p>
    <w:p w14:paraId="48DFD404">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8</w:t>
      </w:r>
      <w:r>
        <w:rPr>
          <w:rFonts w:hint="eastAsia" w:ascii="宋体" w:hAnsi="宋体" w:eastAsia="宋体"/>
          <w:color w:val="auto"/>
          <w:sz w:val="24"/>
          <w:highlight w:val="none"/>
        </w:rPr>
        <w:t>）除本合同条款第</w:t>
      </w:r>
      <w:r>
        <w:rPr>
          <w:rFonts w:hint="eastAsia" w:ascii="宋体" w:hAnsi="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5.4</w:t>
      </w:r>
      <w:r>
        <w:rPr>
          <w:rFonts w:hint="eastAsia" w:ascii="宋体" w:hAnsi="宋体" w:eastAsia="宋体"/>
          <w:color w:val="auto"/>
          <w:sz w:val="24"/>
          <w:highlight w:val="none"/>
        </w:rPr>
        <w:t>款规定的考核人员外，承包人应尽量确保其他管理技术人员工作地点和工作岗位的稳定，特殊情况下，承包人需要对除考核人员之外的管理技术人员进行统筹安排或动态调配的，应在岗位变动前，将变动计划报发包人审核，发包人将按照</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工作进展情况及工作量、控制节点的变化情况予以审批。承包人主动提出的人员调配方案或经过发包人审批后的人员调配方案应确保本合同</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过程中各阶段各作业场地的管理技术人员满足生产需要，否则，发包人有权要求承包人对该调配方案进行修改或按照本合同条款第</w:t>
      </w: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5.4</w:t>
      </w:r>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）款的规定予以增派相应的管理技术人员。</w:t>
      </w:r>
    </w:p>
    <w:p w14:paraId="620412C8">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5.5 </w:t>
      </w:r>
      <w:r>
        <w:rPr>
          <w:rFonts w:hint="eastAsia" w:ascii="宋体" w:hAnsi="宋体" w:eastAsia="宋体"/>
          <w:color w:val="auto"/>
          <w:sz w:val="24"/>
          <w:highlight w:val="none"/>
        </w:rPr>
        <w:t>更换和撤换承包人</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和其他人员</w:t>
      </w:r>
    </w:p>
    <w:p w14:paraId="41A0F33C">
      <w:pPr>
        <w:spacing w:line="400" w:lineRule="exact"/>
        <w:ind w:firstLine="480" w:firstLineChars="200"/>
        <w:rPr>
          <w:rFonts w:hint="eastAsia" w:ascii="宋体" w:hAnsi="宋体" w:eastAsia="宋体"/>
          <w:color w:val="auto"/>
          <w:sz w:val="24"/>
          <w:highlight w:val="none"/>
          <w:lang w:eastAsia="zh-CN"/>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）更换承包人</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和</w:t>
      </w:r>
      <w:r>
        <w:rPr>
          <w:rFonts w:hint="eastAsia" w:ascii="宋体" w:hAnsi="宋体" w:eastAsia="宋体"/>
          <w:color w:val="auto"/>
          <w:sz w:val="24"/>
          <w:highlight w:val="none"/>
          <w:lang w:eastAsia="zh-CN"/>
        </w:rPr>
        <w:t>技术负责人</w:t>
      </w:r>
    </w:p>
    <w:p w14:paraId="5E8E5ECA">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除因管理原因发生重大质量安全事故，或因不可抗力、正常退休、患严重疾病、死亡、职务晋升或辞职等（需提供相关部门或单位的证明材料），或被责令停止执业、羁押或判刑外等无法继续履行合同责任和义务外，承包人不得提出更换</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和</w:t>
      </w:r>
      <w:r>
        <w:rPr>
          <w:rFonts w:hint="eastAsia" w:ascii="宋体" w:hAnsi="宋体" w:eastAsia="宋体"/>
          <w:color w:val="auto"/>
          <w:sz w:val="24"/>
          <w:highlight w:val="none"/>
          <w:lang w:eastAsia="zh-CN"/>
        </w:rPr>
        <w:t>技术负责人</w:t>
      </w:r>
      <w:r>
        <w:rPr>
          <w:rFonts w:hint="eastAsia" w:ascii="宋体" w:hAnsi="宋体" w:eastAsia="宋体"/>
          <w:color w:val="auto"/>
          <w:sz w:val="24"/>
          <w:highlight w:val="none"/>
        </w:rPr>
        <w:t>。符合上述规定确需更换的，承包人应向发包人出具书面申请，包括但不限于：</w:t>
      </w:r>
    </w:p>
    <w:p w14:paraId="681B4946">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①书面请示报告；</w:t>
      </w:r>
    </w:p>
    <w:p w14:paraId="663D53FF">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②人员变更原因；</w:t>
      </w:r>
    </w:p>
    <w:p w14:paraId="4D86F5BD">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③替换人员的技术职称、学历证明、相关工作经验等资历证明材料（不得低于原投标承诺人员所具有的资格和业绩条件）。</w:t>
      </w:r>
    </w:p>
    <w:p w14:paraId="231A858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发包人在接到承包人请求后，将视情况予以审批，即使承包人的</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和</w:t>
      </w:r>
      <w:r>
        <w:rPr>
          <w:rFonts w:hint="eastAsia" w:ascii="宋体" w:hAnsi="宋体" w:eastAsia="宋体"/>
          <w:color w:val="auto"/>
          <w:sz w:val="24"/>
          <w:highlight w:val="none"/>
          <w:lang w:eastAsia="zh-CN"/>
        </w:rPr>
        <w:t>技术负责人</w:t>
      </w:r>
      <w:r>
        <w:rPr>
          <w:rFonts w:hint="eastAsia" w:ascii="宋体" w:hAnsi="宋体" w:eastAsia="宋体"/>
          <w:color w:val="auto"/>
          <w:sz w:val="24"/>
          <w:highlight w:val="none"/>
        </w:rPr>
        <w:t>更换要求获得审批同意，但发包人仍有权追究承包人违约责任。</w:t>
      </w:r>
    </w:p>
    <w:p w14:paraId="623C119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）其它人员的更换</w:t>
      </w:r>
    </w:p>
    <w:p w14:paraId="757BC834">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除上述第</w:t>
      </w:r>
      <w:r>
        <w:rPr>
          <w:rFonts w:hint="eastAsia" w:ascii="宋体" w:hAnsi="宋体" w:eastAsia="宋体"/>
          <w:color w:val="auto"/>
          <w:sz w:val="24"/>
          <w:highlight w:val="none"/>
          <w:lang w:eastAsia="zh-CN"/>
        </w:rPr>
        <w:t>10.</w:t>
      </w:r>
      <w:r>
        <w:rPr>
          <w:rFonts w:ascii="宋体" w:hAnsi="宋体" w:eastAsia="宋体"/>
          <w:color w:val="auto"/>
          <w:sz w:val="24"/>
          <w:highlight w:val="none"/>
        </w:rPr>
        <w:t>5.5</w:t>
      </w: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）款规定的</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和</w:t>
      </w:r>
      <w:r>
        <w:rPr>
          <w:rFonts w:hint="eastAsia" w:ascii="宋体" w:hAnsi="宋体" w:eastAsia="宋体"/>
          <w:color w:val="auto"/>
          <w:sz w:val="24"/>
          <w:highlight w:val="none"/>
          <w:lang w:eastAsia="zh-CN"/>
        </w:rPr>
        <w:t>技术负责人</w:t>
      </w:r>
      <w:r>
        <w:rPr>
          <w:rFonts w:hint="eastAsia" w:ascii="宋体" w:hAnsi="宋体" w:eastAsia="宋体"/>
          <w:color w:val="auto"/>
          <w:sz w:val="24"/>
          <w:highlight w:val="none"/>
        </w:rPr>
        <w:t>外，其它人员的更换需符合以下原则：</w:t>
      </w:r>
    </w:p>
    <w:p w14:paraId="2AD5168E">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①变更的人员不得低于原投标承诺人员所具有的资格和业绩条件；</w:t>
      </w:r>
    </w:p>
    <w:p w14:paraId="175F20EE">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②承包人向发包人提出书面请示，报告人员变更原因，提出变更人员的具体信息资料，经发包人审核通过后方可更换。</w:t>
      </w:r>
    </w:p>
    <w:p w14:paraId="07FF2512">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）撤换承包人</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和其他人员</w:t>
      </w:r>
    </w:p>
    <w:p w14:paraId="6D2DC3E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承包人应对其</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和其他人员进行有效管理，如出现不能胜任本职工作、行为不端或玩忽职守或发生有违诚实信用行为（如捏造假技术数据或档案资料等）的，发包人有权要求撤换相关人员，承包人应予以执行，同时参照本合同条款第</w:t>
      </w: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5.5</w:t>
      </w: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）款的规定提交替换人员资料，报发包人审批，同时发包人将根据本合同条款第</w:t>
      </w:r>
      <w:r>
        <w:rPr>
          <w:rFonts w:ascii="宋体" w:hAnsi="宋体" w:eastAsia="宋体"/>
          <w:color w:val="auto"/>
          <w:sz w:val="24"/>
          <w:highlight w:val="none"/>
        </w:rPr>
        <w:t>24.2</w:t>
      </w:r>
      <w:r>
        <w:rPr>
          <w:rFonts w:hint="eastAsia" w:ascii="宋体" w:hAnsi="宋体" w:eastAsia="宋体"/>
          <w:color w:val="auto"/>
          <w:sz w:val="24"/>
          <w:highlight w:val="none"/>
        </w:rPr>
        <w:t>款视为承包人违约，发包人有权对承包人课以违约金。</w:t>
      </w:r>
    </w:p>
    <w:p w14:paraId="312487DC">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）上述撤换或变更的人员，在取得发包人书面同意后，应试用三个月。发包人</w:t>
      </w:r>
      <w:r>
        <w:rPr>
          <w:rFonts w:hint="eastAsia" w:ascii="宋体" w:hAnsi="宋体"/>
          <w:color w:val="auto"/>
          <w:sz w:val="24"/>
          <w:highlight w:val="none"/>
          <w:lang w:val="en-US" w:eastAsia="zh-CN"/>
        </w:rPr>
        <w:t>可</w:t>
      </w:r>
      <w:r>
        <w:rPr>
          <w:rFonts w:hint="eastAsia" w:ascii="宋体" w:hAnsi="宋体" w:eastAsia="宋体"/>
          <w:color w:val="auto"/>
          <w:sz w:val="24"/>
          <w:highlight w:val="none"/>
        </w:rPr>
        <w:t>在试用期内对其进行考核，未通过考核的，承包人应无条件予以更换，直到通过考核为止。试用期内未通过考核的相关人员的更换和撤换按照第</w:t>
      </w:r>
      <w:r>
        <w:rPr>
          <w:rFonts w:hint="eastAsia" w:ascii="宋体" w:hAnsi="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5.5</w:t>
      </w: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）款的规定执行。</w:t>
      </w:r>
    </w:p>
    <w:p w14:paraId="5588159E">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5.6</w:t>
      </w:r>
      <w:r>
        <w:rPr>
          <w:rFonts w:hint="eastAsia" w:ascii="宋体" w:hAnsi="宋体" w:eastAsia="宋体"/>
          <w:color w:val="auto"/>
          <w:sz w:val="24"/>
          <w:highlight w:val="none"/>
        </w:rPr>
        <w:t>承包人人员管理的其它要求，详见发包人要求的有关约定。</w:t>
      </w:r>
    </w:p>
    <w:p w14:paraId="635FD396">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6 </w:t>
      </w:r>
      <w:r>
        <w:rPr>
          <w:rFonts w:hint="eastAsia" w:ascii="宋体" w:hAnsi="宋体" w:eastAsia="宋体"/>
          <w:color w:val="auto"/>
          <w:sz w:val="24"/>
          <w:highlight w:val="none"/>
        </w:rPr>
        <w:t>保障承包人人员的合法权益</w:t>
      </w:r>
    </w:p>
    <w:p w14:paraId="44D714AB">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6.1 承包人应按劳动法的规定安排工作时间，保证其雇佣人员享有休息和休假的权力。因</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作业</w:t>
      </w:r>
      <w:r>
        <w:rPr>
          <w:rFonts w:ascii="宋体" w:hAnsi="宋体" w:eastAsia="宋体"/>
          <w:color w:val="auto"/>
          <w:sz w:val="24"/>
          <w:highlight w:val="none"/>
        </w:rPr>
        <w:t>的特殊需要占用休假日或延长工作时间的，应不超过法律规定的限度，并按法律规定给予补休或付酬。</w:t>
      </w:r>
    </w:p>
    <w:p w14:paraId="7B5A4193">
      <w:pPr>
        <w:tabs>
          <w:tab w:val="left" w:pos="3255"/>
        </w:tabs>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6.2 承包人应为其雇佣人员提供符合环境保护和卫生要求的生活环境，</w:t>
      </w:r>
      <w:r>
        <w:rPr>
          <w:rFonts w:hint="eastAsia" w:ascii="宋体" w:hAnsi="宋体" w:eastAsia="宋体"/>
          <w:color w:val="auto"/>
          <w:sz w:val="24"/>
          <w:highlight w:val="none"/>
        </w:rPr>
        <w:t>必要时</w:t>
      </w:r>
      <w:r>
        <w:rPr>
          <w:rFonts w:ascii="宋体" w:hAnsi="宋体" w:eastAsia="宋体"/>
          <w:color w:val="auto"/>
          <w:sz w:val="24"/>
          <w:highlight w:val="none"/>
        </w:rPr>
        <w:t>还应配备必要的伤病防治和急救的医务人员与医疗设施。</w:t>
      </w:r>
    </w:p>
    <w:p w14:paraId="5645C93D">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6.3 </w:t>
      </w:r>
      <w:r>
        <w:rPr>
          <w:rFonts w:hint="eastAsia" w:ascii="宋体" w:hAnsi="宋体" w:eastAsia="宋体"/>
          <w:color w:val="auto"/>
          <w:sz w:val="24"/>
          <w:highlight w:val="none"/>
        </w:rPr>
        <w:t>承包人应按国家有关劳动保护的规定和发包人对安全生产的相关规定，采取有效的防止粉尘、火灾、降低噪声、控制有害气体和保障高温、高寒、高空作业安全等劳动保护措施。</w:t>
      </w:r>
    </w:p>
    <w:p w14:paraId="67264E77">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6.4 </w:t>
      </w:r>
      <w:r>
        <w:rPr>
          <w:rFonts w:hint="eastAsia" w:ascii="宋体" w:hAnsi="宋体" w:eastAsia="宋体"/>
          <w:color w:val="auto"/>
          <w:sz w:val="24"/>
          <w:highlight w:val="none"/>
        </w:rPr>
        <w:t>承包人雇佣人员在施工中出现伤亡事故的，承包人应立即采取有效措施进行抢救、治疗，以及善后事宜的处理工作，并及时报发包人。出现此类事故的，发包人按照发包人要求及合同条款相关要求对其进行违约处理。</w:t>
      </w:r>
    </w:p>
    <w:p w14:paraId="17C073C7">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6.5 </w:t>
      </w:r>
      <w:r>
        <w:rPr>
          <w:rFonts w:hint="eastAsia" w:ascii="宋体" w:hAnsi="宋体" w:eastAsia="宋体"/>
          <w:color w:val="auto"/>
          <w:sz w:val="24"/>
          <w:highlight w:val="none"/>
        </w:rPr>
        <w:t>承包人应按有关法律规定和合同约定，为其雇佣人员办理保险。</w:t>
      </w:r>
    </w:p>
    <w:p w14:paraId="241A2CF1">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6.6 </w:t>
      </w:r>
      <w:r>
        <w:rPr>
          <w:rFonts w:hint="eastAsia" w:ascii="宋体" w:hAnsi="宋体" w:eastAsia="宋体"/>
          <w:color w:val="auto"/>
          <w:sz w:val="24"/>
          <w:highlight w:val="none"/>
        </w:rPr>
        <w:t>承包人必须严格执行本合同条款第</w:t>
      </w:r>
      <w:r>
        <w:rPr>
          <w:rFonts w:ascii="宋体" w:hAnsi="宋体" w:eastAsia="宋体"/>
          <w:color w:val="auto"/>
          <w:sz w:val="24"/>
          <w:highlight w:val="none"/>
        </w:rPr>
        <w:t>14</w:t>
      </w:r>
      <w:r>
        <w:rPr>
          <w:rFonts w:hint="eastAsia" w:ascii="宋体" w:hAnsi="宋体" w:eastAsia="宋体"/>
          <w:color w:val="auto"/>
          <w:sz w:val="24"/>
          <w:highlight w:val="none"/>
        </w:rPr>
        <w:t>款对人员健康和安全的有关规定，应始终采取合理的预防措施，维护承包人雇佣人员的健康和安全。</w:t>
      </w:r>
    </w:p>
    <w:p w14:paraId="70B1E3BE">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6.7 </w:t>
      </w:r>
      <w:r>
        <w:rPr>
          <w:rFonts w:hint="eastAsia" w:ascii="宋体" w:hAnsi="宋体" w:eastAsia="宋体"/>
          <w:color w:val="auto"/>
          <w:sz w:val="24"/>
          <w:highlight w:val="none"/>
        </w:rPr>
        <w:t>保障农民工权益</w:t>
      </w:r>
    </w:p>
    <w:p w14:paraId="0C3A5EC4">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本项目的合同服务期间，对于短期作业用工，承包人可以按照规定雇佣临时用工，并履行有关临时用工手续，如涉及雇佣农民工，须保障农民工权益：</w:t>
      </w:r>
    </w:p>
    <w:p w14:paraId="23B611F2">
      <w:pPr>
        <w:tabs>
          <w:tab w:val="left" w:pos="0"/>
        </w:tabs>
        <w:spacing w:line="40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承包人的</w:t>
      </w:r>
      <w:r>
        <w:rPr>
          <w:rFonts w:hint="eastAsia" w:ascii="宋体" w:hAnsi="宋体"/>
          <w:color w:val="auto"/>
          <w:sz w:val="24"/>
          <w:highlight w:val="none"/>
          <w:lang w:eastAsia="zh-CN"/>
        </w:rPr>
        <w:t>项目部</w:t>
      </w:r>
      <w:r>
        <w:rPr>
          <w:rFonts w:hint="eastAsia" w:ascii="宋体" w:hAnsi="宋体" w:eastAsia="宋体"/>
          <w:color w:val="auto"/>
          <w:sz w:val="24"/>
          <w:highlight w:val="none"/>
        </w:rPr>
        <w:t>是农民工工资支付行为的主体，承包人的</w:t>
      </w:r>
      <w:r>
        <w:rPr>
          <w:rFonts w:hint="eastAsia" w:ascii="宋体" w:hAnsi="宋体" w:eastAsia="宋体"/>
          <w:color w:val="auto"/>
          <w:sz w:val="24"/>
          <w:highlight w:val="none"/>
          <w:lang w:eastAsia="zh-CN"/>
        </w:rPr>
        <w:t>项目负责人</w:t>
      </w:r>
      <w:r>
        <w:rPr>
          <w:rFonts w:hint="eastAsia" w:ascii="宋体" w:hAnsi="宋体" w:eastAsia="宋体"/>
          <w:color w:val="auto"/>
          <w:sz w:val="24"/>
          <w:highlight w:val="none"/>
        </w:rPr>
        <w:t>是农民工工资支付的责任人。承包人应确保将工资直接发放给农民工本人，或委托银行发放农民工工资，严禁发放给“包工头”或其他不具备用工主体资格的组织和个人。</w:t>
      </w:r>
    </w:p>
    <w:p w14:paraId="5C243BA8">
      <w:pPr>
        <w:tabs>
          <w:tab w:val="left" w:pos="0"/>
        </w:tabs>
        <w:spacing w:line="400" w:lineRule="exact"/>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发包人有权监督承包人使用农民工的管理，对不签订劳动合同、非法使用农民工的，或者拖延和克扣农民工工资的，一经发现，发包人将予以</w:t>
      </w:r>
      <w:r>
        <w:rPr>
          <w:rFonts w:hint="eastAsia" w:ascii="宋体" w:hAnsi="宋体"/>
          <w:color w:val="auto"/>
          <w:sz w:val="24"/>
          <w:highlight w:val="none"/>
          <w:lang w:val="en-US" w:eastAsia="zh-CN"/>
        </w:rPr>
        <w:t>处罚、</w:t>
      </w:r>
      <w:r>
        <w:rPr>
          <w:rFonts w:hint="eastAsia" w:ascii="宋体" w:hAnsi="宋体" w:eastAsia="宋体"/>
          <w:color w:val="auto"/>
          <w:sz w:val="24"/>
          <w:highlight w:val="none"/>
        </w:rPr>
        <w:t>通报并上报上级主管单位。</w:t>
      </w:r>
    </w:p>
    <w:p w14:paraId="02392093">
      <w:pPr>
        <w:tabs>
          <w:tab w:val="left" w:pos="0"/>
        </w:tabs>
        <w:spacing w:line="40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6.8 承包人执行本合同条款第</w:t>
      </w:r>
      <w:r>
        <w:rPr>
          <w:rFonts w:hint="eastAsia" w:ascii="宋体" w:hAnsi="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6款所有工作应视为承包人的义务，</w:t>
      </w:r>
      <w:r>
        <w:rPr>
          <w:rFonts w:hint="eastAsia" w:ascii="宋体" w:hAnsi="宋体" w:eastAsia="宋体"/>
          <w:color w:val="auto"/>
          <w:sz w:val="24"/>
          <w:highlight w:val="none"/>
        </w:rPr>
        <w:t>相关费用应视为已包含在合同价格中，发包人不另行支付</w:t>
      </w:r>
      <w:r>
        <w:rPr>
          <w:rFonts w:ascii="宋体" w:hAnsi="宋体" w:eastAsia="宋体"/>
          <w:color w:val="auto"/>
          <w:sz w:val="24"/>
          <w:highlight w:val="none"/>
        </w:rPr>
        <w:t>。</w:t>
      </w:r>
    </w:p>
    <w:p w14:paraId="351C357F">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7 </w:t>
      </w:r>
      <w:r>
        <w:rPr>
          <w:rFonts w:hint="eastAsia" w:ascii="宋体" w:hAnsi="宋体"/>
          <w:color w:val="auto"/>
          <w:sz w:val="24"/>
          <w:highlight w:val="none"/>
          <w:lang w:val="en-US" w:eastAsia="zh-CN"/>
        </w:rPr>
        <w:t>合同</w:t>
      </w:r>
      <w:r>
        <w:rPr>
          <w:rFonts w:hint="eastAsia" w:ascii="宋体" w:hAnsi="宋体" w:eastAsia="宋体"/>
          <w:color w:val="auto"/>
          <w:sz w:val="24"/>
          <w:highlight w:val="none"/>
        </w:rPr>
        <w:t>价款应专款专用</w:t>
      </w:r>
    </w:p>
    <w:p w14:paraId="60EF6259">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7.1 发包人按合同约定支付给承包人的各项价款（包括为</w:t>
      </w:r>
      <w:r>
        <w:rPr>
          <w:rFonts w:hint="eastAsia" w:ascii="宋体" w:hAnsi="宋体" w:eastAsia="宋体"/>
          <w:color w:val="auto"/>
          <w:sz w:val="24"/>
          <w:highlight w:val="none"/>
          <w:lang w:eastAsia="zh-CN"/>
        </w:rPr>
        <w:t>本项目运行维护</w:t>
      </w:r>
      <w:r>
        <w:rPr>
          <w:rFonts w:ascii="宋体" w:hAnsi="宋体" w:eastAsia="宋体"/>
          <w:color w:val="auto"/>
          <w:sz w:val="24"/>
          <w:highlight w:val="none"/>
        </w:rPr>
        <w:t>设立的</w:t>
      </w:r>
      <w:r>
        <w:rPr>
          <w:rFonts w:hint="eastAsia" w:ascii="宋体" w:hAnsi="宋体" w:eastAsia="宋体"/>
          <w:color w:val="auto"/>
          <w:sz w:val="24"/>
          <w:highlight w:val="none"/>
        </w:rPr>
        <w:t>安全生产</w:t>
      </w:r>
      <w:r>
        <w:rPr>
          <w:rFonts w:ascii="宋体" w:hAnsi="宋体" w:eastAsia="宋体"/>
          <w:color w:val="auto"/>
          <w:sz w:val="24"/>
          <w:highlight w:val="none"/>
        </w:rPr>
        <w:t>费）应专用于合同工程。承包人必须在发包人指定的银行</w:t>
      </w:r>
      <w:r>
        <w:rPr>
          <w:rFonts w:hint="eastAsia" w:ascii="宋体" w:hAnsi="宋体" w:eastAsia="宋体"/>
          <w:color w:val="auto"/>
          <w:sz w:val="24"/>
          <w:highlight w:val="none"/>
        </w:rPr>
        <w:t>开设账户</w:t>
      </w:r>
      <w:r>
        <w:rPr>
          <w:rFonts w:ascii="宋体" w:hAnsi="宋体" w:eastAsia="宋体"/>
          <w:color w:val="auto"/>
          <w:sz w:val="24"/>
          <w:highlight w:val="none"/>
        </w:rPr>
        <w:t>，并与发包人、银行共同签订《工程资金监管协议》，接受发包人和银行对资金的监管。承包人应向发包人授权进行</w:t>
      </w:r>
      <w:r>
        <w:rPr>
          <w:rFonts w:hint="eastAsia" w:ascii="宋体" w:hAnsi="宋体" w:eastAsia="宋体"/>
          <w:color w:val="auto"/>
          <w:sz w:val="24"/>
          <w:highlight w:val="none"/>
          <w:lang w:eastAsia="zh-CN"/>
        </w:rPr>
        <w:t>本项目运行维护</w:t>
      </w:r>
      <w:r>
        <w:rPr>
          <w:rFonts w:ascii="宋体" w:hAnsi="宋体" w:eastAsia="宋体"/>
          <w:color w:val="auto"/>
          <w:sz w:val="24"/>
          <w:highlight w:val="none"/>
        </w:rPr>
        <w:t>开户银行工程资金的查询。</w:t>
      </w:r>
    </w:p>
    <w:p w14:paraId="12F403EC">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7.2 发包人支付的工程进度款应为</w:t>
      </w:r>
      <w:r>
        <w:rPr>
          <w:rFonts w:hint="eastAsia" w:ascii="宋体" w:hAnsi="宋体" w:eastAsia="宋体"/>
          <w:color w:val="auto"/>
          <w:sz w:val="24"/>
          <w:highlight w:val="none"/>
          <w:lang w:eastAsia="zh-CN"/>
        </w:rPr>
        <w:t>本项目运行维护</w:t>
      </w:r>
      <w:r>
        <w:rPr>
          <w:rFonts w:ascii="宋体" w:hAnsi="宋体" w:eastAsia="宋体"/>
          <w:color w:val="auto"/>
          <w:sz w:val="24"/>
          <w:highlight w:val="none"/>
        </w:rPr>
        <w:t>的专款专用资金，不得转移或用于其他工程。发包人的中期支付款将转入该银行所设的专门账户，发包人及其派出机构有权不定期对承包人工程资金使用情况进行检查，发现问题及时责令承包人限期改正，否则，将</w:t>
      </w:r>
      <w:r>
        <w:rPr>
          <w:rFonts w:hint="eastAsia" w:ascii="宋体" w:hAnsi="宋体" w:eastAsia="宋体"/>
          <w:color w:val="auto"/>
          <w:sz w:val="24"/>
          <w:highlight w:val="none"/>
        </w:rPr>
        <w:t>中</w:t>
      </w:r>
      <w:r>
        <w:rPr>
          <w:rFonts w:ascii="宋体" w:hAnsi="宋体" w:eastAsia="宋体"/>
          <w:color w:val="auto"/>
          <w:sz w:val="24"/>
          <w:highlight w:val="none"/>
        </w:rPr>
        <w:t>止支付，直至承包人改正为止。</w:t>
      </w:r>
    </w:p>
    <w:p w14:paraId="3C5D5146">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7.3 </w:t>
      </w:r>
      <w:r>
        <w:rPr>
          <w:rFonts w:hint="eastAsia" w:ascii="宋体" w:hAnsi="宋体" w:eastAsia="宋体"/>
          <w:color w:val="auto"/>
          <w:sz w:val="24"/>
          <w:highlight w:val="none"/>
        </w:rPr>
        <w:t>合同履行期间，由于承包人涉及其他纠纷导致专用账户被法院、行政机关采取查封、冻结、划扣等措施的，承包人应当立即通知发包人，发包人有权要求承包人在</w:t>
      </w:r>
      <w:r>
        <w:rPr>
          <w:rFonts w:ascii="宋体" w:hAnsi="宋体" w:eastAsia="宋体"/>
          <w:color w:val="auto"/>
          <w:sz w:val="24"/>
          <w:highlight w:val="none"/>
        </w:rPr>
        <w:t>5日</w:t>
      </w:r>
      <w:r>
        <w:rPr>
          <w:rFonts w:hint="eastAsia" w:ascii="宋体" w:hAnsi="宋体" w:eastAsia="宋体"/>
          <w:color w:val="auto"/>
          <w:sz w:val="24"/>
          <w:highlight w:val="none"/>
        </w:rPr>
        <w:t>内解除前述措施，逾期不解除的承包人，向发包人指定账户另行划入等额资金或采取令发包人满意的措施以确保现场</w:t>
      </w:r>
      <w:r>
        <w:rPr>
          <w:rFonts w:hint="eastAsia" w:ascii="宋体" w:hAnsi="宋体"/>
          <w:color w:val="auto"/>
          <w:sz w:val="24"/>
          <w:highlight w:val="none"/>
          <w:lang w:val="en-US" w:eastAsia="zh-CN"/>
        </w:rPr>
        <w:t>运行维护</w:t>
      </w:r>
      <w:r>
        <w:rPr>
          <w:rFonts w:hint="eastAsia" w:ascii="宋体" w:hAnsi="宋体" w:eastAsia="宋体"/>
          <w:color w:val="auto"/>
          <w:sz w:val="24"/>
          <w:highlight w:val="none"/>
        </w:rPr>
        <w:t>不受影响。</w:t>
      </w:r>
    </w:p>
    <w:p w14:paraId="2356C27E">
      <w:pPr>
        <w:tabs>
          <w:tab w:val="left" w:pos="0"/>
        </w:tabs>
        <w:spacing w:line="400" w:lineRule="exact"/>
        <w:ind w:firstLine="480" w:firstLineChars="200"/>
        <w:jc w:val="left"/>
        <w:rPr>
          <w:rFonts w:ascii="宋体" w:hAnsi="宋体" w:eastAsia="宋体"/>
          <w:b/>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8 </w:t>
      </w:r>
      <w:r>
        <w:rPr>
          <w:rFonts w:hint="eastAsia" w:ascii="宋体" w:hAnsi="宋体" w:eastAsia="宋体"/>
          <w:b/>
          <w:color w:val="auto"/>
          <w:sz w:val="24"/>
          <w:highlight w:val="none"/>
        </w:rPr>
        <w:t>不可预见的外界障碍或自然条件</w:t>
      </w:r>
    </w:p>
    <w:p w14:paraId="4DA5B59D">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在合同履行期间，承包人如遇到凭其经验无法预见的外界障碍或自然条件，并已实际造成增加费用时，承包人应立即就此向发包人发出通知。发包人收到该通知后，如经查明属实，确认该障碍或条件不可能为一个有经验的承包人所合理预见的，则发包人与承包人协商，按照合同约定的变更流程处理。</w:t>
      </w:r>
    </w:p>
    <w:p w14:paraId="6AC64972">
      <w:pPr>
        <w:tabs>
          <w:tab w:val="left" w:pos="0"/>
        </w:tabs>
        <w:spacing w:line="400" w:lineRule="exact"/>
        <w:ind w:firstLine="480" w:firstLineChars="200"/>
        <w:jc w:val="left"/>
        <w:rPr>
          <w:rFonts w:ascii="宋体" w:hAnsi="宋体" w:eastAsia="宋体"/>
          <w:b/>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9 </w:t>
      </w:r>
      <w:r>
        <w:rPr>
          <w:rFonts w:hint="eastAsia" w:ascii="宋体" w:hAnsi="宋体" w:eastAsia="宋体"/>
          <w:b/>
          <w:color w:val="auto"/>
          <w:sz w:val="24"/>
          <w:highlight w:val="none"/>
        </w:rPr>
        <w:t>工作界面与合作</w:t>
      </w:r>
    </w:p>
    <w:p w14:paraId="1BDD1EA1">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9.1 </w:t>
      </w:r>
      <w:r>
        <w:rPr>
          <w:rFonts w:hint="eastAsia" w:ascii="宋体" w:hAnsi="宋体" w:eastAsia="宋体"/>
          <w:color w:val="auto"/>
          <w:sz w:val="24"/>
          <w:highlight w:val="none"/>
        </w:rPr>
        <w:t>工作界面划分</w:t>
      </w:r>
    </w:p>
    <w:p w14:paraId="0D3D4D33">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承包人应按照本合同条款、工程量清单中确定的工作界面、工作内容进行</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作业和有关协调配合工作。</w:t>
      </w:r>
    </w:p>
    <w:p w14:paraId="0261631C">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9.2 </w:t>
      </w:r>
      <w:r>
        <w:rPr>
          <w:rFonts w:hint="eastAsia" w:ascii="宋体" w:hAnsi="宋体" w:eastAsia="宋体"/>
          <w:color w:val="auto"/>
          <w:sz w:val="24"/>
          <w:highlight w:val="none"/>
        </w:rPr>
        <w:t>工作界面的管理</w:t>
      </w:r>
    </w:p>
    <w:p w14:paraId="5F63A22E">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）在合同执行过程中，</w:t>
      </w:r>
      <w:r>
        <w:rPr>
          <w:rFonts w:ascii="宋体" w:hAnsi="宋体" w:eastAsia="宋体"/>
          <w:color w:val="auto"/>
          <w:sz w:val="24"/>
          <w:highlight w:val="none"/>
        </w:rPr>
        <w:t>承包人应委派专人负责工作界面的管理与协调，并与</w:t>
      </w:r>
      <w:r>
        <w:rPr>
          <w:rFonts w:hint="eastAsia" w:ascii="宋体" w:hAnsi="宋体" w:eastAsia="宋体"/>
          <w:color w:val="auto"/>
          <w:sz w:val="24"/>
          <w:highlight w:val="none"/>
        </w:rPr>
        <w:t>相关单位</w:t>
      </w:r>
      <w:r>
        <w:rPr>
          <w:rFonts w:ascii="宋体" w:hAnsi="宋体" w:eastAsia="宋体"/>
          <w:color w:val="auto"/>
          <w:sz w:val="24"/>
          <w:highlight w:val="none"/>
        </w:rPr>
        <w:t>工作界面管理人员建立定期的沟通机制</w:t>
      </w:r>
      <w:r>
        <w:rPr>
          <w:rFonts w:hint="eastAsia" w:ascii="宋体" w:hAnsi="宋体" w:eastAsia="宋体"/>
          <w:color w:val="auto"/>
          <w:sz w:val="24"/>
          <w:highlight w:val="none"/>
        </w:rPr>
        <w:t>。</w:t>
      </w:r>
      <w:r>
        <w:rPr>
          <w:rFonts w:ascii="宋体" w:hAnsi="宋体" w:eastAsia="宋体"/>
          <w:color w:val="auto"/>
          <w:sz w:val="24"/>
          <w:highlight w:val="none"/>
        </w:rPr>
        <w:t>对</w:t>
      </w:r>
      <w:r>
        <w:rPr>
          <w:rFonts w:hint="eastAsia" w:ascii="宋体" w:hAnsi="宋体" w:eastAsia="宋体"/>
          <w:color w:val="auto"/>
          <w:sz w:val="24"/>
          <w:highlight w:val="none"/>
          <w:lang w:eastAsia="zh-CN"/>
        </w:rPr>
        <w:t>本项目运行维护</w:t>
      </w:r>
      <w:r>
        <w:rPr>
          <w:rFonts w:ascii="宋体" w:hAnsi="宋体" w:eastAsia="宋体"/>
          <w:color w:val="auto"/>
          <w:sz w:val="24"/>
          <w:highlight w:val="none"/>
        </w:rPr>
        <w:t>实施过程中，已出现或可能出现的各种界面模糊点，进行沟通和协调，</w:t>
      </w:r>
      <w:r>
        <w:rPr>
          <w:rFonts w:hint="eastAsia" w:ascii="宋体" w:hAnsi="宋体" w:eastAsia="宋体"/>
          <w:color w:val="auto"/>
          <w:sz w:val="24"/>
          <w:highlight w:val="none"/>
        </w:rPr>
        <w:t>明确各方的工作内容和职责范围。</w:t>
      </w:r>
    </w:p>
    <w:p w14:paraId="44048BD6">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如经沟通和协调不成功时，发包人有权对于界面模糊点的工作进行指派，承包人应予以执行</w:t>
      </w:r>
      <w:r>
        <w:rPr>
          <w:rFonts w:hint="eastAsia" w:ascii="宋体" w:hAnsi="宋体" w:eastAsia="宋体"/>
          <w:color w:val="auto"/>
          <w:sz w:val="24"/>
          <w:highlight w:val="none"/>
        </w:rPr>
        <w:t>。</w:t>
      </w:r>
    </w:p>
    <w:p w14:paraId="1C26B95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）上述工作界面的管理，</w:t>
      </w:r>
      <w:r>
        <w:rPr>
          <w:rFonts w:ascii="宋体" w:hAnsi="宋体" w:eastAsia="宋体"/>
          <w:color w:val="auto"/>
          <w:sz w:val="24"/>
          <w:highlight w:val="none"/>
        </w:rPr>
        <w:t>除发包人认定</w:t>
      </w:r>
      <w:r>
        <w:rPr>
          <w:rFonts w:hint="eastAsia" w:ascii="宋体" w:hAnsi="宋体" w:eastAsia="宋体"/>
          <w:color w:val="auto"/>
          <w:sz w:val="24"/>
          <w:highlight w:val="none"/>
        </w:rPr>
        <w:t>符合</w:t>
      </w:r>
      <w:r>
        <w:rPr>
          <w:rFonts w:ascii="宋体" w:hAnsi="宋体" w:eastAsia="宋体"/>
          <w:color w:val="auto"/>
          <w:sz w:val="24"/>
          <w:highlight w:val="none"/>
        </w:rPr>
        <w:t>变更范围而进行变更之外，执行上述指派工作所需的相关费用视为已</w:t>
      </w:r>
      <w:r>
        <w:rPr>
          <w:rFonts w:hint="eastAsia" w:ascii="宋体" w:hAnsi="宋体" w:eastAsia="宋体"/>
          <w:color w:val="auto"/>
          <w:sz w:val="24"/>
          <w:highlight w:val="none"/>
        </w:rPr>
        <w:t>包含在</w:t>
      </w:r>
      <w:r>
        <w:rPr>
          <w:rFonts w:ascii="宋体" w:hAnsi="宋体" w:eastAsia="宋体"/>
          <w:color w:val="auto"/>
          <w:sz w:val="24"/>
          <w:highlight w:val="none"/>
        </w:rPr>
        <w:t>合同价格中，发包人不另行支付。</w:t>
      </w:r>
      <w:r>
        <w:rPr>
          <w:rFonts w:hint="eastAsia" w:ascii="宋体" w:hAnsi="宋体" w:eastAsia="宋体"/>
          <w:color w:val="auto"/>
          <w:sz w:val="24"/>
          <w:highlight w:val="none"/>
        </w:rPr>
        <w:t>如承包人拒绝发包人指派的工作任务时，发包人有权认定承包人违约，并按照本合同条款第</w:t>
      </w:r>
      <w:r>
        <w:rPr>
          <w:rFonts w:ascii="宋体" w:hAnsi="宋体" w:eastAsia="宋体"/>
          <w:color w:val="auto"/>
          <w:sz w:val="24"/>
          <w:highlight w:val="none"/>
        </w:rPr>
        <w:t>24.2</w:t>
      </w:r>
      <w:r>
        <w:rPr>
          <w:rFonts w:hint="eastAsia" w:ascii="宋体" w:hAnsi="宋体" w:eastAsia="宋体"/>
          <w:color w:val="auto"/>
          <w:sz w:val="24"/>
          <w:highlight w:val="none"/>
        </w:rPr>
        <w:t>款的规定课以违约金。</w:t>
      </w:r>
    </w:p>
    <w:p w14:paraId="2732B1A2">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 xml:space="preserve">9.3 </w:t>
      </w:r>
      <w:r>
        <w:rPr>
          <w:rFonts w:hint="eastAsia" w:ascii="宋体" w:hAnsi="宋体" w:eastAsia="宋体"/>
          <w:color w:val="auto"/>
          <w:sz w:val="24"/>
          <w:highlight w:val="none"/>
        </w:rPr>
        <w:t>合作</w:t>
      </w:r>
    </w:p>
    <w:p w14:paraId="1D719A3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）秉承保障本项目通畅、舒适、快捷、安全服务的原则，承包人应按发包人的指示积极为他人在作业场地或附近实施的其他各项工作提供可能的条件。</w:t>
      </w:r>
    </w:p>
    <w:p w14:paraId="319B507E">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）承包人应妥善处理好与其他承包人及相关服务单位的配合关系。在发生交叉作业、发生污染等情况时，</w:t>
      </w:r>
      <w:r>
        <w:rPr>
          <w:rFonts w:hint="eastAsia" w:ascii="宋体" w:hAnsi="宋体" w:eastAsia="宋体" w:cs="宋体"/>
          <w:color w:val="auto"/>
          <w:sz w:val="24"/>
          <w:highlight w:val="none"/>
        </w:rPr>
        <w:t>承包人</w:t>
      </w:r>
      <w:r>
        <w:rPr>
          <w:rFonts w:hint="eastAsia" w:ascii="宋体" w:hAnsi="宋体" w:eastAsia="宋体"/>
          <w:color w:val="auto"/>
          <w:sz w:val="24"/>
          <w:highlight w:val="none"/>
        </w:rPr>
        <w:t>和其他承包人及相关服务单位应相互配合，友好协作，并服从发包人的统一协调与监督管理。</w:t>
      </w:r>
    </w:p>
    <w:p w14:paraId="439F5E11">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）在合同执行全过程中，发包人将根据需要组织各种</w:t>
      </w:r>
      <w:r>
        <w:rPr>
          <w:rFonts w:hint="eastAsia" w:ascii="宋体" w:hAnsi="宋体"/>
          <w:color w:val="auto"/>
          <w:sz w:val="24"/>
          <w:highlight w:val="none"/>
          <w:lang w:val="en-US" w:eastAsia="zh-CN"/>
        </w:rPr>
        <w:t>宣传活动、科研活动或其他活动</w:t>
      </w:r>
      <w:r>
        <w:rPr>
          <w:rFonts w:hint="eastAsia" w:ascii="宋体" w:hAnsi="宋体" w:eastAsia="宋体"/>
          <w:color w:val="auto"/>
          <w:sz w:val="24"/>
          <w:highlight w:val="none"/>
        </w:rPr>
        <w:t>，承包人应按发包人的要求</w:t>
      </w:r>
      <w:r>
        <w:rPr>
          <w:rFonts w:hint="eastAsia" w:ascii="宋体" w:hAnsi="宋体"/>
          <w:color w:val="auto"/>
          <w:sz w:val="24"/>
          <w:highlight w:val="none"/>
          <w:lang w:val="en-US" w:eastAsia="zh-CN"/>
        </w:rPr>
        <w:t>提供</w:t>
      </w:r>
      <w:r>
        <w:rPr>
          <w:rFonts w:hint="eastAsia" w:ascii="宋体" w:hAnsi="宋体" w:eastAsia="宋体"/>
          <w:color w:val="auto"/>
          <w:sz w:val="24"/>
          <w:highlight w:val="none"/>
        </w:rPr>
        <w:t>配合</w:t>
      </w:r>
      <w:r>
        <w:rPr>
          <w:rFonts w:hint="eastAsia" w:ascii="宋体" w:hAnsi="宋体"/>
          <w:color w:val="auto"/>
          <w:sz w:val="24"/>
          <w:highlight w:val="none"/>
          <w:lang w:val="en-US" w:eastAsia="zh-CN"/>
        </w:rPr>
        <w:t>和协助</w:t>
      </w:r>
      <w:r>
        <w:rPr>
          <w:rFonts w:hint="eastAsia" w:ascii="宋体" w:hAnsi="宋体" w:eastAsia="宋体"/>
          <w:color w:val="auto"/>
          <w:sz w:val="24"/>
          <w:highlight w:val="none"/>
        </w:rPr>
        <w:t>。</w:t>
      </w:r>
    </w:p>
    <w:p w14:paraId="17592EBA">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）除本合同另有约定外，完成本合同条款第</w:t>
      </w:r>
      <w:r>
        <w:rPr>
          <w:rFonts w:hint="eastAsia" w:ascii="宋体" w:hAnsi="宋体"/>
          <w:color w:val="auto"/>
          <w:sz w:val="24"/>
          <w:highlight w:val="none"/>
          <w:lang w:val="en-US" w:eastAsia="zh-CN"/>
        </w:rPr>
        <w:t>9</w:t>
      </w:r>
      <w:r>
        <w:rPr>
          <w:rFonts w:hint="eastAsia" w:ascii="宋体" w:hAnsi="宋体" w:eastAsia="宋体"/>
          <w:color w:val="auto"/>
          <w:sz w:val="24"/>
          <w:highlight w:val="none"/>
          <w:lang w:eastAsia="zh-CN"/>
        </w:rPr>
        <w:t>.</w:t>
      </w:r>
      <w:r>
        <w:rPr>
          <w:rFonts w:ascii="宋体" w:hAnsi="宋体" w:eastAsia="宋体"/>
          <w:color w:val="auto"/>
          <w:sz w:val="24"/>
          <w:highlight w:val="none"/>
        </w:rPr>
        <w:t>9.3</w:t>
      </w:r>
      <w:r>
        <w:rPr>
          <w:rFonts w:hint="eastAsia" w:ascii="宋体" w:hAnsi="宋体" w:eastAsia="宋体"/>
          <w:color w:val="auto"/>
          <w:sz w:val="24"/>
          <w:highlight w:val="none"/>
        </w:rPr>
        <w:t>款工作内容所涉及的费用（含因此召开的各种协调会议的会务费用）均已包含在合同价格中，发包人不另行支付。</w:t>
      </w:r>
    </w:p>
    <w:p w14:paraId="36A8AE7A">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9.10 其他工作</w:t>
      </w:r>
    </w:p>
    <w:p w14:paraId="105B45F5">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9.10.1 与周边居民的协调</w:t>
      </w:r>
    </w:p>
    <w:p w14:paraId="7027325D">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承包人应主动维护与周边居民的良好关系，妥善处理运行维护期间涉及周边居民的相关事宜，具体职责如下：</w:t>
      </w:r>
    </w:p>
    <w:p w14:paraId="230D9EAA">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（1）定期向堤防管理范围内的居民宣传堤防安全保护法律法规、堤防安全运行的重要性及违建、违规作业等行为的危害，宣传材料需提前报发包人备案；</w:t>
      </w:r>
    </w:p>
    <w:p w14:paraId="6E2B0763">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建立日常巡查机制，对堤防管理范围内居民的违建行为（如擅自搭建构筑物、开挖地基、堆放重物、堆放垃圾等）进行及时劝阻和制止，留存劝阻记录（含影像资料），并同步向发包人及当地主管部门报告；</w:t>
      </w:r>
    </w:p>
    <w:p w14:paraId="13D33AA7">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（3）发现居民实施可能影响堤防安全的行为（如破坏堤身结构、向堤防范围内排放污染物、在堤顶道路超限行驶等），应立即上前劝导制止，明确告知危害后果，并同步向发包人及当地主管部门报告；</w:t>
      </w:r>
    </w:p>
    <w:p w14:paraId="03B8288F">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（4）配合发包人处理因运行维护作业引发的居民投诉或纠纷，制定合理的协调方案，避免矛盾激化；</w:t>
      </w:r>
    </w:p>
    <w:p w14:paraId="026E7A0D">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（5）发动群众参与义务劳动：  </w:t>
      </w:r>
    </w:p>
    <w:p w14:paraId="468AEC53">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承包人应通过宣传引导、典型示范等方式，积极发动周边居民自愿参与堤防、水闸、泵站等水利设施周边的环境治理（如杂物清除、植被养护）、设施巡查协助（如辅助监测设施运行状况、反馈异常情况）等与水利设施维护相关的义务劳动。  </w:t>
      </w:r>
    </w:p>
    <w:p w14:paraId="48151C69">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开展义务劳动前，须对参与居民进行必要的安全培训和操作规范指导，明确劳动任务、安全注意事项及权利义务；活动过程中加强组织管理，确保合法合规、安全有序，充分调动群众参与水利设施共建共享的主动性。  </w:t>
      </w:r>
    </w:p>
    <w:p w14:paraId="7EB0B5FE">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（6）创造周边就业机会：  </w:t>
      </w:r>
    </w:p>
    <w:p w14:paraId="3F4300ED">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承包人在本项目水利设施维护的临时性、辅助性岗位（如保安保卫、环境保洁、设施巡查辅助、绿化养护、后勤支持等）招聘时，应优先吸纳周边居民参与。  </w:t>
      </w:r>
    </w:p>
    <w:p w14:paraId="375F0092">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对录用的周边居民，承包人需：  </w:t>
      </w:r>
    </w:p>
    <w:p w14:paraId="350600B8">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① 提供岗前技能培训和安全操作指导，确保其符合岗位履职要求；  </w:t>
      </w:r>
    </w:p>
    <w:p w14:paraId="0B1199A7">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② 依法签订劳务协议或劳动合同，明确劳动报酬、工作时间、安全防护等权益，保障劳动者合法权益；  </w:t>
      </w:r>
    </w:p>
    <w:p w14:paraId="16A7B6D7">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③ 在岗位安排中，结合居民技能特点合理分配工作，鼓励长期稳定参与水利设施运维。  </w:t>
      </w:r>
    </w:p>
    <w:p w14:paraId="24B1F93A">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 xml:space="preserve">通过就业带动，增强周边居民对水利设施维护的认同感和参与度。  </w:t>
      </w:r>
    </w:p>
    <w:p w14:paraId="6871AA20">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（7）每月向发包人提交与周边居民协调工作的书面报告，内容包括宣传开展情况、违规行为劝阻记录、纠纷处理结果、义务劳动开展情况、创造就业开展情况等。</w:t>
      </w:r>
    </w:p>
    <w:p w14:paraId="478816C3">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承包人履行本条所述工作所需的费用（含宣传材料制作费、协调会议费等）均已包含在合同价格中，发包人不另行支付。若承包人未履行上述义务导致堤防安全受到影响或引发不良社会影响的，视为承包人违约，发包人有权按照本合同条款第 24.2 款的规定对承包人课以违约金。</w:t>
      </w:r>
    </w:p>
    <w:p w14:paraId="22073F17">
      <w:pPr>
        <w:spacing w:line="400" w:lineRule="exact"/>
        <w:ind w:firstLine="480" w:firstLineChars="200"/>
        <w:rPr>
          <w:rFonts w:hint="eastAsia" w:ascii="宋体" w:hAnsi="宋体" w:eastAsia="宋体"/>
          <w:color w:val="auto"/>
          <w:sz w:val="24"/>
          <w:highlight w:val="none"/>
          <w:lang w:val="en-US" w:eastAsia="zh-CN"/>
        </w:rPr>
      </w:pPr>
    </w:p>
    <w:p w14:paraId="64C16113">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w:t>
      </w:r>
      <w:r>
        <w:rPr>
          <w:rFonts w:hint="eastAsia" w:ascii="宋体" w:hAnsi="宋体"/>
          <w:color w:val="auto"/>
          <w:sz w:val="24"/>
          <w:highlight w:val="none"/>
          <w:lang w:val="en-US" w:eastAsia="zh-CN"/>
        </w:rPr>
        <w:t>10.2</w:t>
      </w:r>
      <w:r>
        <w:rPr>
          <w:rFonts w:hint="eastAsia" w:ascii="宋体" w:hAnsi="宋体" w:eastAsia="宋体"/>
          <w:color w:val="auto"/>
          <w:sz w:val="24"/>
          <w:highlight w:val="none"/>
          <w:lang w:val="en-US" w:eastAsia="zh-CN"/>
        </w:rPr>
        <w:t xml:space="preserve"> 公共资源</w:t>
      </w:r>
      <w:r>
        <w:rPr>
          <w:rFonts w:hint="eastAsia" w:ascii="宋体" w:hAnsi="宋体"/>
          <w:color w:val="auto"/>
          <w:sz w:val="24"/>
          <w:highlight w:val="none"/>
          <w:lang w:val="en-US" w:eastAsia="zh-CN"/>
        </w:rPr>
        <w:t>、水利资产</w:t>
      </w:r>
      <w:r>
        <w:rPr>
          <w:rFonts w:hint="eastAsia" w:ascii="宋体" w:hAnsi="宋体" w:eastAsia="宋体"/>
          <w:color w:val="auto"/>
          <w:sz w:val="24"/>
          <w:highlight w:val="none"/>
          <w:lang w:val="en-US" w:eastAsia="zh-CN"/>
        </w:rPr>
        <w:t>开发利用</w:t>
      </w:r>
    </w:p>
    <w:p w14:paraId="0637537C">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在不影响水利设施正常运行、安全性能及原设计功能的前提下，承包人可对合同范围内堤防、水闸、泵站的管理范围及附属区域内的公共资源</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如可利用的闲置空间、配套设施等</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，以及属于发包人资产的水利设施及附属设施</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如管理用房、土地、树木等</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进行合理开发利用，开展符合法律法规及行业规范的经营活动</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如生态观光辅助服务、露营营地、科普教育基地运营等</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，以提升资源利用效率</w:t>
      </w:r>
      <w:r>
        <w:rPr>
          <w:rFonts w:hint="eastAsia" w:ascii="宋体" w:hAnsi="宋体"/>
          <w:color w:val="auto"/>
          <w:sz w:val="24"/>
          <w:highlight w:val="none"/>
          <w:lang w:val="en-US" w:eastAsia="zh-CN"/>
        </w:rPr>
        <w:t>。</w:t>
      </w:r>
    </w:p>
    <w:p w14:paraId="67910C7A">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承包人负责对属于发包人资产的水利设施及附属设施</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包括管理用房、土地、树木等</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履行日常养护义务，确保设施功能完好</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开发利用前述资产须以发包人书面批准为准。承包人应在接收资产时进行登记造册，建立动态管理台账</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明确资产权属、位置、现状等信息</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若发现设施存在长期被其他单位或个人占用等遗留问题，承包人应协助发包人开展沟通协调、证据收集、清退整改等处理工作。</w:t>
      </w:r>
    </w:p>
    <w:p w14:paraId="2432646C">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Hans"/>
        </w:rPr>
        <w:t>承包人应根据发包人提供的资产清单</w:t>
      </w:r>
      <w:r>
        <w:rPr>
          <w:rFonts w:hint="default" w:ascii="宋体" w:hAnsi="宋体"/>
          <w:color w:val="auto"/>
          <w:sz w:val="24"/>
          <w:highlight w:val="none"/>
          <w:lang w:eastAsia="zh-Hans"/>
        </w:rPr>
        <w:t>，</w:t>
      </w:r>
      <w:r>
        <w:rPr>
          <w:rFonts w:hint="eastAsia" w:ascii="宋体" w:hAnsi="宋体"/>
          <w:color w:val="auto"/>
          <w:sz w:val="24"/>
          <w:highlight w:val="none"/>
          <w:lang w:val="en-US" w:eastAsia="zh-Hans"/>
        </w:rPr>
        <w:t>并针对性的提出对资产利用的分析方案</w:t>
      </w:r>
      <w:r>
        <w:rPr>
          <w:rFonts w:hint="default" w:ascii="宋体" w:hAnsi="宋体"/>
          <w:color w:val="auto"/>
          <w:sz w:val="24"/>
          <w:highlight w:val="none"/>
          <w:lang w:eastAsia="zh-Hans"/>
        </w:rPr>
        <w:t>，</w:t>
      </w:r>
      <w:r>
        <w:rPr>
          <w:rFonts w:hint="eastAsia" w:ascii="宋体" w:hAnsi="宋体"/>
          <w:color w:val="auto"/>
          <w:sz w:val="24"/>
          <w:highlight w:val="none"/>
          <w:lang w:val="en-US" w:eastAsia="zh-Hans"/>
        </w:rPr>
        <w:t>提交发包人审核</w:t>
      </w:r>
      <w:r>
        <w:rPr>
          <w:rFonts w:hint="default" w:ascii="宋体" w:hAnsi="宋体"/>
          <w:color w:val="auto"/>
          <w:sz w:val="24"/>
          <w:highlight w:val="none"/>
          <w:lang w:eastAsia="zh-Hans"/>
        </w:rPr>
        <w:t>。</w:t>
      </w:r>
      <w:r>
        <w:rPr>
          <w:rFonts w:hint="eastAsia" w:ascii="宋体" w:hAnsi="宋体" w:eastAsia="宋体"/>
          <w:color w:val="auto"/>
          <w:sz w:val="24"/>
          <w:highlight w:val="none"/>
          <w:lang w:val="en-US" w:eastAsia="zh-CN"/>
        </w:rPr>
        <w:t>承包人拟开展公共资源</w:t>
      </w:r>
      <w:r>
        <w:rPr>
          <w:rFonts w:hint="eastAsia" w:ascii="宋体" w:hAnsi="宋体"/>
          <w:color w:val="auto"/>
          <w:sz w:val="24"/>
          <w:highlight w:val="none"/>
          <w:lang w:val="en-US" w:eastAsia="zh-CN"/>
        </w:rPr>
        <w:t>及前述发包人资产</w:t>
      </w:r>
      <w:r>
        <w:rPr>
          <w:rFonts w:hint="eastAsia" w:ascii="宋体" w:hAnsi="宋体" w:eastAsia="宋体"/>
          <w:color w:val="auto"/>
          <w:sz w:val="24"/>
          <w:highlight w:val="none"/>
          <w:lang w:val="en-US" w:eastAsia="zh-CN"/>
        </w:rPr>
        <w:t>开发利用的，应编制详细的开发利用方案，内容包括但不限于：开发利用的范围、方式、规模、安全保障措施、环境影响评估、收益分配方案（如有）及应急预案等，并报发包人审批。</w:t>
      </w:r>
      <w:r>
        <w:rPr>
          <w:rFonts w:hint="eastAsia" w:ascii="宋体" w:hAnsi="宋体"/>
          <w:color w:val="auto"/>
          <w:sz w:val="24"/>
          <w:highlight w:val="none"/>
          <w:lang w:val="en-US" w:eastAsia="zh-Hans"/>
        </w:rPr>
        <w:t>经发包人同意后</w:t>
      </w:r>
      <w:r>
        <w:rPr>
          <w:rFonts w:hint="default" w:ascii="宋体" w:hAnsi="宋体"/>
          <w:color w:val="auto"/>
          <w:sz w:val="24"/>
          <w:highlight w:val="none"/>
          <w:lang w:eastAsia="zh-Hans"/>
        </w:rPr>
        <w:t>，</w:t>
      </w:r>
      <w:r>
        <w:rPr>
          <w:rFonts w:hint="eastAsia" w:ascii="宋体" w:hAnsi="宋体"/>
          <w:color w:val="auto"/>
          <w:sz w:val="24"/>
          <w:highlight w:val="none"/>
          <w:lang w:val="en-US" w:eastAsia="zh-CN"/>
        </w:rPr>
        <w:t>协助发包人根据国有资产使用管理办法的相关规定办理审批手续。</w:t>
      </w:r>
      <w:r>
        <w:rPr>
          <w:rFonts w:hint="eastAsia" w:ascii="宋体" w:hAnsi="宋体" w:eastAsia="宋体"/>
          <w:color w:val="auto"/>
          <w:sz w:val="24"/>
          <w:highlight w:val="none"/>
          <w:lang w:val="en-US" w:eastAsia="zh-CN"/>
        </w:rPr>
        <w:t>方案未经发包人书面批准，承包人不得擅自实施。</w:t>
      </w:r>
    </w:p>
    <w:p w14:paraId="5879227B">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经批准的开发利用活动，承包人应严格按照方案实施，确保不影响水利设施的运行维护、安全管理及公共利益。发包人有权对开发利用过程进行监督检查，发现违规行为的，可要求承包人立即整改，整改费用由承包人承担。</w:t>
      </w:r>
    </w:p>
    <w:p w14:paraId="4B4FE8AF">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开发利用所产生的收益，</w:t>
      </w:r>
      <w:r>
        <w:rPr>
          <w:rFonts w:hint="eastAsia" w:ascii="宋体" w:hAnsi="宋体"/>
          <w:color w:val="auto"/>
          <w:sz w:val="24"/>
          <w:highlight w:val="none"/>
          <w:lang w:val="en-US" w:eastAsia="zh-CN"/>
        </w:rPr>
        <w:t>根据收益类型由双方另行签订补充协议协商分配</w:t>
      </w:r>
      <w:r>
        <w:rPr>
          <w:rFonts w:hint="eastAsia" w:ascii="宋体" w:hAnsi="宋体" w:eastAsia="宋体"/>
          <w:color w:val="auto"/>
          <w:sz w:val="24"/>
          <w:highlight w:val="none"/>
          <w:lang w:val="en-US" w:eastAsia="zh-CN"/>
        </w:rPr>
        <w:t>，但承包人应按季度向发包人提交收益情况报告。</w:t>
      </w:r>
    </w:p>
    <w:p w14:paraId="2C97D375">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因开发利用活动引发的任何纠纷、损失或法律责任，由承包人承担。若开发利用活动对水利设施造成损坏或影响其功能的，承包人应按原设计标准修复，并承担由此产生的全部费用。</w:t>
      </w:r>
    </w:p>
    <w:p w14:paraId="3D323BC8">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承包人开展本</w:t>
      </w:r>
      <w:r>
        <w:rPr>
          <w:rFonts w:hint="eastAsia" w:ascii="宋体" w:hAnsi="宋体"/>
          <w:color w:val="auto"/>
          <w:sz w:val="24"/>
          <w:highlight w:val="none"/>
          <w:lang w:val="en-US" w:eastAsia="zh-CN"/>
        </w:rPr>
        <w:t>款</w:t>
      </w:r>
      <w:r>
        <w:rPr>
          <w:rFonts w:hint="eastAsia" w:ascii="宋体" w:hAnsi="宋体" w:eastAsia="宋体"/>
          <w:color w:val="auto"/>
          <w:sz w:val="24"/>
          <w:highlight w:val="none"/>
          <w:lang w:val="en-US" w:eastAsia="zh-CN"/>
        </w:rPr>
        <w:t>工作所需的前期调研、方案编制、审批协调等费用</w:t>
      </w:r>
      <w:r>
        <w:rPr>
          <w:rFonts w:hint="eastAsia" w:ascii="宋体" w:hAnsi="宋体"/>
          <w:color w:val="auto"/>
          <w:sz w:val="24"/>
          <w:highlight w:val="none"/>
          <w:lang w:val="en-US" w:eastAsia="zh-CN"/>
        </w:rPr>
        <w:t>由承包人自行承担</w:t>
      </w:r>
      <w:r>
        <w:rPr>
          <w:rFonts w:hint="eastAsia" w:ascii="宋体" w:hAnsi="宋体" w:eastAsia="宋体"/>
          <w:color w:val="auto"/>
          <w:sz w:val="24"/>
          <w:highlight w:val="none"/>
          <w:lang w:val="en-US" w:eastAsia="zh-CN"/>
        </w:rPr>
        <w:t>，发包人不另行支付。</w:t>
      </w:r>
    </w:p>
    <w:p w14:paraId="4E131249">
      <w:pPr>
        <w:spacing w:line="400" w:lineRule="exact"/>
        <w:ind w:firstLine="480" w:firstLineChars="200"/>
        <w:rPr>
          <w:rFonts w:hint="default" w:ascii="宋体" w:hAnsi="宋体" w:eastAsia="宋体"/>
          <w:color w:val="auto"/>
          <w:sz w:val="24"/>
          <w:highlight w:val="none"/>
          <w:lang w:val="en-US" w:eastAsia="zh-CN"/>
        </w:rPr>
      </w:pPr>
    </w:p>
    <w:p w14:paraId="2B56F9D9">
      <w:pPr>
        <w:spacing w:line="400" w:lineRule="exact"/>
        <w:ind w:firstLine="480" w:firstLineChars="200"/>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9.1</w:t>
      </w:r>
      <w:r>
        <w:rPr>
          <w:rFonts w:hint="eastAsia" w:ascii="宋体" w:hAnsi="宋体"/>
          <w:color w:val="auto"/>
          <w:sz w:val="24"/>
          <w:highlight w:val="none"/>
          <w:lang w:val="en-US" w:eastAsia="zh-CN"/>
        </w:rPr>
        <w:t>0.3</w:t>
      </w:r>
      <w:r>
        <w:rPr>
          <w:rFonts w:hint="default" w:ascii="宋体" w:hAnsi="宋体" w:eastAsia="宋体"/>
          <w:color w:val="auto"/>
          <w:sz w:val="24"/>
          <w:highlight w:val="none"/>
          <w:lang w:val="en-US" w:eastAsia="zh-CN"/>
        </w:rPr>
        <w:t xml:space="preserve"> </w:t>
      </w:r>
      <w:r>
        <w:rPr>
          <w:rFonts w:hint="eastAsia" w:ascii="宋体" w:hAnsi="宋体"/>
          <w:color w:val="auto"/>
          <w:sz w:val="24"/>
          <w:highlight w:val="none"/>
          <w:lang w:val="en-US" w:eastAsia="zh-CN"/>
        </w:rPr>
        <w:t>水利设施运行调度</w:t>
      </w:r>
    </w:p>
    <w:p w14:paraId="605741AE">
      <w:pPr>
        <w:spacing w:line="400" w:lineRule="exact"/>
        <w:ind w:firstLine="480" w:firstLineChars="200"/>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承包人须建立年度、月度、周三级调度计划体系，结合南沙区各镇街水利设施分布、防洪重点、生态需求及镇街特色（如旅游旺季、农业灌溉期等），分层级编制调度方案</w:t>
      </w:r>
      <w:r>
        <w:rPr>
          <w:rFonts w:hint="eastAsia" w:ascii="宋体" w:hAnsi="宋体"/>
          <w:color w:val="auto"/>
          <w:sz w:val="24"/>
          <w:highlight w:val="none"/>
          <w:lang w:val="en-US" w:eastAsia="zh-CN"/>
        </w:rPr>
        <w:t>，报发包人同意后实施</w:t>
      </w:r>
      <w:r>
        <w:rPr>
          <w:rFonts w:hint="default" w:ascii="宋体" w:hAnsi="宋体" w:eastAsia="宋体"/>
          <w:color w:val="auto"/>
          <w:sz w:val="24"/>
          <w:highlight w:val="none"/>
          <w:lang w:val="en-US" w:eastAsia="zh-CN"/>
        </w:rPr>
        <w:t>：</w:t>
      </w:r>
    </w:p>
    <w:p w14:paraId="7C0AE6A8">
      <w:pPr>
        <w:spacing w:line="400" w:lineRule="exact"/>
        <w:ind w:firstLine="480" w:firstLineChars="200"/>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年度计划：进场后 30 日内提交，明确全年防洪、生态、镇街协同等核心目标，细化各镇街水闸 / 泵站调度频次、水位控制标准（如防潮调度、农田灌溉期引水计划）。</w:t>
      </w:r>
    </w:p>
    <w:p w14:paraId="2CB6B694">
      <w:pPr>
        <w:spacing w:line="400" w:lineRule="exact"/>
        <w:ind w:firstLine="480" w:firstLineChars="200"/>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月度计划：每月 25 日前提交下月计划，结合气象预报、镇街临时需求（如龙舟赛水位保障），动态调整周计划。</w:t>
      </w:r>
    </w:p>
    <w:p w14:paraId="15288144">
      <w:pPr>
        <w:spacing w:line="400" w:lineRule="exact"/>
        <w:ind w:firstLine="480" w:firstLineChars="200"/>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周计划：每周五前提交，明确每日闸泵启闭时间、巡查路线。</w:t>
      </w:r>
    </w:p>
    <w:p w14:paraId="18A0DFBC">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承包人每月 5 日前收集各镇街下月特殊需求（如景观水位保障、通航需求、农田灌溉需求等），形成《镇街调度需求清单》。因镇街重大活动（如南沙湿地观鸟季）需临时调整调度时，承包人需提前 72 小时提交变更申请，附镇街书面确认，经发包人审批后执行。</w:t>
      </w:r>
    </w:p>
    <w:p w14:paraId="52F69B55">
      <w:pPr>
        <w:spacing w:line="40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 xml:space="preserve">承包人承担合同范围内水利设施（含堤防、水闸、泵站管理范围内的水域及关联水体）的多目标调度义务，包括日常调度、防洪（潮）调度、生态调度等，具体要求详见《南沙区水利设施运行维护手册》。 </w:t>
      </w:r>
    </w:p>
    <w:p w14:paraId="36A046A5">
      <w:pPr>
        <w:spacing w:line="400" w:lineRule="exact"/>
        <w:ind w:firstLine="480" w:firstLineChars="200"/>
        <w:rPr>
          <w:rFonts w:hint="eastAsia" w:ascii="宋体" w:hAnsi="宋体"/>
          <w:color w:val="auto"/>
          <w:sz w:val="24"/>
          <w:highlight w:val="none"/>
          <w:lang w:val="en-US" w:eastAsia="zh-CN"/>
        </w:rPr>
      </w:pPr>
    </w:p>
    <w:p w14:paraId="49A9AD2E">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9.10.4 水利设施安全与缺陷修复</w:t>
      </w:r>
    </w:p>
    <w:p w14:paraId="21775FD5">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承包人应在</w:t>
      </w:r>
      <w:r>
        <w:rPr>
          <w:rFonts w:hint="eastAsia" w:ascii="宋体" w:hAnsi="宋体"/>
          <w:color w:val="auto"/>
          <w:sz w:val="24"/>
          <w:highlight w:val="none"/>
          <w:lang w:val="en-US" w:eastAsia="zh-Hans"/>
        </w:rPr>
        <w:t>合同签订后</w:t>
      </w:r>
      <w:r>
        <w:rPr>
          <w:rFonts w:hint="default" w:ascii="宋体" w:hAnsi="宋体"/>
          <w:color w:val="auto"/>
          <w:sz w:val="24"/>
          <w:highlight w:val="none"/>
          <w:lang w:eastAsia="zh-Hans"/>
        </w:rPr>
        <w:t>2</w:t>
      </w:r>
      <w:r>
        <w:rPr>
          <w:rFonts w:hint="eastAsia" w:ascii="宋体" w:hAnsi="宋体"/>
          <w:color w:val="auto"/>
          <w:sz w:val="24"/>
          <w:highlight w:val="none"/>
          <w:lang w:val="en-US" w:eastAsia="zh-Hans"/>
        </w:rPr>
        <w:t>个月内</w:t>
      </w:r>
      <w:r>
        <w:rPr>
          <w:rFonts w:hint="eastAsia" w:ascii="宋体" w:hAnsi="宋体"/>
          <w:color w:val="auto"/>
          <w:sz w:val="24"/>
          <w:highlight w:val="none"/>
          <w:lang w:val="en-US" w:eastAsia="zh-CN"/>
        </w:rPr>
        <w:t>，应积极主动对运行维护设施的现状进行排查并将结果报发包人确认。未及时确认的，视为运行维护设施运转完好。承包人负责后续的维修、维护工作。</w:t>
      </w:r>
    </w:p>
    <w:p w14:paraId="750506A7">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承包人在合同期间应确保合同范围内水利设施的安全使用，因承包人自身原因造成水利设施的缺陷或损坏的，视为承包人违约。承包人须按照原设计标准进行修复，并承担由此产生的各项直接及间接损失，发包人有权</w:t>
      </w:r>
      <w:r>
        <w:rPr>
          <w:rFonts w:hint="default" w:ascii="宋体" w:hAnsi="宋体" w:eastAsia="宋体"/>
          <w:color w:val="auto"/>
          <w:sz w:val="24"/>
          <w:highlight w:val="none"/>
          <w:lang w:val="en-US" w:eastAsia="zh-CN"/>
        </w:rPr>
        <w:t>按照本合同条款第 24.2 款的规定对承包人课以违约金</w:t>
      </w:r>
      <w:r>
        <w:rPr>
          <w:rFonts w:hint="eastAsia" w:ascii="宋体" w:hAnsi="宋体"/>
          <w:color w:val="auto"/>
          <w:sz w:val="24"/>
          <w:highlight w:val="none"/>
          <w:lang w:val="en-US" w:eastAsia="zh-CN"/>
        </w:rPr>
        <w:t>。</w:t>
      </w:r>
    </w:p>
    <w:p w14:paraId="5B498FA8">
      <w:pPr>
        <w:spacing w:line="400" w:lineRule="exact"/>
        <w:ind w:firstLine="480" w:firstLineChars="200"/>
        <w:rPr>
          <w:rFonts w:hint="eastAsia" w:ascii="宋体" w:hAnsi="宋体"/>
          <w:color w:val="auto"/>
          <w:sz w:val="24"/>
          <w:highlight w:val="none"/>
          <w:lang w:val="en-US" w:eastAsia="zh-CN"/>
        </w:rPr>
      </w:pPr>
    </w:p>
    <w:p w14:paraId="4F8D5BCC">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9.10.5 运行维护管理平台建设与应用</w:t>
      </w:r>
    </w:p>
    <w:p w14:paraId="39F0FE07">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承包人应按照发包人要求编制数据服务方案，数据服务方案应满足项目信息化的要求。承包人可以利用自身技术优势，优化服务方案，报发包人审批后实施。承包人按发包人要求安装物联感知设备，提供满足发包人要求的水利设施运行管理数据服务，收集并分析包括但不限于内外江水位、闸门开度、泵站运行状态、视频监控等运行数据信息，建立安全可靠、技术创新的水信息化平台，合同签订后6个月内，完成运行维护管理平台建设。</w:t>
      </w:r>
    </w:p>
    <w:p w14:paraId="72E8AC54">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平台功能范围包括：工程管理、设备管理、运行管理、智能巡检、检修管理、物资管理、养护管理、检查管理、抢险队伍、监测一张图、预报、预警、数据报表、水务大模型等功能，具体详见附件6。</w:t>
      </w:r>
    </w:p>
    <w:p w14:paraId="6D3944CC">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巡检工作应采用统一APP，支持拍照、定位签到、问题记录、养护过程记录、检修过程记录、巡查路线、查看监测数据、接受调度指令等功能。</w:t>
      </w:r>
    </w:p>
    <w:p w14:paraId="4338E265">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承包人需确保信息化平台上的水利设施基础数据详细完整与准确，并及时更新。需完善上传各项工作数据至信息化平台，形成水利设施运行维护工作数据库。</w:t>
      </w:r>
    </w:p>
    <w:p w14:paraId="7D4CDA5E">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承包人需对建立的信息化平台进行等级保护测评，保证信息安全与数据安全，并每月将所有数据导出、以光盘、硬盘等实体介质移交给发包人。</w:t>
      </w:r>
    </w:p>
    <w:p w14:paraId="710A8F54">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承包人将相关监测数据对接至发包人指定的电子平台，承包人获取的数据不满足发包人要求或无法对接发包人指定的电子平台，视为承包人违约。</w:t>
      </w:r>
    </w:p>
    <w:p w14:paraId="3BA79359">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承包人须建立完善的信息管理机制，采取有效手段对运行维护全过程的各类信息（包括但不限于巡查记录、维修数据、设备状态、监测报告等）进行收集、整理、归档，并形成电子档案，按照《南沙区水利设施运行维护手册》要求录入发包人指定的系统。电子档案应符合发包人要求的格式标准，确保信息的完整性、准确性和连续性。</w:t>
      </w:r>
    </w:p>
    <w:p w14:paraId="428CBCC8">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发包人对承包人的信息化管理提升工作进行考核，信息化系统应支持巡检完成率、维修响应率、资料完整率等考核指标的自动统计。考核结果将与合同履约挂钩，由发包人依据评分结果实施奖惩。</w:t>
      </w:r>
    </w:p>
    <w:p w14:paraId="21DC5205">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运行维护管理平台建设由项目咨询单位指导建设，按发包人要求由其中一个标段承包人牵头实施，</w:t>
      </w:r>
      <w:r>
        <w:rPr>
          <w:rFonts w:hint="eastAsia" w:ascii="宋体" w:hAnsi="宋体"/>
          <w:color w:val="auto"/>
          <w:sz w:val="24"/>
          <w:highlight w:val="none"/>
          <w:lang w:val="en-US" w:eastAsia="zh-Hans"/>
        </w:rPr>
        <w:t>相关费用经发包人审批同意后</w:t>
      </w:r>
      <w:r>
        <w:rPr>
          <w:rFonts w:hint="default" w:ascii="宋体" w:hAnsi="宋体"/>
          <w:color w:val="auto"/>
          <w:sz w:val="24"/>
          <w:highlight w:val="none"/>
          <w:lang w:eastAsia="zh-Hans"/>
        </w:rPr>
        <w:t>，</w:t>
      </w:r>
      <w:r>
        <w:rPr>
          <w:rFonts w:hint="eastAsia" w:ascii="宋体" w:hAnsi="宋体"/>
          <w:color w:val="auto"/>
          <w:sz w:val="24"/>
          <w:highlight w:val="none"/>
          <w:lang w:val="en-US" w:eastAsia="zh-CN"/>
        </w:rPr>
        <w:t>其他标段承包人按各自签约合同价占比分摊相关费用。上述费用包含在投标报价中，发包人不另行支付。</w:t>
      </w:r>
    </w:p>
    <w:p w14:paraId="5BD3118D">
      <w:pPr>
        <w:spacing w:line="400" w:lineRule="exact"/>
        <w:ind w:firstLine="480" w:firstLineChars="200"/>
        <w:rPr>
          <w:rFonts w:hint="eastAsia" w:ascii="宋体" w:hAnsi="宋体"/>
          <w:color w:val="auto"/>
          <w:sz w:val="24"/>
          <w:highlight w:val="none"/>
          <w:lang w:val="en-US" w:eastAsia="zh-CN"/>
        </w:rPr>
      </w:pPr>
    </w:p>
    <w:p w14:paraId="3C35C46C">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9.10.6 科研、信息化、电子化及数智化要求</w:t>
      </w:r>
    </w:p>
    <w:p w14:paraId="5E6268F3">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9.10.6.1承包人应从合同金额中，投入不低于2%的比例，用于开展水利设施运行管养所涉及的应用型研究工作，如监测设备精度提升、智慧导检巡检、智能调度等方面。每年应将工作开展和费用情况报送发包人。未按上述要求投入的，视为承包人违约。</w:t>
      </w:r>
    </w:p>
    <w:p w14:paraId="3CCE9149">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9.10.6.2 发包人鼓励承包人利用信息化、电子化、无人化手段提升管理效率、降低投入成本。承包人可结合项目实际情况，在保证水利设施运行安全的前提下，制定相关管理方案（含技术路线、安全保障措施等），报发包人审批后实施。方案未经审批不得擅自实施，否则视为承包人违约。</w:t>
      </w:r>
    </w:p>
    <w:p w14:paraId="7A856875">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 xml:space="preserve">9.10.6.3承包人须按照发包人要求开展数智水务工作，具体包括但不限于以下内容：基于现有信息化平台架构，融入数字孪生、人工智能等数智技术，构建覆盖水利设施全生命周期的数智管理体系，实现工程状态实时感知、运行数据智能分析、调度决策辅助支持；开发数智化应用模块，如基于机器学习的设备故障预判模型（通过历史运行数据识别潜在故障风险）、基于数字孪生的水利场景模拟系统（支持防洪调度、生态调控等多场景推演）；建立数智化标准规范，包括数据采集格式、接口协议、安全加密规则等，确保数智化系统与发包人现有平台及未来扩展系统兼容；定期向发包人提交数智水务工作进展报告，包括技术应用成效、数据积累情况、系统优化建议等，接受发包人对相关工作的考核与评估。 </w:t>
      </w:r>
    </w:p>
    <w:p w14:paraId="15E8B3F9">
      <w:pPr>
        <w:spacing w:line="400" w:lineRule="exact"/>
        <w:ind w:firstLine="480" w:firstLineChars="200"/>
        <w:rPr>
          <w:rFonts w:hint="eastAsia" w:ascii="宋体" w:hAnsi="宋体"/>
          <w:color w:val="auto"/>
          <w:sz w:val="24"/>
          <w:highlight w:val="none"/>
          <w:lang w:val="en-US" w:eastAsia="zh-CN"/>
        </w:rPr>
      </w:pPr>
    </w:p>
    <w:p w14:paraId="4472E240">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9.10.7 课题要求</w:t>
      </w:r>
    </w:p>
    <w:p w14:paraId="21A823C5">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9.10.7.1 总体目标：本项目面向国家水安全战略，旨在攻克智慧水利的多目标协同调度与智能运维技术瓶颈。通过研发自主可控的数字孪生平台与“天-空-地-水工”一体化智能运维体系，并在南沙开展示范应用，旨在提升区域防洪抗旱、水生态保障与工程运维的智能化水平，形成可推广的综合解决方案，为水利高质量发展提供科技支撑。开展面向智慧水利的多目标协同调度与智能运维关键技术研究及示范应用。</w:t>
      </w:r>
    </w:p>
    <w:p w14:paraId="4CBA3AB6">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9.10.7.2主要研究内容</w:t>
      </w:r>
    </w:p>
    <w:p w14:paraId="426C446F">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多目标协同智能调度技术：构建天空地一体化监测感知体系，研发机理与数据模型双驱动的模拟仿真技术，突破面向防洪、生态、水环境等多目标的闸泵联合优化调度算法，构建“感知-模拟-决策-调控”全链条闭环管理的数字孪生平台。</w:t>
      </w:r>
    </w:p>
    <w:p w14:paraId="3CF55FB9">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一体化智能运维技术：基于多源遥感与AI算法，实现水域“四乱”问题的自动识别与预警；集成无人机、无人船、机器人及物探装备，构建立体巡检技术体系，实现水利设施表里缺陷与隐蔽隐患的智能诊断；开发集智能巡查、派单、养护与决策于一体的智慧运维管理平台。</w:t>
      </w:r>
    </w:p>
    <w:p w14:paraId="283648C2">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宋体" w:hAnsi="宋体"/>
          <w:color w:val="auto"/>
          <w:sz w:val="24"/>
          <w:highlight w:val="none"/>
          <w:lang w:val="en-US" w:eastAsia="zh-CN"/>
        </w:rPr>
        <w:t>技术集成与示范应用：在南沙典型区域进行技术集成与工程示范，验证数字孪生平台与智能运维体系的有效性与先进性，建立相关技术标准与评价体系，形成可复制、可推广的智慧水利样板工程。</w:t>
      </w:r>
    </w:p>
    <w:p w14:paraId="1B387219">
      <w:pPr>
        <w:spacing w:line="400" w:lineRule="exact"/>
        <w:ind w:firstLine="480" w:firstLineChars="200"/>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lang w:val="en-US" w:eastAsia="zh-CN"/>
        </w:rPr>
        <w:t>科研课题</w:t>
      </w:r>
      <w:r>
        <w:rPr>
          <w:rFonts w:hint="eastAsia" w:asciiTheme="majorEastAsia" w:hAnsiTheme="majorEastAsia" w:eastAsiaTheme="majorEastAsia" w:cstheme="majorEastAsia"/>
          <w:color w:val="auto"/>
          <w:sz w:val="24"/>
          <w:highlight w:val="none"/>
        </w:rPr>
        <w:t>成果要求</w:t>
      </w:r>
      <w:r>
        <w:rPr>
          <w:rFonts w:hint="eastAsia" w:asciiTheme="majorEastAsia" w:hAnsiTheme="majorEastAsia" w:eastAsiaTheme="majorEastAsia" w:cstheme="majorEastAsia"/>
          <w:color w:val="auto"/>
          <w:sz w:val="24"/>
          <w:highlight w:val="none"/>
          <w:lang w:eastAsia="zh-CN"/>
        </w:rPr>
        <w:t>：</w:t>
      </w:r>
    </w:p>
    <w:p w14:paraId="77F59AA7">
      <w:pPr>
        <w:spacing w:line="40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1）根据项目特点识别水利工程养护关键指标，在每年编制《ESG绩效报告》。</w:t>
      </w:r>
    </w:p>
    <w:p w14:paraId="7632F1F6">
      <w:pPr>
        <w:spacing w:line="40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2）对已完成管养维护效果和各阶段的评价报告进行总结提炼，提出改进办法，不断提升管养水平和成效，形成可复制推广的ESG典型案例。要求至少打造2个典型案例。</w:t>
      </w:r>
    </w:p>
    <w:p w14:paraId="53A40EF9">
      <w:pPr>
        <w:spacing w:line="400" w:lineRule="exact"/>
        <w:ind w:firstLine="480" w:firstLineChars="200"/>
        <w:rPr>
          <w:rFonts w:hint="default"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rPr>
        <w:t>3）</w:t>
      </w:r>
      <w:r>
        <w:rPr>
          <w:rFonts w:hint="eastAsia" w:asciiTheme="majorEastAsia" w:hAnsiTheme="majorEastAsia" w:eastAsiaTheme="majorEastAsia" w:cstheme="majorEastAsia"/>
          <w:color w:val="auto"/>
          <w:sz w:val="24"/>
          <w:highlight w:val="none"/>
          <w:lang w:val="en-US" w:eastAsia="zh-CN"/>
        </w:rPr>
        <w:t>对运行维护的管理经验进行总结提升，每年至少发表1篇与本项目管理有关的论文。</w:t>
      </w:r>
    </w:p>
    <w:p w14:paraId="3BFA74B4">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4）根据科研成果，合同服务期间至少发表2篇关于科技创新的论文。</w:t>
      </w:r>
    </w:p>
    <w:p w14:paraId="711F9000">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p>
    <w:p w14:paraId="1E113EA6">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9.10.8 信息收集、整理与归档</w:t>
      </w:r>
    </w:p>
    <w:p w14:paraId="42AB8D70">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承包人须建立完善的信息管理机制，采取有效手段对运行维护全过程的各类信息（包括但不限于巡查记录、维修数据、设备状态、监测报告等）进行收集、整理、归档，并形成电子档案，按照《南沙区水利设施运行维护手册》要求录入发包人指定的系统。电子档案应符合发包人要求的格式标准，确保信息的完整性、准确性和连续性。相关工作所需费用已包含在合同价格中，发包人不另行支付。因信息缺失、错误或归档不及时导致的后果，由承包人承担，发包人有权依据本合同条款第 24.2 款进行处理。</w:t>
      </w:r>
    </w:p>
    <w:p w14:paraId="250EE64E">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p>
    <w:p w14:paraId="4B976C07">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9.10.9 运行维护手册修编与运行维护标准编制</w:t>
      </w:r>
    </w:p>
    <w:p w14:paraId="7404FFD8">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承包人进场后，应结合本项目实际运行维护情况及最新规范要求，开展以下工作：</w:t>
      </w:r>
    </w:p>
    <w:p w14:paraId="06706293">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（1）运行维护手册修编：承包人在进场后开展本项目运行维护手册的修编工作，修编内容需充分反映现场实际工况、维护经验及优化措施，确保手册的针对性和可操作性。将手册（电子版及纸质版各 1 套）报发包人审批，根据项目咨询单位、发包人意见修改完善并最终定稿。</w:t>
      </w:r>
    </w:p>
    <w:p w14:paraId="7483398D">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（2）区级及大湾区运行维护标准编制：</w:t>
      </w:r>
    </w:p>
    <w:p w14:paraId="142CAAF7">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① 区级规范编制（强制要求）：由项目咨询单位牵头组织编制南沙区水利运行维护区级规范，承包人必须全力配合，按要求全面、如实提供相关资料。区级规范需涵盖堤防、水闸、泵站等水利设施的运行维护标准、技术要求、流程规范及质量控制要点，形成具备强制性和普适性的区域管理依据，确保辖区内水利设施维护标准统一、执行到位。承包人未按要求配合的，视为违约。</w:t>
      </w:r>
    </w:p>
    <w:p w14:paraId="1A876B8C">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② 大湾区规范争创（目标要求）：在区级规范基础上，由项目咨询单位牵头，结合粤港澳大湾区水利协同发展需求，组织提炼具有区域特色的技术指标、管理模式及协同机制，推动编制符合大湾区标准的水利运行维护规范。承包人应积极配合提供相关实践案例、技术数据等支持，助力该规范成为粤港澳大湾区水利行业参考标准，推动南沙区水利管理水平与湾区发展定位相匹配。</w:t>
      </w:r>
    </w:p>
    <w:p w14:paraId="0AC265FC">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项目咨询单位负责规范编制的统筹协调、专家论证及成果汇总工作，承包人须指定专人对接，按项目咨询单位要求按时提交资料、参与相关会议并协助开展现场调研。</w:t>
      </w:r>
    </w:p>
    <w:p w14:paraId="091735DE">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承包人开展本条所述工作所需的人员、资料、调研、评审会议等一切费用已包含在合同价格中，发包人不另行支付。若承包人未按要求配合完成手册修编或规范编制相关工作，或提供的资料不符合要求且未在指定期限内整改合格的，视为承包人违约，发包人有权按照本合同条款第 24.2 款的规定处理。</w:t>
      </w:r>
    </w:p>
    <w:p w14:paraId="276E849A">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p>
    <w:p w14:paraId="7B14B0A5">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9.10.10 电子化计量支付管理系统</w:t>
      </w:r>
    </w:p>
    <w:p w14:paraId="78001888">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为实现项目管理的标准化，本项目按照发包人要求使用电子化计量支付管理系统，承包人将签订服务协议并支付相关费用，以获得系统使用、培训和技术支持。系统使用相关的服务费用已综合计入承包人的投标报价中，发包人不再另行支付。承包人应积极配合发包人完成数据对接、人员培训等工作，确保本项目电子化计量支付管理系统的顺利开展。</w:t>
      </w:r>
    </w:p>
    <w:p w14:paraId="4353DC08">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p>
    <w:p w14:paraId="1D05C5C1">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9.10.11 国际及粤港澳三地交流合作</w:t>
      </w:r>
    </w:p>
    <w:p w14:paraId="7B060744">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为提升本项目水利工程建设及运营管理水平，加强国际交流与粤港澳三地协同发展，南片区、北片区承包人应共同履行以下职责：</w:t>
      </w:r>
    </w:p>
    <w:p w14:paraId="6BDB68E3">
      <w:pPr>
        <w:spacing w:line="400" w:lineRule="exact"/>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承包人应在每年年初编制当年度国际水利技术交流会议或粤港澳三地水利协同发展会议的实施方案，内容包括会议主题（聚焦水利工程建设创新、智慧运维、跨区域协同调度等领域）、拟邀请人员（国际水利专家、港澳地区行业代表、内地同行等）、议程安排、预算计划及预期成果等，报项目咨询单位审核及发包人审批。方案经批准后，由南片区、北片区承包人联合组织实施，每年至少开展一次。</w:t>
      </w:r>
    </w:p>
    <w:p w14:paraId="5D43E34D">
      <w:pPr>
        <w:spacing w:line="400" w:lineRule="exact"/>
        <w:ind w:firstLine="480" w:firstLineChars="200"/>
        <w:rPr>
          <w:rFonts w:hint="eastAsia" w:ascii="宋体" w:hAnsi="宋体"/>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项目咨询单位负责对会议筹备及实施过程进行督促和专业指导，确保会议成</w:t>
      </w:r>
      <w:r>
        <w:rPr>
          <w:rFonts w:hint="eastAsia" w:ascii="宋体" w:hAnsi="宋体"/>
          <w:color w:val="auto"/>
          <w:sz w:val="24"/>
          <w:highlight w:val="none"/>
          <w:lang w:val="en-US" w:eastAsia="zh-CN"/>
        </w:rPr>
        <w:t>效。承包人应在会议结束后 30 日内提交总结报告（含会议纪要、技术成果转化建议、合作意向等），报项目咨询单位及发包人备案。</w:t>
      </w:r>
    </w:p>
    <w:p w14:paraId="2A4313C3">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本条所述会议所需的场地租赁、专家差旅、技术支撑、物料制作等一切费用，由南片区、北片区承包人按照各自签约合同价占比分摊，相关费用已包含在投标报价中，发包人不另行支付。</w:t>
      </w:r>
    </w:p>
    <w:p w14:paraId="4290B4E8">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若承包人未按要求编制会议方案、未经审批擅自组织会议或未按计划完成会议组织工作的，视为违约，发包人有权按照本合同条款第 24.2 款的规定处理</w:t>
      </w:r>
      <w:r>
        <w:rPr>
          <w:rFonts w:hint="default" w:ascii="宋体" w:hAnsi="宋体"/>
          <w:color w:val="auto"/>
          <w:sz w:val="24"/>
          <w:highlight w:val="none"/>
          <w:lang w:eastAsia="zh-CN"/>
        </w:rPr>
        <w:t>，</w:t>
      </w:r>
      <w:r>
        <w:rPr>
          <w:rFonts w:hint="eastAsia" w:ascii="宋体" w:hAnsi="宋体"/>
          <w:color w:val="auto"/>
          <w:sz w:val="24"/>
          <w:highlight w:val="none"/>
          <w:lang w:val="en-US" w:eastAsia="zh-CN"/>
        </w:rPr>
        <w:t>因非承包人原因</w:t>
      </w:r>
      <w:r>
        <w:rPr>
          <w:rFonts w:hint="eastAsia" w:ascii="宋体" w:hAnsi="宋体"/>
          <w:color w:val="auto"/>
          <w:sz w:val="24"/>
          <w:highlight w:val="none"/>
          <w:lang w:val="en-US" w:eastAsia="zh-Hans"/>
        </w:rPr>
        <w:t>造成的</w:t>
      </w:r>
      <w:r>
        <w:rPr>
          <w:rFonts w:hint="eastAsia" w:ascii="宋体" w:hAnsi="宋体"/>
          <w:color w:val="auto"/>
          <w:sz w:val="24"/>
          <w:highlight w:val="none"/>
          <w:lang w:val="en-US" w:eastAsia="zh-CN"/>
        </w:rPr>
        <w:t>除外。</w:t>
      </w:r>
    </w:p>
    <w:p w14:paraId="51947A87">
      <w:pPr>
        <w:spacing w:line="400" w:lineRule="exact"/>
        <w:ind w:firstLine="480" w:firstLineChars="200"/>
        <w:rPr>
          <w:rFonts w:hint="eastAsia" w:ascii="宋体" w:hAnsi="宋体"/>
          <w:color w:val="auto"/>
          <w:sz w:val="24"/>
          <w:highlight w:val="none"/>
          <w:lang w:val="en-US" w:eastAsia="zh-CN"/>
        </w:rPr>
      </w:pPr>
    </w:p>
    <w:p w14:paraId="0D1E9EBF">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9.10.12 建设现代化产业工人队伍</w:t>
      </w:r>
    </w:p>
    <w:p w14:paraId="22FC9FA6">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为提升本项目运行维护专业化水平，推动水利行业技能人才梯队建设，承包人应建立健全现代化产业工人、技术工人及工匠代表的培养机制，具体要求如下：</w:t>
      </w:r>
    </w:p>
    <w:p w14:paraId="6B3C6642">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承包人须在进场后 30 日内制定《产业工人培育实施方案》，明确培养目标、梯队建设计划、培训体系及激励机制，报项目咨询单位审核及发包人审批后实施。方案应包含以下核心内容：</w:t>
      </w:r>
    </w:p>
    <w:p w14:paraId="79246F9E">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培养目标：合同服务期内，培育具备高水平操作技能、熟悉智慧水利技术应用的产业工人队伍，其中南片区、北片区分别至少产生2名区级及以上技术能手或工匠代表，形成“技能引领、以点带面”的人才梯队。</w:t>
      </w:r>
    </w:p>
    <w:p w14:paraId="38CCFEE4">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培养机制：建立分级培训体系：针对堤防、水闸、泵站等不同设施的维护需求，分层次开展理论教学与实操培训，内容涵盖设备智能化操作、故障诊断、应急抢修等，每年累计培训时长不少于 80课时；推行“师带徒”制度：由技术专家牵头组建导师团队，每位专家负责带教 3-5 名青年技术工人，制定个性化培养计划；</w:t>
      </w:r>
    </w:p>
    <w:p w14:paraId="4DEC848A">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搭建技能提升平台：每年至少组织 1 次内部技能“比武”，组织职业技能竞赛，竞赛成绩纳入员工绩效考核。</w:t>
      </w:r>
    </w:p>
    <w:p w14:paraId="01F92528">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保障措施：与高校合作，承包人应保障费用投入，用于培训教材开发、导师津贴、竞赛奖励等，相关费用包含在合同价格中；</w:t>
      </w:r>
    </w:p>
    <w:p w14:paraId="23515FCA">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建立技能等级与薪酬挂钩机制，对取得高级工及以上职业资格或获得工匠称号的工人，给予薪资上浮、优先晋升等激励；</w:t>
      </w:r>
    </w:p>
    <w:p w14:paraId="6EA1E71E">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每半年向发包人提交《产业工人培养进展报告》，内容包括培训人次、技能等级提升情况、工匠代表培育进度等，接受发包人及项目咨询单位的监督考核。</w:t>
      </w:r>
    </w:p>
    <w:p w14:paraId="7CF3B218">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若承包人未按要求制定实施方案、未建立培养机制或未达成年度培养目标，视为违约，发包人有权按照本合同条款第 24.2 款的规定处理。</w:t>
      </w:r>
    </w:p>
    <w:p w14:paraId="30A5F82F">
      <w:pPr>
        <w:spacing w:line="400" w:lineRule="exact"/>
        <w:ind w:firstLine="480" w:firstLineChars="200"/>
        <w:rPr>
          <w:rFonts w:hint="eastAsia" w:ascii="宋体" w:hAnsi="宋体"/>
          <w:color w:val="auto"/>
          <w:sz w:val="24"/>
          <w:highlight w:val="none"/>
          <w:lang w:val="en-US" w:eastAsia="zh-CN"/>
        </w:rPr>
      </w:pPr>
    </w:p>
    <w:p w14:paraId="535D1A85">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9.10.13 承包人应加入南沙区水务行业党委，共同参与行业党委建设工作。积极参与行业政策研讨、资源共享、党建联建、业务协同等工作，共同探索行业发展新路径，为南沙区水务事业贡献力量，并承担相关费用。</w:t>
      </w:r>
    </w:p>
    <w:p w14:paraId="0D0FC16E">
      <w:pPr>
        <w:spacing w:line="400" w:lineRule="exact"/>
        <w:ind w:firstLine="480" w:firstLineChars="200"/>
        <w:rPr>
          <w:rFonts w:hint="eastAsia" w:ascii="宋体" w:hAnsi="宋体"/>
          <w:color w:val="auto"/>
          <w:sz w:val="24"/>
          <w:highlight w:val="none"/>
          <w:lang w:val="en-US" w:eastAsia="zh-CN"/>
        </w:rPr>
      </w:pPr>
    </w:p>
    <w:p w14:paraId="29FB6D4C">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9.10.14 养护规划编制要求</w:t>
      </w:r>
    </w:p>
    <w:p w14:paraId="15F521B6">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承包人应在进场后 3 个月内，结合本项目运行维护目标、区域发展需求及行业技术趋势，编制《未来 5 年养护规划》，内容需涵盖“数智水务”、水经济发展及水利设施养护行业管理水平促进三个核心方向。“数智水务”应明确专业化、数字化、标准化管理的阶段性目标及量化指标；水经济发展需规划水利设施附属资源的可持续开发路径，明确各阶段开发范围及效益；行业管理水平促进应提出区域养护技术规范研究、行业交流合作及创新技术推广的具体举措。</w:t>
      </w:r>
    </w:p>
    <w:p w14:paraId="2FAC774D">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规划编制须符合国家及地方水利法规、《南沙区水利设施运行维护手册》及本合同约定，具备系统性、前瞻性、可操作性及合规性，并提交项目咨询单位审核。审核未通过的，承包人应在 15 个工作日内修改完善并重新报审。规划实施过程中，承包人应每年度对执行情况进行评估并动态调整，调整方案需报发包人及项目咨询单位备案。规划编制及年度评估所需费用已包含在合同价格中，发包人不另行支付。若承包人未按要求编制规划、未通过审核且逾期未整改，或规划执行严重偏离目标的，视为承包人违约，发包人有权依据本合同第 24.2 款追究其违约责任。</w:t>
      </w:r>
    </w:p>
    <w:p w14:paraId="09AFE59F">
      <w:pPr>
        <w:spacing w:line="400" w:lineRule="exact"/>
        <w:ind w:firstLine="480" w:firstLineChars="200"/>
        <w:rPr>
          <w:rFonts w:hint="eastAsia" w:ascii="宋体" w:hAnsi="宋体"/>
          <w:color w:val="auto"/>
          <w:sz w:val="24"/>
          <w:highlight w:val="none"/>
          <w:lang w:val="en-US" w:eastAsia="zh-CN"/>
        </w:rPr>
      </w:pPr>
    </w:p>
    <w:p w14:paraId="09066AD0">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9.10.15 预警机制</w:t>
      </w:r>
    </w:p>
    <w:p w14:paraId="3289D0BD">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承包人应按照广东省水利厅印发的《关于进一步做好洪水和泄洪预警发布处理工作的通知》以及行业部门的有关要求建立预警机制：</w:t>
      </w:r>
    </w:p>
    <w:p w14:paraId="6D1B34D9">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9.10.15.1 承包人应落实江河洪水、山洪灾害、水工程泄洪、工程险情等四类水利预警信息的监测、传达与处置工作。在日常巡查、值班和信息报送中，应建立信息监测台账，确保第一时间发现、第一时间报告。</w:t>
      </w:r>
    </w:p>
    <w:p w14:paraId="3EB1C536">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9.10.15.2 承包人应明确在预警机制中的责任定位，配合水行政主管部门、发包人、属地镇街等主体，落实工程管理单位的预警职责：</w:t>
      </w:r>
    </w:p>
    <w:p w14:paraId="5338DFBA">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（1）按规定编制、完善本工程的预警处理指南和应急预案，并定期修订。</w:t>
      </w:r>
    </w:p>
    <w:p w14:paraId="1C2C5F57">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（2）接到上级预警信息后，必须做到及时传达、快速处置、闭环反馈。</w:t>
      </w:r>
    </w:p>
    <w:p w14:paraId="462189EB">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（3）主动与属地镇街、应急、供电等相关单位保持信息共享与联动。</w:t>
      </w:r>
    </w:p>
    <w:p w14:paraId="604F950C">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9.10.15.3 承包人需确保能熟练使用并保障畅通短信、电话、微信、大喇叭、公众号等多种预警发布渠道。在养护巡查、汛期值班和突发事件处置中，应根据实际情况选择一种或多种渠道进行信息发布，确保预警信息到人、到点、到末端。</w:t>
      </w:r>
    </w:p>
    <w:p w14:paraId="377F3382">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9.10.15.4 在日常运行维护中，承包人应重点检查监测预报设施（雨量站、水位计、视频监控、大喇叭、公众号等）的完好性，确保存储、传输、发布环节正常运行。汛期或特殊天气，承包人应加强值班值守，落实“叫应”机制，确保“有叫必有应、应必落实”。结合巡查发现的险情，及时启动预警发布程序，并同步开展应急处置。</w:t>
      </w:r>
    </w:p>
    <w:p w14:paraId="3DFD3215">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9.10.15.5 承包人应做到预警“发布—传达—处置—反馈”闭环，建立预警信息传递和处置台账，留存短信、电话记录、广播记录等。重大预警必须专人跟踪，落实到位后上报反馈，接受主管部门检查监督。</w:t>
      </w:r>
    </w:p>
    <w:p w14:paraId="169BAA4E">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9.10.15.6 承包人应每年至少开展一次防洪和泄洪预警演练，提升信息传递、应急响应和处置能力。演练方案应覆盖上下级、上下游、左右岸等关键环节。通过演练检验设施完好率、信息传递效率和处置到位率。</w:t>
      </w:r>
    </w:p>
    <w:p w14:paraId="253070F3">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9.10.16 发包人委托的其他工作内容。</w:t>
      </w:r>
    </w:p>
    <w:p w14:paraId="70D63D30">
      <w:pPr>
        <w:spacing w:line="400" w:lineRule="exact"/>
        <w:ind w:firstLine="480" w:firstLineChars="200"/>
        <w:rPr>
          <w:rFonts w:ascii="宋体" w:hAnsi="宋体" w:eastAsia="宋体"/>
          <w:bCs/>
          <w:color w:val="auto"/>
          <w:sz w:val="24"/>
          <w:highlight w:val="none"/>
        </w:rPr>
      </w:pPr>
    </w:p>
    <w:p w14:paraId="1AA15E27">
      <w:pPr>
        <w:spacing w:line="400" w:lineRule="exact"/>
        <w:outlineLvl w:val="2"/>
        <w:rPr>
          <w:rFonts w:ascii="宋体" w:hAnsi="宋体" w:eastAsia="宋体"/>
          <w:bCs/>
          <w:color w:val="auto"/>
          <w:sz w:val="24"/>
          <w:highlight w:val="none"/>
        </w:rPr>
      </w:pPr>
      <w:bookmarkStart w:id="27" w:name="_Toc149721960"/>
      <w:bookmarkStart w:id="28" w:name="_Toc493406964"/>
      <w:r>
        <w:rPr>
          <w:rFonts w:hint="eastAsia" w:ascii="宋体" w:hAnsi="宋体" w:eastAsia="宋体"/>
          <w:bCs/>
          <w:color w:val="auto"/>
          <w:sz w:val="24"/>
          <w:highlight w:val="none"/>
        </w:rPr>
        <w:t>三、</w:t>
      </w:r>
      <w:bookmarkEnd w:id="27"/>
      <w:bookmarkEnd w:id="28"/>
      <w:r>
        <w:rPr>
          <w:rFonts w:hint="eastAsia" w:ascii="宋体" w:hAnsi="宋体" w:eastAsia="宋体"/>
          <w:bCs/>
          <w:color w:val="auto"/>
          <w:sz w:val="24"/>
          <w:highlight w:val="none"/>
          <w:lang w:eastAsia="zh-CN"/>
        </w:rPr>
        <w:t>运行维护</w:t>
      </w:r>
      <w:r>
        <w:rPr>
          <w:rFonts w:hint="eastAsia" w:ascii="宋体" w:hAnsi="宋体" w:eastAsia="宋体"/>
          <w:bCs/>
          <w:color w:val="auto"/>
          <w:sz w:val="24"/>
          <w:highlight w:val="none"/>
        </w:rPr>
        <w:t>计划</w:t>
      </w:r>
    </w:p>
    <w:p w14:paraId="339CC919">
      <w:pPr>
        <w:spacing w:line="400" w:lineRule="exact"/>
        <w:ind w:firstLine="480" w:firstLineChars="200"/>
        <w:outlineLvl w:val="3"/>
        <w:rPr>
          <w:rFonts w:ascii="宋体" w:hAnsi="宋体" w:eastAsia="宋体"/>
          <w:bCs/>
          <w:color w:val="auto"/>
          <w:szCs w:val="21"/>
          <w:highlight w:val="none"/>
        </w:rPr>
      </w:pPr>
      <w:bookmarkStart w:id="29" w:name="_Toc493406965"/>
      <w:r>
        <w:rPr>
          <w:rFonts w:ascii="宋体" w:hAnsi="宋体" w:eastAsia="宋体"/>
          <w:bCs/>
          <w:color w:val="auto"/>
          <w:sz w:val="24"/>
          <w:highlight w:val="none"/>
        </w:rPr>
        <w:t xml:space="preserve">10. </w:t>
      </w:r>
      <w:bookmarkEnd w:id="29"/>
      <w:r>
        <w:rPr>
          <w:rFonts w:hint="eastAsia" w:ascii="宋体" w:hAnsi="宋体" w:eastAsia="宋体"/>
          <w:bCs/>
          <w:color w:val="auto"/>
          <w:sz w:val="24"/>
          <w:highlight w:val="none"/>
          <w:lang w:eastAsia="zh-CN"/>
        </w:rPr>
        <w:t>运行维护</w:t>
      </w:r>
      <w:r>
        <w:rPr>
          <w:rFonts w:hint="eastAsia" w:ascii="宋体" w:hAnsi="宋体" w:eastAsia="宋体"/>
          <w:bCs/>
          <w:color w:val="auto"/>
          <w:sz w:val="24"/>
          <w:highlight w:val="none"/>
        </w:rPr>
        <w:t>作业计划</w:t>
      </w:r>
    </w:p>
    <w:p w14:paraId="1D42E935">
      <w:pPr>
        <w:spacing w:line="400" w:lineRule="exact"/>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承包人须依据设备运行状态、历史维护数据及年度生产需求，编制年度、季度、月度维护计划。年度计划应涵盖全年预防性维护重点（如关键设备大修周期、易损件更换计划），季度计划细化至月度任务分配，月度计划明确周维护清单及</w:t>
      </w:r>
      <w:r>
        <w:rPr>
          <w:rFonts w:hint="eastAsia" w:ascii="宋体" w:hAnsi="宋体"/>
          <w:color w:val="auto"/>
          <w:sz w:val="24"/>
          <w:highlight w:val="none"/>
          <w:lang w:val="en-US" w:eastAsia="zh-CN"/>
        </w:rPr>
        <w:t>维修计划</w:t>
      </w:r>
      <w:r>
        <w:rPr>
          <w:rFonts w:hint="eastAsia" w:ascii="宋体" w:hAnsi="宋体" w:eastAsia="宋体"/>
          <w:color w:val="auto"/>
          <w:sz w:val="24"/>
          <w:highlight w:val="none"/>
        </w:rPr>
        <w:t>。所有计划需附设备运行分析报告（含故障频率、能耗数据等），于周期起始前 15 日报发包人审批</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经发包人审批后实施</w:t>
      </w:r>
      <w:r>
        <w:rPr>
          <w:rFonts w:hint="eastAsia" w:ascii="宋体" w:hAnsi="宋体" w:eastAsia="宋体"/>
          <w:color w:val="auto"/>
          <w:sz w:val="24"/>
          <w:highlight w:val="none"/>
        </w:rPr>
        <w:t>。</w:t>
      </w:r>
    </w:p>
    <w:p w14:paraId="6DE6E1BD">
      <w:pPr>
        <w:spacing w:line="400" w:lineRule="exact"/>
        <w:ind w:firstLine="480" w:firstLineChars="200"/>
        <w:outlineLvl w:val="3"/>
        <w:rPr>
          <w:rFonts w:ascii="宋体" w:hAnsi="宋体" w:eastAsia="宋体"/>
          <w:bCs/>
          <w:color w:val="auto"/>
          <w:sz w:val="24"/>
          <w:highlight w:val="none"/>
        </w:rPr>
      </w:pPr>
      <w:bookmarkStart w:id="30" w:name="_Toc493406966"/>
      <w:r>
        <w:rPr>
          <w:rFonts w:ascii="宋体" w:hAnsi="宋体" w:eastAsia="宋体"/>
          <w:bCs/>
          <w:color w:val="auto"/>
          <w:sz w:val="24"/>
          <w:highlight w:val="none"/>
        </w:rPr>
        <w:t xml:space="preserve">11. </w:t>
      </w:r>
      <w:bookmarkEnd w:id="30"/>
      <w:r>
        <w:rPr>
          <w:rFonts w:hint="eastAsia" w:ascii="宋体" w:hAnsi="宋体" w:eastAsia="宋体"/>
          <w:color w:val="auto"/>
          <w:sz w:val="24"/>
          <w:highlight w:val="none"/>
          <w:lang w:eastAsia="zh-CN"/>
        </w:rPr>
        <w:t>计划实施与验收</w:t>
      </w:r>
    </w:p>
    <w:p w14:paraId="04AB2313">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经审批的计划由承包人严格执行，实施中需建立动态调整机制：若设备突发故障或工况变化，承包人应在及时调整计划，经发包人确认后执行。维护过程须留存影像记录及《设备维护日志》，记录维护时间、具体内容（如清洗部位、更换配件型号）、技术参数变化等。发包人采取“日常抽查 + 周期验收”模式：日常通过巡检记录抽查执行规范性，季度末对照计划逐项验收，验收不合格项需限期整改并纳入履约考核。</w:t>
      </w:r>
    </w:p>
    <w:p w14:paraId="4B9BFBEA">
      <w:pPr>
        <w:spacing w:line="400" w:lineRule="exact"/>
        <w:ind w:firstLine="480" w:firstLineChars="200"/>
        <w:rPr>
          <w:rFonts w:ascii="宋体" w:hAnsi="宋体" w:eastAsia="宋体"/>
          <w:bCs/>
          <w:color w:val="auto"/>
          <w:sz w:val="24"/>
          <w:highlight w:val="none"/>
        </w:rPr>
      </w:pPr>
    </w:p>
    <w:p w14:paraId="252CBFB6">
      <w:pPr>
        <w:spacing w:line="400" w:lineRule="exact"/>
        <w:outlineLvl w:val="2"/>
        <w:rPr>
          <w:rFonts w:ascii="宋体" w:hAnsi="宋体" w:eastAsia="宋体"/>
          <w:bCs/>
          <w:color w:val="auto"/>
          <w:sz w:val="24"/>
          <w:highlight w:val="none"/>
        </w:rPr>
      </w:pPr>
      <w:bookmarkStart w:id="31" w:name="_Toc149721961"/>
      <w:bookmarkStart w:id="32" w:name="_Toc493406967"/>
      <w:r>
        <w:rPr>
          <w:rFonts w:hint="eastAsia" w:ascii="宋体" w:hAnsi="宋体" w:eastAsia="宋体"/>
          <w:bCs/>
          <w:color w:val="auto"/>
          <w:sz w:val="24"/>
          <w:highlight w:val="none"/>
        </w:rPr>
        <w:t>四、质量与检验、履约</w:t>
      </w:r>
      <w:bookmarkEnd w:id="31"/>
      <w:bookmarkEnd w:id="32"/>
    </w:p>
    <w:p w14:paraId="6AB568AE">
      <w:pPr>
        <w:spacing w:line="400" w:lineRule="exact"/>
        <w:ind w:firstLine="480" w:firstLineChars="200"/>
        <w:outlineLvl w:val="3"/>
        <w:rPr>
          <w:rFonts w:ascii="宋体" w:hAnsi="宋体" w:eastAsia="宋体"/>
          <w:bCs/>
          <w:color w:val="auto"/>
          <w:sz w:val="24"/>
          <w:highlight w:val="none"/>
        </w:rPr>
      </w:pPr>
      <w:bookmarkStart w:id="33" w:name="_Toc493406968"/>
      <w:r>
        <w:rPr>
          <w:rFonts w:ascii="宋体" w:hAnsi="宋体" w:eastAsia="宋体"/>
          <w:bCs/>
          <w:color w:val="auto"/>
          <w:sz w:val="24"/>
          <w:highlight w:val="none"/>
        </w:rPr>
        <w:t xml:space="preserve">12. </w:t>
      </w:r>
      <w:r>
        <w:rPr>
          <w:rFonts w:hint="eastAsia" w:ascii="宋体" w:hAnsi="宋体" w:eastAsia="宋体"/>
          <w:bCs/>
          <w:color w:val="auto"/>
          <w:sz w:val="24"/>
          <w:highlight w:val="none"/>
          <w:lang w:eastAsia="zh-CN"/>
        </w:rPr>
        <w:t>运行维护</w:t>
      </w:r>
      <w:r>
        <w:rPr>
          <w:rFonts w:hint="eastAsia" w:ascii="宋体" w:hAnsi="宋体" w:eastAsia="宋体"/>
          <w:bCs/>
          <w:color w:val="auto"/>
          <w:sz w:val="24"/>
          <w:highlight w:val="none"/>
        </w:rPr>
        <w:t>质量</w:t>
      </w:r>
      <w:bookmarkEnd w:id="33"/>
    </w:p>
    <w:p w14:paraId="5A73418A">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12.1</w:t>
      </w:r>
      <w:r>
        <w:rPr>
          <w:rFonts w:hint="eastAsia" w:ascii="宋体" w:hAnsi="宋体" w:eastAsia="宋体"/>
          <w:bCs/>
          <w:color w:val="auto"/>
          <w:sz w:val="24"/>
          <w:highlight w:val="none"/>
        </w:rPr>
        <w:t>质量管理要求</w:t>
      </w:r>
    </w:p>
    <w:p w14:paraId="608D0F39">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12.1.1承包人应根据</w:t>
      </w:r>
      <w:r>
        <w:rPr>
          <w:rFonts w:hint="eastAsia" w:ascii="宋体" w:hAnsi="宋体" w:eastAsia="宋体"/>
          <w:color w:val="auto"/>
          <w:sz w:val="24"/>
          <w:highlight w:val="none"/>
        </w:rPr>
        <w:t>合同条款、发包人要求的有关规定</w:t>
      </w:r>
      <w:r>
        <w:rPr>
          <w:rFonts w:ascii="宋体" w:hAnsi="宋体" w:eastAsia="宋体"/>
          <w:color w:val="auto"/>
          <w:sz w:val="24"/>
          <w:highlight w:val="none"/>
        </w:rPr>
        <w:t>建立质量保证体系，确保对</w:t>
      </w:r>
      <w:r>
        <w:rPr>
          <w:rFonts w:hint="eastAsia" w:ascii="宋体" w:hAnsi="宋体" w:eastAsia="宋体"/>
          <w:color w:val="auto"/>
          <w:sz w:val="24"/>
          <w:highlight w:val="none"/>
        </w:rPr>
        <w:t>各</w:t>
      </w:r>
      <w:r>
        <w:rPr>
          <w:rFonts w:ascii="宋体" w:hAnsi="宋体" w:eastAsia="宋体"/>
          <w:color w:val="auto"/>
          <w:sz w:val="24"/>
          <w:highlight w:val="none"/>
        </w:rPr>
        <w:t>环节进行精细化质量管理，严格采用经评审或审定的各种</w:t>
      </w:r>
      <w:r>
        <w:rPr>
          <w:rFonts w:hint="eastAsia" w:ascii="宋体" w:hAnsi="宋体" w:eastAsia="宋体"/>
          <w:color w:val="auto"/>
          <w:sz w:val="24"/>
          <w:highlight w:val="none"/>
        </w:rPr>
        <w:t>作业</w:t>
      </w:r>
      <w:r>
        <w:rPr>
          <w:rFonts w:ascii="宋体" w:hAnsi="宋体" w:eastAsia="宋体"/>
          <w:color w:val="auto"/>
          <w:sz w:val="24"/>
          <w:highlight w:val="none"/>
        </w:rPr>
        <w:t>方案，并加强对从业管理技术人员</w:t>
      </w:r>
      <w:r>
        <w:rPr>
          <w:rFonts w:hint="eastAsia" w:ascii="宋体" w:hAnsi="宋体" w:eastAsia="宋体"/>
          <w:color w:val="auto"/>
          <w:sz w:val="24"/>
          <w:highlight w:val="none"/>
        </w:rPr>
        <w:t>、作业人员</w:t>
      </w:r>
      <w:r>
        <w:rPr>
          <w:rFonts w:ascii="宋体" w:hAnsi="宋体" w:eastAsia="宋体"/>
          <w:color w:val="auto"/>
          <w:sz w:val="24"/>
          <w:highlight w:val="none"/>
        </w:rPr>
        <w:t>的业务能力和业务素质的培养。</w:t>
      </w:r>
      <w:r>
        <w:rPr>
          <w:rFonts w:hint="eastAsia" w:ascii="宋体" w:hAnsi="宋体" w:eastAsia="宋体"/>
          <w:color w:val="auto"/>
          <w:sz w:val="24"/>
          <w:highlight w:val="none"/>
        </w:rPr>
        <w:t>发包人</w:t>
      </w:r>
      <w:r>
        <w:rPr>
          <w:rFonts w:ascii="宋体" w:hAnsi="宋体" w:eastAsia="宋体"/>
          <w:color w:val="auto"/>
          <w:sz w:val="24"/>
          <w:highlight w:val="none"/>
        </w:rPr>
        <w:t>有权对</w:t>
      </w:r>
      <w:r>
        <w:rPr>
          <w:rFonts w:hint="eastAsia" w:ascii="宋体" w:hAnsi="宋体"/>
          <w:color w:val="auto"/>
          <w:sz w:val="24"/>
          <w:highlight w:val="none"/>
          <w:lang w:val="en-US" w:eastAsia="zh-CN"/>
        </w:rPr>
        <w:t>质量</w:t>
      </w:r>
      <w:r>
        <w:rPr>
          <w:rFonts w:ascii="宋体" w:hAnsi="宋体" w:eastAsia="宋体"/>
          <w:color w:val="auto"/>
          <w:sz w:val="24"/>
          <w:highlight w:val="none"/>
        </w:rPr>
        <w:t>体系进行</w:t>
      </w:r>
      <w:r>
        <w:rPr>
          <w:rFonts w:hint="eastAsia" w:ascii="宋体" w:hAnsi="宋体" w:eastAsia="宋体"/>
          <w:color w:val="auto"/>
          <w:sz w:val="24"/>
          <w:highlight w:val="none"/>
        </w:rPr>
        <w:t>全面</w:t>
      </w:r>
      <w:r>
        <w:rPr>
          <w:rFonts w:ascii="宋体" w:hAnsi="宋体" w:eastAsia="宋体"/>
          <w:color w:val="auto"/>
          <w:sz w:val="24"/>
          <w:highlight w:val="none"/>
        </w:rPr>
        <w:t>审查。</w:t>
      </w:r>
    </w:p>
    <w:p w14:paraId="38495504">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12.1.2 </w:t>
      </w:r>
      <w:r>
        <w:rPr>
          <w:rFonts w:hint="eastAsia" w:ascii="宋体" w:hAnsi="宋体" w:eastAsia="宋体"/>
          <w:color w:val="auto"/>
          <w:spacing w:val="-4"/>
          <w:sz w:val="24"/>
          <w:highlight w:val="none"/>
          <w:lang w:eastAsia="zh-CN"/>
        </w:rPr>
        <w:t>本项目运行维护</w:t>
      </w:r>
      <w:r>
        <w:rPr>
          <w:rFonts w:hint="eastAsia" w:ascii="宋体" w:hAnsi="宋体" w:eastAsia="宋体"/>
          <w:color w:val="auto"/>
          <w:spacing w:val="-4"/>
          <w:sz w:val="24"/>
          <w:highlight w:val="none"/>
        </w:rPr>
        <w:t>质量管理要求详见</w:t>
      </w:r>
      <w:r>
        <w:rPr>
          <w:rFonts w:hint="eastAsia" w:ascii="宋体" w:hAnsi="宋体" w:eastAsia="宋体"/>
          <w:color w:val="auto"/>
          <w:sz w:val="24"/>
          <w:highlight w:val="none"/>
          <w:lang w:val="en-US" w:eastAsia="zh-CN"/>
        </w:rPr>
        <w:t>《南沙区水利设施运行维护手册》</w:t>
      </w:r>
      <w:r>
        <w:rPr>
          <w:rFonts w:hint="eastAsia" w:ascii="宋体" w:hAnsi="宋体" w:eastAsia="宋体"/>
          <w:color w:val="auto"/>
          <w:spacing w:val="-4"/>
          <w:sz w:val="24"/>
          <w:highlight w:val="none"/>
        </w:rPr>
        <w:t>。</w:t>
      </w:r>
      <w:r>
        <w:rPr>
          <w:rFonts w:ascii="宋体" w:hAnsi="宋体" w:eastAsia="宋体"/>
          <w:color w:val="auto"/>
          <w:sz w:val="24"/>
          <w:highlight w:val="none"/>
        </w:rPr>
        <w:t>质量验收按</w:t>
      </w:r>
      <w:r>
        <w:rPr>
          <w:rFonts w:hint="eastAsia" w:ascii="宋体" w:hAnsi="宋体" w:eastAsia="宋体"/>
          <w:color w:val="auto"/>
          <w:sz w:val="24"/>
          <w:highlight w:val="none"/>
        </w:rPr>
        <w:t>发包人</w:t>
      </w:r>
      <w:r>
        <w:rPr>
          <w:rFonts w:ascii="宋体" w:hAnsi="宋体" w:eastAsia="宋体"/>
          <w:color w:val="auto"/>
          <w:sz w:val="24"/>
          <w:highlight w:val="none"/>
        </w:rPr>
        <w:t>要求、相关法律法规及有关技术规范执行。</w:t>
      </w:r>
    </w:p>
    <w:p w14:paraId="1EBDDB78">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12.2 </w:t>
      </w:r>
      <w:r>
        <w:rPr>
          <w:rFonts w:hint="eastAsia" w:ascii="宋体" w:hAnsi="宋体" w:eastAsia="宋体"/>
          <w:bCs/>
          <w:color w:val="auto"/>
          <w:sz w:val="24"/>
          <w:highlight w:val="none"/>
        </w:rPr>
        <w:t>质量缺陷的处理</w:t>
      </w:r>
    </w:p>
    <w:p w14:paraId="4A2E1097">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或工作质量达不到规定标准的部分，发包人代表有权要求承包人拆除、返工或重新实施，并要求其对工作质量作出切实有效的改进和提高，直到符合规定标准为止。工程或工作质量的缺陷或瑕疵，除了按照有关考核评定制度和办法进行评定和课以违约金之外，所发生的拆除和重新实施的费用均由承包人承担。</w:t>
      </w:r>
    </w:p>
    <w:p w14:paraId="2555DCCE">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12.3</w:t>
      </w:r>
      <w:r>
        <w:rPr>
          <w:rFonts w:hint="eastAsia" w:ascii="宋体" w:hAnsi="宋体" w:eastAsia="宋体"/>
          <w:bCs/>
          <w:color w:val="auto"/>
          <w:sz w:val="24"/>
          <w:highlight w:val="none"/>
        </w:rPr>
        <w:t>质量争议</w:t>
      </w:r>
    </w:p>
    <w:p w14:paraId="42F2BA17">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双方对</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质量有争议，由双方同意的</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质量检测机构鉴定，所需费用及因此造成的损失，由责任方承担。双方均有责任，由双方根据其责任分别承担。</w:t>
      </w:r>
    </w:p>
    <w:p w14:paraId="651B1EBB">
      <w:pPr>
        <w:spacing w:line="400" w:lineRule="exact"/>
        <w:ind w:firstLine="480" w:firstLineChars="200"/>
        <w:outlineLvl w:val="3"/>
        <w:rPr>
          <w:rFonts w:ascii="宋体" w:hAnsi="宋体" w:eastAsia="宋体"/>
          <w:bCs/>
          <w:color w:val="auto"/>
          <w:sz w:val="24"/>
          <w:highlight w:val="none"/>
        </w:rPr>
      </w:pPr>
      <w:bookmarkStart w:id="34" w:name="_Toc493406969"/>
      <w:r>
        <w:rPr>
          <w:rFonts w:ascii="宋体" w:hAnsi="宋体" w:eastAsia="宋体"/>
          <w:bCs/>
          <w:color w:val="auto"/>
          <w:sz w:val="24"/>
          <w:highlight w:val="none"/>
        </w:rPr>
        <w:t xml:space="preserve">13. </w:t>
      </w:r>
      <w:bookmarkEnd w:id="34"/>
      <w:r>
        <w:rPr>
          <w:rFonts w:hint="eastAsia" w:ascii="宋体" w:hAnsi="宋体" w:eastAsia="宋体"/>
          <w:bCs/>
          <w:color w:val="auto"/>
          <w:sz w:val="24"/>
          <w:highlight w:val="none"/>
        </w:rPr>
        <w:t>履约评价</w:t>
      </w:r>
    </w:p>
    <w:p w14:paraId="24B2042A">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13.1</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lang w:val="en-US" w:eastAsia="zh-CN"/>
        </w:rPr>
        <w:t>评价考核办法</w:t>
      </w:r>
    </w:p>
    <w:p w14:paraId="00DC0472">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发包人将在合同执行过程中，对承包人进行信誉评价，具体评价考核办法（含考核指标、评分标准、档次划分规则等）由发包人在本合同生效后另行发布。考核周期分为</w:t>
      </w:r>
      <w:r>
        <w:rPr>
          <w:rFonts w:hint="eastAsia" w:ascii="宋体" w:hAnsi="宋体"/>
          <w:color w:val="auto"/>
          <w:sz w:val="24"/>
          <w:highlight w:val="none"/>
          <w:lang w:val="en-US" w:eastAsia="zh-CN"/>
        </w:rPr>
        <w:t>月度检查</w:t>
      </w:r>
      <w:r>
        <w:rPr>
          <w:rFonts w:hint="eastAsia" w:ascii="宋体" w:hAnsi="宋体" w:eastAsia="宋体"/>
          <w:color w:val="auto"/>
          <w:sz w:val="24"/>
          <w:highlight w:val="none"/>
          <w:lang w:val="en-US" w:eastAsia="zh-CN"/>
        </w:rPr>
        <w:t>、季度考核</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年度</w:t>
      </w:r>
      <w:r>
        <w:rPr>
          <w:rFonts w:hint="eastAsia" w:ascii="宋体" w:hAnsi="宋体"/>
          <w:color w:val="auto"/>
          <w:sz w:val="24"/>
          <w:highlight w:val="none"/>
          <w:lang w:val="en-US" w:eastAsia="zh-CN"/>
        </w:rPr>
        <w:t>考核及合同期满</w:t>
      </w:r>
      <w:r>
        <w:rPr>
          <w:rFonts w:hint="eastAsia" w:ascii="宋体" w:hAnsi="宋体" w:eastAsia="宋体"/>
          <w:color w:val="auto"/>
          <w:sz w:val="24"/>
          <w:highlight w:val="none"/>
          <w:lang w:val="en-US" w:eastAsia="zh-CN"/>
        </w:rPr>
        <w:t>考核，考核结果作为进度款支付及合同履行管理的依据。</w:t>
      </w:r>
    </w:p>
    <w:p w14:paraId="6E093D7A">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13.2 评价结果运用</w:t>
      </w:r>
    </w:p>
    <w:p w14:paraId="6B6299E2">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（1）季度</w:t>
      </w:r>
      <w:r>
        <w:rPr>
          <w:rFonts w:hint="default" w:ascii="宋体" w:hAnsi="宋体"/>
          <w:color w:val="auto"/>
          <w:sz w:val="24"/>
          <w:highlight w:val="none"/>
          <w:lang w:eastAsia="zh-CN"/>
        </w:rPr>
        <w:t>水利设施维修管养费、</w:t>
      </w:r>
      <w:r>
        <w:rPr>
          <w:rFonts w:hint="eastAsia" w:ascii="宋体" w:hAnsi="宋体"/>
          <w:color w:val="auto"/>
          <w:sz w:val="24"/>
          <w:highlight w:val="none"/>
          <w:lang w:val="en-US" w:eastAsia="zh-Hans"/>
        </w:rPr>
        <w:t>运行管理人员费</w:t>
      </w:r>
      <w:r>
        <w:rPr>
          <w:rFonts w:hint="default" w:ascii="宋体" w:hAnsi="宋体"/>
          <w:color w:val="auto"/>
          <w:sz w:val="24"/>
          <w:highlight w:val="none"/>
          <w:lang w:eastAsia="zh-Hans"/>
        </w:rPr>
        <w:t>、安保人员费、维修保洁费</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根据季度考核得分</w:t>
      </w:r>
      <w:r>
        <w:rPr>
          <w:rFonts w:hint="eastAsia" w:ascii="宋体" w:hAnsi="宋体"/>
          <w:color w:val="auto"/>
          <w:sz w:val="24"/>
          <w:highlight w:val="none"/>
          <w:lang w:val="en-US" w:eastAsia="zh-CN"/>
        </w:rPr>
        <w:t>进行调整</w:t>
      </w:r>
      <w:r>
        <w:rPr>
          <w:rFonts w:hint="eastAsia" w:ascii="宋体" w:hAnsi="宋体" w:eastAsia="宋体"/>
          <w:color w:val="auto"/>
          <w:sz w:val="24"/>
          <w:highlight w:val="none"/>
          <w:lang w:val="en-US" w:eastAsia="zh-CN"/>
        </w:rPr>
        <w:t>，按以下规则执行支付比例</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具体见发包人发布的考核</w:t>
      </w:r>
      <w:r>
        <w:rPr>
          <w:rFonts w:hint="eastAsia" w:ascii="宋体" w:hAnsi="宋体"/>
          <w:color w:val="auto"/>
          <w:sz w:val="24"/>
          <w:highlight w:val="none"/>
          <w:lang w:val="en-US" w:eastAsia="zh-CN"/>
        </w:rPr>
        <w:t>办法</w:t>
      </w:r>
      <w:r>
        <w:rPr>
          <w:rFonts w:hint="eastAsia" w:ascii="宋体" w:hAnsi="宋体" w:eastAsia="宋体"/>
          <w:color w:val="auto"/>
          <w:sz w:val="24"/>
          <w:highlight w:val="none"/>
          <w:lang w:val="en-US" w:eastAsia="zh-CN"/>
        </w:rPr>
        <w:t>：</w:t>
      </w:r>
    </w:p>
    <w:p w14:paraId="463597E8">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考核得分</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80 分：该季度</w:t>
      </w:r>
      <w:r>
        <w:rPr>
          <w:rFonts w:hint="default" w:ascii="宋体" w:hAnsi="宋体"/>
          <w:color w:val="auto"/>
          <w:sz w:val="24"/>
          <w:highlight w:val="none"/>
          <w:lang w:eastAsia="zh-CN"/>
        </w:rPr>
        <w:t>水利设施维修管养费、</w:t>
      </w:r>
      <w:r>
        <w:rPr>
          <w:rFonts w:hint="eastAsia" w:ascii="宋体" w:hAnsi="宋体"/>
          <w:color w:val="auto"/>
          <w:sz w:val="24"/>
          <w:highlight w:val="none"/>
          <w:lang w:val="en-US" w:eastAsia="zh-Hans"/>
        </w:rPr>
        <w:t>运行管理人员费</w:t>
      </w:r>
      <w:r>
        <w:rPr>
          <w:rFonts w:hint="default" w:ascii="宋体" w:hAnsi="宋体"/>
          <w:color w:val="auto"/>
          <w:sz w:val="24"/>
          <w:highlight w:val="none"/>
          <w:lang w:eastAsia="zh-Hans"/>
        </w:rPr>
        <w:t>、安保人员费、维修保洁费</w:t>
      </w:r>
      <w:r>
        <w:rPr>
          <w:rFonts w:hint="eastAsia" w:ascii="宋体" w:hAnsi="宋体" w:eastAsia="宋体"/>
          <w:color w:val="auto"/>
          <w:sz w:val="24"/>
          <w:highlight w:val="none"/>
          <w:lang w:val="en-US" w:eastAsia="zh-CN"/>
        </w:rPr>
        <w:t>全额支付（即支付当期应付款的 100%）；</w:t>
      </w:r>
    </w:p>
    <w:p w14:paraId="271F77F0">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70 分</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考核得分</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80 分：发包人根据考核具体情况，在 0%~5% 区间内确定该季度</w:t>
      </w:r>
      <w:r>
        <w:rPr>
          <w:rFonts w:hint="default" w:ascii="宋体" w:hAnsi="宋体"/>
          <w:color w:val="auto"/>
          <w:sz w:val="24"/>
          <w:highlight w:val="none"/>
          <w:lang w:eastAsia="zh-CN"/>
        </w:rPr>
        <w:t>水利设施维修管养费、</w:t>
      </w:r>
      <w:r>
        <w:rPr>
          <w:rFonts w:hint="eastAsia" w:ascii="宋体" w:hAnsi="宋体"/>
          <w:color w:val="auto"/>
          <w:sz w:val="24"/>
          <w:highlight w:val="none"/>
          <w:lang w:val="en-US" w:eastAsia="zh-Hans"/>
        </w:rPr>
        <w:t>运行管理人员费</w:t>
      </w:r>
      <w:r>
        <w:rPr>
          <w:rFonts w:hint="default" w:ascii="宋体" w:hAnsi="宋体"/>
          <w:color w:val="auto"/>
          <w:sz w:val="24"/>
          <w:highlight w:val="none"/>
          <w:lang w:eastAsia="zh-Hans"/>
        </w:rPr>
        <w:t>、安保人员费、维修保洁费</w:t>
      </w:r>
      <w:r>
        <w:rPr>
          <w:rFonts w:hint="eastAsia" w:ascii="宋体" w:hAnsi="宋体" w:eastAsia="宋体"/>
          <w:color w:val="auto"/>
          <w:sz w:val="24"/>
          <w:highlight w:val="none"/>
          <w:lang w:val="en-US" w:eastAsia="zh-CN"/>
        </w:rPr>
        <w:t>的扣减比例（扣减比例由发包人依据考核办法中的细化标准确定，并书面通知承包人）；</w:t>
      </w:r>
    </w:p>
    <w:p w14:paraId="730258EC">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60 分</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考核得分</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70 分：发包人根据考核具体情况，在 5%~10% 区间内确定该季度</w:t>
      </w:r>
      <w:r>
        <w:rPr>
          <w:rFonts w:hint="default" w:ascii="宋体" w:hAnsi="宋体"/>
          <w:color w:val="auto"/>
          <w:sz w:val="24"/>
          <w:highlight w:val="none"/>
          <w:lang w:eastAsia="zh-CN"/>
        </w:rPr>
        <w:t>水利设施维修管养费、</w:t>
      </w:r>
      <w:r>
        <w:rPr>
          <w:rFonts w:hint="eastAsia" w:ascii="宋体" w:hAnsi="宋体"/>
          <w:color w:val="auto"/>
          <w:sz w:val="24"/>
          <w:highlight w:val="none"/>
          <w:lang w:val="en-US" w:eastAsia="zh-Hans"/>
        </w:rPr>
        <w:t>运行管理人员费</w:t>
      </w:r>
      <w:r>
        <w:rPr>
          <w:rFonts w:hint="default" w:ascii="宋体" w:hAnsi="宋体"/>
          <w:color w:val="auto"/>
          <w:sz w:val="24"/>
          <w:highlight w:val="none"/>
          <w:lang w:eastAsia="zh-Hans"/>
        </w:rPr>
        <w:t>、安保人员费、维修保洁费</w:t>
      </w:r>
      <w:r>
        <w:rPr>
          <w:rFonts w:hint="eastAsia" w:ascii="宋体" w:hAnsi="宋体" w:eastAsia="宋体"/>
          <w:color w:val="auto"/>
          <w:sz w:val="24"/>
          <w:highlight w:val="none"/>
          <w:lang w:val="en-US" w:eastAsia="zh-CN"/>
        </w:rPr>
        <w:t>的扣减比例（扣减规则同上）；</w:t>
      </w:r>
    </w:p>
    <w:p w14:paraId="1A523C19">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考核得分</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60 分：该季度</w:t>
      </w:r>
      <w:r>
        <w:rPr>
          <w:rFonts w:hint="default" w:ascii="宋体" w:hAnsi="宋体"/>
          <w:color w:val="auto"/>
          <w:sz w:val="24"/>
          <w:highlight w:val="none"/>
          <w:lang w:eastAsia="zh-CN"/>
        </w:rPr>
        <w:t>水利设施维修管养费、</w:t>
      </w:r>
      <w:r>
        <w:rPr>
          <w:rFonts w:hint="eastAsia" w:ascii="宋体" w:hAnsi="宋体"/>
          <w:color w:val="auto"/>
          <w:sz w:val="24"/>
          <w:highlight w:val="none"/>
          <w:lang w:val="en-US" w:eastAsia="zh-Hans"/>
        </w:rPr>
        <w:t>运行管理人员费</w:t>
      </w:r>
      <w:r>
        <w:rPr>
          <w:rFonts w:hint="default" w:ascii="宋体" w:hAnsi="宋体"/>
          <w:color w:val="auto"/>
          <w:sz w:val="24"/>
          <w:highlight w:val="none"/>
          <w:lang w:eastAsia="zh-Hans"/>
        </w:rPr>
        <w:t>、安保人员费、维修保洁费</w:t>
      </w:r>
      <w:r>
        <w:rPr>
          <w:rFonts w:hint="eastAsia" w:ascii="宋体" w:hAnsi="宋体" w:eastAsia="宋体"/>
          <w:color w:val="auto"/>
          <w:sz w:val="24"/>
          <w:highlight w:val="none"/>
          <w:lang w:val="en-US" w:eastAsia="zh-CN"/>
        </w:rPr>
        <w:t>统一扣减 20%。</w:t>
      </w:r>
    </w:p>
    <w:p w14:paraId="7CE56443">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上述扣减费用将从当季应付进度款中直接抵扣。</w:t>
      </w:r>
    </w:p>
    <w:p w14:paraId="79966F23">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（2）整改与复核</w:t>
      </w:r>
    </w:p>
    <w:p w14:paraId="5531667E">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承包人对季度考核结果有异议的，应在收到考核结果通知后 </w:t>
      </w:r>
      <w:r>
        <w:rPr>
          <w:rFonts w:hint="eastAsia" w:ascii="宋体" w:hAnsi="宋体"/>
          <w:color w:val="auto"/>
          <w:sz w:val="24"/>
          <w:highlight w:val="none"/>
          <w:lang w:val="en-US" w:eastAsia="zh-CN"/>
        </w:rPr>
        <w:t>5</w:t>
      </w:r>
      <w:r>
        <w:rPr>
          <w:rFonts w:hint="eastAsia" w:ascii="宋体" w:hAnsi="宋体" w:eastAsia="宋体"/>
          <w:color w:val="auto"/>
          <w:sz w:val="24"/>
          <w:highlight w:val="none"/>
          <w:lang w:val="en-US" w:eastAsia="zh-CN"/>
        </w:rPr>
        <w:t xml:space="preserve">个工作日内以书面形式向发包人提出复核申请，发包人在收到申请后 </w:t>
      </w:r>
      <w:r>
        <w:rPr>
          <w:rFonts w:hint="eastAsia" w:ascii="宋体" w:hAnsi="宋体"/>
          <w:color w:val="auto"/>
          <w:sz w:val="24"/>
          <w:highlight w:val="none"/>
          <w:lang w:val="en-US" w:eastAsia="zh-CN"/>
        </w:rPr>
        <w:t>10</w:t>
      </w:r>
      <w:r>
        <w:rPr>
          <w:rFonts w:hint="eastAsia" w:ascii="宋体" w:hAnsi="宋体" w:eastAsia="宋体"/>
          <w:color w:val="auto"/>
          <w:sz w:val="24"/>
          <w:highlight w:val="none"/>
          <w:lang w:val="en-US" w:eastAsia="zh-CN"/>
        </w:rPr>
        <w:t>个工作日内复核，复核结果为最终考核结果。</w:t>
      </w:r>
    </w:p>
    <w:p w14:paraId="6B7FF6DB">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若考核得分</w:t>
      </w:r>
      <w:r>
        <w:rPr>
          <w:rFonts w:hint="eastAsia" w:ascii="宋体" w:hAnsi="宋体"/>
          <w:color w:val="auto"/>
          <w:sz w:val="24"/>
          <w:highlight w:val="none"/>
          <w:lang w:val="en-US" w:eastAsia="zh-CN"/>
        </w:rPr>
        <w:t>＜</w:t>
      </w:r>
      <w:r>
        <w:rPr>
          <w:rFonts w:hint="eastAsia" w:ascii="宋体" w:hAnsi="宋体" w:eastAsia="宋体"/>
          <w:color w:val="auto"/>
          <w:sz w:val="24"/>
          <w:highlight w:val="none"/>
          <w:lang w:val="en-US" w:eastAsia="zh-CN"/>
        </w:rPr>
        <w:t>70 分，承包人应在收到结果后</w:t>
      </w:r>
      <w:r>
        <w:rPr>
          <w:rFonts w:hint="eastAsia" w:ascii="宋体" w:hAnsi="宋体"/>
          <w:color w:val="auto"/>
          <w:sz w:val="24"/>
          <w:highlight w:val="none"/>
          <w:lang w:val="en-US" w:eastAsia="zh-CN"/>
        </w:rPr>
        <w:t>5</w:t>
      </w:r>
      <w:r>
        <w:rPr>
          <w:rFonts w:hint="eastAsia" w:ascii="宋体" w:hAnsi="宋体" w:eastAsia="宋体"/>
          <w:color w:val="auto"/>
          <w:sz w:val="24"/>
          <w:highlight w:val="none"/>
          <w:lang w:val="en-US" w:eastAsia="zh-CN"/>
        </w:rPr>
        <w:t>个工作日内提交整改方案并落实整改，整改完成后可申请复查，复查合格的，不影响后续季度支付，但已扣减的当季费用不予退还。</w:t>
      </w:r>
    </w:p>
    <w:p w14:paraId="11EF5951">
      <w:pPr>
        <w:spacing w:line="400" w:lineRule="exact"/>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连续两个季度</w:t>
      </w:r>
      <w:r>
        <w:rPr>
          <w:rFonts w:hint="eastAsia" w:ascii="宋体" w:hAnsi="宋体"/>
          <w:color w:val="auto"/>
          <w:sz w:val="24"/>
          <w:highlight w:val="none"/>
          <w:lang w:val="en-US" w:eastAsia="zh-CN"/>
        </w:rPr>
        <w:t>存在</w:t>
      </w:r>
      <w:r>
        <w:rPr>
          <w:rFonts w:hint="eastAsia" w:ascii="宋体" w:hAnsi="宋体" w:eastAsia="宋体"/>
          <w:color w:val="auto"/>
          <w:sz w:val="24"/>
          <w:highlight w:val="none"/>
          <w:lang w:val="en-US" w:eastAsia="zh-CN"/>
        </w:rPr>
        <w:t>考核得分＜60 分的，发包人有权依据本合同条款第 24.2 款认定承包人违约，采取包括但不限于扣减履约担保、限制分包权限、调整承包范围、清退出场等措施。</w:t>
      </w:r>
    </w:p>
    <w:p w14:paraId="3AEEA88A">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（3）调整承包范围的具体措施：</w:t>
      </w:r>
    </w:p>
    <w:p w14:paraId="40E49C88">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①</w:t>
      </w:r>
      <w:r>
        <w:rPr>
          <w:rFonts w:hint="eastAsia" w:ascii="宋体" w:hAnsi="宋体" w:eastAsia="宋体"/>
          <w:color w:val="auto"/>
          <w:sz w:val="24"/>
          <w:highlight w:val="none"/>
          <w:lang w:val="en-US" w:eastAsia="zh-CN"/>
        </w:rPr>
        <w:t>当任一标段承包人连续两个季度考核得分＜60 分，发包人有权依据本合同条款第 24.2 款认定其违约，并启动承包范围调整程序，将该标段</w:t>
      </w:r>
      <w:r>
        <w:rPr>
          <w:rFonts w:hint="eastAsia" w:ascii="宋体" w:hAnsi="宋体"/>
          <w:color w:val="auto"/>
          <w:sz w:val="24"/>
          <w:highlight w:val="none"/>
          <w:lang w:val="en-US" w:eastAsia="zh-CN"/>
        </w:rPr>
        <w:t>部分</w:t>
      </w:r>
      <w:r>
        <w:rPr>
          <w:rFonts w:hint="eastAsia" w:ascii="宋体" w:hAnsi="宋体" w:eastAsia="宋体"/>
          <w:color w:val="auto"/>
          <w:sz w:val="24"/>
          <w:highlight w:val="none"/>
          <w:lang w:val="en-US" w:eastAsia="zh-CN"/>
        </w:rPr>
        <w:t>承包内容（具体范围由发包人根据工程实际需求确定）临时调整至另一标段承包人代管。</w:t>
      </w:r>
    </w:p>
    <w:p w14:paraId="33AE7894">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发包人应在认定违约后 7 个工作日内，向违约标段承包人出具《承包范围调整通知书》，明确调整的具体工作内容、边界划分、交接期限（自通知书发出之日起 15 个工作日内完成）及代管期限（暂定为下一季度，可根据违约标段整改情况延长或提前终止）；</w:t>
      </w:r>
    </w:p>
    <w:p w14:paraId="39670F81">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②</w:t>
      </w:r>
      <w:r>
        <w:rPr>
          <w:rFonts w:hint="eastAsia" w:ascii="宋体" w:hAnsi="宋体" w:eastAsia="宋体"/>
          <w:color w:val="auto"/>
          <w:sz w:val="24"/>
          <w:highlight w:val="none"/>
          <w:lang w:val="en-US" w:eastAsia="zh-CN"/>
        </w:rPr>
        <w:t>另一标段承包人应在收到发包人书面指令后 3 个工作日内确认承接，不得无故拒绝。代管期间产生的额外成本（如人员增派、设备调配等）由违约标段承包人承担，具体金额由发包人根据《已标价工程量清单》及实际工作量核算，从违约标段当期或下期进度款中直接扣付至代管标段；</w:t>
      </w:r>
    </w:p>
    <w:p w14:paraId="5B3AABEB">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③</w:t>
      </w:r>
      <w:r>
        <w:rPr>
          <w:rFonts w:hint="eastAsia" w:ascii="宋体" w:hAnsi="宋体" w:eastAsia="宋体"/>
          <w:color w:val="auto"/>
          <w:sz w:val="24"/>
          <w:highlight w:val="none"/>
          <w:lang w:val="en-US" w:eastAsia="zh-CN"/>
        </w:rPr>
        <w:t>违约标段承包人须配合代管标段完成资料移交（包括维护日志、设备台账、隐患记录等）及现场交接，并对移交资料的完整性、准确性负责，逾期未完成交接导致工作延误的，按本合同第 24.2 款及附件 2《违约金标准一览表》追加违约金（1 万元 / 天）。</w:t>
      </w:r>
    </w:p>
    <w:p w14:paraId="527BDD2F">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④</w:t>
      </w:r>
      <w:r>
        <w:rPr>
          <w:rFonts w:hint="eastAsia" w:ascii="宋体" w:hAnsi="宋体" w:eastAsia="宋体"/>
          <w:color w:val="auto"/>
          <w:sz w:val="24"/>
          <w:highlight w:val="none"/>
          <w:lang w:val="en-US" w:eastAsia="zh-CN"/>
        </w:rPr>
        <w:t>若违约标段在下一季度考核得分均≥70 分，发包人可书面通知终止代管，承包范围恢复至原状态，由原承包人承接；若仍存在＜60 分的，发包人有权延长代管期限或直接启动清退出场程序。</w:t>
      </w:r>
    </w:p>
    <w:p w14:paraId="5DAFC4DA">
      <w:pPr>
        <w:spacing w:line="40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eastAsia="宋体"/>
          <w:color w:val="auto"/>
          <w:sz w:val="24"/>
          <w:highlight w:val="none"/>
          <w:lang w:val="en-US" w:eastAsia="zh-CN"/>
        </w:rPr>
        <w:t>清退出场及临时接管（适用于清退出场的情形）</w:t>
      </w:r>
      <w:r>
        <w:rPr>
          <w:rFonts w:hint="eastAsia" w:ascii="宋体" w:hAnsi="宋体"/>
          <w:color w:val="auto"/>
          <w:sz w:val="24"/>
          <w:highlight w:val="none"/>
          <w:lang w:val="en-US" w:eastAsia="zh-CN"/>
        </w:rPr>
        <w:t>的具体措施：</w:t>
      </w:r>
    </w:p>
    <w:p w14:paraId="4EB48660">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①</w:t>
      </w:r>
      <w:r>
        <w:rPr>
          <w:rFonts w:hint="eastAsia" w:ascii="宋体" w:hAnsi="宋体" w:eastAsia="宋体"/>
          <w:color w:val="auto"/>
          <w:sz w:val="24"/>
          <w:highlight w:val="none"/>
          <w:lang w:val="en-US" w:eastAsia="zh-CN"/>
        </w:rPr>
        <w:t>若违约标段承包人因连续两季度考核得分＜60 分被发包人认定为严重违约并清退出场，发包人应在发出《清退出场通知书》中明确：</w:t>
      </w:r>
    </w:p>
    <w:p w14:paraId="295C8B34">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退场期限：自通知书发出之日起 30 个工作日内完成全部退场工作；</w:t>
      </w:r>
    </w:p>
    <w:p w14:paraId="5D668057">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交接范围：包括但不限于全部维护资料（纸质版 4 套 + 电子版）、现场工具设备、未用完的材料、已完成工作的验收记录等；</w:t>
      </w:r>
    </w:p>
    <w:p w14:paraId="151ADB1F">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责任追溯：清退出场不免除承包人在合同履行期间的质量缺陷责任及违约责任，发包人仍可依据本合同第 24.2 款及附件 2 追究其违约金及赔偿责任。</w:t>
      </w:r>
    </w:p>
    <w:p w14:paraId="22612DD0">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②</w:t>
      </w:r>
      <w:r>
        <w:rPr>
          <w:rFonts w:hint="eastAsia" w:ascii="宋体" w:hAnsi="宋体" w:eastAsia="宋体"/>
          <w:color w:val="auto"/>
          <w:sz w:val="24"/>
          <w:highlight w:val="none"/>
          <w:lang w:val="en-US" w:eastAsia="zh-CN"/>
        </w:rPr>
        <w:t>临时接管安排</w:t>
      </w:r>
    </w:p>
    <w:p w14:paraId="417779B7">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另一标段承包人作为临时接管方，应在违约标段退场期限届满前 7 个工作日进场，全面接管原违约标段的全部承包内容，包括防洪调度、应急抢修等核心业务，确保水利设施运行连续性；</w:t>
      </w:r>
    </w:p>
    <w:p w14:paraId="6951F03A">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接管期间的费用计算方式：</w:t>
      </w:r>
    </w:p>
    <w:p w14:paraId="0D4856ED">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接管期限暂定为 </w:t>
      </w:r>
      <w:r>
        <w:rPr>
          <w:rFonts w:hint="eastAsia" w:ascii="宋体" w:hAnsi="宋体"/>
          <w:color w:val="auto"/>
          <w:sz w:val="24"/>
          <w:highlight w:val="none"/>
          <w:lang w:val="en-US" w:eastAsia="zh-CN"/>
        </w:rPr>
        <w:t>3</w:t>
      </w:r>
      <w:r>
        <w:rPr>
          <w:rFonts w:hint="eastAsia" w:ascii="宋体" w:hAnsi="宋体" w:eastAsia="宋体"/>
          <w:color w:val="auto"/>
          <w:sz w:val="24"/>
          <w:highlight w:val="none"/>
          <w:lang w:val="en-US" w:eastAsia="zh-CN"/>
        </w:rPr>
        <w:t xml:space="preserve"> 个月（自完成接管之日起算），如需延长，由发包人根据重新招标结果另行通知；</w:t>
      </w:r>
    </w:p>
    <w:p w14:paraId="3E7181A2">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费用按原违约标段《已标价工程量清单》的 90% 核算（扣除原承包人已完成部分），由发包人从原违约标段的履约担保或未支付工程款中优先支付，不足部分由原承包人补足；</w:t>
      </w:r>
    </w:p>
    <w:p w14:paraId="2EA39052">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接管方的责任：需按本合同约定的质量标准及运行要求开展工作，接管期间发生的质量问题或安全事故，由接管方承担主要责任（因原承包人遗留问题导致的除外，需由双方书面确认责任边界）。</w:t>
      </w:r>
    </w:p>
    <w:p w14:paraId="66F0F946">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（5）</w:t>
      </w:r>
      <w:r>
        <w:rPr>
          <w:rFonts w:hint="eastAsia" w:ascii="宋体" w:hAnsi="宋体" w:eastAsia="宋体"/>
          <w:color w:val="auto"/>
          <w:sz w:val="24"/>
          <w:highlight w:val="none"/>
          <w:lang w:val="en-US" w:eastAsia="zh-CN"/>
        </w:rPr>
        <w:t>后续衔接</w:t>
      </w:r>
    </w:p>
    <w:p w14:paraId="75D39FC3">
      <w:pPr>
        <w:spacing w:line="400" w:lineRule="exact"/>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临时接管期间，发包人应启动重新招标程序，确定新承包人。新承包人进场后，临时接管方应在发包人监督下与新承包人完成交接，交接费用由原违约标段承包人承担。</w:t>
      </w:r>
    </w:p>
    <w:p w14:paraId="0B20FF6A">
      <w:pPr>
        <w:spacing w:line="40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13.</w:t>
      </w:r>
      <w:r>
        <w:rPr>
          <w:rFonts w:hint="eastAsia" w:ascii="宋体" w:hAnsi="宋体"/>
          <w:color w:val="auto"/>
          <w:sz w:val="24"/>
          <w:highlight w:val="none"/>
          <w:lang w:val="en-US" w:eastAsia="zh-CN"/>
        </w:rPr>
        <w:t>3</w:t>
      </w:r>
      <w:r>
        <w:rPr>
          <w:rFonts w:hint="eastAsia" w:ascii="宋体" w:hAnsi="宋体" w:eastAsia="宋体"/>
          <w:color w:val="auto"/>
          <w:sz w:val="24"/>
          <w:highlight w:val="none"/>
          <w:lang w:val="en-US" w:eastAsia="zh-CN"/>
        </w:rPr>
        <w:t xml:space="preserve"> 承包人的配合</w:t>
      </w:r>
    </w:p>
    <w:p w14:paraId="31D6C161">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承包人应遵照发包人制定的考核制度和办法，在项目部制定与之配套的内部考核制度，在内业和外业各个方面有效配合发包人或行业主管部门的考核或检查，发包人及其委派的</w:t>
      </w:r>
      <w:r>
        <w:rPr>
          <w:rFonts w:hint="eastAsia" w:ascii="宋体" w:hAnsi="宋体"/>
          <w:color w:val="auto"/>
          <w:sz w:val="24"/>
          <w:highlight w:val="none"/>
          <w:lang w:val="en-US" w:eastAsia="zh-CN"/>
        </w:rPr>
        <w:t>考核</w:t>
      </w:r>
      <w:r>
        <w:rPr>
          <w:rFonts w:hint="eastAsia" w:ascii="宋体" w:hAnsi="宋体" w:eastAsia="宋体"/>
          <w:color w:val="auto"/>
          <w:sz w:val="24"/>
          <w:highlight w:val="none"/>
          <w:lang w:val="en-US" w:eastAsia="zh-CN"/>
        </w:rPr>
        <w:t>人员，应能进入运行维护现场，进行检查，承包人应为此提供便利和协助，上述检查不能解除承包人对合同所承担的任何责任</w:t>
      </w:r>
      <w:r>
        <w:rPr>
          <w:rFonts w:hint="eastAsia" w:ascii="宋体" w:hAnsi="宋体"/>
          <w:color w:val="auto"/>
          <w:sz w:val="24"/>
          <w:highlight w:val="none"/>
          <w:lang w:val="en-US" w:eastAsia="zh-CN"/>
        </w:rPr>
        <w:t>。</w:t>
      </w:r>
    </w:p>
    <w:p w14:paraId="2D216598">
      <w:pPr>
        <w:spacing w:line="400" w:lineRule="exact"/>
        <w:ind w:firstLine="480" w:firstLineChars="200"/>
        <w:rPr>
          <w:rFonts w:ascii="宋体" w:hAnsi="宋体" w:eastAsia="宋体"/>
          <w:bCs/>
          <w:color w:val="auto"/>
          <w:sz w:val="24"/>
          <w:highlight w:val="none"/>
        </w:rPr>
      </w:pPr>
    </w:p>
    <w:p w14:paraId="179EF3D1">
      <w:pPr>
        <w:spacing w:line="400" w:lineRule="exact"/>
        <w:outlineLvl w:val="2"/>
        <w:rPr>
          <w:rFonts w:ascii="宋体" w:hAnsi="宋体" w:eastAsia="宋体"/>
          <w:bCs/>
          <w:color w:val="auto"/>
          <w:sz w:val="24"/>
          <w:highlight w:val="none"/>
        </w:rPr>
      </w:pPr>
      <w:bookmarkStart w:id="35" w:name="_Toc149721962"/>
      <w:bookmarkStart w:id="36" w:name="_Toc493406970"/>
      <w:r>
        <w:rPr>
          <w:rFonts w:hint="eastAsia" w:ascii="宋体" w:hAnsi="宋体" w:eastAsia="宋体"/>
          <w:bCs/>
          <w:color w:val="auto"/>
          <w:sz w:val="24"/>
          <w:highlight w:val="none"/>
        </w:rPr>
        <w:t>五、安全生产管理</w:t>
      </w:r>
      <w:bookmarkEnd w:id="35"/>
      <w:bookmarkEnd w:id="36"/>
    </w:p>
    <w:p w14:paraId="1746B31B">
      <w:pPr>
        <w:spacing w:line="400" w:lineRule="exact"/>
        <w:ind w:firstLine="480" w:firstLineChars="200"/>
        <w:outlineLvl w:val="3"/>
        <w:rPr>
          <w:rFonts w:ascii="宋体" w:hAnsi="宋体" w:eastAsia="宋体"/>
          <w:bCs/>
          <w:color w:val="auto"/>
          <w:sz w:val="24"/>
          <w:highlight w:val="none"/>
        </w:rPr>
      </w:pPr>
      <w:bookmarkStart w:id="37" w:name="_Toc493406971"/>
      <w:r>
        <w:rPr>
          <w:rFonts w:ascii="宋体" w:hAnsi="宋体" w:eastAsia="宋体"/>
          <w:bCs/>
          <w:color w:val="auto"/>
          <w:sz w:val="24"/>
          <w:highlight w:val="none"/>
        </w:rPr>
        <w:t xml:space="preserve">14. </w:t>
      </w:r>
      <w:r>
        <w:rPr>
          <w:rFonts w:hint="eastAsia" w:ascii="宋体" w:hAnsi="宋体" w:eastAsia="宋体"/>
          <w:bCs/>
          <w:color w:val="auto"/>
          <w:sz w:val="24"/>
          <w:highlight w:val="none"/>
        </w:rPr>
        <w:t>安全生产管理</w:t>
      </w:r>
      <w:bookmarkEnd w:id="37"/>
    </w:p>
    <w:p w14:paraId="4D4955E2">
      <w:pPr>
        <w:spacing w:line="400" w:lineRule="exact"/>
        <w:ind w:firstLine="480" w:firstLineChars="200"/>
        <w:rPr>
          <w:rFonts w:ascii="宋体" w:hAnsi="宋体" w:eastAsia="宋体"/>
          <w:bCs/>
          <w:color w:val="auto"/>
          <w:sz w:val="24"/>
          <w:highlight w:val="none"/>
        </w:rPr>
      </w:pPr>
      <w:bookmarkStart w:id="38" w:name="_Toc493406972"/>
      <w:r>
        <w:rPr>
          <w:rFonts w:ascii="宋体" w:hAnsi="宋体" w:eastAsia="宋体"/>
          <w:bCs/>
          <w:color w:val="auto"/>
          <w:sz w:val="24"/>
          <w:highlight w:val="none"/>
        </w:rPr>
        <w:t>14.1</w:t>
      </w:r>
      <w:r>
        <w:rPr>
          <w:rFonts w:hint="eastAsia" w:ascii="宋体" w:hAnsi="宋体" w:eastAsia="宋体"/>
          <w:bCs/>
          <w:color w:val="auto"/>
          <w:sz w:val="24"/>
          <w:highlight w:val="none"/>
        </w:rPr>
        <w:t>发包人的安全生产责任</w:t>
      </w:r>
      <w:bookmarkEnd w:id="38"/>
    </w:p>
    <w:p w14:paraId="64289FD6">
      <w:pPr>
        <w:spacing w:line="400" w:lineRule="exact"/>
        <w:ind w:firstLine="480" w:firstLineChars="200"/>
        <w:rPr>
          <w:rFonts w:ascii="宋体" w:hAnsi="宋体" w:eastAsia="宋体"/>
          <w:color w:val="auto"/>
          <w:sz w:val="24"/>
          <w:highlight w:val="none"/>
        </w:rPr>
      </w:pPr>
      <w:bookmarkStart w:id="39" w:name="_Toc493406973"/>
      <w:r>
        <w:rPr>
          <w:rFonts w:ascii="宋体" w:hAnsi="宋体" w:eastAsia="宋体"/>
          <w:color w:val="auto"/>
          <w:sz w:val="24"/>
          <w:highlight w:val="none"/>
        </w:rPr>
        <w:t>14.1.1</w:t>
      </w:r>
      <w:r>
        <w:rPr>
          <w:rFonts w:hint="eastAsia" w:ascii="宋体" w:hAnsi="宋体" w:eastAsia="宋体"/>
          <w:color w:val="auto"/>
          <w:sz w:val="24"/>
          <w:highlight w:val="none"/>
        </w:rPr>
        <w:t>发包人应按合同、发包人要求中的相关约定履行安全生产职责，组织安全生产事故的调查、处理，并实行安全生产“四级”联动保证机制，做好承包人安全生产工作的监督检查与考核。</w:t>
      </w:r>
      <w:bookmarkEnd w:id="39"/>
    </w:p>
    <w:p w14:paraId="3DB54A04">
      <w:pPr>
        <w:spacing w:line="400" w:lineRule="exact"/>
        <w:ind w:firstLine="480" w:firstLineChars="200"/>
        <w:rPr>
          <w:rFonts w:ascii="宋体" w:hAnsi="宋体" w:eastAsia="宋体"/>
          <w:color w:val="auto"/>
          <w:sz w:val="24"/>
          <w:highlight w:val="none"/>
        </w:rPr>
      </w:pPr>
      <w:bookmarkStart w:id="40" w:name="_Toc493406974"/>
      <w:r>
        <w:rPr>
          <w:rFonts w:ascii="宋体" w:hAnsi="宋体" w:eastAsia="宋体"/>
          <w:color w:val="auto"/>
          <w:sz w:val="24"/>
          <w:highlight w:val="none"/>
        </w:rPr>
        <w:t xml:space="preserve">14.1.2 </w:t>
      </w:r>
      <w:r>
        <w:rPr>
          <w:rFonts w:hint="eastAsia" w:ascii="宋体" w:hAnsi="宋体" w:eastAsia="宋体"/>
          <w:color w:val="auto"/>
          <w:sz w:val="24"/>
          <w:highlight w:val="none"/>
        </w:rPr>
        <w:t>发包人对承包人</w:t>
      </w:r>
      <w:r>
        <w:rPr>
          <w:rFonts w:hint="eastAsia" w:ascii="宋体" w:hAnsi="宋体" w:eastAsia="宋体"/>
          <w:color w:val="auto"/>
          <w:sz w:val="24"/>
          <w:highlight w:val="none"/>
          <w:lang w:val="en-US" w:eastAsia="zh-CN"/>
        </w:rPr>
        <w:t>的</w:t>
      </w:r>
      <w:r>
        <w:rPr>
          <w:rFonts w:hint="eastAsia" w:ascii="宋体" w:hAnsi="宋体" w:eastAsia="宋体"/>
          <w:color w:val="auto"/>
          <w:sz w:val="24"/>
          <w:highlight w:val="none"/>
        </w:rPr>
        <w:t>生产活动的安全生产管理进行综合监督管理，但发包人的安全生产管理不免除承包人的安全生产责任。</w:t>
      </w:r>
      <w:bookmarkEnd w:id="40"/>
    </w:p>
    <w:p w14:paraId="0D415EDD">
      <w:pPr>
        <w:spacing w:line="400" w:lineRule="exact"/>
        <w:ind w:firstLine="480" w:firstLineChars="200"/>
        <w:rPr>
          <w:rFonts w:ascii="宋体" w:hAnsi="宋体" w:eastAsia="宋体"/>
          <w:bCs/>
          <w:color w:val="auto"/>
          <w:sz w:val="24"/>
          <w:highlight w:val="none"/>
        </w:rPr>
      </w:pPr>
      <w:bookmarkStart w:id="41" w:name="_Toc493406975"/>
      <w:r>
        <w:rPr>
          <w:rFonts w:ascii="宋体" w:hAnsi="宋体" w:eastAsia="宋体"/>
          <w:bCs/>
          <w:color w:val="auto"/>
          <w:sz w:val="24"/>
          <w:highlight w:val="none"/>
        </w:rPr>
        <w:t>14.2</w:t>
      </w:r>
      <w:r>
        <w:rPr>
          <w:rFonts w:hint="eastAsia" w:ascii="宋体" w:hAnsi="宋体" w:eastAsia="宋体"/>
          <w:bCs/>
          <w:color w:val="auto"/>
          <w:sz w:val="24"/>
          <w:highlight w:val="none"/>
        </w:rPr>
        <w:t>承包人的安全生产责任</w:t>
      </w:r>
      <w:bookmarkEnd w:id="41"/>
    </w:p>
    <w:p w14:paraId="436E403E">
      <w:pPr>
        <w:spacing w:line="400" w:lineRule="exact"/>
        <w:ind w:firstLine="480" w:firstLineChars="200"/>
        <w:rPr>
          <w:rFonts w:ascii="宋体" w:hAnsi="宋体" w:eastAsia="宋体"/>
          <w:color w:val="auto"/>
          <w:sz w:val="24"/>
          <w:highlight w:val="none"/>
        </w:rPr>
      </w:pPr>
      <w:bookmarkStart w:id="42" w:name="_Toc493406976"/>
      <w:r>
        <w:rPr>
          <w:rFonts w:ascii="宋体" w:hAnsi="宋体" w:eastAsia="宋体"/>
          <w:color w:val="auto"/>
          <w:sz w:val="24"/>
          <w:highlight w:val="none"/>
        </w:rPr>
        <w:t>14.2.1</w:t>
      </w:r>
      <w:r>
        <w:rPr>
          <w:rFonts w:hint="eastAsia" w:ascii="宋体" w:hAnsi="宋体" w:eastAsia="宋体"/>
          <w:color w:val="auto"/>
          <w:sz w:val="24"/>
          <w:highlight w:val="none"/>
        </w:rPr>
        <w:t>承包人应严格遵守国家、广东省、行业主管部门有关安全生产法律、法规、规范、规程、规定和本合同文件、以及发包人发布的安全生产管理体系文件要求。</w:t>
      </w:r>
      <w:bookmarkEnd w:id="42"/>
    </w:p>
    <w:p w14:paraId="0CC5438F">
      <w:pPr>
        <w:spacing w:line="400" w:lineRule="exact"/>
        <w:ind w:firstLine="480" w:firstLineChars="200"/>
        <w:rPr>
          <w:rFonts w:ascii="宋体" w:hAnsi="宋体" w:eastAsia="宋体"/>
          <w:color w:val="auto"/>
          <w:sz w:val="24"/>
          <w:highlight w:val="none"/>
        </w:rPr>
      </w:pPr>
      <w:bookmarkStart w:id="43" w:name="_Toc493406977"/>
      <w:r>
        <w:rPr>
          <w:rFonts w:ascii="宋体" w:hAnsi="宋体" w:eastAsia="宋体"/>
          <w:color w:val="auto"/>
          <w:sz w:val="24"/>
          <w:highlight w:val="none"/>
        </w:rPr>
        <w:t>14.2.2</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作业的安全生产管理应满足合同条款、发包人要求规定的有关主要指标或要求。</w:t>
      </w:r>
      <w:bookmarkEnd w:id="43"/>
    </w:p>
    <w:p w14:paraId="0B4EB1FF">
      <w:pPr>
        <w:spacing w:line="400" w:lineRule="exact"/>
        <w:ind w:firstLine="480" w:firstLineChars="200"/>
        <w:rPr>
          <w:rFonts w:ascii="宋体" w:hAnsi="宋体" w:eastAsia="宋体"/>
          <w:color w:val="auto"/>
          <w:sz w:val="24"/>
          <w:highlight w:val="none"/>
        </w:rPr>
      </w:pPr>
      <w:bookmarkStart w:id="44" w:name="_Toc493406978"/>
      <w:r>
        <w:rPr>
          <w:rFonts w:ascii="宋体" w:hAnsi="宋体" w:eastAsia="宋体"/>
          <w:color w:val="auto"/>
          <w:sz w:val="24"/>
          <w:highlight w:val="none"/>
        </w:rPr>
        <w:t>14.2.3</w:t>
      </w:r>
      <w:r>
        <w:rPr>
          <w:rFonts w:hint="eastAsia" w:ascii="宋体" w:hAnsi="宋体" w:eastAsia="宋体"/>
          <w:color w:val="auto"/>
          <w:sz w:val="24"/>
          <w:highlight w:val="none"/>
        </w:rPr>
        <w:t>执行发包人建立的安全生产管理体系。</w:t>
      </w:r>
      <w:bookmarkEnd w:id="44"/>
    </w:p>
    <w:p w14:paraId="458A0E9B">
      <w:pPr>
        <w:spacing w:line="400" w:lineRule="exact"/>
        <w:ind w:firstLine="480" w:firstLineChars="200"/>
        <w:rPr>
          <w:rFonts w:ascii="宋体" w:hAnsi="宋体" w:eastAsia="宋体"/>
          <w:color w:val="auto"/>
          <w:sz w:val="24"/>
          <w:highlight w:val="none"/>
        </w:rPr>
      </w:pPr>
      <w:bookmarkStart w:id="45" w:name="_Toc493406979"/>
      <w:r>
        <w:rPr>
          <w:rFonts w:ascii="宋体" w:hAnsi="宋体" w:eastAsia="宋体"/>
          <w:color w:val="auto"/>
          <w:sz w:val="24"/>
          <w:highlight w:val="none"/>
        </w:rPr>
        <w:t>14.2.4</w:t>
      </w:r>
      <w:r>
        <w:rPr>
          <w:rFonts w:hint="eastAsia" w:ascii="宋体" w:hAnsi="宋体" w:eastAsia="宋体"/>
          <w:color w:val="auto"/>
          <w:sz w:val="24"/>
          <w:highlight w:val="none"/>
        </w:rPr>
        <w:t>发包人对承包人行使安全生产监督管理，但并不因此免除承包人所应承担的安全生产责任。承包人应对所属员工的工伤事故承担全部责任，但由于发包人原因造成承包人人员工伤事故的，由发包人承担责任。由于承包人原因，在作业场地内及其毗邻地带造成的第三者人员伤亡和财产损失，由承包人负责赔偿。</w:t>
      </w:r>
      <w:bookmarkEnd w:id="45"/>
    </w:p>
    <w:p w14:paraId="780C430E">
      <w:pPr>
        <w:spacing w:line="400" w:lineRule="exact"/>
        <w:ind w:firstLine="480" w:firstLineChars="200"/>
        <w:rPr>
          <w:rFonts w:ascii="宋体" w:hAnsi="宋体" w:eastAsia="宋体"/>
          <w:color w:val="auto"/>
          <w:sz w:val="24"/>
          <w:highlight w:val="none"/>
        </w:rPr>
      </w:pPr>
      <w:bookmarkStart w:id="46" w:name="_Toc493406980"/>
      <w:r>
        <w:rPr>
          <w:rFonts w:ascii="宋体" w:hAnsi="宋体" w:eastAsia="宋体"/>
          <w:color w:val="auto"/>
          <w:sz w:val="24"/>
          <w:highlight w:val="none"/>
        </w:rPr>
        <w:t>14.2.5</w:t>
      </w:r>
      <w:r>
        <w:rPr>
          <w:rFonts w:hint="eastAsia" w:ascii="宋体" w:hAnsi="宋体" w:eastAsia="宋体"/>
          <w:color w:val="auto"/>
          <w:sz w:val="24"/>
          <w:highlight w:val="none"/>
        </w:rPr>
        <w:t>因承包人原因造成作业现场存在重大安全生产隐患，被发包人责令停工整顿的，其造成的损失由承包人承担。</w:t>
      </w:r>
      <w:bookmarkEnd w:id="46"/>
    </w:p>
    <w:p w14:paraId="24A6AF3E">
      <w:pPr>
        <w:spacing w:line="400" w:lineRule="exact"/>
        <w:ind w:firstLine="480" w:firstLineChars="200"/>
        <w:rPr>
          <w:rFonts w:ascii="宋体" w:hAnsi="宋体" w:eastAsia="宋体"/>
          <w:color w:val="auto"/>
          <w:sz w:val="24"/>
          <w:highlight w:val="none"/>
        </w:rPr>
      </w:pPr>
      <w:bookmarkStart w:id="47" w:name="_Toc493406982"/>
      <w:r>
        <w:rPr>
          <w:rFonts w:ascii="宋体" w:hAnsi="宋体" w:eastAsia="宋体"/>
          <w:color w:val="auto"/>
          <w:sz w:val="24"/>
          <w:highlight w:val="none"/>
        </w:rPr>
        <w:t>14.2.</w:t>
      </w:r>
      <w:r>
        <w:rPr>
          <w:rFonts w:hint="eastAsia" w:ascii="宋体" w:hAnsi="宋体"/>
          <w:color w:val="auto"/>
          <w:sz w:val="24"/>
          <w:highlight w:val="none"/>
          <w:lang w:val="en-US" w:eastAsia="zh-CN"/>
        </w:rPr>
        <w:t>6</w:t>
      </w:r>
      <w:r>
        <w:rPr>
          <w:rFonts w:hint="eastAsia" w:ascii="宋体" w:hAnsi="宋体" w:eastAsia="宋体"/>
          <w:color w:val="auto"/>
          <w:sz w:val="24"/>
          <w:highlight w:val="none"/>
        </w:rPr>
        <w:t>承包人应按照本合同条款、发包人要求规定的职责与义务，积极响应并参与本项目的应急救援工作，与相关单位联动做好有关应急救援工作。</w:t>
      </w:r>
      <w:bookmarkEnd w:id="47"/>
    </w:p>
    <w:p w14:paraId="231A6E2B">
      <w:pPr>
        <w:spacing w:line="400" w:lineRule="exact"/>
        <w:ind w:firstLine="480" w:firstLineChars="200"/>
        <w:rPr>
          <w:rFonts w:ascii="宋体" w:hAnsi="宋体" w:eastAsia="宋体"/>
          <w:color w:val="auto"/>
          <w:sz w:val="24"/>
          <w:highlight w:val="none"/>
        </w:rPr>
      </w:pPr>
      <w:bookmarkStart w:id="48" w:name="_Toc493406983"/>
      <w:r>
        <w:rPr>
          <w:rFonts w:ascii="宋体" w:hAnsi="宋体" w:eastAsia="宋体"/>
          <w:color w:val="auto"/>
          <w:sz w:val="24"/>
          <w:highlight w:val="none"/>
        </w:rPr>
        <w:t>14.2.</w:t>
      </w:r>
      <w:r>
        <w:rPr>
          <w:rFonts w:hint="eastAsia" w:ascii="宋体" w:hAnsi="宋体"/>
          <w:color w:val="auto"/>
          <w:sz w:val="24"/>
          <w:highlight w:val="none"/>
          <w:lang w:val="en-US" w:eastAsia="zh-CN"/>
        </w:rPr>
        <w:t>7</w:t>
      </w:r>
      <w:r>
        <w:rPr>
          <w:rFonts w:hint="eastAsia" w:ascii="宋体" w:hAnsi="宋体" w:eastAsia="宋体"/>
          <w:color w:val="auto"/>
          <w:sz w:val="24"/>
          <w:highlight w:val="none"/>
        </w:rPr>
        <w:t>承包人的其它安全生产管理要求与责任、安全生产费等具体规定，详见发包人要求。</w:t>
      </w:r>
      <w:bookmarkEnd w:id="48"/>
    </w:p>
    <w:p w14:paraId="58D832E8">
      <w:pPr>
        <w:spacing w:line="400" w:lineRule="exact"/>
        <w:ind w:firstLine="480" w:firstLineChars="200"/>
        <w:rPr>
          <w:rFonts w:ascii="宋体" w:hAnsi="宋体" w:eastAsia="宋体"/>
          <w:bCs/>
          <w:color w:val="auto"/>
          <w:sz w:val="24"/>
          <w:highlight w:val="none"/>
        </w:rPr>
      </w:pPr>
      <w:bookmarkStart w:id="49" w:name="_Toc493406984"/>
      <w:r>
        <w:rPr>
          <w:rFonts w:ascii="宋体" w:hAnsi="宋体" w:eastAsia="宋体"/>
          <w:bCs/>
          <w:color w:val="auto"/>
          <w:sz w:val="24"/>
          <w:highlight w:val="none"/>
        </w:rPr>
        <w:t xml:space="preserve">14.3 </w:t>
      </w:r>
      <w:r>
        <w:rPr>
          <w:rFonts w:hint="eastAsia" w:ascii="宋体" w:hAnsi="宋体" w:eastAsia="宋体"/>
          <w:bCs/>
          <w:color w:val="auto"/>
          <w:sz w:val="24"/>
          <w:highlight w:val="none"/>
        </w:rPr>
        <w:t>治安保卫</w:t>
      </w:r>
      <w:bookmarkEnd w:id="49"/>
    </w:p>
    <w:p w14:paraId="085169EA">
      <w:pPr>
        <w:spacing w:line="400" w:lineRule="exact"/>
        <w:ind w:firstLine="480" w:firstLineChars="200"/>
        <w:rPr>
          <w:rFonts w:ascii="宋体" w:hAnsi="宋体" w:eastAsia="宋体"/>
          <w:color w:val="auto"/>
          <w:sz w:val="24"/>
          <w:highlight w:val="none"/>
        </w:rPr>
      </w:pPr>
      <w:bookmarkStart w:id="50" w:name="_Toc493406985"/>
      <w:r>
        <w:rPr>
          <w:rFonts w:ascii="宋体" w:hAnsi="宋体" w:eastAsia="宋体"/>
          <w:color w:val="auto"/>
          <w:sz w:val="24"/>
          <w:highlight w:val="none"/>
        </w:rPr>
        <w:t xml:space="preserve">14.3.1 </w:t>
      </w:r>
      <w:r>
        <w:rPr>
          <w:rFonts w:hint="eastAsia" w:ascii="宋体" w:hAnsi="宋体" w:eastAsia="宋体"/>
          <w:color w:val="auto"/>
          <w:sz w:val="24"/>
          <w:highlight w:val="none"/>
        </w:rPr>
        <w:t>除合同另有约定外，承包人应与作业场地的当地公安部门协商，在现场建立治安管理机构或联防组织，履行</w:t>
      </w:r>
      <w:r>
        <w:rPr>
          <w:rFonts w:hint="eastAsia" w:ascii="宋体" w:hAnsi="宋体" w:eastAsia="宋体"/>
          <w:color w:val="auto"/>
          <w:sz w:val="24"/>
          <w:highlight w:val="none"/>
          <w:lang w:eastAsia="zh-CN"/>
        </w:rPr>
        <w:t>本项目运行维护</w:t>
      </w:r>
      <w:r>
        <w:rPr>
          <w:rFonts w:hint="eastAsia" w:ascii="宋体" w:hAnsi="宋体" w:eastAsia="宋体"/>
          <w:color w:val="auto"/>
          <w:sz w:val="24"/>
          <w:highlight w:val="none"/>
        </w:rPr>
        <w:t>的治安保卫职责。</w:t>
      </w:r>
      <w:bookmarkEnd w:id="50"/>
    </w:p>
    <w:p w14:paraId="61420E1D">
      <w:pPr>
        <w:spacing w:line="400" w:lineRule="exact"/>
        <w:ind w:firstLine="480" w:firstLineChars="200"/>
        <w:rPr>
          <w:rFonts w:ascii="宋体" w:hAnsi="宋体" w:eastAsia="宋体"/>
          <w:color w:val="auto"/>
          <w:sz w:val="24"/>
          <w:highlight w:val="none"/>
        </w:rPr>
      </w:pPr>
      <w:bookmarkStart w:id="51" w:name="_Toc493406986"/>
      <w:r>
        <w:rPr>
          <w:rFonts w:ascii="宋体" w:hAnsi="宋体" w:eastAsia="宋体"/>
          <w:color w:val="auto"/>
          <w:sz w:val="24"/>
          <w:highlight w:val="none"/>
        </w:rPr>
        <w:t xml:space="preserve">14.3.2 </w:t>
      </w:r>
      <w:r>
        <w:rPr>
          <w:rFonts w:hint="eastAsia" w:ascii="宋体" w:hAnsi="宋体" w:eastAsia="宋体"/>
          <w:color w:val="auto"/>
          <w:sz w:val="24"/>
          <w:highlight w:val="none"/>
        </w:rPr>
        <w:t>承包人除应协助现场治安管理机构或联防组织维护作业场地的社会治安外，还应做好包括</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基地内的各自管辖区的治安保卫工作。</w:t>
      </w:r>
      <w:bookmarkEnd w:id="51"/>
    </w:p>
    <w:p w14:paraId="63032937">
      <w:pPr>
        <w:spacing w:line="400" w:lineRule="exact"/>
        <w:ind w:firstLine="480" w:firstLineChars="200"/>
        <w:rPr>
          <w:rFonts w:ascii="宋体" w:hAnsi="宋体" w:eastAsia="宋体"/>
          <w:color w:val="auto"/>
          <w:sz w:val="24"/>
          <w:highlight w:val="none"/>
        </w:rPr>
      </w:pPr>
      <w:bookmarkStart w:id="52" w:name="_Toc493406987"/>
      <w:r>
        <w:rPr>
          <w:rFonts w:ascii="宋体" w:hAnsi="宋体" w:eastAsia="宋体"/>
          <w:color w:val="auto"/>
          <w:sz w:val="24"/>
          <w:highlight w:val="none"/>
        </w:rPr>
        <w:t xml:space="preserve">14.3.3 </w:t>
      </w:r>
      <w:r>
        <w:rPr>
          <w:rFonts w:hint="eastAsia" w:ascii="宋体" w:hAnsi="宋体" w:eastAsia="宋体"/>
          <w:color w:val="auto"/>
          <w:sz w:val="24"/>
          <w:highlight w:val="none"/>
        </w:rPr>
        <w:t>除合同另有约定外，发包人和承包人应在开工后，共同编制治安管理计划，并制定应对突发治安事件的紧急预案。在</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作业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bookmarkEnd w:id="52"/>
    </w:p>
    <w:p w14:paraId="35694996">
      <w:pPr>
        <w:spacing w:line="400" w:lineRule="exact"/>
        <w:ind w:firstLine="480" w:firstLineChars="200"/>
        <w:rPr>
          <w:rFonts w:ascii="宋体" w:hAnsi="宋体" w:eastAsia="宋体"/>
          <w:bCs/>
          <w:color w:val="auto"/>
          <w:sz w:val="24"/>
          <w:highlight w:val="none"/>
        </w:rPr>
      </w:pPr>
      <w:bookmarkStart w:id="53" w:name="_Toc493406988"/>
      <w:r>
        <w:rPr>
          <w:rFonts w:ascii="宋体" w:hAnsi="宋体" w:eastAsia="宋体"/>
          <w:bCs/>
          <w:color w:val="auto"/>
          <w:sz w:val="24"/>
          <w:highlight w:val="none"/>
        </w:rPr>
        <w:t xml:space="preserve">14.4 </w:t>
      </w:r>
      <w:r>
        <w:rPr>
          <w:rFonts w:hint="eastAsia" w:ascii="宋体" w:hAnsi="宋体"/>
          <w:bCs/>
          <w:color w:val="auto"/>
          <w:sz w:val="24"/>
          <w:highlight w:val="none"/>
          <w:lang w:val="en-US" w:eastAsia="zh-CN"/>
        </w:rPr>
        <w:t>突发事件</w:t>
      </w:r>
      <w:r>
        <w:rPr>
          <w:rFonts w:hint="eastAsia" w:ascii="宋体" w:hAnsi="宋体" w:eastAsia="宋体"/>
          <w:bCs/>
          <w:color w:val="auto"/>
          <w:sz w:val="24"/>
          <w:highlight w:val="none"/>
        </w:rPr>
        <w:t>处理</w:t>
      </w:r>
      <w:bookmarkEnd w:id="53"/>
    </w:p>
    <w:p w14:paraId="2595B919">
      <w:pPr>
        <w:spacing w:line="400" w:lineRule="exact"/>
        <w:ind w:firstLine="480" w:firstLineChars="200"/>
        <w:rPr>
          <w:rFonts w:hint="eastAsia" w:ascii="宋体" w:hAnsi="宋体" w:eastAsia="宋体"/>
          <w:color w:val="auto"/>
          <w:sz w:val="24"/>
          <w:highlight w:val="none"/>
        </w:rPr>
      </w:pPr>
      <w:bookmarkStart w:id="54" w:name="_Toc493406989"/>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作业过程中发生</w:t>
      </w:r>
      <w:r>
        <w:rPr>
          <w:rFonts w:hint="eastAsia" w:ascii="宋体" w:hAnsi="宋体"/>
          <w:color w:val="auto"/>
          <w:sz w:val="24"/>
          <w:highlight w:val="none"/>
          <w:lang w:val="en-US" w:eastAsia="zh-CN"/>
        </w:rPr>
        <w:t>突发事件</w:t>
      </w:r>
      <w:r>
        <w:rPr>
          <w:rFonts w:hint="eastAsia" w:ascii="宋体" w:hAnsi="宋体" w:eastAsia="宋体"/>
          <w:color w:val="auto"/>
          <w:sz w:val="24"/>
          <w:highlight w:val="none"/>
        </w:rPr>
        <w:t>的，承包人</w:t>
      </w:r>
      <w:r>
        <w:rPr>
          <w:rFonts w:hint="eastAsia" w:ascii="宋体" w:hAnsi="宋体"/>
          <w:color w:val="auto"/>
          <w:sz w:val="24"/>
          <w:highlight w:val="none"/>
          <w:lang w:val="en-US" w:eastAsia="zh-CN"/>
        </w:rPr>
        <w:t>应按照相关规定</w:t>
      </w:r>
      <w:r>
        <w:rPr>
          <w:rFonts w:hint="eastAsia" w:ascii="宋体" w:hAnsi="宋体" w:eastAsia="宋体"/>
          <w:color w:val="auto"/>
          <w:sz w:val="24"/>
          <w:highlight w:val="none"/>
        </w:rPr>
        <w:t>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bookmarkEnd w:id="54"/>
    </w:p>
    <w:p w14:paraId="0D7B1476">
      <w:pPr>
        <w:spacing w:line="400" w:lineRule="exact"/>
        <w:ind w:firstLine="480" w:firstLineChars="200"/>
        <w:rPr>
          <w:rFonts w:hint="default" w:ascii="宋体" w:hAnsi="宋体"/>
          <w:bCs/>
          <w:color w:val="auto"/>
          <w:sz w:val="24"/>
          <w:highlight w:val="none"/>
          <w:lang w:val="en-US" w:eastAsia="zh-CN"/>
        </w:rPr>
      </w:pPr>
      <w:r>
        <w:rPr>
          <w:rFonts w:hint="default" w:ascii="宋体" w:hAnsi="宋体"/>
          <w:bCs/>
          <w:color w:val="auto"/>
          <w:sz w:val="24"/>
          <w:highlight w:val="none"/>
          <w:lang w:val="en-US" w:eastAsia="zh-CN"/>
        </w:rPr>
        <w:t>14.5 安全生产交叉检查与良性竞争机制</w:t>
      </w:r>
    </w:p>
    <w:p w14:paraId="02FD4217">
      <w:pPr>
        <w:spacing w:line="400" w:lineRule="exact"/>
        <w:ind w:firstLine="480" w:firstLineChars="200"/>
        <w:rPr>
          <w:rFonts w:hint="default" w:ascii="宋体" w:hAnsi="宋体" w:eastAsia="宋体"/>
          <w:bCs/>
          <w:color w:val="auto"/>
          <w:sz w:val="24"/>
          <w:highlight w:val="none"/>
          <w:lang w:val="en-US" w:eastAsia="zh-CN"/>
        </w:rPr>
      </w:pPr>
      <w:r>
        <w:rPr>
          <w:rFonts w:hint="eastAsia" w:ascii="宋体" w:hAnsi="宋体" w:eastAsia="宋体" w:cs="Times New Roman"/>
          <w:bCs/>
          <w:i w:val="0"/>
          <w:iCs w:val="0"/>
          <w:caps w:val="0"/>
          <w:color w:val="auto"/>
          <w:spacing w:val="0"/>
          <w:sz w:val="24"/>
          <w:szCs w:val="22"/>
          <w:highlight w:val="none"/>
        </w:rPr>
        <w:t>为提升本项目安全管理水平与</w:t>
      </w:r>
      <w:r>
        <w:rPr>
          <w:rFonts w:hint="eastAsia" w:ascii="宋体" w:hAnsi="宋体" w:cs="Times New Roman"/>
          <w:bCs/>
          <w:i w:val="0"/>
          <w:iCs w:val="0"/>
          <w:caps w:val="0"/>
          <w:color w:val="auto"/>
          <w:spacing w:val="0"/>
          <w:sz w:val="24"/>
          <w:szCs w:val="22"/>
          <w:highlight w:val="none"/>
          <w:lang w:val="en-US" w:eastAsia="zh-CN"/>
        </w:rPr>
        <w:t>运行维护</w:t>
      </w:r>
      <w:r>
        <w:rPr>
          <w:rFonts w:hint="eastAsia" w:ascii="宋体" w:hAnsi="宋体" w:eastAsia="宋体" w:cs="Times New Roman"/>
          <w:bCs/>
          <w:i w:val="0"/>
          <w:iCs w:val="0"/>
          <w:caps w:val="0"/>
          <w:color w:val="auto"/>
          <w:spacing w:val="0"/>
          <w:sz w:val="24"/>
          <w:szCs w:val="22"/>
          <w:highlight w:val="none"/>
        </w:rPr>
        <w:t>质量，营造 “比、学、赶、帮、超” 的良好氛围，各标段承包人应建立标段间良性竞争与互相学习机制，报项目咨询单位和发包人同意后实施。各标段承包人应按季度开展跨标段安全生产交叉检查，检查内容包括但不限于设施外观检查、安全管理制度落实、隐患排查整改、应急设备配置、特殊岗位人员持证上岗等情况，检查结果需形成书面报告提交发包人及项目咨询单位。发包人将根据交叉检查结果及季度履约考核情况，组织各标段分享安全管理先进经验。</w:t>
      </w:r>
      <w:r>
        <w:rPr>
          <w:rFonts w:hint="default" w:ascii="宋体" w:hAnsi="宋体"/>
          <w:bCs/>
          <w:color w:val="auto"/>
          <w:sz w:val="24"/>
          <w:highlight w:val="none"/>
          <w:lang w:val="en-US" w:eastAsia="zh-CN"/>
        </w:rPr>
        <w:t xml:space="preserve"> </w:t>
      </w:r>
    </w:p>
    <w:p w14:paraId="2C85F6C3">
      <w:pPr>
        <w:spacing w:line="400" w:lineRule="exact"/>
        <w:ind w:firstLine="480" w:firstLineChars="200"/>
        <w:rPr>
          <w:rFonts w:ascii="宋体" w:hAnsi="宋体" w:eastAsia="宋体"/>
          <w:color w:val="auto"/>
          <w:sz w:val="24"/>
          <w:highlight w:val="none"/>
        </w:rPr>
      </w:pPr>
    </w:p>
    <w:p w14:paraId="59A64D21">
      <w:pPr>
        <w:spacing w:line="400" w:lineRule="exact"/>
        <w:outlineLvl w:val="2"/>
        <w:rPr>
          <w:rFonts w:ascii="宋体" w:hAnsi="宋体" w:eastAsia="宋体"/>
          <w:bCs/>
          <w:color w:val="auto"/>
          <w:sz w:val="24"/>
          <w:highlight w:val="none"/>
        </w:rPr>
      </w:pPr>
      <w:bookmarkStart w:id="55" w:name="_Toc149721963"/>
      <w:bookmarkStart w:id="56" w:name="_Toc493406990"/>
      <w:r>
        <w:rPr>
          <w:rFonts w:hint="eastAsia" w:ascii="宋体" w:hAnsi="宋体" w:eastAsia="宋体"/>
          <w:bCs/>
          <w:color w:val="auto"/>
          <w:sz w:val="24"/>
          <w:highlight w:val="none"/>
        </w:rPr>
        <w:t>六、合同价格与支付</w:t>
      </w:r>
      <w:bookmarkEnd w:id="55"/>
      <w:bookmarkEnd w:id="56"/>
    </w:p>
    <w:p w14:paraId="4A1B7064">
      <w:pPr>
        <w:spacing w:line="400" w:lineRule="exact"/>
        <w:ind w:firstLine="480" w:firstLineChars="200"/>
        <w:outlineLvl w:val="3"/>
        <w:rPr>
          <w:rFonts w:ascii="宋体" w:hAnsi="宋体" w:eastAsia="宋体"/>
          <w:bCs/>
          <w:color w:val="auto"/>
          <w:sz w:val="24"/>
          <w:highlight w:val="none"/>
        </w:rPr>
      </w:pPr>
      <w:bookmarkStart w:id="57" w:name="_Toc493406991"/>
      <w:r>
        <w:rPr>
          <w:rFonts w:ascii="宋体" w:hAnsi="宋体" w:eastAsia="宋体"/>
          <w:bCs/>
          <w:color w:val="auto"/>
          <w:sz w:val="24"/>
          <w:highlight w:val="none"/>
        </w:rPr>
        <w:t xml:space="preserve">15. </w:t>
      </w:r>
      <w:r>
        <w:rPr>
          <w:rFonts w:hint="eastAsia" w:ascii="宋体" w:hAnsi="宋体" w:eastAsia="宋体"/>
          <w:bCs/>
          <w:color w:val="auto"/>
          <w:sz w:val="24"/>
          <w:highlight w:val="none"/>
        </w:rPr>
        <w:t>合同价格与调整</w:t>
      </w:r>
      <w:bookmarkEnd w:id="57"/>
    </w:p>
    <w:p w14:paraId="27CB9A70">
      <w:pPr>
        <w:spacing w:line="400" w:lineRule="exact"/>
        <w:ind w:firstLine="480" w:firstLineChars="200"/>
        <w:rPr>
          <w:rFonts w:ascii="宋体" w:hAnsi="宋体" w:eastAsia="宋体"/>
          <w:bCs/>
          <w:color w:val="auto"/>
          <w:sz w:val="24"/>
          <w:highlight w:val="none"/>
        </w:rPr>
      </w:pPr>
      <w:r>
        <w:rPr>
          <w:rFonts w:ascii="宋体" w:hAnsi="宋体" w:eastAsia="宋体"/>
          <w:color w:val="auto"/>
          <w:sz w:val="24"/>
          <w:highlight w:val="none"/>
        </w:rPr>
        <w:t xml:space="preserve">15.1 </w:t>
      </w:r>
      <w:r>
        <w:rPr>
          <w:rFonts w:hint="eastAsia" w:ascii="宋体" w:hAnsi="宋体" w:eastAsia="宋体"/>
          <w:bCs/>
          <w:color w:val="auto"/>
          <w:sz w:val="24"/>
          <w:highlight w:val="none"/>
        </w:rPr>
        <w:t>合同价格与费用组成</w:t>
      </w:r>
    </w:p>
    <w:p w14:paraId="71D93747">
      <w:pPr>
        <w:spacing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合同价格包括合同服务期内为实施和完成合同工程所需的劳务、材料、机械、质检（自检）安装、安全措施（设施、维护）、环保、缺陷修复、管理、保险（自行缴交）、税费（自行缴交）、利润等一切可能发生的费用，以及合同</w:t>
      </w:r>
      <w:r>
        <w:rPr>
          <w:rFonts w:hint="eastAsia" w:ascii="宋体" w:hAnsi="宋体"/>
          <w:color w:val="auto"/>
          <w:sz w:val="24"/>
          <w:highlight w:val="none"/>
          <w:lang w:val="en-US" w:eastAsia="zh-CN"/>
        </w:rPr>
        <w:t>规定</w:t>
      </w:r>
      <w:r>
        <w:rPr>
          <w:rFonts w:hint="eastAsia" w:ascii="宋体" w:hAnsi="宋体" w:eastAsia="宋体"/>
          <w:color w:val="auto"/>
          <w:sz w:val="24"/>
          <w:highlight w:val="none"/>
        </w:rPr>
        <w:t>的所有责任、义务和风险。</w:t>
      </w:r>
    </w:p>
    <w:p w14:paraId="05560B6E">
      <w:pPr>
        <w:spacing w:line="400" w:lineRule="exact"/>
        <w:ind w:firstLine="480" w:firstLineChars="200"/>
        <w:rPr>
          <w:rFonts w:hint="eastAsia" w:ascii="宋体" w:hAnsi="宋体" w:eastAsia="宋体"/>
          <w:color w:val="auto"/>
          <w:sz w:val="24"/>
          <w:highlight w:val="none"/>
        </w:rPr>
      </w:pPr>
      <w:r>
        <w:rPr>
          <w:rFonts w:hint="eastAsia" w:ascii="宋体" w:hAnsi="宋体" w:cs="宋体"/>
          <w:color w:val="auto"/>
          <w:kern w:val="0"/>
          <w:sz w:val="24"/>
          <w:szCs w:val="24"/>
          <w:highlight w:val="none"/>
          <w:lang w:val="en-US" w:eastAsia="zh-CN"/>
        </w:rPr>
        <w:t>根据本项目规划实施的具体情况，如遇该项目的投资规模、实施模式或者造价等发生调整（或变更），也可能会新增或减少、甚至取消部分子项工程，投标人应充分理解此风险，配合政府开展相关工作，并无条件接受不得拒绝，且投标报价固定不变。</w:t>
      </w:r>
    </w:p>
    <w:p w14:paraId="7C95CB8D">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除按照合同约定作出的调整（如有）外，为完成</w:t>
      </w:r>
      <w:r>
        <w:rPr>
          <w:rFonts w:hint="eastAsia" w:ascii="宋体" w:hAnsi="宋体" w:eastAsia="宋体"/>
          <w:color w:val="auto"/>
          <w:sz w:val="24"/>
          <w:highlight w:val="none"/>
          <w:lang w:eastAsia="zh-CN"/>
        </w:rPr>
        <w:t>本项目</w:t>
      </w:r>
      <w:r>
        <w:rPr>
          <w:rFonts w:hint="eastAsia" w:ascii="宋体" w:hAnsi="宋体" w:eastAsia="宋体"/>
          <w:color w:val="auto"/>
          <w:sz w:val="24"/>
          <w:highlight w:val="none"/>
        </w:rPr>
        <w:t>全部工作所需的全部费用皆包含</w:t>
      </w:r>
      <w:r>
        <w:rPr>
          <w:rFonts w:hint="eastAsia" w:ascii="宋体" w:hAnsi="宋体"/>
          <w:color w:val="auto"/>
          <w:sz w:val="24"/>
          <w:highlight w:val="none"/>
          <w:lang w:eastAsia="zh-CN"/>
        </w:rPr>
        <w:t>在</w:t>
      </w:r>
      <w:r>
        <w:rPr>
          <w:rFonts w:hint="eastAsia" w:ascii="宋体" w:hAnsi="宋体" w:eastAsia="宋体"/>
          <w:color w:val="auto"/>
          <w:sz w:val="24"/>
          <w:highlight w:val="none"/>
        </w:rPr>
        <w:t>签约合同价中。</w:t>
      </w:r>
    </w:p>
    <w:p w14:paraId="2E67922D">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15.2 </w:t>
      </w:r>
      <w:r>
        <w:rPr>
          <w:rFonts w:hint="eastAsia" w:ascii="宋体" w:hAnsi="宋体" w:eastAsia="宋体"/>
          <w:bCs/>
          <w:color w:val="auto"/>
          <w:sz w:val="24"/>
          <w:highlight w:val="none"/>
        </w:rPr>
        <w:t>物价波动价格调整</w:t>
      </w:r>
    </w:p>
    <w:p w14:paraId="29315858">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本合同执行期内，无论是否发生人工、材料、机械使用费等的价格涨落，应视为是承包人可以合理预计并已包含在合同单价内，均不对合同价格进行调整。</w:t>
      </w:r>
    </w:p>
    <w:p w14:paraId="0CBA9492">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 xml:space="preserve">5.3 </w:t>
      </w:r>
      <w:r>
        <w:rPr>
          <w:rFonts w:hint="eastAsia" w:ascii="宋体" w:hAnsi="宋体" w:eastAsia="宋体"/>
          <w:color w:val="auto"/>
          <w:sz w:val="24"/>
          <w:highlight w:val="none"/>
        </w:rPr>
        <w:t>合同期内发生法律变化、国家税收政策调整（例如调整税率）等情形的，</w:t>
      </w:r>
      <w:r>
        <w:rPr>
          <w:rFonts w:hint="eastAsia" w:ascii="宋体" w:hAnsi="宋体"/>
          <w:color w:val="auto"/>
          <w:sz w:val="24"/>
          <w:highlight w:val="none"/>
          <w:lang w:val="en-US" w:eastAsia="zh-CN"/>
        </w:rPr>
        <w:t>按照相关政策要求另行协商</w:t>
      </w:r>
      <w:r>
        <w:rPr>
          <w:rFonts w:hint="eastAsia" w:ascii="宋体" w:hAnsi="宋体" w:eastAsia="宋体"/>
          <w:color w:val="auto"/>
          <w:sz w:val="24"/>
          <w:highlight w:val="none"/>
        </w:rPr>
        <w:t>。</w:t>
      </w:r>
    </w:p>
    <w:p w14:paraId="2E431433">
      <w:pPr>
        <w:spacing w:line="400" w:lineRule="exact"/>
        <w:ind w:firstLine="480" w:firstLineChars="200"/>
        <w:rPr>
          <w:rFonts w:ascii="宋体" w:hAnsi="宋体" w:eastAsia="宋体"/>
          <w:color w:val="auto"/>
          <w:sz w:val="24"/>
          <w:highlight w:val="none"/>
        </w:rPr>
      </w:pPr>
    </w:p>
    <w:p w14:paraId="28A32D8E">
      <w:pPr>
        <w:spacing w:line="400" w:lineRule="exact"/>
        <w:ind w:firstLine="480" w:firstLineChars="200"/>
        <w:outlineLvl w:val="3"/>
        <w:rPr>
          <w:rFonts w:ascii="宋体" w:hAnsi="宋体" w:eastAsia="宋体"/>
          <w:bCs/>
          <w:color w:val="auto"/>
          <w:sz w:val="24"/>
          <w:highlight w:val="none"/>
        </w:rPr>
      </w:pPr>
      <w:bookmarkStart w:id="58" w:name="_Toc493406992"/>
      <w:r>
        <w:rPr>
          <w:rFonts w:ascii="宋体" w:hAnsi="宋体" w:eastAsia="宋体"/>
          <w:bCs/>
          <w:color w:val="auto"/>
          <w:sz w:val="24"/>
          <w:highlight w:val="none"/>
        </w:rPr>
        <w:t xml:space="preserve">16. </w:t>
      </w:r>
      <w:r>
        <w:rPr>
          <w:rFonts w:hint="eastAsia" w:ascii="宋体" w:hAnsi="宋体" w:eastAsia="宋体"/>
          <w:bCs/>
          <w:color w:val="auto"/>
          <w:sz w:val="24"/>
          <w:highlight w:val="none"/>
        </w:rPr>
        <w:t>预付款</w:t>
      </w:r>
      <w:bookmarkEnd w:id="58"/>
    </w:p>
    <w:p w14:paraId="5A16D995">
      <w:pPr>
        <w:overflowPunct w:val="0"/>
        <w:topLinePunct/>
        <w:adjustRightInd w:val="0"/>
        <w:snapToGrid w:val="0"/>
        <w:spacing w:line="400" w:lineRule="exact"/>
        <w:ind w:firstLine="480" w:firstLineChars="200"/>
        <w:textAlignment w:val="baseline"/>
        <w:rPr>
          <w:rFonts w:hint="eastAsia" w:ascii="宋体" w:hAnsi="宋体"/>
          <w:strike w:val="0"/>
          <w:dstrike w:val="0"/>
          <w:color w:val="auto"/>
          <w:kern w:val="0"/>
          <w:sz w:val="24"/>
          <w:highlight w:val="none"/>
          <w:lang w:val="en-US" w:eastAsia="zh-CN"/>
        </w:rPr>
      </w:pPr>
      <w:r>
        <w:rPr>
          <w:rFonts w:hint="eastAsia" w:ascii="宋体" w:hAnsi="宋体"/>
          <w:strike w:val="0"/>
          <w:dstrike w:val="0"/>
          <w:color w:val="auto"/>
          <w:kern w:val="0"/>
          <w:sz w:val="24"/>
          <w:highlight w:val="none"/>
          <w:lang w:val="en-US" w:eastAsia="zh-CN"/>
        </w:rPr>
        <w:t>（1）预付款比例：签约合同价（扣除暂列金）的3%~10%。</w:t>
      </w:r>
    </w:p>
    <w:p w14:paraId="267AE9D8">
      <w:pPr>
        <w:overflowPunct w:val="0"/>
        <w:topLinePunct/>
        <w:adjustRightInd w:val="0"/>
        <w:snapToGrid w:val="0"/>
        <w:spacing w:line="400" w:lineRule="exact"/>
        <w:ind w:firstLine="480" w:firstLineChars="200"/>
        <w:textAlignment w:val="baseline"/>
        <w:rPr>
          <w:rFonts w:hint="default" w:ascii="宋体" w:hAnsi="宋体"/>
          <w:strike w:val="0"/>
          <w:dstrike w:val="0"/>
          <w:color w:val="auto"/>
          <w:kern w:val="0"/>
          <w:sz w:val="24"/>
          <w:highlight w:val="none"/>
          <w:lang w:val="en-US" w:eastAsia="zh-CN"/>
        </w:rPr>
      </w:pPr>
      <w:r>
        <w:rPr>
          <w:rFonts w:hint="eastAsia" w:ascii="宋体" w:hAnsi="宋体"/>
          <w:strike w:val="0"/>
          <w:dstrike w:val="0"/>
          <w:color w:val="auto"/>
          <w:kern w:val="0"/>
          <w:sz w:val="24"/>
          <w:highlight w:val="none"/>
          <w:lang w:val="en-US" w:eastAsia="zh-CN"/>
        </w:rPr>
        <w:t>安全生产措施费预付款支付比例：安全生产措施费的50%。</w:t>
      </w:r>
    </w:p>
    <w:p w14:paraId="070D1B27">
      <w:pPr>
        <w:overflowPunct w:val="0"/>
        <w:topLinePunct/>
        <w:adjustRightInd w:val="0"/>
        <w:snapToGrid w:val="0"/>
        <w:spacing w:line="400" w:lineRule="exact"/>
        <w:ind w:firstLine="480" w:firstLineChars="200"/>
        <w:textAlignment w:val="baseline"/>
        <w:rPr>
          <w:rFonts w:hint="eastAsia" w:ascii="宋体" w:hAnsi="宋体"/>
          <w:strike w:val="0"/>
          <w:dstrike w:val="0"/>
          <w:color w:val="auto"/>
          <w:kern w:val="0"/>
          <w:sz w:val="24"/>
          <w:highlight w:val="none"/>
          <w:lang w:val="en-US" w:eastAsia="zh-CN"/>
        </w:rPr>
      </w:pPr>
      <w:r>
        <w:rPr>
          <w:rFonts w:hint="eastAsia" w:ascii="宋体" w:hAnsi="宋体"/>
          <w:strike w:val="0"/>
          <w:dstrike w:val="0"/>
          <w:color w:val="auto"/>
          <w:kern w:val="0"/>
          <w:sz w:val="24"/>
          <w:highlight w:val="none"/>
          <w:lang w:val="en-US" w:eastAsia="zh-CN"/>
        </w:rPr>
        <w:t>承包人按招标文件及合同要求提交履约担保后，提交预付款申请书，发包人收到后14天内向承包人支付预付款。承包人须在申请第一笔运行维护进度款前完成预付款的申领手续，否则视为放弃。签订合同后第一笔运行维护进度款申请前可一次性或分批支付预付款。</w:t>
      </w:r>
    </w:p>
    <w:p w14:paraId="32BEA43A">
      <w:pPr>
        <w:overflowPunct w:val="0"/>
        <w:topLinePunct/>
        <w:adjustRightInd w:val="0"/>
        <w:snapToGrid w:val="0"/>
        <w:spacing w:line="400" w:lineRule="exact"/>
        <w:ind w:firstLine="480" w:firstLineChars="200"/>
        <w:textAlignment w:val="baseline"/>
        <w:rPr>
          <w:rFonts w:hint="eastAsia" w:ascii="宋体" w:hAnsi="宋体"/>
          <w:strike w:val="0"/>
          <w:dstrike w:val="0"/>
          <w:color w:val="auto"/>
          <w:kern w:val="0"/>
          <w:sz w:val="24"/>
          <w:highlight w:val="none"/>
          <w:lang w:val="en-US" w:eastAsia="zh-CN"/>
        </w:rPr>
      </w:pPr>
      <w:r>
        <w:rPr>
          <w:rFonts w:hint="eastAsia" w:ascii="宋体" w:hAnsi="宋体"/>
          <w:strike w:val="0"/>
          <w:dstrike w:val="0"/>
          <w:color w:val="auto"/>
          <w:kern w:val="0"/>
          <w:sz w:val="24"/>
          <w:highlight w:val="none"/>
          <w:lang w:val="en-US" w:eastAsia="zh-CN"/>
        </w:rPr>
        <w:t>（2）扣回预付款的时间、比例：发包人支付运行维护进度款时，按应付进度款的40%扣回预付款，直至运行维护预付款抵扣清为止。</w:t>
      </w:r>
    </w:p>
    <w:p w14:paraId="0FB90FDF">
      <w:pPr>
        <w:overflowPunct w:val="0"/>
        <w:topLinePunct/>
        <w:adjustRightInd w:val="0"/>
        <w:snapToGrid w:val="0"/>
        <w:spacing w:line="400" w:lineRule="exact"/>
        <w:ind w:firstLine="480" w:firstLineChars="200"/>
        <w:textAlignment w:val="baseline"/>
        <w:rPr>
          <w:rFonts w:hint="default" w:ascii="宋体" w:hAnsi="宋体"/>
          <w:strike w:val="0"/>
          <w:dstrike w:val="0"/>
          <w:color w:val="auto"/>
          <w:kern w:val="0"/>
          <w:sz w:val="24"/>
          <w:highlight w:val="none"/>
          <w:lang w:val="en-US" w:eastAsia="zh-CN"/>
        </w:rPr>
      </w:pPr>
      <w:r>
        <w:rPr>
          <w:rFonts w:hint="eastAsia" w:ascii="宋体" w:hAnsi="宋体"/>
          <w:strike w:val="0"/>
          <w:dstrike w:val="0"/>
          <w:color w:val="auto"/>
          <w:kern w:val="0"/>
          <w:sz w:val="24"/>
          <w:highlight w:val="none"/>
          <w:lang w:val="en-US" w:eastAsia="zh-CN"/>
        </w:rPr>
        <w:t>安全生产措施费：在进度款中全额扣回，直至扣完为止。</w:t>
      </w:r>
    </w:p>
    <w:p w14:paraId="74743D8D">
      <w:pPr>
        <w:overflowPunct w:val="0"/>
        <w:topLinePunct/>
        <w:adjustRightInd w:val="0"/>
        <w:snapToGrid w:val="0"/>
        <w:spacing w:line="400" w:lineRule="exact"/>
        <w:ind w:firstLine="480" w:firstLineChars="200"/>
        <w:textAlignment w:val="baseline"/>
        <w:rPr>
          <w:rFonts w:ascii="宋体" w:hAnsi="宋体" w:eastAsia="宋体"/>
          <w:color w:val="auto"/>
          <w:kern w:val="0"/>
          <w:sz w:val="24"/>
          <w:highlight w:val="none"/>
          <w:lang w:val="zh-CN"/>
        </w:rPr>
      </w:pPr>
    </w:p>
    <w:p w14:paraId="462EA915">
      <w:pPr>
        <w:spacing w:line="400" w:lineRule="exact"/>
        <w:ind w:firstLine="480" w:firstLineChars="200"/>
        <w:outlineLvl w:val="3"/>
        <w:rPr>
          <w:rFonts w:ascii="宋体" w:hAnsi="宋体" w:eastAsia="宋体"/>
          <w:bCs/>
          <w:color w:val="auto"/>
          <w:sz w:val="24"/>
          <w:highlight w:val="none"/>
        </w:rPr>
      </w:pPr>
      <w:bookmarkStart w:id="59" w:name="_Toc493406993"/>
      <w:r>
        <w:rPr>
          <w:rFonts w:ascii="宋体" w:hAnsi="宋体" w:eastAsia="宋体"/>
          <w:bCs/>
          <w:color w:val="auto"/>
          <w:sz w:val="24"/>
          <w:highlight w:val="none"/>
        </w:rPr>
        <w:t xml:space="preserve">17. </w:t>
      </w:r>
      <w:r>
        <w:rPr>
          <w:rFonts w:hint="eastAsia" w:ascii="宋体" w:hAnsi="宋体" w:eastAsia="宋体"/>
          <w:bCs/>
          <w:color w:val="auto"/>
          <w:sz w:val="24"/>
          <w:highlight w:val="none"/>
        </w:rPr>
        <w:t>进度款支付</w:t>
      </w:r>
      <w:bookmarkEnd w:id="59"/>
    </w:p>
    <w:p w14:paraId="05558F02">
      <w:pPr>
        <w:spacing w:line="400" w:lineRule="exact"/>
        <w:ind w:firstLine="480" w:firstLineChars="200"/>
        <w:rPr>
          <w:rFonts w:hint="default" w:ascii="宋体" w:hAnsi="宋体"/>
          <w:color w:val="auto"/>
          <w:sz w:val="24"/>
          <w:highlight w:val="none"/>
          <w:lang w:val="en-US" w:eastAsia="zh-CN"/>
        </w:rPr>
      </w:pPr>
      <w:r>
        <w:rPr>
          <w:rFonts w:ascii="宋体" w:hAnsi="宋体" w:eastAsia="宋体"/>
          <w:color w:val="auto"/>
          <w:sz w:val="24"/>
          <w:highlight w:val="none"/>
        </w:rPr>
        <w:t>17.1</w:t>
      </w:r>
      <w:r>
        <w:rPr>
          <w:rFonts w:hint="eastAsia" w:ascii="宋体" w:hAnsi="宋体"/>
          <w:color w:val="auto"/>
          <w:sz w:val="24"/>
          <w:highlight w:val="none"/>
          <w:lang w:val="en-US" w:eastAsia="zh-CN"/>
        </w:rPr>
        <w:t xml:space="preserve"> 季度</w:t>
      </w:r>
      <w:r>
        <w:rPr>
          <w:rFonts w:hint="eastAsia" w:ascii="宋体" w:hAnsi="宋体" w:eastAsia="宋体"/>
          <w:color w:val="auto"/>
          <w:sz w:val="24"/>
          <w:highlight w:val="none"/>
        </w:rPr>
        <w:t>支付</w:t>
      </w:r>
    </w:p>
    <w:p w14:paraId="51DAEA74">
      <w:pPr>
        <w:spacing w:line="400" w:lineRule="exact"/>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zh-CN"/>
        </w:rPr>
        <w:t>承包人应在该</w:t>
      </w:r>
      <w:r>
        <w:rPr>
          <w:rFonts w:hint="eastAsia" w:ascii="宋体" w:hAnsi="宋体"/>
          <w:color w:val="auto"/>
          <w:sz w:val="24"/>
          <w:highlight w:val="none"/>
          <w:lang w:val="en-US" w:eastAsia="zh-CN"/>
        </w:rPr>
        <w:t>季度</w:t>
      </w:r>
      <w:r>
        <w:rPr>
          <w:rFonts w:hint="eastAsia" w:ascii="宋体" w:hAnsi="宋体" w:eastAsia="宋体"/>
          <w:color w:val="auto"/>
          <w:sz w:val="24"/>
          <w:highlight w:val="none"/>
          <w:lang w:val="zh-CN"/>
        </w:rPr>
        <w:t>工程完成后</w:t>
      </w:r>
      <w:r>
        <w:rPr>
          <w:rFonts w:ascii="宋体" w:hAnsi="宋体" w:eastAsia="宋体"/>
          <w:color w:val="auto"/>
          <w:sz w:val="24"/>
          <w:highlight w:val="none"/>
          <w:lang w:val="zh-CN"/>
        </w:rPr>
        <w:t>14</w:t>
      </w:r>
      <w:r>
        <w:rPr>
          <w:rFonts w:hint="eastAsia" w:ascii="宋体" w:hAnsi="宋体" w:eastAsia="宋体"/>
          <w:color w:val="auto"/>
          <w:sz w:val="24"/>
          <w:highlight w:val="none"/>
          <w:lang w:val="zh-CN"/>
        </w:rPr>
        <w:t>天内向发包人提交</w:t>
      </w:r>
      <w:r>
        <w:rPr>
          <w:rFonts w:hint="eastAsia" w:ascii="宋体" w:hAnsi="宋体"/>
          <w:color w:val="auto"/>
          <w:sz w:val="24"/>
          <w:highlight w:val="none"/>
          <w:lang w:val="zh-CN" w:eastAsia="zh-CN"/>
        </w:rPr>
        <w:t>季度</w:t>
      </w:r>
      <w:r>
        <w:rPr>
          <w:rFonts w:hint="eastAsia" w:ascii="宋体" w:hAnsi="宋体"/>
          <w:color w:val="auto"/>
          <w:sz w:val="24"/>
          <w:highlight w:val="none"/>
          <w:lang w:val="zh-CN"/>
        </w:rPr>
        <w:t>支付申请</w:t>
      </w:r>
      <w:r>
        <w:rPr>
          <w:rFonts w:hint="eastAsia" w:ascii="宋体" w:hAnsi="宋体" w:eastAsia="宋体"/>
          <w:color w:val="auto"/>
          <w:sz w:val="24"/>
          <w:highlight w:val="none"/>
          <w:lang w:val="zh-CN"/>
        </w:rPr>
        <w:t>，其格式由发包人制定，并提交相关运行维护资料（含</w:t>
      </w:r>
      <w:r>
        <w:rPr>
          <w:rFonts w:hint="eastAsia" w:ascii="宋体" w:hAnsi="宋体"/>
          <w:color w:val="auto"/>
          <w:sz w:val="24"/>
          <w:highlight w:val="none"/>
          <w:lang w:val="en-US" w:eastAsia="zh-CN"/>
        </w:rPr>
        <w:t>隐患台账</w:t>
      </w:r>
      <w:r>
        <w:rPr>
          <w:rFonts w:hint="eastAsia" w:ascii="宋体" w:hAnsi="宋体" w:eastAsia="宋体"/>
          <w:color w:val="auto"/>
          <w:sz w:val="24"/>
          <w:highlight w:val="none"/>
          <w:lang w:val="zh-CN"/>
        </w:rPr>
        <w:t>及维修记录、影像资料记录或拷贝文件</w:t>
      </w:r>
      <w:r>
        <w:rPr>
          <w:rFonts w:hint="eastAsia" w:ascii="宋体" w:hAnsi="宋体"/>
          <w:color w:val="auto"/>
          <w:sz w:val="24"/>
          <w:highlight w:val="none"/>
          <w:lang w:val="en-US" w:eastAsia="zh-CN"/>
        </w:rPr>
        <w:t>等</w:t>
      </w:r>
      <w:r>
        <w:rPr>
          <w:rFonts w:hint="eastAsia" w:ascii="宋体" w:hAnsi="宋体" w:eastAsia="宋体"/>
          <w:color w:val="auto"/>
          <w:sz w:val="24"/>
          <w:highlight w:val="none"/>
          <w:lang w:val="zh-CN"/>
        </w:rPr>
        <w:t>）。发包人在收到</w:t>
      </w:r>
      <w:r>
        <w:rPr>
          <w:rFonts w:hint="eastAsia" w:ascii="宋体" w:hAnsi="宋体"/>
          <w:color w:val="auto"/>
          <w:sz w:val="24"/>
          <w:highlight w:val="none"/>
          <w:lang w:val="zh-CN" w:eastAsia="zh-CN"/>
        </w:rPr>
        <w:t>季度</w:t>
      </w:r>
      <w:r>
        <w:rPr>
          <w:rFonts w:hint="eastAsia" w:ascii="宋体" w:hAnsi="宋体"/>
          <w:color w:val="auto"/>
          <w:sz w:val="24"/>
          <w:highlight w:val="none"/>
          <w:lang w:val="zh-CN"/>
        </w:rPr>
        <w:t>支付申请</w:t>
      </w:r>
      <w:r>
        <w:rPr>
          <w:rFonts w:hint="eastAsia" w:ascii="宋体" w:hAnsi="宋体" w:eastAsia="宋体"/>
          <w:color w:val="auto"/>
          <w:sz w:val="24"/>
          <w:highlight w:val="none"/>
          <w:lang w:val="zh-CN"/>
        </w:rPr>
        <w:t>后审核，在</w:t>
      </w:r>
      <w:r>
        <w:rPr>
          <w:rFonts w:ascii="宋体" w:hAnsi="宋体" w:eastAsia="宋体"/>
          <w:color w:val="auto"/>
          <w:sz w:val="24"/>
          <w:highlight w:val="none"/>
          <w:lang w:val="zh-CN"/>
        </w:rPr>
        <w:t>14</w:t>
      </w:r>
      <w:r>
        <w:rPr>
          <w:rFonts w:hint="eastAsia" w:ascii="宋体" w:hAnsi="宋体" w:eastAsia="宋体"/>
          <w:color w:val="auto"/>
          <w:sz w:val="24"/>
          <w:highlight w:val="none"/>
          <w:lang w:val="zh-CN"/>
        </w:rPr>
        <w:t>天内</w:t>
      </w:r>
      <w:r>
        <w:rPr>
          <w:rFonts w:hint="eastAsia" w:ascii="宋体" w:hAnsi="宋体"/>
          <w:color w:val="auto"/>
          <w:sz w:val="24"/>
          <w:highlight w:val="none"/>
          <w:lang w:val="en-US" w:eastAsia="zh-CN"/>
        </w:rPr>
        <w:t>出具审核意见</w:t>
      </w:r>
      <w:r>
        <w:rPr>
          <w:rFonts w:hint="eastAsia" w:ascii="宋体" w:hAnsi="宋体" w:eastAsia="宋体"/>
          <w:color w:val="auto"/>
          <w:sz w:val="24"/>
          <w:highlight w:val="none"/>
          <w:lang w:val="zh-CN"/>
        </w:rPr>
        <w:t>。</w:t>
      </w:r>
    </w:p>
    <w:p w14:paraId="7DE8F3BE">
      <w:pPr>
        <w:spacing w:line="400" w:lineRule="exact"/>
        <w:ind w:firstLine="480" w:firstLineChars="200"/>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其他合同条款中规定的增加或减少的费用、各类违约金，应与运行维护进度款同期调整支付。</w:t>
      </w:r>
    </w:p>
    <w:p w14:paraId="4F1E9611">
      <w:pPr>
        <w:spacing w:line="400" w:lineRule="exact"/>
        <w:ind w:firstLine="480" w:firstLineChars="200"/>
        <w:rPr>
          <w:rFonts w:ascii="宋体" w:hAnsi="宋体" w:eastAsia="宋体"/>
          <w:color w:val="auto"/>
          <w:sz w:val="24"/>
          <w:highlight w:val="none"/>
          <w:lang w:val="zh-CN"/>
        </w:rPr>
      </w:pPr>
      <w:r>
        <w:rPr>
          <w:rFonts w:ascii="宋体" w:hAnsi="宋体" w:eastAsia="宋体"/>
          <w:color w:val="auto"/>
          <w:sz w:val="24"/>
          <w:highlight w:val="none"/>
          <w:lang w:val="zh-CN"/>
        </w:rPr>
        <w:t>17.2</w:t>
      </w:r>
      <w:r>
        <w:rPr>
          <w:rFonts w:hint="eastAsia" w:ascii="宋体" w:hAnsi="宋体" w:eastAsia="宋体"/>
          <w:color w:val="auto"/>
          <w:sz w:val="24"/>
          <w:highlight w:val="none"/>
          <w:lang w:val="zh-CN"/>
        </w:rPr>
        <w:t>发包人已计量支付的项目，经确认存在质量缺陷的，承包人应负责进行修复，否则，发包人有权在任一期计量支付中，扣除该项费用。</w:t>
      </w:r>
    </w:p>
    <w:p w14:paraId="2EC602D6">
      <w:pPr>
        <w:spacing w:line="400" w:lineRule="exact"/>
        <w:ind w:firstLine="480" w:firstLineChars="200"/>
        <w:rPr>
          <w:rFonts w:hint="eastAsia" w:ascii="宋体" w:hAnsi="宋体"/>
          <w:color w:val="auto"/>
          <w:sz w:val="24"/>
          <w:highlight w:val="none"/>
          <w:lang w:val="en-US" w:eastAsia="zh-CN"/>
        </w:rPr>
      </w:pPr>
      <w:r>
        <w:rPr>
          <w:rFonts w:ascii="宋体" w:hAnsi="宋体" w:eastAsia="宋体"/>
          <w:color w:val="auto"/>
          <w:sz w:val="24"/>
          <w:highlight w:val="none"/>
          <w:lang w:val="zh-CN"/>
        </w:rPr>
        <w:t xml:space="preserve">17.3 </w:t>
      </w:r>
      <w:r>
        <w:rPr>
          <w:rFonts w:hint="eastAsia" w:ascii="宋体" w:hAnsi="宋体"/>
          <w:color w:val="auto"/>
          <w:sz w:val="24"/>
          <w:highlight w:val="none"/>
          <w:lang w:val="en-US" w:eastAsia="zh-CN"/>
        </w:rPr>
        <w:t>费用构成与支付比例</w:t>
      </w:r>
    </w:p>
    <w:p w14:paraId="3427871D">
      <w:pPr>
        <w:spacing w:line="400" w:lineRule="exact"/>
        <w:ind w:firstLine="480" w:firstLineChars="200"/>
        <w:rPr>
          <w:rFonts w:hint="default" w:ascii="宋体" w:hAnsi="宋体"/>
          <w:color w:val="auto"/>
          <w:sz w:val="24"/>
          <w:highlight w:val="none"/>
          <w:lang w:val="en-US" w:eastAsia="zh-CN"/>
        </w:rPr>
      </w:pPr>
      <w:r>
        <w:rPr>
          <w:rFonts w:hint="default" w:ascii="宋体" w:hAnsi="宋体"/>
          <w:color w:val="auto"/>
          <w:sz w:val="24"/>
          <w:highlight w:val="none"/>
          <w:lang w:val="en-US" w:eastAsia="zh-CN"/>
        </w:rPr>
        <w:t>季度</w:t>
      </w:r>
      <w:r>
        <w:rPr>
          <w:rFonts w:hint="eastAsia" w:ascii="宋体" w:hAnsi="宋体"/>
          <w:color w:val="auto"/>
          <w:sz w:val="24"/>
          <w:highlight w:val="none"/>
          <w:lang w:val="en-US" w:eastAsia="zh-CN"/>
        </w:rPr>
        <w:t>费用=</w:t>
      </w:r>
      <w:r>
        <w:rPr>
          <w:rFonts w:hint="default" w:ascii="宋体" w:hAnsi="宋体"/>
          <w:color w:val="auto"/>
          <w:sz w:val="24"/>
          <w:highlight w:val="none"/>
          <w:lang w:eastAsia="zh-CN"/>
        </w:rPr>
        <w:t>水利设施维修管养费、</w:t>
      </w:r>
      <w:r>
        <w:rPr>
          <w:rFonts w:hint="eastAsia" w:ascii="宋体" w:hAnsi="宋体"/>
          <w:color w:val="auto"/>
          <w:sz w:val="24"/>
          <w:highlight w:val="none"/>
          <w:lang w:val="en-US" w:eastAsia="zh-Hans"/>
        </w:rPr>
        <w:t>运行管理人员费</w:t>
      </w:r>
      <w:r>
        <w:rPr>
          <w:rFonts w:hint="default" w:ascii="宋体" w:hAnsi="宋体"/>
          <w:color w:val="auto"/>
          <w:sz w:val="24"/>
          <w:highlight w:val="none"/>
          <w:lang w:eastAsia="zh-Hans"/>
        </w:rPr>
        <w:t>、安保人员费、维修保洁费</w:t>
      </w:r>
      <w:r>
        <w:rPr>
          <w:rFonts w:hint="eastAsia" w:ascii="宋体" w:hAnsi="宋体"/>
          <w:color w:val="auto"/>
          <w:sz w:val="24"/>
          <w:highlight w:val="none"/>
          <w:lang w:val="en-US" w:eastAsia="zh-CN"/>
        </w:rPr>
        <w:t>（</w:t>
      </w:r>
      <w:r>
        <w:rPr>
          <w:rFonts w:hint="eastAsia" w:ascii="宋体" w:hAnsi="宋体"/>
          <w:color w:val="auto"/>
          <w:sz w:val="24"/>
          <w:highlight w:val="none"/>
          <w:lang w:val="en-US" w:eastAsia="zh-Hans"/>
        </w:rPr>
        <w:t>根据承包人维修养护的内容</w:t>
      </w:r>
      <w:r>
        <w:rPr>
          <w:rFonts w:hint="default" w:ascii="宋体" w:hAnsi="宋体"/>
          <w:color w:val="auto"/>
          <w:sz w:val="24"/>
          <w:highlight w:val="none"/>
          <w:lang w:eastAsia="zh-Hans"/>
        </w:rPr>
        <w:t>，</w:t>
      </w:r>
      <w:r>
        <w:rPr>
          <w:rFonts w:hint="eastAsia" w:ascii="宋体" w:hAnsi="宋体"/>
          <w:color w:val="auto"/>
          <w:sz w:val="24"/>
          <w:highlight w:val="none"/>
          <w:lang w:val="en-US" w:eastAsia="zh-CN"/>
        </w:rPr>
        <w:t>日常维修养护费用</w:t>
      </w:r>
      <w:r>
        <w:rPr>
          <w:rFonts w:hint="eastAsia" w:ascii="宋体" w:hAnsi="宋体"/>
          <w:color w:val="auto"/>
          <w:sz w:val="24"/>
          <w:highlight w:val="none"/>
          <w:lang w:val="en-US" w:eastAsia="zh-CN"/>
        </w:rPr>
        <w:t>表一按季度等额计量，</w:t>
      </w:r>
      <w:r>
        <w:rPr>
          <w:rFonts w:hint="eastAsia" w:ascii="宋体" w:hAnsi="宋体"/>
          <w:color w:val="auto"/>
          <w:sz w:val="24"/>
          <w:highlight w:val="none"/>
          <w:lang w:val="en-US" w:eastAsia="zh-CN"/>
        </w:rPr>
        <w:t>日常维修养护费用表二按实计量</w:t>
      </w:r>
      <w:r>
        <w:rPr>
          <w:rFonts w:hint="eastAsia" w:ascii="宋体" w:hAnsi="宋体"/>
          <w:color w:val="auto"/>
          <w:sz w:val="24"/>
          <w:highlight w:val="none"/>
          <w:lang w:val="en-US" w:eastAsia="zh-CN"/>
        </w:rPr>
        <w:t>）+专项费用+水电费用+其他临时工程费+安全生产措施费-该季度应扣费</w:t>
      </w:r>
    </w:p>
    <w:p w14:paraId="2997FB2D">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季度费用按照合同条款第13款约定进行调整，</w:t>
      </w:r>
      <w:r>
        <w:rPr>
          <w:rFonts w:hint="eastAsia" w:ascii="宋体" w:hAnsi="宋体" w:eastAsia="宋体"/>
          <w:color w:val="auto"/>
          <w:sz w:val="24"/>
          <w:highlight w:val="none"/>
          <w:lang w:val="zh-CN"/>
        </w:rPr>
        <w:t>发包人每</w:t>
      </w:r>
      <w:r>
        <w:rPr>
          <w:rFonts w:hint="eastAsia" w:ascii="宋体" w:hAnsi="宋体"/>
          <w:color w:val="auto"/>
          <w:sz w:val="24"/>
          <w:highlight w:val="none"/>
          <w:lang w:val="en-US" w:eastAsia="zh-CN"/>
        </w:rPr>
        <w:t>季度</w:t>
      </w:r>
      <w:r>
        <w:rPr>
          <w:rFonts w:hint="default" w:ascii="宋体" w:hAnsi="宋体"/>
          <w:color w:val="auto"/>
          <w:sz w:val="24"/>
          <w:highlight w:val="none"/>
          <w:lang w:eastAsia="zh-CN"/>
        </w:rPr>
        <w:t>水利设施维修管养费、</w:t>
      </w:r>
      <w:r>
        <w:rPr>
          <w:rFonts w:hint="eastAsia" w:ascii="宋体" w:hAnsi="宋体"/>
          <w:color w:val="auto"/>
          <w:sz w:val="24"/>
          <w:highlight w:val="none"/>
          <w:lang w:val="en-US" w:eastAsia="zh-Hans"/>
        </w:rPr>
        <w:t>运行管理人员费</w:t>
      </w:r>
      <w:r>
        <w:rPr>
          <w:rFonts w:hint="default" w:ascii="宋体" w:hAnsi="宋体"/>
          <w:color w:val="auto"/>
          <w:sz w:val="24"/>
          <w:highlight w:val="none"/>
          <w:lang w:eastAsia="zh-Hans"/>
        </w:rPr>
        <w:t>、安保人员费、维修保洁费</w:t>
      </w:r>
      <w:r>
        <w:rPr>
          <w:rFonts w:hint="eastAsia" w:ascii="宋体" w:hAnsi="宋体"/>
          <w:color w:val="auto"/>
          <w:sz w:val="24"/>
          <w:highlight w:val="none"/>
          <w:lang w:val="en-US" w:eastAsia="zh-CN"/>
        </w:rPr>
        <w:t>、专项费用、其他临时工程费支付比例为80%，年度考核后支付5%，累计支付金额不超过签约合同价的85%，合同结算后支付剩余结算金额。</w:t>
      </w:r>
      <w:r>
        <w:rPr>
          <w:rFonts w:hint="eastAsia" w:ascii="宋体" w:hAnsi="宋体" w:eastAsia="宋体"/>
          <w:color w:val="auto"/>
          <w:sz w:val="24"/>
          <w:highlight w:val="none"/>
          <w:lang w:val="zh-CN"/>
        </w:rPr>
        <w:t>如发现有由于承包人的运行维护工作造成的工程缺陷时，承包人应无条件完成工程缺陷的</w:t>
      </w:r>
      <w:r>
        <w:rPr>
          <w:rFonts w:hint="eastAsia" w:ascii="宋体" w:hAnsi="宋体"/>
          <w:color w:val="auto"/>
          <w:sz w:val="24"/>
          <w:highlight w:val="none"/>
          <w:lang w:val="en-US" w:eastAsia="zh-CN"/>
        </w:rPr>
        <w:t>修复</w:t>
      </w:r>
      <w:r>
        <w:rPr>
          <w:rFonts w:hint="eastAsia" w:ascii="宋体" w:hAnsi="宋体" w:eastAsia="宋体"/>
          <w:color w:val="auto"/>
          <w:sz w:val="24"/>
          <w:highlight w:val="none"/>
          <w:lang w:val="zh-CN"/>
        </w:rPr>
        <w:t>，否则，发包人有权扣全部或部分剩余工程款（不足部分，发包人有权可以继续向承包人追索）。</w:t>
      </w:r>
    </w:p>
    <w:p w14:paraId="66FD68E8">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专项费用按照发包人指示开展，具体详见工程量清单说明。</w:t>
      </w:r>
    </w:p>
    <w:p w14:paraId="02C2A033">
      <w:pPr>
        <w:spacing w:line="400" w:lineRule="exact"/>
        <w:ind w:firstLine="480" w:firstLineChars="200"/>
        <w:rPr>
          <w:rFonts w:hint="eastAsia" w:ascii="宋体" w:hAnsi="宋体"/>
          <w:color w:val="auto"/>
          <w:sz w:val="24"/>
          <w:highlight w:val="none"/>
          <w:lang w:val="en-US" w:eastAsia="zh-CN"/>
        </w:rPr>
      </w:pPr>
      <w:r>
        <w:rPr>
          <w:rFonts w:hint="default" w:ascii="宋体" w:hAnsi="宋体"/>
          <w:color w:val="auto"/>
          <w:sz w:val="24"/>
          <w:highlight w:val="none"/>
          <w:lang w:val="en-US" w:eastAsia="zh-CN"/>
        </w:rPr>
        <w:t>水电费用</w:t>
      </w:r>
      <w:r>
        <w:rPr>
          <w:rFonts w:hint="eastAsia" w:ascii="宋体" w:hAnsi="宋体"/>
          <w:color w:val="auto"/>
          <w:sz w:val="24"/>
          <w:highlight w:val="none"/>
          <w:lang w:val="en-US" w:eastAsia="zh-CN"/>
        </w:rPr>
        <w:t>按实计量支付，安全生产措施费按照承包人报发包人审批通过的安全生产措施费使用计划及实际投入情况，提供满足发包人要求的资料后按实支付。</w:t>
      </w:r>
    </w:p>
    <w:p w14:paraId="11435CD2">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承包人接收水利设施后，开始计量运行人员费；原施工合同的质保期结束后，开始计量日常管养及维修费。</w:t>
      </w:r>
    </w:p>
    <w:p w14:paraId="68E29F5D">
      <w:pPr>
        <w:spacing w:line="400" w:lineRule="exact"/>
        <w:ind w:firstLine="480" w:firstLineChars="200"/>
        <w:rPr>
          <w:rFonts w:hint="eastAsia" w:ascii="宋体" w:hAnsi="宋体" w:eastAsia="宋体"/>
          <w:color w:val="auto"/>
          <w:sz w:val="24"/>
          <w:highlight w:val="none"/>
          <w:lang w:val="zh-CN"/>
        </w:rPr>
      </w:pPr>
      <w:r>
        <w:rPr>
          <w:rFonts w:ascii="宋体" w:hAnsi="宋体" w:eastAsia="宋体"/>
          <w:color w:val="auto"/>
          <w:sz w:val="24"/>
          <w:highlight w:val="none"/>
          <w:lang w:val="zh-CN"/>
        </w:rPr>
        <w:t>17.4</w:t>
      </w:r>
      <w:r>
        <w:rPr>
          <w:rFonts w:hint="eastAsia" w:ascii="宋体" w:hAnsi="宋体" w:eastAsia="宋体"/>
          <w:color w:val="auto"/>
          <w:sz w:val="24"/>
          <w:highlight w:val="none"/>
          <w:lang w:val="zh-CN"/>
        </w:rPr>
        <w:t>发包人在</w:t>
      </w:r>
      <w:r>
        <w:rPr>
          <w:rFonts w:hint="eastAsia" w:ascii="宋体" w:hAnsi="宋体"/>
          <w:color w:val="auto"/>
          <w:sz w:val="24"/>
          <w:highlight w:val="none"/>
          <w:lang w:val="en-US" w:eastAsia="zh-CN"/>
        </w:rPr>
        <w:t>收到承包人付款申请并审批同意</w:t>
      </w:r>
      <w:r>
        <w:rPr>
          <w:rFonts w:hint="eastAsia" w:ascii="宋体" w:hAnsi="宋体" w:eastAsia="宋体"/>
          <w:color w:val="auto"/>
          <w:sz w:val="24"/>
          <w:highlight w:val="none"/>
          <w:lang w:val="zh-CN"/>
        </w:rPr>
        <w:t>后</w:t>
      </w:r>
      <w:r>
        <w:rPr>
          <w:rFonts w:hint="eastAsia" w:ascii="宋体" w:hAnsi="宋体"/>
          <w:color w:val="auto"/>
          <w:sz w:val="24"/>
          <w:highlight w:val="none"/>
          <w:lang w:val="en-US" w:eastAsia="zh-CN"/>
        </w:rPr>
        <w:t>10个工作日内向区财政部门办理支付申请。</w:t>
      </w:r>
      <w:r>
        <w:rPr>
          <w:rFonts w:ascii="宋体" w:hAnsi="宋体" w:eastAsia="宋体"/>
          <w:color w:val="auto"/>
          <w:sz w:val="24"/>
          <w:highlight w:val="none"/>
          <w:lang w:val="zh-CN"/>
        </w:rPr>
        <w:t>发包人不</w:t>
      </w:r>
      <w:r>
        <w:rPr>
          <w:rFonts w:hint="eastAsia" w:ascii="宋体" w:hAnsi="宋体"/>
          <w:color w:val="auto"/>
          <w:sz w:val="24"/>
          <w:highlight w:val="none"/>
          <w:lang w:val="en-US" w:eastAsia="zh-CN"/>
        </w:rPr>
        <w:t>按期办理支付申请</w:t>
      </w:r>
      <w:r>
        <w:rPr>
          <w:rFonts w:ascii="宋体" w:hAnsi="宋体" w:eastAsia="宋体"/>
          <w:color w:val="auto"/>
          <w:sz w:val="24"/>
          <w:highlight w:val="none"/>
          <w:lang w:val="zh-CN"/>
        </w:rPr>
        <w:t>，</w:t>
      </w:r>
      <w:r>
        <w:rPr>
          <w:rFonts w:hint="eastAsia" w:ascii="宋体" w:hAnsi="宋体" w:eastAsia="宋体"/>
          <w:color w:val="auto"/>
          <w:sz w:val="24"/>
          <w:highlight w:val="none"/>
          <w:lang w:val="zh-CN"/>
        </w:rPr>
        <w:t>按</w:t>
      </w:r>
      <w:r>
        <w:rPr>
          <w:rFonts w:ascii="宋体" w:hAnsi="宋体" w:eastAsia="宋体"/>
          <w:color w:val="auto"/>
          <w:sz w:val="24"/>
          <w:highlight w:val="none"/>
          <w:lang w:val="zh-CN"/>
        </w:rPr>
        <w:t>24.1.1款承</w:t>
      </w:r>
      <w:r>
        <w:rPr>
          <w:rFonts w:hint="eastAsia" w:ascii="宋体" w:hAnsi="宋体" w:eastAsia="宋体"/>
          <w:color w:val="auto"/>
          <w:sz w:val="24"/>
          <w:highlight w:val="none"/>
          <w:lang w:val="zh-CN"/>
        </w:rPr>
        <w:t>担违约责任</w:t>
      </w:r>
      <w:r>
        <w:rPr>
          <w:rFonts w:ascii="宋体" w:hAnsi="宋体" w:eastAsia="宋体"/>
          <w:color w:val="auto"/>
          <w:sz w:val="24"/>
          <w:highlight w:val="none"/>
          <w:lang w:val="zh-CN"/>
        </w:rPr>
        <w:t>。</w:t>
      </w:r>
      <w:r>
        <w:rPr>
          <w:rFonts w:hint="eastAsia" w:ascii="宋体" w:hAnsi="宋体" w:eastAsia="宋体"/>
          <w:color w:val="auto"/>
          <w:sz w:val="24"/>
          <w:highlight w:val="none"/>
          <w:lang w:val="zh-CN"/>
        </w:rPr>
        <w:t>发包人每次</w:t>
      </w:r>
      <w:r>
        <w:rPr>
          <w:rFonts w:hint="eastAsia" w:ascii="宋体" w:hAnsi="宋体"/>
          <w:color w:val="auto"/>
          <w:sz w:val="24"/>
          <w:highlight w:val="none"/>
          <w:lang w:val="en-US" w:eastAsia="zh-CN"/>
        </w:rPr>
        <w:t>申请支付</w:t>
      </w:r>
      <w:r>
        <w:rPr>
          <w:rFonts w:hint="eastAsia" w:ascii="宋体" w:hAnsi="宋体" w:eastAsia="宋体"/>
          <w:color w:val="auto"/>
          <w:sz w:val="24"/>
          <w:highlight w:val="none"/>
          <w:lang w:val="zh-CN"/>
        </w:rPr>
        <w:t>前，承包人均应提交付款申请及符合发包人要求的等额增值税发票，否则发包人有权拒绝支付并不承担违约责任。</w:t>
      </w:r>
    </w:p>
    <w:p w14:paraId="21A62723">
      <w:pPr>
        <w:spacing w:line="400" w:lineRule="exact"/>
        <w:ind w:firstLine="480" w:firstLineChars="200"/>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因发包人使用的是财政资金，发包人</w:t>
      </w:r>
      <w:r>
        <w:rPr>
          <w:rFonts w:hint="eastAsia" w:ascii="宋体" w:hAnsi="宋体"/>
          <w:color w:val="auto"/>
          <w:sz w:val="24"/>
          <w:highlight w:val="none"/>
          <w:lang w:val="en-US" w:eastAsia="zh-CN"/>
        </w:rPr>
        <w:t>应</w:t>
      </w:r>
      <w:r>
        <w:rPr>
          <w:rFonts w:hint="eastAsia" w:ascii="宋体" w:hAnsi="宋体" w:eastAsia="宋体"/>
          <w:color w:val="auto"/>
          <w:sz w:val="24"/>
          <w:highlight w:val="none"/>
          <w:lang w:val="zh-CN"/>
        </w:rPr>
        <w:t>在规定的付款时间内向财政部门申请支付手续</w:t>
      </w:r>
      <w:r>
        <w:rPr>
          <w:rFonts w:hint="eastAsia" w:ascii="宋体" w:hAnsi="宋体"/>
          <w:color w:val="auto"/>
          <w:sz w:val="24"/>
          <w:highlight w:val="none"/>
          <w:lang w:val="zh-CN"/>
        </w:rPr>
        <w:t>（</w:t>
      </w:r>
      <w:r>
        <w:rPr>
          <w:rFonts w:hint="eastAsia" w:ascii="宋体" w:hAnsi="宋体" w:eastAsia="宋体"/>
          <w:color w:val="auto"/>
          <w:sz w:val="24"/>
          <w:highlight w:val="none"/>
          <w:lang w:val="zh-CN"/>
        </w:rPr>
        <w:t>不含政府财政支付部门审核的时间</w:t>
      </w:r>
      <w:r>
        <w:rPr>
          <w:rFonts w:hint="eastAsia" w:ascii="宋体" w:hAnsi="宋体"/>
          <w:color w:val="auto"/>
          <w:sz w:val="24"/>
          <w:highlight w:val="none"/>
          <w:lang w:val="zh-CN"/>
        </w:rPr>
        <w:t>）</w:t>
      </w:r>
      <w:r>
        <w:rPr>
          <w:rFonts w:hint="eastAsia" w:ascii="宋体" w:hAnsi="宋体" w:eastAsia="宋体"/>
          <w:color w:val="auto"/>
          <w:sz w:val="24"/>
          <w:highlight w:val="none"/>
          <w:lang w:val="zh-CN"/>
        </w:rPr>
        <w:t>，即视为发包人已经按期支付。</w:t>
      </w:r>
    </w:p>
    <w:p w14:paraId="2C602072">
      <w:pPr>
        <w:spacing w:line="400" w:lineRule="exact"/>
        <w:ind w:firstLine="480" w:firstLineChars="200"/>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发包人不对由于财政性资金集中支付原因引起的支付延误承担责任。因承包人支付申请书和有关资料不齐或错误引起的支付延误，责任由承包人承担。</w:t>
      </w:r>
    </w:p>
    <w:p w14:paraId="5447AA3A">
      <w:pPr>
        <w:spacing w:line="400" w:lineRule="exact"/>
        <w:ind w:firstLine="480" w:firstLineChars="200"/>
        <w:rPr>
          <w:rFonts w:ascii="宋体" w:hAnsi="宋体" w:eastAsia="宋体"/>
          <w:color w:val="auto"/>
          <w:sz w:val="24"/>
          <w:highlight w:val="none"/>
          <w:lang w:val="zh-CN"/>
        </w:rPr>
      </w:pPr>
      <w:r>
        <w:rPr>
          <w:rFonts w:ascii="宋体" w:hAnsi="宋体" w:eastAsia="宋体"/>
          <w:color w:val="auto"/>
          <w:sz w:val="24"/>
          <w:highlight w:val="none"/>
          <w:lang w:val="zh-CN"/>
        </w:rPr>
        <w:t>17.</w:t>
      </w:r>
      <w:r>
        <w:rPr>
          <w:rFonts w:hint="eastAsia" w:ascii="宋体" w:hAnsi="宋体"/>
          <w:color w:val="auto"/>
          <w:sz w:val="24"/>
          <w:highlight w:val="none"/>
          <w:lang w:val="en-US" w:eastAsia="zh-CN"/>
        </w:rPr>
        <w:t>5</w:t>
      </w:r>
      <w:r>
        <w:rPr>
          <w:rFonts w:hint="eastAsia" w:ascii="宋体" w:hAnsi="宋体" w:eastAsia="宋体"/>
          <w:color w:val="auto"/>
          <w:sz w:val="24"/>
          <w:highlight w:val="none"/>
          <w:lang w:val="zh-CN"/>
        </w:rPr>
        <w:t>承包人在</w:t>
      </w:r>
      <w:r>
        <w:rPr>
          <w:rFonts w:hint="eastAsia" w:ascii="宋体" w:hAnsi="宋体"/>
          <w:color w:val="auto"/>
          <w:sz w:val="24"/>
          <w:highlight w:val="none"/>
          <w:lang w:val="zh-CN"/>
        </w:rPr>
        <w:t>运行维护方案</w:t>
      </w:r>
      <w:r>
        <w:rPr>
          <w:rFonts w:hint="eastAsia" w:ascii="宋体" w:hAnsi="宋体" w:eastAsia="宋体"/>
          <w:color w:val="auto"/>
          <w:sz w:val="24"/>
          <w:highlight w:val="none"/>
          <w:lang w:val="zh-CN"/>
        </w:rPr>
        <w:t>中，应编制年度和</w:t>
      </w:r>
      <w:r>
        <w:rPr>
          <w:rFonts w:hint="eastAsia" w:ascii="宋体" w:hAnsi="宋体"/>
          <w:color w:val="auto"/>
          <w:sz w:val="24"/>
          <w:highlight w:val="none"/>
          <w:lang w:val="en-US" w:eastAsia="zh-CN"/>
        </w:rPr>
        <w:t>季</w:t>
      </w:r>
      <w:r>
        <w:rPr>
          <w:rFonts w:hint="eastAsia" w:ascii="宋体" w:hAnsi="宋体" w:eastAsia="宋体"/>
          <w:color w:val="auto"/>
          <w:sz w:val="24"/>
          <w:highlight w:val="none"/>
          <w:lang w:val="zh-CN"/>
        </w:rPr>
        <w:t>度用款计划。运行维护作业过程中，可根据进度调整用款计划。</w:t>
      </w:r>
    </w:p>
    <w:p w14:paraId="7203A8E9">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17.</w:t>
      </w:r>
      <w:r>
        <w:rPr>
          <w:rFonts w:hint="eastAsia" w:ascii="宋体" w:hAnsi="宋体"/>
          <w:color w:val="auto"/>
          <w:sz w:val="24"/>
          <w:highlight w:val="none"/>
          <w:lang w:val="en-US" w:eastAsia="zh-CN"/>
        </w:rPr>
        <w:t>6</w:t>
      </w:r>
      <w:r>
        <w:rPr>
          <w:rFonts w:hint="eastAsia" w:ascii="宋体" w:hAnsi="宋体" w:eastAsia="宋体"/>
          <w:color w:val="auto"/>
          <w:sz w:val="24"/>
          <w:highlight w:val="none"/>
        </w:rPr>
        <w:t>计量支付</w:t>
      </w:r>
      <w:r>
        <w:rPr>
          <w:rFonts w:hint="default" w:ascii="宋体" w:hAnsi="宋体"/>
          <w:color w:val="auto"/>
          <w:sz w:val="24"/>
          <w:highlight w:val="none"/>
        </w:rPr>
        <w:t>、</w:t>
      </w:r>
      <w:r>
        <w:rPr>
          <w:rFonts w:hint="eastAsia" w:ascii="宋体" w:hAnsi="宋体"/>
          <w:color w:val="auto"/>
          <w:sz w:val="24"/>
          <w:highlight w:val="none"/>
          <w:lang w:val="en-US" w:eastAsia="zh-Hans"/>
        </w:rPr>
        <w:t>结算原则</w:t>
      </w:r>
      <w:r>
        <w:rPr>
          <w:rFonts w:hint="eastAsia" w:ascii="宋体" w:hAnsi="宋体"/>
          <w:color w:val="auto"/>
          <w:sz w:val="24"/>
          <w:highlight w:val="none"/>
          <w:lang w:val="en-US" w:eastAsia="zh-CN"/>
        </w:rPr>
        <w:t>及后续优化</w:t>
      </w:r>
      <w:r>
        <w:rPr>
          <w:rFonts w:hint="eastAsia" w:ascii="宋体" w:hAnsi="宋体" w:eastAsia="宋体"/>
          <w:color w:val="auto"/>
          <w:sz w:val="24"/>
          <w:highlight w:val="none"/>
        </w:rPr>
        <w:t>调整</w:t>
      </w:r>
    </w:p>
    <w:p w14:paraId="708C8A7D">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除合同或工程量清单另有说明外，按照以下</w:t>
      </w:r>
      <w:r>
        <w:rPr>
          <w:rFonts w:hint="eastAsia" w:ascii="宋体" w:hAnsi="宋体"/>
          <w:color w:val="auto"/>
          <w:sz w:val="24"/>
          <w:highlight w:val="none"/>
          <w:lang w:val="en-US" w:eastAsia="zh-Hans"/>
        </w:rPr>
        <w:t>原则</w:t>
      </w:r>
      <w:r>
        <w:rPr>
          <w:rFonts w:hint="eastAsia" w:ascii="宋体" w:hAnsi="宋体"/>
          <w:color w:val="auto"/>
          <w:sz w:val="24"/>
          <w:highlight w:val="none"/>
          <w:lang w:val="en-US" w:eastAsia="zh-CN"/>
        </w:rPr>
        <w:t>进行计量</w:t>
      </w:r>
      <w:r>
        <w:rPr>
          <w:rFonts w:hint="default" w:ascii="宋体" w:hAnsi="宋体"/>
          <w:color w:val="auto"/>
          <w:sz w:val="24"/>
          <w:highlight w:val="none"/>
          <w:lang w:eastAsia="zh-CN"/>
        </w:rPr>
        <w:t>、</w:t>
      </w:r>
      <w:r>
        <w:rPr>
          <w:rFonts w:hint="eastAsia" w:ascii="宋体" w:hAnsi="宋体"/>
          <w:color w:val="auto"/>
          <w:sz w:val="24"/>
          <w:highlight w:val="none"/>
          <w:lang w:val="en-US" w:eastAsia="zh-Hans"/>
        </w:rPr>
        <w:t>结算</w:t>
      </w:r>
      <w:r>
        <w:rPr>
          <w:rFonts w:hint="eastAsia" w:ascii="宋体" w:hAnsi="宋体"/>
          <w:color w:val="auto"/>
          <w:sz w:val="24"/>
          <w:highlight w:val="none"/>
          <w:lang w:val="en-US" w:eastAsia="zh-CN"/>
        </w:rPr>
        <w:t>：</w:t>
      </w:r>
    </w:p>
    <w:p w14:paraId="5C998176">
      <w:pPr>
        <w:spacing w:line="400" w:lineRule="exact"/>
        <w:ind w:left="199" w:leftChars="95" w:firstLine="240" w:firstLineChars="1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①</w:t>
      </w:r>
      <w:r>
        <w:rPr>
          <w:rFonts w:hint="default" w:ascii="宋体" w:hAnsi="宋体"/>
          <w:color w:val="auto"/>
          <w:sz w:val="24"/>
          <w:highlight w:val="none"/>
          <w:lang w:eastAsia="zh-CN"/>
        </w:rPr>
        <w:t>水利设施维修管养费、</w:t>
      </w:r>
      <w:r>
        <w:rPr>
          <w:rFonts w:hint="eastAsia" w:ascii="宋体" w:hAnsi="宋体"/>
          <w:color w:val="auto"/>
          <w:sz w:val="24"/>
          <w:highlight w:val="none"/>
          <w:lang w:val="en-US" w:eastAsia="zh-Hans"/>
        </w:rPr>
        <w:t>运行管理人员费</w:t>
      </w:r>
      <w:r>
        <w:rPr>
          <w:rFonts w:hint="default" w:ascii="宋体" w:hAnsi="宋体"/>
          <w:color w:val="auto"/>
          <w:sz w:val="24"/>
          <w:highlight w:val="none"/>
          <w:lang w:eastAsia="zh-Hans"/>
        </w:rPr>
        <w:t>、安保人员费、维修保洁费</w:t>
      </w:r>
      <w:r>
        <w:rPr>
          <w:rFonts w:hint="eastAsia" w:ascii="宋体" w:hAnsi="宋体"/>
          <w:color w:val="auto"/>
          <w:sz w:val="24"/>
          <w:highlight w:val="none"/>
          <w:lang w:val="zh-CN"/>
        </w:rPr>
        <w:t>：</w:t>
      </w:r>
      <w:r>
        <w:rPr>
          <w:rFonts w:hint="eastAsia" w:ascii="宋体" w:hAnsi="宋体"/>
          <w:color w:val="auto"/>
          <w:sz w:val="24"/>
          <w:highlight w:val="none"/>
          <w:lang w:val="en-US" w:eastAsia="zh-CN"/>
        </w:rPr>
        <w:t>日常维修养护费用</w:t>
      </w:r>
      <w:r>
        <w:rPr>
          <w:rFonts w:hint="eastAsia" w:ascii="宋体" w:hAnsi="宋体"/>
          <w:color w:val="auto"/>
          <w:sz w:val="24"/>
          <w:highlight w:val="none"/>
          <w:lang w:val="en-US" w:eastAsia="zh-CN"/>
        </w:rPr>
        <w:t>表一按季度等额计量，</w:t>
      </w:r>
      <w:r>
        <w:rPr>
          <w:rFonts w:hint="eastAsia" w:ascii="宋体" w:hAnsi="宋体"/>
          <w:color w:val="auto"/>
          <w:sz w:val="24"/>
          <w:highlight w:val="none"/>
          <w:lang w:val="en-US" w:eastAsia="zh-CN"/>
        </w:rPr>
        <w:t>日常维修养护费用表二按实计量，运行维护期间</w:t>
      </w:r>
      <w:r>
        <w:rPr>
          <w:rFonts w:hint="eastAsia" w:ascii="宋体" w:hAnsi="宋体"/>
          <w:color w:val="auto"/>
          <w:sz w:val="24"/>
          <w:highlight w:val="none"/>
          <w:lang w:val="en-US" w:eastAsia="zh-Hans"/>
        </w:rPr>
        <w:t>该部分费用</w:t>
      </w:r>
      <w:r>
        <w:rPr>
          <w:rFonts w:hint="eastAsia" w:ascii="宋体" w:hAnsi="宋体"/>
          <w:color w:val="auto"/>
          <w:sz w:val="24"/>
          <w:highlight w:val="none"/>
          <w:lang w:val="en-US" w:eastAsia="zh-CN"/>
        </w:rPr>
        <w:t>根据实际运行维护的水利设施进行调整（例如：部分水利设施根据发包人要求移交其他单位进行管养或建设），未实施的工程量不予计量</w:t>
      </w:r>
      <w:r>
        <w:rPr>
          <w:rFonts w:hint="default" w:ascii="宋体" w:hAnsi="宋体"/>
          <w:color w:val="auto"/>
          <w:sz w:val="24"/>
          <w:highlight w:val="none"/>
          <w:lang w:eastAsia="zh-CN"/>
        </w:rPr>
        <w:t>、</w:t>
      </w:r>
      <w:r>
        <w:rPr>
          <w:rFonts w:hint="eastAsia" w:ascii="宋体" w:hAnsi="宋体"/>
          <w:color w:val="auto"/>
          <w:sz w:val="24"/>
          <w:highlight w:val="none"/>
          <w:lang w:val="en-US" w:eastAsia="zh-Hans"/>
        </w:rPr>
        <w:t>支付</w:t>
      </w:r>
      <w:r>
        <w:rPr>
          <w:rFonts w:hint="default" w:ascii="宋体" w:hAnsi="宋体"/>
          <w:color w:val="auto"/>
          <w:sz w:val="24"/>
          <w:highlight w:val="none"/>
          <w:lang w:eastAsia="zh-Hans"/>
        </w:rPr>
        <w:t>，</w:t>
      </w:r>
      <w:r>
        <w:rPr>
          <w:rFonts w:hint="eastAsia" w:ascii="宋体" w:hAnsi="宋体"/>
          <w:color w:val="auto"/>
          <w:sz w:val="24"/>
          <w:highlight w:val="none"/>
          <w:lang w:val="en-US" w:eastAsia="zh-Hans"/>
        </w:rPr>
        <w:t>结算时以有审批权限的部门审定金额为准</w:t>
      </w:r>
      <w:r>
        <w:rPr>
          <w:rFonts w:hint="eastAsia" w:ascii="宋体" w:hAnsi="宋体"/>
          <w:color w:val="auto"/>
          <w:sz w:val="24"/>
          <w:highlight w:val="none"/>
          <w:lang w:val="en-US" w:eastAsia="zh-CN"/>
        </w:rPr>
        <w:t>。</w:t>
      </w:r>
    </w:p>
    <w:p w14:paraId="3593BF2B">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②专项费用：按照发包人指示或承包人上报方案经发包人审批确认后实施，计量方式详见工程量清单说明。</w:t>
      </w:r>
    </w:p>
    <w:p w14:paraId="7998F74C">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数据服务费根据发包人同意的方案实施，按实计量、支付，最终结算价格不超过已标价工程量清单中的该项金额。</w:t>
      </w:r>
    </w:p>
    <w:p w14:paraId="3134AD57">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③水电费：实报实销，支付时需提供满足发包人要求的相关资料。</w:t>
      </w:r>
    </w:p>
    <w:p w14:paraId="43B4159F">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④其他临时工程费：按实际发生的费用计量，支付时需提供相关费用清单，总费用不超过投标报价中的相应金额，超过部分不予计量。</w:t>
      </w:r>
    </w:p>
    <w:p w14:paraId="14D1FA54">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⑤安全生产措施费：按照承包人安全生产措施费使用计划及实际投入情况，提供满足发包人要求的资料后按实支付</w:t>
      </w:r>
      <w:r>
        <w:rPr>
          <w:rFonts w:hint="default" w:ascii="宋体" w:hAnsi="宋体"/>
          <w:color w:val="auto"/>
          <w:sz w:val="24"/>
          <w:highlight w:val="none"/>
          <w:lang w:eastAsia="zh-CN"/>
        </w:rPr>
        <w:t>，</w:t>
      </w:r>
      <w:r>
        <w:rPr>
          <w:rFonts w:hint="eastAsia" w:ascii="宋体" w:hAnsi="宋体"/>
          <w:color w:val="auto"/>
          <w:sz w:val="24"/>
          <w:highlight w:val="none"/>
          <w:lang w:val="en-US" w:eastAsia="zh-Hans"/>
        </w:rPr>
        <w:t>结算金额不超过</w:t>
      </w:r>
      <w:r>
        <w:rPr>
          <w:rFonts w:hint="eastAsia" w:ascii="宋体" w:hAnsi="宋体"/>
          <w:color w:val="auto"/>
          <w:sz w:val="24"/>
          <w:highlight w:val="none"/>
          <w:lang w:val="en-US" w:eastAsia="zh-CN"/>
        </w:rPr>
        <w:t>投标</w:t>
      </w:r>
      <w:r>
        <w:rPr>
          <w:rFonts w:hint="eastAsia" w:ascii="宋体" w:hAnsi="宋体"/>
          <w:color w:val="auto"/>
          <w:sz w:val="24"/>
          <w:highlight w:val="none"/>
          <w:lang w:val="en-US" w:eastAsia="zh-Hans"/>
        </w:rPr>
        <w:t>报价</w:t>
      </w:r>
      <w:r>
        <w:rPr>
          <w:rFonts w:hint="eastAsia" w:ascii="宋体" w:hAnsi="宋体"/>
          <w:color w:val="auto"/>
          <w:sz w:val="24"/>
          <w:highlight w:val="none"/>
          <w:lang w:val="en-US" w:eastAsia="zh-CN"/>
        </w:rPr>
        <w:t>。</w:t>
      </w:r>
    </w:p>
    <w:p w14:paraId="241F36E0">
      <w:pPr>
        <w:spacing w:line="400" w:lineRule="exact"/>
        <w:ind w:firstLine="480" w:firstLineChars="200"/>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发包人从进一步理清计量项目界面、优化计量办法、方便日后工程计量出发，通过前面的运行维护经验积累，经过深入分析、评估，以及履约评价等严谨程序后，视情况需要与承包人协商</w:t>
      </w:r>
      <w:r>
        <w:rPr>
          <w:rFonts w:hint="eastAsia" w:ascii="宋体" w:hAnsi="宋体"/>
          <w:color w:val="auto"/>
          <w:sz w:val="24"/>
          <w:highlight w:val="none"/>
          <w:lang w:val="en-US" w:eastAsia="zh-CN"/>
        </w:rPr>
        <w:t>计量支付</w:t>
      </w:r>
      <w:r>
        <w:rPr>
          <w:rFonts w:ascii="宋体" w:hAnsi="宋体" w:eastAsia="宋体"/>
          <w:color w:val="auto"/>
          <w:sz w:val="24"/>
          <w:highlight w:val="none"/>
          <w:lang w:val="zh-CN"/>
        </w:rPr>
        <w:t>有关条款</w:t>
      </w:r>
      <w:r>
        <w:rPr>
          <w:rFonts w:hint="eastAsia" w:ascii="宋体" w:hAnsi="宋体" w:eastAsia="宋体"/>
          <w:color w:val="auto"/>
          <w:sz w:val="24"/>
          <w:highlight w:val="none"/>
          <w:lang w:val="zh-CN"/>
        </w:rPr>
        <w:t>作修正；在合同实施期间，发包人有权评估计量支付的执行效果，以及承包人的履约情况等，在与承包人共同协商的基础上，对</w:t>
      </w:r>
      <w:r>
        <w:rPr>
          <w:rFonts w:ascii="宋体" w:hAnsi="宋体" w:eastAsia="宋体"/>
          <w:color w:val="auto"/>
          <w:sz w:val="24"/>
          <w:highlight w:val="none"/>
          <w:lang w:val="zh-CN"/>
        </w:rPr>
        <w:t>有关条款</w:t>
      </w:r>
      <w:r>
        <w:rPr>
          <w:rFonts w:hint="eastAsia" w:ascii="宋体" w:hAnsi="宋体" w:eastAsia="宋体"/>
          <w:color w:val="auto"/>
          <w:sz w:val="24"/>
          <w:highlight w:val="none"/>
          <w:lang w:val="zh-CN"/>
        </w:rPr>
        <w:t>作进一步修正。秉承“友好协商、共同成长”，围绕营运目标，实事求是，从有利于本项目运行维护管理为出发点进行调整，计量支付办法的修正最终以发包人的最终意见为准。</w:t>
      </w:r>
    </w:p>
    <w:p w14:paraId="4CA25EF2">
      <w:pPr>
        <w:spacing w:line="400" w:lineRule="exact"/>
        <w:ind w:firstLine="480" w:firstLineChars="200"/>
        <w:rPr>
          <w:rFonts w:ascii="宋体" w:hAnsi="宋体" w:eastAsia="宋体"/>
          <w:color w:val="auto"/>
          <w:sz w:val="24"/>
          <w:highlight w:val="none"/>
          <w:lang w:val="zh-CN"/>
        </w:rPr>
      </w:pPr>
    </w:p>
    <w:p w14:paraId="59019C63">
      <w:pPr>
        <w:spacing w:line="400" w:lineRule="exact"/>
        <w:ind w:firstLine="480" w:firstLineChars="200"/>
        <w:outlineLvl w:val="3"/>
        <w:rPr>
          <w:rFonts w:ascii="宋体" w:hAnsi="宋体" w:eastAsia="宋体"/>
          <w:bCs/>
          <w:color w:val="auto"/>
          <w:sz w:val="24"/>
          <w:highlight w:val="none"/>
        </w:rPr>
      </w:pPr>
      <w:bookmarkStart w:id="60" w:name="_Toc493406994"/>
      <w:r>
        <w:rPr>
          <w:rFonts w:ascii="宋体" w:hAnsi="宋体" w:eastAsia="宋体"/>
          <w:bCs/>
          <w:color w:val="auto"/>
          <w:sz w:val="24"/>
          <w:highlight w:val="none"/>
        </w:rPr>
        <w:t xml:space="preserve">18. </w:t>
      </w:r>
      <w:r>
        <w:rPr>
          <w:rFonts w:hint="eastAsia" w:ascii="宋体" w:hAnsi="宋体" w:eastAsia="宋体"/>
          <w:bCs/>
          <w:color w:val="auto"/>
          <w:sz w:val="24"/>
          <w:highlight w:val="none"/>
        </w:rPr>
        <w:t>变更</w:t>
      </w:r>
      <w:bookmarkEnd w:id="60"/>
    </w:p>
    <w:p w14:paraId="11DF273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在履行合同过程中，经发包人同意，发包人代表可按本合同条款、发包人要求等规定向承包人作出变更指示，承包人应遵照执行。没有发包人代表的变更指示，承包人不得擅自变更。</w:t>
      </w:r>
    </w:p>
    <w:p w14:paraId="7C3D4846">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18.1 </w:t>
      </w:r>
      <w:r>
        <w:rPr>
          <w:rFonts w:hint="eastAsia" w:ascii="宋体" w:hAnsi="宋体" w:eastAsia="宋体"/>
          <w:color w:val="auto"/>
          <w:sz w:val="24"/>
          <w:highlight w:val="none"/>
        </w:rPr>
        <w:t>构成变更的情形</w:t>
      </w:r>
    </w:p>
    <w:p w14:paraId="3C494EFE">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）取消合同中任何一项工作；</w:t>
      </w:r>
    </w:p>
    <w:p w14:paraId="2FB78143">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）为完成工程需要追加的额外工作；</w:t>
      </w:r>
    </w:p>
    <w:p w14:paraId="6F9A3F23">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）改变</w:t>
      </w:r>
      <w:r>
        <w:rPr>
          <w:rFonts w:hint="eastAsia" w:ascii="宋体" w:hAnsi="宋体" w:eastAsia="宋体"/>
          <w:color w:val="auto"/>
          <w:sz w:val="24"/>
          <w:highlight w:val="none"/>
          <w:lang w:eastAsia="zh-CN"/>
        </w:rPr>
        <w:t>本项目运行维护</w:t>
      </w:r>
      <w:r>
        <w:rPr>
          <w:rFonts w:hint="eastAsia" w:ascii="宋体" w:hAnsi="宋体" w:eastAsia="宋体"/>
          <w:color w:val="auto"/>
          <w:sz w:val="24"/>
          <w:highlight w:val="none"/>
        </w:rPr>
        <w:t>中任一项工作或工程内容的主要功能、范围等；</w:t>
      </w:r>
    </w:p>
    <w:p w14:paraId="1195F2CB">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）经发包人审议确定的变更事项（发包人发出变更指示）；</w:t>
      </w:r>
    </w:p>
    <w:p w14:paraId="3768AAAC">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）对工程项目和发包人有利的其他情形，并经发包人认可或其上级部门认可</w:t>
      </w:r>
      <w:r>
        <w:rPr>
          <w:rFonts w:ascii="宋体" w:hAnsi="宋体" w:eastAsia="宋体"/>
          <w:color w:val="auto"/>
          <w:sz w:val="24"/>
          <w:highlight w:val="none"/>
        </w:rPr>
        <w:t>/</w:t>
      </w:r>
      <w:r>
        <w:rPr>
          <w:rFonts w:hint="eastAsia" w:ascii="宋体" w:hAnsi="宋体" w:eastAsia="宋体"/>
          <w:color w:val="auto"/>
          <w:sz w:val="24"/>
          <w:highlight w:val="none"/>
        </w:rPr>
        <w:t>批准的其他变更事项（发包人发出变更指示）。</w:t>
      </w:r>
    </w:p>
    <w:p w14:paraId="0838A0B2">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18.2 </w:t>
      </w:r>
      <w:r>
        <w:rPr>
          <w:rFonts w:hint="eastAsia" w:ascii="宋体" w:hAnsi="宋体" w:eastAsia="宋体"/>
          <w:color w:val="auto"/>
          <w:sz w:val="24"/>
          <w:highlight w:val="none"/>
        </w:rPr>
        <w:t>所有变更工作应按下述原则进行估价：</w:t>
      </w:r>
    </w:p>
    <w:p w14:paraId="22BD656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）如果取消某项工作，则该项工作对应的价格不予支付。</w:t>
      </w:r>
    </w:p>
    <w:p w14:paraId="482AFF7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）本合同段工程量清单中有相同或有类似子目的，可直接套用该单价或在合理范围内参考类似子目的价格，变更工作价格由承包人编制上报，经发包人审核批准。</w:t>
      </w:r>
    </w:p>
    <w:p w14:paraId="2DA1666B">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变更的工作属于合同中新增加的工程细目，承包人应参照国内同类项目的预算定额（含补充定额）及预算相关编制规定按变更工程实施当月材料信息价计算变更工作的预算单价，并按本合同中标价较发包人控制价之下浮比例下浮后确定变更工作价格。</w:t>
      </w:r>
    </w:p>
    <w:p w14:paraId="1FB6373A">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）本合同条款第（</w:t>
      </w:r>
      <w:r>
        <w:rPr>
          <w:rFonts w:ascii="宋体" w:hAnsi="宋体" w:eastAsia="宋体"/>
          <w:color w:val="auto"/>
          <w:sz w:val="24"/>
          <w:highlight w:val="none"/>
        </w:rPr>
        <w:t>1</w:t>
      </w:r>
      <w:r>
        <w:rPr>
          <w:rFonts w:hint="eastAsia" w:ascii="宋体" w:hAnsi="宋体" w:eastAsia="宋体"/>
          <w:color w:val="auto"/>
          <w:sz w:val="24"/>
          <w:highlight w:val="none"/>
        </w:rPr>
        <w:t>）至（</w:t>
      </w:r>
      <w:r>
        <w:rPr>
          <w:rFonts w:ascii="宋体" w:hAnsi="宋体" w:eastAsia="宋体"/>
          <w:color w:val="auto"/>
          <w:sz w:val="24"/>
          <w:highlight w:val="none"/>
        </w:rPr>
        <w:t>3</w:t>
      </w:r>
      <w:r>
        <w:rPr>
          <w:rFonts w:hint="eastAsia" w:ascii="宋体" w:hAnsi="宋体" w:eastAsia="宋体"/>
          <w:color w:val="auto"/>
          <w:sz w:val="24"/>
          <w:highlight w:val="none"/>
        </w:rPr>
        <w:t>）项不能涵盖的，由发包人、承包人共同调研相关价格后，采取成本计算方法，变更工作价格由承包人编制上报，以发包人最终审批确定为准。</w:t>
      </w:r>
    </w:p>
    <w:p w14:paraId="06AD8551">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）如变更工程无适当定额可套用且按上述第（</w:t>
      </w:r>
      <w:r>
        <w:rPr>
          <w:rFonts w:ascii="宋体" w:hAnsi="宋体" w:eastAsia="宋体"/>
          <w:color w:val="auto"/>
          <w:sz w:val="24"/>
          <w:highlight w:val="none"/>
        </w:rPr>
        <w:t>4</w:t>
      </w:r>
      <w:r>
        <w:rPr>
          <w:rFonts w:hint="eastAsia" w:ascii="宋体" w:hAnsi="宋体" w:eastAsia="宋体"/>
          <w:color w:val="auto"/>
          <w:sz w:val="24"/>
          <w:highlight w:val="none"/>
        </w:rPr>
        <w:t>）款协商未果，</w:t>
      </w:r>
      <w:r>
        <w:rPr>
          <w:rFonts w:hint="eastAsia" w:ascii="宋体" w:hAnsi="宋体"/>
          <w:color w:val="auto"/>
          <w:sz w:val="24"/>
          <w:highlight w:val="none"/>
          <w:lang w:val="en-US" w:eastAsia="zh-CN"/>
        </w:rPr>
        <w:t>可由发包人</w:t>
      </w:r>
      <w:r>
        <w:rPr>
          <w:rFonts w:hint="eastAsia" w:ascii="宋体" w:hAnsi="宋体" w:eastAsia="宋体"/>
          <w:color w:val="auto"/>
          <w:sz w:val="24"/>
          <w:highlight w:val="none"/>
        </w:rPr>
        <w:t>委托</w:t>
      </w:r>
      <w:r>
        <w:rPr>
          <w:rFonts w:hint="eastAsia" w:ascii="宋体" w:hAnsi="宋体"/>
          <w:color w:val="auto"/>
          <w:sz w:val="24"/>
          <w:highlight w:val="none"/>
          <w:lang w:val="en-US" w:eastAsia="zh-CN"/>
        </w:rPr>
        <w:t>的</w:t>
      </w:r>
      <w:r>
        <w:rPr>
          <w:rFonts w:hint="eastAsia" w:ascii="宋体" w:hAnsi="宋体" w:eastAsia="宋体"/>
          <w:color w:val="auto"/>
          <w:sz w:val="24"/>
          <w:highlight w:val="none"/>
        </w:rPr>
        <w:t>造价</w:t>
      </w:r>
      <w:r>
        <w:rPr>
          <w:rFonts w:hint="eastAsia" w:ascii="宋体" w:hAnsi="宋体"/>
          <w:color w:val="auto"/>
          <w:sz w:val="24"/>
          <w:highlight w:val="none"/>
          <w:lang w:val="en-US" w:eastAsia="zh-CN"/>
        </w:rPr>
        <w:t>单位</w:t>
      </w:r>
      <w:r>
        <w:rPr>
          <w:rFonts w:hint="eastAsia" w:ascii="宋体" w:hAnsi="宋体" w:eastAsia="宋体"/>
          <w:color w:val="auto"/>
          <w:sz w:val="24"/>
          <w:highlight w:val="none"/>
        </w:rPr>
        <w:t>确定的单价作为参考。</w:t>
      </w:r>
    </w:p>
    <w:p w14:paraId="58140D3C">
      <w:pPr>
        <w:autoSpaceDE w:val="0"/>
        <w:autoSpaceDN w:val="0"/>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18.3 </w:t>
      </w:r>
      <w:r>
        <w:rPr>
          <w:rFonts w:hint="eastAsia" w:ascii="宋体" w:hAnsi="宋体" w:eastAsia="宋体"/>
          <w:color w:val="auto"/>
          <w:sz w:val="24"/>
          <w:highlight w:val="none"/>
        </w:rPr>
        <w:t>变更的计量和支付</w:t>
      </w:r>
    </w:p>
    <w:p w14:paraId="529CCB76">
      <w:pPr>
        <w:spacing w:line="400" w:lineRule="exact"/>
        <w:ind w:firstLine="480" w:firstLineChars="200"/>
        <w:rPr>
          <w:rFonts w:hint="eastAsia" w:ascii="宋体" w:hAnsi="宋体" w:eastAsia="宋体"/>
          <w:color w:val="auto"/>
          <w:sz w:val="24"/>
          <w:highlight w:val="none"/>
          <w:lang w:val="zh-CN"/>
        </w:rPr>
      </w:pPr>
      <w:r>
        <w:rPr>
          <w:rFonts w:hint="eastAsia" w:ascii="宋体" w:hAnsi="宋体" w:eastAsia="宋体"/>
          <w:color w:val="auto"/>
          <w:sz w:val="24"/>
          <w:highlight w:val="none"/>
        </w:rPr>
        <w:t>变更工程按照合同</w:t>
      </w:r>
      <w:r>
        <w:rPr>
          <w:rFonts w:hint="eastAsia" w:ascii="宋体" w:hAnsi="宋体" w:eastAsia="宋体"/>
          <w:color w:val="auto"/>
          <w:sz w:val="24"/>
          <w:highlight w:val="none"/>
          <w:lang w:val="zh-CN"/>
        </w:rPr>
        <w:t>类似清单子目计量和支付规则执行，没有类似清单子目的，按照国家及省行业主管部门的有关规定，结合现场情况协商开展变更工程的计量和支付。</w:t>
      </w:r>
    </w:p>
    <w:p w14:paraId="085CE467">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变更支付比例：60%</w:t>
      </w:r>
    </w:p>
    <w:p w14:paraId="31F216E7">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合同结算后支付剩余变更金额。</w:t>
      </w:r>
    </w:p>
    <w:p w14:paraId="0BDB51DC">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18.4 </w:t>
      </w:r>
      <w:r>
        <w:rPr>
          <w:rFonts w:hint="eastAsia" w:ascii="宋体" w:hAnsi="宋体" w:eastAsia="宋体"/>
          <w:color w:val="auto"/>
          <w:sz w:val="24"/>
          <w:highlight w:val="none"/>
        </w:rPr>
        <w:t>由于特殊原因造成</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工作量的减少，发包人有权按减少的比例扣减相应的合同价款。</w:t>
      </w:r>
    </w:p>
    <w:p w14:paraId="1CBDD321">
      <w:pPr>
        <w:spacing w:line="400" w:lineRule="exact"/>
        <w:ind w:firstLine="480" w:firstLineChars="200"/>
        <w:outlineLvl w:val="3"/>
        <w:rPr>
          <w:rFonts w:hint="eastAsia" w:ascii="宋体" w:hAnsi="宋体"/>
          <w:bCs/>
          <w:color w:val="auto"/>
          <w:sz w:val="24"/>
          <w:highlight w:val="none"/>
          <w:lang w:val="en-US" w:eastAsia="zh-CN"/>
        </w:rPr>
      </w:pPr>
      <w:r>
        <w:rPr>
          <w:rFonts w:ascii="宋体" w:hAnsi="宋体" w:eastAsia="宋体"/>
          <w:bCs/>
          <w:color w:val="auto"/>
          <w:sz w:val="24"/>
          <w:highlight w:val="none"/>
        </w:rPr>
        <w:t xml:space="preserve">19. </w:t>
      </w:r>
      <w:r>
        <w:rPr>
          <w:rFonts w:hint="eastAsia" w:ascii="宋体" w:hAnsi="宋体"/>
          <w:bCs/>
          <w:color w:val="auto"/>
          <w:sz w:val="24"/>
          <w:highlight w:val="none"/>
          <w:lang w:val="en-US" w:eastAsia="zh-CN"/>
        </w:rPr>
        <w:t>暂列金</w:t>
      </w:r>
    </w:p>
    <w:p w14:paraId="5F3A8127">
      <w:pPr>
        <w:spacing w:line="4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lang w:val="en-US" w:eastAsia="zh-CN"/>
        </w:rPr>
        <w:t>9</w:t>
      </w:r>
      <w:r>
        <w:rPr>
          <w:rFonts w:ascii="宋体" w:hAnsi="宋体"/>
          <w:color w:val="auto"/>
          <w:sz w:val="24"/>
          <w:highlight w:val="none"/>
        </w:rPr>
        <w:t>.1 暂列金额应由</w:t>
      </w:r>
      <w:r>
        <w:rPr>
          <w:rFonts w:hint="eastAsia" w:ascii="宋体" w:hAnsi="宋体"/>
          <w:color w:val="auto"/>
          <w:sz w:val="24"/>
          <w:highlight w:val="none"/>
          <w:lang w:val="en-US" w:eastAsia="zh-CN"/>
        </w:rPr>
        <w:t>承包人</w:t>
      </w:r>
      <w:r>
        <w:rPr>
          <w:rFonts w:ascii="宋体" w:hAnsi="宋体"/>
          <w:color w:val="auto"/>
          <w:sz w:val="24"/>
          <w:highlight w:val="none"/>
        </w:rPr>
        <w:t>报发包人批准后指令全部或部分地使用，或者根本不予动用。</w:t>
      </w:r>
    </w:p>
    <w:p w14:paraId="3D082E7B">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19.2</w:t>
      </w:r>
      <w:r>
        <w:rPr>
          <w:rFonts w:ascii="宋体" w:hAnsi="宋体"/>
          <w:color w:val="auto"/>
          <w:sz w:val="24"/>
          <w:highlight w:val="none"/>
        </w:rPr>
        <w:t xml:space="preserve"> 对于经发包人批准的每一笔暂列金额，</w:t>
      </w:r>
      <w:r>
        <w:rPr>
          <w:rFonts w:hint="eastAsia" w:ascii="宋体" w:hAnsi="宋体"/>
          <w:color w:val="auto"/>
          <w:sz w:val="24"/>
          <w:highlight w:val="none"/>
          <w:lang w:val="en-US" w:eastAsia="zh-CN"/>
        </w:rPr>
        <w:t>项目咨询单位或发包人</w:t>
      </w:r>
      <w:r>
        <w:rPr>
          <w:rFonts w:ascii="宋体" w:hAnsi="宋体"/>
          <w:color w:val="auto"/>
          <w:sz w:val="24"/>
          <w:highlight w:val="none"/>
        </w:rPr>
        <w:t>有权向承包人发出实施</w:t>
      </w:r>
      <w:r>
        <w:rPr>
          <w:rFonts w:hint="eastAsia" w:ascii="宋体" w:hAnsi="宋体"/>
          <w:color w:val="auto"/>
          <w:sz w:val="24"/>
          <w:highlight w:val="none"/>
          <w:lang w:val="en-US" w:eastAsia="zh-CN"/>
        </w:rPr>
        <w:t>维修</w:t>
      </w:r>
      <w:r>
        <w:rPr>
          <w:rFonts w:ascii="宋体" w:hAnsi="宋体"/>
          <w:color w:val="auto"/>
          <w:sz w:val="24"/>
          <w:highlight w:val="none"/>
        </w:rPr>
        <w:t>工程或提供材料、工程设备或服务的指令。这些指令应由承包人完成</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费用计算原则为：</w:t>
      </w:r>
    </w:p>
    <w:p w14:paraId="2F7E4F5C">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 xml:space="preserve">暂列金=审定金额×（签约合同价/最高投标限价） </w:t>
      </w:r>
    </w:p>
    <w:p w14:paraId="14CB9C91">
      <w:pPr>
        <w:spacing w:line="40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审定金额以具有审核权限的部门审核为准。</w:t>
      </w:r>
    </w:p>
    <w:p w14:paraId="132D5C34">
      <w:pPr>
        <w:spacing w:line="400" w:lineRule="exact"/>
        <w:ind w:firstLine="480" w:firstLineChars="200"/>
        <w:outlineLvl w:val="9"/>
        <w:rPr>
          <w:rFonts w:hint="default" w:ascii="宋体" w:hAnsi="宋体"/>
          <w:color w:val="auto"/>
          <w:sz w:val="24"/>
          <w:highlight w:val="none"/>
          <w:lang w:val="en-US" w:eastAsia="zh-CN"/>
        </w:rPr>
      </w:pPr>
      <w:r>
        <w:rPr>
          <w:rFonts w:hint="eastAsia" w:ascii="宋体" w:hAnsi="宋体"/>
          <w:color w:val="auto"/>
          <w:sz w:val="24"/>
          <w:highlight w:val="none"/>
          <w:lang w:eastAsia="zh-CN"/>
        </w:rPr>
        <w:t>1</w:t>
      </w:r>
      <w:r>
        <w:rPr>
          <w:rFonts w:hint="eastAsia" w:ascii="宋体" w:hAnsi="宋体"/>
          <w:color w:val="auto"/>
          <w:sz w:val="24"/>
          <w:highlight w:val="none"/>
          <w:lang w:val="en-US" w:eastAsia="zh-CN"/>
        </w:rPr>
        <w:t>9</w:t>
      </w:r>
      <w:r>
        <w:rPr>
          <w:rFonts w:ascii="宋体" w:hAnsi="宋体"/>
          <w:color w:val="auto"/>
          <w:sz w:val="24"/>
          <w:highlight w:val="none"/>
        </w:rPr>
        <w:t xml:space="preserve">.3 </w:t>
      </w:r>
      <w:r>
        <w:rPr>
          <w:rFonts w:hint="eastAsia" w:ascii="宋体" w:hAnsi="宋体"/>
          <w:color w:val="auto"/>
          <w:sz w:val="24"/>
          <w:highlight w:val="none"/>
          <w:lang w:val="en-US" w:eastAsia="zh-CN"/>
        </w:rPr>
        <w:t>发包人、项目咨询单位、承包人均可提出使用暂列金的要求，以发包人批准为准</w:t>
      </w:r>
      <w:r>
        <w:rPr>
          <w:rFonts w:ascii="宋体" w:hAnsi="宋体"/>
          <w:color w:val="auto"/>
          <w:sz w:val="24"/>
          <w:highlight w:val="none"/>
        </w:rPr>
        <w:t>，承包人应提供有关暂列金额支出的所有报价单、发票、凭证和账单或收据。</w:t>
      </w:r>
    </w:p>
    <w:p w14:paraId="64285B36">
      <w:pPr>
        <w:spacing w:line="400" w:lineRule="exact"/>
        <w:ind w:firstLine="420" w:firstLineChars="200"/>
        <w:rPr>
          <w:rFonts w:ascii="宋体" w:hAnsi="宋体" w:eastAsia="宋体"/>
          <w:color w:val="auto"/>
          <w:highlight w:val="none"/>
        </w:rPr>
      </w:pPr>
    </w:p>
    <w:p w14:paraId="551F126D">
      <w:pPr>
        <w:spacing w:line="400" w:lineRule="exact"/>
        <w:outlineLvl w:val="2"/>
        <w:rPr>
          <w:rFonts w:ascii="宋体" w:hAnsi="宋体" w:eastAsia="宋体"/>
          <w:bCs/>
          <w:color w:val="auto"/>
          <w:sz w:val="24"/>
          <w:highlight w:val="none"/>
        </w:rPr>
      </w:pPr>
      <w:bookmarkStart w:id="61" w:name="_Toc149721964"/>
      <w:bookmarkStart w:id="62" w:name="_Toc493406995"/>
      <w:r>
        <w:rPr>
          <w:rFonts w:hint="eastAsia" w:ascii="宋体" w:hAnsi="宋体" w:eastAsia="宋体"/>
          <w:bCs/>
          <w:color w:val="auto"/>
          <w:sz w:val="24"/>
          <w:highlight w:val="none"/>
        </w:rPr>
        <w:t>七、材料设备供应</w:t>
      </w:r>
      <w:bookmarkEnd w:id="61"/>
      <w:bookmarkEnd w:id="62"/>
    </w:p>
    <w:p w14:paraId="677C1622">
      <w:pPr>
        <w:spacing w:line="400" w:lineRule="exact"/>
        <w:ind w:firstLine="480" w:firstLineChars="200"/>
        <w:outlineLvl w:val="3"/>
        <w:rPr>
          <w:rFonts w:hint="default" w:ascii="宋体" w:hAnsi="宋体" w:eastAsia="宋体"/>
          <w:bCs/>
          <w:color w:val="auto"/>
          <w:sz w:val="24"/>
          <w:highlight w:val="none"/>
          <w:lang w:val="en-US" w:eastAsia="zh-CN"/>
        </w:rPr>
      </w:pPr>
      <w:bookmarkStart w:id="63" w:name="_Toc493406997"/>
      <w:r>
        <w:rPr>
          <w:rFonts w:ascii="宋体" w:hAnsi="宋体" w:eastAsia="宋体"/>
          <w:bCs/>
          <w:color w:val="auto"/>
          <w:sz w:val="24"/>
          <w:highlight w:val="none"/>
        </w:rPr>
        <w:t xml:space="preserve">20. </w:t>
      </w:r>
      <w:r>
        <w:rPr>
          <w:rFonts w:hint="eastAsia" w:ascii="宋体" w:hAnsi="宋体" w:eastAsia="宋体"/>
          <w:bCs/>
          <w:color w:val="auto"/>
          <w:sz w:val="24"/>
          <w:highlight w:val="none"/>
        </w:rPr>
        <w:t>发包人</w:t>
      </w:r>
      <w:bookmarkEnd w:id="63"/>
      <w:r>
        <w:rPr>
          <w:rFonts w:hint="eastAsia" w:ascii="宋体" w:hAnsi="宋体"/>
          <w:bCs/>
          <w:color w:val="auto"/>
          <w:sz w:val="24"/>
          <w:highlight w:val="none"/>
          <w:lang w:val="en-US" w:eastAsia="zh-CN"/>
        </w:rPr>
        <w:t>备用材料</w:t>
      </w:r>
    </w:p>
    <w:p w14:paraId="47D83B77">
      <w:pPr>
        <w:spacing w:line="400" w:lineRule="exact"/>
        <w:ind w:firstLine="480" w:firstLineChars="200"/>
        <w:rPr>
          <w:rFonts w:ascii="宋体" w:hAnsi="宋体" w:eastAsia="宋体"/>
          <w:color w:val="auto"/>
          <w:sz w:val="24"/>
          <w:highlight w:val="none"/>
        </w:rPr>
      </w:pPr>
      <w:r>
        <w:rPr>
          <w:rFonts w:hint="eastAsia" w:ascii="宋体" w:hAnsi="宋体"/>
          <w:color w:val="auto"/>
          <w:sz w:val="24"/>
          <w:highlight w:val="none"/>
          <w:lang w:val="en-US" w:eastAsia="zh-CN"/>
        </w:rPr>
        <w:t>发包人在现场提供了部分材料，承包人进场后，应对发包人提供的材料进行梳理并制定清单，报发包人确认。</w:t>
      </w:r>
      <w:r>
        <w:rPr>
          <w:rFonts w:hint="eastAsia" w:ascii="宋体" w:hAnsi="宋体" w:eastAsia="宋体"/>
          <w:color w:val="auto"/>
          <w:sz w:val="24"/>
          <w:highlight w:val="none"/>
        </w:rPr>
        <w:t>承包人在使用后，应按照原</w:t>
      </w:r>
      <w:r>
        <w:rPr>
          <w:rFonts w:hint="eastAsia" w:ascii="宋体" w:hAnsi="宋体"/>
          <w:color w:val="auto"/>
          <w:sz w:val="24"/>
          <w:highlight w:val="none"/>
          <w:lang w:val="en-US" w:eastAsia="zh-CN"/>
        </w:rPr>
        <w:t>材料</w:t>
      </w:r>
      <w:r>
        <w:rPr>
          <w:rFonts w:hint="eastAsia" w:ascii="宋体" w:hAnsi="宋体" w:eastAsia="宋体"/>
          <w:color w:val="auto"/>
          <w:sz w:val="24"/>
          <w:highlight w:val="none"/>
        </w:rPr>
        <w:t>的规格数量及技术要求及时补充采购。承包人补充</w:t>
      </w:r>
      <w:r>
        <w:rPr>
          <w:rFonts w:hint="eastAsia" w:ascii="宋体" w:hAnsi="宋体"/>
          <w:color w:val="auto"/>
          <w:sz w:val="24"/>
          <w:highlight w:val="none"/>
          <w:lang w:val="en-US" w:eastAsia="zh-CN"/>
        </w:rPr>
        <w:t>上述材料</w:t>
      </w:r>
      <w:r>
        <w:rPr>
          <w:rFonts w:hint="eastAsia" w:ascii="宋体" w:hAnsi="宋体" w:eastAsia="宋体"/>
          <w:color w:val="auto"/>
          <w:sz w:val="24"/>
          <w:highlight w:val="none"/>
        </w:rPr>
        <w:t>的相关费用应视为已包含在合同价格中，发包人不另行支付。</w:t>
      </w:r>
    </w:p>
    <w:p w14:paraId="3F9C085F">
      <w:pPr>
        <w:spacing w:line="400" w:lineRule="exact"/>
        <w:ind w:firstLine="480" w:firstLineChars="200"/>
        <w:outlineLvl w:val="3"/>
        <w:rPr>
          <w:rFonts w:ascii="宋体" w:hAnsi="宋体" w:eastAsia="宋体"/>
          <w:bCs/>
          <w:color w:val="auto"/>
          <w:sz w:val="24"/>
          <w:highlight w:val="none"/>
        </w:rPr>
      </w:pPr>
      <w:bookmarkStart w:id="64" w:name="_Toc493406998"/>
      <w:r>
        <w:rPr>
          <w:rFonts w:ascii="宋体" w:hAnsi="宋体" w:eastAsia="宋体"/>
          <w:bCs/>
          <w:color w:val="auto"/>
          <w:sz w:val="24"/>
          <w:highlight w:val="none"/>
        </w:rPr>
        <w:t xml:space="preserve">21. </w:t>
      </w:r>
      <w:r>
        <w:rPr>
          <w:rFonts w:hint="eastAsia" w:ascii="宋体" w:hAnsi="宋体" w:eastAsia="宋体"/>
          <w:bCs/>
          <w:color w:val="auto"/>
          <w:sz w:val="24"/>
          <w:highlight w:val="none"/>
        </w:rPr>
        <w:t>承包人采购材料</w:t>
      </w:r>
      <w:bookmarkEnd w:id="64"/>
    </w:p>
    <w:p w14:paraId="20B57661">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21.1</w:t>
      </w:r>
      <w:r>
        <w:rPr>
          <w:rFonts w:hint="eastAsia" w:ascii="宋体" w:hAnsi="宋体" w:eastAsia="宋体"/>
          <w:color w:val="auto"/>
          <w:sz w:val="24"/>
          <w:highlight w:val="none"/>
        </w:rPr>
        <w:t>承包人按照图纸及有关标准的要求采购材料，并提供产品合格证明，对材料质量负责。承包人在材料到货后，应及时通知发包人核查。</w:t>
      </w:r>
    </w:p>
    <w:p w14:paraId="046BB30A">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21.2</w:t>
      </w:r>
      <w:r>
        <w:rPr>
          <w:rFonts w:hint="eastAsia" w:ascii="宋体" w:hAnsi="宋体" w:eastAsia="宋体"/>
          <w:color w:val="auto"/>
          <w:sz w:val="24"/>
          <w:highlight w:val="none"/>
        </w:rPr>
        <w:t>承包人采购的材料与图纸或标准要求不符时，承包人应按发包人要求的时间运出作业场地，重新采购符合要求的产品，承担由此发生的费用，由此延误的时间节点不予顺延，如承包人采取的措施仍然不能满足发包人的要求，则发包人有权指定使用某些材料，以使</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作业能够满足发包人或相关技术规范的要求，但承包人责任不因此免除或减轻。</w:t>
      </w:r>
    </w:p>
    <w:p w14:paraId="54EA8F1B">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21.3</w:t>
      </w:r>
      <w:r>
        <w:rPr>
          <w:rFonts w:hint="eastAsia" w:ascii="宋体" w:hAnsi="宋体" w:eastAsia="宋体"/>
          <w:color w:val="auto"/>
          <w:sz w:val="24"/>
          <w:highlight w:val="none"/>
        </w:rPr>
        <w:t>承包人采购的材料原则上集中采购，并按专业技术标准和要求的有关规定进行检验或试验，不合格的不得进场使用，检验或试验费用由承包人承担。</w:t>
      </w:r>
    </w:p>
    <w:p w14:paraId="2924360E">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21.4</w:t>
      </w:r>
      <w:r>
        <w:rPr>
          <w:rFonts w:hint="eastAsia" w:ascii="宋体" w:hAnsi="宋体" w:eastAsia="宋体"/>
          <w:color w:val="auto"/>
          <w:sz w:val="24"/>
          <w:highlight w:val="none"/>
        </w:rPr>
        <w:t>承包人需要使用代用材料时，应经发包人认可并由发包人同意后才能使用，由此增减的合同价款双方以书面形式议定。</w:t>
      </w:r>
    </w:p>
    <w:p w14:paraId="77F69F4E">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21.5 </w:t>
      </w:r>
      <w:r>
        <w:rPr>
          <w:rFonts w:hint="eastAsia" w:ascii="宋体" w:hAnsi="宋体" w:eastAsia="宋体"/>
          <w:color w:val="auto"/>
          <w:sz w:val="24"/>
          <w:highlight w:val="none"/>
        </w:rPr>
        <w:t>不合格工程材料或构件的拆运</w:t>
      </w:r>
    </w:p>
    <w:p w14:paraId="139A2DF2">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21.5.1</w:t>
      </w:r>
      <w:r>
        <w:rPr>
          <w:rFonts w:hint="eastAsia" w:ascii="宋体" w:hAnsi="宋体" w:eastAsia="宋体"/>
          <w:color w:val="auto"/>
          <w:sz w:val="24"/>
          <w:highlight w:val="none"/>
        </w:rPr>
        <w:t>发包人代表有权随时对下述事项发出指令：</w:t>
      </w:r>
    </w:p>
    <w:p w14:paraId="0EA6A6AC">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）在指令规定的时间内，将发包人代表认为不符合合同规定的任何材料或设备从现场运走；</w:t>
      </w:r>
    </w:p>
    <w:p w14:paraId="548442B1">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）用合格的适用的材料或设备取代；</w:t>
      </w:r>
    </w:p>
    <w:p w14:paraId="6AF5ECA9">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）尽管先前已经过检验或付款，但如果发包人代表认为任何工程由于材料、设备或操作工艺，不符合合同规定，都应返工重做，所造成的损失由承包人</w:t>
      </w:r>
      <w:r>
        <w:rPr>
          <w:rFonts w:hint="eastAsia" w:ascii="宋体" w:hAnsi="宋体"/>
          <w:color w:val="auto"/>
          <w:sz w:val="24"/>
          <w:highlight w:val="none"/>
          <w:lang w:val="en-US" w:eastAsia="zh-CN"/>
        </w:rPr>
        <w:t>承担</w:t>
      </w:r>
      <w:r>
        <w:rPr>
          <w:rFonts w:hint="eastAsia" w:ascii="宋体" w:hAnsi="宋体" w:eastAsia="宋体"/>
          <w:color w:val="auto"/>
          <w:sz w:val="24"/>
          <w:highlight w:val="none"/>
        </w:rPr>
        <w:t>；</w:t>
      </w:r>
    </w:p>
    <w:p w14:paraId="239F33C6">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21.5.2</w:t>
      </w:r>
      <w:r>
        <w:rPr>
          <w:rFonts w:hint="eastAsia" w:ascii="宋体" w:hAnsi="宋体" w:eastAsia="宋体"/>
          <w:color w:val="auto"/>
          <w:sz w:val="24"/>
          <w:highlight w:val="none"/>
        </w:rPr>
        <w:t>如承包人在指令规定的时间内不执行上述指令，则发包人有权雇用他人执行该指令并向其支付有关费用。所有由此造成的或伴随产生的费用，由发包人从承包人应收款中扣回。</w:t>
      </w:r>
    </w:p>
    <w:p w14:paraId="42F5A914">
      <w:pPr>
        <w:spacing w:line="400" w:lineRule="exact"/>
        <w:ind w:firstLine="420" w:firstLineChars="200"/>
        <w:rPr>
          <w:rFonts w:ascii="宋体" w:hAnsi="宋体" w:eastAsia="宋体"/>
          <w:color w:val="auto"/>
          <w:highlight w:val="none"/>
        </w:rPr>
      </w:pPr>
    </w:p>
    <w:p w14:paraId="5A3AE466">
      <w:pPr>
        <w:spacing w:line="400" w:lineRule="exact"/>
        <w:outlineLvl w:val="2"/>
        <w:rPr>
          <w:rFonts w:hint="eastAsia" w:ascii="宋体" w:hAnsi="宋体" w:eastAsia="宋体"/>
          <w:bCs/>
          <w:color w:val="auto"/>
          <w:sz w:val="24"/>
          <w:highlight w:val="none"/>
          <w:lang w:eastAsia="zh-CN"/>
        </w:rPr>
      </w:pPr>
      <w:bookmarkStart w:id="65" w:name="_Toc149721965"/>
      <w:bookmarkStart w:id="66" w:name="_Toc493406999"/>
      <w:r>
        <w:rPr>
          <w:rFonts w:hint="eastAsia" w:ascii="宋体" w:hAnsi="宋体" w:eastAsia="宋体"/>
          <w:bCs/>
          <w:color w:val="auto"/>
          <w:sz w:val="24"/>
          <w:highlight w:val="none"/>
        </w:rPr>
        <w:t>八、合同移交与结算</w:t>
      </w:r>
      <w:bookmarkEnd w:id="65"/>
      <w:bookmarkEnd w:id="66"/>
    </w:p>
    <w:p w14:paraId="6CAAA86C">
      <w:pPr>
        <w:spacing w:line="400" w:lineRule="exact"/>
        <w:ind w:firstLine="480" w:firstLineChars="200"/>
        <w:outlineLvl w:val="3"/>
        <w:rPr>
          <w:rFonts w:ascii="宋体" w:hAnsi="宋体" w:eastAsia="宋体"/>
          <w:bCs/>
          <w:color w:val="auto"/>
          <w:sz w:val="24"/>
          <w:highlight w:val="none"/>
        </w:rPr>
      </w:pPr>
      <w:bookmarkStart w:id="67" w:name="_Toc493407000"/>
      <w:r>
        <w:rPr>
          <w:rFonts w:ascii="宋体" w:hAnsi="宋体" w:eastAsia="宋体"/>
          <w:bCs/>
          <w:color w:val="auto"/>
          <w:sz w:val="24"/>
          <w:highlight w:val="none"/>
        </w:rPr>
        <w:t xml:space="preserve">22. </w:t>
      </w:r>
      <w:bookmarkEnd w:id="67"/>
      <w:r>
        <w:rPr>
          <w:rFonts w:hint="eastAsia" w:ascii="宋体" w:hAnsi="宋体" w:eastAsia="宋体"/>
          <w:bCs/>
          <w:color w:val="auto"/>
          <w:sz w:val="24"/>
          <w:highlight w:val="none"/>
        </w:rPr>
        <w:t>合同</w:t>
      </w:r>
      <w:r>
        <w:rPr>
          <w:rFonts w:hint="eastAsia" w:ascii="宋体" w:hAnsi="宋体"/>
          <w:bCs/>
          <w:color w:val="auto"/>
          <w:sz w:val="24"/>
          <w:highlight w:val="none"/>
          <w:lang w:val="en-US" w:eastAsia="zh-CN"/>
        </w:rPr>
        <w:t>验收及</w:t>
      </w:r>
      <w:r>
        <w:rPr>
          <w:rFonts w:hint="eastAsia" w:ascii="宋体" w:hAnsi="宋体" w:eastAsia="宋体"/>
          <w:bCs/>
          <w:color w:val="auto"/>
          <w:sz w:val="24"/>
          <w:highlight w:val="none"/>
        </w:rPr>
        <w:t>移交</w:t>
      </w:r>
    </w:p>
    <w:p w14:paraId="4742BDEA">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22.1承包人完成全部合同义务后，须于</w:t>
      </w:r>
      <w:r>
        <w:rPr>
          <w:rFonts w:hint="default" w:ascii="宋体" w:hAnsi="宋体" w:eastAsia="宋体"/>
          <w:color w:val="auto"/>
          <w:sz w:val="24"/>
          <w:highlight w:val="none"/>
        </w:rPr>
        <w:t>合同期满前 15 日</w:t>
      </w:r>
      <w:r>
        <w:rPr>
          <w:rFonts w:hint="eastAsia" w:ascii="宋体" w:hAnsi="宋体"/>
          <w:color w:val="auto"/>
          <w:sz w:val="24"/>
          <w:highlight w:val="none"/>
          <w:lang w:val="en-US" w:eastAsia="zh-CN"/>
        </w:rPr>
        <w:t>向发包人提交</w:t>
      </w:r>
      <w:r>
        <w:rPr>
          <w:rFonts w:hint="default" w:ascii="宋体" w:hAnsi="宋体" w:eastAsia="宋体"/>
          <w:color w:val="auto"/>
          <w:sz w:val="24"/>
          <w:highlight w:val="none"/>
        </w:rPr>
        <w:t>提交验收申请，</w:t>
      </w:r>
      <w:r>
        <w:rPr>
          <w:rFonts w:hint="eastAsia" w:ascii="宋体" w:hAnsi="宋体"/>
          <w:color w:val="auto"/>
          <w:sz w:val="24"/>
          <w:highlight w:val="none"/>
          <w:lang w:val="en-US" w:eastAsia="zh-CN"/>
        </w:rPr>
        <w:t>验收申请书应包含</w:t>
      </w:r>
      <w:r>
        <w:rPr>
          <w:rFonts w:hint="default" w:ascii="宋体" w:hAnsi="宋体" w:eastAsia="宋体"/>
          <w:color w:val="auto"/>
          <w:sz w:val="24"/>
          <w:highlight w:val="none"/>
        </w:rPr>
        <w:t>：①《履约总结报告》；②内业资料目录（隐蔽工程影像、</w:t>
      </w:r>
      <w:r>
        <w:rPr>
          <w:rFonts w:hint="eastAsia" w:ascii="宋体" w:hAnsi="宋体"/>
          <w:color w:val="auto"/>
          <w:sz w:val="24"/>
          <w:highlight w:val="none"/>
          <w:lang w:val="en-US" w:eastAsia="zh-CN"/>
        </w:rPr>
        <w:t>运行记录、</w:t>
      </w:r>
      <w:r>
        <w:rPr>
          <w:rFonts w:hint="default" w:ascii="宋体" w:hAnsi="宋体" w:eastAsia="宋体"/>
          <w:color w:val="auto"/>
          <w:sz w:val="24"/>
          <w:highlight w:val="none"/>
        </w:rPr>
        <w:t>维护日志、备件更换记录</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巡查记录、工程管养设施图、各类台账</w:t>
      </w:r>
      <w:r>
        <w:rPr>
          <w:rFonts w:hint="default" w:ascii="宋体" w:hAnsi="宋体" w:eastAsia="宋体"/>
          <w:color w:val="auto"/>
          <w:sz w:val="24"/>
          <w:highlight w:val="none"/>
        </w:rPr>
        <w:t>等，纸质版 4 套 + PDF 电子版）；③自检合格声明（</w:t>
      </w:r>
      <w:r>
        <w:rPr>
          <w:rFonts w:hint="eastAsia" w:ascii="宋体" w:hAnsi="宋体"/>
          <w:color w:val="auto"/>
          <w:sz w:val="24"/>
          <w:highlight w:val="none"/>
          <w:lang w:val="en-US" w:eastAsia="zh-CN"/>
        </w:rPr>
        <w:t>项目负责人</w:t>
      </w:r>
      <w:r>
        <w:rPr>
          <w:rFonts w:hint="default" w:ascii="宋体" w:hAnsi="宋体" w:eastAsia="宋体"/>
          <w:color w:val="auto"/>
          <w:sz w:val="24"/>
          <w:highlight w:val="none"/>
        </w:rPr>
        <w:t>及技术负责人双签）。</w:t>
      </w:r>
    </w:p>
    <w:p w14:paraId="38C731D1">
      <w:pPr>
        <w:spacing w:line="400" w:lineRule="exact"/>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lang w:val="en-US" w:eastAsia="zh-CN"/>
        </w:rPr>
        <w:t>22.2 发包人收到承包人的验收申请后，发包人按《南沙区水利设施运行维护项目考核管理办法》组织合同期满考核，考核通过后，组织验收小组对承包人提交的资料和工程现场进行检查验收，发现问题的，出具整改通知书，承包人整改完成并经发包人确认后，由发包人出具验收证明。</w:t>
      </w:r>
    </w:p>
    <w:p w14:paraId="1B6F14FE">
      <w:pPr>
        <w:spacing w:line="400" w:lineRule="exact"/>
        <w:ind w:firstLine="480" w:firstLineChars="200"/>
        <w:rPr>
          <w:rFonts w:ascii="宋体" w:hAnsi="宋体" w:eastAsia="宋体"/>
          <w:color w:val="auto"/>
          <w:sz w:val="24"/>
          <w:highlight w:val="none"/>
          <w:lang w:val="zh-CN"/>
        </w:rPr>
      </w:pPr>
      <w:r>
        <w:rPr>
          <w:rFonts w:ascii="宋体" w:hAnsi="宋体" w:eastAsia="宋体"/>
          <w:color w:val="auto"/>
          <w:sz w:val="24"/>
          <w:highlight w:val="none"/>
        </w:rPr>
        <w:t>22.</w:t>
      </w:r>
      <w:r>
        <w:rPr>
          <w:rFonts w:hint="eastAsia" w:ascii="宋体" w:hAnsi="宋体"/>
          <w:color w:val="auto"/>
          <w:sz w:val="24"/>
          <w:highlight w:val="none"/>
          <w:lang w:val="en-US" w:eastAsia="zh-CN"/>
        </w:rPr>
        <w:t>3</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合同工作全部完成后，承包人应向发包人或发包人指定的对象移交</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工作，办理合同移交确认手续。交接工作完成后，承包人不再负责对本项目的维护。</w:t>
      </w:r>
    </w:p>
    <w:p w14:paraId="7EE37877">
      <w:pPr>
        <w:overflowPunct w:val="0"/>
        <w:topLinePunct/>
        <w:adjustRightInd w:val="0"/>
        <w:snapToGrid w:val="0"/>
        <w:spacing w:line="400" w:lineRule="exact"/>
        <w:ind w:firstLine="480" w:firstLineChars="200"/>
        <w:textAlignment w:val="baseline"/>
        <w:rPr>
          <w:rFonts w:ascii="宋体" w:hAnsi="宋体" w:eastAsia="宋体"/>
          <w:color w:val="auto"/>
          <w:sz w:val="24"/>
          <w:highlight w:val="none"/>
          <w:lang w:val="zh-CN"/>
        </w:rPr>
      </w:pPr>
    </w:p>
    <w:p w14:paraId="7C8E4290">
      <w:pPr>
        <w:spacing w:line="400" w:lineRule="exact"/>
        <w:ind w:firstLine="480" w:firstLineChars="200"/>
        <w:outlineLvl w:val="3"/>
        <w:rPr>
          <w:rFonts w:ascii="宋体" w:hAnsi="宋体" w:eastAsia="宋体"/>
          <w:bCs/>
          <w:color w:val="auto"/>
          <w:sz w:val="24"/>
          <w:highlight w:val="none"/>
        </w:rPr>
      </w:pPr>
      <w:bookmarkStart w:id="68" w:name="_Toc493407001"/>
      <w:r>
        <w:rPr>
          <w:rFonts w:ascii="宋体" w:hAnsi="宋体" w:eastAsia="宋体"/>
          <w:bCs/>
          <w:color w:val="auto"/>
          <w:sz w:val="24"/>
          <w:highlight w:val="none"/>
        </w:rPr>
        <w:t xml:space="preserve">23. </w:t>
      </w:r>
      <w:r>
        <w:rPr>
          <w:rFonts w:hint="eastAsia" w:ascii="宋体" w:hAnsi="宋体" w:eastAsia="宋体"/>
          <w:bCs/>
          <w:color w:val="auto"/>
          <w:sz w:val="24"/>
          <w:highlight w:val="none"/>
        </w:rPr>
        <w:t>合同结算</w:t>
      </w:r>
      <w:bookmarkEnd w:id="68"/>
    </w:p>
    <w:p w14:paraId="78989B39">
      <w:pPr>
        <w:spacing w:line="40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23.1 本合同按照参照执行2018年《广州市水利工程维修养护定额》、广州市水利工程维修养护定额（2018版）实用指南、《广东省安装工程综合定额（2018）》、《广东省市政工程综合定额（2018）》、《广东省房屋建筑和市政修缮工程综合定额（2012）》、《广东省房屋建筑与装饰工程综合定额（2018）》、《广东省城乡环境卫生作业综合定额（2019》、《广东省园林绿化工程综合定额（2018）》及有关补充规定、本合同约定、财政部门的相关规定进行结算，承包人应按照发包人、财政部门的要求提供各清单项完工证明材料。发包人每年将组织项目咨询单位对承包人年度计量金额和资料进行审核。</w:t>
      </w:r>
    </w:p>
    <w:p w14:paraId="06B392E9">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23.</w:t>
      </w:r>
      <w:r>
        <w:rPr>
          <w:rFonts w:hint="eastAsia" w:ascii="宋体" w:hAnsi="宋体"/>
          <w:color w:val="auto"/>
          <w:sz w:val="24"/>
          <w:highlight w:val="none"/>
          <w:lang w:val="en-US" w:eastAsia="zh-CN"/>
        </w:rPr>
        <w:t>2</w:t>
      </w:r>
      <w:r>
        <w:rPr>
          <w:rFonts w:hint="eastAsia" w:ascii="宋体" w:hAnsi="宋体" w:eastAsia="宋体"/>
          <w:color w:val="auto"/>
          <w:sz w:val="24"/>
          <w:highlight w:val="none"/>
        </w:rPr>
        <w:t>本</w:t>
      </w:r>
      <w:r>
        <w:rPr>
          <w:rFonts w:hint="eastAsia" w:ascii="宋体" w:hAnsi="宋体" w:eastAsia="宋体"/>
          <w:bCs/>
          <w:color w:val="auto"/>
          <w:sz w:val="24"/>
          <w:highlight w:val="none"/>
        </w:rPr>
        <w:t>合同服务期满</w:t>
      </w:r>
      <w:r>
        <w:rPr>
          <w:rFonts w:hint="eastAsia" w:ascii="宋体" w:hAnsi="宋体" w:eastAsia="宋体"/>
          <w:color w:val="auto"/>
          <w:sz w:val="24"/>
          <w:highlight w:val="none"/>
        </w:rPr>
        <w:t>后</w:t>
      </w:r>
      <w:r>
        <w:rPr>
          <w:rFonts w:hint="eastAsia" w:ascii="宋体" w:hAnsi="宋体"/>
          <w:color w:val="auto"/>
          <w:sz w:val="24"/>
          <w:highlight w:val="none"/>
          <w:lang w:val="en-US" w:eastAsia="zh-CN"/>
        </w:rPr>
        <w:t>3个月</w:t>
      </w:r>
      <w:r>
        <w:rPr>
          <w:rFonts w:hint="eastAsia" w:ascii="宋体" w:hAnsi="宋体" w:eastAsia="宋体"/>
          <w:color w:val="auto"/>
          <w:sz w:val="24"/>
          <w:highlight w:val="none"/>
        </w:rPr>
        <w:t>内，承包人向发包人递交合同结算报告及完整的结算资料，双方按照合同文件规定的合同价格，进行</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合同结算。</w:t>
      </w:r>
    </w:p>
    <w:p w14:paraId="497434EE">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23.</w:t>
      </w:r>
      <w:r>
        <w:rPr>
          <w:rFonts w:hint="eastAsia" w:ascii="宋体" w:hAnsi="宋体"/>
          <w:color w:val="auto"/>
          <w:sz w:val="24"/>
          <w:highlight w:val="none"/>
          <w:lang w:val="en-US" w:eastAsia="zh-CN"/>
        </w:rPr>
        <w:t>3</w:t>
      </w:r>
      <w:r>
        <w:rPr>
          <w:rFonts w:hint="eastAsia" w:ascii="宋体" w:hAnsi="宋体" w:eastAsia="宋体"/>
          <w:color w:val="auto"/>
          <w:sz w:val="24"/>
          <w:highlight w:val="none"/>
        </w:rPr>
        <w:t>发包人收到承包人递交的合同结算报告及结算资料后</w:t>
      </w:r>
      <w:r>
        <w:rPr>
          <w:rFonts w:hint="eastAsia" w:ascii="宋体" w:hAnsi="宋体"/>
          <w:color w:val="auto"/>
          <w:sz w:val="24"/>
          <w:highlight w:val="none"/>
          <w:lang w:val="en-US" w:eastAsia="zh-CN"/>
        </w:rPr>
        <w:t>3个月</w:t>
      </w:r>
      <w:r>
        <w:rPr>
          <w:rFonts w:hint="eastAsia" w:ascii="宋体" w:hAnsi="宋体" w:eastAsia="宋体"/>
          <w:color w:val="auto"/>
          <w:sz w:val="24"/>
          <w:highlight w:val="none"/>
        </w:rPr>
        <w:t>内进行核实，给予确认或者提出修改意见。承包人应按发包人修改意见进行调整结算报告及结算资料并按前述程序再次提交发包人核实。</w:t>
      </w:r>
    </w:p>
    <w:p w14:paraId="4E072C5C">
      <w:pPr>
        <w:spacing w:line="400" w:lineRule="exact"/>
        <w:ind w:firstLine="480" w:firstLineChars="200"/>
        <w:rPr>
          <w:rFonts w:hint="default" w:ascii="宋体" w:hAnsi="宋体" w:eastAsia="宋体"/>
          <w:color w:val="auto"/>
          <w:sz w:val="24"/>
          <w:highlight w:val="none"/>
          <w:lang w:val="en-US" w:eastAsia="zh-CN"/>
        </w:rPr>
      </w:pPr>
      <w:r>
        <w:rPr>
          <w:rFonts w:ascii="宋体" w:hAnsi="宋体" w:eastAsia="宋体"/>
          <w:color w:val="auto"/>
          <w:sz w:val="24"/>
          <w:highlight w:val="none"/>
        </w:rPr>
        <w:t>23.</w:t>
      </w:r>
      <w:r>
        <w:rPr>
          <w:rFonts w:hint="eastAsia" w:ascii="宋体" w:hAnsi="宋体"/>
          <w:color w:val="auto"/>
          <w:sz w:val="24"/>
          <w:highlight w:val="none"/>
          <w:lang w:val="en-US" w:eastAsia="zh-CN"/>
        </w:rPr>
        <w:t>4</w:t>
      </w:r>
      <w:r>
        <w:rPr>
          <w:rFonts w:hint="eastAsia" w:ascii="宋体" w:hAnsi="宋体" w:eastAsia="宋体"/>
          <w:color w:val="auto"/>
          <w:sz w:val="24"/>
          <w:highlight w:val="none"/>
        </w:rPr>
        <w:t>发包人与承包人签订合同结算协议后，发包人收到承包人提交的符合要求的支付申请资料后</w:t>
      </w:r>
      <w:r>
        <w:rPr>
          <w:rFonts w:hint="eastAsia" w:ascii="宋体" w:hAnsi="宋体"/>
          <w:color w:val="auto"/>
          <w:sz w:val="24"/>
          <w:highlight w:val="none"/>
          <w:lang w:val="en-US" w:eastAsia="zh-CN"/>
        </w:rPr>
        <w:t>3个月</w:t>
      </w:r>
      <w:r>
        <w:rPr>
          <w:rFonts w:hint="eastAsia" w:ascii="宋体" w:hAnsi="宋体" w:eastAsia="宋体"/>
          <w:color w:val="auto"/>
          <w:sz w:val="24"/>
          <w:highlight w:val="none"/>
        </w:rPr>
        <w:t>内</w:t>
      </w:r>
      <w:r>
        <w:rPr>
          <w:rFonts w:hint="eastAsia" w:ascii="宋体" w:hAnsi="宋体"/>
          <w:color w:val="auto"/>
          <w:sz w:val="24"/>
          <w:highlight w:val="none"/>
          <w:lang w:val="en-US" w:eastAsia="zh-CN"/>
        </w:rPr>
        <w:t>向区财政部门申请</w:t>
      </w:r>
      <w:r>
        <w:rPr>
          <w:rFonts w:hint="eastAsia" w:ascii="宋体" w:hAnsi="宋体" w:eastAsia="宋体"/>
          <w:color w:val="auto"/>
          <w:sz w:val="24"/>
          <w:highlight w:val="none"/>
        </w:rPr>
        <w:t>支付</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合同结算价款。</w:t>
      </w:r>
      <w:r>
        <w:rPr>
          <w:rFonts w:hint="eastAsia" w:ascii="宋体" w:hAnsi="宋体"/>
          <w:color w:val="auto"/>
          <w:sz w:val="24"/>
          <w:highlight w:val="none"/>
          <w:lang w:val="en-US" w:eastAsia="zh-CN"/>
        </w:rPr>
        <w:t>最终结算金额以有审核权限的部门审批为准。</w:t>
      </w:r>
    </w:p>
    <w:p w14:paraId="4A2464AD">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23.</w:t>
      </w:r>
      <w:r>
        <w:rPr>
          <w:rFonts w:hint="eastAsia" w:ascii="宋体" w:hAnsi="宋体"/>
          <w:color w:val="auto"/>
          <w:sz w:val="24"/>
          <w:highlight w:val="none"/>
          <w:lang w:val="en-US" w:eastAsia="zh-CN"/>
        </w:rPr>
        <w:t>5</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合同期满并完成合同交接工作后</w:t>
      </w:r>
      <w:r>
        <w:rPr>
          <w:rFonts w:hint="eastAsia" w:ascii="宋体" w:hAnsi="宋体"/>
          <w:color w:val="auto"/>
          <w:sz w:val="24"/>
          <w:highlight w:val="none"/>
          <w:lang w:val="en-US" w:eastAsia="zh-CN"/>
        </w:rPr>
        <w:t>3个月</w:t>
      </w:r>
      <w:r>
        <w:rPr>
          <w:rFonts w:hint="eastAsia" w:ascii="宋体" w:hAnsi="宋体" w:eastAsia="宋体"/>
          <w:color w:val="auto"/>
          <w:sz w:val="24"/>
          <w:highlight w:val="none"/>
        </w:rPr>
        <w:t>内，承包人未能向发包人递交合同结算报告及完整的结算资料，造成</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合同结算不能正常进行或</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合同结算价款不能及时支付，发包人要求交付</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的，承包人应当交付；发包人不要求交付</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的，承包人承担保管责任。</w:t>
      </w:r>
    </w:p>
    <w:p w14:paraId="4C028404">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23.</w:t>
      </w:r>
      <w:r>
        <w:rPr>
          <w:rFonts w:hint="eastAsia" w:ascii="宋体" w:hAnsi="宋体"/>
          <w:color w:val="auto"/>
          <w:sz w:val="24"/>
          <w:highlight w:val="none"/>
          <w:lang w:val="en-US" w:eastAsia="zh-CN"/>
        </w:rPr>
        <w:t>6</w:t>
      </w:r>
      <w:r>
        <w:rPr>
          <w:rFonts w:hint="eastAsia" w:ascii="宋体" w:hAnsi="宋体" w:eastAsia="宋体"/>
          <w:color w:val="auto"/>
          <w:sz w:val="24"/>
          <w:highlight w:val="none"/>
        </w:rPr>
        <w:t>发包人与承包人对</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合同结算价款发生争议时，按本合同条款第</w:t>
      </w:r>
      <w:r>
        <w:rPr>
          <w:rFonts w:ascii="宋体" w:hAnsi="宋体" w:eastAsia="宋体"/>
          <w:color w:val="auto"/>
          <w:sz w:val="24"/>
          <w:highlight w:val="none"/>
        </w:rPr>
        <w:t>26</w:t>
      </w:r>
      <w:r>
        <w:rPr>
          <w:rFonts w:hint="eastAsia" w:ascii="宋体" w:hAnsi="宋体" w:eastAsia="宋体"/>
          <w:color w:val="auto"/>
          <w:sz w:val="24"/>
          <w:highlight w:val="none"/>
        </w:rPr>
        <w:t>款有关争议的规定处理。</w:t>
      </w:r>
    </w:p>
    <w:p w14:paraId="2E27AC0F">
      <w:pPr>
        <w:spacing w:line="400" w:lineRule="exact"/>
        <w:ind w:firstLine="480" w:firstLineChars="200"/>
        <w:rPr>
          <w:rFonts w:ascii="宋体" w:hAnsi="宋体" w:eastAsia="宋体"/>
          <w:bCs/>
          <w:color w:val="auto"/>
          <w:sz w:val="24"/>
          <w:highlight w:val="none"/>
        </w:rPr>
      </w:pPr>
    </w:p>
    <w:p w14:paraId="63A9B113">
      <w:pPr>
        <w:spacing w:line="400" w:lineRule="exact"/>
        <w:outlineLvl w:val="2"/>
        <w:rPr>
          <w:rFonts w:ascii="宋体" w:hAnsi="宋体" w:eastAsia="宋体"/>
          <w:bCs/>
          <w:color w:val="auto"/>
          <w:sz w:val="24"/>
          <w:highlight w:val="none"/>
        </w:rPr>
      </w:pPr>
      <w:bookmarkStart w:id="69" w:name="_Toc493407002"/>
      <w:bookmarkStart w:id="70" w:name="_Toc149721966"/>
      <w:r>
        <w:rPr>
          <w:rFonts w:hint="eastAsia" w:ascii="宋体" w:hAnsi="宋体" w:eastAsia="宋体"/>
          <w:bCs/>
          <w:color w:val="auto"/>
          <w:sz w:val="24"/>
          <w:highlight w:val="none"/>
        </w:rPr>
        <w:t>九、违约、索赔和争议</w:t>
      </w:r>
      <w:bookmarkEnd w:id="69"/>
      <w:bookmarkEnd w:id="70"/>
    </w:p>
    <w:p w14:paraId="085CA952">
      <w:pPr>
        <w:spacing w:line="400" w:lineRule="exact"/>
        <w:ind w:firstLine="480" w:firstLineChars="200"/>
        <w:outlineLvl w:val="3"/>
        <w:rPr>
          <w:rFonts w:ascii="宋体" w:hAnsi="宋体" w:eastAsia="宋体"/>
          <w:bCs/>
          <w:color w:val="auto"/>
          <w:sz w:val="24"/>
          <w:highlight w:val="none"/>
        </w:rPr>
      </w:pPr>
      <w:bookmarkStart w:id="71" w:name="_Toc493407003"/>
      <w:r>
        <w:rPr>
          <w:rFonts w:ascii="宋体" w:hAnsi="宋体" w:eastAsia="宋体"/>
          <w:bCs/>
          <w:color w:val="auto"/>
          <w:sz w:val="24"/>
          <w:highlight w:val="none"/>
        </w:rPr>
        <w:t xml:space="preserve">24. </w:t>
      </w:r>
      <w:r>
        <w:rPr>
          <w:rFonts w:hint="eastAsia" w:ascii="宋体" w:hAnsi="宋体" w:eastAsia="宋体"/>
          <w:bCs/>
          <w:color w:val="auto"/>
          <w:sz w:val="24"/>
          <w:highlight w:val="none"/>
        </w:rPr>
        <w:t>违约</w:t>
      </w:r>
      <w:bookmarkEnd w:id="71"/>
    </w:p>
    <w:p w14:paraId="108543E2">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24.1 </w:t>
      </w:r>
      <w:r>
        <w:rPr>
          <w:rFonts w:hint="eastAsia" w:ascii="宋体" w:hAnsi="宋体" w:eastAsia="宋体"/>
          <w:color w:val="auto"/>
          <w:sz w:val="24"/>
          <w:highlight w:val="none"/>
        </w:rPr>
        <w:t>发包人违约</w:t>
      </w:r>
    </w:p>
    <w:p w14:paraId="518F7ADE">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24.1.1</w:t>
      </w:r>
      <w:r>
        <w:rPr>
          <w:rFonts w:hint="eastAsia" w:ascii="宋体" w:hAnsi="宋体" w:eastAsia="宋体"/>
          <w:color w:val="auto"/>
          <w:sz w:val="24"/>
          <w:highlight w:val="none"/>
        </w:rPr>
        <w:t>当发生下列情况之一时视发包人违约：</w:t>
      </w:r>
    </w:p>
    <w:p w14:paraId="298CC0E6">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（1）发包人不按合同规定申请支付进度款；</w:t>
      </w:r>
    </w:p>
    <w:p w14:paraId="4076DD41">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（2）发包人无正当理由不申请支付合同结算价款；</w:t>
      </w:r>
    </w:p>
    <w:p w14:paraId="7E6AC113">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（3）发包人不按合同规定履行合同义务或履行义务的其它情况；</w:t>
      </w:r>
    </w:p>
    <w:p w14:paraId="4372EC50">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（4）合同条款约定的其它违约情形。</w:t>
      </w:r>
    </w:p>
    <w:p w14:paraId="765B17AB">
      <w:pPr>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发包人发生上述（3）（4）情形，造成承包人不能继续开展工作的，则受影响的工作可以顺延延误的时间节点。</w:t>
      </w:r>
    </w:p>
    <w:p w14:paraId="7BA12BAF">
      <w:pPr>
        <w:spacing w:line="400" w:lineRule="exact"/>
        <w:ind w:firstLine="480" w:firstLineChars="200"/>
        <w:rPr>
          <w:rFonts w:ascii="宋体" w:hAnsi="宋体" w:eastAsia="宋体"/>
          <w:color w:val="auto"/>
          <w:sz w:val="24"/>
          <w:highlight w:val="none"/>
        </w:rPr>
      </w:pPr>
    </w:p>
    <w:p w14:paraId="6638445F">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24.2 </w:t>
      </w:r>
      <w:r>
        <w:rPr>
          <w:rFonts w:hint="eastAsia" w:ascii="宋体" w:hAnsi="宋体" w:eastAsia="宋体"/>
          <w:color w:val="auto"/>
          <w:sz w:val="24"/>
          <w:highlight w:val="none"/>
        </w:rPr>
        <w:t>承包人违约</w:t>
      </w:r>
    </w:p>
    <w:p w14:paraId="1FA8879F">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24.2.1基本原则</w:t>
      </w:r>
    </w:p>
    <w:p w14:paraId="415681AF">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）为强化合同执行和履约管理，最终实现服务目标，发包人按照第</w:t>
      </w:r>
      <w:r>
        <w:rPr>
          <w:rFonts w:ascii="宋体" w:hAnsi="宋体" w:eastAsia="宋体"/>
          <w:color w:val="auto"/>
          <w:sz w:val="24"/>
          <w:highlight w:val="none"/>
        </w:rPr>
        <w:t>13</w:t>
      </w:r>
      <w:r>
        <w:rPr>
          <w:rFonts w:hint="eastAsia" w:ascii="宋体" w:hAnsi="宋体" w:eastAsia="宋体"/>
          <w:color w:val="auto"/>
          <w:sz w:val="24"/>
          <w:highlight w:val="none"/>
        </w:rPr>
        <w:t>款开展履约检查与考核，并结合承包人违约行为的具体情形，原则上采取循序渐进的处理方式，视情况依序采取整改、违约通报、约见单位法定代表人、调整合同内容、解除合同等。</w:t>
      </w:r>
    </w:p>
    <w:p w14:paraId="732EB3E1">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发包人</w:t>
      </w:r>
      <w:r>
        <w:rPr>
          <w:rFonts w:hint="eastAsia" w:ascii="宋体" w:hAnsi="宋体" w:eastAsia="宋体"/>
          <w:color w:val="auto"/>
          <w:sz w:val="24"/>
          <w:highlight w:val="none"/>
        </w:rPr>
        <w:t>在合同履约检查的基础上，</w:t>
      </w:r>
      <w:r>
        <w:rPr>
          <w:rFonts w:ascii="宋体" w:hAnsi="宋体" w:eastAsia="宋体"/>
          <w:color w:val="auto"/>
          <w:sz w:val="24"/>
          <w:highlight w:val="none"/>
        </w:rPr>
        <w:t>体现过程控制和目标管理相结合，体现人本管理、柔性管理和动态管理，旨在强化责任体系和过程控制，</w:t>
      </w:r>
      <w:r>
        <w:rPr>
          <w:rFonts w:hint="eastAsia" w:ascii="宋体" w:hAnsi="宋体" w:eastAsia="宋体"/>
          <w:color w:val="auto"/>
          <w:sz w:val="24"/>
          <w:highlight w:val="none"/>
        </w:rPr>
        <w:t>达到持续改进合同履行的目的，并最终</w:t>
      </w:r>
      <w:r>
        <w:rPr>
          <w:rFonts w:ascii="宋体" w:hAnsi="宋体" w:eastAsia="宋体"/>
          <w:color w:val="auto"/>
          <w:sz w:val="24"/>
          <w:highlight w:val="none"/>
        </w:rPr>
        <w:t>为实现项目目标服务</w:t>
      </w:r>
      <w:r>
        <w:rPr>
          <w:rFonts w:hint="eastAsia" w:ascii="宋体" w:hAnsi="宋体" w:eastAsia="宋体"/>
          <w:color w:val="auto"/>
          <w:sz w:val="24"/>
          <w:highlight w:val="none"/>
        </w:rPr>
        <w:t>。</w:t>
      </w:r>
    </w:p>
    <w:p w14:paraId="2A52DEFE">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承包人违约后，发包人有权发出整改通知书，并</w:t>
      </w:r>
      <w:r>
        <w:rPr>
          <w:rFonts w:ascii="宋体" w:hAnsi="宋体" w:eastAsia="宋体"/>
          <w:color w:val="auto"/>
          <w:sz w:val="24"/>
          <w:highlight w:val="none"/>
        </w:rPr>
        <w:t>有权视违约行为所造成的实质影响、改善的空间和条件，以及违约行为者的一贯表现等决定是否启动违约金处理机制。对于承包人的违约行为，经发包人评估认为事实上已造成不良后果，发包人有权按照本条款所列出的违约处理标准，以书面形式出具课以违约金的处理意见。</w:t>
      </w:r>
    </w:p>
    <w:p w14:paraId="3648194E">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（4）发包人为实现项目管理总目标而设立违约条款，但并不寻求以制裁违约行为为目的调整承包人的合同价格</w:t>
      </w:r>
      <w:r>
        <w:rPr>
          <w:rFonts w:hint="eastAsia" w:ascii="宋体" w:hAnsi="宋体" w:eastAsia="宋体"/>
          <w:color w:val="auto"/>
          <w:sz w:val="24"/>
          <w:highlight w:val="none"/>
        </w:rPr>
        <w:t>。</w:t>
      </w:r>
    </w:p>
    <w:p w14:paraId="3F5D6961">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（5）承包人或其分包人发生合同规定的任一违约行为时，发包人可直接从应付或到期应付给承包人的任何款项中或采用其他方法扣除此违约金</w:t>
      </w:r>
      <w:r>
        <w:rPr>
          <w:rFonts w:hint="eastAsia" w:ascii="宋体" w:hAnsi="宋体" w:eastAsia="宋体"/>
          <w:color w:val="auto"/>
          <w:sz w:val="24"/>
          <w:highlight w:val="none"/>
        </w:rPr>
        <w:t>。</w:t>
      </w:r>
    </w:p>
    <w:p w14:paraId="2C8D279F">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（6）发包人对项目实施动态管理，根据工程进展情况及</w:t>
      </w:r>
      <w:r>
        <w:rPr>
          <w:rFonts w:hint="eastAsia" w:ascii="宋体" w:hAnsi="宋体" w:eastAsia="宋体"/>
          <w:color w:val="auto"/>
          <w:sz w:val="24"/>
          <w:highlight w:val="none"/>
        </w:rPr>
        <w:t>服务</w:t>
      </w:r>
      <w:r>
        <w:rPr>
          <w:rFonts w:ascii="宋体" w:hAnsi="宋体" w:eastAsia="宋体"/>
          <w:color w:val="auto"/>
          <w:sz w:val="24"/>
          <w:highlight w:val="none"/>
        </w:rPr>
        <w:t>目标实现情况，不断建设完善项目管理责任体系，承包人须积极配合并无条件接受</w:t>
      </w:r>
      <w:r>
        <w:rPr>
          <w:rFonts w:hint="eastAsia" w:ascii="宋体" w:hAnsi="宋体" w:eastAsia="宋体"/>
          <w:color w:val="auto"/>
          <w:sz w:val="24"/>
          <w:highlight w:val="none"/>
        </w:rPr>
        <w:t>。</w:t>
      </w:r>
    </w:p>
    <w:p w14:paraId="7B277859">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（7）即使承包人按本</w:t>
      </w:r>
      <w:r>
        <w:rPr>
          <w:rFonts w:hint="eastAsia" w:ascii="宋体" w:hAnsi="宋体" w:eastAsia="宋体"/>
          <w:color w:val="auto"/>
          <w:sz w:val="24"/>
          <w:highlight w:val="none"/>
        </w:rPr>
        <w:t>合同条</w:t>
      </w:r>
      <w:r>
        <w:rPr>
          <w:rFonts w:ascii="宋体" w:hAnsi="宋体" w:eastAsia="宋体"/>
          <w:color w:val="auto"/>
          <w:sz w:val="24"/>
          <w:highlight w:val="none"/>
        </w:rPr>
        <w:t>款约定向发包人交纳了违约金，并不免除承包人对</w:t>
      </w:r>
      <w:r>
        <w:rPr>
          <w:rFonts w:hint="eastAsia" w:ascii="宋体" w:hAnsi="宋体" w:eastAsia="宋体"/>
          <w:color w:val="auto"/>
          <w:sz w:val="24"/>
          <w:highlight w:val="none"/>
          <w:lang w:eastAsia="zh-CN"/>
        </w:rPr>
        <w:t>本项目运行维护</w:t>
      </w:r>
      <w:r>
        <w:rPr>
          <w:rFonts w:ascii="宋体" w:hAnsi="宋体" w:eastAsia="宋体"/>
          <w:color w:val="auto"/>
          <w:sz w:val="24"/>
          <w:highlight w:val="none"/>
        </w:rPr>
        <w:t>承担的责任和义务</w:t>
      </w:r>
      <w:r>
        <w:rPr>
          <w:rFonts w:hint="eastAsia" w:ascii="宋体" w:hAnsi="宋体" w:eastAsia="宋体"/>
          <w:color w:val="auto"/>
          <w:sz w:val="24"/>
          <w:highlight w:val="none"/>
        </w:rPr>
        <w:t>。</w:t>
      </w:r>
    </w:p>
    <w:p w14:paraId="431D56C4">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（8）发包人有权将承包人的违约行为报行业主管部门，作为不良记录纳入建设市场信用信息管理系统。</w:t>
      </w:r>
    </w:p>
    <w:p w14:paraId="27DF65AF">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24.2.2 </w:t>
      </w:r>
      <w:r>
        <w:rPr>
          <w:rFonts w:hint="eastAsia" w:ascii="宋体" w:hAnsi="宋体" w:eastAsia="宋体"/>
          <w:color w:val="auto"/>
          <w:sz w:val="24"/>
          <w:highlight w:val="none"/>
        </w:rPr>
        <w:t>当发生下列情况之一时视承包人违约：</w:t>
      </w:r>
    </w:p>
    <w:p w14:paraId="06B0F14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）承包人</w:t>
      </w:r>
      <w:r>
        <w:rPr>
          <w:rFonts w:ascii="宋体" w:hAnsi="宋体" w:eastAsia="宋体"/>
          <w:color w:val="auto"/>
          <w:sz w:val="24"/>
          <w:highlight w:val="none"/>
        </w:rPr>
        <w:t>未按本合同约定投入人员的</w:t>
      </w:r>
      <w:r>
        <w:rPr>
          <w:rFonts w:hint="eastAsia" w:ascii="宋体" w:hAnsi="宋体" w:eastAsia="宋体"/>
          <w:color w:val="auto"/>
          <w:sz w:val="24"/>
          <w:highlight w:val="none"/>
        </w:rPr>
        <w:t>或变更人员的；</w:t>
      </w:r>
    </w:p>
    <w:p w14:paraId="4D41D2C7">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（2）承包人未按合同文件规定为现场人员办理人身安全保险； </w:t>
      </w:r>
    </w:p>
    <w:p w14:paraId="75DB76F6">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）承包人</w:t>
      </w:r>
      <w:r>
        <w:rPr>
          <w:rFonts w:ascii="宋体" w:hAnsi="宋体" w:eastAsia="宋体"/>
          <w:color w:val="auto"/>
          <w:sz w:val="24"/>
          <w:highlight w:val="none"/>
        </w:rPr>
        <w:t>未按合同约定投入机械设备的</w:t>
      </w:r>
      <w:r>
        <w:rPr>
          <w:rFonts w:hint="eastAsia" w:ascii="宋体" w:hAnsi="宋体" w:eastAsia="宋体"/>
          <w:color w:val="auto"/>
          <w:sz w:val="24"/>
          <w:highlight w:val="none"/>
        </w:rPr>
        <w:t>或</w:t>
      </w:r>
      <w:r>
        <w:rPr>
          <w:rFonts w:ascii="宋体" w:hAnsi="宋体" w:eastAsia="宋体"/>
          <w:color w:val="auto"/>
          <w:sz w:val="24"/>
          <w:highlight w:val="none"/>
        </w:rPr>
        <w:t>投入机械设备性能被认定不满足要求的或未按要求办理相关手续和证件的</w:t>
      </w:r>
      <w:r>
        <w:rPr>
          <w:rFonts w:hint="eastAsia" w:ascii="宋体" w:hAnsi="宋体" w:eastAsia="宋体"/>
          <w:color w:val="auto"/>
          <w:sz w:val="24"/>
          <w:highlight w:val="none"/>
        </w:rPr>
        <w:t>；</w:t>
      </w:r>
    </w:p>
    <w:p w14:paraId="08D3ABE1">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）承包人</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质量达不到合同文件规定的质量标准；</w:t>
      </w:r>
    </w:p>
    <w:p w14:paraId="65F3C482">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）承包人未按合同约定保障承包人人员的合法权益的；</w:t>
      </w:r>
    </w:p>
    <w:p w14:paraId="4644CBCF">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6</w:t>
      </w:r>
      <w:r>
        <w:rPr>
          <w:rFonts w:hint="eastAsia" w:ascii="宋体" w:hAnsi="宋体" w:eastAsia="宋体"/>
          <w:color w:val="auto"/>
          <w:sz w:val="24"/>
          <w:highlight w:val="none"/>
        </w:rPr>
        <w:t>）承包人在</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作业期间违反安全操作规定；</w:t>
      </w:r>
    </w:p>
    <w:p w14:paraId="7563C093">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7</w:t>
      </w:r>
      <w:r>
        <w:rPr>
          <w:rFonts w:hint="eastAsia" w:ascii="宋体" w:hAnsi="宋体" w:eastAsia="宋体"/>
          <w:color w:val="auto"/>
          <w:sz w:val="24"/>
          <w:highlight w:val="none"/>
        </w:rPr>
        <w:t>）承包人发生安全生产事故的；</w:t>
      </w:r>
    </w:p>
    <w:p w14:paraId="74492C0B">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8</w:t>
      </w:r>
      <w:r>
        <w:rPr>
          <w:rFonts w:hint="eastAsia" w:ascii="宋体" w:hAnsi="宋体" w:eastAsia="宋体"/>
          <w:color w:val="auto"/>
          <w:sz w:val="24"/>
          <w:highlight w:val="none"/>
        </w:rPr>
        <w:t>）承包人不执行发包人或发包人代表对</w:t>
      </w:r>
      <w:r>
        <w:rPr>
          <w:rFonts w:hint="eastAsia" w:ascii="宋体" w:hAnsi="宋体" w:eastAsia="宋体"/>
          <w:color w:val="auto"/>
          <w:sz w:val="24"/>
          <w:highlight w:val="none"/>
          <w:lang w:eastAsia="zh-CN"/>
        </w:rPr>
        <w:t>本项目运行维护</w:t>
      </w:r>
      <w:r>
        <w:rPr>
          <w:rFonts w:hint="eastAsia" w:ascii="宋体" w:hAnsi="宋体" w:eastAsia="宋体"/>
          <w:color w:val="auto"/>
          <w:sz w:val="24"/>
          <w:highlight w:val="none"/>
        </w:rPr>
        <w:t>发出的指示；</w:t>
      </w:r>
    </w:p>
    <w:p w14:paraId="3BB35084">
      <w:pPr>
        <w:spacing w:line="400" w:lineRule="exact"/>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w:t>
      </w:r>
      <w:r>
        <w:rPr>
          <w:rFonts w:ascii="宋体" w:hAnsi="宋体" w:eastAsia="宋体"/>
          <w:color w:val="auto"/>
          <w:sz w:val="24"/>
          <w:highlight w:val="none"/>
        </w:rPr>
        <w:t>9</w:t>
      </w:r>
      <w:r>
        <w:rPr>
          <w:rFonts w:hint="eastAsia" w:ascii="宋体" w:hAnsi="宋体" w:eastAsia="宋体"/>
          <w:color w:val="auto"/>
          <w:sz w:val="24"/>
          <w:highlight w:val="none"/>
        </w:rPr>
        <w:t>）</w:t>
      </w:r>
      <w:r>
        <w:rPr>
          <w:rFonts w:hint="eastAsia" w:ascii="宋体" w:hAnsi="宋体"/>
          <w:color w:val="auto"/>
          <w:sz w:val="24"/>
          <w:highlight w:val="none"/>
          <w:lang w:val="en-US" w:eastAsia="zh-CN"/>
        </w:rPr>
        <w:t>承包人未按投标文件中的方案落实增值服务的；</w:t>
      </w:r>
    </w:p>
    <w:p w14:paraId="2F5E338C">
      <w:pPr>
        <w:spacing w:line="400" w:lineRule="exact"/>
        <w:ind w:firstLine="480" w:firstLineChars="200"/>
        <w:rPr>
          <w:rFonts w:ascii="宋体" w:hAnsi="宋体" w:eastAsia="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10</w:t>
      </w:r>
      <w:r>
        <w:rPr>
          <w:rFonts w:hint="eastAsia" w:ascii="宋体" w:hAnsi="宋体"/>
          <w:color w:val="auto"/>
          <w:sz w:val="24"/>
          <w:highlight w:val="none"/>
          <w:lang w:eastAsia="zh-CN"/>
        </w:rPr>
        <w:t>）</w:t>
      </w:r>
      <w:r>
        <w:rPr>
          <w:rFonts w:hint="eastAsia" w:ascii="宋体" w:hAnsi="宋体" w:eastAsia="宋体"/>
          <w:color w:val="auto"/>
          <w:sz w:val="24"/>
          <w:highlight w:val="none"/>
        </w:rPr>
        <w:t>合同条款、发包人要求</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考核管理办法</w:t>
      </w:r>
      <w:r>
        <w:rPr>
          <w:rFonts w:hint="eastAsia" w:ascii="宋体" w:hAnsi="宋体" w:eastAsia="宋体"/>
          <w:color w:val="auto"/>
          <w:sz w:val="24"/>
          <w:highlight w:val="none"/>
        </w:rPr>
        <w:t>中约定的其它违约情形。</w:t>
      </w:r>
    </w:p>
    <w:p w14:paraId="1AFF4D77">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承包人</w:t>
      </w:r>
      <w:r>
        <w:rPr>
          <w:rFonts w:hint="eastAsia" w:ascii="宋体" w:hAnsi="宋体" w:eastAsia="宋体"/>
          <w:color w:val="auto"/>
          <w:sz w:val="24"/>
          <w:highlight w:val="none"/>
        </w:rPr>
        <w:t>违约行为见合同条款</w:t>
      </w:r>
      <w:r>
        <w:rPr>
          <w:rFonts w:ascii="宋体" w:hAnsi="宋体" w:eastAsia="宋体"/>
          <w:color w:val="auto"/>
          <w:sz w:val="24"/>
          <w:highlight w:val="none"/>
        </w:rPr>
        <w:t>附件</w:t>
      </w:r>
      <w:r>
        <w:rPr>
          <w:rFonts w:hint="eastAsia" w:ascii="宋体" w:hAnsi="宋体"/>
          <w:color w:val="auto"/>
          <w:sz w:val="24"/>
          <w:highlight w:val="none"/>
          <w:lang w:val="en-US" w:eastAsia="zh-CN"/>
        </w:rPr>
        <w:t>2</w:t>
      </w:r>
      <w:r>
        <w:rPr>
          <w:rFonts w:ascii="宋体" w:hAnsi="宋体" w:eastAsia="宋体"/>
          <w:color w:val="auto"/>
          <w:sz w:val="24"/>
          <w:highlight w:val="none"/>
        </w:rPr>
        <w:t>《承包人主要违约行为及违约金标准一览表》</w:t>
      </w:r>
      <w:r>
        <w:rPr>
          <w:rFonts w:hint="eastAsia" w:ascii="宋体" w:hAnsi="宋体" w:eastAsia="宋体"/>
          <w:color w:val="auto"/>
          <w:sz w:val="24"/>
          <w:highlight w:val="none"/>
        </w:rPr>
        <w:t>，</w:t>
      </w:r>
      <w:r>
        <w:rPr>
          <w:rFonts w:ascii="宋体" w:hAnsi="宋体" w:eastAsia="宋体"/>
          <w:color w:val="auto"/>
          <w:sz w:val="24"/>
          <w:highlight w:val="none"/>
        </w:rPr>
        <w:t>承包人</w:t>
      </w:r>
      <w:r>
        <w:rPr>
          <w:rFonts w:hint="eastAsia" w:ascii="宋体" w:hAnsi="宋体" w:eastAsia="宋体"/>
          <w:color w:val="auto"/>
          <w:sz w:val="24"/>
          <w:highlight w:val="none"/>
        </w:rPr>
        <w:t>发生所</w:t>
      </w:r>
      <w:r>
        <w:rPr>
          <w:rFonts w:ascii="宋体" w:hAnsi="宋体" w:eastAsia="宋体"/>
          <w:color w:val="auto"/>
          <w:sz w:val="24"/>
          <w:highlight w:val="none"/>
        </w:rPr>
        <w:t>约定的违约</w:t>
      </w:r>
      <w:r>
        <w:rPr>
          <w:rFonts w:hint="eastAsia" w:ascii="宋体" w:hAnsi="宋体" w:eastAsia="宋体"/>
          <w:color w:val="auto"/>
          <w:sz w:val="24"/>
          <w:highlight w:val="none"/>
        </w:rPr>
        <w:t>情形</w:t>
      </w:r>
      <w:r>
        <w:rPr>
          <w:rFonts w:ascii="宋体" w:hAnsi="宋体" w:eastAsia="宋体"/>
          <w:color w:val="auto"/>
          <w:sz w:val="24"/>
          <w:highlight w:val="none"/>
        </w:rPr>
        <w:t>时，发包人将按</w:t>
      </w:r>
      <w:r>
        <w:rPr>
          <w:rFonts w:hint="eastAsia" w:ascii="宋体" w:hAnsi="宋体" w:eastAsia="宋体"/>
          <w:color w:val="auto"/>
          <w:sz w:val="24"/>
          <w:highlight w:val="none"/>
        </w:rPr>
        <w:t>该附表</w:t>
      </w:r>
      <w:r>
        <w:rPr>
          <w:rFonts w:ascii="宋体" w:hAnsi="宋体" w:eastAsia="宋体"/>
          <w:color w:val="auto"/>
          <w:sz w:val="24"/>
          <w:highlight w:val="none"/>
        </w:rPr>
        <w:t>规定的标准课以违约金</w:t>
      </w:r>
      <w:r>
        <w:rPr>
          <w:rFonts w:hint="eastAsia" w:ascii="宋体" w:hAnsi="宋体" w:eastAsia="宋体"/>
          <w:color w:val="auto"/>
          <w:sz w:val="24"/>
          <w:highlight w:val="none"/>
        </w:rPr>
        <w:t>，承包人发生其他违约行为的，发包人可视情节轻重，按对应的年度合同费用的0</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课以违约金，该违约金在当期进度款支付中扣除</w:t>
      </w:r>
      <w:r>
        <w:rPr>
          <w:rFonts w:ascii="宋体" w:hAnsi="宋体" w:eastAsia="宋体"/>
          <w:color w:val="auto"/>
          <w:sz w:val="24"/>
          <w:highlight w:val="none"/>
        </w:rPr>
        <w:t>。</w:t>
      </w:r>
    </w:p>
    <w:p w14:paraId="28B911C1">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24.3</w:t>
      </w:r>
      <w:r>
        <w:rPr>
          <w:rFonts w:hint="eastAsia" w:ascii="宋体" w:hAnsi="宋体" w:eastAsia="宋体"/>
          <w:color w:val="auto"/>
          <w:sz w:val="24"/>
          <w:highlight w:val="none"/>
        </w:rPr>
        <w:t>一方违约后，另一方要求违约方继续履行合同时，违约方承担上述违约责任后仍应继续履行合同。</w:t>
      </w:r>
    </w:p>
    <w:p w14:paraId="15C27E09">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4.</w:t>
      </w:r>
      <w:r>
        <w:rPr>
          <w:rFonts w:hint="eastAsia" w:ascii="宋体" w:hAnsi="宋体"/>
          <w:color w:val="auto"/>
          <w:sz w:val="24"/>
          <w:highlight w:val="none"/>
          <w:lang w:val="en-US" w:eastAsia="zh-CN"/>
        </w:rPr>
        <w:t>4</w:t>
      </w:r>
      <w:r>
        <w:rPr>
          <w:rFonts w:hint="eastAsia" w:ascii="宋体" w:hAnsi="宋体" w:eastAsia="宋体"/>
          <w:color w:val="auto"/>
          <w:sz w:val="24"/>
          <w:highlight w:val="none"/>
        </w:rPr>
        <w:t xml:space="preserve">承包人违约时，如承包人支付给发包人的违约金不足以弥补发包人全部损失的，承包人还应就不足部分进行赔偿。全部损失包括但不限于发包人的实际损失、仲裁、诉讼或与之有关的一切费用（包括但不限于诉讼费、仲裁费、律师费、公证费、鉴定费、保全费、财产保全保险费和合理的差旅费）、重新组织招标的损失等。发包人有权从未付工程款或履约担保中直接扣除承包人应承担的违约金及赔偿。 </w:t>
      </w:r>
    </w:p>
    <w:p w14:paraId="5F5B843C">
      <w:pPr>
        <w:spacing w:line="400" w:lineRule="exact"/>
        <w:ind w:firstLine="480" w:firstLineChars="200"/>
        <w:rPr>
          <w:rFonts w:ascii="宋体" w:hAnsi="宋体" w:eastAsia="宋体"/>
          <w:color w:val="auto"/>
          <w:sz w:val="24"/>
          <w:highlight w:val="none"/>
        </w:rPr>
      </w:pPr>
    </w:p>
    <w:p w14:paraId="4E3ED33D">
      <w:pPr>
        <w:spacing w:line="400" w:lineRule="exact"/>
        <w:ind w:firstLine="480" w:firstLineChars="200"/>
        <w:outlineLvl w:val="3"/>
        <w:rPr>
          <w:rFonts w:ascii="宋体" w:hAnsi="宋体" w:eastAsia="宋体"/>
          <w:bCs/>
          <w:color w:val="auto"/>
          <w:sz w:val="24"/>
          <w:highlight w:val="none"/>
        </w:rPr>
      </w:pPr>
      <w:bookmarkStart w:id="72" w:name="_Toc493407004"/>
      <w:r>
        <w:rPr>
          <w:rFonts w:ascii="宋体" w:hAnsi="宋体" w:eastAsia="宋体"/>
          <w:bCs/>
          <w:color w:val="auto"/>
          <w:sz w:val="24"/>
          <w:highlight w:val="none"/>
        </w:rPr>
        <w:t xml:space="preserve">25. </w:t>
      </w:r>
      <w:r>
        <w:rPr>
          <w:rFonts w:hint="eastAsia" w:ascii="宋体" w:hAnsi="宋体" w:eastAsia="宋体"/>
          <w:bCs/>
          <w:color w:val="auto"/>
          <w:sz w:val="24"/>
          <w:highlight w:val="none"/>
        </w:rPr>
        <w:t>索赔</w:t>
      </w:r>
      <w:bookmarkEnd w:id="72"/>
    </w:p>
    <w:p w14:paraId="4A908B13">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25.1 </w:t>
      </w:r>
      <w:r>
        <w:rPr>
          <w:rFonts w:hint="eastAsia" w:ascii="宋体" w:hAnsi="宋体" w:eastAsia="宋体"/>
          <w:color w:val="auto"/>
          <w:sz w:val="24"/>
          <w:highlight w:val="none"/>
        </w:rPr>
        <w:t>当一方向另一方提出索赔时，要有正当索赔理由，且有索赔事件发生时的有效证据。</w:t>
      </w:r>
    </w:p>
    <w:p w14:paraId="1F035CDD">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25.2 </w:t>
      </w:r>
      <w:r>
        <w:rPr>
          <w:rFonts w:hint="eastAsia" w:ascii="宋体" w:hAnsi="宋体" w:eastAsia="宋体"/>
          <w:color w:val="auto"/>
          <w:sz w:val="24"/>
          <w:highlight w:val="none"/>
        </w:rPr>
        <w:t>发包人未能按合同规定履行自己的各项义务或发生错误以及应由发包人承担责任的其他情况，造成时间节点延误或承包人不能及时得到合同价格及承包人的其他经济损失，承包人可按下列程序以书面形式向发包人索赔：</w:t>
      </w:r>
    </w:p>
    <w:p w14:paraId="412E771C">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）索赔事件发生后</w:t>
      </w:r>
      <w:r>
        <w:rPr>
          <w:rFonts w:ascii="宋体" w:hAnsi="宋体" w:eastAsia="宋体"/>
          <w:color w:val="auto"/>
          <w:sz w:val="24"/>
          <w:highlight w:val="none"/>
        </w:rPr>
        <w:t>14</w:t>
      </w:r>
      <w:r>
        <w:rPr>
          <w:rFonts w:hint="eastAsia" w:ascii="宋体" w:hAnsi="宋体" w:eastAsia="宋体"/>
          <w:color w:val="auto"/>
          <w:sz w:val="24"/>
          <w:highlight w:val="none"/>
        </w:rPr>
        <w:t>天内，向发包人代表发出书面索赔意向通知；</w:t>
      </w:r>
    </w:p>
    <w:p w14:paraId="4F72441E">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）发出书面索赔意向通知后</w:t>
      </w:r>
      <w:r>
        <w:rPr>
          <w:rFonts w:ascii="宋体" w:hAnsi="宋体" w:eastAsia="宋体"/>
          <w:color w:val="auto"/>
          <w:sz w:val="24"/>
          <w:highlight w:val="none"/>
        </w:rPr>
        <w:t>28</w:t>
      </w:r>
      <w:r>
        <w:rPr>
          <w:rFonts w:hint="eastAsia" w:ascii="宋体" w:hAnsi="宋体" w:eastAsia="宋体"/>
          <w:color w:val="auto"/>
          <w:sz w:val="24"/>
          <w:highlight w:val="none"/>
        </w:rPr>
        <w:t>天内，向发包人代表提出延长时间节点或补偿经济损失的索赔报告及有关资料；</w:t>
      </w:r>
    </w:p>
    <w:p w14:paraId="6A280A0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）发包人代表在收到承包人送交的索赔报告和有关资料后，于</w:t>
      </w:r>
      <w:r>
        <w:rPr>
          <w:rFonts w:ascii="宋体" w:hAnsi="宋体" w:eastAsia="宋体"/>
          <w:color w:val="auto"/>
          <w:sz w:val="24"/>
          <w:highlight w:val="none"/>
        </w:rPr>
        <w:t>28</w:t>
      </w:r>
      <w:r>
        <w:rPr>
          <w:rFonts w:hint="eastAsia" w:ascii="宋体" w:hAnsi="宋体" w:eastAsia="宋体"/>
          <w:color w:val="auto"/>
          <w:sz w:val="24"/>
          <w:highlight w:val="none"/>
        </w:rPr>
        <w:t>天内给予答复，或要求承包人进一步补充索赔理由和证据；</w:t>
      </w:r>
    </w:p>
    <w:p w14:paraId="47D9C1D8">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）发包人代表在收到承包人送交的索赔报告和有关资料后</w:t>
      </w:r>
      <w:r>
        <w:rPr>
          <w:rFonts w:ascii="宋体" w:hAnsi="宋体" w:eastAsia="宋体"/>
          <w:color w:val="auto"/>
          <w:sz w:val="24"/>
          <w:highlight w:val="none"/>
        </w:rPr>
        <w:t>28</w:t>
      </w:r>
      <w:r>
        <w:rPr>
          <w:rFonts w:hint="eastAsia" w:ascii="宋体" w:hAnsi="宋体" w:eastAsia="宋体"/>
          <w:color w:val="auto"/>
          <w:sz w:val="24"/>
          <w:highlight w:val="none"/>
        </w:rPr>
        <w:t>天内未予答复或未对承包人作进一步要求，视为该项索赔已经认可；</w:t>
      </w:r>
    </w:p>
    <w:p w14:paraId="27AFBBF8">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）当该索赔事件持续进行时，承包人应当阶段性向发包人代表发出索赔意向，在索赔事件终了后</w:t>
      </w:r>
      <w:r>
        <w:rPr>
          <w:rFonts w:ascii="宋体" w:hAnsi="宋体" w:eastAsia="宋体"/>
          <w:color w:val="auto"/>
          <w:sz w:val="24"/>
          <w:highlight w:val="none"/>
        </w:rPr>
        <w:t>28</w:t>
      </w:r>
      <w:r>
        <w:rPr>
          <w:rFonts w:hint="eastAsia" w:ascii="宋体" w:hAnsi="宋体" w:eastAsia="宋体"/>
          <w:color w:val="auto"/>
          <w:sz w:val="24"/>
          <w:highlight w:val="none"/>
        </w:rPr>
        <w:t>天内，向发包人代表送交索赔的有关资料和最终索赔报告。索赔答复程序与上述第（</w:t>
      </w:r>
      <w:r>
        <w:rPr>
          <w:rFonts w:ascii="宋体" w:hAnsi="宋体" w:eastAsia="宋体"/>
          <w:color w:val="auto"/>
          <w:sz w:val="24"/>
          <w:highlight w:val="none"/>
        </w:rPr>
        <w:t>3</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）款规定相同。</w:t>
      </w:r>
    </w:p>
    <w:p w14:paraId="6B6DD8E1">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25.3 </w:t>
      </w:r>
      <w:r>
        <w:rPr>
          <w:rFonts w:hint="eastAsia" w:ascii="宋体" w:hAnsi="宋体" w:eastAsia="宋体"/>
          <w:color w:val="auto"/>
          <w:sz w:val="24"/>
          <w:highlight w:val="none"/>
        </w:rPr>
        <w:t>承包人未能按合同规定履行自己的各项义务或发生错误，给发包人造成经济损失，发包人也可按第</w:t>
      </w:r>
      <w:r>
        <w:rPr>
          <w:rFonts w:ascii="宋体" w:hAnsi="宋体" w:eastAsia="宋体"/>
          <w:color w:val="auto"/>
          <w:sz w:val="24"/>
          <w:highlight w:val="none"/>
        </w:rPr>
        <w:t>25.2</w:t>
      </w:r>
      <w:r>
        <w:rPr>
          <w:rFonts w:hint="eastAsia" w:ascii="宋体" w:hAnsi="宋体" w:eastAsia="宋体"/>
          <w:color w:val="auto"/>
          <w:sz w:val="24"/>
          <w:highlight w:val="none"/>
        </w:rPr>
        <w:t>款确定的时限和程序向承包人提出索赔。</w:t>
      </w:r>
    </w:p>
    <w:p w14:paraId="3E2CED5C">
      <w:pPr>
        <w:spacing w:line="400" w:lineRule="exact"/>
        <w:ind w:firstLine="480" w:firstLineChars="200"/>
        <w:rPr>
          <w:rFonts w:ascii="宋体" w:hAnsi="宋体" w:eastAsia="宋体"/>
          <w:color w:val="auto"/>
          <w:sz w:val="24"/>
          <w:highlight w:val="none"/>
        </w:rPr>
      </w:pPr>
    </w:p>
    <w:p w14:paraId="57DEB6C1">
      <w:pPr>
        <w:spacing w:line="400" w:lineRule="exact"/>
        <w:ind w:firstLine="480" w:firstLineChars="200"/>
        <w:outlineLvl w:val="3"/>
        <w:rPr>
          <w:rFonts w:ascii="宋体" w:hAnsi="宋体" w:eastAsia="宋体"/>
          <w:bCs/>
          <w:color w:val="auto"/>
          <w:sz w:val="24"/>
          <w:highlight w:val="none"/>
        </w:rPr>
      </w:pPr>
      <w:bookmarkStart w:id="73" w:name="_Toc493407005"/>
      <w:r>
        <w:rPr>
          <w:rFonts w:ascii="宋体" w:hAnsi="宋体" w:eastAsia="宋体"/>
          <w:bCs/>
          <w:color w:val="auto"/>
          <w:sz w:val="24"/>
          <w:highlight w:val="none"/>
        </w:rPr>
        <w:t xml:space="preserve">26. </w:t>
      </w:r>
      <w:r>
        <w:rPr>
          <w:rFonts w:hint="eastAsia" w:ascii="宋体" w:hAnsi="宋体" w:eastAsia="宋体"/>
          <w:bCs/>
          <w:color w:val="auto"/>
          <w:sz w:val="24"/>
          <w:highlight w:val="none"/>
        </w:rPr>
        <w:t>争议</w:t>
      </w:r>
      <w:bookmarkEnd w:id="73"/>
    </w:p>
    <w:p w14:paraId="782124FE">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26.1 </w:t>
      </w:r>
      <w:r>
        <w:rPr>
          <w:rFonts w:hint="eastAsia" w:ascii="宋体" w:hAnsi="宋体" w:eastAsia="宋体"/>
          <w:color w:val="auto"/>
          <w:sz w:val="24"/>
          <w:highlight w:val="none"/>
        </w:rPr>
        <w:t>发包人与承包人在履行合同时发生争议，可以按照第</w:t>
      </w:r>
      <w:r>
        <w:rPr>
          <w:rFonts w:ascii="宋体" w:hAnsi="宋体" w:eastAsia="宋体"/>
          <w:color w:val="auto"/>
          <w:sz w:val="24"/>
          <w:highlight w:val="none"/>
        </w:rPr>
        <w:t>7.5</w:t>
      </w:r>
      <w:r>
        <w:rPr>
          <w:rFonts w:hint="eastAsia" w:ascii="宋体" w:hAnsi="宋体" w:eastAsia="宋体"/>
          <w:color w:val="auto"/>
          <w:sz w:val="24"/>
          <w:highlight w:val="none"/>
        </w:rPr>
        <w:t>款进行协商和解或者调解。当事人不愿和解、调解或者和解、调解不成的，可以协商启动争议评审，双方仍然无法达成一致后，向工程所在地人民法院提请诉讼。</w:t>
      </w:r>
    </w:p>
    <w:p w14:paraId="4B7D403E">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26.2</w:t>
      </w:r>
      <w:r>
        <w:rPr>
          <w:rFonts w:hint="eastAsia" w:ascii="宋体" w:hAnsi="宋体" w:eastAsia="宋体"/>
          <w:color w:val="auto"/>
          <w:sz w:val="24"/>
          <w:highlight w:val="none"/>
        </w:rPr>
        <w:t>发生争议后，除非出现下列情况的，双方都应继续履行合同，保持</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作业连续，保护好已完</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w:t>
      </w:r>
    </w:p>
    <w:p w14:paraId="4C02D053">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）单方违约导致合同确已无法履行，双方协议停止</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作业；</w:t>
      </w:r>
    </w:p>
    <w:p w14:paraId="5661BB9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）调解要求停止</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作业，且为双方接受；</w:t>
      </w:r>
    </w:p>
    <w:p w14:paraId="60E71722">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）法院要求停止</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作业。</w:t>
      </w:r>
    </w:p>
    <w:p w14:paraId="5D0E9C00">
      <w:pPr>
        <w:spacing w:line="400" w:lineRule="exact"/>
        <w:ind w:firstLine="420" w:firstLineChars="200"/>
        <w:rPr>
          <w:rFonts w:ascii="宋体" w:hAnsi="宋体" w:eastAsia="宋体"/>
          <w:color w:val="auto"/>
          <w:highlight w:val="none"/>
        </w:rPr>
      </w:pPr>
    </w:p>
    <w:p w14:paraId="627B4EAE">
      <w:pPr>
        <w:spacing w:line="400" w:lineRule="exact"/>
        <w:outlineLvl w:val="2"/>
        <w:rPr>
          <w:rFonts w:ascii="宋体" w:hAnsi="宋体" w:eastAsia="宋体"/>
          <w:bCs/>
          <w:color w:val="auto"/>
          <w:sz w:val="24"/>
          <w:highlight w:val="none"/>
        </w:rPr>
      </w:pPr>
      <w:bookmarkStart w:id="74" w:name="_Toc149721967"/>
      <w:bookmarkStart w:id="75" w:name="_Toc493407006"/>
      <w:r>
        <w:rPr>
          <w:rFonts w:hint="eastAsia" w:ascii="宋体" w:hAnsi="宋体" w:eastAsia="宋体"/>
          <w:bCs/>
          <w:color w:val="auto"/>
          <w:sz w:val="24"/>
          <w:highlight w:val="none"/>
        </w:rPr>
        <w:t>十、其他</w:t>
      </w:r>
      <w:bookmarkEnd w:id="74"/>
      <w:bookmarkEnd w:id="75"/>
    </w:p>
    <w:p w14:paraId="5FDC01AE">
      <w:pPr>
        <w:spacing w:line="400" w:lineRule="exact"/>
        <w:ind w:firstLine="480" w:firstLineChars="200"/>
        <w:outlineLvl w:val="3"/>
        <w:rPr>
          <w:rFonts w:hint="eastAsia" w:ascii="宋体" w:hAnsi="宋体"/>
          <w:bCs/>
          <w:color w:val="auto"/>
          <w:sz w:val="24"/>
          <w:highlight w:val="none"/>
          <w:lang w:val="en-US" w:eastAsia="zh-CN"/>
        </w:rPr>
      </w:pPr>
      <w:bookmarkStart w:id="76" w:name="_Toc493407007"/>
      <w:r>
        <w:rPr>
          <w:rFonts w:hint="eastAsia" w:ascii="宋体" w:hAnsi="宋体"/>
          <w:bCs/>
          <w:color w:val="auto"/>
          <w:sz w:val="24"/>
          <w:highlight w:val="none"/>
          <w:lang w:val="en-US" w:eastAsia="zh-CN"/>
        </w:rPr>
        <w:t>27. 知识产权</w:t>
      </w:r>
    </w:p>
    <w:p w14:paraId="1C2F38E6">
      <w:pPr>
        <w:spacing w:line="400" w:lineRule="exact"/>
        <w:ind w:firstLine="480" w:firstLineChars="200"/>
        <w:outlineLvl w:val="9"/>
        <w:rPr>
          <w:rFonts w:hint="default" w:ascii="宋体" w:hAnsi="宋体"/>
          <w:bCs/>
          <w:color w:val="auto"/>
          <w:sz w:val="24"/>
          <w:highlight w:val="none"/>
          <w:lang w:val="en-US" w:eastAsia="zh-CN"/>
        </w:rPr>
      </w:pPr>
      <w:r>
        <w:rPr>
          <w:rFonts w:hint="eastAsia" w:ascii="宋体" w:hAnsi="宋体"/>
          <w:color w:val="auto"/>
          <w:sz w:val="24"/>
          <w:highlight w:val="none"/>
          <w:lang w:val="en-US" w:eastAsia="zh-CN"/>
        </w:rPr>
        <w:t>在本项目实施过程中，因履行合同产生的软件代码、数据资产、调度模板、科研成果、论文等知识产权（含著作权、专利等）均归发包人所有。承包人在项目实施过程中所产生的工作成果及相关知识产权，应在成果交付时一并转移给发包人，承包人应无条件配合发包人办理相关知识产权的登记、备案等手续。</w:t>
      </w:r>
    </w:p>
    <w:p w14:paraId="0D475A93">
      <w:pPr>
        <w:spacing w:line="400" w:lineRule="exact"/>
        <w:ind w:firstLine="480" w:firstLineChars="200"/>
        <w:outlineLvl w:val="3"/>
        <w:rPr>
          <w:rFonts w:ascii="宋体" w:hAnsi="宋体" w:eastAsia="宋体"/>
          <w:bCs/>
          <w:color w:val="auto"/>
          <w:sz w:val="24"/>
          <w:highlight w:val="none"/>
        </w:rPr>
      </w:pPr>
      <w:r>
        <w:rPr>
          <w:rFonts w:ascii="宋体" w:hAnsi="宋体" w:eastAsia="宋体"/>
          <w:bCs/>
          <w:color w:val="auto"/>
          <w:sz w:val="24"/>
          <w:highlight w:val="none"/>
        </w:rPr>
        <w:t>2</w:t>
      </w:r>
      <w:r>
        <w:rPr>
          <w:rFonts w:hint="eastAsia" w:ascii="宋体" w:hAnsi="宋体"/>
          <w:bCs/>
          <w:color w:val="auto"/>
          <w:sz w:val="24"/>
          <w:highlight w:val="none"/>
          <w:lang w:val="en-US" w:eastAsia="zh-CN"/>
        </w:rPr>
        <w:t>8</w:t>
      </w:r>
      <w:r>
        <w:rPr>
          <w:rFonts w:ascii="宋体" w:hAnsi="宋体" w:eastAsia="宋体"/>
          <w:bCs/>
          <w:color w:val="auto"/>
          <w:sz w:val="24"/>
          <w:highlight w:val="none"/>
        </w:rPr>
        <w:t xml:space="preserve">. </w:t>
      </w:r>
      <w:r>
        <w:rPr>
          <w:rFonts w:hint="eastAsia" w:ascii="宋体" w:hAnsi="宋体" w:eastAsia="宋体"/>
          <w:bCs/>
          <w:color w:val="auto"/>
          <w:sz w:val="24"/>
          <w:highlight w:val="none"/>
        </w:rPr>
        <w:t>紧急补救</w:t>
      </w:r>
      <w:bookmarkEnd w:id="76"/>
    </w:p>
    <w:p w14:paraId="1413FFEB">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color w:val="auto"/>
          <w:sz w:val="24"/>
          <w:highlight w:val="none"/>
          <w:lang w:val="en-US" w:eastAsia="zh-CN"/>
        </w:rPr>
        <w:t>8</w:t>
      </w:r>
      <w:r>
        <w:rPr>
          <w:rFonts w:ascii="宋体" w:hAnsi="宋体" w:eastAsia="宋体"/>
          <w:color w:val="auto"/>
          <w:sz w:val="24"/>
          <w:highlight w:val="none"/>
        </w:rPr>
        <w:t xml:space="preserve">.1 </w:t>
      </w:r>
      <w:r>
        <w:rPr>
          <w:rFonts w:hint="eastAsia" w:ascii="宋体" w:hAnsi="宋体" w:eastAsia="宋体"/>
          <w:color w:val="auto"/>
          <w:sz w:val="24"/>
          <w:highlight w:val="none"/>
        </w:rPr>
        <w:t>在合同服务期内，如</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任何部分发生事故或故障或其它事件，从而发生严重影响</w:t>
      </w:r>
      <w:r>
        <w:rPr>
          <w:rFonts w:hint="eastAsia" w:ascii="宋体" w:hAnsi="宋体"/>
          <w:color w:val="auto"/>
          <w:sz w:val="24"/>
          <w:highlight w:val="none"/>
          <w:lang w:val="en-US" w:eastAsia="zh-CN"/>
        </w:rPr>
        <w:t>水利设施运行安全</w:t>
      </w:r>
      <w:r>
        <w:rPr>
          <w:rFonts w:hint="eastAsia" w:ascii="宋体" w:hAnsi="宋体" w:eastAsia="宋体"/>
          <w:color w:val="auto"/>
          <w:sz w:val="24"/>
          <w:highlight w:val="none"/>
        </w:rPr>
        <w:t>的紧急情况，为了保证</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安全，发包人或其代表认为必须进行紧急补救或修理时，承包人应按发包人的要求进行紧急补救，所需费用按合同条款的规定友好协商确定。如完全是发包人的责任，则发包人应按合同有关规定增加合同费用，并通知承包人；如是双方的责任，应协商合理分摊；如是承包人的责任，则发包人应通知承包人自行负责。</w:t>
      </w:r>
    </w:p>
    <w:p w14:paraId="059C87B2">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color w:val="auto"/>
          <w:sz w:val="24"/>
          <w:highlight w:val="none"/>
          <w:lang w:val="en-US" w:eastAsia="zh-CN"/>
        </w:rPr>
        <w:t>8</w:t>
      </w:r>
      <w:r>
        <w:rPr>
          <w:rFonts w:ascii="宋体" w:hAnsi="宋体" w:eastAsia="宋体"/>
          <w:color w:val="auto"/>
          <w:sz w:val="24"/>
          <w:highlight w:val="none"/>
        </w:rPr>
        <w:t xml:space="preserve">.2 </w:t>
      </w:r>
      <w:r>
        <w:rPr>
          <w:rFonts w:hint="eastAsia" w:ascii="宋体" w:hAnsi="宋体" w:eastAsia="宋体"/>
          <w:color w:val="auto"/>
          <w:sz w:val="24"/>
          <w:highlight w:val="none"/>
        </w:rPr>
        <w:t>在发生上述事故或故障或其它事件时，如承包人无能力或不愿立即进行紧急补救，发包人或其代表认为必要时，委托其他人员立即进行紧急补救，承包人不得阻挠并予以积极配合。如发包人按合同条款确认此项补救费用应由承包人负责，发包人可向承包人索回，或在发包人应付给承包人的合同款项中扣除。</w:t>
      </w:r>
    </w:p>
    <w:p w14:paraId="187632EC">
      <w:pPr>
        <w:spacing w:line="400" w:lineRule="exact"/>
        <w:ind w:firstLine="480" w:firstLineChars="200"/>
        <w:rPr>
          <w:rFonts w:ascii="宋体" w:hAnsi="宋体" w:eastAsia="宋体"/>
          <w:color w:val="auto"/>
          <w:sz w:val="24"/>
          <w:highlight w:val="none"/>
        </w:rPr>
      </w:pPr>
    </w:p>
    <w:p w14:paraId="189CA08C">
      <w:pPr>
        <w:spacing w:line="400" w:lineRule="exact"/>
        <w:ind w:firstLine="480" w:firstLineChars="200"/>
        <w:outlineLvl w:val="3"/>
        <w:rPr>
          <w:rFonts w:ascii="宋体" w:hAnsi="宋体" w:eastAsia="宋体"/>
          <w:bCs/>
          <w:color w:val="auto"/>
          <w:sz w:val="24"/>
          <w:highlight w:val="none"/>
        </w:rPr>
      </w:pPr>
      <w:bookmarkStart w:id="77" w:name="_Toc493407008"/>
      <w:r>
        <w:rPr>
          <w:rFonts w:ascii="宋体" w:hAnsi="宋体" w:eastAsia="宋体"/>
          <w:bCs/>
          <w:color w:val="auto"/>
          <w:sz w:val="24"/>
          <w:highlight w:val="none"/>
        </w:rPr>
        <w:t>2</w:t>
      </w:r>
      <w:r>
        <w:rPr>
          <w:rFonts w:hint="eastAsia" w:ascii="宋体" w:hAnsi="宋体"/>
          <w:bCs/>
          <w:color w:val="auto"/>
          <w:sz w:val="24"/>
          <w:highlight w:val="none"/>
          <w:lang w:val="en-US" w:eastAsia="zh-CN"/>
        </w:rPr>
        <w:t>9</w:t>
      </w:r>
      <w:r>
        <w:rPr>
          <w:rFonts w:ascii="宋体" w:hAnsi="宋体" w:eastAsia="宋体"/>
          <w:bCs/>
          <w:color w:val="auto"/>
          <w:sz w:val="24"/>
          <w:highlight w:val="none"/>
        </w:rPr>
        <w:t xml:space="preserve">. </w:t>
      </w:r>
      <w:r>
        <w:rPr>
          <w:rFonts w:hint="eastAsia" w:ascii="宋体" w:hAnsi="宋体" w:eastAsia="宋体"/>
          <w:bCs/>
          <w:color w:val="auto"/>
          <w:sz w:val="24"/>
          <w:highlight w:val="none"/>
        </w:rPr>
        <w:t>不可抗力</w:t>
      </w:r>
      <w:bookmarkEnd w:id="77"/>
    </w:p>
    <w:p w14:paraId="16AE77D2">
      <w:pPr>
        <w:spacing w:line="400" w:lineRule="exact"/>
        <w:ind w:firstLine="480" w:firstLineChars="200"/>
        <w:rPr>
          <w:rFonts w:ascii="宋体" w:hAnsi="宋体" w:eastAsia="宋体"/>
          <w:color w:val="auto"/>
          <w:sz w:val="24"/>
          <w:highlight w:val="none"/>
        </w:rPr>
      </w:pPr>
      <w:bookmarkStart w:id="78" w:name="_Toc493407009"/>
      <w:r>
        <w:rPr>
          <w:rFonts w:ascii="宋体" w:hAnsi="宋体" w:eastAsia="宋体"/>
          <w:color w:val="auto"/>
          <w:sz w:val="24"/>
          <w:highlight w:val="none"/>
        </w:rPr>
        <w:t>2</w:t>
      </w:r>
      <w:r>
        <w:rPr>
          <w:rFonts w:hint="eastAsia" w:ascii="宋体" w:hAnsi="宋体"/>
          <w:color w:val="auto"/>
          <w:sz w:val="24"/>
          <w:highlight w:val="none"/>
          <w:lang w:val="en-US" w:eastAsia="zh-CN"/>
        </w:rPr>
        <w:t>9</w:t>
      </w:r>
      <w:r>
        <w:rPr>
          <w:rFonts w:ascii="宋体" w:hAnsi="宋体" w:eastAsia="宋体"/>
          <w:color w:val="auto"/>
          <w:sz w:val="24"/>
          <w:highlight w:val="none"/>
        </w:rPr>
        <w:t xml:space="preserve">.1 </w:t>
      </w:r>
      <w:r>
        <w:rPr>
          <w:rFonts w:hint="eastAsia" w:ascii="宋体" w:hAnsi="宋体" w:eastAsia="宋体"/>
          <w:color w:val="auto"/>
          <w:sz w:val="24"/>
          <w:highlight w:val="none"/>
        </w:rPr>
        <w:t>不可抗力的确认</w:t>
      </w:r>
      <w:bookmarkEnd w:id="78"/>
    </w:p>
    <w:p w14:paraId="10D1A611">
      <w:pPr>
        <w:spacing w:line="400" w:lineRule="exact"/>
        <w:ind w:firstLine="480" w:firstLineChars="200"/>
        <w:rPr>
          <w:rFonts w:ascii="宋体" w:hAnsi="宋体" w:eastAsia="宋体"/>
          <w:color w:val="auto"/>
          <w:sz w:val="24"/>
          <w:highlight w:val="none"/>
        </w:rPr>
      </w:pPr>
      <w:bookmarkStart w:id="79" w:name="_Toc493407010"/>
      <w:r>
        <w:rPr>
          <w:rFonts w:ascii="宋体" w:hAnsi="宋体" w:eastAsia="宋体"/>
          <w:color w:val="auto"/>
          <w:sz w:val="24"/>
          <w:highlight w:val="none"/>
        </w:rPr>
        <w:t>2</w:t>
      </w:r>
      <w:r>
        <w:rPr>
          <w:rFonts w:hint="eastAsia" w:ascii="宋体" w:hAnsi="宋体"/>
          <w:color w:val="auto"/>
          <w:sz w:val="24"/>
          <w:highlight w:val="none"/>
          <w:lang w:val="en-US" w:eastAsia="zh-CN"/>
        </w:rPr>
        <w:t>9</w:t>
      </w:r>
      <w:r>
        <w:rPr>
          <w:rFonts w:ascii="宋体" w:hAnsi="宋体" w:eastAsia="宋体"/>
          <w:color w:val="auto"/>
          <w:sz w:val="24"/>
          <w:highlight w:val="none"/>
        </w:rPr>
        <w:t>.1.1</w:t>
      </w:r>
      <w:r>
        <w:rPr>
          <w:rFonts w:hint="eastAsia" w:ascii="宋体" w:hAnsi="宋体" w:eastAsia="宋体"/>
          <w:color w:val="auto"/>
          <w:sz w:val="24"/>
          <w:highlight w:val="none"/>
        </w:rPr>
        <w:t>不可抗力是指承包人和发包人在订立合同时不可预见，在</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作业过程中不可避免发生并不能克服的自然灾害和社会性突发事件。包括但不限于：</w:t>
      </w:r>
      <w:bookmarkEnd w:id="79"/>
    </w:p>
    <w:p w14:paraId="2411884A">
      <w:pPr>
        <w:spacing w:line="400" w:lineRule="exact"/>
        <w:ind w:firstLine="480" w:firstLineChars="200"/>
        <w:rPr>
          <w:rFonts w:ascii="宋体" w:hAnsi="宋体" w:eastAsia="宋体"/>
          <w:color w:val="auto"/>
          <w:sz w:val="24"/>
          <w:highlight w:val="none"/>
        </w:rPr>
      </w:pPr>
      <w:bookmarkStart w:id="80" w:name="_Toc493407011"/>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）地震、海啸、火山爆发、泥石流、暴雨、台风、龙卷风、水灾等自然灾害；</w:t>
      </w:r>
      <w:bookmarkEnd w:id="80"/>
    </w:p>
    <w:p w14:paraId="6A648C57">
      <w:pPr>
        <w:spacing w:line="400" w:lineRule="exact"/>
        <w:ind w:firstLine="480" w:firstLineChars="200"/>
        <w:rPr>
          <w:rFonts w:ascii="宋体" w:hAnsi="宋体" w:eastAsia="宋体"/>
          <w:color w:val="auto"/>
          <w:sz w:val="24"/>
          <w:highlight w:val="none"/>
        </w:rPr>
      </w:pPr>
      <w:bookmarkStart w:id="81" w:name="_Toc493407012"/>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）战争、骚乱、暴动，但纯属承包人或其分包人派遣与雇用的人员由于</w:t>
      </w:r>
      <w:r>
        <w:rPr>
          <w:rFonts w:hint="eastAsia" w:ascii="宋体" w:hAnsi="宋体" w:eastAsia="宋体"/>
          <w:color w:val="auto"/>
          <w:sz w:val="24"/>
          <w:highlight w:val="none"/>
          <w:lang w:eastAsia="zh-CN"/>
        </w:rPr>
        <w:t>本项目运行维护</w:t>
      </w:r>
      <w:r>
        <w:rPr>
          <w:rFonts w:hint="eastAsia" w:ascii="宋体" w:hAnsi="宋体" w:eastAsia="宋体"/>
          <w:color w:val="auto"/>
          <w:sz w:val="24"/>
          <w:highlight w:val="none"/>
        </w:rPr>
        <w:t>作业原因引起者除外；</w:t>
      </w:r>
      <w:bookmarkEnd w:id="81"/>
    </w:p>
    <w:p w14:paraId="73C80270">
      <w:pPr>
        <w:spacing w:line="400" w:lineRule="exact"/>
        <w:ind w:firstLine="480" w:firstLineChars="200"/>
        <w:rPr>
          <w:rFonts w:ascii="宋体" w:hAnsi="宋体" w:eastAsia="宋体"/>
          <w:color w:val="auto"/>
          <w:sz w:val="24"/>
          <w:highlight w:val="none"/>
        </w:rPr>
      </w:pPr>
      <w:bookmarkStart w:id="82" w:name="_Toc493407013"/>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）核反应、辐射或放射性污染；</w:t>
      </w:r>
      <w:bookmarkEnd w:id="82"/>
    </w:p>
    <w:p w14:paraId="69A5116A">
      <w:pPr>
        <w:spacing w:line="400" w:lineRule="exact"/>
        <w:ind w:firstLine="480" w:firstLineChars="200"/>
        <w:rPr>
          <w:rFonts w:ascii="宋体" w:hAnsi="宋体" w:eastAsia="宋体"/>
          <w:color w:val="auto"/>
          <w:sz w:val="24"/>
          <w:highlight w:val="none"/>
        </w:rPr>
      </w:pPr>
      <w:bookmarkStart w:id="83" w:name="_Toc493407014"/>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）空中飞行物体坠落或非发包人或承包人责任造成的爆炸、火灾；</w:t>
      </w:r>
      <w:bookmarkEnd w:id="83"/>
    </w:p>
    <w:p w14:paraId="163B00A8">
      <w:pPr>
        <w:spacing w:line="400" w:lineRule="exact"/>
        <w:ind w:firstLine="480" w:firstLineChars="200"/>
        <w:rPr>
          <w:rFonts w:ascii="宋体" w:hAnsi="宋体" w:eastAsia="宋体"/>
          <w:color w:val="auto"/>
          <w:sz w:val="24"/>
          <w:highlight w:val="none"/>
        </w:rPr>
      </w:pPr>
      <w:bookmarkStart w:id="84" w:name="_Toc493407015"/>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）瘟疫。</w:t>
      </w:r>
      <w:bookmarkEnd w:id="84"/>
    </w:p>
    <w:p w14:paraId="12B68252">
      <w:pPr>
        <w:spacing w:line="400" w:lineRule="exact"/>
        <w:ind w:firstLine="480" w:firstLineChars="200"/>
        <w:rPr>
          <w:rFonts w:ascii="宋体" w:hAnsi="宋体" w:eastAsia="宋体"/>
          <w:color w:val="auto"/>
          <w:sz w:val="24"/>
          <w:highlight w:val="none"/>
        </w:rPr>
      </w:pPr>
      <w:bookmarkStart w:id="85" w:name="_Toc493407016"/>
      <w:r>
        <w:rPr>
          <w:rFonts w:ascii="宋体" w:hAnsi="宋体" w:eastAsia="宋体"/>
          <w:color w:val="auto"/>
          <w:sz w:val="24"/>
          <w:highlight w:val="none"/>
        </w:rPr>
        <w:t>2</w:t>
      </w:r>
      <w:r>
        <w:rPr>
          <w:rFonts w:hint="eastAsia" w:ascii="宋体" w:hAnsi="宋体"/>
          <w:color w:val="auto"/>
          <w:sz w:val="24"/>
          <w:highlight w:val="none"/>
          <w:lang w:val="en-US" w:eastAsia="zh-CN"/>
        </w:rPr>
        <w:t>9</w:t>
      </w:r>
      <w:r>
        <w:rPr>
          <w:rFonts w:ascii="宋体" w:hAnsi="宋体" w:eastAsia="宋体"/>
          <w:color w:val="auto"/>
          <w:sz w:val="24"/>
          <w:highlight w:val="none"/>
        </w:rPr>
        <w:t xml:space="preserve">.1.2 </w:t>
      </w:r>
      <w:r>
        <w:rPr>
          <w:rFonts w:hint="eastAsia" w:ascii="宋体" w:hAnsi="宋体" w:eastAsia="宋体"/>
          <w:color w:val="auto"/>
          <w:sz w:val="24"/>
          <w:highlight w:val="none"/>
        </w:rPr>
        <w:t>不可抗力发生后，发包人和承包人应及时认真统计所造成的损失，收集不可抗力造成损失的证据。合同双方对是否属于不可抗力或其损失的意见不一致的，由双方按本合同约定进行商定。发生争议时，按本合同条款第</w:t>
      </w:r>
      <w:r>
        <w:rPr>
          <w:rFonts w:ascii="宋体" w:hAnsi="宋体" w:eastAsia="宋体"/>
          <w:color w:val="auto"/>
          <w:sz w:val="24"/>
          <w:highlight w:val="none"/>
        </w:rPr>
        <w:t>26</w:t>
      </w:r>
      <w:r>
        <w:rPr>
          <w:rFonts w:hint="eastAsia" w:ascii="宋体" w:hAnsi="宋体" w:eastAsia="宋体"/>
          <w:color w:val="auto"/>
          <w:sz w:val="24"/>
          <w:highlight w:val="none"/>
        </w:rPr>
        <w:t>款的约定办理。</w:t>
      </w:r>
      <w:bookmarkEnd w:id="85"/>
    </w:p>
    <w:p w14:paraId="228DBDA7">
      <w:pPr>
        <w:spacing w:line="400" w:lineRule="exact"/>
        <w:ind w:firstLine="480" w:firstLineChars="200"/>
        <w:rPr>
          <w:rFonts w:ascii="宋体" w:hAnsi="宋体" w:eastAsia="宋体"/>
          <w:color w:val="auto"/>
          <w:sz w:val="24"/>
          <w:highlight w:val="none"/>
        </w:rPr>
      </w:pPr>
      <w:bookmarkStart w:id="86" w:name="_Toc493407017"/>
      <w:r>
        <w:rPr>
          <w:rFonts w:ascii="宋体" w:hAnsi="宋体" w:eastAsia="宋体"/>
          <w:color w:val="auto"/>
          <w:sz w:val="24"/>
          <w:highlight w:val="none"/>
        </w:rPr>
        <w:t>2</w:t>
      </w:r>
      <w:r>
        <w:rPr>
          <w:rFonts w:hint="eastAsia" w:ascii="宋体" w:hAnsi="宋体"/>
          <w:color w:val="auto"/>
          <w:sz w:val="24"/>
          <w:highlight w:val="none"/>
          <w:lang w:val="en-US" w:eastAsia="zh-CN"/>
        </w:rPr>
        <w:t>9</w:t>
      </w:r>
      <w:r>
        <w:rPr>
          <w:rFonts w:ascii="宋体" w:hAnsi="宋体" w:eastAsia="宋体"/>
          <w:color w:val="auto"/>
          <w:sz w:val="24"/>
          <w:highlight w:val="none"/>
        </w:rPr>
        <w:t xml:space="preserve">.2 </w:t>
      </w:r>
      <w:r>
        <w:rPr>
          <w:rFonts w:hint="eastAsia" w:ascii="宋体" w:hAnsi="宋体" w:eastAsia="宋体"/>
          <w:color w:val="auto"/>
          <w:sz w:val="24"/>
          <w:highlight w:val="none"/>
        </w:rPr>
        <w:t>不可抗力的通知</w:t>
      </w:r>
      <w:bookmarkEnd w:id="86"/>
    </w:p>
    <w:p w14:paraId="39D29FEA">
      <w:pPr>
        <w:spacing w:line="400" w:lineRule="exact"/>
        <w:ind w:firstLine="480" w:firstLineChars="200"/>
        <w:rPr>
          <w:rFonts w:ascii="宋体" w:hAnsi="宋体" w:eastAsia="宋体"/>
          <w:color w:val="auto"/>
          <w:sz w:val="24"/>
          <w:highlight w:val="none"/>
        </w:rPr>
      </w:pPr>
      <w:bookmarkStart w:id="87" w:name="_Toc493407018"/>
      <w:r>
        <w:rPr>
          <w:rFonts w:ascii="宋体" w:hAnsi="宋体" w:eastAsia="宋体"/>
          <w:color w:val="auto"/>
          <w:sz w:val="24"/>
          <w:highlight w:val="none"/>
        </w:rPr>
        <w:t>2</w:t>
      </w:r>
      <w:r>
        <w:rPr>
          <w:rFonts w:hint="eastAsia" w:ascii="宋体" w:hAnsi="宋体"/>
          <w:color w:val="auto"/>
          <w:sz w:val="24"/>
          <w:highlight w:val="none"/>
          <w:lang w:val="en-US" w:eastAsia="zh-CN"/>
        </w:rPr>
        <w:t>9</w:t>
      </w:r>
      <w:r>
        <w:rPr>
          <w:rFonts w:ascii="宋体" w:hAnsi="宋体" w:eastAsia="宋体"/>
          <w:color w:val="auto"/>
          <w:sz w:val="24"/>
          <w:highlight w:val="none"/>
        </w:rPr>
        <w:t xml:space="preserve">.2.1 </w:t>
      </w:r>
      <w:r>
        <w:rPr>
          <w:rFonts w:hint="eastAsia" w:ascii="宋体" w:hAnsi="宋体" w:eastAsia="宋体"/>
          <w:color w:val="auto"/>
          <w:sz w:val="24"/>
          <w:highlight w:val="none"/>
        </w:rPr>
        <w:t>合同一方当事人遇到不可抗力事件，使其履行合同义务受到阻碍时，应立即通知合同另一方当事人，书面说明不可抗力和受阻碍的详细情况，并提供必要的证明。</w:t>
      </w:r>
      <w:bookmarkEnd w:id="87"/>
    </w:p>
    <w:p w14:paraId="5528C0D5">
      <w:pPr>
        <w:spacing w:line="400" w:lineRule="exact"/>
        <w:ind w:firstLine="480" w:firstLineChars="200"/>
        <w:rPr>
          <w:rFonts w:ascii="宋体" w:hAnsi="宋体" w:eastAsia="宋体"/>
          <w:color w:val="auto"/>
          <w:sz w:val="24"/>
          <w:highlight w:val="none"/>
        </w:rPr>
      </w:pPr>
      <w:bookmarkStart w:id="88" w:name="_Toc493407019"/>
      <w:r>
        <w:rPr>
          <w:rFonts w:ascii="宋体" w:hAnsi="宋体" w:eastAsia="宋体"/>
          <w:color w:val="auto"/>
          <w:sz w:val="24"/>
          <w:highlight w:val="none"/>
        </w:rPr>
        <w:t>2</w:t>
      </w:r>
      <w:r>
        <w:rPr>
          <w:rFonts w:hint="eastAsia" w:ascii="宋体" w:hAnsi="宋体"/>
          <w:color w:val="auto"/>
          <w:sz w:val="24"/>
          <w:highlight w:val="none"/>
          <w:lang w:val="en-US" w:eastAsia="zh-CN"/>
        </w:rPr>
        <w:t>9</w:t>
      </w:r>
      <w:r>
        <w:rPr>
          <w:rFonts w:ascii="宋体" w:hAnsi="宋体" w:eastAsia="宋体"/>
          <w:color w:val="auto"/>
          <w:sz w:val="24"/>
          <w:highlight w:val="none"/>
        </w:rPr>
        <w:t xml:space="preserve">.2.2 </w:t>
      </w:r>
      <w:r>
        <w:rPr>
          <w:rFonts w:hint="eastAsia" w:ascii="宋体" w:hAnsi="宋体" w:eastAsia="宋体"/>
          <w:color w:val="auto"/>
          <w:sz w:val="24"/>
          <w:highlight w:val="none"/>
        </w:rPr>
        <w:t>如不可抗力持续发生，合同一方当事人应及时向合同另一方当事人提交中间报告，说明不可抗力和履行合同受阻的情况，并于不可抗力事件结束后</w:t>
      </w:r>
      <w:r>
        <w:rPr>
          <w:rFonts w:ascii="宋体" w:hAnsi="宋体" w:eastAsia="宋体"/>
          <w:color w:val="auto"/>
          <w:sz w:val="24"/>
          <w:highlight w:val="none"/>
        </w:rPr>
        <w:t>28</w:t>
      </w:r>
      <w:r>
        <w:rPr>
          <w:rFonts w:hint="eastAsia" w:ascii="宋体" w:hAnsi="宋体" w:eastAsia="宋体"/>
          <w:color w:val="auto"/>
          <w:sz w:val="24"/>
          <w:highlight w:val="none"/>
        </w:rPr>
        <w:t>天内提交最终报告及有关资料。</w:t>
      </w:r>
      <w:bookmarkEnd w:id="88"/>
    </w:p>
    <w:p w14:paraId="4ED2020A">
      <w:pPr>
        <w:spacing w:line="400" w:lineRule="exact"/>
        <w:ind w:firstLine="480" w:firstLineChars="200"/>
        <w:rPr>
          <w:rFonts w:ascii="宋体" w:hAnsi="宋体" w:eastAsia="宋体"/>
          <w:color w:val="auto"/>
          <w:sz w:val="24"/>
          <w:highlight w:val="none"/>
        </w:rPr>
      </w:pPr>
      <w:bookmarkStart w:id="89" w:name="_Toc493407020"/>
      <w:r>
        <w:rPr>
          <w:rFonts w:ascii="宋体" w:hAnsi="宋体" w:eastAsia="宋体"/>
          <w:color w:val="auto"/>
          <w:sz w:val="24"/>
          <w:highlight w:val="none"/>
        </w:rPr>
        <w:t>2</w:t>
      </w:r>
      <w:r>
        <w:rPr>
          <w:rFonts w:hint="eastAsia" w:ascii="宋体" w:hAnsi="宋体"/>
          <w:color w:val="auto"/>
          <w:sz w:val="24"/>
          <w:highlight w:val="none"/>
          <w:lang w:val="en-US" w:eastAsia="zh-CN"/>
        </w:rPr>
        <w:t>9</w:t>
      </w:r>
      <w:r>
        <w:rPr>
          <w:rFonts w:ascii="宋体" w:hAnsi="宋体" w:eastAsia="宋体"/>
          <w:color w:val="auto"/>
          <w:sz w:val="24"/>
          <w:highlight w:val="none"/>
        </w:rPr>
        <w:t xml:space="preserve">.3 </w:t>
      </w:r>
      <w:r>
        <w:rPr>
          <w:rFonts w:hint="eastAsia" w:ascii="宋体" w:hAnsi="宋体" w:eastAsia="宋体"/>
          <w:color w:val="auto"/>
          <w:sz w:val="24"/>
          <w:highlight w:val="none"/>
        </w:rPr>
        <w:t>不可抗力后果及其处理</w:t>
      </w:r>
      <w:bookmarkEnd w:id="89"/>
    </w:p>
    <w:p w14:paraId="393886C0">
      <w:pPr>
        <w:spacing w:line="400" w:lineRule="exact"/>
        <w:ind w:firstLine="480" w:firstLineChars="200"/>
        <w:rPr>
          <w:rFonts w:ascii="宋体" w:hAnsi="宋体" w:eastAsia="宋体"/>
          <w:color w:val="auto"/>
          <w:sz w:val="24"/>
          <w:highlight w:val="none"/>
        </w:rPr>
      </w:pPr>
      <w:bookmarkStart w:id="90" w:name="_Toc493407021"/>
      <w:r>
        <w:rPr>
          <w:rFonts w:ascii="宋体" w:hAnsi="宋体" w:eastAsia="宋体"/>
          <w:color w:val="auto"/>
          <w:sz w:val="24"/>
          <w:highlight w:val="none"/>
        </w:rPr>
        <w:t>2</w:t>
      </w:r>
      <w:r>
        <w:rPr>
          <w:rFonts w:hint="eastAsia" w:ascii="宋体" w:hAnsi="宋体"/>
          <w:color w:val="auto"/>
          <w:sz w:val="24"/>
          <w:highlight w:val="none"/>
          <w:lang w:val="en-US" w:eastAsia="zh-CN"/>
        </w:rPr>
        <w:t>9</w:t>
      </w:r>
      <w:r>
        <w:rPr>
          <w:rFonts w:ascii="宋体" w:hAnsi="宋体" w:eastAsia="宋体"/>
          <w:color w:val="auto"/>
          <w:sz w:val="24"/>
          <w:highlight w:val="none"/>
        </w:rPr>
        <w:t xml:space="preserve">.3.1 </w:t>
      </w:r>
      <w:r>
        <w:rPr>
          <w:rFonts w:hint="eastAsia" w:ascii="宋体" w:hAnsi="宋体" w:eastAsia="宋体"/>
          <w:color w:val="auto"/>
          <w:sz w:val="24"/>
          <w:highlight w:val="none"/>
        </w:rPr>
        <w:t>不可抗力造成损害的责任</w:t>
      </w:r>
      <w:bookmarkEnd w:id="90"/>
    </w:p>
    <w:p w14:paraId="66DA709D">
      <w:pPr>
        <w:spacing w:line="400" w:lineRule="exact"/>
        <w:ind w:firstLine="480" w:firstLineChars="200"/>
        <w:rPr>
          <w:rFonts w:ascii="宋体" w:hAnsi="宋体" w:eastAsia="宋体"/>
          <w:color w:val="auto"/>
          <w:sz w:val="24"/>
          <w:highlight w:val="none"/>
        </w:rPr>
      </w:pPr>
      <w:bookmarkStart w:id="91" w:name="_Toc493407022"/>
      <w:r>
        <w:rPr>
          <w:rFonts w:hint="eastAsia" w:ascii="宋体" w:hAnsi="宋体" w:eastAsia="宋体"/>
          <w:color w:val="auto"/>
          <w:sz w:val="24"/>
          <w:highlight w:val="none"/>
        </w:rPr>
        <w:t>不可抗力导致的人员伤亡、财产损失、费用增加和（或）时间节点延误等后果，由合同双方按以下原则承担：</w:t>
      </w:r>
      <w:bookmarkEnd w:id="91"/>
    </w:p>
    <w:p w14:paraId="270B1058">
      <w:pPr>
        <w:spacing w:line="400" w:lineRule="exact"/>
        <w:ind w:firstLine="480" w:firstLineChars="200"/>
        <w:rPr>
          <w:rFonts w:ascii="宋体" w:hAnsi="宋体" w:eastAsia="宋体"/>
          <w:color w:val="auto"/>
          <w:sz w:val="24"/>
          <w:highlight w:val="none"/>
        </w:rPr>
      </w:pPr>
      <w:bookmarkStart w:id="92" w:name="_Toc493407023"/>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）包括已运至现场的材料及工程设备等的损害，以及因</w:t>
      </w:r>
      <w:r>
        <w:rPr>
          <w:rFonts w:hint="eastAsia" w:ascii="宋体" w:hAnsi="宋体"/>
          <w:color w:val="auto"/>
          <w:sz w:val="24"/>
          <w:highlight w:val="none"/>
          <w:lang w:val="en-US" w:eastAsia="zh-CN"/>
        </w:rPr>
        <w:t>运行维护</w:t>
      </w:r>
      <w:r>
        <w:rPr>
          <w:rFonts w:hint="eastAsia" w:ascii="宋体" w:hAnsi="宋体" w:eastAsia="宋体"/>
          <w:color w:val="auto"/>
          <w:sz w:val="24"/>
          <w:highlight w:val="none"/>
        </w:rPr>
        <w:t>造成的第三者人员伤亡和财产损失由发包人承担；临时工程以及上述之外的其他材料和工程设备等的损害，以及因临时工程损害造成的第三者人员伤亡和财产损失由承包人承担。</w:t>
      </w:r>
      <w:bookmarkEnd w:id="92"/>
    </w:p>
    <w:p w14:paraId="4A1A43B4">
      <w:pPr>
        <w:spacing w:line="400" w:lineRule="exact"/>
        <w:ind w:firstLine="480" w:firstLineChars="200"/>
        <w:rPr>
          <w:rFonts w:ascii="宋体" w:hAnsi="宋体" w:eastAsia="宋体"/>
          <w:color w:val="auto"/>
          <w:sz w:val="24"/>
          <w:highlight w:val="none"/>
        </w:rPr>
      </w:pPr>
      <w:bookmarkStart w:id="93" w:name="_Toc493407024"/>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）承包人设备、材料加工场地的损坏由承包人承担；</w:t>
      </w:r>
      <w:bookmarkEnd w:id="93"/>
    </w:p>
    <w:p w14:paraId="66580BC8">
      <w:pPr>
        <w:spacing w:line="400" w:lineRule="exact"/>
        <w:ind w:firstLine="480" w:firstLineChars="200"/>
        <w:rPr>
          <w:rFonts w:ascii="宋体" w:hAnsi="宋体" w:eastAsia="宋体"/>
          <w:color w:val="auto"/>
          <w:sz w:val="24"/>
          <w:highlight w:val="none"/>
        </w:rPr>
      </w:pPr>
      <w:bookmarkStart w:id="94" w:name="_Toc493407025"/>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）发包人和承包人各自承担其人员伤亡和其他财产损失及其相关费用；</w:t>
      </w:r>
      <w:bookmarkEnd w:id="94"/>
    </w:p>
    <w:p w14:paraId="6A165131">
      <w:pPr>
        <w:spacing w:line="400" w:lineRule="exact"/>
        <w:ind w:firstLine="480" w:firstLineChars="200"/>
        <w:rPr>
          <w:rFonts w:ascii="宋体" w:hAnsi="宋体" w:eastAsia="宋体"/>
          <w:color w:val="auto"/>
          <w:sz w:val="24"/>
          <w:highlight w:val="none"/>
        </w:rPr>
      </w:pPr>
      <w:bookmarkStart w:id="95" w:name="_Toc493407026"/>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）承包人的停工损失由承包人承担，但停工期间应发包人要求照管工程和清理、修复工程的金额由发包人承担；</w:t>
      </w:r>
      <w:bookmarkEnd w:id="95"/>
    </w:p>
    <w:p w14:paraId="5F0FF6F6">
      <w:pPr>
        <w:spacing w:line="400" w:lineRule="exact"/>
        <w:ind w:firstLine="480" w:firstLineChars="200"/>
        <w:rPr>
          <w:rFonts w:ascii="宋体" w:hAnsi="宋体" w:eastAsia="宋体"/>
          <w:color w:val="auto"/>
          <w:sz w:val="24"/>
          <w:highlight w:val="none"/>
        </w:rPr>
      </w:pPr>
      <w:bookmarkStart w:id="96" w:name="_Toc493407027"/>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）不能按期验收的，应合理延长时间节点，承包人不需支付逾期验收违约金。发包人要求赶工的，承包人应采取赶工措施，赶工费用由发包人承担。</w:t>
      </w:r>
      <w:bookmarkEnd w:id="96"/>
    </w:p>
    <w:p w14:paraId="274DF16E">
      <w:pPr>
        <w:spacing w:line="400" w:lineRule="exact"/>
        <w:ind w:firstLine="480" w:firstLineChars="200"/>
        <w:rPr>
          <w:rFonts w:ascii="宋体" w:hAnsi="宋体" w:eastAsia="宋体"/>
          <w:color w:val="auto"/>
          <w:sz w:val="24"/>
          <w:highlight w:val="none"/>
        </w:rPr>
      </w:pPr>
      <w:bookmarkStart w:id="97" w:name="_Toc493407028"/>
      <w:r>
        <w:rPr>
          <w:rFonts w:ascii="宋体" w:hAnsi="宋体" w:eastAsia="宋体"/>
          <w:color w:val="auto"/>
          <w:sz w:val="24"/>
          <w:highlight w:val="none"/>
        </w:rPr>
        <w:t>2</w:t>
      </w:r>
      <w:r>
        <w:rPr>
          <w:rFonts w:hint="eastAsia" w:ascii="宋体" w:hAnsi="宋体"/>
          <w:color w:val="auto"/>
          <w:sz w:val="24"/>
          <w:highlight w:val="none"/>
          <w:lang w:val="en-US" w:eastAsia="zh-CN"/>
        </w:rPr>
        <w:t>9</w:t>
      </w:r>
      <w:r>
        <w:rPr>
          <w:rFonts w:ascii="宋体" w:hAnsi="宋体" w:eastAsia="宋体"/>
          <w:color w:val="auto"/>
          <w:sz w:val="24"/>
          <w:highlight w:val="none"/>
        </w:rPr>
        <w:t xml:space="preserve">.3.2 </w:t>
      </w:r>
      <w:r>
        <w:rPr>
          <w:rFonts w:hint="eastAsia" w:ascii="宋体" w:hAnsi="宋体" w:eastAsia="宋体"/>
          <w:color w:val="auto"/>
          <w:sz w:val="24"/>
          <w:highlight w:val="none"/>
        </w:rPr>
        <w:t>延迟履行期间发生的不可抗力</w:t>
      </w:r>
      <w:bookmarkEnd w:id="97"/>
    </w:p>
    <w:p w14:paraId="59CA8F7D">
      <w:pPr>
        <w:spacing w:line="400" w:lineRule="exact"/>
        <w:ind w:firstLine="480" w:firstLineChars="200"/>
        <w:rPr>
          <w:rFonts w:ascii="宋体" w:hAnsi="宋体" w:eastAsia="宋体"/>
          <w:color w:val="auto"/>
          <w:sz w:val="24"/>
          <w:highlight w:val="none"/>
        </w:rPr>
      </w:pPr>
      <w:bookmarkStart w:id="98" w:name="_Toc493407029"/>
      <w:r>
        <w:rPr>
          <w:rFonts w:hint="eastAsia" w:ascii="宋体" w:hAnsi="宋体" w:eastAsia="宋体"/>
          <w:color w:val="auto"/>
          <w:sz w:val="24"/>
          <w:highlight w:val="none"/>
        </w:rPr>
        <w:t>合同一方当事人延迟履行，在延迟履行期间发生不可抗力的，不免除其责任。</w:t>
      </w:r>
      <w:bookmarkEnd w:id="98"/>
    </w:p>
    <w:p w14:paraId="4116CEC9">
      <w:pPr>
        <w:spacing w:line="400" w:lineRule="exact"/>
        <w:ind w:firstLine="480" w:firstLineChars="200"/>
        <w:rPr>
          <w:rFonts w:ascii="宋体" w:hAnsi="宋体" w:eastAsia="宋体"/>
          <w:color w:val="auto"/>
          <w:sz w:val="24"/>
          <w:highlight w:val="none"/>
        </w:rPr>
      </w:pPr>
      <w:bookmarkStart w:id="99" w:name="_Toc493407030"/>
      <w:r>
        <w:rPr>
          <w:rFonts w:ascii="宋体" w:hAnsi="宋体" w:eastAsia="宋体"/>
          <w:color w:val="auto"/>
          <w:sz w:val="24"/>
          <w:highlight w:val="none"/>
        </w:rPr>
        <w:t>2</w:t>
      </w:r>
      <w:r>
        <w:rPr>
          <w:rFonts w:hint="eastAsia" w:ascii="宋体" w:hAnsi="宋体"/>
          <w:color w:val="auto"/>
          <w:sz w:val="24"/>
          <w:highlight w:val="none"/>
          <w:lang w:val="en-US" w:eastAsia="zh-CN"/>
        </w:rPr>
        <w:t>9</w:t>
      </w:r>
      <w:r>
        <w:rPr>
          <w:rFonts w:ascii="宋体" w:hAnsi="宋体" w:eastAsia="宋体"/>
          <w:color w:val="auto"/>
          <w:sz w:val="24"/>
          <w:highlight w:val="none"/>
        </w:rPr>
        <w:t xml:space="preserve">.3.3 </w:t>
      </w:r>
      <w:r>
        <w:rPr>
          <w:rFonts w:hint="eastAsia" w:ascii="宋体" w:hAnsi="宋体" w:eastAsia="宋体"/>
          <w:color w:val="auto"/>
          <w:sz w:val="24"/>
          <w:highlight w:val="none"/>
        </w:rPr>
        <w:t>避免和减少不可抗力损失</w:t>
      </w:r>
      <w:bookmarkEnd w:id="99"/>
    </w:p>
    <w:p w14:paraId="6909D2AE">
      <w:pPr>
        <w:spacing w:line="400" w:lineRule="exact"/>
        <w:ind w:firstLine="480" w:firstLineChars="200"/>
        <w:rPr>
          <w:rFonts w:ascii="宋体" w:hAnsi="宋体" w:eastAsia="宋体"/>
          <w:color w:val="auto"/>
          <w:sz w:val="24"/>
          <w:highlight w:val="none"/>
        </w:rPr>
      </w:pPr>
      <w:bookmarkStart w:id="100" w:name="_Toc493407031"/>
      <w:r>
        <w:rPr>
          <w:rFonts w:hint="eastAsia" w:ascii="宋体" w:hAnsi="宋体" w:eastAsia="宋体"/>
          <w:color w:val="auto"/>
          <w:sz w:val="24"/>
          <w:highlight w:val="none"/>
        </w:rPr>
        <w:t>不可抗力发生后，发包人和承包人均应采取措施尽量避免和减少损失的扩大，任何一方没有采取有效措施导致损失扩大的，应对扩大的损失承担责任。</w:t>
      </w:r>
      <w:bookmarkEnd w:id="100"/>
    </w:p>
    <w:p w14:paraId="52281474">
      <w:pPr>
        <w:spacing w:line="400" w:lineRule="exact"/>
        <w:ind w:firstLine="480" w:firstLineChars="200"/>
        <w:rPr>
          <w:rFonts w:ascii="宋体" w:hAnsi="宋体" w:eastAsia="宋体"/>
          <w:color w:val="auto"/>
          <w:sz w:val="24"/>
          <w:highlight w:val="none"/>
        </w:rPr>
      </w:pPr>
      <w:bookmarkStart w:id="101" w:name="_Toc493407032"/>
      <w:r>
        <w:rPr>
          <w:rFonts w:ascii="宋体" w:hAnsi="宋体" w:eastAsia="宋体"/>
          <w:color w:val="auto"/>
          <w:sz w:val="24"/>
          <w:highlight w:val="none"/>
        </w:rPr>
        <w:t>2</w:t>
      </w:r>
      <w:r>
        <w:rPr>
          <w:rFonts w:hint="eastAsia" w:ascii="宋体" w:hAnsi="宋体"/>
          <w:color w:val="auto"/>
          <w:sz w:val="24"/>
          <w:highlight w:val="none"/>
          <w:lang w:val="en-US" w:eastAsia="zh-CN"/>
        </w:rPr>
        <w:t>9</w:t>
      </w:r>
      <w:r>
        <w:rPr>
          <w:rFonts w:ascii="宋体" w:hAnsi="宋体" w:eastAsia="宋体"/>
          <w:color w:val="auto"/>
          <w:sz w:val="24"/>
          <w:highlight w:val="none"/>
        </w:rPr>
        <w:t xml:space="preserve">.3.4 </w:t>
      </w:r>
      <w:r>
        <w:rPr>
          <w:rFonts w:hint="eastAsia" w:ascii="宋体" w:hAnsi="宋体" w:eastAsia="宋体"/>
          <w:color w:val="auto"/>
          <w:sz w:val="24"/>
          <w:highlight w:val="none"/>
        </w:rPr>
        <w:t>因不可抗力解除合同</w:t>
      </w:r>
      <w:bookmarkEnd w:id="101"/>
    </w:p>
    <w:p w14:paraId="206AB62C">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合同一方当事人因不可抗力不能履行合同的，应当及时通知对方解除合同。合同解除后，承包人应按照本合同条款第</w:t>
      </w:r>
      <w:r>
        <w:rPr>
          <w:rFonts w:ascii="宋体" w:hAnsi="宋体" w:eastAsia="宋体"/>
          <w:color w:val="auto"/>
          <w:sz w:val="24"/>
          <w:highlight w:val="none"/>
        </w:rPr>
        <w:t>30.3.4</w:t>
      </w:r>
      <w:r>
        <w:rPr>
          <w:rFonts w:hint="eastAsia" w:ascii="宋体" w:hAnsi="宋体" w:eastAsia="宋体"/>
          <w:color w:val="auto"/>
          <w:sz w:val="24"/>
          <w:highlight w:val="none"/>
        </w:rPr>
        <w:t>款约定撤离作业场地。已经订货的材料、设备由订货方负责退货或解除订货合同，不能退还的货款和因退货、解除订货合同发生的费用，由发包人承担，因未及时退货造成的损失由责任方承担。合同解除后的付款，参照本合同条款第</w:t>
      </w:r>
      <w:r>
        <w:rPr>
          <w:rFonts w:ascii="宋体" w:hAnsi="宋体" w:eastAsia="宋体"/>
          <w:color w:val="auto"/>
          <w:sz w:val="24"/>
          <w:highlight w:val="none"/>
        </w:rPr>
        <w:t>30.2.2</w:t>
      </w:r>
      <w:r>
        <w:rPr>
          <w:rFonts w:hint="eastAsia" w:ascii="宋体" w:hAnsi="宋体" w:eastAsia="宋体"/>
          <w:color w:val="auto"/>
          <w:sz w:val="24"/>
          <w:highlight w:val="none"/>
        </w:rPr>
        <w:t>款约定，由双方按本合同约定进行商定，但由于解除合同应赔偿的承包人损失不予考虑。</w:t>
      </w:r>
    </w:p>
    <w:p w14:paraId="292AA1CA">
      <w:pPr>
        <w:spacing w:line="400" w:lineRule="exact"/>
        <w:ind w:firstLine="480" w:firstLineChars="200"/>
        <w:rPr>
          <w:rFonts w:ascii="宋体" w:hAnsi="宋体" w:eastAsia="宋体"/>
          <w:color w:val="auto"/>
          <w:sz w:val="24"/>
          <w:highlight w:val="none"/>
        </w:rPr>
      </w:pPr>
    </w:p>
    <w:p w14:paraId="1DD44F5A">
      <w:pPr>
        <w:spacing w:line="400" w:lineRule="exact"/>
        <w:ind w:firstLine="480" w:firstLineChars="200"/>
        <w:outlineLvl w:val="3"/>
        <w:rPr>
          <w:rFonts w:ascii="宋体" w:hAnsi="宋体" w:eastAsia="宋体"/>
          <w:bCs/>
          <w:color w:val="auto"/>
          <w:sz w:val="24"/>
          <w:highlight w:val="none"/>
        </w:rPr>
      </w:pPr>
      <w:bookmarkStart w:id="102" w:name="_Toc493407033"/>
      <w:r>
        <w:rPr>
          <w:rFonts w:hint="eastAsia" w:ascii="宋体" w:hAnsi="宋体"/>
          <w:bCs/>
          <w:color w:val="auto"/>
          <w:sz w:val="24"/>
          <w:highlight w:val="none"/>
          <w:lang w:val="en-US" w:eastAsia="zh-CN"/>
        </w:rPr>
        <w:t>30</w:t>
      </w:r>
      <w:r>
        <w:rPr>
          <w:rFonts w:ascii="宋体" w:hAnsi="宋体" w:eastAsia="宋体"/>
          <w:bCs/>
          <w:color w:val="auto"/>
          <w:sz w:val="24"/>
          <w:highlight w:val="none"/>
        </w:rPr>
        <w:t xml:space="preserve">. </w:t>
      </w:r>
      <w:r>
        <w:rPr>
          <w:rFonts w:hint="eastAsia" w:ascii="宋体" w:hAnsi="宋体" w:eastAsia="宋体"/>
          <w:bCs/>
          <w:color w:val="auto"/>
          <w:sz w:val="24"/>
          <w:highlight w:val="none"/>
        </w:rPr>
        <w:t>保险</w:t>
      </w:r>
      <w:bookmarkEnd w:id="102"/>
    </w:p>
    <w:p w14:paraId="60563FE3">
      <w:pPr>
        <w:spacing w:line="400" w:lineRule="exact"/>
        <w:ind w:firstLine="480" w:firstLineChars="200"/>
        <w:rPr>
          <w:rFonts w:ascii="宋体" w:hAnsi="宋体" w:eastAsia="宋体"/>
          <w:color w:val="auto"/>
          <w:sz w:val="24"/>
          <w:highlight w:val="none"/>
        </w:rPr>
      </w:pPr>
      <w:r>
        <w:rPr>
          <w:rFonts w:hint="eastAsia" w:ascii="宋体" w:hAnsi="宋体"/>
          <w:color w:val="auto"/>
          <w:sz w:val="24"/>
          <w:highlight w:val="none"/>
          <w:lang w:val="en-US" w:eastAsia="zh-CN"/>
        </w:rPr>
        <w:t>30</w:t>
      </w:r>
      <w:r>
        <w:rPr>
          <w:rFonts w:ascii="宋体" w:hAnsi="宋体" w:eastAsia="宋体"/>
          <w:color w:val="auto"/>
          <w:sz w:val="24"/>
          <w:highlight w:val="none"/>
        </w:rPr>
        <w:t xml:space="preserve">.1 </w:t>
      </w:r>
      <w:r>
        <w:rPr>
          <w:rFonts w:hint="eastAsia" w:ascii="宋体" w:hAnsi="宋体" w:eastAsia="宋体"/>
          <w:color w:val="auto"/>
          <w:sz w:val="24"/>
          <w:highlight w:val="none"/>
        </w:rPr>
        <w:t>承包人应以发包人和承包人共同名义投保第三方责任险，承包人须在合同签订后及时购买保险并向发包人报备，若因承包人原因未及时购买保险造成的一切损失由承包人自行承担。</w:t>
      </w:r>
    </w:p>
    <w:p w14:paraId="3F12AD19">
      <w:pPr>
        <w:spacing w:line="400" w:lineRule="exact"/>
        <w:ind w:firstLine="480" w:firstLineChars="200"/>
        <w:rPr>
          <w:rFonts w:ascii="宋体" w:hAnsi="宋体" w:eastAsia="宋体"/>
          <w:color w:val="auto"/>
          <w:sz w:val="24"/>
          <w:highlight w:val="none"/>
        </w:rPr>
      </w:pPr>
      <w:r>
        <w:rPr>
          <w:rFonts w:hint="eastAsia" w:ascii="宋体" w:hAnsi="宋体"/>
          <w:color w:val="auto"/>
          <w:sz w:val="24"/>
          <w:highlight w:val="none"/>
          <w:lang w:val="en-US" w:eastAsia="zh-CN"/>
        </w:rPr>
        <w:t>30</w:t>
      </w:r>
      <w:r>
        <w:rPr>
          <w:rFonts w:hint="eastAsia" w:ascii="宋体" w:hAnsi="宋体" w:eastAsia="宋体"/>
          <w:color w:val="auto"/>
          <w:sz w:val="24"/>
          <w:highlight w:val="none"/>
        </w:rPr>
        <w:t>.2除第三方责任险之外，承包人还需对其机械设备（含车辆）和（人身）事故险，其中为承包人作业人员、管理人员购买的人身意外保险保额不低于</w:t>
      </w:r>
      <w:r>
        <w:rPr>
          <w:rFonts w:ascii="宋体" w:hAnsi="宋体" w:eastAsia="宋体"/>
          <w:color w:val="auto"/>
          <w:sz w:val="24"/>
          <w:highlight w:val="none"/>
        </w:rPr>
        <w:t>100万元（人民</w:t>
      </w:r>
      <w:r>
        <w:rPr>
          <w:rFonts w:hint="eastAsia" w:ascii="宋体" w:hAnsi="宋体" w:eastAsia="宋体"/>
          <w:color w:val="auto"/>
          <w:sz w:val="24"/>
          <w:highlight w:val="none"/>
        </w:rPr>
        <w:t>币），这些保险均包含在合同价格中，由承包人承担并支付。</w:t>
      </w:r>
    </w:p>
    <w:p w14:paraId="657E3BB2">
      <w:pPr>
        <w:spacing w:line="400" w:lineRule="exact"/>
        <w:ind w:firstLine="480" w:firstLineChars="200"/>
        <w:rPr>
          <w:rFonts w:ascii="宋体" w:hAnsi="宋体" w:eastAsia="宋体"/>
          <w:color w:val="auto"/>
          <w:sz w:val="24"/>
          <w:highlight w:val="none"/>
        </w:rPr>
      </w:pPr>
      <w:r>
        <w:rPr>
          <w:rFonts w:hint="eastAsia" w:ascii="宋体" w:hAnsi="宋体"/>
          <w:color w:val="auto"/>
          <w:sz w:val="24"/>
          <w:highlight w:val="none"/>
          <w:lang w:val="en-US" w:eastAsia="zh-CN"/>
        </w:rPr>
        <w:t>30</w:t>
      </w: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 xml:space="preserve"> </w:t>
      </w:r>
      <w:r>
        <w:rPr>
          <w:rFonts w:hint="eastAsia" w:ascii="宋体" w:hAnsi="宋体" w:eastAsia="宋体"/>
          <w:color w:val="auto"/>
          <w:sz w:val="24"/>
          <w:highlight w:val="none"/>
        </w:rPr>
        <w:t>发包人有权在支付进度款时，检查承包人购买保险的情况，如查实未按照本合同有关规定购买保险的，发包人有权暂停支付进度款，直至承包人按合同要求办妥相关保险为止。</w:t>
      </w:r>
    </w:p>
    <w:p w14:paraId="352685E9">
      <w:pPr>
        <w:spacing w:line="400" w:lineRule="exact"/>
        <w:ind w:firstLine="480" w:firstLineChars="200"/>
        <w:rPr>
          <w:rFonts w:ascii="宋体" w:hAnsi="宋体" w:eastAsia="宋体"/>
          <w:color w:val="auto"/>
          <w:sz w:val="24"/>
          <w:highlight w:val="none"/>
        </w:rPr>
      </w:pPr>
      <w:r>
        <w:rPr>
          <w:rFonts w:hint="eastAsia" w:ascii="宋体" w:hAnsi="宋体"/>
          <w:color w:val="auto"/>
          <w:sz w:val="24"/>
          <w:highlight w:val="none"/>
          <w:lang w:val="en-US" w:eastAsia="zh-CN"/>
        </w:rPr>
        <w:t>30</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 xml:space="preserve"> </w:t>
      </w:r>
      <w:r>
        <w:rPr>
          <w:rFonts w:hint="eastAsia" w:ascii="宋体" w:hAnsi="宋体" w:eastAsia="宋体"/>
          <w:color w:val="auto"/>
          <w:sz w:val="24"/>
          <w:highlight w:val="none"/>
        </w:rPr>
        <w:t>保险事故发生时，承包人有责任尽力采取必要的措施，防止或者减少损失。</w:t>
      </w:r>
    </w:p>
    <w:p w14:paraId="29E9753F">
      <w:pPr>
        <w:spacing w:line="400" w:lineRule="exact"/>
        <w:ind w:firstLine="480" w:firstLineChars="200"/>
        <w:rPr>
          <w:rFonts w:ascii="宋体" w:hAnsi="宋体" w:eastAsia="宋体"/>
          <w:bCs/>
          <w:color w:val="auto"/>
          <w:sz w:val="24"/>
          <w:highlight w:val="none"/>
        </w:rPr>
      </w:pPr>
    </w:p>
    <w:p w14:paraId="6BE550BE">
      <w:pPr>
        <w:spacing w:line="400" w:lineRule="exact"/>
        <w:ind w:firstLine="480" w:firstLineChars="200"/>
        <w:outlineLvl w:val="3"/>
        <w:rPr>
          <w:rFonts w:ascii="宋体" w:hAnsi="宋体" w:eastAsia="宋体"/>
          <w:bCs/>
          <w:color w:val="auto"/>
          <w:sz w:val="24"/>
          <w:highlight w:val="none"/>
        </w:rPr>
      </w:pPr>
      <w:bookmarkStart w:id="103" w:name="_Toc493407034"/>
      <w:r>
        <w:rPr>
          <w:rFonts w:hint="eastAsia" w:ascii="宋体" w:hAnsi="宋体"/>
          <w:color w:val="auto"/>
          <w:sz w:val="24"/>
          <w:highlight w:val="none"/>
          <w:lang w:val="en-US" w:eastAsia="zh-CN"/>
        </w:rPr>
        <w:t>31</w:t>
      </w:r>
      <w:r>
        <w:rPr>
          <w:rFonts w:ascii="宋体" w:hAnsi="宋体" w:eastAsia="宋体"/>
          <w:bCs/>
          <w:color w:val="auto"/>
          <w:sz w:val="24"/>
          <w:highlight w:val="none"/>
        </w:rPr>
        <w:t xml:space="preserve">. </w:t>
      </w:r>
      <w:r>
        <w:rPr>
          <w:rFonts w:hint="eastAsia" w:ascii="宋体" w:hAnsi="宋体" w:eastAsia="宋体"/>
          <w:bCs/>
          <w:color w:val="auto"/>
          <w:sz w:val="24"/>
          <w:highlight w:val="none"/>
        </w:rPr>
        <w:t>合同解除</w:t>
      </w:r>
      <w:bookmarkEnd w:id="103"/>
    </w:p>
    <w:p w14:paraId="13309EB1">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1</w:t>
      </w:r>
      <w:r>
        <w:rPr>
          <w:rFonts w:ascii="宋体" w:hAnsi="宋体" w:eastAsia="宋体"/>
          <w:color w:val="auto"/>
          <w:sz w:val="24"/>
          <w:highlight w:val="none"/>
        </w:rPr>
        <w:t xml:space="preserve">.1 </w:t>
      </w:r>
      <w:r>
        <w:rPr>
          <w:rFonts w:hint="eastAsia" w:ascii="宋体" w:hAnsi="宋体" w:eastAsia="宋体"/>
          <w:color w:val="auto"/>
          <w:sz w:val="24"/>
          <w:highlight w:val="none"/>
        </w:rPr>
        <w:t>发包人与承包人协商一致，可以解除合同。</w:t>
      </w:r>
    </w:p>
    <w:p w14:paraId="4C1B8AB0">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1</w:t>
      </w:r>
      <w:r>
        <w:rPr>
          <w:rFonts w:ascii="宋体" w:hAnsi="宋体" w:eastAsia="宋体"/>
          <w:color w:val="auto"/>
          <w:sz w:val="24"/>
          <w:highlight w:val="none"/>
        </w:rPr>
        <w:t xml:space="preserve">.2 </w:t>
      </w:r>
      <w:r>
        <w:rPr>
          <w:rFonts w:hint="eastAsia" w:ascii="宋体" w:hAnsi="宋体" w:eastAsia="宋体"/>
          <w:color w:val="auto"/>
          <w:sz w:val="24"/>
          <w:highlight w:val="none"/>
        </w:rPr>
        <w:t>承包人违约解除合同</w:t>
      </w:r>
    </w:p>
    <w:p w14:paraId="70FA2153">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1</w:t>
      </w:r>
      <w:r>
        <w:rPr>
          <w:rFonts w:ascii="宋体" w:hAnsi="宋体" w:eastAsia="宋体"/>
          <w:color w:val="auto"/>
          <w:sz w:val="24"/>
          <w:highlight w:val="none"/>
        </w:rPr>
        <w:t>.2.1</w:t>
      </w:r>
      <w:r>
        <w:rPr>
          <w:rFonts w:hint="eastAsia" w:ascii="宋体" w:hAnsi="宋体" w:eastAsia="宋体"/>
          <w:color w:val="auto"/>
          <w:sz w:val="24"/>
          <w:highlight w:val="none"/>
        </w:rPr>
        <w:t>发包人发出整改通知</w:t>
      </w:r>
      <w:r>
        <w:rPr>
          <w:rFonts w:ascii="宋体" w:hAnsi="宋体" w:eastAsia="宋体"/>
          <w:color w:val="auto"/>
          <w:sz w:val="24"/>
          <w:highlight w:val="none"/>
        </w:rPr>
        <w:t>28</w:t>
      </w:r>
      <w:r>
        <w:rPr>
          <w:rFonts w:hint="eastAsia" w:ascii="宋体" w:hAnsi="宋体" w:eastAsia="宋体"/>
          <w:color w:val="auto"/>
          <w:sz w:val="24"/>
          <w:highlight w:val="none"/>
        </w:rPr>
        <w:t>天后，承包人仍不纠正违约行为的或连续两季度考核</w:t>
      </w:r>
      <w:r>
        <w:rPr>
          <w:rFonts w:hint="eastAsia" w:ascii="宋体" w:hAnsi="宋体"/>
          <w:color w:val="auto"/>
          <w:sz w:val="24"/>
          <w:highlight w:val="none"/>
          <w:lang w:val="en-US" w:eastAsia="zh-CN"/>
        </w:rPr>
        <w:t>＜60分</w:t>
      </w:r>
      <w:r>
        <w:rPr>
          <w:rFonts w:hint="eastAsia" w:ascii="宋体" w:hAnsi="宋体" w:eastAsia="宋体"/>
          <w:color w:val="auto"/>
          <w:sz w:val="24"/>
          <w:highlight w:val="none"/>
        </w:rPr>
        <w:t>的或本合同约定的其他解除合同的情形，发包人有权向承包人发出解除合同通知。合同解除后，发包人可派员进驻现场，另行组织人员或委托其他承包人组织</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工作。发包人因继续完成该工程的需要，有权扣留使用承包人在现场的材料、设备和临时设施。但发包人的这一行动不免除承包人应承担的违约责任，也不影响发包人根据合同约定享有的索赔权利。</w:t>
      </w:r>
    </w:p>
    <w:p w14:paraId="53646E0A">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1</w:t>
      </w:r>
      <w:r>
        <w:rPr>
          <w:rFonts w:ascii="宋体" w:hAnsi="宋体" w:eastAsia="宋体"/>
          <w:color w:val="auto"/>
          <w:sz w:val="24"/>
          <w:highlight w:val="none"/>
        </w:rPr>
        <w:t xml:space="preserve">.2.2 </w:t>
      </w:r>
      <w:r>
        <w:rPr>
          <w:rFonts w:hint="eastAsia" w:ascii="宋体" w:hAnsi="宋体" w:eastAsia="宋体"/>
          <w:color w:val="auto"/>
          <w:sz w:val="24"/>
          <w:highlight w:val="none"/>
        </w:rPr>
        <w:t>合同解除后的估价、付款和结清</w:t>
      </w:r>
    </w:p>
    <w:p w14:paraId="77932E0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）合同解除后，发包人与承包人按照合同约定商定或确定承包人实际完成工作的价值，以及承包人已提供的材料、设备和临时工程等的价值。</w:t>
      </w:r>
      <w:r>
        <w:rPr>
          <w:rFonts w:ascii="宋体" w:hAnsi="宋体" w:eastAsia="宋体"/>
          <w:color w:val="auto"/>
          <w:sz w:val="24"/>
          <w:highlight w:val="none"/>
        </w:rPr>
        <w:t xml:space="preserve"> </w:t>
      </w:r>
    </w:p>
    <w:p w14:paraId="2A72588F">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）合同解除后，发包人应暂停对承包人的一切付款，查清各项付款和已扣款金额，包括承包人应支付的违约金。</w:t>
      </w:r>
    </w:p>
    <w:p w14:paraId="49B5CB76">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）合同解除后，发包人应按第</w:t>
      </w:r>
      <w:r>
        <w:rPr>
          <w:rFonts w:ascii="宋体" w:hAnsi="宋体" w:eastAsia="宋体"/>
          <w:color w:val="auto"/>
          <w:sz w:val="24"/>
          <w:highlight w:val="none"/>
        </w:rPr>
        <w:t>25</w:t>
      </w:r>
      <w:r>
        <w:rPr>
          <w:rFonts w:hint="eastAsia" w:ascii="宋体" w:hAnsi="宋体" w:eastAsia="宋体"/>
          <w:color w:val="auto"/>
          <w:sz w:val="24"/>
          <w:highlight w:val="none"/>
        </w:rPr>
        <w:t>款的约定向承包人索赔由于解除合同给发包人造成的损失。</w:t>
      </w:r>
    </w:p>
    <w:p w14:paraId="340D71D3">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）合同双方确认上述往来款项后，出具最终结清付款证书，结清全部合同款项。</w:t>
      </w:r>
    </w:p>
    <w:p w14:paraId="0CC139FE">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）发包人和承包人未能就解除合同后的结清达成一致而形成争议的，按第</w:t>
      </w:r>
      <w:r>
        <w:rPr>
          <w:rFonts w:ascii="宋体" w:hAnsi="宋体" w:eastAsia="宋体"/>
          <w:color w:val="auto"/>
          <w:sz w:val="24"/>
          <w:highlight w:val="none"/>
        </w:rPr>
        <w:t>26</w:t>
      </w:r>
      <w:r>
        <w:rPr>
          <w:rFonts w:hint="eastAsia" w:ascii="宋体" w:hAnsi="宋体" w:eastAsia="宋体"/>
          <w:color w:val="auto"/>
          <w:sz w:val="24"/>
          <w:highlight w:val="none"/>
        </w:rPr>
        <w:t>款的约定办理。</w:t>
      </w:r>
    </w:p>
    <w:p w14:paraId="4981BEC3">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1</w:t>
      </w:r>
      <w:r>
        <w:rPr>
          <w:rFonts w:ascii="宋体" w:hAnsi="宋体" w:eastAsia="宋体"/>
          <w:color w:val="auto"/>
          <w:sz w:val="24"/>
          <w:highlight w:val="none"/>
        </w:rPr>
        <w:t xml:space="preserve">.2.3 </w:t>
      </w:r>
      <w:r>
        <w:rPr>
          <w:rFonts w:hint="eastAsia" w:ascii="宋体" w:hAnsi="宋体" w:eastAsia="宋体"/>
          <w:color w:val="auto"/>
          <w:sz w:val="24"/>
          <w:highlight w:val="none"/>
        </w:rPr>
        <w:t>协议利益的转让</w:t>
      </w:r>
    </w:p>
    <w:p w14:paraId="179855EC">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因承包人违约解除合同的，发包人有权要求承包人将其为实施合同而签订的材料和设备的订货协议或任何服务协议利益转让给发包人，并在解除合同后的</w:t>
      </w:r>
      <w:r>
        <w:rPr>
          <w:rFonts w:ascii="宋体" w:hAnsi="宋体" w:eastAsia="宋体"/>
          <w:color w:val="auto"/>
          <w:sz w:val="24"/>
          <w:highlight w:val="none"/>
        </w:rPr>
        <w:t>14</w:t>
      </w:r>
      <w:r>
        <w:rPr>
          <w:rFonts w:hint="eastAsia" w:ascii="宋体" w:hAnsi="宋体" w:eastAsia="宋体"/>
          <w:color w:val="auto"/>
          <w:sz w:val="24"/>
          <w:highlight w:val="none"/>
        </w:rPr>
        <w:t>天内，依法办理转让手续。</w:t>
      </w:r>
      <w:r>
        <w:rPr>
          <w:rFonts w:ascii="宋体" w:hAnsi="宋体" w:eastAsia="宋体"/>
          <w:color w:val="auto"/>
          <w:sz w:val="24"/>
          <w:highlight w:val="none"/>
        </w:rPr>
        <w:t xml:space="preserve"> </w:t>
      </w:r>
    </w:p>
    <w:p w14:paraId="28BA4F5F">
      <w:pPr>
        <w:spacing w:line="400" w:lineRule="exact"/>
        <w:ind w:firstLine="480" w:firstLineChars="200"/>
        <w:rPr>
          <w:rFonts w:ascii="宋体" w:hAnsi="宋体" w:eastAsia="宋体"/>
          <w:color w:val="auto"/>
          <w:sz w:val="24"/>
          <w:highlight w:val="none"/>
        </w:rPr>
      </w:pPr>
    </w:p>
    <w:p w14:paraId="7606C677">
      <w:pPr>
        <w:spacing w:line="400" w:lineRule="exact"/>
        <w:ind w:firstLine="480" w:firstLineChars="200"/>
        <w:outlineLvl w:val="3"/>
        <w:rPr>
          <w:rFonts w:ascii="宋体" w:hAnsi="宋体" w:eastAsia="宋体"/>
          <w:bCs/>
          <w:color w:val="auto"/>
          <w:sz w:val="24"/>
          <w:highlight w:val="none"/>
        </w:rPr>
      </w:pPr>
      <w:bookmarkStart w:id="104" w:name="_Toc493407035"/>
      <w:r>
        <w:rPr>
          <w:rFonts w:ascii="宋体" w:hAnsi="宋体" w:eastAsia="宋体"/>
          <w:bCs/>
          <w:color w:val="auto"/>
          <w:sz w:val="24"/>
          <w:highlight w:val="none"/>
        </w:rPr>
        <w:t>3</w:t>
      </w:r>
      <w:r>
        <w:rPr>
          <w:rFonts w:hint="eastAsia" w:ascii="宋体" w:hAnsi="宋体"/>
          <w:bCs/>
          <w:color w:val="auto"/>
          <w:sz w:val="24"/>
          <w:highlight w:val="none"/>
          <w:lang w:val="en-US" w:eastAsia="zh-CN"/>
        </w:rPr>
        <w:t>2</w:t>
      </w:r>
      <w:r>
        <w:rPr>
          <w:rFonts w:ascii="宋体" w:hAnsi="宋体" w:eastAsia="宋体"/>
          <w:bCs/>
          <w:color w:val="auto"/>
          <w:sz w:val="24"/>
          <w:highlight w:val="none"/>
        </w:rPr>
        <w:t xml:space="preserve">. </w:t>
      </w:r>
      <w:r>
        <w:rPr>
          <w:rFonts w:hint="eastAsia" w:ascii="宋体" w:hAnsi="宋体" w:eastAsia="宋体"/>
          <w:bCs/>
          <w:color w:val="auto"/>
          <w:sz w:val="24"/>
          <w:highlight w:val="none"/>
        </w:rPr>
        <w:t>合同生效与终止</w:t>
      </w:r>
      <w:bookmarkEnd w:id="104"/>
    </w:p>
    <w:p w14:paraId="57EEE2A0">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2</w:t>
      </w:r>
      <w:r>
        <w:rPr>
          <w:rFonts w:ascii="宋体" w:hAnsi="宋体" w:eastAsia="宋体"/>
          <w:color w:val="auto"/>
          <w:sz w:val="24"/>
          <w:highlight w:val="none"/>
        </w:rPr>
        <w:t xml:space="preserve">.1 </w:t>
      </w:r>
      <w:r>
        <w:rPr>
          <w:rFonts w:hint="eastAsia" w:ascii="宋体" w:hAnsi="宋体" w:eastAsia="宋体"/>
          <w:color w:val="auto"/>
          <w:sz w:val="24"/>
          <w:highlight w:val="none"/>
        </w:rPr>
        <w:t>双方在协议书中规定合同生效方式。</w:t>
      </w:r>
    </w:p>
    <w:p w14:paraId="168F934A">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2</w:t>
      </w:r>
      <w:r>
        <w:rPr>
          <w:rFonts w:ascii="宋体" w:hAnsi="宋体" w:eastAsia="宋体"/>
          <w:color w:val="auto"/>
          <w:sz w:val="24"/>
          <w:highlight w:val="none"/>
        </w:rPr>
        <w:t xml:space="preserve">.2 </w:t>
      </w:r>
      <w:r>
        <w:rPr>
          <w:rFonts w:hint="eastAsia" w:ascii="宋体" w:hAnsi="宋体" w:eastAsia="宋体"/>
          <w:color w:val="auto"/>
          <w:sz w:val="24"/>
          <w:highlight w:val="none"/>
        </w:rPr>
        <w:t>发包人与承包人履行合同全部义务，合同结算价款支付完毕，承包人向发包人或发包人指定的对象移交</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后，本合同即告终止。</w:t>
      </w:r>
    </w:p>
    <w:p w14:paraId="46FF3A66">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2</w:t>
      </w:r>
      <w:r>
        <w:rPr>
          <w:rFonts w:ascii="宋体" w:hAnsi="宋体" w:eastAsia="宋体"/>
          <w:color w:val="auto"/>
          <w:sz w:val="24"/>
          <w:highlight w:val="none"/>
        </w:rPr>
        <w:t>.3</w:t>
      </w:r>
      <w:r>
        <w:rPr>
          <w:rFonts w:hint="eastAsia" w:ascii="宋体" w:hAnsi="宋体" w:eastAsia="宋体"/>
          <w:color w:val="auto"/>
          <w:sz w:val="24"/>
          <w:highlight w:val="none"/>
        </w:rPr>
        <w:t>合同的权利义务终止后，发包人与承包人应当遵循诚实信用原则，履行通知、协助、保密等义务。</w:t>
      </w:r>
    </w:p>
    <w:p w14:paraId="33B138EC">
      <w:pPr>
        <w:spacing w:line="400" w:lineRule="exact"/>
        <w:ind w:firstLine="480" w:firstLineChars="200"/>
        <w:rPr>
          <w:rFonts w:ascii="宋体" w:hAnsi="宋体" w:eastAsia="宋体"/>
          <w:bCs/>
          <w:color w:val="auto"/>
          <w:sz w:val="24"/>
          <w:highlight w:val="none"/>
        </w:rPr>
      </w:pPr>
      <w:r>
        <w:rPr>
          <w:rFonts w:ascii="宋体" w:hAnsi="宋体" w:eastAsia="宋体"/>
          <w:bCs/>
          <w:color w:val="auto"/>
          <w:sz w:val="24"/>
          <w:highlight w:val="none"/>
        </w:rPr>
        <w:t>3</w:t>
      </w:r>
      <w:r>
        <w:rPr>
          <w:rFonts w:hint="eastAsia" w:ascii="宋体" w:hAnsi="宋体"/>
          <w:bCs/>
          <w:color w:val="auto"/>
          <w:sz w:val="24"/>
          <w:highlight w:val="none"/>
          <w:lang w:val="en-US" w:eastAsia="zh-CN"/>
        </w:rPr>
        <w:t>2</w:t>
      </w:r>
      <w:r>
        <w:rPr>
          <w:rFonts w:ascii="宋体" w:hAnsi="宋体" w:eastAsia="宋体"/>
          <w:bCs/>
          <w:color w:val="auto"/>
          <w:sz w:val="24"/>
          <w:highlight w:val="none"/>
        </w:rPr>
        <w:t xml:space="preserve">.4 </w:t>
      </w:r>
      <w:r>
        <w:rPr>
          <w:rFonts w:hint="eastAsia" w:ascii="宋体" w:hAnsi="宋体" w:eastAsia="宋体"/>
          <w:bCs/>
          <w:color w:val="auto"/>
          <w:sz w:val="24"/>
          <w:highlight w:val="none"/>
        </w:rPr>
        <w:t>双方根据有关法律、行政法规规定，结合</w:t>
      </w:r>
      <w:r>
        <w:rPr>
          <w:rFonts w:hint="eastAsia" w:ascii="宋体" w:hAnsi="宋体" w:eastAsia="宋体"/>
          <w:bCs/>
          <w:color w:val="auto"/>
          <w:sz w:val="24"/>
          <w:highlight w:val="none"/>
          <w:lang w:eastAsia="zh-CN"/>
        </w:rPr>
        <w:t>运行维护</w:t>
      </w:r>
      <w:r>
        <w:rPr>
          <w:rFonts w:hint="eastAsia" w:ascii="宋体" w:hAnsi="宋体" w:eastAsia="宋体"/>
          <w:bCs/>
          <w:color w:val="auto"/>
          <w:sz w:val="24"/>
          <w:highlight w:val="none"/>
        </w:rPr>
        <w:t>实际，经协商一致后，可对本合同条款内容具体化、补充或修改。</w:t>
      </w:r>
    </w:p>
    <w:bookmarkEnd w:id="4"/>
    <w:bookmarkEnd w:id="5"/>
    <w:bookmarkEnd w:id="6"/>
    <w:bookmarkEnd w:id="7"/>
    <w:bookmarkEnd w:id="8"/>
    <w:bookmarkEnd w:id="9"/>
    <w:bookmarkEnd w:id="10"/>
    <w:p w14:paraId="2C1D8D3E">
      <w:pPr>
        <w:snapToGrid w:val="0"/>
        <w:spacing w:line="400" w:lineRule="exact"/>
        <w:ind w:left="1080" w:hanging="1080" w:hangingChars="450"/>
        <w:jc w:val="right"/>
        <w:rPr>
          <w:rFonts w:ascii="宋体" w:hAnsi="宋体" w:eastAsia="宋体"/>
          <w:color w:val="auto"/>
          <w:sz w:val="24"/>
          <w:highlight w:val="none"/>
        </w:rPr>
      </w:pPr>
    </w:p>
    <w:p w14:paraId="23079DE8">
      <w:pPr>
        <w:adjustRightInd w:val="0"/>
        <w:spacing w:line="440" w:lineRule="exact"/>
        <w:ind w:firstLine="454"/>
        <w:textAlignment w:val="baseline"/>
        <w:rPr>
          <w:rFonts w:ascii="宋体" w:hAnsi="宋体" w:eastAsia="宋体"/>
          <w:color w:val="auto"/>
          <w:sz w:val="24"/>
          <w:highlight w:val="none"/>
        </w:rPr>
        <w:sectPr>
          <w:footerReference r:id="rId3" w:type="default"/>
          <w:footnotePr>
            <w:numFmt w:val="decimalEnclosedCircleChinese"/>
            <w:numRestart w:val="eachPage"/>
          </w:footnotePr>
          <w:pgSz w:w="11907" w:h="16840"/>
          <w:pgMar w:top="1440" w:right="1797" w:bottom="1440" w:left="1797" w:header="851" w:footer="851" w:gutter="0"/>
          <w:cols w:space="720" w:num="1"/>
          <w:docGrid w:linePitch="312" w:charSpace="0"/>
        </w:sectPr>
      </w:pPr>
    </w:p>
    <w:p w14:paraId="3A499B0B">
      <w:pPr>
        <w:adjustRightInd w:val="0"/>
        <w:spacing w:line="420" w:lineRule="atLeast"/>
        <w:textAlignment w:val="baseline"/>
        <w:rPr>
          <w:rFonts w:ascii="宋体" w:hAnsi="宋体" w:eastAsia="宋体"/>
          <w:color w:val="auto"/>
          <w:spacing w:val="-6"/>
          <w:kern w:val="0"/>
          <w:sz w:val="44"/>
          <w:szCs w:val="20"/>
          <w:highlight w:val="none"/>
        </w:rPr>
      </w:pPr>
      <w:bookmarkStart w:id="105" w:name="_Toc14972"/>
    </w:p>
    <w:p w14:paraId="26D2D8F8">
      <w:pPr>
        <w:adjustRightInd w:val="0"/>
        <w:spacing w:line="420" w:lineRule="atLeast"/>
        <w:ind w:firstLine="454"/>
        <w:jc w:val="center"/>
        <w:textAlignment w:val="baseline"/>
        <w:rPr>
          <w:rFonts w:ascii="宋体" w:hAnsi="宋体" w:eastAsia="宋体"/>
          <w:color w:val="auto"/>
          <w:spacing w:val="-6"/>
          <w:kern w:val="0"/>
          <w:sz w:val="44"/>
          <w:szCs w:val="20"/>
          <w:highlight w:val="none"/>
        </w:rPr>
      </w:pPr>
    </w:p>
    <w:p w14:paraId="08D75D96">
      <w:pPr>
        <w:adjustRightInd w:val="0"/>
        <w:spacing w:line="420" w:lineRule="atLeast"/>
        <w:ind w:firstLine="454"/>
        <w:jc w:val="center"/>
        <w:textAlignment w:val="baseline"/>
        <w:rPr>
          <w:rFonts w:ascii="宋体" w:hAnsi="宋体" w:eastAsia="宋体"/>
          <w:color w:val="auto"/>
          <w:spacing w:val="-6"/>
          <w:kern w:val="0"/>
          <w:sz w:val="44"/>
          <w:szCs w:val="20"/>
          <w:highlight w:val="none"/>
        </w:rPr>
      </w:pPr>
    </w:p>
    <w:p w14:paraId="16F93158">
      <w:pPr>
        <w:adjustRightInd w:val="0"/>
        <w:spacing w:line="420" w:lineRule="atLeast"/>
        <w:ind w:firstLine="454"/>
        <w:jc w:val="center"/>
        <w:textAlignment w:val="baseline"/>
        <w:rPr>
          <w:rFonts w:ascii="宋体" w:hAnsi="宋体" w:eastAsia="宋体"/>
          <w:color w:val="auto"/>
          <w:spacing w:val="-6"/>
          <w:kern w:val="0"/>
          <w:sz w:val="44"/>
          <w:szCs w:val="20"/>
          <w:highlight w:val="none"/>
        </w:rPr>
      </w:pPr>
    </w:p>
    <w:p w14:paraId="42EFEB65">
      <w:pPr>
        <w:adjustRightInd w:val="0"/>
        <w:spacing w:line="420" w:lineRule="atLeast"/>
        <w:ind w:firstLine="454"/>
        <w:jc w:val="center"/>
        <w:textAlignment w:val="baseline"/>
        <w:rPr>
          <w:rFonts w:ascii="宋体" w:hAnsi="宋体" w:eastAsia="宋体"/>
          <w:color w:val="auto"/>
          <w:spacing w:val="-6"/>
          <w:kern w:val="0"/>
          <w:sz w:val="44"/>
          <w:szCs w:val="20"/>
          <w:highlight w:val="none"/>
        </w:rPr>
      </w:pPr>
    </w:p>
    <w:p w14:paraId="44B18C1F">
      <w:pPr>
        <w:adjustRightInd w:val="0"/>
        <w:spacing w:line="420" w:lineRule="atLeast"/>
        <w:ind w:firstLine="454"/>
        <w:jc w:val="center"/>
        <w:textAlignment w:val="baseline"/>
        <w:rPr>
          <w:rFonts w:ascii="宋体" w:hAnsi="宋体" w:eastAsia="宋体"/>
          <w:color w:val="auto"/>
          <w:spacing w:val="-6"/>
          <w:kern w:val="0"/>
          <w:sz w:val="44"/>
          <w:szCs w:val="20"/>
          <w:highlight w:val="none"/>
        </w:rPr>
      </w:pPr>
    </w:p>
    <w:p w14:paraId="16578A86">
      <w:pPr>
        <w:adjustRightInd w:val="0"/>
        <w:spacing w:line="420" w:lineRule="atLeast"/>
        <w:ind w:firstLine="454"/>
        <w:jc w:val="center"/>
        <w:textAlignment w:val="baseline"/>
        <w:rPr>
          <w:rFonts w:ascii="宋体" w:hAnsi="宋体" w:eastAsia="宋体"/>
          <w:color w:val="auto"/>
          <w:spacing w:val="-6"/>
          <w:kern w:val="0"/>
          <w:sz w:val="44"/>
          <w:szCs w:val="20"/>
          <w:highlight w:val="none"/>
        </w:rPr>
      </w:pPr>
    </w:p>
    <w:p w14:paraId="13842F05">
      <w:pPr>
        <w:adjustRightInd w:val="0"/>
        <w:spacing w:before="600" w:after="360" w:line="0" w:lineRule="atLeast"/>
        <w:jc w:val="center"/>
        <w:textAlignment w:val="baseline"/>
        <w:outlineLvl w:val="1"/>
        <w:rPr>
          <w:rFonts w:ascii="宋体" w:hAnsi="宋体" w:eastAsia="宋体"/>
          <w:color w:val="auto"/>
          <w:kern w:val="0"/>
          <w:sz w:val="28"/>
          <w:szCs w:val="32"/>
          <w:highlight w:val="none"/>
        </w:rPr>
      </w:pPr>
      <w:bookmarkStart w:id="106" w:name="_Toc367127668"/>
      <w:bookmarkStart w:id="107" w:name="_Toc260058003"/>
      <w:bookmarkStart w:id="108" w:name="_Toc149721970"/>
      <w:r>
        <w:rPr>
          <w:rFonts w:hint="eastAsia" w:ascii="宋体" w:hAnsi="宋体" w:eastAsia="宋体"/>
          <w:color w:val="auto"/>
          <w:kern w:val="0"/>
          <w:sz w:val="28"/>
          <w:szCs w:val="32"/>
          <w:highlight w:val="none"/>
        </w:rPr>
        <w:t>第二节</w:t>
      </w:r>
      <w:r>
        <w:rPr>
          <w:rFonts w:ascii="宋体" w:hAnsi="宋体" w:eastAsia="宋体"/>
          <w:color w:val="auto"/>
          <w:kern w:val="0"/>
          <w:sz w:val="28"/>
          <w:szCs w:val="32"/>
          <w:highlight w:val="none"/>
        </w:rPr>
        <w:t xml:space="preserve">  </w:t>
      </w:r>
      <w:r>
        <w:rPr>
          <w:rFonts w:hint="eastAsia" w:ascii="宋体" w:hAnsi="宋体" w:eastAsia="宋体"/>
          <w:color w:val="auto"/>
          <w:kern w:val="0"/>
          <w:sz w:val="28"/>
          <w:szCs w:val="32"/>
          <w:highlight w:val="none"/>
        </w:rPr>
        <w:t>合同附件格式</w:t>
      </w:r>
      <w:bookmarkEnd w:id="106"/>
      <w:bookmarkEnd w:id="107"/>
      <w:bookmarkEnd w:id="108"/>
    </w:p>
    <w:p w14:paraId="5B65141A">
      <w:pPr>
        <w:rPr>
          <w:rFonts w:hint="eastAsia" w:ascii="宋体" w:hAnsi="宋体"/>
          <w:color w:val="auto"/>
          <w:kern w:val="0"/>
          <w:sz w:val="28"/>
          <w:szCs w:val="20"/>
          <w:highlight w:val="none"/>
          <w:lang w:val="en-US" w:eastAsia="zh-CN"/>
        </w:rPr>
      </w:pPr>
      <w:r>
        <w:rPr>
          <w:rFonts w:ascii="宋体" w:hAnsi="宋体" w:eastAsia="宋体"/>
          <w:color w:val="auto"/>
          <w:kern w:val="0"/>
          <w:sz w:val="28"/>
          <w:szCs w:val="20"/>
          <w:highlight w:val="none"/>
          <w:lang w:val="zh-CN"/>
        </w:rPr>
        <w:br w:type="page"/>
      </w:r>
      <w:bookmarkEnd w:id="105"/>
      <w:bookmarkStart w:id="109" w:name="_Toc491187185"/>
      <w:bookmarkStart w:id="110" w:name="_Toc149721971"/>
      <w:bookmarkStart w:id="111" w:name="_Toc493407038"/>
      <w:r>
        <w:rPr>
          <w:rFonts w:hint="eastAsia" w:ascii="宋体" w:hAnsi="宋体"/>
          <w:color w:val="auto"/>
          <w:kern w:val="0"/>
          <w:sz w:val="28"/>
          <w:szCs w:val="20"/>
          <w:highlight w:val="none"/>
          <w:lang w:val="en-US" w:eastAsia="zh-CN"/>
        </w:rPr>
        <w:t>附件1：合同协议书</w:t>
      </w:r>
    </w:p>
    <w:p w14:paraId="4E0F7301">
      <w:pPr>
        <w:rPr>
          <w:rFonts w:hint="eastAsia"/>
          <w:color w:val="auto"/>
          <w:sz w:val="28"/>
          <w:szCs w:val="36"/>
          <w:highlight w:val="none"/>
        </w:rPr>
      </w:pPr>
      <w:r>
        <w:rPr>
          <w:rFonts w:hint="eastAsia" w:ascii="宋体" w:hAnsi="宋体"/>
          <w:color w:val="auto"/>
          <w:kern w:val="0"/>
          <w:sz w:val="28"/>
          <w:szCs w:val="20"/>
          <w:highlight w:val="none"/>
          <w:lang w:val="en-US" w:eastAsia="zh-CN"/>
        </w:rPr>
        <w:t>附件2：</w:t>
      </w:r>
      <w:r>
        <w:rPr>
          <w:rFonts w:hint="eastAsia"/>
          <w:color w:val="auto"/>
          <w:sz w:val="28"/>
          <w:szCs w:val="36"/>
          <w:highlight w:val="none"/>
        </w:rPr>
        <w:t>承包人主要违约行为及违约金标准一览表</w:t>
      </w:r>
    </w:p>
    <w:p w14:paraId="1DC1770D">
      <w:pPr>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附件3：履约担保（格式）</w:t>
      </w:r>
    </w:p>
    <w:p w14:paraId="3A9B3B4B">
      <w:pPr>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 xml:space="preserve">附件4：南沙区建设工程项目廉洁责任合同 </w:t>
      </w:r>
    </w:p>
    <w:p w14:paraId="59A71D26">
      <w:pPr>
        <w:rPr>
          <w:rFonts w:hint="default" w:ascii="宋体" w:hAnsi="宋体"/>
          <w:color w:val="auto"/>
          <w:kern w:val="0"/>
          <w:sz w:val="28"/>
          <w:szCs w:val="20"/>
          <w:highlight w:val="none"/>
          <w:lang w:val="en-US" w:eastAsia="zh-CN"/>
        </w:rPr>
      </w:pPr>
      <w:r>
        <w:rPr>
          <w:rFonts w:hint="eastAsia" w:ascii="宋体" w:hAnsi="宋体"/>
          <w:color w:val="auto"/>
          <w:kern w:val="0"/>
          <w:sz w:val="28"/>
          <w:szCs w:val="20"/>
          <w:highlight w:val="none"/>
          <w:lang w:val="en-US" w:eastAsia="zh-CN"/>
        </w:rPr>
        <w:t>附件5：人员组织架构</w:t>
      </w:r>
    </w:p>
    <w:p w14:paraId="17B442A4">
      <w:pPr>
        <w:rPr>
          <w:rFonts w:hint="eastAsia" w:ascii="宋体" w:hAnsi="宋体"/>
          <w:color w:val="auto"/>
          <w:kern w:val="0"/>
          <w:sz w:val="28"/>
          <w:szCs w:val="20"/>
          <w:highlight w:val="none"/>
          <w:lang w:val="en-US" w:eastAsia="zh-CN"/>
        </w:rPr>
      </w:pPr>
      <w:r>
        <w:rPr>
          <w:rFonts w:hint="eastAsia" w:ascii="宋体" w:hAnsi="宋体"/>
          <w:color w:val="auto"/>
          <w:kern w:val="0"/>
          <w:sz w:val="28"/>
          <w:szCs w:val="20"/>
          <w:highlight w:val="none"/>
          <w:lang w:val="en-US" w:eastAsia="zh-CN"/>
        </w:rPr>
        <w:t>附件6：运行维护管理平台功能需求表</w:t>
      </w:r>
    </w:p>
    <w:p w14:paraId="421D1D4C">
      <w:pPr>
        <w:rPr>
          <w:rFonts w:hint="eastAsia" w:ascii="宋体" w:hAnsi="宋体"/>
          <w:color w:val="auto"/>
          <w:kern w:val="0"/>
          <w:sz w:val="28"/>
          <w:szCs w:val="20"/>
          <w:highlight w:val="none"/>
          <w:lang w:val="en-US" w:eastAsia="zh-CN"/>
        </w:rPr>
      </w:pPr>
      <w:r>
        <w:rPr>
          <w:rFonts w:hint="eastAsia" w:ascii="宋体" w:hAnsi="宋体"/>
          <w:color w:val="auto"/>
          <w:kern w:val="0"/>
          <w:sz w:val="28"/>
          <w:szCs w:val="20"/>
          <w:highlight w:val="none"/>
          <w:lang w:val="en-US" w:eastAsia="zh-CN"/>
        </w:rPr>
        <w:t>附件7：南沙区水利设施运行维护手册</w:t>
      </w:r>
    </w:p>
    <w:p w14:paraId="12F22544">
      <w:pPr>
        <w:pStyle w:val="6"/>
        <w:rPr>
          <w:rFonts w:hint="default"/>
          <w:color w:val="auto"/>
          <w:highlight w:val="none"/>
          <w:lang w:val="en-US" w:eastAsia="zh-CN"/>
        </w:rPr>
      </w:pPr>
      <w:r>
        <w:rPr>
          <w:rFonts w:hint="eastAsia" w:ascii="宋体" w:hAnsi="宋体"/>
          <w:color w:val="auto"/>
          <w:kern w:val="0"/>
          <w:sz w:val="28"/>
          <w:szCs w:val="20"/>
          <w:highlight w:val="none"/>
          <w:lang w:val="en-US" w:eastAsia="zh-CN"/>
        </w:rPr>
        <w:t>附件8：南沙区水利设施运行维护项目考核管理办法（试行）</w:t>
      </w:r>
    </w:p>
    <w:p w14:paraId="2C700452">
      <w:pPr>
        <w:rPr>
          <w:rFonts w:hint="eastAsia" w:ascii="宋体" w:hAnsi="宋体"/>
          <w:color w:val="auto"/>
          <w:kern w:val="0"/>
          <w:sz w:val="28"/>
          <w:szCs w:val="20"/>
          <w:highlight w:val="none"/>
          <w:lang w:val="zh-CN" w:eastAsia="zh-CN"/>
        </w:rPr>
      </w:pPr>
      <w:r>
        <w:rPr>
          <w:rFonts w:hint="eastAsia" w:ascii="宋体" w:hAnsi="宋体"/>
          <w:color w:val="auto"/>
          <w:kern w:val="0"/>
          <w:sz w:val="28"/>
          <w:szCs w:val="20"/>
          <w:highlight w:val="none"/>
          <w:lang w:val="en-US" w:eastAsia="zh-CN"/>
        </w:rPr>
        <w:t xml:space="preserve"> </w:t>
      </w:r>
      <w:r>
        <w:rPr>
          <w:rFonts w:hint="eastAsia" w:ascii="宋体" w:hAnsi="宋体"/>
          <w:color w:val="auto"/>
          <w:kern w:val="0"/>
          <w:sz w:val="28"/>
          <w:szCs w:val="20"/>
          <w:highlight w:val="none"/>
          <w:lang w:val="zh-CN" w:eastAsia="zh-CN"/>
        </w:rPr>
        <w:br w:type="page"/>
      </w:r>
    </w:p>
    <w:p w14:paraId="007B6A4F">
      <w:pPr>
        <w:keepNext/>
        <w:keepLines/>
        <w:widowControl/>
        <w:spacing w:before="480" w:after="120" w:line="400" w:lineRule="exact"/>
        <w:outlineLvl w:val="2"/>
        <w:rPr>
          <w:rFonts w:ascii="宋体" w:hAnsi="宋体" w:eastAsia="宋体"/>
          <w:b/>
          <w:color w:val="auto"/>
          <w:sz w:val="28"/>
          <w:szCs w:val="28"/>
          <w:highlight w:val="none"/>
          <w:lang w:val="zh-CN"/>
        </w:rPr>
      </w:pPr>
      <w:r>
        <w:rPr>
          <w:rFonts w:hint="eastAsia" w:ascii="宋体" w:hAnsi="宋体" w:eastAsia="宋体"/>
          <w:b/>
          <w:bCs/>
          <w:color w:val="auto"/>
          <w:kern w:val="0"/>
          <w:sz w:val="28"/>
          <w:szCs w:val="28"/>
          <w:highlight w:val="none"/>
          <w:lang w:val="zh-CN"/>
        </w:rPr>
        <w:t>附件1：</w:t>
      </w:r>
      <w:bookmarkEnd w:id="109"/>
      <w:bookmarkEnd w:id="110"/>
      <w:bookmarkEnd w:id="111"/>
      <w:r>
        <w:rPr>
          <w:rFonts w:hint="eastAsia" w:ascii="宋体" w:hAnsi="宋体" w:eastAsia="宋体"/>
          <w:b/>
          <w:bCs/>
          <w:color w:val="auto"/>
          <w:kern w:val="0"/>
          <w:sz w:val="28"/>
          <w:szCs w:val="28"/>
          <w:highlight w:val="none"/>
          <w:lang w:val="zh-CN"/>
        </w:rPr>
        <w:t>合同协议书</w:t>
      </w:r>
    </w:p>
    <w:p w14:paraId="0AC39662">
      <w:pPr>
        <w:keepNext/>
        <w:keepLines/>
        <w:spacing w:line="400" w:lineRule="atLeast"/>
        <w:jc w:val="center"/>
        <w:rPr>
          <w:rFonts w:ascii="宋体" w:hAnsi="宋体" w:eastAsia="宋体"/>
          <w:b/>
          <w:bCs/>
          <w:iCs/>
          <w:color w:val="auto"/>
          <w:sz w:val="28"/>
          <w:szCs w:val="28"/>
          <w:highlight w:val="none"/>
          <w:lang w:val="zh-CN"/>
        </w:rPr>
      </w:pPr>
      <w:bookmarkStart w:id="112" w:name="_Toc491187186"/>
      <w:bookmarkStart w:id="113" w:name="_Toc493407039"/>
      <w:r>
        <w:rPr>
          <w:rFonts w:hint="eastAsia" w:ascii="宋体" w:hAnsi="宋体" w:eastAsia="宋体"/>
          <w:b/>
          <w:bCs/>
          <w:iCs/>
          <w:color w:val="auto"/>
          <w:sz w:val="28"/>
          <w:szCs w:val="28"/>
          <w:highlight w:val="none"/>
          <w:lang w:val="zh-CN"/>
        </w:rPr>
        <w:t>合同协议书</w:t>
      </w:r>
      <w:bookmarkEnd w:id="112"/>
      <w:bookmarkEnd w:id="113"/>
    </w:p>
    <w:p w14:paraId="6EF3E893">
      <w:pPr>
        <w:spacing w:line="400" w:lineRule="exact"/>
        <w:ind w:firstLine="480" w:firstLineChars="200"/>
        <w:rPr>
          <w:rFonts w:ascii="宋体" w:hAnsi="宋体" w:eastAsia="宋体"/>
          <w:color w:val="auto"/>
          <w:sz w:val="24"/>
          <w:highlight w:val="none"/>
          <w:u w:val="single"/>
        </w:rPr>
      </w:pPr>
    </w:p>
    <w:p w14:paraId="3A9A7273">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eastAsia="zh-CN"/>
        </w:rPr>
        <w:t>（招标人）</w:t>
      </w:r>
      <w:r>
        <w:rPr>
          <w:rFonts w:ascii="宋体" w:hAnsi="宋体" w:eastAsia="宋体"/>
          <w:color w:val="auto"/>
          <w:sz w:val="24"/>
          <w:highlight w:val="none"/>
          <w:u w:val="single"/>
        </w:rPr>
        <w:t xml:space="preserve"> </w:t>
      </w:r>
      <w:r>
        <w:rPr>
          <w:rFonts w:ascii="宋体" w:hAnsi="宋体" w:eastAsia="宋体"/>
          <w:color w:val="auto"/>
          <w:sz w:val="24"/>
          <w:highlight w:val="none"/>
        </w:rPr>
        <w:t>（发包人名称，以下简称“发包人”）为实施</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项目</w:t>
      </w:r>
      <w:r>
        <w:rPr>
          <w:rFonts w:ascii="宋体" w:hAnsi="宋体" w:eastAsia="宋体"/>
          <w:color w:val="auto"/>
          <w:sz w:val="24"/>
          <w:highlight w:val="none"/>
        </w:rPr>
        <w:t>，已接受</w:t>
      </w:r>
      <w:r>
        <w:rPr>
          <w:rFonts w:hint="eastAsia" w:ascii="宋体" w:hAnsi="宋体"/>
          <w:color w:val="auto"/>
          <w:sz w:val="24"/>
          <w:highlight w:val="none"/>
          <w:u w:val="single"/>
          <w:lang w:val="en-US" w:eastAsia="zh-CN"/>
        </w:rPr>
        <w:t xml:space="preserve">          </w:t>
      </w:r>
      <w:r>
        <w:rPr>
          <w:rFonts w:ascii="宋体" w:hAnsi="宋体" w:eastAsia="宋体"/>
          <w:color w:val="auto"/>
          <w:sz w:val="24"/>
          <w:highlight w:val="none"/>
        </w:rPr>
        <w:t>（承包人名称，以下简称“承包人”）对该项目的投标。发包人和承包人共同达成如下协议。</w:t>
      </w:r>
    </w:p>
    <w:p w14:paraId="711A8E55">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工程范围</w:t>
      </w:r>
    </w:p>
    <w:p w14:paraId="67E30BE2">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u w:val="single"/>
        </w:rPr>
        <w:t xml:space="preserve">                              </w:t>
      </w:r>
    </w:p>
    <w:p w14:paraId="77F68D2A">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下列文件应视为</w:t>
      </w:r>
      <w:r>
        <w:rPr>
          <w:rFonts w:ascii="宋体" w:hAnsi="宋体" w:eastAsia="宋体"/>
          <w:color w:val="auto"/>
          <w:sz w:val="24"/>
          <w:highlight w:val="none"/>
        </w:rPr>
        <w:t>构成合同文件的组成部分</w:t>
      </w:r>
      <w:r>
        <w:rPr>
          <w:rFonts w:hint="eastAsia" w:ascii="宋体" w:hAnsi="宋体" w:eastAsia="宋体"/>
          <w:color w:val="auto"/>
          <w:sz w:val="24"/>
          <w:highlight w:val="none"/>
        </w:rPr>
        <w:t>：</w:t>
      </w:r>
    </w:p>
    <w:p w14:paraId="4551FE14">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1）本</w:t>
      </w:r>
      <w:r>
        <w:rPr>
          <w:rFonts w:hint="eastAsia" w:ascii="宋体" w:hAnsi="宋体" w:eastAsia="宋体"/>
          <w:color w:val="auto"/>
          <w:sz w:val="24"/>
          <w:highlight w:val="none"/>
        </w:rPr>
        <w:t>协议书及各种合同附件（含评标期间和合同谈判过程中的澄清文件和补充资料，</w:t>
      </w:r>
      <w:r>
        <w:rPr>
          <w:rFonts w:hint="eastAsia" w:ascii="宋体" w:hAnsi="宋体" w:eastAsia="宋体"/>
          <w:color w:val="auto"/>
          <w:sz w:val="24"/>
          <w:highlight w:val="none"/>
          <w:lang w:eastAsia="zh-CN"/>
        </w:rPr>
        <w:t>本项目运行维护</w:t>
      </w:r>
      <w:r>
        <w:rPr>
          <w:rFonts w:hint="eastAsia" w:ascii="宋体" w:hAnsi="宋体" w:eastAsia="宋体"/>
          <w:color w:val="auto"/>
          <w:sz w:val="24"/>
          <w:highlight w:val="none"/>
        </w:rPr>
        <w:t>实施期间，发包人和承包人依法针对本合同达成的补充协议或发包人下达的正式公文或书面指令）；</w:t>
      </w:r>
    </w:p>
    <w:p w14:paraId="0985413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2）中</w:t>
      </w:r>
      <w:r>
        <w:rPr>
          <w:rFonts w:hint="eastAsia" w:ascii="宋体" w:hAnsi="宋体" w:eastAsia="宋体"/>
          <w:color w:val="auto"/>
          <w:sz w:val="24"/>
          <w:highlight w:val="none"/>
        </w:rPr>
        <w:t>标通知书；</w:t>
      </w:r>
    </w:p>
    <w:p w14:paraId="63282A01">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3）投</w:t>
      </w:r>
      <w:r>
        <w:rPr>
          <w:rFonts w:hint="eastAsia" w:ascii="宋体" w:hAnsi="宋体" w:eastAsia="宋体"/>
          <w:color w:val="auto"/>
          <w:sz w:val="24"/>
          <w:highlight w:val="none"/>
        </w:rPr>
        <w:t>标函；</w:t>
      </w:r>
    </w:p>
    <w:p w14:paraId="35BFFDD7">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4）合同</w:t>
      </w:r>
      <w:r>
        <w:rPr>
          <w:rFonts w:hint="eastAsia" w:ascii="宋体" w:hAnsi="宋体" w:eastAsia="宋体"/>
          <w:color w:val="auto"/>
          <w:sz w:val="24"/>
          <w:highlight w:val="none"/>
        </w:rPr>
        <w:t>条款；</w:t>
      </w:r>
    </w:p>
    <w:p w14:paraId="17FAD7DB">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rPr>
        <w:t>发包人要求；</w:t>
      </w:r>
    </w:p>
    <w:p w14:paraId="6120584F">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6</w:t>
      </w:r>
      <w:r>
        <w:rPr>
          <w:rFonts w:ascii="宋体" w:hAnsi="宋体" w:eastAsia="宋体"/>
          <w:color w:val="auto"/>
          <w:sz w:val="24"/>
          <w:highlight w:val="none"/>
        </w:rPr>
        <w:t>）已</w:t>
      </w:r>
      <w:r>
        <w:rPr>
          <w:rFonts w:hint="eastAsia" w:ascii="宋体" w:hAnsi="宋体" w:eastAsia="宋体"/>
          <w:color w:val="auto"/>
          <w:sz w:val="24"/>
          <w:highlight w:val="none"/>
        </w:rPr>
        <w:t>标价工程量清单；</w:t>
      </w:r>
    </w:p>
    <w:p w14:paraId="7A1CB6D4">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7</w:t>
      </w:r>
      <w:r>
        <w:rPr>
          <w:rFonts w:ascii="宋体" w:hAnsi="宋体" w:eastAsia="宋体"/>
          <w:color w:val="auto"/>
          <w:sz w:val="24"/>
          <w:highlight w:val="none"/>
        </w:rPr>
        <w:t>）承包人有</w:t>
      </w:r>
      <w:r>
        <w:rPr>
          <w:rFonts w:hint="eastAsia" w:ascii="宋体" w:hAnsi="宋体" w:eastAsia="宋体"/>
          <w:color w:val="auto"/>
          <w:sz w:val="24"/>
          <w:highlight w:val="none"/>
        </w:rPr>
        <w:t>关人员、设备投入的承诺及投标文件中的</w:t>
      </w:r>
      <w:r>
        <w:rPr>
          <w:rFonts w:hint="eastAsia" w:ascii="宋体" w:hAnsi="宋体" w:eastAsia="宋体"/>
          <w:color w:val="auto"/>
          <w:sz w:val="24"/>
          <w:highlight w:val="none"/>
          <w:lang w:eastAsia="zh-CN"/>
        </w:rPr>
        <w:t>运行维护方案</w:t>
      </w:r>
      <w:r>
        <w:rPr>
          <w:rFonts w:hint="eastAsia" w:ascii="宋体" w:hAnsi="宋体" w:eastAsia="宋体"/>
          <w:color w:val="auto"/>
          <w:sz w:val="24"/>
          <w:highlight w:val="none"/>
        </w:rPr>
        <w:t>；</w:t>
      </w:r>
    </w:p>
    <w:p w14:paraId="67476FC0">
      <w:pPr>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8</w:t>
      </w:r>
      <w:r>
        <w:rPr>
          <w:rFonts w:ascii="宋体" w:hAnsi="宋体" w:eastAsia="宋体"/>
          <w:color w:val="auto"/>
          <w:sz w:val="24"/>
          <w:highlight w:val="none"/>
        </w:rPr>
        <w:t>）其他合同文件。</w:t>
      </w:r>
    </w:p>
    <w:p w14:paraId="03F7F661">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3.签约合同价</w:t>
      </w:r>
      <w:r>
        <w:rPr>
          <w:rFonts w:hint="eastAsia" w:ascii="宋体" w:hAnsi="宋体" w:eastAsia="宋体"/>
          <w:color w:val="auto"/>
          <w:sz w:val="24"/>
          <w:highlight w:val="none"/>
        </w:rPr>
        <w:t>为：</w:t>
      </w:r>
      <w:r>
        <w:rPr>
          <w:rFonts w:ascii="宋体" w:hAnsi="宋体" w:eastAsia="宋体"/>
          <w:color w:val="auto"/>
          <w:sz w:val="24"/>
          <w:highlight w:val="none"/>
        </w:rPr>
        <w:t>人民币（大写）________元（</w:t>
      </w:r>
      <w:r>
        <w:rPr>
          <w:rFonts w:ascii="宋体" w:hAnsi="宋体" w:eastAsia="宋体" w:cs="Calibri"/>
          <w:color w:val="auto"/>
          <w:sz w:val="24"/>
          <w:highlight w:val="none"/>
        </w:rPr>
        <w:t>¥</w:t>
      </w:r>
      <w:r>
        <w:rPr>
          <w:rFonts w:ascii="宋体" w:hAnsi="宋体" w:eastAsia="宋体"/>
          <w:color w:val="auto"/>
          <w:sz w:val="24"/>
          <w:highlight w:val="none"/>
        </w:rPr>
        <w:t>________）。</w:t>
      </w:r>
    </w:p>
    <w:p w14:paraId="59876B19">
      <w:pPr>
        <w:spacing w:line="400" w:lineRule="exact"/>
        <w:ind w:firstLine="480" w:firstLineChars="200"/>
        <w:rPr>
          <w:rFonts w:ascii="宋体" w:hAnsi="宋体" w:eastAsia="宋体"/>
          <w:color w:val="auto"/>
          <w:sz w:val="24"/>
          <w:highlight w:val="none"/>
          <w:u w:val="single"/>
        </w:rPr>
      </w:pPr>
      <w:r>
        <w:rPr>
          <w:rFonts w:ascii="宋体" w:hAnsi="宋体" w:eastAsia="宋体"/>
          <w:color w:val="auto"/>
          <w:sz w:val="24"/>
          <w:highlight w:val="none"/>
        </w:rPr>
        <w:t>4.</w:t>
      </w:r>
      <w:r>
        <w:rPr>
          <w:rFonts w:hint="eastAsia" w:ascii="宋体" w:hAnsi="宋体" w:eastAsia="宋体"/>
          <w:color w:val="auto"/>
          <w:sz w:val="24"/>
          <w:highlight w:val="none"/>
        </w:rPr>
        <w:t>承包人</w:t>
      </w:r>
      <w:r>
        <w:rPr>
          <w:rFonts w:hint="eastAsia" w:ascii="宋体" w:hAnsi="宋体" w:eastAsia="宋体"/>
          <w:color w:val="auto"/>
          <w:sz w:val="24"/>
          <w:highlight w:val="none"/>
          <w:lang w:eastAsia="zh-CN"/>
        </w:rPr>
        <w:t>项目负责人</w:t>
      </w:r>
      <w:r>
        <w:rPr>
          <w:rFonts w:ascii="宋体" w:hAnsi="宋体" w:eastAsia="宋体"/>
          <w:color w:val="auto"/>
          <w:sz w:val="24"/>
          <w:highlight w:val="none"/>
        </w:rPr>
        <w:t>：</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，承包人</w:t>
      </w:r>
      <w:r>
        <w:rPr>
          <w:rFonts w:hint="eastAsia" w:ascii="宋体" w:hAnsi="宋体" w:eastAsia="宋体"/>
          <w:color w:val="auto"/>
          <w:sz w:val="24"/>
          <w:highlight w:val="none"/>
          <w:lang w:eastAsia="zh-CN"/>
        </w:rPr>
        <w:t>技术负责人</w:t>
      </w:r>
      <w:r>
        <w:rPr>
          <w:rFonts w:hint="eastAsia" w:ascii="宋体" w:hAnsi="宋体" w:eastAsia="宋体"/>
          <w:color w:val="auto"/>
          <w:sz w:val="24"/>
          <w:highlight w:val="none"/>
        </w:rPr>
        <w:t>：</w:t>
      </w:r>
      <w:r>
        <w:rPr>
          <w:rFonts w:ascii="宋体" w:hAnsi="宋体" w:eastAsia="宋体"/>
          <w:color w:val="auto"/>
          <w:sz w:val="24"/>
          <w:highlight w:val="none"/>
        </w:rPr>
        <w:t xml:space="preserve"> </w:t>
      </w:r>
      <w:r>
        <w:rPr>
          <w:rFonts w:ascii="宋体" w:hAnsi="宋体" w:eastAsia="宋体"/>
          <w:color w:val="auto"/>
          <w:sz w:val="24"/>
          <w:highlight w:val="none"/>
          <w:u w:val="single"/>
        </w:rPr>
        <w:t xml:space="preserve">      </w:t>
      </w:r>
      <w:r>
        <w:rPr>
          <w:rFonts w:ascii="宋体" w:hAnsi="宋体" w:eastAsia="宋体"/>
          <w:color w:val="auto"/>
          <w:sz w:val="24"/>
          <w:highlight w:val="none"/>
        </w:rPr>
        <w:t>。</w:t>
      </w:r>
    </w:p>
    <w:p w14:paraId="68504D45">
      <w:pPr>
        <w:spacing w:line="4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5.</w:t>
      </w:r>
      <w:r>
        <w:rPr>
          <w:rFonts w:hint="eastAsia" w:ascii="宋体" w:hAnsi="宋体" w:eastAsia="宋体"/>
          <w:color w:val="auto"/>
          <w:sz w:val="24"/>
          <w:highlight w:val="none"/>
          <w:lang w:eastAsia="zh-CN"/>
        </w:rPr>
        <w:t>运行维护</w:t>
      </w:r>
      <w:r>
        <w:rPr>
          <w:rFonts w:ascii="宋体" w:hAnsi="宋体" w:eastAsia="宋体"/>
          <w:color w:val="auto"/>
          <w:sz w:val="24"/>
          <w:highlight w:val="none"/>
        </w:rPr>
        <w:t>质量符合</w:t>
      </w:r>
      <w:r>
        <w:rPr>
          <w:rFonts w:hint="eastAsia" w:ascii="宋体" w:hAnsi="宋体" w:eastAsia="宋体"/>
          <w:color w:val="auto"/>
          <w:sz w:val="24"/>
          <w:highlight w:val="none"/>
        </w:rPr>
        <w:t>招标文件</w:t>
      </w:r>
      <w:r>
        <w:rPr>
          <w:rFonts w:hint="eastAsia" w:ascii="宋体" w:hAnsi="宋体"/>
          <w:color w:val="auto"/>
          <w:sz w:val="24"/>
          <w:highlight w:val="none"/>
          <w:lang w:val="en-US" w:eastAsia="zh-CN"/>
        </w:rPr>
        <w:t>要求</w:t>
      </w:r>
      <w:r>
        <w:rPr>
          <w:rFonts w:hint="eastAsia" w:ascii="宋体" w:hAnsi="宋体" w:eastAsia="宋体"/>
          <w:color w:val="auto"/>
          <w:sz w:val="24"/>
          <w:highlight w:val="none"/>
        </w:rPr>
        <w:t>、发包人要求及公路</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技术规范的有关规定</w:t>
      </w:r>
      <w:r>
        <w:rPr>
          <w:rFonts w:ascii="宋体" w:hAnsi="宋体" w:eastAsia="宋体"/>
          <w:color w:val="auto"/>
          <w:sz w:val="24"/>
          <w:highlight w:val="none"/>
        </w:rPr>
        <w:t>。</w:t>
      </w:r>
    </w:p>
    <w:p w14:paraId="73201C59">
      <w:pPr>
        <w:spacing w:line="400" w:lineRule="exact"/>
        <w:ind w:firstLine="480" w:firstLineChars="200"/>
        <w:rPr>
          <w:rFonts w:ascii="宋体" w:hAnsi="宋体" w:eastAsia="宋体"/>
          <w:color w:val="auto"/>
          <w:sz w:val="24"/>
          <w:highlight w:val="none"/>
        </w:rPr>
      </w:pPr>
      <w:r>
        <w:rPr>
          <w:rFonts w:hint="eastAsia" w:ascii="宋体" w:hAnsi="宋体"/>
          <w:color w:val="auto"/>
          <w:sz w:val="24"/>
          <w:highlight w:val="none"/>
          <w:lang w:val="en-US" w:eastAsia="zh-CN"/>
        </w:rPr>
        <w:t>6</w:t>
      </w:r>
      <w:r>
        <w:rPr>
          <w:rFonts w:ascii="宋体" w:hAnsi="宋体" w:eastAsia="宋体"/>
          <w:color w:val="auto"/>
          <w:sz w:val="24"/>
          <w:highlight w:val="none"/>
        </w:rPr>
        <w:t>.发包人承诺按合同约定的条件、时间和方式向承包人支付合同价款。</w:t>
      </w:r>
    </w:p>
    <w:p w14:paraId="0123D0C9">
      <w:pPr>
        <w:spacing w:line="400" w:lineRule="exact"/>
        <w:ind w:firstLine="480" w:firstLineChars="200"/>
        <w:rPr>
          <w:rFonts w:ascii="宋体" w:hAnsi="宋体" w:eastAsia="宋体"/>
          <w:color w:val="auto"/>
          <w:sz w:val="24"/>
          <w:highlight w:val="none"/>
        </w:rPr>
      </w:pPr>
      <w:r>
        <w:rPr>
          <w:rFonts w:hint="eastAsia" w:ascii="宋体" w:hAnsi="宋体"/>
          <w:color w:val="auto"/>
          <w:sz w:val="24"/>
          <w:highlight w:val="none"/>
          <w:lang w:val="en-US" w:eastAsia="zh-CN"/>
        </w:rPr>
        <w:t>7</w:t>
      </w:r>
      <w:r>
        <w:rPr>
          <w:rFonts w:ascii="宋体" w:hAnsi="宋体" w:eastAsia="宋体"/>
          <w:color w:val="auto"/>
          <w:sz w:val="24"/>
          <w:highlight w:val="none"/>
        </w:rPr>
        <w:t>.本协议书在承包人提供履约担保后，由双方法定代表人或其委托代理人签署并加盖单位公章后生效。</w:t>
      </w:r>
      <w:r>
        <w:rPr>
          <w:rFonts w:hint="eastAsia" w:ascii="宋体" w:hAnsi="宋体" w:eastAsia="宋体"/>
          <w:color w:val="auto"/>
          <w:sz w:val="24"/>
          <w:highlight w:val="none"/>
        </w:rPr>
        <w:t>发包人与承包人履行合同全部义务，合同结算价款支付完毕，承包人向发包人或发包人指定的对象移交</w:t>
      </w:r>
      <w:r>
        <w:rPr>
          <w:rFonts w:hint="eastAsia" w:ascii="宋体" w:hAnsi="宋体" w:eastAsia="宋体"/>
          <w:color w:val="auto"/>
          <w:sz w:val="24"/>
          <w:highlight w:val="none"/>
          <w:lang w:eastAsia="zh-CN"/>
        </w:rPr>
        <w:t>运行维护</w:t>
      </w:r>
      <w:r>
        <w:rPr>
          <w:rFonts w:hint="eastAsia" w:ascii="宋体" w:hAnsi="宋体" w:eastAsia="宋体"/>
          <w:color w:val="auto"/>
          <w:sz w:val="24"/>
          <w:highlight w:val="none"/>
        </w:rPr>
        <w:t>后，本合同终止</w:t>
      </w:r>
      <w:r>
        <w:rPr>
          <w:rFonts w:ascii="宋体" w:hAnsi="宋体" w:eastAsia="宋体"/>
          <w:color w:val="auto"/>
          <w:sz w:val="24"/>
          <w:highlight w:val="none"/>
        </w:rPr>
        <w:t>。</w:t>
      </w:r>
    </w:p>
    <w:p w14:paraId="2FDF7C7D">
      <w:pPr>
        <w:spacing w:line="400" w:lineRule="exact"/>
        <w:ind w:firstLine="480" w:firstLineChars="200"/>
        <w:rPr>
          <w:rFonts w:ascii="宋体" w:hAnsi="宋体" w:eastAsia="宋体"/>
          <w:color w:val="auto"/>
          <w:sz w:val="24"/>
          <w:highlight w:val="none"/>
        </w:rPr>
      </w:pPr>
      <w:r>
        <w:rPr>
          <w:rFonts w:hint="eastAsia" w:ascii="宋体" w:hAnsi="宋体"/>
          <w:color w:val="auto"/>
          <w:sz w:val="24"/>
          <w:highlight w:val="none"/>
          <w:lang w:val="en-US" w:eastAsia="zh-CN"/>
        </w:rPr>
        <w:t>8</w:t>
      </w:r>
      <w:r>
        <w:rPr>
          <w:rFonts w:ascii="宋体" w:hAnsi="宋体" w:eastAsia="宋体"/>
          <w:color w:val="auto"/>
          <w:sz w:val="24"/>
          <w:highlight w:val="none"/>
        </w:rPr>
        <w:t>.本协议书</w:t>
      </w:r>
      <w:r>
        <w:rPr>
          <w:rFonts w:hint="eastAsia" w:ascii="宋体" w:hAnsi="宋体" w:eastAsia="宋体"/>
          <w:color w:val="auto"/>
          <w:sz w:val="24"/>
          <w:highlight w:val="none"/>
        </w:rPr>
        <w:t>一式捌份，</w:t>
      </w:r>
      <w:r>
        <w:rPr>
          <w:rFonts w:ascii="宋体" w:hAnsi="宋体" w:eastAsia="宋体"/>
          <w:color w:val="auto"/>
          <w:sz w:val="24"/>
          <w:highlight w:val="none"/>
        </w:rPr>
        <w:t>合同双方各执正本</w:t>
      </w:r>
      <w:r>
        <w:rPr>
          <w:rFonts w:hint="eastAsia" w:ascii="宋体" w:hAnsi="宋体" w:eastAsia="宋体"/>
          <w:color w:val="auto"/>
          <w:sz w:val="24"/>
          <w:highlight w:val="none"/>
        </w:rPr>
        <w:t>肆</w:t>
      </w:r>
      <w:r>
        <w:rPr>
          <w:rFonts w:ascii="宋体" w:hAnsi="宋体" w:eastAsia="宋体"/>
          <w:color w:val="auto"/>
          <w:sz w:val="24"/>
          <w:highlight w:val="none"/>
        </w:rPr>
        <w:t>份。</w:t>
      </w:r>
    </w:p>
    <w:p w14:paraId="3382F469">
      <w:pPr>
        <w:spacing w:line="400" w:lineRule="exact"/>
        <w:ind w:firstLine="480" w:firstLineChars="200"/>
        <w:rPr>
          <w:rFonts w:ascii="宋体" w:hAnsi="宋体" w:eastAsia="宋体"/>
          <w:color w:val="auto"/>
          <w:sz w:val="24"/>
          <w:highlight w:val="none"/>
        </w:rPr>
      </w:pPr>
      <w:r>
        <w:rPr>
          <w:rFonts w:hint="eastAsia" w:ascii="宋体" w:hAnsi="宋体"/>
          <w:color w:val="auto"/>
          <w:sz w:val="24"/>
          <w:highlight w:val="none"/>
          <w:lang w:val="en-US" w:eastAsia="zh-CN"/>
        </w:rPr>
        <w:t>9</w:t>
      </w:r>
      <w:r>
        <w:rPr>
          <w:rFonts w:ascii="宋体" w:hAnsi="宋体" w:eastAsia="宋体"/>
          <w:color w:val="auto"/>
          <w:sz w:val="24"/>
          <w:highlight w:val="none"/>
        </w:rPr>
        <w:t>.合同未尽事宜，双方另行签订补充协议。补充协议是合同的组成部分。</w:t>
      </w:r>
    </w:p>
    <w:p w14:paraId="5557E4BA">
      <w:pPr>
        <w:spacing w:line="400" w:lineRule="exact"/>
        <w:rPr>
          <w:rFonts w:ascii="宋体" w:hAnsi="宋体" w:eastAsia="宋体"/>
          <w:color w:val="auto"/>
          <w:sz w:val="24"/>
          <w:highlight w:val="none"/>
        </w:rPr>
      </w:pPr>
    </w:p>
    <w:tbl>
      <w:tblPr>
        <w:tblStyle w:val="12"/>
        <w:tblW w:w="0" w:type="auto"/>
        <w:tblInd w:w="0" w:type="dxa"/>
        <w:tblLayout w:type="fixed"/>
        <w:tblCellMar>
          <w:top w:w="0" w:type="dxa"/>
          <w:left w:w="108" w:type="dxa"/>
          <w:bottom w:w="0" w:type="dxa"/>
          <w:right w:w="108" w:type="dxa"/>
        </w:tblCellMar>
      </w:tblPr>
      <w:tblGrid>
        <w:gridCol w:w="1805"/>
        <w:gridCol w:w="2543"/>
        <w:gridCol w:w="351"/>
        <w:gridCol w:w="1904"/>
        <w:gridCol w:w="2684"/>
      </w:tblGrid>
      <w:tr w14:paraId="6457D93B">
        <w:tblPrEx>
          <w:tblCellMar>
            <w:top w:w="0" w:type="dxa"/>
            <w:left w:w="108" w:type="dxa"/>
            <w:bottom w:w="0" w:type="dxa"/>
            <w:right w:w="108" w:type="dxa"/>
          </w:tblCellMar>
        </w:tblPrEx>
        <w:tc>
          <w:tcPr>
            <w:tcW w:w="1805" w:type="dxa"/>
            <w:noWrap w:val="0"/>
            <w:vAlign w:val="top"/>
          </w:tcPr>
          <w:p w14:paraId="7E7F4B16">
            <w:pPr>
              <w:spacing w:before="60" w:after="60" w:line="400" w:lineRule="exact"/>
              <w:rPr>
                <w:rFonts w:ascii="宋体" w:hAnsi="宋体" w:eastAsia="宋体"/>
                <w:color w:val="auto"/>
                <w:szCs w:val="21"/>
                <w:highlight w:val="none"/>
                <w:u w:val="single"/>
              </w:rPr>
            </w:pPr>
            <w:r>
              <w:rPr>
                <w:rFonts w:ascii="宋体" w:hAnsi="宋体" w:eastAsia="宋体"/>
                <w:color w:val="auto"/>
                <w:szCs w:val="21"/>
                <w:highlight w:val="none"/>
              </w:rPr>
              <w:t>发包人：</w:t>
            </w:r>
          </w:p>
        </w:tc>
        <w:tc>
          <w:tcPr>
            <w:tcW w:w="2543" w:type="dxa"/>
            <w:noWrap w:val="0"/>
            <w:vAlign w:val="top"/>
          </w:tcPr>
          <w:p w14:paraId="18EC8A26">
            <w:pPr>
              <w:spacing w:before="60" w:after="60" w:line="400" w:lineRule="exact"/>
              <w:ind w:firstLine="105" w:firstLineChars="50"/>
              <w:rPr>
                <w:rFonts w:ascii="宋体" w:hAnsi="宋体" w:eastAsia="宋体"/>
                <w:color w:val="auto"/>
                <w:szCs w:val="21"/>
                <w:highlight w:val="none"/>
              </w:rPr>
            </w:pPr>
            <w:r>
              <w:rPr>
                <w:rFonts w:ascii="宋体" w:hAnsi="宋体" w:eastAsia="宋体"/>
                <w:color w:val="auto"/>
                <w:szCs w:val="21"/>
                <w:highlight w:val="none"/>
                <w:u w:val="single"/>
              </w:rPr>
              <w:t xml:space="preserve">      （盖章）     </w:t>
            </w:r>
          </w:p>
        </w:tc>
        <w:tc>
          <w:tcPr>
            <w:tcW w:w="351" w:type="dxa"/>
            <w:noWrap w:val="0"/>
            <w:vAlign w:val="top"/>
          </w:tcPr>
          <w:p w14:paraId="26B0706D">
            <w:pPr>
              <w:spacing w:before="60" w:after="60" w:line="400" w:lineRule="exact"/>
              <w:rPr>
                <w:rFonts w:ascii="宋体" w:hAnsi="宋体" w:eastAsia="宋体"/>
                <w:color w:val="auto"/>
                <w:szCs w:val="21"/>
                <w:highlight w:val="none"/>
                <w:u w:val="single"/>
              </w:rPr>
            </w:pPr>
          </w:p>
        </w:tc>
        <w:tc>
          <w:tcPr>
            <w:tcW w:w="1904" w:type="dxa"/>
            <w:noWrap w:val="0"/>
            <w:vAlign w:val="top"/>
          </w:tcPr>
          <w:p w14:paraId="57A27827">
            <w:pPr>
              <w:spacing w:before="60" w:after="60" w:line="400" w:lineRule="exact"/>
              <w:rPr>
                <w:rFonts w:ascii="宋体" w:hAnsi="宋体" w:eastAsia="宋体"/>
                <w:color w:val="auto"/>
                <w:szCs w:val="21"/>
                <w:highlight w:val="none"/>
                <w:u w:val="single"/>
              </w:rPr>
            </w:pPr>
            <w:r>
              <w:rPr>
                <w:rFonts w:hint="eastAsia" w:ascii="宋体" w:hAnsi="宋体" w:eastAsia="宋体"/>
                <w:color w:val="auto"/>
                <w:szCs w:val="21"/>
                <w:highlight w:val="none"/>
              </w:rPr>
              <w:t>承包</w:t>
            </w:r>
            <w:r>
              <w:rPr>
                <w:rFonts w:ascii="宋体" w:hAnsi="宋体" w:eastAsia="宋体"/>
                <w:color w:val="auto"/>
                <w:szCs w:val="21"/>
                <w:highlight w:val="none"/>
              </w:rPr>
              <w:t>人：</w:t>
            </w:r>
          </w:p>
        </w:tc>
        <w:tc>
          <w:tcPr>
            <w:tcW w:w="2684" w:type="dxa"/>
            <w:noWrap w:val="0"/>
            <w:vAlign w:val="top"/>
          </w:tcPr>
          <w:p w14:paraId="5877AAAD">
            <w:pPr>
              <w:spacing w:before="60" w:after="60" w:line="400" w:lineRule="exact"/>
              <w:rPr>
                <w:rFonts w:ascii="宋体" w:hAnsi="宋体" w:eastAsia="宋体"/>
                <w:color w:val="auto"/>
                <w:szCs w:val="21"/>
                <w:highlight w:val="none"/>
              </w:rPr>
            </w:pPr>
            <w:r>
              <w:rPr>
                <w:rFonts w:ascii="宋体" w:hAnsi="宋体" w:eastAsia="宋体"/>
                <w:color w:val="auto"/>
                <w:szCs w:val="21"/>
                <w:highlight w:val="none"/>
                <w:u w:val="single"/>
              </w:rPr>
              <w:t xml:space="preserve">      （盖章）     </w:t>
            </w:r>
          </w:p>
        </w:tc>
      </w:tr>
      <w:tr w14:paraId="3CA44FF0">
        <w:tblPrEx>
          <w:tblCellMar>
            <w:top w:w="0" w:type="dxa"/>
            <w:left w:w="108" w:type="dxa"/>
            <w:bottom w:w="0" w:type="dxa"/>
            <w:right w:w="108" w:type="dxa"/>
          </w:tblCellMar>
        </w:tblPrEx>
        <w:tc>
          <w:tcPr>
            <w:tcW w:w="1805" w:type="dxa"/>
            <w:noWrap w:val="0"/>
            <w:vAlign w:val="top"/>
          </w:tcPr>
          <w:p w14:paraId="0A3AAA96">
            <w:pPr>
              <w:spacing w:before="60" w:after="60" w:line="400" w:lineRule="exact"/>
              <w:rPr>
                <w:rFonts w:ascii="宋体" w:hAnsi="宋体" w:eastAsia="宋体"/>
                <w:color w:val="auto"/>
                <w:szCs w:val="21"/>
                <w:highlight w:val="none"/>
              </w:rPr>
            </w:pPr>
            <w:r>
              <w:rPr>
                <w:rFonts w:ascii="宋体" w:hAnsi="宋体" w:eastAsia="宋体"/>
                <w:color w:val="auto"/>
                <w:szCs w:val="21"/>
                <w:highlight w:val="none"/>
              </w:rPr>
              <w:t>法定代表人或</w:t>
            </w:r>
          </w:p>
        </w:tc>
        <w:tc>
          <w:tcPr>
            <w:tcW w:w="2543" w:type="dxa"/>
            <w:noWrap w:val="0"/>
            <w:vAlign w:val="top"/>
          </w:tcPr>
          <w:p w14:paraId="632AE295">
            <w:pPr>
              <w:spacing w:before="60" w:after="60" w:line="400" w:lineRule="exact"/>
              <w:rPr>
                <w:rFonts w:ascii="宋体" w:hAnsi="宋体" w:eastAsia="宋体"/>
                <w:color w:val="auto"/>
                <w:szCs w:val="21"/>
                <w:highlight w:val="none"/>
              </w:rPr>
            </w:pPr>
          </w:p>
        </w:tc>
        <w:tc>
          <w:tcPr>
            <w:tcW w:w="351" w:type="dxa"/>
            <w:noWrap w:val="0"/>
            <w:vAlign w:val="top"/>
          </w:tcPr>
          <w:p w14:paraId="09288D4B">
            <w:pPr>
              <w:spacing w:before="60" w:after="60" w:line="400" w:lineRule="exact"/>
              <w:rPr>
                <w:rFonts w:ascii="宋体" w:hAnsi="宋体" w:eastAsia="宋体"/>
                <w:color w:val="auto"/>
                <w:szCs w:val="21"/>
                <w:highlight w:val="none"/>
              </w:rPr>
            </w:pPr>
          </w:p>
        </w:tc>
        <w:tc>
          <w:tcPr>
            <w:tcW w:w="1904" w:type="dxa"/>
            <w:noWrap w:val="0"/>
            <w:vAlign w:val="top"/>
          </w:tcPr>
          <w:p w14:paraId="3539FDA8">
            <w:pPr>
              <w:spacing w:before="60" w:after="60" w:line="400" w:lineRule="exact"/>
              <w:rPr>
                <w:rFonts w:ascii="宋体" w:hAnsi="宋体" w:eastAsia="宋体"/>
                <w:color w:val="auto"/>
                <w:szCs w:val="21"/>
                <w:highlight w:val="none"/>
              </w:rPr>
            </w:pPr>
            <w:r>
              <w:rPr>
                <w:rFonts w:ascii="宋体" w:hAnsi="宋体" w:eastAsia="宋体"/>
                <w:color w:val="auto"/>
                <w:szCs w:val="21"/>
                <w:highlight w:val="none"/>
              </w:rPr>
              <w:t>法定代表人或</w:t>
            </w:r>
          </w:p>
        </w:tc>
        <w:tc>
          <w:tcPr>
            <w:tcW w:w="2684" w:type="dxa"/>
            <w:noWrap w:val="0"/>
            <w:vAlign w:val="top"/>
          </w:tcPr>
          <w:p w14:paraId="12E92DE4">
            <w:pPr>
              <w:spacing w:before="60" w:after="60" w:line="400" w:lineRule="exact"/>
              <w:rPr>
                <w:rFonts w:ascii="宋体" w:hAnsi="宋体" w:eastAsia="宋体"/>
                <w:color w:val="auto"/>
                <w:szCs w:val="21"/>
                <w:highlight w:val="none"/>
              </w:rPr>
            </w:pPr>
          </w:p>
        </w:tc>
      </w:tr>
      <w:tr w14:paraId="2F5E6573">
        <w:tblPrEx>
          <w:tblCellMar>
            <w:top w:w="0" w:type="dxa"/>
            <w:left w:w="108" w:type="dxa"/>
            <w:bottom w:w="0" w:type="dxa"/>
            <w:right w:w="108" w:type="dxa"/>
          </w:tblCellMar>
        </w:tblPrEx>
        <w:tc>
          <w:tcPr>
            <w:tcW w:w="1805" w:type="dxa"/>
            <w:noWrap w:val="0"/>
            <w:vAlign w:val="top"/>
          </w:tcPr>
          <w:p w14:paraId="092CC74B">
            <w:pPr>
              <w:spacing w:before="60" w:after="60" w:line="400" w:lineRule="exact"/>
              <w:rPr>
                <w:rFonts w:ascii="宋体" w:hAnsi="宋体" w:eastAsia="宋体"/>
                <w:color w:val="auto"/>
                <w:szCs w:val="21"/>
                <w:highlight w:val="none"/>
                <w:u w:val="single"/>
              </w:rPr>
            </w:pPr>
            <w:r>
              <w:rPr>
                <w:rFonts w:ascii="宋体" w:hAnsi="宋体" w:eastAsia="宋体"/>
                <w:color w:val="auto"/>
                <w:szCs w:val="21"/>
                <w:highlight w:val="none"/>
              </w:rPr>
              <w:t>其委托代理人：</w:t>
            </w:r>
          </w:p>
        </w:tc>
        <w:tc>
          <w:tcPr>
            <w:tcW w:w="2543" w:type="dxa"/>
            <w:noWrap w:val="0"/>
            <w:vAlign w:val="top"/>
          </w:tcPr>
          <w:p w14:paraId="35C30894">
            <w:pPr>
              <w:spacing w:before="60" w:after="60" w:line="400" w:lineRule="exact"/>
              <w:rPr>
                <w:rFonts w:ascii="宋体" w:hAnsi="宋体" w:eastAsia="宋体"/>
                <w:color w:val="auto"/>
                <w:szCs w:val="21"/>
                <w:highlight w:val="none"/>
              </w:rPr>
            </w:pPr>
            <w:r>
              <w:rPr>
                <w:rFonts w:ascii="宋体" w:hAnsi="宋体" w:eastAsia="宋体"/>
                <w:color w:val="auto"/>
                <w:szCs w:val="21"/>
                <w:highlight w:val="none"/>
                <w:u w:val="single"/>
              </w:rPr>
              <w:t xml:space="preserve">      （签名）     </w:t>
            </w:r>
          </w:p>
        </w:tc>
        <w:tc>
          <w:tcPr>
            <w:tcW w:w="351" w:type="dxa"/>
            <w:noWrap w:val="0"/>
            <w:vAlign w:val="top"/>
          </w:tcPr>
          <w:p w14:paraId="4AD710D0">
            <w:pPr>
              <w:spacing w:before="60" w:after="60" w:line="400" w:lineRule="exact"/>
              <w:rPr>
                <w:rFonts w:ascii="宋体" w:hAnsi="宋体" w:eastAsia="宋体"/>
                <w:color w:val="auto"/>
                <w:szCs w:val="21"/>
                <w:highlight w:val="none"/>
                <w:u w:val="single"/>
              </w:rPr>
            </w:pPr>
          </w:p>
        </w:tc>
        <w:tc>
          <w:tcPr>
            <w:tcW w:w="1904" w:type="dxa"/>
            <w:noWrap w:val="0"/>
            <w:vAlign w:val="top"/>
          </w:tcPr>
          <w:p w14:paraId="4147FBA8">
            <w:pPr>
              <w:spacing w:before="60" w:after="60" w:line="400" w:lineRule="exact"/>
              <w:rPr>
                <w:rFonts w:ascii="宋体" w:hAnsi="宋体" w:eastAsia="宋体"/>
                <w:color w:val="auto"/>
                <w:szCs w:val="21"/>
                <w:highlight w:val="none"/>
                <w:u w:val="single"/>
              </w:rPr>
            </w:pPr>
            <w:r>
              <w:rPr>
                <w:rFonts w:ascii="宋体" w:hAnsi="宋体" w:eastAsia="宋体"/>
                <w:color w:val="auto"/>
                <w:szCs w:val="21"/>
                <w:highlight w:val="none"/>
              </w:rPr>
              <w:t>其委托代理人：</w:t>
            </w:r>
          </w:p>
        </w:tc>
        <w:tc>
          <w:tcPr>
            <w:tcW w:w="2684" w:type="dxa"/>
            <w:noWrap w:val="0"/>
            <w:vAlign w:val="top"/>
          </w:tcPr>
          <w:p w14:paraId="033B8851">
            <w:pPr>
              <w:spacing w:before="60" w:after="60" w:line="400" w:lineRule="exact"/>
              <w:rPr>
                <w:rFonts w:ascii="宋体" w:hAnsi="宋体" w:eastAsia="宋体"/>
                <w:color w:val="auto"/>
                <w:szCs w:val="21"/>
                <w:highlight w:val="none"/>
              </w:rPr>
            </w:pPr>
            <w:r>
              <w:rPr>
                <w:rFonts w:ascii="宋体" w:hAnsi="宋体" w:eastAsia="宋体"/>
                <w:color w:val="auto"/>
                <w:szCs w:val="21"/>
                <w:highlight w:val="none"/>
                <w:u w:val="single"/>
              </w:rPr>
              <w:t xml:space="preserve">      （签名）     </w:t>
            </w:r>
          </w:p>
        </w:tc>
      </w:tr>
      <w:tr w14:paraId="774FF81B">
        <w:tblPrEx>
          <w:tblCellMar>
            <w:top w:w="0" w:type="dxa"/>
            <w:left w:w="108" w:type="dxa"/>
            <w:bottom w:w="0" w:type="dxa"/>
            <w:right w:w="108" w:type="dxa"/>
          </w:tblCellMar>
        </w:tblPrEx>
        <w:tc>
          <w:tcPr>
            <w:tcW w:w="1805" w:type="dxa"/>
            <w:noWrap w:val="0"/>
            <w:vAlign w:val="top"/>
          </w:tcPr>
          <w:p w14:paraId="361E394D">
            <w:pPr>
              <w:spacing w:before="60" w:after="60" w:line="400" w:lineRule="exact"/>
              <w:rPr>
                <w:rFonts w:ascii="宋体" w:hAnsi="宋体" w:eastAsia="宋体"/>
                <w:color w:val="auto"/>
                <w:szCs w:val="21"/>
                <w:highlight w:val="none"/>
                <w:u w:val="single"/>
              </w:rPr>
            </w:pPr>
            <w:r>
              <w:rPr>
                <w:rFonts w:ascii="宋体" w:hAnsi="宋体" w:eastAsia="宋体"/>
                <w:color w:val="auto"/>
                <w:szCs w:val="21"/>
                <w:highlight w:val="none"/>
              </w:rPr>
              <w:t>日期：</w:t>
            </w:r>
          </w:p>
        </w:tc>
        <w:tc>
          <w:tcPr>
            <w:tcW w:w="2543" w:type="dxa"/>
            <w:noWrap w:val="0"/>
            <w:vAlign w:val="top"/>
          </w:tcPr>
          <w:p w14:paraId="30B24682">
            <w:pPr>
              <w:spacing w:before="60" w:after="60" w:line="400" w:lineRule="exact"/>
              <w:rPr>
                <w:rFonts w:ascii="宋体" w:hAnsi="宋体" w:eastAsia="宋体"/>
                <w:color w:val="auto"/>
                <w:szCs w:val="21"/>
                <w:highlight w:val="none"/>
                <w:u w:val="single"/>
              </w:rPr>
            </w:pPr>
            <w:r>
              <w:rPr>
                <w:rFonts w:ascii="宋体" w:hAnsi="宋体" w:eastAsia="宋体"/>
                <w:color w:val="auto"/>
                <w:szCs w:val="21"/>
                <w:highlight w:val="none"/>
                <w:u w:val="single"/>
              </w:rPr>
              <w:t xml:space="preserve">      </w:t>
            </w:r>
            <w:r>
              <w:rPr>
                <w:rFonts w:ascii="宋体" w:hAnsi="宋体" w:eastAsia="宋体"/>
                <w:color w:val="auto"/>
                <w:szCs w:val="21"/>
                <w:highlight w:val="none"/>
              </w:rPr>
              <w:t>年</w:t>
            </w:r>
            <w:r>
              <w:rPr>
                <w:rFonts w:ascii="宋体" w:hAnsi="宋体" w:eastAsia="宋体"/>
                <w:color w:val="auto"/>
                <w:szCs w:val="21"/>
                <w:highlight w:val="none"/>
                <w:u w:val="single"/>
              </w:rPr>
              <w:t xml:space="preserve">    </w:t>
            </w:r>
            <w:r>
              <w:rPr>
                <w:rFonts w:ascii="宋体" w:hAnsi="宋体" w:eastAsia="宋体"/>
                <w:color w:val="auto"/>
                <w:szCs w:val="21"/>
                <w:highlight w:val="none"/>
              </w:rPr>
              <w:t>月</w:t>
            </w:r>
            <w:r>
              <w:rPr>
                <w:rFonts w:ascii="宋体" w:hAnsi="宋体" w:eastAsia="宋体"/>
                <w:color w:val="auto"/>
                <w:szCs w:val="21"/>
                <w:highlight w:val="none"/>
                <w:u w:val="single"/>
              </w:rPr>
              <w:t xml:space="preserve">    </w:t>
            </w:r>
            <w:r>
              <w:rPr>
                <w:rFonts w:ascii="宋体" w:hAnsi="宋体" w:eastAsia="宋体"/>
                <w:color w:val="auto"/>
                <w:szCs w:val="21"/>
                <w:highlight w:val="none"/>
              </w:rPr>
              <w:t>日</w:t>
            </w:r>
          </w:p>
        </w:tc>
        <w:tc>
          <w:tcPr>
            <w:tcW w:w="351" w:type="dxa"/>
            <w:noWrap w:val="0"/>
            <w:vAlign w:val="top"/>
          </w:tcPr>
          <w:p w14:paraId="3154AE08">
            <w:pPr>
              <w:spacing w:before="60" w:after="60" w:line="400" w:lineRule="exact"/>
              <w:rPr>
                <w:rFonts w:ascii="宋体" w:hAnsi="宋体" w:eastAsia="宋体"/>
                <w:color w:val="auto"/>
                <w:szCs w:val="21"/>
                <w:highlight w:val="none"/>
                <w:u w:val="single"/>
              </w:rPr>
            </w:pPr>
          </w:p>
        </w:tc>
        <w:tc>
          <w:tcPr>
            <w:tcW w:w="1904" w:type="dxa"/>
            <w:noWrap w:val="0"/>
            <w:vAlign w:val="top"/>
          </w:tcPr>
          <w:p w14:paraId="2763E725">
            <w:pPr>
              <w:spacing w:before="60" w:after="60" w:line="400" w:lineRule="exact"/>
              <w:rPr>
                <w:rFonts w:ascii="宋体" w:hAnsi="宋体" w:eastAsia="宋体"/>
                <w:color w:val="auto"/>
                <w:szCs w:val="21"/>
                <w:highlight w:val="none"/>
              </w:rPr>
            </w:pPr>
            <w:r>
              <w:rPr>
                <w:rFonts w:ascii="宋体" w:hAnsi="宋体" w:eastAsia="宋体"/>
                <w:color w:val="auto"/>
                <w:szCs w:val="21"/>
                <w:highlight w:val="none"/>
              </w:rPr>
              <w:t>日期：</w:t>
            </w:r>
          </w:p>
        </w:tc>
        <w:tc>
          <w:tcPr>
            <w:tcW w:w="2684" w:type="dxa"/>
            <w:noWrap w:val="0"/>
            <w:vAlign w:val="top"/>
          </w:tcPr>
          <w:p w14:paraId="79116767">
            <w:pPr>
              <w:spacing w:before="60" w:after="60" w:line="400" w:lineRule="exact"/>
              <w:rPr>
                <w:rFonts w:ascii="宋体" w:hAnsi="宋体" w:eastAsia="宋体"/>
                <w:color w:val="auto"/>
                <w:szCs w:val="21"/>
                <w:highlight w:val="none"/>
                <w:u w:val="single"/>
              </w:rPr>
            </w:pPr>
            <w:r>
              <w:rPr>
                <w:rFonts w:ascii="宋体" w:hAnsi="宋体" w:eastAsia="宋体"/>
                <w:color w:val="auto"/>
                <w:szCs w:val="21"/>
                <w:highlight w:val="none"/>
                <w:u w:val="single"/>
              </w:rPr>
              <w:t xml:space="preserve">      </w:t>
            </w:r>
            <w:r>
              <w:rPr>
                <w:rFonts w:ascii="宋体" w:hAnsi="宋体" w:eastAsia="宋体"/>
                <w:color w:val="auto"/>
                <w:szCs w:val="21"/>
                <w:highlight w:val="none"/>
              </w:rPr>
              <w:t>年</w:t>
            </w:r>
            <w:r>
              <w:rPr>
                <w:rFonts w:ascii="宋体" w:hAnsi="宋体" w:eastAsia="宋体"/>
                <w:color w:val="auto"/>
                <w:szCs w:val="21"/>
                <w:highlight w:val="none"/>
                <w:u w:val="single"/>
              </w:rPr>
              <w:t xml:space="preserve">    </w:t>
            </w:r>
            <w:r>
              <w:rPr>
                <w:rFonts w:ascii="宋体" w:hAnsi="宋体" w:eastAsia="宋体"/>
                <w:color w:val="auto"/>
                <w:szCs w:val="21"/>
                <w:highlight w:val="none"/>
              </w:rPr>
              <w:t>月</w:t>
            </w:r>
            <w:r>
              <w:rPr>
                <w:rFonts w:ascii="宋体" w:hAnsi="宋体" w:eastAsia="宋体"/>
                <w:color w:val="auto"/>
                <w:szCs w:val="21"/>
                <w:highlight w:val="none"/>
                <w:u w:val="single"/>
              </w:rPr>
              <w:t xml:space="preserve">    </w:t>
            </w:r>
            <w:r>
              <w:rPr>
                <w:rFonts w:ascii="宋体" w:hAnsi="宋体" w:eastAsia="宋体"/>
                <w:color w:val="auto"/>
                <w:szCs w:val="21"/>
                <w:highlight w:val="none"/>
              </w:rPr>
              <w:t>日</w:t>
            </w:r>
          </w:p>
        </w:tc>
      </w:tr>
    </w:tbl>
    <w:p w14:paraId="1685B702">
      <w:pPr>
        <w:spacing w:line="400" w:lineRule="atLeast"/>
        <w:rPr>
          <w:rFonts w:ascii="宋体" w:hAnsi="宋体" w:eastAsia="宋体"/>
          <w:color w:val="auto"/>
          <w:highlight w:val="none"/>
        </w:rPr>
      </w:pPr>
    </w:p>
    <w:p w14:paraId="7DB66FB0">
      <w:pPr>
        <w:rPr>
          <w:rFonts w:hint="eastAsia"/>
          <w:color w:val="auto"/>
          <w:highlight w:val="none"/>
          <w:lang w:val="zh-CN"/>
        </w:rPr>
      </w:pPr>
    </w:p>
    <w:p w14:paraId="1F68CF1B">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color w:val="auto"/>
          <w:highlight w:val="none"/>
          <w:lang w:val="en-US" w:eastAsia="zh-CN"/>
        </w:rPr>
        <w:sectPr>
          <w:footerReference r:id="rId4" w:type="default"/>
          <w:type w:val="continuous"/>
          <w:pgSz w:w="11906" w:h="16838"/>
          <w:pgMar w:top="1440" w:right="1800" w:bottom="1440" w:left="1800" w:header="851" w:footer="992" w:gutter="0"/>
          <w:cols w:space="425" w:num="1"/>
          <w:docGrid w:type="lines" w:linePitch="312" w:charSpace="0"/>
        </w:sectPr>
      </w:pPr>
    </w:p>
    <w:p w14:paraId="00C4E6F2">
      <w:pPr>
        <w:keepNext/>
        <w:keepLines/>
        <w:widowControl/>
        <w:spacing w:before="480" w:after="120" w:line="400" w:lineRule="exact"/>
        <w:outlineLvl w:val="2"/>
        <w:rPr>
          <w:rFonts w:hint="eastAsia" w:ascii="宋体" w:hAnsi="宋体" w:eastAsia="宋体" w:cs="Times New Roman"/>
          <w:b/>
          <w:bCs/>
          <w:color w:val="auto"/>
          <w:kern w:val="0"/>
          <w:sz w:val="28"/>
          <w:szCs w:val="28"/>
          <w:highlight w:val="none"/>
          <w:lang w:val="zh-CN"/>
        </w:rPr>
      </w:pPr>
      <w:r>
        <w:rPr>
          <w:rFonts w:hint="eastAsia" w:ascii="宋体" w:hAnsi="宋体" w:eastAsia="宋体" w:cs="Times New Roman"/>
          <w:b/>
          <w:bCs/>
          <w:color w:val="auto"/>
          <w:kern w:val="0"/>
          <w:sz w:val="28"/>
          <w:szCs w:val="28"/>
          <w:highlight w:val="none"/>
          <w:lang w:val="zh-CN"/>
        </w:rPr>
        <w:t>附件</w:t>
      </w:r>
      <w:r>
        <w:rPr>
          <w:rFonts w:hint="eastAsia" w:ascii="宋体" w:hAnsi="宋体" w:eastAsia="宋体" w:cs="Times New Roman"/>
          <w:b/>
          <w:bCs/>
          <w:color w:val="auto"/>
          <w:kern w:val="0"/>
          <w:sz w:val="28"/>
          <w:szCs w:val="28"/>
          <w:highlight w:val="none"/>
          <w:lang w:val="zh-CN" w:eastAsia="zh-CN"/>
        </w:rPr>
        <w:t>2</w:t>
      </w:r>
      <w:r>
        <w:rPr>
          <w:rFonts w:hint="eastAsia" w:ascii="宋体" w:hAnsi="宋体" w:eastAsia="宋体" w:cs="Times New Roman"/>
          <w:b/>
          <w:bCs/>
          <w:color w:val="auto"/>
          <w:kern w:val="0"/>
          <w:sz w:val="28"/>
          <w:szCs w:val="28"/>
          <w:highlight w:val="none"/>
          <w:lang w:val="zh-CN"/>
        </w:rPr>
        <w:t>《承包人主要违约行为及违约金标准一览表》</w:t>
      </w:r>
    </w:p>
    <w:p w14:paraId="263C50A9">
      <w:pPr>
        <w:jc w:val="center"/>
        <w:rPr>
          <w:rFonts w:hint="eastAsia" w:ascii="Times New Roman" w:hAnsi="Times New Roman" w:eastAsia="宋体" w:cs="Times New Roman"/>
          <w:color w:val="auto"/>
          <w:sz w:val="28"/>
          <w:szCs w:val="36"/>
          <w:highlight w:val="none"/>
        </w:rPr>
      </w:pPr>
      <w:r>
        <w:rPr>
          <w:rFonts w:hint="eastAsia" w:ascii="Times New Roman" w:hAnsi="Times New Roman" w:eastAsia="宋体" w:cs="Times New Roman"/>
          <w:color w:val="auto"/>
          <w:sz w:val="28"/>
          <w:szCs w:val="36"/>
          <w:highlight w:val="none"/>
        </w:rPr>
        <w:t>承包人主要违约行为及违约金标准一览表</w:t>
      </w:r>
    </w:p>
    <w:tbl>
      <w:tblPr>
        <w:tblStyle w:val="12"/>
        <w:tblW w:w="140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5"/>
        <w:gridCol w:w="1261"/>
        <w:gridCol w:w="5806"/>
        <w:gridCol w:w="4256"/>
        <w:gridCol w:w="1776"/>
      </w:tblGrid>
      <w:tr w14:paraId="4F4D1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blHeader/>
        </w:trPr>
        <w:tc>
          <w:tcPr>
            <w:tcW w:w="955" w:type="dxa"/>
            <w:noWrap w:val="0"/>
            <w:vAlign w:val="center"/>
          </w:tcPr>
          <w:p w14:paraId="23AA3A47">
            <w:pP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序号</w:t>
            </w:r>
          </w:p>
        </w:tc>
        <w:tc>
          <w:tcPr>
            <w:tcW w:w="1261" w:type="dxa"/>
            <w:noWrap w:val="0"/>
            <w:vAlign w:val="center"/>
          </w:tcPr>
          <w:p w14:paraId="31A1B97A">
            <w:pP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合同条款</w:t>
            </w:r>
          </w:p>
        </w:tc>
        <w:tc>
          <w:tcPr>
            <w:tcW w:w="5806" w:type="dxa"/>
            <w:noWrap w:val="0"/>
            <w:vAlign w:val="center"/>
          </w:tcPr>
          <w:p w14:paraId="46FE9850">
            <w:pP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违约行为</w:t>
            </w:r>
          </w:p>
        </w:tc>
        <w:tc>
          <w:tcPr>
            <w:tcW w:w="4256" w:type="dxa"/>
            <w:noWrap w:val="0"/>
            <w:vAlign w:val="center"/>
          </w:tcPr>
          <w:p w14:paraId="3E160969">
            <w:pP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违约金标准（人民币）或处理原则</w:t>
            </w:r>
          </w:p>
        </w:tc>
        <w:tc>
          <w:tcPr>
            <w:tcW w:w="1776" w:type="dxa"/>
            <w:noWrap w:val="0"/>
            <w:vAlign w:val="center"/>
          </w:tcPr>
          <w:p w14:paraId="11D3BA21">
            <w:pP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备注</w:t>
            </w:r>
          </w:p>
        </w:tc>
      </w:tr>
      <w:tr w14:paraId="7908C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55" w:type="dxa"/>
            <w:shd w:val="clear" w:color="auto" w:fill="auto"/>
            <w:noWrap w:val="0"/>
            <w:vAlign w:val="center"/>
          </w:tcPr>
          <w:p w14:paraId="01ED603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1</w:t>
            </w:r>
          </w:p>
        </w:tc>
        <w:tc>
          <w:tcPr>
            <w:tcW w:w="1261" w:type="dxa"/>
            <w:noWrap w:val="0"/>
            <w:vAlign w:val="center"/>
          </w:tcPr>
          <w:p w14:paraId="0159B855">
            <w:pPr>
              <w:jc w:val="both"/>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7.4</w:t>
            </w:r>
          </w:p>
        </w:tc>
        <w:tc>
          <w:tcPr>
            <w:tcW w:w="5806" w:type="dxa"/>
            <w:noWrap w:val="0"/>
            <w:vAlign w:val="center"/>
          </w:tcPr>
          <w:p w14:paraId="1D1A1BF4">
            <w:pPr>
              <w:jc w:val="both"/>
              <w:rPr>
                <w:rFonts w:hint="default" w:ascii="Times New Roman" w:hAnsi="Times New Roman" w:eastAsia="宋体" w:cs="Times New Roman"/>
                <w:color w:val="auto"/>
                <w:szCs w:val="24"/>
                <w:highlight w:val="none"/>
                <w:lang w:val="en-US"/>
              </w:rPr>
            </w:pPr>
            <w:r>
              <w:rPr>
                <w:rFonts w:hint="eastAsia" w:ascii="Times New Roman" w:hAnsi="Times New Roman" w:eastAsia="宋体" w:cs="Times New Roman"/>
                <w:color w:val="auto"/>
                <w:szCs w:val="24"/>
                <w:highlight w:val="none"/>
                <w:lang w:val="en-US" w:eastAsia="zh-CN"/>
              </w:rPr>
              <w:t>承包人未按要求每季度对 ESG 目标完成情况进行自查，未每年编制《ESG 绩效报告》，或上述内容未达到发包人要求的</w:t>
            </w:r>
          </w:p>
        </w:tc>
        <w:tc>
          <w:tcPr>
            <w:tcW w:w="4256" w:type="dxa"/>
            <w:noWrap w:val="0"/>
            <w:vAlign w:val="center"/>
          </w:tcPr>
          <w:p w14:paraId="3F1C2BFA">
            <w:pPr>
              <w:rPr>
                <w:rFonts w:hint="default" w:ascii="Times New Roman" w:hAnsi="Times New Roman" w:eastAsia="宋体" w:cs="Times New Roman"/>
                <w:color w:val="auto"/>
                <w:szCs w:val="24"/>
                <w:highlight w:val="none"/>
                <w:lang w:val="en-US" w:eastAsia="zh-CN"/>
              </w:rPr>
            </w:pPr>
            <w:r>
              <w:rPr>
                <w:rFonts w:hint="eastAsia" w:ascii="宋体" w:hAnsi="宋体" w:eastAsia="宋体" w:cs="Times New Roman"/>
                <w:color w:val="auto"/>
                <w:szCs w:val="22"/>
                <w:highlight w:val="none"/>
              </w:rPr>
              <w:t>视情况课以</w:t>
            </w:r>
            <w:r>
              <w:rPr>
                <w:rFonts w:ascii="宋体" w:hAnsi="宋体" w:eastAsia="宋体" w:cs="Times New Roman"/>
                <w:color w:val="auto"/>
                <w:szCs w:val="22"/>
                <w:highlight w:val="none"/>
              </w:rPr>
              <w:t>1~5万元/次</w:t>
            </w:r>
            <w:r>
              <w:rPr>
                <w:rFonts w:hint="eastAsia" w:ascii="宋体" w:hAnsi="宋体" w:cs="Times New Roman"/>
                <w:color w:val="auto"/>
                <w:szCs w:val="21"/>
                <w:highlight w:val="none"/>
                <w:lang w:val="en-US" w:eastAsia="zh-CN"/>
              </w:rPr>
              <w:t>违约金</w:t>
            </w:r>
            <w:r>
              <w:rPr>
                <w:rFonts w:ascii="宋体" w:hAnsi="宋体" w:eastAsia="宋体" w:cs="Times New Roman"/>
                <w:color w:val="auto"/>
                <w:szCs w:val="22"/>
                <w:highlight w:val="none"/>
              </w:rPr>
              <w:t>。</w:t>
            </w:r>
          </w:p>
        </w:tc>
        <w:tc>
          <w:tcPr>
            <w:tcW w:w="1776" w:type="dxa"/>
            <w:noWrap w:val="0"/>
            <w:vAlign w:val="center"/>
          </w:tcPr>
          <w:p w14:paraId="714C8C9F">
            <w:pPr>
              <w:jc w:val="center"/>
              <w:rPr>
                <w:rFonts w:hint="eastAsia" w:ascii="Times New Roman" w:hAnsi="Times New Roman" w:eastAsia="宋体" w:cs="Times New Roman"/>
                <w:color w:val="auto"/>
                <w:szCs w:val="24"/>
                <w:highlight w:val="none"/>
              </w:rPr>
            </w:pPr>
          </w:p>
        </w:tc>
      </w:tr>
      <w:tr w14:paraId="31DF4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55" w:type="dxa"/>
            <w:shd w:val="clear" w:color="auto" w:fill="auto"/>
            <w:noWrap w:val="0"/>
            <w:vAlign w:val="center"/>
          </w:tcPr>
          <w:p w14:paraId="26CC43E3">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2</w:t>
            </w:r>
          </w:p>
        </w:tc>
        <w:tc>
          <w:tcPr>
            <w:tcW w:w="1261" w:type="dxa"/>
            <w:noWrap w:val="0"/>
            <w:vAlign w:val="center"/>
          </w:tcPr>
          <w:p w14:paraId="28DBEA8A">
            <w:pPr>
              <w:jc w:val="both"/>
              <w:rPr>
                <w:rFonts w:hint="default" w:ascii="Times New Roman" w:hAnsi="Times New Roman" w:eastAsia="宋体" w:cs="Times New Roman"/>
                <w:color w:val="auto"/>
                <w:szCs w:val="24"/>
                <w:highlight w:val="none"/>
                <w:lang w:eastAsia="zh-Hans"/>
              </w:rPr>
            </w:pPr>
            <w:r>
              <w:rPr>
                <w:rFonts w:hint="default" w:ascii="Times New Roman" w:hAnsi="Times New Roman" w:cs="Times New Roman"/>
                <w:color w:val="auto"/>
                <w:szCs w:val="24"/>
                <w:highlight w:val="none"/>
                <w:lang w:eastAsia="zh-CN"/>
              </w:rPr>
              <w:t>7</w:t>
            </w:r>
            <w:r>
              <w:rPr>
                <w:rFonts w:hint="eastAsia" w:ascii="Times New Roman" w:hAnsi="Times New Roman" w:cs="Times New Roman"/>
                <w:color w:val="auto"/>
                <w:szCs w:val="24"/>
                <w:highlight w:val="none"/>
                <w:lang w:val="en-US" w:eastAsia="zh-Hans"/>
              </w:rPr>
              <w:t>.</w:t>
            </w:r>
            <w:r>
              <w:rPr>
                <w:rFonts w:hint="default" w:ascii="Times New Roman" w:hAnsi="Times New Roman" w:cs="Times New Roman"/>
                <w:color w:val="auto"/>
                <w:szCs w:val="24"/>
                <w:highlight w:val="none"/>
                <w:lang w:eastAsia="zh-Hans"/>
              </w:rPr>
              <w:t>4</w:t>
            </w:r>
          </w:p>
        </w:tc>
        <w:tc>
          <w:tcPr>
            <w:tcW w:w="5806" w:type="dxa"/>
            <w:noWrap w:val="0"/>
            <w:vAlign w:val="center"/>
          </w:tcPr>
          <w:p w14:paraId="19872451">
            <w:pPr>
              <w:jc w:val="both"/>
              <w:rPr>
                <w:rFonts w:hint="default" w:ascii="Times New Roman" w:hAnsi="Times New Roman" w:eastAsia="宋体" w:cs="Times New Roman"/>
                <w:color w:val="auto"/>
                <w:szCs w:val="24"/>
                <w:highlight w:val="none"/>
                <w:lang w:val="en-US" w:eastAsia="zh-Hans"/>
              </w:rPr>
            </w:pPr>
            <w:r>
              <w:rPr>
                <w:rFonts w:hint="eastAsia" w:ascii="Times New Roman" w:hAnsi="Times New Roman" w:cs="Times New Roman"/>
                <w:color w:val="auto"/>
                <w:szCs w:val="24"/>
                <w:highlight w:val="none"/>
                <w:lang w:val="en-US" w:eastAsia="zh-Hans"/>
              </w:rPr>
              <w:t>承包人未按发包人要求打造典型案例的</w:t>
            </w:r>
          </w:p>
        </w:tc>
        <w:tc>
          <w:tcPr>
            <w:tcW w:w="4256" w:type="dxa"/>
            <w:noWrap w:val="0"/>
            <w:vAlign w:val="center"/>
          </w:tcPr>
          <w:p w14:paraId="2BB192F5">
            <w:pPr>
              <w:rPr>
                <w:rFonts w:hint="default" w:ascii="宋体" w:hAnsi="宋体" w:eastAsia="宋体" w:cs="Times New Roman"/>
                <w:color w:val="auto"/>
                <w:szCs w:val="22"/>
                <w:highlight w:val="none"/>
                <w:lang w:val="en-US" w:eastAsia="zh-Hans"/>
              </w:rPr>
            </w:pPr>
            <w:r>
              <w:rPr>
                <w:rFonts w:hint="eastAsia" w:ascii="宋体" w:hAnsi="宋体" w:cs="Times New Roman"/>
                <w:color w:val="auto"/>
                <w:szCs w:val="22"/>
                <w:highlight w:val="none"/>
                <w:lang w:val="en-US" w:eastAsia="zh-Hans"/>
              </w:rPr>
              <w:t>按照</w:t>
            </w:r>
            <w:r>
              <w:rPr>
                <w:rFonts w:hint="default" w:ascii="宋体" w:hAnsi="宋体" w:cs="Times New Roman"/>
                <w:color w:val="auto"/>
                <w:szCs w:val="22"/>
                <w:highlight w:val="none"/>
                <w:lang w:eastAsia="zh-Hans"/>
              </w:rPr>
              <w:t>10</w:t>
            </w:r>
            <w:r>
              <w:rPr>
                <w:rFonts w:hint="eastAsia" w:ascii="宋体" w:hAnsi="宋体" w:cs="Times New Roman"/>
                <w:color w:val="auto"/>
                <w:szCs w:val="22"/>
                <w:highlight w:val="none"/>
                <w:lang w:val="en-US" w:eastAsia="zh-Hans"/>
              </w:rPr>
              <w:t>万元</w:t>
            </w:r>
            <w:r>
              <w:rPr>
                <w:rFonts w:hint="default" w:ascii="宋体" w:hAnsi="宋体" w:cs="Times New Roman"/>
                <w:color w:val="auto"/>
                <w:szCs w:val="22"/>
                <w:highlight w:val="none"/>
                <w:lang w:eastAsia="zh-Hans"/>
              </w:rPr>
              <w:t>/</w:t>
            </w:r>
            <w:r>
              <w:rPr>
                <w:rFonts w:hint="eastAsia" w:ascii="宋体" w:hAnsi="宋体" w:cs="Times New Roman"/>
                <w:color w:val="auto"/>
                <w:szCs w:val="22"/>
                <w:highlight w:val="none"/>
                <w:lang w:val="en-US" w:eastAsia="zh-Hans"/>
              </w:rPr>
              <w:t>个课以违约金</w:t>
            </w:r>
            <w:r>
              <w:rPr>
                <w:rFonts w:hint="default" w:ascii="宋体" w:hAnsi="宋体" w:cs="Times New Roman"/>
                <w:color w:val="auto"/>
                <w:szCs w:val="22"/>
                <w:highlight w:val="none"/>
                <w:lang w:eastAsia="zh-Hans"/>
              </w:rPr>
              <w:t>。</w:t>
            </w:r>
          </w:p>
        </w:tc>
        <w:tc>
          <w:tcPr>
            <w:tcW w:w="1776" w:type="dxa"/>
            <w:noWrap w:val="0"/>
            <w:vAlign w:val="center"/>
          </w:tcPr>
          <w:p w14:paraId="0C1DF5C8">
            <w:pPr>
              <w:jc w:val="center"/>
              <w:rPr>
                <w:rFonts w:hint="eastAsia" w:ascii="Times New Roman" w:hAnsi="Times New Roman" w:eastAsia="宋体" w:cs="Times New Roman"/>
                <w:color w:val="auto"/>
                <w:szCs w:val="24"/>
                <w:highlight w:val="none"/>
              </w:rPr>
            </w:pPr>
          </w:p>
        </w:tc>
      </w:tr>
      <w:tr w14:paraId="1B0FD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55" w:type="dxa"/>
            <w:shd w:val="clear" w:color="auto" w:fill="auto"/>
            <w:noWrap w:val="0"/>
            <w:vAlign w:val="center"/>
          </w:tcPr>
          <w:p w14:paraId="39DF8A13">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szCs w:val="24"/>
                <w:highlight w:val="none"/>
                <w:lang w:val="en-US" w:eastAsia="zh-CN"/>
              </w:rPr>
              <w:t>3</w:t>
            </w:r>
          </w:p>
        </w:tc>
        <w:tc>
          <w:tcPr>
            <w:tcW w:w="1261" w:type="dxa"/>
            <w:noWrap w:val="0"/>
            <w:vAlign w:val="center"/>
          </w:tcPr>
          <w:p w14:paraId="232A457A">
            <w:pP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9.1.5</w:t>
            </w:r>
          </w:p>
        </w:tc>
        <w:tc>
          <w:tcPr>
            <w:tcW w:w="5806" w:type="dxa"/>
            <w:noWrap w:val="0"/>
            <w:vAlign w:val="center"/>
          </w:tcPr>
          <w:p w14:paraId="3CFB854A">
            <w:pP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承包人擅自许可任何单位、个人在</w:t>
            </w:r>
            <w:r>
              <w:rPr>
                <w:rFonts w:hint="eastAsia" w:ascii="Times New Roman" w:hAnsi="Times New Roman" w:cs="Times New Roman"/>
                <w:color w:val="auto"/>
                <w:szCs w:val="24"/>
                <w:highlight w:val="none"/>
                <w:lang w:val="en-US" w:eastAsia="zh-CN"/>
              </w:rPr>
              <w:t>运行维护</w:t>
            </w:r>
            <w:r>
              <w:rPr>
                <w:rFonts w:hint="eastAsia" w:ascii="Times New Roman" w:hAnsi="Times New Roman" w:eastAsia="宋体" w:cs="Times New Roman"/>
                <w:color w:val="auto"/>
                <w:szCs w:val="24"/>
                <w:highlight w:val="none"/>
                <w:lang w:val="en-US" w:eastAsia="zh-CN"/>
              </w:rPr>
              <w:t>范围内埋设管线、开挖、占用及进行其他施工。</w:t>
            </w:r>
          </w:p>
        </w:tc>
        <w:tc>
          <w:tcPr>
            <w:tcW w:w="4256" w:type="dxa"/>
            <w:noWrap w:val="0"/>
            <w:vAlign w:val="center"/>
          </w:tcPr>
          <w:p w14:paraId="481CFC1C">
            <w:pPr>
              <w:rPr>
                <w:rFonts w:hint="default" w:ascii="Times New Roman" w:hAnsi="Times New Roman" w:eastAsia="宋体" w:cs="Times New Roman"/>
                <w:color w:val="auto"/>
                <w:szCs w:val="24"/>
                <w:highlight w:val="none"/>
                <w:lang w:val="en-US" w:eastAsia="zh-CN"/>
              </w:rPr>
            </w:pPr>
            <w:r>
              <w:rPr>
                <w:rFonts w:hint="eastAsia" w:ascii="宋体" w:hAnsi="宋体" w:eastAsia="宋体" w:cs="Times New Roman"/>
                <w:color w:val="auto"/>
                <w:szCs w:val="22"/>
                <w:highlight w:val="none"/>
              </w:rPr>
              <w:t>视情况课以</w:t>
            </w:r>
            <w:r>
              <w:rPr>
                <w:rFonts w:ascii="宋体" w:hAnsi="宋体" w:eastAsia="宋体" w:cs="Times New Roman"/>
                <w:color w:val="auto"/>
                <w:szCs w:val="22"/>
                <w:highlight w:val="none"/>
              </w:rPr>
              <w:t>1~5万元/次</w:t>
            </w:r>
            <w:r>
              <w:rPr>
                <w:rFonts w:hint="eastAsia" w:ascii="宋体" w:hAnsi="宋体" w:cs="Times New Roman"/>
                <w:color w:val="auto"/>
                <w:szCs w:val="21"/>
                <w:highlight w:val="none"/>
                <w:lang w:val="en-US" w:eastAsia="zh-CN"/>
              </w:rPr>
              <w:t>违约金</w:t>
            </w:r>
            <w:r>
              <w:rPr>
                <w:rFonts w:ascii="宋体" w:hAnsi="宋体" w:eastAsia="宋体" w:cs="Times New Roman"/>
                <w:color w:val="auto"/>
                <w:szCs w:val="22"/>
                <w:highlight w:val="none"/>
              </w:rPr>
              <w:t>。</w:t>
            </w:r>
          </w:p>
        </w:tc>
        <w:tc>
          <w:tcPr>
            <w:tcW w:w="1776" w:type="dxa"/>
            <w:noWrap w:val="0"/>
            <w:vAlign w:val="center"/>
          </w:tcPr>
          <w:p w14:paraId="5ADC992F">
            <w:pPr>
              <w:rPr>
                <w:rFonts w:hint="eastAsia" w:ascii="Times New Roman" w:hAnsi="Times New Roman" w:eastAsia="宋体" w:cs="Times New Roman"/>
                <w:color w:val="auto"/>
                <w:szCs w:val="24"/>
                <w:highlight w:val="none"/>
              </w:rPr>
            </w:pPr>
          </w:p>
        </w:tc>
      </w:tr>
      <w:tr w14:paraId="06C69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55" w:type="dxa"/>
            <w:shd w:val="clear" w:color="auto" w:fill="auto"/>
            <w:noWrap w:val="0"/>
            <w:vAlign w:val="center"/>
          </w:tcPr>
          <w:p w14:paraId="4170BCBC">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4</w:t>
            </w:r>
          </w:p>
        </w:tc>
        <w:tc>
          <w:tcPr>
            <w:tcW w:w="1261" w:type="dxa"/>
            <w:noWrap w:val="0"/>
            <w:vAlign w:val="center"/>
          </w:tcPr>
          <w:p w14:paraId="1A96AF24">
            <w:pP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9.1.5</w:t>
            </w:r>
          </w:p>
        </w:tc>
        <w:tc>
          <w:tcPr>
            <w:tcW w:w="5806" w:type="dxa"/>
            <w:noWrap w:val="0"/>
            <w:vAlign w:val="center"/>
          </w:tcPr>
          <w:p w14:paraId="458E4C1D">
            <w:pP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承包人在管理范围内未及时发现未经许可埋设管线、开挖、占用及进行其他施工，未及时上报发包人和主管单位，未协助发包人进行现场管控及处置工作。</w:t>
            </w:r>
          </w:p>
        </w:tc>
        <w:tc>
          <w:tcPr>
            <w:tcW w:w="4256" w:type="dxa"/>
            <w:noWrap w:val="0"/>
            <w:vAlign w:val="center"/>
          </w:tcPr>
          <w:p w14:paraId="68CCFAF1">
            <w:pPr>
              <w:rPr>
                <w:rFonts w:hint="eastAsia" w:ascii="Times New Roman" w:hAnsi="Times New Roman" w:eastAsia="宋体" w:cs="Times New Roman"/>
                <w:color w:val="auto"/>
                <w:szCs w:val="24"/>
                <w:highlight w:val="none"/>
                <w:lang w:val="en-US" w:eastAsia="zh-CN"/>
              </w:rPr>
            </w:pPr>
            <w:r>
              <w:rPr>
                <w:rFonts w:hint="eastAsia" w:ascii="宋体" w:hAnsi="宋体" w:eastAsia="宋体" w:cs="Times New Roman"/>
                <w:color w:val="auto"/>
                <w:szCs w:val="22"/>
                <w:highlight w:val="none"/>
              </w:rPr>
              <w:t>视情况课以</w:t>
            </w:r>
            <w:r>
              <w:rPr>
                <w:rFonts w:ascii="宋体" w:hAnsi="宋体" w:eastAsia="宋体" w:cs="Times New Roman"/>
                <w:color w:val="auto"/>
                <w:szCs w:val="22"/>
                <w:highlight w:val="none"/>
              </w:rPr>
              <w:t>1~5万元/次</w:t>
            </w:r>
            <w:r>
              <w:rPr>
                <w:rFonts w:hint="eastAsia" w:ascii="宋体" w:hAnsi="宋体" w:cs="Times New Roman"/>
                <w:color w:val="auto"/>
                <w:szCs w:val="21"/>
                <w:highlight w:val="none"/>
                <w:lang w:val="en-US" w:eastAsia="zh-CN"/>
              </w:rPr>
              <w:t>违约金</w:t>
            </w:r>
            <w:r>
              <w:rPr>
                <w:rFonts w:ascii="宋体" w:hAnsi="宋体" w:eastAsia="宋体" w:cs="Times New Roman"/>
                <w:color w:val="auto"/>
                <w:szCs w:val="22"/>
                <w:highlight w:val="none"/>
              </w:rPr>
              <w:t>。</w:t>
            </w:r>
          </w:p>
        </w:tc>
        <w:tc>
          <w:tcPr>
            <w:tcW w:w="1776" w:type="dxa"/>
            <w:noWrap w:val="0"/>
            <w:vAlign w:val="center"/>
          </w:tcPr>
          <w:p w14:paraId="3F1065A2">
            <w:pPr>
              <w:rPr>
                <w:rFonts w:hint="eastAsia" w:ascii="Times New Roman" w:hAnsi="Times New Roman" w:eastAsia="宋体" w:cs="Times New Roman"/>
                <w:color w:val="auto"/>
                <w:szCs w:val="24"/>
                <w:highlight w:val="none"/>
              </w:rPr>
            </w:pPr>
          </w:p>
        </w:tc>
      </w:tr>
      <w:tr w14:paraId="74D98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55" w:type="dxa"/>
            <w:shd w:val="clear" w:color="auto" w:fill="auto"/>
            <w:noWrap w:val="0"/>
            <w:vAlign w:val="center"/>
          </w:tcPr>
          <w:p w14:paraId="3F269B11">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5</w:t>
            </w:r>
          </w:p>
        </w:tc>
        <w:tc>
          <w:tcPr>
            <w:tcW w:w="1261" w:type="dxa"/>
            <w:noWrap w:val="0"/>
            <w:vAlign w:val="center"/>
          </w:tcPr>
          <w:p w14:paraId="75D69AB7">
            <w:pP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9.1.6</w:t>
            </w:r>
          </w:p>
        </w:tc>
        <w:tc>
          <w:tcPr>
            <w:tcW w:w="5806" w:type="dxa"/>
            <w:noWrap w:val="0"/>
            <w:vAlign w:val="center"/>
          </w:tcPr>
          <w:p w14:paraId="1AF8ED57">
            <w:pP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承包人在水利设施管理房内增设与运行</w:t>
            </w:r>
            <w:r>
              <w:rPr>
                <w:rFonts w:hint="eastAsia" w:ascii="Times New Roman" w:hAnsi="Times New Roman" w:cs="Times New Roman"/>
                <w:color w:val="auto"/>
                <w:szCs w:val="24"/>
                <w:highlight w:val="none"/>
                <w:lang w:val="en-US" w:eastAsia="zh-CN"/>
              </w:rPr>
              <w:t>维护</w:t>
            </w:r>
            <w:r>
              <w:rPr>
                <w:rFonts w:hint="eastAsia" w:ascii="Times New Roman" w:hAnsi="Times New Roman" w:eastAsia="宋体" w:cs="Times New Roman"/>
                <w:color w:val="auto"/>
                <w:szCs w:val="24"/>
                <w:highlight w:val="none"/>
                <w:lang w:val="en-US" w:eastAsia="zh-CN"/>
              </w:rPr>
              <w:t>工作无关的设施设备</w:t>
            </w:r>
          </w:p>
        </w:tc>
        <w:tc>
          <w:tcPr>
            <w:tcW w:w="4256" w:type="dxa"/>
            <w:noWrap w:val="0"/>
            <w:vAlign w:val="center"/>
          </w:tcPr>
          <w:p w14:paraId="55EE8692">
            <w:pP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恢复原状，并课以1万元/次</w:t>
            </w:r>
            <w:r>
              <w:rPr>
                <w:rFonts w:hint="eastAsia" w:ascii="宋体" w:hAnsi="宋体" w:cs="Times New Roman"/>
                <w:color w:val="auto"/>
                <w:szCs w:val="21"/>
                <w:highlight w:val="none"/>
                <w:lang w:val="en-US" w:eastAsia="zh-CN"/>
              </w:rPr>
              <w:t>违约金</w:t>
            </w:r>
            <w:r>
              <w:rPr>
                <w:rFonts w:hint="eastAsia" w:ascii="Times New Roman" w:hAnsi="Times New Roman" w:eastAsia="宋体" w:cs="Times New Roman"/>
                <w:color w:val="auto"/>
                <w:szCs w:val="24"/>
                <w:highlight w:val="none"/>
                <w:lang w:val="en-US" w:eastAsia="zh-CN"/>
              </w:rPr>
              <w:t>。</w:t>
            </w:r>
          </w:p>
        </w:tc>
        <w:tc>
          <w:tcPr>
            <w:tcW w:w="1776" w:type="dxa"/>
            <w:noWrap w:val="0"/>
            <w:vAlign w:val="center"/>
          </w:tcPr>
          <w:p w14:paraId="77F5402D">
            <w:pPr>
              <w:rPr>
                <w:rFonts w:hint="eastAsia" w:ascii="Times New Roman" w:hAnsi="Times New Roman" w:eastAsia="宋体" w:cs="Times New Roman"/>
                <w:color w:val="auto"/>
                <w:szCs w:val="24"/>
                <w:highlight w:val="none"/>
              </w:rPr>
            </w:pPr>
          </w:p>
        </w:tc>
      </w:tr>
      <w:tr w14:paraId="4FF2A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55" w:type="dxa"/>
            <w:shd w:val="clear" w:color="auto" w:fill="auto"/>
            <w:noWrap w:val="0"/>
            <w:vAlign w:val="center"/>
          </w:tcPr>
          <w:p w14:paraId="15DB1DEA">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6</w:t>
            </w:r>
          </w:p>
        </w:tc>
        <w:tc>
          <w:tcPr>
            <w:tcW w:w="1261" w:type="dxa"/>
            <w:noWrap w:val="0"/>
            <w:vAlign w:val="center"/>
          </w:tcPr>
          <w:p w14:paraId="56339AC5">
            <w:pP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9.3.2（5）</w:t>
            </w:r>
          </w:p>
        </w:tc>
        <w:tc>
          <w:tcPr>
            <w:tcW w:w="5806" w:type="dxa"/>
            <w:noWrap w:val="0"/>
            <w:vAlign w:val="center"/>
          </w:tcPr>
          <w:p w14:paraId="37C3B948">
            <w:pP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本合同工程分包合同原则上应参照原建设部和国家工商行政管理总局联合颁发的范本或发包人指定的其他合同范本签订，且必须在合同中明确约定工程款支付条款、结算方式以及保证按期支付的相应措施。承包人应将签订的专业分包合同和分包人收款账号等资料报发包人备案。在合同执行过程中，承包人应严格按照专业分包合同确立的支付周期、支付方式、支付期限等向分包人进行进度支付，严禁逾期支付或以压低单价、私自扣留或巧设名目等方式收取或变相收取分包人费用。发包人将定期或不定期的检查承包人支付证明或以其他方式核实承包人的支付情况，如发现承包人有上述行为的，发包人有权认定承包人违约，有权按照标准课以违约金。</w:t>
            </w:r>
          </w:p>
        </w:tc>
        <w:tc>
          <w:tcPr>
            <w:tcW w:w="4256" w:type="dxa"/>
            <w:noWrap w:val="0"/>
            <w:vAlign w:val="center"/>
          </w:tcPr>
          <w:p w14:paraId="038704CB">
            <w:pP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逾期付款：应付未付款按承包人专款专用账户所在银行同期活期存款利率的双倍。</w:t>
            </w:r>
          </w:p>
          <w:p w14:paraId="477D09CF">
            <w:pP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收取费用：收费费用的双倍。</w:t>
            </w:r>
          </w:p>
        </w:tc>
        <w:tc>
          <w:tcPr>
            <w:tcW w:w="1776" w:type="dxa"/>
            <w:noWrap w:val="0"/>
            <w:vAlign w:val="center"/>
          </w:tcPr>
          <w:p w14:paraId="770B3C9F">
            <w:pPr>
              <w:rPr>
                <w:rFonts w:hint="eastAsia" w:ascii="Times New Roman" w:hAnsi="Times New Roman" w:eastAsia="宋体" w:cs="Times New Roman"/>
                <w:color w:val="auto"/>
                <w:szCs w:val="24"/>
                <w:highlight w:val="none"/>
              </w:rPr>
            </w:pPr>
          </w:p>
        </w:tc>
      </w:tr>
      <w:tr w14:paraId="39BF5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55" w:type="dxa"/>
            <w:shd w:val="clear" w:color="auto" w:fill="auto"/>
            <w:noWrap w:val="0"/>
            <w:vAlign w:val="center"/>
          </w:tcPr>
          <w:p w14:paraId="2050557D">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7</w:t>
            </w:r>
          </w:p>
        </w:tc>
        <w:tc>
          <w:tcPr>
            <w:tcW w:w="1261" w:type="dxa"/>
            <w:shd w:val="clear" w:color="auto" w:fill="auto"/>
            <w:noWrap w:val="0"/>
            <w:vAlign w:val="center"/>
          </w:tcPr>
          <w:p w14:paraId="6CAF7160">
            <w:pPr>
              <w:adjustRightInd w:val="0"/>
              <w:snapToGrid w:val="0"/>
              <w:spacing w:line="320" w:lineRule="atLeast"/>
              <w:textAlignment w:val="baseline"/>
              <w:rPr>
                <w:rFonts w:hint="eastAsia" w:ascii="宋体" w:hAnsi="宋体" w:eastAsia="宋体" w:cs="Times New Roman"/>
                <w:snapToGrid w:val="0"/>
                <w:color w:val="auto"/>
                <w:kern w:val="0"/>
                <w:sz w:val="21"/>
                <w:szCs w:val="21"/>
                <w:highlight w:val="none"/>
                <w:lang w:val="en-US" w:eastAsia="zh-CN" w:bidi="ar-SA"/>
              </w:rPr>
            </w:pPr>
            <w:r>
              <w:rPr>
                <w:rFonts w:ascii="宋体" w:hAnsi="宋体" w:eastAsia="宋体" w:cs="Times New Roman"/>
                <w:snapToGrid w:val="0"/>
                <w:color w:val="auto"/>
                <w:kern w:val="0"/>
                <w:szCs w:val="21"/>
                <w:highlight w:val="none"/>
              </w:rPr>
              <w:t>9.3.2（8）</w:t>
            </w:r>
          </w:p>
        </w:tc>
        <w:tc>
          <w:tcPr>
            <w:tcW w:w="5806" w:type="dxa"/>
            <w:shd w:val="clear" w:color="auto" w:fill="auto"/>
            <w:noWrap w:val="0"/>
            <w:vAlign w:val="center"/>
          </w:tcPr>
          <w:p w14:paraId="2286EE41">
            <w:pPr>
              <w:adjustRightInd w:val="0"/>
              <w:snapToGrid w:val="0"/>
              <w:spacing w:line="320" w:lineRule="atLeast"/>
              <w:textAlignment w:val="baseline"/>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Cs w:val="21"/>
                <w:highlight w:val="none"/>
              </w:rPr>
              <w:t>如出现上述违规分包的情况（合同另有规定除外），发包人有权拒绝验收和计量，发包人有权拒绝支付和（或）收回该工程，有权认定承包人违约，并有权按照标准课以违约金。</w:t>
            </w:r>
          </w:p>
        </w:tc>
        <w:tc>
          <w:tcPr>
            <w:tcW w:w="4256" w:type="dxa"/>
            <w:shd w:val="clear" w:color="auto" w:fill="auto"/>
            <w:noWrap w:val="0"/>
            <w:vAlign w:val="center"/>
          </w:tcPr>
          <w:p w14:paraId="4322E984">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lang w:val="en-US" w:eastAsia="zh-CN"/>
              </w:rPr>
              <w:t>课以</w:t>
            </w:r>
            <w:r>
              <w:rPr>
                <w:rFonts w:ascii="宋体" w:hAnsi="宋体" w:eastAsia="宋体" w:cs="Times New Roman"/>
                <w:color w:val="auto"/>
                <w:szCs w:val="21"/>
                <w:highlight w:val="none"/>
              </w:rPr>
              <w:t>5万元/次</w:t>
            </w:r>
            <w:r>
              <w:rPr>
                <w:rFonts w:hint="eastAsia" w:ascii="宋体" w:hAnsi="宋体" w:cs="Times New Roman"/>
                <w:color w:val="auto"/>
                <w:szCs w:val="21"/>
                <w:highlight w:val="none"/>
                <w:lang w:val="en-US" w:eastAsia="zh-CN"/>
              </w:rPr>
              <w:t>违约金</w:t>
            </w:r>
            <w:r>
              <w:rPr>
                <w:rFonts w:hint="eastAsia" w:ascii="宋体" w:hAnsi="宋体" w:eastAsia="宋体" w:cs="Times New Roman"/>
                <w:color w:val="auto"/>
                <w:szCs w:val="21"/>
                <w:highlight w:val="none"/>
              </w:rPr>
              <w:t>。</w:t>
            </w:r>
          </w:p>
        </w:tc>
        <w:tc>
          <w:tcPr>
            <w:tcW w:w="1776" w:type="dxa"/>
            <w:noWrap w:val="0"/>
            <w:vAlign w:val="center"/>
          </w:tcPr>
          <w:p w14:paraId="6CF66949">
            <w:pPr>
              <w:rPr>
                <w:rFonts w:hint="eastAsia" w:ascii="Times New Roman" w:hAnsi="Times New Roman" w:eastAsia="宋体" w:cs="Times New Roman"/>
                <w:color w:val="auto"/>
                <w:szCs w:val="24"/>
                <w:highlight w:val="none"/>
              </w:rPr>
            </w:pPr>
          </w:p>
        </w:tc>
      </w:tr>
      <w:tr w14:paraId="43663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55" w:type="dxa"/>
            <w:shd w:val="clear" w:color="auto" w:fill="auto"/>
            <w:noWrap w:val="0"/>
            <w:vAlign w:val="center"/>
          </w:tcPr>
          <w:p w14:paraId="4EB92192">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8</w:t>
            </w:r>
          </w:p>
        </w:tc>
        <w:tc>
          <w:tcPr>
            <w:tcW w:w="1261" w:type="dxa"/>
            <w:shd w:val="clear" w:color="auto" w:fill="auto"/>
            <w:noWrap w:val="0"/>
            <w:vAlign w:val="center"/>
          </w:tcPr>
          <w:p w14:paraId="5EA85382">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lang w:val="en-US" w:eastAsia="zh-CN"/>
              </w:rPr>
              <w:t>9.4.6</w:t>
            </w:r>
          </w:p>
        </w:tc>
        <w:tc>
          <w:tcPr>
            <w:tcW w:w="5806" w:type="dxa"/>
            <w:shd w:val="clear" w:color="auto" w:fill="auto"/>
            <w:noWrap w:val="0"/>
            <w:vAlign w:val="center"/>
          </w:tcPr>
          <w:p w14:paraId="57CF22C3">
            <w:pPr>
              <w:adjustRightInd w:val="0"/>
              <w:snapToGrid w:val="0"/>
              <w:spacing w:line="320" w:lineRule="atLeast"/>
              <w:textAlignment w:val="baseline"/>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lang w:val="en-US" w:eastAsia="zh-CN"/>
              </w:rPr>
              <w:t>因承包人自身原因造成水利设施的缺陷或损坏的。</w:t>
            </w:r>
          </w:p>
        </w:tc>
        <w:tc>
          <w:tcPr>
            <w:tcW w:w="4256" w:type="dxa"/>
            <w:shd w:val="clear" w:color="auto" w:fill="auto"/>
            <w:noWrap w:val="0"/>
            <w:vAlign w:val="center"/>
          </w:tcPr>
          <w:p w14:paraId="2596F7F0">
            <w:pPr>
              <w:spacing w:line="40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根据损坏情况处以1万元-50万元/次。并由承包人负责修复。</w:t>
            </w:r>
          </w:p>
        </w:tc>
        <w:tc>
          <w:tcPr>
            <w:tcW w:w="1776" w:type="dxa"/>
            <w:noWrap w:val="0"/>
            <w:vAlign w:val="center"/>
          </w:tcPr>
          <w:p w14:paraId="72A327FC">
            <w:pPr>
              <w:rPr>
                <w:rFonts w:hint="eastAsia" w:ascii="Times New Roman" w:hAnsi="Times New Roman" w:eastAsia="宋体" w:cs="Times New Roman"/>
                <w:color w:val="auto"/>
                <w:szCs w:val="24"/>
                <w:highlight w:val="none"/>
              </w:rPr>
            </w:pPr>
          </w:p>
        </w:tc>
      </w:tr>
      <w:tr w14:paraId="67CB2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55" w:type="dxa"/>
            <w:shd w:val="clear" w:color="auto" w:fill="auto"/>
            <w:noWrap w:val="0"/>
            <w:vAlign w:val="center"/>
          </w:tcPr>
          <w:p w14:paraId="21C6E984">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9</w:t>
            </w:r>
          </w:p>
        </w:tc>
        <w:tc>
          <w:tcPr>
            <w:tcW w:w="1261" w:type="dxa"/>
            <w:shd w:val="clear" w:color="auto" w:fill="auto"/>
            <w:noWrap w:val="0"/>
            <w:vAlign w:val="center"/>
          </w:tcPr>
          <w:p w14:paraId="405324BC">
            <w:pPr>
              <w:adjustRightInd w:val="0"/>
              <w:snapToGrid w:val="0"/>
              <w:spacing w:line="320" w:lineRule="atLeast"/>
              <w:textAlignment w:val="baseline"/>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9.4.6</w:t>
            </w:r>
          </w:p>
        </w:tc>
        <w:tc>
          <w:tcPr>
            <w:tcW w:w="5806" w:type="dxa"/>
            <w:shd w:val="clear" w:color="auto" w:fill="auto"/>
            <w:noWrap w:val="0"/>
            <w:vAlign w:val="center"/>
          </w:tcPr>
          <w:p w14:paraId="2F81CBDE">
            <w:pPr>
              <w:adjustRightInd w:val="0"/>
              <w:snapToGrid w:val="0"/>
              <w:spacing w:line="320" w:lineRule="atLeast"/>
              <w:textAlignment w:val="baseline"/>
              <w:rPr>
                <w:rFonts w:hint="default" w:ascii="宋体" w:hAnsi="宋体" w:eastAsia="宋体" w:cs="Times New Roman"/>
                <w:snapToGrid w:val="0"/>
                <w:color w:val="auto"/>
                <w:kern w:val="0"/>
                <w:szCs w:val="21"/>
                <w:highlight w:val="none"/>
                <w:lang w:eastAsia="zh-Hans"/>
              </w:rPr>
            </w:pPr>
            <w:r>
              <w:rPr>
                <w:rFonts w:hint="eastAsia" w:ascii="宋体" w:hAnsi="宋体" w:cs="Times New Roman"/>
                <w:snapToGrid w:val="0"/>
                <w:color w:val="auto"/>
                <w:kern w:val="0"/>
                <w:szCs w:val="21"/>
                <w:highlight w:val="none"/>
                <w:lang w:val="en-US" w:eastAsia="zh-Hans"/>
              </w:rPr>
              <w:t>因承包人未及时做好排水造成内涝的</w:t>
            </w:r>
          </w:p>
        </w:tc>
        <w:tc>
          <w:tcPr>
            <w:tcW w:w="4256" w:type="dxa"/>
            <w:shd w:val="clear" w:color="auto" w:fill="auto"/>
            <w:noWrap w:val="0"/>
            <w:vAlign w:val="center"/>
          </w:tcPr>
          <w:p w14:paraId="66CB5B91">
            <w:pPr>
              <w:spacing w:line="400" w:lineRule="exact"/>
              <w:rPr>
                <w:rFonts w:hint="default" w:ascii="宋体" w:hAnsi="宋体" w:eastAsia="宋体" w:cs="Times New Roman"/>
                <w:color w:val="auto"/>
                <w:szCs w:val="21"/>
                <w:highlight w:val="none"/>
                <w:lang w:eastAsia="zh-Hans"/>
              </w:rPr>
            </w:pPr>
            <w:r>
              <w:rPr>
                <w:rFonts w:hint="eastAsia" w:ascii="宋体" w:hAnsi="宋体" w:cs="Times New Roman"/>
                <w:color w:val="auto"/>
                <w:szCs w:val="21"/>
                <w:highlight w:val="none"/>
                <w:lang w:val="en-US" w:eastAsia="zh-Hans"/>
              </w:rPr>
              <w:t>按照</w:t>
            </w:r>
            <w:r>
              <w:rPr>
                <w:rFonts w:hint="default" w:ascii="宋体" w:hAnsi="宋体" w:cs="Times New Roman"/>
                <w:color w:val="auto"/>
                <w:szCs w:val="21"/>
                <w:highlight w:val="none"/>
                <w:lang w:eastAsia="zh-Hans"/>
              </w:rPr>
              <w:t>5</w:t>
            </w:r>
            <w:r>
              <w:rPr>
                <w:rFonts w:hint="eastAsia" w:ascii="宋体" w:hAnsi="宋体" w:cs="Times New Roman"/>
                <w:color w:val="auto"/>
                <w:szCs w:val="21"/>
                <w:highlight w:val="none"/>
                <w:lang w:val="en-US" w:eastAsia="zh-Hans"/>
              </w:rPr>
              <w:t>万元</w:t>
            </w:r>
            <w:r>
              <w:rPr>
                <w:rFonts w:hint="default" w:ascii="宋体" w:hAnsi="宋体" w:cs="Times New Roman"/>
                <w:color w:val="auto"/>
                <w:szCs w:val="21"/>
                <w:highlight w:val="none"/>
                <w:lang w:eastAsia="zh-Hans"/>
              </w:rPr>
              <w:t>/</w:t>
            </w:r>
            <w:r>
              <w:rPr>
                <w:rFonts w:hint="eastAsia" w:ascii="宋体" w:hAnsi="宋体" w:cs="Times New Roman"/>
                <w:color w:val="auto"/>
                <w:szCs w:val="21"/>
                <w:highlight w:val="none"/>
                <w:lang w:val="en-US" w:eastAsia="zh-Hans"/>
              </w:rPr>
              <w:t>处课以违约金</w:t>
            </w:r>
            <w:r>
              <w:rPr>
                <w:rFonts w:hint="default" w:ascii="宋体" w:hAnsi="宋体" w:cs="Times New Roman"/>
                <w:color w:val="auto"/>
                <w:szCs w:val="21"/>
                <w:highlight w:val="none"/>
                <w:lang w:eastAsia="zh-Hans"/>
              </w:rPr>
              <w:t>。</w:t>
            </w:r>
          </w:p>
        </w:tc>
        <w:tc>
          <w:tcPr>
            <w:tcW w:w="1776" w:type="dxa"/>
            <w:noWrap w:val="0"/>
            <w:vAlign w:val="center"/>
          </w:tcPr>
          <w:p w14:paraId="2A9DF565">
            <w:pPr>
              <w:rPr>
                <w:rFonts w:hint="eastAsia" w:ascii="Times New Roman" w:hAnsi="Times New Roman" w:eastAsia="宋体" w:cs="Times New Roman"/>
                <w:color w:val="auto"/>
                <w:szCs w:val="24"/>
                <w:highlight w:val="none"/>
              </w:rPr>
            </w:pPr>
          </w:p>
        </w:tc>
      </w:tr>
      <w:tr w14:paraId="57C84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55" w:type="dxa"/>
            <w:shd w:val="clear" w:color="auto" w:fill="auto"/>
            <w:noWrap w:val="0"/>
            <w:vAlign w:val="center"/>
          </w:tcPr>
          <w:p w14:paraId="20DBFEBA">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10</w:t>
            </w:r>
          </w:p>
        </w:tc>
        <w:tc>
          <w:tcPr>
            <w:tcW w:w="1261" w:type="dxa"/>
            <w:shd w:val="clear" w:color="auto" w:fill="auto"/>
            <w:noWrap w:val="0"/>
            <w:vAlign w:val="center"/>
          </w:tcPr>
          <w:p w14:paraId="197BEACC">
            <w:pPr>
              <w:adjustRightInd w:val="0"/>
              <w:snapToGrid w:val="0"/>
              <w:spacing w:line="320" w:lineRule="atLeast"/>
              <w:textAlignment w:val="baseline"/>
              <w:rPr>
                <w:rFonts w:hint="eastAsia" w:ascii="宋体" w:hAnsi="宋体" w:eastAsia="宋体" w:cs="Times New Roman"/>
                <w:snapToGrid w:val="0"/>
                <w:color w:val="auto"/>
                <w:kern w:val="0"/>
                <w:sz w:val="21"/>
                <w:szCs w:val="21"/>
                <w:highlight w:val="none"/>
                <w:lang w:val="en-US" w:eastAsia="zh-CN" w:bidi="ar-SA"/>
              </w:rPr>
            </w:pPr>
            <w:r>
              <w:rPr>
                <w:rFonts w:ascii="宋体" w:hAnsi="宋体" w:eastAsia="宋体" w:cs="Times New Roman"/>
                <w:snapToGrid w:val="0"/>
                <w:color w:val="auto"/>
                <w:kern w:val="0"/>
                <w:szCs w:val="21"/>
                <w:highlight w:val="none"/>
              </w:rPr>
              <w:t>9.5.2（3）</w:t>
            </w:r>
          </w:p>
        </w:tc>
        <w:tc>
          <w:tcPr>
            <w:tcW w:w="5806" w:type="dxa"/>
            <w:shd w:val="clear" w:color="auto" w:fill="auto"/>
            <w:noWrap w:val="0"/>
            <w:vAlign w:val="center"/>
          </w:tcPr>
          <w:p w14:paraId="28476460">
            <w:pPr>
              <w:adjustRightInd w:val="0"/>
              <w:snapToGrid w:val="0"/>
              <w:spacing w:line="320" w:lineRule="atLeast"/>
              <w:textAlignment w:val="baseline"/>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Cs w:val="21"/>
                <w:highlight w:val="none"/>
              </w:rPr>
              <w:t>严禁不具备从业资格的特殊岗位人员，违规从事有关设备的驾驶或操作工作，由此引起的一切后果与责任由承包人承担。同时，发包人将视为承包人违约，有权按照标准课以违约金。</w:t>
            </w:r>
          </w:p>
        </w:tc>
        <w:tc>
          <w:tcPr>
            <w:tcW w:w="4256" w:type="dxa"/>
            <w:shd w:val="clear" w:color="auto" w:fill="auto"/>
            <w:noWrap w:val="0"/>
            <w:vAlign w:val="center"/>
          </w:tcPr>
          <w:p w14:paraId="47CFE0C1">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lang w:val="en-US" w:eastAsia="zh-CN"/>
              </w:rPr>
              <w:t>课以</w:t>
            </w:r>
            <w:r>
              <w:rPr>
                <w:rFonts w:ascii="宋体" w:hAnsi="宋体" w:eastAsia="宋体" w:cs="Times New Roman"/>
                <w:color w:val="auto"/>
                <w:szCs w:val="21"/>
                <w:highlight w:val="none"/>
              </w:rPr>
              <w:t>1万元/次</w:t>
            </w:r>
            <w:r>
              <w:rPr>
                <w:rFonts w:hint="eastAsia" w:ascii="宋体" w:hAnsi="宋体" w:cs="Times New Roman"/>
                <w:color w:val="auto"/>
                <w:szCs w:val="21"/>
                <w:highlight w:val="none"/>
                <w:lang w:val="en-US" w:eastAsia="zh-CN"/>
              </w:rPr>
              <w:t>违约金</w:t>
            </w:r>
            <w:r>
              <w:rPr>
                <w:rFonts w:hint="eastAsia" w:ascii="宋体" w:hAnsi="宋体" w:eastAsia="宋体" w:cs="Times New Roman"/>
                <w:color w:val="auto"/>
                <w:szCs w:val="21"/>
                <w:highlight w:val="none"/>
              </w:rPr>
              <w:t>。</w:t>
            </w:r>
          </w:p>
        </w:tc>
        <w:tc>
          <w:tcPr>
            <w:tcW w:w="1776" w:type="dxa"/>
            <w:noWrap w:val="0"/>
            <w:vAlign w:val="center"/>
          </w:tcPr>
          <w:p w14:paraId="6D218240">
            <w:pPr>
              <w:rPr>
                <w:rFonts w:hint="eastAsia" w:ascii="Times New Roman" w:hAnsi="Times New Roman" w:eastAsia="宋体" w:cs="Times New Roman"/>
                <w:color w:val="auto"/>
                <w:szCs w:val="24"/>
                <w:highlight w:val="none"/>
              </w:rPr>
            </w:pPr>
          </w:p>
        </w:tc>
      </w:tr>
      <w:tr w14:paraId="4A696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55" w:type="dxa"/>
            <w:shd w:val="clear" w:color="auto" w:fill="auto"/>
            <w:noWrap w:val="0"/>
            <w:vAlign w:val="center"/>
          </w:tcPr>
          <w:p w14:paraId="2C841D3E">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11</w:t>
            </w:r>
          </w:p>
        </w:tc>
        <w:tc>
          <w:tcPr>
            <w:tcW w:w="1261" w:type="dxa"/>
            <w:shd w:val="clear" w:color="auto" w:fill="auto"/>
            <w:noWrap w:val="0"/>
            <w:vAlign w:val="center"/>
          </w:tcPr>
          <w:p w14:paraId="7F326299">
            <w:pPr>
              <w:adjustRightInd w:val="0"/>
              <w:snapToGrid w:val="0"/>
              <w:spacing w:line="320" w:lineRule="atLeast"/>
              <w:textAlignment w:val="baseline"/>
              <w:rPr>
                <w:rFonts w:hint="eastAsia" w:ascii="宋体" w:hAnsi="宋体" w:eastAsia="宋体" w:cs="Times New Roman"/>
                <w:snapToGrid w:val="0"/>
                <w:color w:val="auto"/>
                <w:kern w:val="0"/>
                <w:sz w:val="21"/>
                <w:szCs w:val="21"/>
                <w:highlight w:val="none"/>
                <w:lang w:val="en-US" w:eastAsia="zh-CN" w:bidi="ar-SA"/>
              </w:rPr>
            </w:pPr>
            <w:r>
              <w:rPr>
                <w:rFonts w:ascii="宋体" w:hAnsi="宋体" w:eastAsia="宋体" w:cs="Times New Roman"/>
                <w:snapToGrid w:val="0"/>
                <w:color w:val="auto"/>
                <w:kern w:val="0"/>
                <w:szCs w:val="21"/>
                <w:highlight w:val="none"/>
              </w:rPr>
              <w:t>9.5.3（3）</w:t>
            </w:r>
          </w:p>
        </w:tc>
        <w:tc>
          <w:tcPr>
            <w:tcW w:w="5806" w:type="dxa"/>
            <w:shd w:val="clear" w:color="auto" w:fill="auto"/>
            <w:noWrap w:val="0"/>
            <w:vAlign w:val="center"/>
          </w:tcPr>
          <w:p w14:paraId="1327DEAA">
            <w:pPr>
              <w:adjustRightInd w:val="0"/>
              <w:snapToGrid w:val="0"/>
              <w:spacing w:line="320" w:lineRule="atLeast"/>
              <w:textAlignment w:val="baseline"/>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Cs w:val="21"/>
                <w:highlight w:val="none"/>
              </w:rPr>
              <w:t>承包人应在合同服务期内，分批安排相应的管理和技术人员进驻现场，并按照合同规定常驻现场，否则视为承包人违约，并有权按照标准课以违约金。</w:t>
            </w:r>
          </w:p>
        </w:tc>
        <w:tc>
          <w:tcPr>
            <w:tcW w:w="4256" w:type="dxa"/>
            <w:shd w:val="clear" w:color="auto" w:fill="auto"/>
            <w:noWrap w:val="0"/>
            <w:vAlign w:val="center"/>
          </w:tcPr>
          <w:p w14:paraId="52886993">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CN"/>
              </w:rPr>
              <w:t>项目负责人</w:t>
            </w:r>
            <w:r>
              <w:rPr>
                <w:rFonts w:hint="eastAsia" w:ascii="宋体" w:hAnsi="宋体" w:eastAsia="宋体" w:cs="Times New Roman"/>
                <w:color w:val="auto"/>
                <w:szCs w:val="21"/>
                <w:highlight w:val="none"/>
                <w:lang w:val="en-US" w:eastAsia="zh-CN"/>
              </w:rPr>
              <w:t>5000</w:t>
            </w:r>
            <w:r>
              <w:rPr>
                <w:rFonts w:hint="eastAsia" w:ascii="宋体" w:hAnsi="宋体" w:eastAsia="宋体" w:cs="Times New Roman"/>
                <w:color w:val="auto"/>
                <w:szCs w:val="21"/>
                <w:highlight w:val="none"/>
              </w:rPr>
              <w:t>元</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人</w:t>
            </w:r>
            <w:r>
              <w:rPr>
                <w:rFonts w:hint="eastAsia" w:ascii="宋体" w:hAnsi="宋体" w:eastAsia="宋体" w:cs="微软雅黑"/>
                <w:color w:val="auto"/>
                <w:szCs w:val="21"/>
                <w:highlight w:val="none"/>
              </w:rPr>
              <w:t>•</w:t>
            </w:r>
            <w:r>
              <w:rPr>
                <w:rFonts w:hint="eastAsia" w:ascii="宋体" w:hAnsi="宋体" w:eastAsia="宋体" w:cs="黑体"/>
                <w:color w:val="auto"/>
                <w:szCs w:val="21"/>
                <w:highlight w:val="none"/>
              </w:rPr>
              <w:t>天</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技术负责人</w:t>
            </w:r>
            <w:r>
              <w:rPr>
                <w:rFonts w:hint="eastAsia" w:ascii="宋体" w:hAnsi="宋体" w:eastAsia="宋体" w:cs="Times New Roman"/>
                <w:color w:val="auto"/>
                <w:szCs w:val="21"/>
                <w:highlight w:val="none"/>
                <w:lang w:val="en-US" w:eastAsia="zh-CN"/>
              </w:rPr>
              <w:t>3000</w:t>
            </w:r>
            <w:r>
              <w:rPr>
                <w:rFonts w:hint="eastAsia" w:ascii="宋体" w:hAnsi="宋体" w:eastAsia="宋体" w:cs="Times New Roman"/>
                <w:color w:val="auto"/>
                <w:szCs w:val="21"/>
                <w:highlight w:val="none"/>
              </w:rPr>
              <w:t>元</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人</w:t>
            </w:r>
            <w:r>
              <w:rPr>
                <w:rFonts w:hint="eastAsia" w:ascii="宋体" w:hAnsi="宋体" w:eastAsia="宋体" w:cs="微软雅黑"/>
                <w:color w:val="auto"/>
                <w:szCs w:val="21"/>
                <w:highlight w:val="none"/>
              </w:rPr>
              <w:t>•</w:t>
            </w:r>
            <w:r>
              <w:rPr>
                <w:rFonts w:hint="eastAsia" w:ascii="宋体" w:hAnsi="宋体" w:eastAsia="宋体" w:cs="黑体"/>
                <w:color w:val="auto"/>
                <w:szCs w:val="21"/>
                <w:highlight w:val="none"/>
              </w:rPr>
              <w:t>天</w:t>
            </w:r>
            <w:r>
              <w:rPr>
                <w:rFonts w:hint="eastAsia" w:ascii="宋体" w:hAnsi="宋体" w:eastAsia="宋体" w:cs="Times New Roman"/>
                <w:color w:val="auto"/>
                <w:szCs w:val="21"/>
                <w:highlight w:val="none"/>
              </w:rPr>
              <w:t>、其它管理及技术人员</w:t>
            </w:r>
            <w:r>
              <w:rPr>
                <w:rFonts w:hint="eastAsia" w:ascii="宋体" w:hAnsi="宋体" w:eastAsia="宋体" w:cs="Times New Roman"/>
                <w:color w:val="auto"/>
                <w:szCs w:val="21"/>
                <w:highlight w:val="none"/>
                <w:lang w:val="en-US" w:eastAsia="zh-CN"/>
              </w:rPr>
              <w:t>10</w:t>
            </w:r>
            <w:r>
              <w:rPr>
                <w:rFonts w:ascii="宋体" w:hAnsi="宋体" w:eastAsia="宋体" w:cs="Times New Roman"/>
                <w:color w:val="auto"/>
                <w:szCs w:val="21"/>
                <w:highlight w:val="none"/>
              </w:rPr>
              <w:t>00</w:t>
            </w:r>
            <w:r>
              <w:rPr>
                <w:rFonts w:hint="eastAsia" w:ascii="宋体" w:hAnsi="宋体" w:eastAsia="宋体" w:cs="Times New Roman"/>
                <w:color w:val="auto"/>
                <w:szCs w:val="21"/>
                <w:highlight w:val="none"/>
              </w:rPr>
              <w:t>元</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人</w:t>
            </w:r>
            <w:r>
              <w:rPr>
                <w:rFonts w:hint="eastAsia" w:ascii="宋体" w:hAnsi="宋体" w:eastAsia="宋体" w:cs="微软雅黑"/>
                <w:color w:val="auto"/>
                <w:szCs w:val="21"/>
                <w:highlight w:val="none"/>
              </w:rPr>
              <w:t>•</w:t>
            </w:r>
            <w:r>
              <w:rPr>
                <w:rFonts w:hint="eastAsia" w:ascii="宋体" w:hAnsi="宋体" w:eastAsia="宋体" w:cs="黑体"/>
                <w:color w:val="auto"/>
                <w:szCs w:val="21"/>
                <w:highlight w:val="none"/>
              </w:rPr>
              <w:t>天</w:t>
            </w:r>
            <w:r>
              <w:rPr>
                <w:rFonts w:hint="eastAsia" w:ascii="宋体" w:hAnsi="宋体" w:cs="Times New Roman"/>
                <w:color w:val="auto"/>
                <w:szCs w:val="21"/>
                <w:highlight w:val="none"/>
                <w:lang w:val="en-US" w:eastAsia="zh-CN"/>
              </w:rPr>
              <w:t>课以违约金</w:t>
            </w:r>
            <w:r>
              <w:rPr>
                <w:rFonts w:hint="eastAsia" w:ascii="宋体" w:hAnsi="宋体" w:eastAsia="宋体" w:cs="黑体"/>
                <w:color w:val="auto"/>
                <w:szCs w:val="21"/>
                <w:highlight w:val="none"/>
              </w:rPr>
              <w:t>，直至承包人改正为止</w:t>
            </w:r>
            <w:r>
              <w:rPr>
                <w:rFonts w:hint="eastAsia" w:ascii="宋体" w:hAnsi="宋体" w:eastAsia="宋体" w:cs="Times New Roman"/>
                <w:color w:val="auto"/>
                <w:szCs w:val="21"/>
                <w:highlight w:val="none"/>
              </w:rPr>
              <w:t>。</w:t>
            </w:r>
          </w:p>
        </w:tc>
        <w:tc>
          <w:tcPr>
            <w:tcW w:w="1776" w:type="dxa"/>
            <w:noWrap w:val="0"/>
            <w:vAlign w:val="center"/>
          </w:tcPr>
          <w:p w14:paraId="6B9CABEE">
            <w:pPr>
              <w:rPr>
                <w:rFonts w:hint="eastAsia" w:ascii="Times New Roman" w:hAnsi="Times New Roman" w:eastAsia="宋体" w:cs="Times New Roman"/>
                <w:color w:val="auto"/>
                <w:szCs w:val="24"/>
                <w:highlight w:val="none"/>
              </w:rPr>
            </w:pPr>
          </w:p>
        </w:tc>
      </w:tr>
      <w:tr w14:paraId="482F4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55" w:type="dxa"/>
            <w:shd w:val="clear" w:color="auto" w:fill="auto"/>
            <w:noWrap w:val="0"/>
            <w:vAlign w:val="center"/>
          </w:tcPr>
          <w:p w14:paraId="3300E542">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12</w:t>
            </w:r>
          </w:p>
        </w:tc>
        <w:tc>
          <w:tcPr>
            <w:tcW w:w="1261" w:type="dxa"/>
            <w:shd w:val="clear" w:color="auto" w:fill="auto"/>
            <w:noWrap w:val="0"/>
            <w:vAlign w:val="center"/>
          </w:tcPr>
          <w:p w14:paraId="3D78D10B">
            <w:pPr>
              <w:adjustRightInd w:val="0"/>
              <w:snapToGrid w:val="0"/>
              <w:spacing w:line="320" w:lineRule="atLeast"/>
              <w:textAlignment w:val="baseline"/>
              <w:rPr>
                <w:rFonts w:hint="eastAsia" w:ascii="宋体" w:hAnsi="宋体" w:eastAsia="宋体" w:cs="Times New Roman"/>
                <w:snapToGrid w:val="0"/>
                <w:color w:val="auto"/>
                <w:kern w:val="0"/>
                <w:sz w:val="21"/>
                <w:szCs w:val="21"/>
                <w:highlight w:val="none"/>
                <w:lang w:val="en-US" w:eastAsia="zh-CN" w:bidi="ar-SA"/>
              </w:rPr>
            </w:pPr>
            <w:r>
              <w:rPr>
                <w:rFonts w:ascii="宋体" w:hAnsi="宋体" w:eastAsia="宋体" w:cs="Times New Roman"/>
                <w:snapToGrid w:val="0"/>
                <w:color w:val="auto"/>
                <w:kern w:val="0"/>
                <w:szCs w:val="21"/>
                <w:highlight w:val="none"/>
              </w:rPr>
              <w:t>9.5.3（4）</w:t>
            </w:r>
          </w:p>
        </w:tc>
        <w:tc>
          <w:tcPr>
            <w:tcW w:w="5806" w:type="dxa"/>
            <w:shd w:val="clear" w:color="auto" w:fill="auto"/>
            <w:noWrap w:val="0"/>
            <w:vAlign w:val="center"/>
          </w:tcPr>
          <w:p w14:paraId="6C5EF33C">
            <w:pPr>
              <w:adjustRightInd w:val="0"/>
              <w:snapToGrid w:val="0"/>
              <w:spacing w:line="320" w:lineRule="atLeast"/>
              <w:textAlignment w:val="baseline"/>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Cs w:val="21"/>
                <w:highlight w:val="none"/>
              </w:rPr>
              <w:t>为保证承包人档案资料整理及合同支付管理工作的连续性、稳定性，要求承包人的计划合同负责人、档案负责人在本项目连续工作</w:t>
            </w:r>
            <w:r>
              <w:rPr>
                <w:rFonts w:hint="eastAsia" w:ascii="宋体" w:hAnsi="宋体" w:cs="Times New Roman"/>
                <w:snapToGrid w:val="0"/>
                <w:color w:val="auto"/>
                <w:kern w:val="0"/>
                <w:szCs w:val="21"/>
                <w:highlight w:val="none"/>
                <w:lang w:val="en-US" w:eastAsia="zh-CN"/>
              </w:rPr>
              <w:t>1</w:t>
            </w:r>
            <w:r>
              <w:rPr>
                <w:rFonts w:hint="eastAsia" w:ascii="宋体" w:hAnsi="宋体" w:eastAsia="宋体" w:cs="Times New Roman"/>
                <w:snapToGrid w:val="0"/>
                <w:color w:val="auto"/>
                <w:kern w:val="0"/>
                <w:szCs w:val="21"/>
                <w:highlight w:val="none"/>
              </w:rPr>
              <w:t>年及以上，</w:t>
            </w:r>
            <w:r>
              <w:rPr>
                <w:rFonts w:ascii="宋体" w:hAnsi="宋体" w:eastAsia="宋体" w:cs="Times New Roman"/>
                <w:snapToGrid w:val="0"/>
                <w:color w:val="auto"/>
                <w:kern w:val="0"/>
                <w:szCs w:val="21"/>
                <w:highlight w:val="none"/>
              </w:rPr>
              <w:t>否则并有权按照标准课以违约金。</w:t>
            </w:r>
          </w:p>
        </w:tc>
        <w:tc>
          <w:tcPr>
            <w:tcW w:w="4256" w:type="dxa"/>
            <w:shd w:val="clear" w:color="auto" w:fill="auto"/>
            <w:noWrap w:val="0"/>
            <w:vAlign w:val="center"/>
          </w:tcPr>
          <w:p w14:paraId="76A0EDAD">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lang w:val="en-US" w:eastAsia="zh-CN"/>
              </w:rPr>
              <w:t>课以</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万元</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人·次</w:t>
            </w:r>
            <w:r>
              <w:rPr>
                <w:rFonts w:hint="eastAsia" w:ascii="宋体" w:hAnsi="宋体" w:cs="Times New Roman"/>
                <w:color w:val="auto"/>
                <w:szCs w:val="21"/>
                <w:highlight w:val="none"/>
                <w:lang w:val="en-US" w:eastAsia="zh-CN"/>
              </w:rPr>
              <w:t>违约金</w:t>
            </w:r>
            <w:r>
              <w:rPr>
                <w:rFonts w:hint="eastAsia" w:ascii="宋体" w:hAnsi="宋体" w:eastAsia="宋体" w:cs="Times New Roman"/>
                <w:color w:val="auto"/>
                <w:szCs w:val="21"/>
                <w:highlight w:val="none"/>
              </w:rPr>
              <w:t>。</w:t>
            </w:r>
          </w:p>
        </w:tc>
        <w:tc>
          <w:tcPr>
            <w:tcW w:w="1776" w:type="dxa"/>
            <w:noWrap w:val="0"/>
            <w:vAlign w:val="center"/>
          </w:tcPr>
          <w:p w14:paraId="328EFA7D">
            <w:pPr>
              <w:rPr>
                <w:rFonts w:hint="eastAsia" w:ascii="Times New Roman" w:hAnsi="Times New Roman" w:eastAsia="宋体" w:cs="Times New Roman"/>
                <w:color w:val="auto"/>
                <w:szCs w:val="24"/>
                <w:highlight w:val="none"/>
              </w:rPr>
            </w:pPr>
          </w:p>
        </w:tc>
      </w:tr>
      <w:tr w14:paraId="70524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55" w:type="dxa"/>
            <w:shd w:val="clear" w:color="auto" w:fill="auto"/>
            <w:noWrap w:val="0"/>
            <w:vAlign w:val="center"/>
          </w:tcPr>
          <w:p w14:paraId="1F8AB673">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13</w:t>
            </w:r>
          </w:p>
        </w:tc>
        <w:tc>
          <w:tcPr>
            <w:tcW w:w="1261" w:type="dxa"/>
            <w:shd w:val="clear" w:color="auto" w:fill="auto"/>
            <w:noWrap w:val="0"/>
            <w:vAlign w:val="center"/>
          </w:tcPr>
          <w:p w14:paraId="4B547AC6">
            <w:pPr>
              <w:adjustRightInd w:val="0"/>
              <w:snapToGrid w:val="0"/>
              <w:spacing w:line="320" w:lineRule="atLeast"/>
              <w:textAlignment w:val="baseline"/>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9.5.5（1）</w:t>
            </w:r>
          </w:p>
        </w:tc>
        <w:tc>
          <w:tcPr>
            <w:tcW w:w="5806" w:type="dxa"/>
            <w:shd w:val="clear" w:color="auto" w:fill="auto"/>
            <w:noWrap w:val="0"/>
            <w:vAlign w:val="center"/>
          </w:tcPr>
          <w:p w14:paraId="68A58672">
            <w:pPr>
              <w:adjustRightInd w:val="0"/>
              <w:snapToGrid w:val="0"/>
              <w:spacing w:line="320" w:lineRule="atLeast"/>
              <w:textAlignment w:val="baseline"/>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lang w:val="en-US" w:eastAsia="zh-CN"/>
              </w:rPr>
              <w:t>除因管理原因发生重大质量安全事故，或因不可抗力、正常退休、患严重疾病、死亡、职务晋升或辞职等（需提供相关部门或单位的证明材料），或被责令停止执业、羁押或判刑外等无法继续履行合同责任和义务外，</w:t>
            </w:r>
            <w:r>
              <w:rPr>
                <w:rFonts w:hint="eastAsia" w:ascii="宋体" w:hAnsi="宋体" w:eastAsia="宋体" w:cs="Times New Roman"/>
                <w:snapToGrid w:val="0"/>
                <w:color w:val="auto"/>
                <w:kern w:val="0"/>
                <w:szCs w:val="21"/>
                <w:highlight w:val="none"/>
              </w:rPr>
              <w:t>更换承包人</w:t>
            </w:r>
            <w:r>
              <w:rPr>
                <w:rFonts w:hint="eastAsia" w:ascii="宋体" w:hAnsi="宋体" w:eastAsia="宋体" w:cs="Times New Roman"/>
                <w:snapToGrid w:val="0"/>
                <w:color w:val="auto"/>
                <w:kern w:val="0"/>
                <w:szCs w:val="21"/>
                <w:highlight w:val="none"/>
                <w:lang w:eastAsia="zh-CN"/>
              </w:rPr>
              <w:t>项目负责人</w:t>
            </w:r>
            <w:r>
              <w:rPr>
                <w:rFonts w:hint="eastAsia" w:ascii="宋体" w:hAnsi="宋体" w:eastAsia="宋体" w:cs="Times New Roman"/>
                <w:snapToGrid w:val="0"/>
                <w:color w:val="auto"/>
                <w:kern w:val="0"/>
                <w:szCs w:val="21"/>
                <w:highlight w:val="none"/>
              </w:rPr>
              <w:t>和</w:t>
            </w:r>
            <w:r>
              <w:rPr>
                <w:rFonts w:hint="eastAsia" w:ascii="宋体" w:hAnsi="宋体" w:eastAsia="宋体" w:cs="Times New Roman"/>
                <w:snapToGrid w:val="0"/>
                <w:color w:val="auto"/>
                <w:kern w:val="0"/>
                <w:szCs w:val="21"/>
                <w:highlight w:val="none"/>
                <w:lang w:eastAsia="zh-CN"/>
              </w:rPr>
              <w:t>技术负责人的。</w:t>
            </w:r>
          </w:p>
        </w:tc>
        <w:tc>
          <w:tcPr>
            <w:tcW w:w="4256" w:type="dxa"/>
            <w:shd w:val="clear" w:color="auto" w:fill="auto"/>
            <w:noWrap w:val="0"/>
            <w:vAlign w:val="center"/>
          </w:tcPr>
          <w:p w14:paraId="2AE36759">
            <w:pPr>
              <w:spacing w:line="40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项目负责人</w:t>
            </w:r>
            <w:r>
              <w:rPr>
                <w:rFonts w:hint="eastAsia" w:ascii="宋体" w:hAnsi="宋体" w:eastAsia="宋体" w:cs="Times New Roman"/>
                <w:color w:val="auto"/>
                <w:szCs w:val="21"/>
                <w:highlight w:val="none"/>
                <w:lang w:val="en-US" w:eastAsia="zh-CN"/>
              </w:rPr>
              <w:t>1</w:t>
            </w:r>
            <w:r>
              <w:rPr>
                <w:rFonts w:ascii="宋体" w:hAnsi="宋体" w:eastAsia="宋体" w:cs="Times New Roman"/>
                <w:color w:val="auto"/>
                <w:szCs w:val="21"/>
                <w:highlight w:val="none"/>
              </w:rPr>
              <w:t>0</w:t>
            </w:r>
            <w:r>
              <w:rPr>
                <w:rFonts w:hint="eastAsia" w:ascii="宋体" w:hAnsi="宋体" w:eastAsia="宋体" w:cs="Times New Roman"/>
                <w:color w:val="auto"/>
                <w:szCs w:val="21"/>
                <w:highlight w:val="none"/>
              </w:rPr>
              <w:t>万元</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eastAsia="zh-CN"/>
              </w:rPr>
              <w:t>技术负责人</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万元</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eastAsia="zh-CN"/>
              </w:rPr>
              <w:t>。</w:t>
            </w:r>
          </w:p>
        </w:tc>
        <w:tc>
          <w:tcPr>
            <w:tcW w:w="1776" w:type="dxa"/>
            <w:noWrap w:val="0"/>
            <w:vAlign w:val="center"/>
          </w:tcPr>
          <w:p w14:paraId="3AED53CD">
            <w:pPr>
              <w:rPr>
                <w:rFonts w:hint="eastAsia" w:ascii="Times New Roman" w:hAnsi="Times New Roman" w:eastAsia="宋体" w:cs="Times New Roman"/>
                <w:color w:val="auto"/>
                <w:szCs w:val="24"/>
                <w:highlight w:val="none"/>
              </w:rPr>
            </w:pPr>
          </w:p>
        </w:tc>
      </w:tr>
      <w:tr w14:paraId="16268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55" w:type="dxa"/>
            <w:shd w:val="clear" w:color="auto" w:fill="auto"/>
            <w:noWrap w:val="0"/>
            <w:vAlign w:val="center"/>
          </w:tcPr>
          <w:p w14:paraId="21FD32D8">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14</w:t>
            </w:r>
          </w:p>
        </w:tc>
        <w:tc>
          <w:tcPr>
            <w:tcW w:w="1261" w:type="dxa"/>
            <w:shd w:val="clear" w:color="auto" w:fill="auto"/>
            <w:noWrap w:val="0"/>
            <w:vAlign w:val="center"/>
          </w:tcPr>
          <w:p w14:paraId="54113CD6">
            <w:pPr>
              <w:adjustRightInd w:val="0"/>
              <w:snapToGrid w:val="0"/>
              <w:spacing w:line="320" w:lineRule="atLeast"/>
              <w:textAlignment w:val="baseline"/>
              <w:rPr>
                <w:rFonts w:hint="eastAsia" w:ascii="宋体" w:hAnsi="宋体" w:eastAsia="宋体" w:cs="Times New Roman"/>
                <w:snapToGrid w:val="0"/>
                <w:color w:val="auto"/>
                <w:kern w:val="0"/>
                <w:sz w:val="21"/>
                <w:szCs w:val="21"/>
                <w:highlight w:val="none"/>
                <w:lang w:val="en-US" w:eastAsia="zh-CN" w:bidi="ar-SA"/>
              </w:rPr>
            </w:pPr>
            <w:r>
              <w:rPr>
                <w:rFonts w:ascii="宋体" w:hAnsi="宋体" w:eastAsia="宋体" w:cs="Times New Roman"/>
                <w:snapToGrid w:val="0"/>
                <w:color w:val="auto"/>
                <w:kern w:val="0"/>
                <w:szCs w:val="21"/>
                <w:highlight w:val="none"/>
              </w:rPr>
              <w:t>9.5.5（3）</w:t>
            </w:r>
          </w:p>
        </w:tc>
        <w:tc>
          <w:tcPr>
            <w:tcW w:w="5806" w:type="dxa"/>
            <w:shd w:val="clear" w:color="auto" w:fill="auto"/>
            <w:noWrap w:val="0"/>
            <w:vAlign w:val="center"/>
          </w:tcPr>
          <w:p w14:paraId="166193F0">
            <w:pPr>
              <w:adjustRightInd w:val="0"/>
              <w:snapToGrid w:val="0"/>
              <w:spacing w:line="320" w:lineRule="atLeast"/>
              <w:textAlignment w:val="baseline"/>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Cs w:val="21"/>
                <w:highlight w:val="none"/>
              </w:rPr>
              <w:t>承包人应对其</w:t>
            </w:r>
            <w:r>
              <w:rPr>
                <w:rFonts w:hint="eastAsia" w:ascii="宋体" w:hAnsi="宋体" w:eastAsia="宋体" w:cs="Times New Roman"/>
                <w:snapToGrid w:val="0"/>
                <w:color w:val="auto"/>
                <w:kern w:val="0"/>
                <w:szCs w:val="21"/>
                <w:highlight w:val="none"/>
                <w:lang w:eastAsia="zh-CN"/>
              </w:rPr>
              <w:t>项目负责人</w:t>
            </w:r>
            <w:r>
              <w:rPr>
                <w:rFonts w:hint="eastAsia" w:ascii="宋体" w:hAnsi="宋体" w:eastAsia="宋体" w:cs="Times New Roman"/>
                <w:snapToGrid w:val="0"/>
                <w:color w:val="auto"/>
                <w:kern w:val="0"/>
                <w:szCs w:val="21"/>
                <w:highlight w:val="none"/>
              </w:rPr>
              <w:t>和其他人员进行有效管理，如出现不能胜任本职工作、行为不端或玩忽职守或发生有违诚实信用行为（如捏造假技术数据或档案资料等）的，发包人有权撤换相关人员，承包人应予以执行，将视情节严重情况进行通报或约谈项目法人，同时参照本合同条款第</w:t>
            </w:r>
            <w:r>
              <w:rPr>
                <w:rFonts w:ascii="宋体" w:hAnsi="宋体" w:eastAsia="宋体" w:cs="Times New Roman"/>
                <w:snapToGrid w:val="0"/>
                <w:color w:val="auto"/>
                <w:kern w:val="0"/>
                <w:szCs w:val="21"/>
                <w:highlight w:val="none"/>
              </w:rPr>
              <w:t>9.5.5（1）、（2）款的规定提交替换人员资料，报发包人审批，发包人有权按照标准课以违约金。</w:t>
            </w:r>
          </w:p>
        </w:tc>
        <w:tc>
          <w:tcPr>
            <w:tcW w:w="4256" w:type="dxa"/>
            <w:shd w:val="clear" w:color="auto" w:fill="auto"/>
            <w:noWrap w:val="0"/>
            <w:vAlign w:val="center"/>
          </w:tcPr>
          <w:p w14:paraId="3780D7BB">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lang w:val="en-US" w:eastAsia="zh-CN"/>
              </w:rPr>
              <w:t>按照</w:t>
            </w:r>
            <w:r>
              <w:rPr>
                <w:rFonts w:hint="eastAsia" w:ascii="宋体" w:hAnsi="宋体" w:eastAsia="宋体" w:cs="Times New Roman"/>
                <w:color w:val="auto"/>
                <w:szCs w:val="21"/>
                <w:highlight w:val="none"/>
                <w:lang w:eastAsia="zh-CN"/>
              </w:rPr>
              <w:t>项目负责人</w:t>
            </w:r>
            <w:r>
              <w:rPr>
                <w:rFonts w:ascii="宋体" w:hAnsi="宋体" w:eastAsia="宋体" w:cs="Times New Roman"/>
                <w:color w:val="auto"/>
                <w:szCs w:val="21"/>
                <w:highlight w:val="none"/>
              </w:rPr>
              <w:t>20</w:t>
            </w:r>
            <w:r>
              <w:rPr>
                <w:rFonts w:hint="eastAsia" w:ascii="宋体" w:hAnsi="宋体" w:eastAsia="宋体" w:cs="Times New Roman"/>
                <w:color w:val="auto"/>
                <w:szCs w:val="21"/>
                <w:highlight w:val="none"/>
              </w:rPr>
              <w:t>万元</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eastAsia="zh-CN"/>
              </w:rPr>
              <w:t>技术负责人</w:t>
            </w:r>
            <w:r>
              <w:rPr>
                <w:rFonts w:ascii="宋体" w:hAnsi="宋体" w:eastAsia="宋体" w:cs="Times New Roman"/>
                <w:color w:val="auto"/>
                <w:szCs w:val="21"/>
                <w:highlight w:val="none"/>
              </w:rPr>
              <w:t>10</w:t>
            </w:r>
            <w:r>
              <w:rPr>
                <w:rFonts w:hint="eastAsia" w:ascii="宋体" w:hAnsi="宋体" w:eastAsia="宋体" w:cs="Times New Roman"/>
                <w:color w:val="auto"/>
                <w:szCs w:val="21"/>
                <w:highlight w:val="none"/>
              </w:rPr>
              <w:t>万元</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人、其它管理及技术人员</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万元</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人</w:t>
            </w:r>
            <w:r>
              <w:rPr>
                <w:rFonts w:hint="eastAsia" w:ascii="宋体" w:hAnsi="宋体" w:cs="Times New Roman"/>
                <w:color w:val="auto"/>
                <w:szCs w:val="21"/>
                <w:highlight w:val="none"/>
                <w:lang w:val="en-US" w:eastAsia="zh-CN"/>
              </w:rPr>
              <w:t>课以违约金</w:t>
            </w:r>
            <w:r>
              <w:rPr>
                <w:rFonts w:hint="eastAsia" w:ascii="宋体" w:hAnsi="宋体" w:eastAsia="宋体" w:cs="Times New Roman"/>
                <w:color w:val="auto"/>
                <w:szCs w:val="21"/>
                <w:highlight w:val="none"/>
              </w:rPr>
              <w:t>。</w:t>
            </w:r>
          </w:p>
        </w:tc>
        <w:tc>
          <w:tcPr>
            <w:tcW w:w="1776" w:type="dxa"/>
            <w:noWrap w:val="0"/>
            <w:vAlign w:val="center"/>
          </w:tcPr>
          <w:p w14:paraId="2D31187B">
            <w:pPr>
              <w:rPr>
                <w:rFonts w:hint="eastAsia" w:ascii="Times New Roman" w:hAnsi="Times New Roman" w:eastAsia="宋体" w:cs="Times New Roman"/>
                <w:color w:val="auto"/>
                <w:szCs w:val="24"/>
                <w:highlight w:val="none"/>
              </w:rPr>
            </w:pPr>
          </w:p>
        </w:tc>
      </w:tr>
      <w:tr w14:paraId="1035D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55" w:type="dxa"/>
            <w:shd w:val="clear" w:color="auto" w:fill="auto"/>
            <w:noWrap w:val="0"/>
            <w:vAlign w:val="center"/>
          </w:tcPr>
          <w:p w14:paraId="0B4F3E82">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15</w:t>
            </w:r>
          </w:p>
        </w:tc>
        <w:tc>
          <w:tcPr>
            <w:tcW w:w="1261" w:type="dxa"/>
            <w:shd w:val="clear" w:color="auto" w:fill="auto"/>
            <w:noWrap w:val="0"/>
            <w:vAlign w:val="center"/>
          </w:tcPr>
          <w:p w14:paraId="22C49971">
            <w:pPr>
              <w:adjustRightInd w:val="0"/>
              <w:snapToGrid w:val="0"/>
              <w:spacing w:line="320" w:lineRule="atLeast"/>
              <w:textAlignment w:val="baseline"/>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rPr>
              <w:t>9.6.7</w:t>
            </w:r>
          </w:p>
        </w:tc>
        <w:tc>
          <w:tcPr>
            <w:tcW w:w="5806" w:type="dxa"/>
            <w:shd w:val="clear" w:color="auto" w:fill="auto"/>
            <w:noWrap w:val="0"/>
            <w:vAlign w:val="center"/>
          </w:tcPr>
          <w:p w14:paraId="09ABE799">
            <w:pPr>
              <w:adjustRightInd w:val="0"/>
              <w:snapToGrid w:val="0"/>
              <w:spacing w:line="320" w:lineRule="atLeast"/>
              <w:textAlignment w:val="baseline"/>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rPr>
              <w:t>承包人应严格遵守国家有关解决拖欠工程款和农民工工资的法律、法规，及时支付工程中的农民工工资等费用。承包人不得以任何借口拖欠农民工工资等费用，如果出现此种现象，发包人有权认定承包人违约，有权按照标准课以违约金；</w:t>
            </w:r>
          </w:p>
        </w:tc>
        <w:tc>
          <w:tcPr>
            <w:tcW w:w="4256" w:type="dxa"/>
            <w:shd w:val="clear" w:color="auto" w:fill="auto"/>
            <w:noWrap w:val="0"/>
            <w:vAlign w:val="center"/>
          </w:tcPr>
          <w:p w14:paraId="3E9291B7">
            <w:pPr>
              <w:adjustRightInd w:val="0"/>
              <w:snapToGrid w:val="0"/>
              <w:spacing w:line="320" w:lineRule="atLeast"/>
              <w:textAlignment w:val="baseline"/>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rPr>
              <w:t>拖欠金额的10%。</w:t>
            </w:r>
          </w:p>
        </w:tc>
        <w:tc>
          <w:tcPr>
            <w:tcW w:w="1776" w:type="dxa"/>
            <w:noWrap w:val="0"/>
            <w:vAlign w:val="center"/>
          </w:tcPr>
          <w:p w14:paraId="225D13B4">
            <w:pPr>
              <w:rPr>
                <w:rFonts w:hint="eastAsia" w:ascii="Times New Roman" w:hAnsi="Times New Roman" w:eastAsia="宋体" w:cs="Times New Roman"/>
                <w:color w:val="auto"/>
                <w:szCs w:val="24"/>
                <w:highlight w:val="none"/>
              </w:rPr>
            </w:pPr>
          </w:p>
        </w:tc>
      </w:tr>
      <w:tr w14:paraId="7DA91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749513F4">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16</w:t>
            </w:r>
          </w:p>
        </w:tc>
        <w:tc>
          <w:tcPr>
            <w:tcW w:w="1261" w:type="dxa"/>
            <w:noWrap w:val="0"/>
            <w:vAlign w:val="center"/>
          </w:tcPr>
          <w:p w14:paraId="36FA62C0">
            <w:pPr>
              <w:adjustRightInd w:val="0"/>
              <w:snapToGrid w:val="0"/>
              <w:spacing w:line="320" w:lineRule="atLeast"/>
              <w:textAlignment w:val="baseline"/>
              <w:rPr>
                <w:rFonts w:hint="eastAsia" w:ascii="宋体" w:hAnsi="宋体" w:eastAsia="宋体" w:cs="Times New Roman"/>
                <w:snapToGrid w:val="0"/>
                <w:color w:val="auto"/>
                <w:kern w:val="0"/>
                <w:szCs w:val="21"/>
                <w:highlight w:val="none"/>
                <w:lang w:eastAsia="zh-CN"/>
              </w:rPr>
            </w:pPr>
            <w:r>
              <w:rPr>
                <w:rFonts w:ascii="宋体" w:hAnsi="宋体" w:eastAsia="宋体" w:cs="Times New Roman"/>
                <w:snapToGrid w:val="0"/>
                <w:color w:val="auto"/>
                <w:kern w:val="0"/>
                <w:szCs w:val="21"/>
                <w:highlight w:val="none"/>
              </w:rPr>
              <w:t>9.9.2</w:t>
            </w:r>
            <w:r>
              <w:rPr>
                <w:rFonts w:hint="eastAsia" w:ascii="宋体" w:hAnsi="宋体" w:eastAsia="宋体" w:cs="Times New Roman"/>
                <w:snapToGrid w:val="0"/>
                <w:color w:val="auto"/>
                <w:kern w:val="0"/>
                <w:szCs w:val="21"/>
                <w:highlight w:val="none"/>
                <w:lang w:eastAsia="zh-CN"/>
              </w:rPr>
              <w:t>（</w:t>
            </w:r>
            <w:r>
              <w:rPr>
                <w:rFonts w:hint="eastAsia" w:ascii="宋体" w:hAnsi="宋体" w:eastAsia="宋体" w:cs="Times New Roman"/>
                <w:snapToGrid w:val="0"/>
                <w:color w:val="auto"/>
                <w:kern w:val="0"/>
                <w:szCs w:val="21"/>
                <w:highlight w:val="none"/>
                <w:lang w:val="en-US" w:eastAsia="zh-CN"/>
              </w:rPr>
              <w:t>3</w:t>
            </w:r>
            <w:r>
              <w:rPr>
                <w:rFonts w:hint="eastAsia" w:ascii="宋体" w:hAnsi="宋体" w:eastAsia="宋体" w:cs="Times New Roman"/>
                <w:snapToGrid w:val="0"/>
                <w:color w:val="auto"/>
                <w:kern w:val="0"/>
                <w:szCs w:val="21"/>
                <w:highlight w:val="none"/>
                <w:lang w:eastAsia="zh-CN"/>
              </w:rPr>
              <w:t>）</w:t>
            </w:r>
          </w:p>
        </w:tc>
        <w:tc>
          <w:tcPr>
            <w:tcW w:w="5806" w:type="dxa"/>
            <w:noWrap w:val="0"/>
            <w:vAlign w:val="center"/>
          </w:tcPr>
          <w:p w14:paraId="2D970EB6">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如承包人拒绝发包人指派的工作任务时，发包人有权认定承包人违约，有权按照标准课以违约金；</w:t>
            </w:r>
          </w:p>
        </w:tc>
        <w:tc>
          <w:tcPr>
            <w:tcW w:w="4256" w:type="dxa"/>
            <w:noWrap w:val="0"/>
            <w:vAlign w:val="center"/>
          </w:tcPr>
          <w:p w14:paraId="2AD6BDF6">
            <w:pPr>
              <w:spacing w:line="400" w:lineRule="exact"/>
              <w:rPr>
                <w:rFonts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课以</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万元</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次</w:t>
            </w:r>
            <w:r>
              <w:rPr>
                <w:rFonts w:hint="eastAsia" w:ascii="宋体" w:hAnsi="宋体" w:cs="Times New Roman"/>
                <w:color w:val="auto"/>
                <w:szCs w:val="21"/>
                <w:highlight w:val="none"/>
                <w:lang w:val="en-US" w:eastAsia="zh-CN"/>
              </w:rPr>
              <w:t>违约金</w:t>
            </w:r>
            <w:r>
              <w:rPr>
                <w:rFonts w:hint="eastAsia" w:ascii="宋体" w:hAnsi="宋体" w:eastAsia="宋体" w:cs="Times New Roman"/>
                <w:color w:val="auto"/>
                <w:szCs w:val="21"/>
                <w:highlight w:val="none"/>
              </w:rPr>
              <w:t>。</w:t>
            </w:r>
          </w:p>
        </w:tc>
        <w:tc>
          <w:tcPr>
            <w:tcW w:w="1776" w:type="dxa"/>
            <w:noWrap w:val="0"/>
            <w:vAlign w:val="center"/>
          </w:tcPr>
          <w:p w14:paraId="66EA1E5B">
            <w:pPr>
              <w:spacing w:line="400" w:lineRule="exact"/>
              <w:jc w:val="center"/>
              <w:rPr>
                <w:rFonts w:ascii="宋体" w:hAnsi="宋体" w:eastAsia="宋体" w:cs="Times New Roman"/>
                <w:color w:val="auto"/>
                <w:szCs w:val="21"/>
                <w:highlight w:val="none"/>
              </w:rPr>
            </w:pPr>
          </w:p>
        </w:tc>
      </w:tr>
      <w:tr w14:paraId="77F68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blHeader/>
        </w:trPr>
        <w:tc>
          <w:tcPr>
            <w:tcW w:w="955" w:type="dxa"/>
            <w:shd w:val="clear" w:color="auto" w:fill="auto"/>
            <w:noWrap w:val="0"/>
            <w:vAlign w:val="center"/>
          </w:tcPr>
          <w:p w14:paraId="52DA514E">
            <w:pPr>
              <w:spacing w:line="40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17</w:t>
            </w:r>
          </w:p>
        </w:tc>
        <w:tc>
          <w:tcPr>
            <w:tcW w:w="1261" w:type="dxa"/>
            <w:shd w:val="clear" w:color="auto" w:fill="auto"/>
            <w:noWrap w:val="0"/>
            <w:vAlign w:val="center"/>
          </w:tcPr>
          <w:p w14:paraId="3633786A">
            <w:pPr>
              <w:adjustRightInd w:val="0"/>
              <w:snapToGrid w:val="0"/>
              <w:spacing w:line="320" w:lineRule="atLeast"/>
              <w:textAlignment w:val="baseline"/>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9.10.1</w:t>
            </w:r>
          </w:p>
        </w:tc>
        <w:tc>
          <w:tcPr>
            <w:tcW w:w="5806" w:type="dxa"/>
            <w:shd w:val="clear" w:color="auto" w:fill="auto"/>
            <w:noWrap w:val="0"/>
            <w:vAlign w:val="center"/>
          </w:tcPr>
          <w:p w14:paraId="4FCEFB06">
            <w:pPr>
              <w:adjustRightInd w:val="0"/>
              <w:snapToGrid w:val="0"/>
              <w:spacing w:line="320" w:lineRule="atLeast"/>
              <w:textAlignment w:val="baseline"/>
              <w:rPr>
                <w:rFonts w:hint="default" w:ascii="宋体" w:hAnsi="宋体" w:eastAsia="宋体" w:cs="Times New Roman"/>
                <w:snapToGrid w:val="0"/>
                <w:color w:val="auto"/>
                <w:kern w:val="0"/>
                <w:szCs w:val="21"/>
                <w:highlight w:val="none"/>
                <w:lang w:val="en-US"/>
              </w:rPr>
            </w:pPr>
            <w:r>
              <w:rPr>
                <w:rFonts w:hint="eastAsia" w:ascii="宋体" w:hAnsi="宋体" w:eastAsia="宋体" w:cs="Times New Roman"/>
                <w:snapToGrid w:val="0"/>
                <w:color w:val="auto"/>
                <w:kern w:val="0"/>
                <w:szCs w:val="21"/>
                <w:highlight w:val="none"/>
                <w:lang w:val="en-US" w:eastAsia="zh-CN"/>
              </w:rPr>
              <w:t>若承包人未履行相关义务导致居民投诉</w:t>
            </w:r>
            <w:r>
              <w:rPr>
                <w:rFonts w:hint="eastAsia" w:ascii="宋体" w:hAnsi="宋体" w:cs="Times New Roman"/>
                <w:snapToGrid w:val="0"/>
                <w:color w:val="auto"/>
                <w:kern w:val="0"/>
                <w:szCs w:val="21"/>
                <w:highlight w:val="none"/>
                <w:lang w:val="en-US" w:eastAsia="zh-CN"/>
              </w:rPr>
              <w:t>（经发包人或项目咨询单位检查后确认为有效投诉的）</w:t>
            </w:r>
            <w:r>
              <w:rPr>
                <w:rFonts w:hint="eastAsia" w:ascii="宋体" w:hAnsi="宋体" w:eastAsia="宋体" w:cs="Times New Roman"/>
                <w:snapToGrid w:val="0"/>
                <w:color w:val="auto"/>
                <w:kern w:val="0"/>
                <w:szCs w:val="21"/>
                <w:highlight w:val="none"/>
                <w:lang w:val="en-US" w:eastAsia="zh-CN"/>
              </w:rPr>
              <w:t>或纠纷</w:t>
            </w:r>
          </w:p>
        </w:tc>
        <w:tc>
          <w:tcPr>
            <w:tcW w:w="4256" w:type="dxa"/>
            <w:shd w:val="clear" w:color="auto" w:fill="auto"/>
            <w:noWrap w:val="0"/>
            <w:vAlign w:val="center"/>
          </w:tcPr>
          <w:p w14:paraId="67800A34">
            <w:pPr>
              <w:adjustRightInd w:val="0"/>
              <w:snapToGrid w:val="0"/>
              <w:spacing w:line="320" w:lineRule="atLeast"/>
              <w:textAlignment w:val="baseline"/>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color w:val="auto"/>
                <w:szCs w:val="22"/>
                <w:highlight w:val="none"/>
              </w:rPr>
              <w:t>视情况课以</w:t>
            </w:r>
            <w:r>
              <w:rPr>
                <w:rFonts w:hint="eastAsia" w:ascii="宋体" w:hAnsi="宋体" w:cs="Times New Roman"/>
                <w:color w:val="auto"/>
                <w:szCs w:val="22"/>
                <w:highlight w:val="none"/>
                <w:lang w:val="en-US" w:eastAsia="zh-CN"/>
              </w:rPr>
              <w:t>0.1-1</w:t>
            </w:r>
            <w:r>
              <w:rPr>
                <w:rFonts w:ascii="宋体" w:hAnsi="宋体" w:eastAsia="宋体" w:cs="Times New Roman"/>
                <w:color w:val="auto"/>
                <w:szCs w:val="22"/>
                <w:highlight w:val="none"/>
              </w:rPr>
              <w:t>万元/次</w:t>
            </w:r>
            <w:r>
              <w:rPr>
                <w:rFonts w:hint="eastAsia" w:ascii="宋体" w:hAnsi="宋体" w:cs="Times New Roman"/>
                <w:color w:val="auto"/>
                <w:szCs w:val="22"/>
                <w:highlight w:val="none"/>
                <w:lang w:val="en-US" w:eastAsia="zh-CN"/>
              </w:rPr>
              <w:t>违约金</w:t>
            </w:r>
            <w:r>
              <w:rPr>
                <w:rFonts w:ascii="宋体" w:hAnsi="宋体" w:eastAsia="宋体" w:cs="Times New Roman"/>
                <w:color w:val="auto"/>
                <w:szCs w:val="22"/>
                <w:highlight w:val="none"/>
              </w:rPr>
              <w:t>。</w:t>
            </w:r>
          </w:p>
        </w:tc>
        <w:tc>
          <w:tcPr>
            <w:tcW w:w="1776" w:type="dxa"/>
            <w:noWrap w:val="0"/>
            <w:vAlign w:val="center"/>
          </w:tcPr>
          <w:p w14:paraId="7A5AE662">
            <w:pPr>
              <w:rPr>
                <w:rFonts w:hint="eastAsia" w:ascii="Times New Roman" w:hAnsi="Times New Roman" w:eastAsia="宋体" w:cs="Times New Roman"/>
                <w:color w:val="auto"/>
                <w:szCs w:val="24"/>
                <w:highlight w:val="none"/>
              </w:rPr>
            </w:pPr>
          </w:p>
        </w:tc>
      </w:tr>
      <w:tr w14:paraId="3A4E8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blHeader/>
        </w:trPr>
        <w:tc>
          <w:tcPr>
            <w:tcW w:w="955" w:type="dxa"/>
            <w:shd w:val="clear" w:color="auto" w:fill="auto"/>
            <w:noWrap w:val="0"/>
            <w:vAlign w:val="center"/>
          </w:tcPr>
          <w:p w14:paraId="14185AF0">
            <w:pPr>
              <w:spacing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18</w:t>
            </w:r>
          </w:p>
        </w:tc>
        <w:tc>
          <w:tcPr>
            <w:tcW w:w="1261" w:type="dxa"/>
            <w:shd w:val="clear" w:color="auto" w:fill="auto"/>
            <w:noWrap w:val="0"/>
            <w:vAlign w:val="center"/>
          </w:tcPr>
          <w:p w14:paraId="231AEFE6">
            <w:pPr>
              <w:adjustRightInd w:val="0"/>
              <w:snapToGrid w:val="0"/>
              <w:spacing w:line="320" w:lineRule="atLeast"/>
              <w:textAlignment w:val="baseline"/>
              <w:rPr>
                <w:rFonts w:hint="default" w:ascii="宋体" w:hAnsi="宋体" w:eastAsia="宋体" w:cs="Times New Roman"/>
                <w:snapToGrid w:val="0"/>
                <w:color w:val="auto"/>
                <w:kern w:val="0"/>
                <w:szCs w:val="21"/>
                <w:highlight w:val="none"/>
                <w:lang w:val="en-US" w:eastAsia="zh-CN"/>
              </w:rPr>
            </w:pPr>
            <w:r>
              <w:rPr>
                <w:rFonts w:hint="eastAsia" w:ascii="宋体" w:hAnsi="宋体" w:cs="Times New Roman"/>
                <w:snapToGrid w:val="0"/>
                <w:color w:val="auto"/>
                <w:kern w:val="0"/>
                <w:szCs w:val="21"/>
                <w:highlight w:val="none"/>
                <w:lang w:val="en-US" w:eastAsia="zh-CN"/>
              </w:rPr>
              <w:t>9.10.2</w:t>
            </w:r>
          </w:p>
        </w:tc>
        <w:tc>
          <w:tcPr>
            <w:tcW w:w="5806" w:type="dxa"/>
            <w:shd w:val="clear" w:color="auto" w:fill="auto"/>
            <w:noWrap w:val="0"/>
            <w:vAlign w:val="center"/>
          </w:tcPr>
          <w:p w14:paraId="62B62C33">
            <w:pPr>
              <w:adjustRightInd w:val="0"/>
              <w:snapToGrid w:val="0"/>
              <w:spacing w:line="320" w:lineRule="atLeast"/>
              <w:textAlignment w:val="baseline"/>
              <w:rPr>
                <w:rFonts w:hint="default" w:ascii="宋体" w:hAnsi="宋体" w:eastAsia="宋体" w:cs="Times New Roman"/>
                <w:snapToGrid w:val="0"/>
                <w:color w:val="auto"/>
                <w:kern w:val="0"/>
                <w:szCs w:val="21"/>
                <w:highlight w:val="none"/>
                <w:lang w:val="en-US" w:eastAsia="zh-CN"/>
              </w:rPr>
            </w:pPr>
            <w:r>
              <w:rPr>
                <w:rFonts w:hint="eastAsia" w:ascii="宋体" w:hAnsi="宋体" w:cs="Times New Roman"/>
                <w:snapToGrid w:val="0"/>
                <w:color w:val="auto"/>
                <w:kern w:val="0"/>
                <w:szCs w:val="21"/>
                <w:highlight w:val="none"/>
                <w:lang w:val="en-US" w:eastAsia="zh-CN"/>
              </w:rPr>
              <w:t>若承包人未经发包人批准擅自开发利用公共资源、水利资产的。</w:t>
            </w:r>
          </w:p>
        </w:tc>
        <w:tc>
          <w:tcPr>
            <w:tcW w:w="4256" w:type="dxa"/>
            <w:shd w:val="clear" w:color="auto" w:fill="auto"/>
            <w:noWrap w:val="0"/>
            <w:vAlign w:val="center"/>
          </w:tcPr>
          <w:p w14:paraId="226B114C">
            <w:pPr>
              <w:adjustRightInd w:val="0"/>
              <w:snapToGrid w:val="0"/>
              <w:spacing w:line="320" w:lineRule="atLeast"/>
              <w:textAlignment w:val="baseline"/>
              <w:rPr>
                <w:rFonts w:hint="default" w:ascii="宋体" w:hAnsi="宋体" w:cs="Times New Roman"/>
                <w:color w:val="auto"/>
                <w:szCs w:val="22"/>
                <w:highlight w:val="none"/>
                <w:lang w:val="en-US" w:eastAsia="zh-CN"/>
              </w:rPr>
            </w:pPr>
            <w:r>
              <w:rPr>
                <w:rFonts w:hint="eastAsia" w:ascii="宋体" w:hAnsi="宋体" w:cs="Times New Roman"/>
                <w:color w:val="auto"/>
                <w:szCs w:val="22"/>
                <w:highlight w:val="none"/>
                <w:lang w:val="en-US" w:eastAsia="zh-CN"/>
              </w:rPr>
              <w:t>恢复原状，对发包人造成损失的，赔偿损失并课以1万元/次违约金。</w:t>
            </w:r>
          </w:p>
        </w:tc>
        <w:tc>
          <w:tcPr>
            <w:tcW w:w="1776" w:type="dxa"/>
            <w:noWrap w:val="0"/>
            <w:vAlign w:val="center"/>
          </w:tcPr>
          <w:p w14:paraId="1A0D0630">
            <w:pPr>
              <w:rPr>
                <w:rFonts w:hint="eastAsia" w:ascii="Times New Roman" w:hAnsi="Times New Roman" w:eastAsia="宋体" w:cs="Times New Roman"/>
                <w:color w:val="auto"/>
                <w:szCs w:val="24"/>
                <w:highlight w:val="none"/>
              </w:rPr>
            </w:pPr>
          </w:p>
        </w:tc>
      </w:tr>
      <w:tr w14:paraId="24759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blHeader/>
        </w:trPr>
        <w:tc>
          <w:tcPr>
            <w:tcW w:w="955" w:type="dxa"/>
            <w:shd w:val="clear" w:color="auto" w:fill="auto"/>
            <w:noWrap w:val="0"/>
            <w:vAlign w:val="center"/>
          </w:tcPr>
          <w:p w14:paraId="52223444">
            <w:pPr>
              <w:spacing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19</w:t>
            </w:r>
          </w:p>
        </w:tc>
        <w:tc>
          <w:tcPr>
            <w:tcW w:w="1261" w:type="dxa"/>
            <w:shd w:val="clear" w:color="auto" w:fill="auto"/>
            <w:noWrap w:val="0"/>
            <w:vAlign w:val="center"/>
          </w:tcPr>
          <w:p w14:paraId="70F88120">
            <w:pPr>
              <w:adjustRightInd w:val="0"/>
              <w:snapToGrid w:val="0"/>
              <w:spacing w:line="320" w:lineRule="atLeast"/>
              <w:textAlignment w:val="baseline"/>
              <w:rPr>
                <w:rFonts w:hint="default" w:ascii="宋体" w:hAnsi="宋体" w:eastAsia="宋体" w:cs="Times New Roman"/>
                <w:snapToGrid w:val="0"/>
                <w:color w:val="auto"/>
                <w:kern w:val="0"/>
                <w:szCs w:val="21"/>
                <w:highlight w:val="none"/>
                <w:lang w:eastAsia="zh-Hans"/>
              </w:rPr>
            </w:pPr>
            <w:r>
              <w:rPr>
                <w:rFonts w:hint="default" w:ascii="宋体" w:hAnsi="宋体" w:cs="Times New Roman"/>
                <w:snapToGrid w:val="0"/>
                <w:color w:val="auto"/>
                <w:kern w:val="0"/>
                <w:szCs w:val="21"/>
                <w:highlight w:val="none"/>
                <w:lang w:eastAsia="zh-CN"/>
              </w:rPr>
              <w:t>9</w:t>
            </w:r>
            <w:r>
              <w:rPr>
                <w:rFonts w:hint="eastAsia" w:ascii="宋体" w:hAnsi="宋体" w:cs="Times New Roman"/>
                <w:snapToGrid w:val="0"/>
                <w:color w:val="auto"/>
                <w:kern w:val="0"/>
                <w:szCs w:val="21"/>
                <w:highlight w:val="none"/>
                <w:lang w:val="en-US" w:eastAsia="zh-Hans"/>
              </w:rPr>
              <w:t>.</w:t>
            </w:r>
            <w:r>
              <w:rPr>
                <w:rFonts w:hint="default" w:ascii="宋体" w:hAnsi="宋体" w:cs="Times New Roman"/>
                <w:snapToGrid w:val="0"/>
                <w:color w:val="auto"/>
                <w:kern w:val="0"/>
                <w:szCs w:val="21"/>
                <w:highlight w:val="none"/>
                <w:lang w:eastAsia="zh-Hans"/>
              </w:rPr>
              <w:t>10</w:t>
            </w:r>
            <w:r>
              <w:rPr>
                <w:rFonts w:hint="eastAsia" w:ascii="宋体" w:hAnsi="宋体" w:cs="Times New Roman"/>
                <w:snapToGrid w:val="0"/>
                <w:color w:val="auto"/>
                <w:kern w:val="0"/>
                <w:szCs w:val="21"/>
                <w:highlight w:val="none"/>
                <w:lang w:val="en-US" w:eastAsia="zh-Hans"/>
              </w:rPr>
              <w:t>.</w:t>
            </w:r>
            <w:r>
              <w:rPr>
                <w:rFonts w:hint="default" w:ascii="宋体" w:hAnsi="宋体" w:cs="Times New Roman"/>
                <w:snapToGrid w:val="0"/>
                <w:color w:val="auto"/>
                <w:kern w:val="0"/>
                <w:szCs w:val="21"/>
                <w:highlight w:val="none"/>
                <w:lang w:eastAsia="zh-Hans"/>
              </w:rPr>
              <w:t>4</w:t>
            </w:r>
          </w:p>
        </w:tc>
        <w:tc>
          <w:tcPr>
            <w:tcW w:w="5806" w:type="dxa"/>
            <w:shd w:val="clear" w:color="auto" w:fill="auto"/>
            <w:noWrap w:val="0"/>
            <w:vAlign w:val="center"/>
          </w:tcPr>
          <w:p w14:paraId="5D84213D">
            <w:pPr>
              <w:adjustRightInd w:val="0"/>
              <w:snapToGrid w:val="0"/>
              <w:spacing w:line="320" w:lineRule="atLeast"/>
              <w:textAlignment w:val="baseline"/>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承包人在合同期间应确保合同范围内水利设施的安全使用，因承包人自身原因造成水利设施的缺陷或损坏的</w:t>
            </w:r>
          </w:p>
        </w:tc>
        <w:tc>
          <w:tcPr>
            <w:tcW w:w="4256" w:type="dxa"/>
            <w:shd w:val="clear" w:color="auto" w:fill="auto"/>
            <w:noWrap w:val="0"/>
            <w:vAlign w:val="center"/>
          </w:tcPr>
          <w:p w14:paraId="50FFB3DA">
            <w:pPr>
              <w:adjustRightInd w:val="0"/>
              <w:snapToGrid w:val="0"/>
              <w:spacing w:line="320" w:lineRule="atLeast"/>
              <w:textAlignment w:val="baseline"/>
              <w:rPr>
                <w:rFonts w:hint="default" w:ascii="宋体" w:hAnsi="宋体" w:eastAsia="宋体" w:cs="Times New Roman"/>
                <w:color w:val="auto"/>
                <w:szCs w:val="22"/>
                <w:highlight w:val="none"/>
                <w:lang w:eastAsia="zh-Hans"/>
              </w:rPr>
            </w:pPr>
            <w:r>
              <w:rPr>
                <w:rFonts w:hint="eastAsia" w:ascii="宋体" w:hAnsi="宋体" w:cs="Times New Roman"/>
                <w:color w:val="auto"/>
                <w:szCs w:val="22"/>
                <w:highlight w:val="none"/>
                <w:lang w:val="en-US" w:eastAsia="zh-Hans"/>
              </w:rPr>
              <w:t>除按原设计标准进行修复外</w:t>
            </w:r>
            <w:r>
              <w:rPr>
                <w:rFonts w:hint="default" w:ascii="宋体" w:hAnsi="宋体" w:cs="Times New Roman"/>
                <w:color w:val="auto"/>
                <w:szCs w:val="22"/>
                <w:highlight w:val="none"/>
                <w:lang w:eastAsia="zh-Hans"/>
              </w:rPr>
              <w:t>，</w:t>
            </w:r>
            <w:r>
              <w:rPr>
                <w:rFonts w:hint="eastAsia" w:ascii="宋体" w:hAnsi="宋体" w:cs="Times New Roman"/>
                <w:color w:val="auto"/>
                <w:szCs w:val="22"/>
                <w:highlight w:val="none"/>
                <w:lang w:val="en-US" w:eastAsia="zh-Hans"/>
              </w:rPr>
              <w:t>按照修复费用的</w:t>
            </w:r>
            <w:r>
              <w:rPr>
                <w:rFonts w:hint="default" w:ascii="宋体" w:hAnsi="宋体" w:cs="Times New Roman"/>
                <w:color w:val="auto"/>
                <w:szCs w:val="22"/>
                <w:highlight w:val="none"/>
                <w:lang w:eastAsia="zh-Hans"/>
              </w:rPr>
              <w:t>10%</w:t>
            </w:r>
            <w:r>
              <w:rPr>
                <w:rFonts w:hint="eastAsia" w:ascii="宋体" w:hAnsi="宋体" w:cs="Times New Roman"/>
                <w:color w:val="auto"/>
                <w:szCs w:val="22"/>
                <w:highlight w:val="none"/>
                <w:lang w:val="en-US" w:eastAsia="zh-Hans"/>
              </w:rPr>
              <w:t>课以违约金</w:t>
            </w:r>
            <w:r>
              <w:rPr>
                <w:rFonts w:hint="default" w:ascii="宋体" w:hAnsi="宋体" w:cs="Times New Roman"/>
                <w:color w:val="auto"/>
                <w:szCs w:val="22"/>
                <w:highlight w:val="none"/>
                <w:lang w:eastAsia="zh-Hans"/>
              </w:rPr>
              <w:t>。</w:t>
            </w:r>
          </w:p>
        </w:tc>
        <w:tc>
          <w:tcPr>
            <w:tcW w:w="1776" w:type="dxa"/>
            <w:noWrap w:val="0"/>
            <w:vAlign w:val="center"/>
          </w:tcPr>
          <w:p w14:paraId="4877D62C">
            <w:pPr>
              <w:rPr>
                <w:rFonts w:hint="eastAsia" w:ascii="Times New Roman" w:hAnsi="Times New Roman" w:eastAsia="宋体" w:cs="Times New Roman"/>
                <w:color w:val="auto"/>
                <w:szCs w:val="24"/>
                <w:highlight w:val="none"/>
              </w:rPr>
            </w:pPr>
          </w:p>
        </w:tc>
      </w:tr>
      <w:tr w14:paraId="6592F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blHeader/>
        </w:trPr>
        <w:tc>
          <w:tcPr>
            <w:tcW w:w="955" w:type="dxa"/>
            <w:shd w:val="clear" w:color="auto" w:fill="auto"/>
            <w:noWrap w:val="0"/>
            <w:vAlign w:val="center"/>
          </w:tcPr>
          <w:p w14:paraId="22FCA0CA">
            <w:pPr>
              <w:spacing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20</w:t>
            </w:r>
          </w:p>
        </w:tc>
        <w:tc>
          <w:tcPr>
            <w:tcW w:w="1261" w:type="dxa"/>
            <w:shd w:val="clear" w:color="auto" w:fill="auto"/>
            <w:noWrap w:val="0"/>
            <w:vAlign w:val="center"/>
          </w:tcPr>
          <w:p w14:paraId="753A0DFF">
            <w:pPr>
              <w:adjustRightInd w:val="0"/>
              <w:snapToGrid w:val="0"/>
              <w:spacing w:line="320" w:lineRule="atLeast"/>
              <w:textAlignment w:val="baseline"/>
              <w:rPr>
                <w:rFonts w:hint="default" w:ascii="宋体" w:hAnsi="宋体" w:eastAsia="宋体" w:cs="Times New Roman"/>
                <w:snapToGrid w:val="0"/>
                <w:color w:val="auto"/>
                <w:kern w:val="0"/>
                <w:szCs w:val="21"/>
                <w:highlight w:val="none"/>
                <w:lang w:eastAsia="zh-Hans"/>
              </w:rPr>
            </w:pPr>
            <w:r>
              <w:rPr>
                <w:rFonts w:hint="default" w:ascii="宋体" w:hAnsi="宋体" w:cs="Times New Roman"/>
                <w:snapToGrid w:val="0"/>
                <w:color w:val="auto"/>
                <w:kern w:val="0"/>
                <w:szCs w:val="21"/>
                <w:highlight w:val="none"/>
                <w:lang w:eastAsia="zh-CN"/>
              </w:rPr>
              <w:t>9.10</w:t>
            </w:r>
            <w:r>
              <w:rPr>
                <w:rFonts w:hint="eastAsia" w:ascii="宋体" w:hAnsi="宋体" w:cs="Times New Roman"/>
                <w:snapToGrid w:val="0"/>
                <w:color w:val="auto"/>
                <w:kern w:val="0"/>
                <w:szCs w:val="21"/>
                <w:highlight w:val="none"/>
                <w:lang w:val="en-US" w:eastAsia="zh-Hans"/>
              </w:rPr>
              <w:t>.</w:t>
            </w:r>
            <w:r>
              <w:rPr>
                <w:rFonts w:hint="default" w:ascii="宋体" w:hAnsi="宋体" w:cs="Times New Roman"/>
                <w:snapToGrid w:val="0"/>
                <w:color w:val="auto"/>
                <w:kern w:val="0"/>
                <w:szCs w:val="21"/>
                <w:highlight w:val="none"/>
                <w:lang w:eastAsia="zh-Hans"/>
              </w:rPr>
              <w:t>5</w:t>
            </w:r>
          </w:p>
        </w:tc>
        <w:tc>
          <w:tcPr>
            <w:tcW w:w="5806" w:type="dxa"/>
            <w:shd w:val="clear" w:color="auto" w:fill="auto"/>
            <w:noWrap w:val="0"/>
            <w:vAlign w:val="center"/>
          </w:tcPr>
          <w:p w14:paraId="47637DCE">
            <w:pPr>
              <w:adjustRightInd w:val="0"/>
              <w:snapToGrid w:val="0"/>
              <w:spacing w:line="320" w:lineRule="atLeast"/>
              <w:textAlignment w:val="baseline"/>
              <w:rPr>
                <w:rFonts w:hint="eastAsia" w:ascii="宋体" w:hAnsi="宋体" w:eastAsia="宋体" w:cs="Times New Roman"/>
                <w:snapToGrid w:val="0"/>
                <w:color w:val="auto"/>
                <w:kern w:val="0"/>
                <w:szCs w:val="21"/>
                <w:highlight w:val="none"/>
                <w:lang w:val="en-US" w:eastAsia="zh-CN"/>
              </w:rPr>
            </w:pPr>
            <w:r>
              <w:rPr>
                <w:rFonts w:hint="eastAsia" w:ascii="宋体" w:hAnsi="宋体" w:cs="Times New Roman"/>
                <w:snapToGrid w:val="0"/>
                <w:color w:val="auto"/>
                <w:kern w:val="0"/>
                <w:szCs w:val="21"/>
                <w:highlight w:val="none"/>
                <w:lang w:val="en-US" w:eastAsia="zh-Hans"/>
              </w:rPr>
              <w:t>承包人未按发包人要求完成</w:t>
            </w:r>
            <w:r>
              <w:rPr>
                <w:rFonts w:hint="eastAsia" w:ascii="宋体" w:hAnsi="宋体" w:eastAsia="宋体" w:cs="Times New Roman"/>
                <w:snapToGrid w:val="0"/>
                <w:color w:val="auto"/>
                <w:kern w:val="0"/>
                <w:szCs w:val="21"/>
                <w:highlight w:val="none"/>
                <w:lang w:val="en-US" w:eastAsia="zh-CN"/>
              </w:rPr>
              <w:t>运行维护管理平台建设</w:t>
            </w:r>
            <w:r>
              <w:rPr>
                <w:rFonts w:hint="eastAsia" w:ascii="宋体" w:hAnsi="宋体" w:cs="Times New Roman"/>
                <w:snapToGrid w:val="0"/>
                <w:color w:val="auto"/>
                <w:kern w:val="0"/>
                <w:szCs w:val="21"/>
                <w:highlight w:val="none"/>
                <w:lang w:val="en-US" w:eastAsia="zh-Hans"/>
              </w:rPr>
              <w:t>的</w:t>
            </w:r>
            <w:r>
              <w:rPr>
                <w:rFonts w:hint="eastAsia" w:ascii="宋体" w:hAnsi="宋体" w:cs="Times New Roman"/>
                <w:snapToGrid w:val="0"/>
                <w:color w:val="auto"/>
                <w:kern w:val="0"/>
                <w:szCs w:val="21"/>
                <w:highlight w:val="none"/>
                <w:lang w:val="en-US" w:eastAsia="zh-CN"/>
              </w:rPr>
              <w:t>。</w:t>
            </w:r>
          </w:p>
        </w:tc>
        <w:tc>
          <w:tcPr>
            <w:tcW w:w="4256" w:type="dxa"/>
            <w:shd w:val="clear" w:color="auto" w:fill="auto"/>
            <w:noWrap w:val="0"/>
            <w:vAlign w:val="center"/>
          </w:tcPr>
          <w:p w14:paraId="2DD846F3">
            <w:pPr>
              <w:adjustRightInd w:val="0"/>
              <w:snapToGrid w:val="0"/>
              <w:spacing w:line="320" w:lineRule="atLeast"/>
              <w:textAlignment w:val="baseline"/>
              <w:rPr>
                <w:rFonts w:hint="eastAsia" w:ascii="宋体" w:hAnsi="宋体" w:eastAsia="宋体" w:cs="Times New Roman"/>
                <w:color w:val="auto"/>
                <w:szCs w:val="22"/>
                <w:highlight w:val="none"/>
                <w:lang w:val="en-US" w:eastAsia="zh-CN"/>
              </w:rPr>
            </w:pPr>
            <w:r>
              <w:rPr>
                <w:rFonts w:hint="eastAsia" w:ascii="宋体" w:hAnsi="宋体" w:cs="Times New Roman"/>
                <w:color w:val="auto"/>
                <w:szCs w:val="22"/>
                <w:highlight w:val="none"/>
                <w:lang w:val="en-US" w:eastAsia="zh-CN"/>
              </w:rPr>
              <w:t>按照</w:t>
            </w:r>
            <w:r>
              <w:rPr>
                <w:rFonts w:hint="default" w:ascii="宋体" w:hAnsi="宋体" w:cs="Times New Roman"/>
                <w:color w:val="auto"/>
                <w:szCs w:val="22"/>
                <w:highlight w:val="none"/>
                <w:lang w:eastAsia="zh-Hans"/>
              </w:rPr>
              <w:t>20</w:t>
            </w:r>
            <w:r>
              <w:rPr>
                <w:rFonts w:hint="eastAsia" w:ascii="宋体" w:hAnsi="宋体" w:cs="Times New Roman"/>
                <w:color w:val="auto"/>
                <w:szCs w:val="22"/>
                <w:highlight w:val="none"/>
                <w:lang w:val="en-US" w:eastAsia="zh-Hans"/>
              </w:rPr>
              <w:t>万元</w:t>
            </w:r>
            <w:r>
              <w:rPr>
                <w:rFonts w:hint="eastAsia" w:ascii="宋体" w:hAnsi="宋体" w:cs="Times New Roman"/>
                <w:color w:val="auto"/>
                <w:szCs w:val="22"/>
                <w:highlight w:val="none"/>
                <w:lang w:val="en-US" w:eastAsia="zh-CN"/>
              </w:rPr>
              <w:t>课以</w:t>
            </w:r>
            <w:r>
              <w:rPr>
                <w:rFonts w:hint="eastAsia" w:ascii="宋体" w:hAnsi="宋体" w:cs="Times New Roman"/>
                <w:color w:val="auto"/>
                <w:szCs w:val="22"/>
                <w:highlight w:val="none"/>
                <w:lang w:val="en-US" w:eastAsia="zh-Hans"/>
              </w:rPr>
              <w:t>违约金</w:t>
            </w:r>
            <w:r>
              <w:rPr>
                <w:rFonts w:hint="default" w:ascii="宋体" w:hAnsi="宋体" w:cs="Times New Roman"/>
                <w:color w:val="auto"/>
                <w:szCs w:val="22"/>
                <w:highlight w:val="none"/>
                <w:lang w:eastAsia="zh-Hans"/>
              </w:rPr>
              <w:t>。</w:t>
            </w:r>
          </w:p>
        </w:tc>
        <w:tc>
          <w:tcPr>
            <w:tcW w:w="1776" w:type="dxa"/>
            <w:noWrap w:val="0"/>
            <w:vAlign w:val="center"/>
          </w:tcPr>
          <w:p w14:paraId="1F9C175B">
            <w:pPr>
              <w:rPr>
                <w:rFonts w:hint="eastAsia" w:ascii="Times New Roman" w:hAnsi="Times New Roman" w:eastAsia="宋体" w:cs="Times New Roman"/>
                <w:color w:val="auto"/>
                <w:szCs w:val="24"/>
                <w:highlight w:val="none"/>
              </w:rPr>
            </w:pPr>
          </w:p>
        </w:tc>
      </w:tr>
      <w:tr w14:paraId="61A49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blHeader/>
        </w:trPr>
        <w:tc>
          <w:tcPr>
            <w:tcW w:w="955" w:type="dxa"/>
            <w:shd w:val="clear" w:color="auto" w:fill="auto"/>
            <w:noWrap w:val="0"/>
            <w:vAlign w:val="center"/>
          </w:tcPr>
          <w:p w14:paraId="6E84E0C3">
            <w:pPr>
              <w:spacing w:line="40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21</w:t>
            </w:r>
          </w:p>
        </w:tc>
        <w:tc>
          <w:tcPr>
            <w:tcW w:w="1261" w:type="dxa"/>
            <w:shd w:val="clear" w:color="auto" w:fill="auto"/>
            <w:noWrap w:val="0"/>
            <w:vAlign w:val="center"/>
          </w:tcPr>
          <w:p w14:paraId="504A7541">
            <w:pPr>
              <w:adjustRightInd w:val="0"/>
              <w:snapToGrid w:val="0"/>
              <w:spacing w:line="320" w:lineRule="atLeast"/>
              <w:textAlignment w:val="baseline"/>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9.10.</w:t>
            </w:r>
            <w:r>
              <w:rPr>
                <w:rFonts w:hint="default" w:ascii="宋体" w:hAnsi="宋体" w:cs="Times New Roman"/>
                <w:snapToGrid w:val="0"/>
                <w:color w:val="auto"/>
                <w:kern w:val="0"/>
                <w:szCs w:val="21"/>
                <w:highlight w:val="none"/>
                <w:lang w:eastAsia="zh-CN"/>
              </w:rPr>
              <w:t>6</w:t>
            </w:r>
          </w:p>
        </w:tc>
        <w:tc>
          <w:tcPr>
            <w:tcW w:w="5806" w:type="dxa"/>
            <w:shd w:val="clear" w:color="auto" w:fill="auto"/>
            <w:noWrap w:val="0"/>
            <w:vAlign w:val="center"/>
          </w:tcPr>
          <w:p w14:paraId="1675C526">
            <w:pPr>
              <w:adjustRightInd w:val="0"/>
              <w:snapToGrid w:val="0"/>
              <w:spacing w:line="320" w:lineRule="atLeast"/>
              <w:textAlignment w:val="baseline"/>
              <w:rPr>
                <w:rFonts w:hint="default" w:ascii="宋体" w:hAnsi="宋体" w:eastAsia="宋体" w:cs="Times New Roman"/>
                <w:snapToGrid w:val="0"/>
                <w:color w:val="auto"/>
                <w:kern w:val="0"/>
                <w:szCs w:val="21"/>
                <w:highlight w:val="none"/>
                <w:lang w:val="en-US" w:eastAsia="zh-CN"/>
              </w:rPr>
            </w:pPr>
            <w:r>
              <w:rPr>
                <w:rFonts w:hint="eastAsia" w:ascii="宋体" w:hAnsi="宋体" w:cs="Times New Roman"/>
                <w:snapToGrid w:val="0"/>
                <w:color w:val="auto"/>
                <w:kern w:val="0"/>
                <w:szCs w:val="21"/>
                <w:highlight w:val="none"/>
                <w:lang w:val="en-US" w:eastAsia="zh-CN"/>
              </w:rPr>
              <w:t>未按合同约定的金额投入科研工作的</w:t>
            </w:r>
          </w:p>
        </w:tc>
        <w:tc>
          <w:tcPr>
            <w:tcW w:w="4256" w:type="dxa"/>
            <w:shd w:val="clear" w:color="auto" w:fill="auto"/>
            <w:noWrap w:val="0"/>
            <w:vAlign w:val="center"/>
          </w:tcPr>
          <w:p w14:paraId="33F68DB8">
            <w:pPr>
              <w:adjustRightInd w:val="0"/>
              <w:snapToGrid w:val="0"/>
              <w:spacing w:line="320" w:lineRule="atLeast"/>
              <w:textAlignment w:val="baseline"/>
              <w:rPr>
                <w:rFonts w:hint="default" w:ascii="宋体" w:hAnsi="宋体" w:eastAsia="宋体" w:cs="Times New Roman"/>
                <w:snapToGrid w:val="0"/>
                <w:color w:val="auto"/>
                <w:kern w:val="0"/>
                <w:szCs w:val="21"/>
                <w:highlight w:val="none"/>
                <w:lang w:val="en-US" w:eastAsia="zh-CN"/>
              </w:rPr>
            </w:pPr>
            <w:r>
              <w:rPr>
                <w:rFonts w:hint="eastAsia" w:ascii="宋体" w:hAnsi="宋体" w:cs="Times New Roman"/>
                <w:snapToGrid w:val="0"/>
                <w:color w:val="auto"/>
                <w:kern w:val="0"/>
                <w:szCs w:val="21"/>
                <w:highlight w:val="none"/>
                <w:lang w:val="en-US" w:eastAsia="zh-CN"/>
              </w:rPr>
              <w:t>按照不足金额的80%课以违约金。</w:t>
            </w:r>
          </w:p>
        </w:tc>
        <w:tc>
          <w:tcPr>
            <w:tcW w:w="1776" w:type="dxa"/>
            <w:noWrap w:val="0"/>
            <w:vAlign w:val="center"/>
          </w:tcPr>
          <w:p w14:paraId="33E51ADA">
            <w:pPr>
              <w:rPr>
                <w:rFonts w:hint="eastAsia" w:ascii="Times New Roman" w:hAnsi="Times New Roman" w:eastAsia="宋体" w:cs="Times New Roman"/>
                <w:color w:val="auto"/>
                <w:szCs w:val="24"/>
                <w:highlight w:val="none"/>
              </w:rPr>
            </w:pPr>
          </w:p>
        </w:tc>
      </w:tr>
      <w:tr w14:paraId="4EA72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955" w:type="dxa"/>
            <w:shd w:val="clear" w:color="auto" w:fill="auto"/>
            <w:noWrap w:val="0"/>
            <w:vAlign w:val="center"/>
          </w:tcPr>
          <w:p w14:paraId="01FAFC92">
            <w:pPr>
              <w:spacing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22</w:t>
            </w:r>
          </w:p>
        </w:tc>
        <w:tc>
          <w:tcPr>
            <w:tcW w:w="1261" w:type="dxa"/>
            <w:noWrap w:val="0"/>
            <w:vAlign w:val="center"/>
          </w:tcPr>
          <w:p w14:paraId="1879F308">
            <w:pPr>
              <w:jc w:val="both"/>
              <w:rPr>
                <w:rFonts w:hint="default" w:ascii="Times New Roman" w:hAnsi="Times New Roman" w:eastAsia="宋体" w:cs="Times New Roman"/>
                <w:color w:val="auto"/>
                <w:szCs w:val="24"/>
                <w:highlight w:val="none"/>
                <w:lang w:val="en-US" w:eastAsia="zh-Hans"/>
              </w:rPr>
            </w:pPr>
            <w:r>
              <w:rPr>
                <w:rFonts w:hint="eastAsia" w:ascii="Times New Roman" w:hAnsi="Times New Roman" w:cs="Times New Roman"/>
                <w:color w:val="auto"/>
                <w:szCs w:val="24"/>
                <w:highlight w:val="none"/>
                <w:lang w:val="en-US" w:eastAsia="zh-CN"/>
              </w:rPr>
              <w:t>9.10.7</w:t>
            </w:r>
          </w:p>
        </w:tc>
        <w:tc>
          <w:tcPr>
            <w:tcW w:w="5806" w:type="dxa"/>
            <w:noWrap w:val="0"/>
            <w:vAlign w:val="center"/>
          </w:tcPr>
          <w:p w14:paraId="5043FD6D">
            <w:pPr>
              <w:jc w:val="both"/>
              <w:rPr>
                <w:rFonts w:hint="default" w:ascii="Times New Roman" w:hAnsi="Times New Roman" w:eastAsia="宋体" w:cs="Times New Roman"/>
                <w:color w:val="auto"/>
                <w:szCs w:val="24"/>
                <w:highlight w:val="none"/>
                <w:lang w:eastAsia="zh-Hans"/>
              </w:rPr>
            </w:pPr>
            <w:r>
              <w:rPr>
                <w:rFonts w:hint="eastAsia" w:ascii="Times New Roman" w:hAnsi="Times New Roman" w:cs="Times New Roman"/>
                <w:color w:val="auto"/>
                <w:szCs w:val="24"/>
                <w:highlight w:val="none"/>
                <w:lang w:val="en-US" w:eastAsia="zh-Hans"/>
              </w:rPr>
              <w:t>承包人未按发包人要求发表核心论文的</w:t>
            </w:r>
          </w:p>
        </w:tc>
        <w:tc>
          <w:tcPr>
            <w:tcW w:w="4256" w:type="dxa"/>
            <w:noWrap w:val="0"/>
            <w:vAlign w:val="center"/>
          </w:tcPr>
          <w:p w14:paraId="13148583">
            <w:pPr>
              <w:rPr>
                <w:rFonts w:hint="default" w:ascii="宋体" w:hAnsi="宋体" w:eastAsia="宋体" w:cs="Times New Roman"/>
                <w:color w:val="auto"/>
                <w:szCs w:val="22"/>
                <w:highlight w:val="none"/>
                <w:lang w:eastAsia="zh-Hans"/>
              </w:rPr>
            </w:pPr>
            <w:r>
              <w:rPr>
                <w:rFonts w:hint="eastAsia" w:ascii="宋体" w:hAnsi="宋体" w:cs="Times New Roman"/>
                <w:color w:val="auto"/>
                <w:szCs w:val="22"/>
                <w:highlight w:val="none"/>
                <w:lang w:val="en-US" w:eastAsia="zh-Hans"/>
              </w:rPr>
              <w:t>按照</w:t>
            </w:r>
            <w:r>
              <w:rPr>
                <w:rFonts w:hint="default" w:ascii="宋体" w:hAnsi="宋体" w:cs="Times New Roman"/>
                <w:color w:val="auto"/>
                <w:szCs w:val="22"/>
                <w:highlight w:val="none"/>
                <w:lang w:eastAsia="zh-Hans"/>
              </w:rPr>
              <w:t>5</w:t>
            </w:r>
            <w:r>
              <w:rPr>
                <w:rFonts w:hint="eastAsia" w:ascii="宋体" w:hAnsi="宋体" w:cs="Times New Roman"/>
                <w:color w:val="auto"/>
                <w:szCs w:val="22"/>
                <w:highlight w:val="none"/>
                <w:lang w:val="en-US" w:eastAsia="zh-Hans"/>
              </w:rPr>
              <w:t>万元</w:t>
            </w:r>
            <w:r>
              <w:rPr>
                <w:rFonts w:hint="default" w:ascii="宋体" w:hAnsi="宋体" w:cs="Times New Roman"/>
                <w:color w:val="auto"/>
                <w:szCs w:val="22"/>
                <w:highlight w:val="none"/>
                <w:lang w:eastAsia="zh-Hans"/>
              </w:rPr>
              <w:t>/</w:t>
            </w:r>
            <w:r>
              <w:rPr>
                <w:rFonts w:hint="eastAsia" w:ascii="宋体" w:hAnsi="宋体" w:cs="Times New Roman"/>
                <w:color w:val="auto"/>
                <w:szCs w:val="22"/>
                <w:highlight w:val="none"/>
                <w:lang w:val="en-US" w:eastAsia="zh-Hans"/>
              </w:rPr>
              <w:t>篇课以违约金</w:t>
            </w:r>
            <w:r>
              <w:rPr>
                <w:rFonts w:hint="default" w:ascii="宋体" w:hAnsi="宋体" w:cs="Times New Roman"/>
                <w:color w:val="auto"/>
                <w:szCs w:val="22"/>
                <w:highlight w:val="none"/>
                <w:lang w:eastAsia="zh-Hans"/>
              </w:rPr>
              <w:t>。</w:t>
            </w:r>
          </w:p>
        </w:tc>
        <w:tc>
          <w:tcPr>
            <w:tcW w:w="1776" w:type="dxa"/>
            <w:noWrap w:val="0"/>
            <w:vAlign w:val="center"/>
          </w:tcPr>
          <w:p w14:paraId="6D384F2A">
            <w:pPr>
              <w:jc w:val="center"/>
              <w:rPr>
                <w:rFonts w:hint="eastAsia" w:ascii="Times New Roman" w:hAnsi="Times New Roman" w:eastAsia="宋体" w:cs="Times New Roman"/>
                <w:color w:val="auto"/>
                <w:szCs w:val="24"/>
                <w:highlight w:val="none"/>
              </w:rPr>
            </w:pPr>
          </w:p>
        </w:tc>
      </w:tr>
      <w:tr w14:paraId="2B866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blHeader/>
        </w:trPr>
        <w:tc>
          <w:tcPr>
            <w:tcW w:w="955" w:type="dxa"/>
            <w:shd w:val="clear" w:color="auto" w:fill="auto"/>
            <w:noWrap w:val="0"/>
            <w:vAlign w:val="center"/>
          </w:tcPr>
          <w:p w14:paraId="2C9EBD8A">
            <w:pPr>
              <w:spacing w:line="40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23</w:t>
            </w:r>
          </w:p>
        </w:tc>
        <w:tc>
          <w:tcPr>
            <w:tcW w:w="1261" w:type="dxa"/>
            <w:shd w:val="clear" w:color="auto" w:fill="auto"/>
            <w:noWrap w:val="0"/>
            <w:vAlign w:val="center"/>
          </w:tcPr>
          <w:p w14:paraId="0D1C8C16">
            <w:pPr>
              <w:adjustRightInd w:val="0"/>
              <w:snapToGrid w:val="0"/>
              <w:spacing w:line="320" w:lineRule="atLeast"/>
              <w:textAlignment w:val="baseline"/>
              <w:rPr>
                <w:rFonts w:hint="default" w:ascii="宋体" w:hAnsi="宋体" w:eastAsia="宋体" w:cs="Times New Roman"/>
                <w:snapToGrid w:val="0"/>
                <w:color w:val="auto"/>
                <w:kern w:val="0"/>
                <w:szCs w:val="21"/>
                <w:highlight w:val="none"/>
                <w:lang w:val="en-US" w:eastAsia="zh-CN"/>
              </w:rPr>
            </w:pPr>
            <w:r>
              <w:rPr>
                <w:rFonts w:hint="eastAsia" w:ascii="宋体" w:hAnsi="宋体" w:cs="Times New Roman"/>
                <w:snapToGrid w:val="0"/>
                <w:color w:val="auto"/>
                <w:kern w:val="0"/>
                <w:szCs w:val="21"/>
                <w:highlight w:val="none"/>
                <w:lang w:val="en-US" w:eastAsia="zh-CN"/>
              </w:rPr>
              <w:t>9.10.9</w:t>
            </w:r>
          </w:p>
        </w:tc>
        <w:tc>
          <w:tcPr>
            <w:tcW w:w="5806" w:type="dxa"/>
            <w:shd w:val="clear" w:color="auto" w:fill="auto"/>
            <w:noWrap w:val="0"/>
            <w:vAlign w:val="center"/>
          </w:tcPr>
          <w:p w14:paraId="23882149">
            <w:pPr>
              <w:adjustRightInd w:val="0"/>
              <w:snapToGrid w:val="0"/>
              <w:spacing w:line="320" w:lineRule="atLeast"/>
              <w:textAlignment w:val="baseline"/>
              <w:rPr>
                <w:rFonts w:hint="default" w:ascii="宋体" w:hAnsi="宋体" w:cs="Times New Roman"/>
                <w:snapToGrid w:val="0"/>
                <w:color w:val="auto"/>
                <w:kern w:val="0"/>
                <w:szCs w:val="21"/>
                <w:highlight w:val="none"/>
                <w:lang w:val="en-US" w:eastAsia="zh-CN"/>
              </w:rPr>
            </w:pPr>
            <w:r>
              <w:rPr>
                <w:rFonts w:hint="eastAsia" w:ascii="宋体" w:hAnsi="宋体" w:cs="Times New Roman"/>
                <w:snapToGrid w:val="0"/>
                <w:color w:val="auto"/>
                <w:kern w:val="0"/>
                <w:szCs w:val="21"/>
                <w:highlight w:val="none"/>
                <w:lang w:val="en-US" w:eastAsia="zh-CN"/>
              </w:rPr>
              <w:t>未按合同约定配合区规范编制的</w:t>
            </w:r>
          </w:p>
        </w:tc>
        <w:tc>
          <w:tcPr>
            <w:tcW w:w="4256" w:type="dxa"/>
            <w:shd w:val="clear" w:color="auto" w:fill="auto"/>
            <w:noWrap w:val="0"/>
            <w:vAlign w:val="center"/>
          </w:tcPr>
          <w:p w14:paraId="149CA011">
            <w:pPr>
              <w:adjustRightInd w:val="0"/>
              <w:snapToGrid w:val="0"/>
              <w:spacing w:line="320" w:lineRule="atLeast"/>
              <w:textAlignment w:val="baseline"/>
              <w:rPr>
                <w:rFonts w:hint="default" w:ascii="宋体" w:hAnsi="宋体" w:cs="Times New Roman"/>
                <w:snapToGrid w:val="0"/>
                <w:color w:val="auto"/>
                <w:kern w:val="0"/>
                <w:szCs w:val="21"/>
                <w:highlight w:val="none"/>
                <w:lang w:val="en-US" w:eastAsia="zh-CN"/>
              </w:rPr>
            </w:pPr>
            <w:r>
              <w:rPr>
                <w:rFonts w:hint="eastAsia" w:ascii="宋体" w:hAnsi="宋体" w:cs="Times New Roman"/>
                <w:snapToGrid w:val="0"/>
                <w:color w:val="auto"/>
                <w:kern w:val="0"/>
                <w:szCs w:val="21"/>
                <w:highlight w:val="none"/>
                <w:lang w:val="en-US" w:eastAsia="zh-CN"/>
              </w:rPr>
              <w:t>视情况课以1~</w:t>
            </w:r>
            <w:r>
              <w:rPr>
                <w:rFonts w:hint="default" w:ascii="宋体" w:hAnsi="宋体" w:cs="Times New Roman"/>
                <w:snapToGrid w:val="0"/>
                <w:color w:val="auto"/>
                <w:kern w:val="0"/>
                <w:szCs w:val="21"/>
                <w:highlight w:val="none"/>
                <w:lang w:eastAsia="zh-CN"/>
              </w:rPr>
              <w:t>5</w:t>
            </w:r>
            <w:r>
              <w:rPr>
                <w:rFonts w:hint="eastAsia" w:ascii="宋体" w:hAnsi="宋体" w:cs="Times New Roman"/>
                <w:snapToGrid w:val="0"/>
                <w:color w:val="auto"/>
                <w:kern w:val="0"/>
                <w:szCs w:val="21"/>
                <w:highlight w:val="none"/>
                <w:lang w:val="en-US" w:eastAsia="zh-CN"/>
              </w:rPr>
              <w:t>万元违约金。</w:t>
            </w:r>
          </w:p>
        </w:tc>
        <w:tc>
          <w:tcPr>
            <w:tcW w:w="1776" w:type="dxa"/>
            <w:noWrap w:val="0"/>
            <w:vAlign w:val="center"/>
          </w:tcPr>
          <w:p w14:paraId="006407CD">
            <w:pPr>
              <w:rPr>
                <w:rFonts w:hint="eastAsia" w:ascii="Times New Roman" w:hAnsi="Times New Roman" w:eastAsia="宋体" w:cs="Times New Roman"/>
                <w:color w:val="auto"/>
                <w:szCs w:val="24"/>
                <w:highlight w:val="none"/>
              </w:rPr>
            </w:pPr>
          </w:p>
        </w:tc>
      </w:tr>
      <w:tr w14:paraId="46BCC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blHeader/>
        </w:trPr>
        <w:tc>
          <w:tcPr>
            <w:tcW w:w="955" w:type="dxa"/>
            <w:shd w:val="clear" w:color="auto" w:fill="auto"/>
            <w:noWrap w:val="0"/>
            <w:vAlign w:val="center"/>
          </w:tcPr>
          <w:p w14:paraId="7A3886E5">
            <w:pPr>
              <w:spacing w:line="400" w:lineRule="exact"/>
              <w:jc w:val="center"/>
              <w:rPr>
                <w:rFonts w:hint="eastAsia" w:ascii="宋体" w:hAnsi="宋体" w:eastAsia="宋体" w:cs="Times New Roman"/>
                <w:color w:val="auto"/>
                <w:kern w:val="2"/>
                <w:sz w:val="21"/>
                <w:szCs w:val="21"/>
                <w:highlight w:val="none"/>
                <w:lang w:val="en-US" w:eastAsia="zh-CN" w:bidi="ar-SA"/>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4</w:t>
            </w:r>
          </w:p>
        </w:tc>
        <w:tc>
          <w:tcPr>
            <w:tcW w:w="1261" w:type="dxa"/>
            <w:shd w:val="clear" w:color="auto" w:fill="auto"/>
            <w:noWrap w:val="0"/>
            <w:vAlign w:val="center"/>
          </w:tcPr>
          <w:p w14:paraId="39B9031B">
            <w:pPr>
              <w:adjustRightInd w:val="0"/>
              <w:snapToGrid w:val="0"/>
              <w:spacing w:line="320" w:lineRule="atLeast"/>
              <w:textAlignment w:val="baseline"/>
              <w:rPr>
                <w:rFonts w:hint="default" w:ascii="宋体" w:hAnsi="宋体" w:cs="Times New Roman"/>
                <w:snapToGrid w:val="0"/>
                <w:color w:val="auto"/>
                <w:kern w:val="0"/>
                <w:szCs w:val="21"/>
                <w:highlight w:val="none"/>
                <w:lang w:val="en-US" w:eastAsia="zh-CN"/>
              </w:rPr>
            </w:pPr>
            <w:r>
              <w:rPr>
                <w:rFonts w:hint="default" w:ascii="宋体" w:hAnsi="宋体" w:cs="Times New Roman"/>
                <w:snapToGrid w:val="0"/>
                <w:color w:val="auto"/>
                <w:kern w:val="0"/>
                <w:szCs w:val="21"/>
                <w:highlight w:val="none"/>
                <w:lang w:eastAsia="zh-CN"/>
              </w:rPr>
              <w:t>9.10.</w:t>
            </w:r>
            <w:r>
              <w:rPr>
                <w:rFonts w:hint="eastAsia" w:ascii="宋体" w:hAnsi="宋体" w:cs="Times New Roman"/>
                <w:snapToGrid w:val="0"/>
                <w:color w:val="auto"/>
                <w:kern w:val="0"/>
                <w:szCs w:val="21"/>
                <w:highlight w:val="none"/>
                <w:lang w:val="en-US" w:eastAsia="zh-CN"/>
              </w:rPr>
              <w:t>10</w:t>
            </w:r>
          </w:p>
        </w:tc>
        <w:tc>
          <w:tcPr>
            <w:tcW w:w="5806" w:type="dxa"/>
            <w:shd w:val="clear" w:color="auto" w:fill="auto"/>
            <w:noWrap w:val="0"/>
            <w:vAlign w:val="center"/>
          </w:tcPr>
          <w:p w14:paraId="0B56C6B7">
            <w:pPr>
              <w:adjustRightInd w:val="0"/>
              <w:snapToGrid w:val="0"/>
              <w:spacing w:line="320" w:lineRule="atLeast"/>
              <w:textAlignment w:val="baseline"/>
              <w:rPr>
                <w:rFonts w:hint="eastAsia" w:ascii="宋体" w:hAnsi="宋体" w:eastAsia="宋体" w:cs="Times New Roman"/>
                <w:snapToGrid w:val="0"/>
                <w:color w:val="auto"/>
                <w:kern w:val="0"/>
                <w:szCs w:val="21"/>
                <w:highlight w:val="none"/>
                <w:lang w:val="en-US" w:eastAsia="zh-Hans"/>
              </w:rPr>
            </w:pPr>
            <w:r>
              <w:rPr>
                <w:rFonts w:hint="eastAsia" w:ascii="宋体" w:hAnsi="宋体" w:cs="Times New Roman"/>
                <w:snapToGrid w:val="0"/>
                <w:color w:val="auto"/>
                <w:kern w:val="0"/>
                <w:szCs w:val="21"/>
                <w:highlight w:val="none"/>
                <w:lang w:val="en-US" w:eastAsia="zh-Hans"/>
              </w:rPr>
              <w:t>承包人未按发包人要求</w:t>
            </w:r>
            <w:r>
              <w:rPr>
                <w:rFonts w:hint="eastAsia" w:ascii="宋体" w:hAnsi="宋体" w:cs="Times New Roman"/>
                <w:snapToGrid w:val="0"/>
                <w:color w:val="auto"/>
                <w:kern w:val="0"/>
                <w:szCs w:val="21"/>
                <w:highlight w:val="none"/>
                <w:lang w:val="en-US" w:eastAsia="zh-CN"/>
              </w:rPr>
              <w:t>使用电子化计量支付管理系统</w:t>
            </w:r>
          </w:p>
        </w:tc>
        <w:tc>
          <w:tcPr>
            <w:tcW w:w="4256" w:type="dxa"/>
            <w:shd w:val="clear" w:color="auto" w:fill="auto"/>
            <w:noWrap w:val="0"/>
            <w:vAlign w:val="center"/>
          </w:tcPr>
          <w:p w14:paraId="0821F45D">
            <w:pPr>
              <w:adjustRightInd w:val="0"/>
              <w:snapToGrid w:val="0"/>
              <w:spacing w:line="320" w:lineRule="atLeast"/>
              <w:textAlignment w:val="baseline"/>
              <w:rPr>
                <w:rFonts w:hint="default" w:ascii="宋体" w:hAnsi="宋体" w:eastAsia="宋体" w:cs="Times New Roman"/>
                <w:snapToGrid w:val="0"/>
                <w:color w:val="auto"/>
                <w:kern w:val="0"/>
                <w:szCs w:val="21"/>
                <w:highlight w:val="none"/>
                <w:lang w:eastAsia="zh-Hans"/>
              </w:rPr>
            </w:pPr>
            <w:r>
              <w:rPr>
                <w:rFonts w:hint="eastAsia" w:ascii="宋体" w:hAnsi="宋体" w:cs="Times New Roman"/>
                <w:snapToGrid w:val="0"/>
                <w:color w:val="auto"/>
                <w:kern w:val="0"/>
                <w:szCs w:val="21"/>
                <w:highlight w:val="none"/>
                <w:lang w:val="en-US" w:eastAsia="zh-Hans"/>
              </w:rPr>
              <w:t>课以</w:t>
            </w:r>
            <w:r>
              <w:rPr>
                <w:rFonts w:hint="default" w:ascii="宋体" w:hAnsi="宋体" w:cs="Times New Roman"/>
                <w:snapToGrid w:val="0"/>
                <w:color w:val="auto"/>
                <w:kern w:val="0"/>
                <w:szCs w:val="21"/>
                <w:highlight w:val="none"/>
                <w:lang w:eastAsia="zh-Hans"/>
              </w:rPr>
              <w:t>10</w:t>
            </w:r>
            <w:r>
              <w:rPr>
                <w:rFonts w:hint="eastAsia" w:ascii="宋体" w:hAnsi="宋体" w:cs="Times New Roman"/>
                <w:snapToGrid w:val="0"/>
                <w:color w:val="auto"/>
                <w:kern w:val="0"/>
                <w:szCs w:val="21"/>
                <w:highlight w:val="none"/>
                <w:lang w:val="en-US" w:eastAsia="zh-Hans"/>
              </w:rPr>
              <w:t>万元违约金</w:t>
            </w:r>
            <w:r>
              <w:rPr>
                <w:rFonts w:hint="default" w:ascii="宋体" w:hAnsi="宋体" w:cs="Times New Roman"/>
                <w:snapToGrid w:val="0"/>
                <w:color w:val="auto"/>
                <w:kern w:val="0"/>
                <w:szCs w:val="21"/>
                <w:highlight w:val="none"/>
                <w:lang w:eastAsia="zh-Hans"/>
              </w:rPr>
              <w:t>。</w:t>
            </w:r>
          </w:p>
        </w:tc>
        <w:tc>
          <w:tcPr>
            <w:tcW w:w="1776" w:type="dxa"/>
            <w:noWrap w:val="0"/>
            <w:vAlign w:val="center"/>
          </w:tcPr>
          <w:p w14:paraId="485849AB">
            <w:pPr>
              <w:rPr>
                <w:rFonts w:hint="eastAsia" w:ascii="Times New Roman" w:hAnsi="Times New Roman" w:eastAsia="宋体" w:cs="Times New Roman"/>
                <w:color w:val="auto"/>
                <w:szCs w:val="24"/>
                <w:highlight w:val="none"/>
              </w:rPr>
            </w:pPr>
          </w:p>
        </w:tc>
      </w:tr>
      <w:tr w14:paraId="775C6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blHeader/>
        </w:trPr>
        <w:tc>
          <w:tcPr>
            <w:tcW w:w="955" w:type="dxa"/>
            <w:shd w:val="clear" w:color="auto" w:fill="auto"/>
            <w:noWrap w:val="0"/>
            <w:vAlign w:val="center"/>
          </w:tcPr>
          <w:p w14:paraId="6EB38A57">
            <w:pPr>
              <w:spacing w:line="400" w:lineRule="exact"/>
              <w:jc w:val="center"/>
              <w:rPr>
                <w:rFonts w:hint="eastAsia" w:ascii="宋体" w:hAnsi="宋体" w:eastAsia="宋体" w:cs="Times New Roman"/>
                <w:color w:val="auto"/>
                <w:kern w:val="2"/>
                <w:sz w:val="21"/>
                <w:szCs w:val="21"/>
                <w:highlight w:val="none"/>
                <w:lang w:val="en-US" w:eastAsia="zh-CN" w:bidi="ar-SA"/>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5</w:t>
            </w:r>
          </w:p>
        </w:tc>
        <w:tc>
          <w:tcPr>
            <w:tcW w:w="1261" w:type="dxa"/>
            <w:shd w:val="clear" w:color="auto" w:fill="auto"/>
            <w:noWrap w:val="0"/>
            <w:vAlign w:val="center"/>
          </w:tcPr>
          <w:p w14:paraId="774C1981">
            <w:pPr>
              <w:adjustRightInd w:val="0"/>
              <w:snapToGrid w:val="0"/>
              <w:spacing w:line="320" w:lineRule="atLeast"/>
              <w:textAlignment w:val="baseline"/>
              <w:rPr>
                <w:rFonts w:hint="eastAsia" w:ascii="宋体" w:hAnsi="宋体" w:eastAsia="宋体" w:cs="Times New Roman"/>
                <w:snapToGrid w:val="0"/>
                <w:color w:val="auto"/>
                <w:kern w:val="0"/>
                <w:szCs w:val="21"/>
                <w:highlight w:val="none"/>
                <w:lang w:eastAsia="zh-CN"/>
              </w:rPr>
            </w:pPr>
            <w:r>
              <w:rPr>
                <w:rFonts w:hint="default" w:ascii="宋体" w:hAnsi="宋体" w:cs="Times New Roman"/>
                <w:snapToGrid w:val="0"/>
                <w:color w:val="auto"/>
                <w:kern w:val="0"/>
                <w:szCs w:val="21"/>
                <w:highlight w:val="none"/>
                <w:lang w:eastAsia="zh-CN"/>
              </w:rPr>
              <w:t>9</w:t>
            </w:r>
            <w:r>
              <w:rPr>
                <w:rFonts w:hint="eastAsia" w:ascii="宋体" w:hAnsi="宋体" w:cs="Times New Roman"/>
                <w:snapToGrid w:val="0"/>
                <w:color w:val="auto"/>
                <w:kern w:val="0"/>
                <w:szCs w:val="21"/>
                <w:highlight w:val="none"/>
                <w:lang w:val="en-US" w:eastAsia="zh-Hans"/>
              </w:rPr>
              <w:t>.</w:t>
            </w:r>
            <w:r>
              <w:rPr>
                <w:rFonts w:hint="default" w:ascii="宋体" w:hAnsi="宋体" w:cs="Times New Roman"/>
                <w:snapToGrid w:val="0"/>
                <w:color w:val="auto"/>
                <w:kern w:val="0"/>
                <w:szCs w:val="21"/>
                <w:highlight w:val="none"/>
                <w:lang w:eastAsia="zh-Hans"/>
              </w:rPr>
              <w:t>10</w:t>
            </w:r>
            <w:r>
              <w:rPr>
                <w:rFonts w:hint="eastAsia" w:ascii="宋体" w:hAnsi="宋体" w:cs="Times New Roman"/>
                <w:snapToGrid w:val="0"/>
                <w:color w:val="auto"/>
                <w:kern w:val="0"/>
                <w:szCs w:val="21"/>
                <w:highlight w:val="none"/>
                <w:lang w:val="en-US" w:eastAsia="zh-Hans"/>
              </w:rPr>
              <w:t>.</w:t>
            </w:r>
            <w:r>
              <w:rPr>
                <w:rFonts w:hint="default" w:ascii="宋体" w:hAnsi="宋体" w:cs="Times New Roman"/>
                <w:snapToGrid w:val="0"/>
                <w:color w:val="auto"/>
                <w:kern w:val="0"/>
                <w:szCs w:val="21"/>
                <w:highlight w:val="none"/>
                <w:lang w:eastAsia="zh-Hans"/>
              </w:rPr>
              <w:t>1</w:t>
            </w:r>
            <w:r>
              <w:rPr>
                <w:rFonts w:hint="eastAsia" w:ascii="宋体" w:hAnsi="宋体" w:cs="Times New Roman"/>
                <w:snapToGrid w:val="0"/>
                <w:color w:val="auto"/>
                <w:kern w:val="0"/>
                <w:szCs w:val="21"/>
                <w:highlight w:val="none"/>
                <w:lang w:val="en-US" w:eastAsia="zh-CN"/>
              </w:rPr>
              <w:t>1</w:t>
            </w:r>
          </w:p>
        </w:tc>
        <w:tc>
          <w:tcPr>
            <w:tcW w:w="5806" w:type="dxa"/>
            <w:shd w:val="clear" w:color="auto" w:fill="auto"/>
            <w:noWrap w:val="0"/>
            <w:vAlign w:val="center"/>
          </w:tcPr>
          <w:p w14:paraId="7EAEE73A">
            <w:pPr>
              <w:adjustRightInd w:val="0"/>
              <w:snapToGrid w:val="0"/>
              <w:spacing w:line="320" w:lineRule="atLeast"/>
              <w:textAlignment w:val="baseline"/>
              <w:rPr>
                <w:rFonts w:hint="default" w:ascii="宋体" w:hAnsi="宋体" w:cs="Times New Roman"/>
                <w:snapToGrid w:val="0"/>
                <w:color w:val="auto"/>
                <w:kern w:val="0"/>
                <w:szCs w:val="21"/>
                <w:highlight w:val="none"/>
                <w:lang w:eastAsia="zh-Hans"/>
              </w:rPr>
            </w:pPr>
            <w:r>
              <w:rPr>
                <w:rFonts w:hint="default" w:ascii="宋体" w:hAnsi="宋体" w:cs="Times New Roman"/>
                <w:snapToGrid w:val="0"/>
                <w:color w:val="auto"/>
                <w:kern w:val="0"/>
                <w:szCs w:val="21"/>
                <w:highlight w:val="none"/>
                <w:lang w:val="en-US" w:eastAsia="zh-Hans"/>
              </w:rPr>
              <w:t>承包人未按要求编制会议方案、未经审批擅自组织会议或未按计划完成会议组织工作的</w:t>
            </w:r>
            <w:r>
              <w:rPr>
                <w:rFonts w:hint="default" w:ascii="宋体" w:hAnsi="宋体" w:cs="Times New Roman"/>
                <w:snapToGrid w:val="0"/>
                <w:color w:val="auto"/>
                <w:kern w:val="0"/>
                <w:szCs w:val="21"/>
                <w:highlight w:val="none"/>
                <w:lang w:eastAsia="zh-Hans"/>
              </w:rPr>
              <w:t>，</w:t>
            </w:r>
            <w:r>
              <w:rPr>
                <w:rFonts w:hint="eastAsia" w:ascii="宋体" w:hAnsi="宋体" w:cs="Times New Roman"/>
                <w:snapToGrid w:val="0"/>
                <w:color w:val="auto"/>
                <w:kern w:val="0"/>
                <w:szCs w:val="21"/>
                <w:highlight w:val="none"/>
                <w:lang w:val="en-US" w:eastAsia="zh-Hans"/>
              </w:rPr>
              <w:t>因非承包人原因造成的除外</w:t>
            </w:r>
            <w:r>
              <w:rPr>
                <w:rFonts w:hint="default" w:ascii="宋体" w:hAnsi="宋体" w:cs="Times New Roman"/>
                <w:snapToGrid w:val="0"/>
                <w:color w:val="auto"/>
                <w:kern w:val="0"/>
                <w:szCs w:val="21"/>
                <w:highlight w:val="none"/>
                <w:lang w:eastAsia="zh-Hans"/>
              </w:rPr>
              <w:t>。</w:t>
            </w:r>
          </w:p>
        </w:tc>
        <w:tc>
          <w:tcPr>
            <w:tcW w:w="4256" w:type="dxa"/>
            <w:shd w:val="clear" w:color="auto" w:fill="auto"/>
            <w:noWrap w:val="0"/>
            <w:vAlign w:val="center"/>
          </w:tcPr>
          <w:p w14:paraId="56600133">
            <w:pPr>
              <w:adjustRightInd w:val="0"/>
              <w:snapToGrid w:val="0"/>
              <w:spacing w:line="320" w:lineRule="atLeast"/>
              <w:textAlignment w:val="baseline"/>
              <w:rPr>
                <w:rFonts w:hint="default" w:ascii="宋体" w:hAnsi="宋体" w:cs="Times New Roman"/>
                <w:snapToGrid w:val="0"/>
                <w:color w:val="auto"/>
                <w:kern w:val="0"/>
                <w:szCs w:val="21"/>
                <w:highlight w:val="none"/>
                <w:lang w:eastAsia="zh-Hans"/>
              </w:rPr>
            </w:pPr>
            <w:r>
              <w:rPr>
                <w:rFonts w:hint="eastAsia" w:ascii="宋体" w:hAnsi="宋体" w:cs="Times New Roman"/>
                <w:snapToGrid w:val="0"/>
                <w:color w:val="auto"/>
                <w:kern w:val="0"/>
                <w:szCs w:val="21"/>
                <w:highlight w:val="none"/>
                <w:lang w:val="en-US" w:eastAsia="zh-Hans"/>
              </w:rPr>
              <w:t>按照</w:t>
            </w:r>
            <w:r>
              <w:rPr>
                <w:rFonts w:hint="default" w:ascii="宋体" w:hAnsi="宋体" w:cs="Times New Roman"/>
                <w:snapToGrid w:val="0"/>
                <w:color w:val="auto"/>
                <w:kern w:val="0"/>
                <w:szCs w:val="21"/>
                <w:highlight w:val="none"/>
                <w:lang w:eastAsia="zh-Hans"/>
              </w:rPr>
              <w:t>10</w:t>
            </w:r>
            <w:r>
              <w:rPr>
                <w:rFonts w:hint="eastAsia" w:ascii="宋体" w:hAnsi="宋体" w:cs="Times New Roman"/>
                <w:snapToGrid w:val="0"/>
                <w:color w:val="auto"/>
                <w:kern w:val="0"/>
                <w:szCs w:val="21"/>
                <w:highlight w:val="none"/>
                <w:lang w:val="en-US" w:eastAsia="zh-Hans"/>
              </w:rPr>
              <w:t>万元</w:t>
            </w:r>
            <w:r>
              <w:rPr>
                <w:rFonts w:hint="default" w:ascii="宋体" w:hAnsi="宋体" w:cs="Times New Roman"/>
                <w:snapToGrid w:val="0"/>
                <w:color w:val="auto"/>
                <w:kern w:val="0"/>
                <w:szCs w:val="21"/>
                <w:highlight w:val="none"/>
                <w:lang w:eastAsia="zh-Hans"/>
              </w:rPr>
              <w:t>/</w:t>
            </w:r>
            <w:r>
              <w:rPr>
                <w:rFonts w:hint="eastAsia" w:ascii="宋体" w:hAnsi="宋体" w:cs="Times New Roman"/>
                <w:snapToGrid w:val="0"/>
                <w:color w:val="auto"/>
                <w:kern w:val="0"/>
                <w:szCs w:val="21"/>
                <w:highlight w:val="none"/>
                <w:lang w:val="en-US" w:eastAsia="zh-Hans"/>
              </w:rPr>
              <w:t>年课以违约金</w:t>
            </w:r>
            <w:r>
              <w:rPr>
                <w:rFonts w:hint="default" w:ascii="宋体" w:hAnsi="宋体" w:cs="Times New Roman"/>
                <w:snapToGrid w:val="0"/>
                <w:color w:val="auto"/>
                <w:kern w:val="0"/>
                <w:szCs w:val="21"/>
                <w:highlight w:val="none"/>
                <w:lang w:eastAsia="zh-Hans"/>
              </w:rPr>
              <w:t>。</w:t>
            </w:r>
          </w:p>
        </w:tc>
        <w:tc>
          <w:tcPr>
            <w:tcW w:w="1776" w:type="dxa"/>
            <w:noWrap w:val="0"/>
            <w:vAlign w:val="center"/>
          </w:tcPr>
          <w:p w14:paraId="356BAFB7">
            <w:pPr>
              <w:rPr>
                <w:rFonts w:hint="eastAsia" w:ascii="Times New Roman" w:hAnsi="Times New Roman" w:eastAsia="宋体" w:cs="Times New Roman"/>
                <w:color w:val="auto"/>
                <w:szCs w:val="24"/>
                <w:highlight w:val="none"/>
              </w:rPr>
            </w:pPr>
          </w:p>
        </w:tc>
      </w:tr>
      <w:tr w14:paraId="5B01F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blHeader/>
        </w:trPr>
        <w:tc>
          <w:tcPr>
            <w:tcW w:w="955" w:type="dxa"/>
            <w:shd w:val="clear" w:color="auto" w:fill="auto"/>
            <w:noWrap w:val="0"/>
            <w:vAlign w:val="center"/>
          </w:tcPr>
          <w:p w14:paraId="00B14EDB">
            <w:pPr>
              <w:spacing w:line="400" w:lineRule="exact"/>
              <w:jc w:val="center"/>
              <w:rPr>
                <w:rFonts w:hint="eastAsia" w:ascii="宋体" w:hAnsi="宋体" w:eastAsia="宋体" w:cs="Times New Roman"/>
                <w:color w:val="auto"/>
                <w:kern w:val="2"/>
                <w:sz w:val="21"/>
                <w:szCs w:val="21"/>
                <w:highlight w:val="none"/>
                <w:lang w:val="en-US" w:eastAsia="zh-CN" w:bidi="ar-SA"/>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6</w:t>
            </w:r>
          </w:p>
        </w:tc>
        <w:tc>
          <w:tcPr>
            <w:tcW w:w="1261" w:type="dxa"/>
            <w:shd w:val="clear" w:color="auto" w:fill="auto"/>
            <w:noWrap w:val="0"/>
            <w:vAlign w:val="center"/>
          </w:tcPr>
          <w:p w14:paraId="7073E7C9">
            <w:pPr>
              <w:adjustRightInd w:val="0"/>
              <w:snapToGrid w:val="0"/>
              <w:spacing w:line="320" w:lineRule="atLeast"/>
              <w:textAlignment w:val="baseline"/>
              <w:rPr>
                <w:rFonts w:hint="eastAsia" w:ascii="宋体" w:hAnsi="宋体" w:eastAsia="宋体" w:cs="Times New Roman"/>
                <w:snapToGrid w:val="0"/>
                <w:color w:val="auto"/>
                <w:kern w:val="0"/>
                <w:szCs w:val="21"/>
                <w:highlight w:val="none"/>
                <w:lang w:eastAsia="zh-CN"/>
              </w:rPr>
            </w:pPr>
            <w:r>
              <w:rPr>
                <w:rFonts w:hint="default" w:ascii="宋体" w:hAnsi="宋体" w:cs="Times New Roman"/>
                <w:snapToGrid w:val="0"/>
                <w:color w:val="auto"/>
                <w:kern w:val="0"/>
                <w:szCs w:val="21"/>
                <w:highlight w:val="none"/>
                <w:lang w:eastAsia="zh-CN"/>
              </w:rPr>
              <w:t>9</w:t>
            </w:r>
            <w:r>
              <w:rPr>
                <w:rFonts w:hint="eastAsia" w:ascii="宋体" w:hAnsi="宋体" w:cs="Times New Roman"/>
                <w:snapToGrid w:val="0"/>
                <w:color w:val="auto"/>
                <w:kern w:val="0"/>
                <w:szCs w:val="21"/>
                <w:highlight w:val="none"/>
                <w:lang w:val="en-US" w:eastAsia="zh-Hans"/>
              </w:rPr>
              <w:t>.</w:t>
            </w:r>
            <w:r>
              <w:rPr>
                <w:rFonts w:hint="default" w:ascii="宋体" w:hAnsi="宋体" w:cs="Times New Roman"/>
                <w:snapToGrid w:val="0"/>
                <w:color w:val="auto"/>
                <w:kern w:val="0"/>
                <w:szCs w:val="21"/>
                <w:highlight w:val="none"/>
                <w:lang w:eastAsia="zh-Hans"/>
              </w:rPr>
              <w:t>10</w:t>
            </w:r>
            <w:r>
              <w:rPr>
                <w:rFonts w:hint="eastAsia" w:ascii="宋体" w:hAnsi="宋体" w:cs="Times New Roman"/>
                <w:snapToGrid w:val="0"/>
                <w:color w:val="auto"/>
                <w:kern w:val="0"/>
                <w:szCs w:val="21"/>
                <w:highlight w:val="none"/>
                <w:lang w:val="en-US" w:eastAsia="zh-Hans"/>
              </w:rPr>
              <w:t>.</w:t>
            </w:r>
            <w:r>
              <w:rPr>
                <w:rFonts w:hint="default" w:ascii="宋体" w:hAnsi="宋体" w:cs="Times New Roman"/>
                <w:snapToGrid w:val="0"/>
                <w:color w:val="auto"/>
                <w:kern w:val="0"/>
                <w:szCs w:val="21"/>
                <w:highlight w:val="none"/>
                <w:lang w:eastAsia="zh-Hans"/>
              </w:rPr>
              <w:t>1</w:t>
            </w:r>
            <w:r>
              <w:rPr>
                <w:rFonts w:hint="eastAsia" w:ascii="宋体" w:hAnsi="宋体" w:cs="Times New Roman"/>
                <w:snapToGrid w:val="0"/>
                <w:color w:val="auto"/>
                <w:kern w:val="0"/>
                <w:szCs w:val="21"/>
                <w:highlight w:val="none"/>
                <w:lang w:val="en-US" w:eastAsia="zh-CN"/>
              </w:rPr>
              <w:t>2</w:t>
            </w:r>
          </w:p>
        </w:tc>
        <w:tc>
          <w:tcPr>
            <w:tcW w:w="5806" w:type="dxa"/>
            <w:shd w:val="clear" w:color="auto" w:fill="auto"/>
            <w:noWrap w:val="0"/>
            <w:vAlign w:val="center"/>
          </w:tcPr>
          <w:p w14:paraId="1DC926C5">
            <w:pPr>
              <w:adjustRightInd w:val="0"/>
              <w:snapToGrid w:val="0"/>
              <w:spacing w:line="320" w:lineRule="atLeast"/>
              <w:textAlignment w:val="baseline"/>
              <w:rPr>
                <w:rFonts w:hint="default" w:ascii="宋体" w:hAnsi="宋体" w:cs="Times New Roman"/>
                <w:snapToGrid w:val="0"/>
                <w:color w:val="auto"/>
                <w:kern w:val="0"/>
                <w:szCs w:val="21"/>
                <w:highlight w:val="none"/>
                <w:lang w:eastAsia="zh-Hans"/>
              </w:rPr>
            </w:pPr>
            <w:r>
              <w:rPr>
                <w:rFonts w:hint="default" w:ascii="宋体" w:hAnsi="宋体" w:cs="Times New Roman"/>
                <w:snapToGrid w:val="0"/>
                <w:color w:val="auto"/>
                <w:kern w:val="0"/>
                <w:szCs w:val="21"/>
                <w:highlight w:val="none"/>
                <w:lang w:val="en-US" w:eastAsia="zh-Hans"/>
              </w:rPr>
              <w:t>若承包人未按要求制定实施方案、未建立培养机制或未达成年度培养目标</w:t>
            </w:r>
            <w:r>
              <w:rPr>
                <w:rFonts w:hint="default" w:ascii="宋体" w:hAnsi="宋体" w:cs="Times New Roman"/>
                <w:snapToGrid w:val="0"/>
                <w:color w:val="auto"/>
                <w:kern w:val="0"/>
                <w:szCs w:val="21"/>
                <w:highlight w:val="none"/>
                <w:lang w:eastAsia="zh-Hans"/>
              </w:rPr>
              <w:t>。</w:t>
            </w:r>
          </w:p>
        </w:tc>
        <w:tc>
          <w:tcPr>
            <w:tcW w:w="4256" w:type="dxa"/>
            <w:shd w:val="clear" w:color="auto" w:fill="auto"/>
            <w:noWrap w:val="0"/>
            <w:vAlign w:val="center"/>
          </w:tcPr>
          <w:p w14:paraId="5FFEC2E0">
            <w:pPr>
              <w:adjustRightInd w:val="0"/>
              <w:snapToGrid w:val="0"/>
              <w:spacing w:line="320" w:lineRule="atLeast"/>
              <w:textAlignment w:val="baseline"/>
              <w:rPr>
                <w:rFonts w:hint="default" w:ascii="宋体" w:hAnsi="宋体" w:cs="Times New Roman"/>
                <w:snapToGrid w:val="0"/>
                <w:color w:val="auto"/>
                <w:kern w:val="0"/>
                <w:szCs w:val="21"/>
                <w:highlight w:val="none"/>
                <w:lang w:eastAsia="zh-Hans"/>
              </w:rPr>
            </w:pPr>
            <w:r>
              <w:rPr>
                <w:rFonts w:hint="eastAsia" w:ascii="宋体" w:hAnsi="宋体" w:cs="Times New Roman"/>
                <w:snapToGrid w:val="0"/>
                <w:color w:val="auto"/>
                <w:kern w:val="0"/>
                <w:szCs w:val="21"/>
                <w:highlight w:val="none"/>
                <w:lang w:val="en-US" w:eastAsia="zh-Hans"/>
              </w:rPr>
              <w:t>按照</w:t>
            </w:r>
            <w:r>
              <w:rPr>
                <w:rFonts w:hint="default" w:ascii="宋体" w:hAnsi="宋体" w:cs="Times New Roman"/>
                <w:snapToGrid w:val="0"/>
                <w:color w:val="auto"/>
                <w:kern w:val="0"/>
                <w:szCs w:val="21"/>
                <w:highlight w:val="none"/>
                <w:lang w:eastAsia="zh-Hans"/>
              </w:rPr>
              <w:t>10</w:t>
            </w:r>
            <w:r>
              <w:rPr>
                <w:rFonts w:hint="eastAsia" w:ascii="宋体" w:hAnsi="宋体" w:cs="Times New Roman"/>
                <w:snapToGrid w:val="0"/>
                <w:color w:val="auto"/>
                <w:kern w:val="0"/>
                <w:szCs w:val="21"/>
                <w:highlight w:val="none"/>
                <w:lang w:val="en-US" w:eastAsia="zh-Hans"/>
              </w:rPr>
              <w:t>万元</w:t>
            </w:r>
            <w:r>
              <w:rPr>
                <w:rFonts w:hint="default" w:ascii="宋体" w:hAnsi="宋体" w:cs="Times New Roman"/>
                <w:snapToGrid w:val="0"/>
                <w:color w:val="auto"/>
                <w:kern w:val="0"/>
                <w:szCs w:val="21"/>
                <w:highlight w:val="none"/>
                <w:lang w:eastAsia="zh-Hans"/>
              </w:rPr>
              <w:t>/</w:t>
            </w:r>
            <w:r>
              <w:rPr>
                <w:rFonts w:hint="eastAsia" w:ascii="宋体" w:hAnsi="宋体" w:cs="Times New Roman"/>
                <w:snapToGrid w:val="0"/>
                <w:color w:val="auto"/>
                <w:kern w:val="0"/>
                <w:szCs w:val="21"/>
                <w:highlight w:val="none"/>
                <w:lang w:val="en-US" w:eastAsia="zh-Hans"/>
              </w:rPr>
              <w:t>年课以违约金</w:t>
            </w:r>
            <w:r>
              <w:rPr>
                <w:rFonts w:hint="default" w:ascii="宋体" w:hAnsi="宋体" w:cs="Times New Roman"/>
                <w:snapToGrid w:val="0"/>
                <w:color w:val="auto"/>
                <w:kern w:val="0"/>
                <w:szCs w:val="21"/>
                <w:highlight w:val="none"/>
                <w:lang w:eastAsia="zh-Hans"/>
              </w:rPr>
              <w:t>。</w:t>
            </w:r>
          </w:p>
        </w:tc>
        <w:tc>
          <w:tcPr>
            <w:tcW w:w="1776" w:type="dxa"/>
            <w:noWrap w:val="0"/>
            <w:vAlign w:val="center"/>
          </w:tcPr>
          <w:p w14:paraId="517753AE">
            <w:pPr>
              <w:rPr>
                <w:rFonts w:hint="eastAsia" w:ascii="Times New Roman" w:hAnsi="Times New Roman" w:eastAsia="宋体" w:cs="Times New Roman"/>
                <w:color w:val="auto"/>
                <w:szCs w:val="24"/>
                <w:highlight w:val="none"/>
              </w:rPr>
            </w:pPr>
          </w:p>
        </w:tc>
      </w:tr>
      <w:tr w14:paraId="2681E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blHeader/>
        </w:trPr>
        <w:tc>
          <w:tcPr>
            <w:tcW w:w="955" w:type="dxa"/>
            <w:shd w:val="clear" w:color="auto" w:fill="auto"/>
            <w:noWrap w:val="0"/>
            <w:vAlign w:val="center"/>
          </w:tcPr>
          <w:p w14:paraId="43C5543E">
            <w:pPr>
              <w:spacing w:line="400" w:lineRule="exact"/>
              <w:jc w:val="center"/>
              <w:rPr>
                <w:rFonts w:hint="eastAsia" w:ascii="宋体" w:hAnsi="宋体" w:eastAsia="宋体" w:cs="Times New Roman"/>
                <w:color w:val="auto"/>
                <w:kern w:val="2"/>
                <w:sz w:val="21"/>
                <w:szCs w:val="21"/>
                <w:highlight w:val="none"/>
                <w:lang w:val="en-US" w:eastAsia="zh-CN" w:bidi="ar-SA"/>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7</w:t>
            </w:r>
          </w:p>
        </w:tc>
        <w:tc>
          <w:tcPr>
            <w:tcW w:w="1261" w:type="dxa"/>
            <w:shd w:val="clear" w:color="auto" w:fill="auto"/>
            <w:noWrap w:val="0"/>
            <w:vAlign w:val="center"/>
          </w:tcPr>
          <w:p w14:paraId="044B32F0">
            <w:pPr>
              <w:adjustRightInd w:val="0"/>
              <w:snapToGrid w:val="0"/>
              <w:spacing w:line="320" w:lineRule="atLeast"/>
              <w:textAlignment w:val="baseline"/>
              <w:rPr>
                <w:rFonts w:hint="eastAsia" w:ascii="宋体" w:hAnsi="宋体" w:eastAsia="宋体" w:cs="Times New Roman"/>
                <w:snapToGrid w:val="0"/>
                <w:color w:val="auto"/>
                <w:kern w:val="0"/>
                <w:szCs w:val="21"/>
                <w:highlight w:val="none"/>
                <w:lang w:eastAsia="zh-CN"/>
              </w:rPr>
            </w:pPr>
            <w:r>
              <w:rPr>
                <w:rFonts w:hint="default" w:ascii="宋体" w:hAnsi="宋体" w:cs="Times New Roman"/>
                <w:snapToGrid w:val="0"/>
                <w:color w:val="auto"/>
                <w:kern w:val="0"/>
                <w:szCs w:val="21"/>
                <w:highlight w:val="none"/>
                <w:lang w:eastAsia="zh-CN"/>
              </w:rPr>
              <w:t>9</w:t>
            </w:r>
            <w:r>
              <w:rPr>
                <w:rFonts w:hint="eastAsia" w:ascii="宋体" w:hAnsi="宋体" w:cs="Times New Roman"/>
                <w:snapToGrid w:val="0"/>
                <w:color w:val="auto"/>
                <w:kern w:val="0"/>
                <w:szCs w:val="21"/>
                <w:highlight w:val="none"/>
                <w:lang w:val="en-US" w:eastAsia="zh-Hans"/>
              </w:rPr>
              <w:t>.</w:t>
            </w:r>
            <w:r>
              <w:rPr>
                <w:rFonts w:hint="default" w:ascii="宋体" w:hAnsi="宋体" w:cs="Times New Roman"/>
                <w:snapToGrid w:val="0"/>
                <w:color w:val="auto"/>
                <w:kern w:val="0"/>
                <w:szCs w:val="21"/>
                <w:highlight w:val="none"/>
                <w:lang w:eastAsia="zh-Hans"/>
              </w:rPr>
              <w:t>10</w:t>
            </w:r>
            <w:r>
              <w:rPr>
                <w:rFonts w:hint="eastAsia" w:ascii="宋体" w:hAnsi="宋体" w:cs="Times New Roman"/>
                <w:snapToGrid w:val="0"/>
                <w:color w:val="auto"/>
                <w:kern w:val="0"/>
                <w:szCs w:val="21"/>
                <w:highlight w:val="none"/>
                <w:lang w:val="en-US" w:eastAsia="zh-Hans"/>
              </w:rPr>
              <w:t>.</w:t>
            </w:r>
            <w:r>
              <w:rPr>
                <w:rFonts w:hint="default" w:ascii="宋体" w:hAnsi="宋体" w:cs="Times New Roman"/>
                <w:snapToGrid w:val="0"/>
                <w:color w:val="auto"/>
                <w:kern w:val="0"/>
                <w:szCs w:val="21"/>
                <w:highlight w:val="none"/>
                <w:lang w:eastAsia="zh-Hans"/>
              </w:rPr>
              <w:t>1</w:t>
            </w:r>
            <w:r>
              <w:rPr>
                <w:rFonts w:hint="eastAsia" w:ascii="宋体" w:hAnsi="宋体" w:cs="Times New Roman"/>
                <w:snapToGrid w:val="0"/>
                <w:color w:val="auto"/>
                <w:kern w:val="0"/>
                <w:szCs w:val="21"/>
                <w:highlight w:val="none"/>
                <w:lang w:val="en-US" w:eastAsia="zh-CN"/>
              </w:rPr>
              <w:t>4</w:t>
            </w:r>
          </w:p>
        </w:tc>
        <w:tc>
          <w:tcPr>
            <w:tcW w:w="5806" w:type="dxa"/>
            <w:shd w:val="clear" w:color="auto" w:fill="auto"/>
            <w:noWrap w:val="0"/>
            <w:vAlign w:val="center"/>
          </w:tcPr>
          <w:p w14:paraId="551C74BE">
            <w:pPr>
              <w:adjustRightInd w:val="0"/>
              <w:snapToGrid w:val="0"/>
              <w:spacing w:line="320" w:lineRule="atLeast"/>
              <w:textAlignment w:val="baseline"/>
              <w:rPr>
                <w:rFonts w:hint="default" w:ascii="宋体" w:hAnsi="宋体" w:cs="Times New Roman"/>
                <w:snapToGrid w:val="0"/>
                <w:color w:val="auto"/>
                <w:kern w:val="0"/>
                <w:szCs w:val="21"/>
                <w:highlight w:val="none"/>
                <w:lang w:val="en-US" w:eastAsia="zh-Hans"/>
              </w:rPr>
            </w:pPr>
            <w:r>
              <w:rPr>
                <w:rFonts w:hint="default" w:ascii="宋体" w:hAnsi="宋体" w:cs="Times New Roman"/>
                <w:snapToGrid w:val="0"/>
                <w:color w:val="auto"/>
                <w:kern w:val="0"/>
                <w:szCs w:val="21"/>
                <w:highlight w:val="none"/>
                <w:lang w:val="en-US" w:eastAsia="zh-Hans"/>
              </w:rPr>
              <w:t>若承包人未按要求编制规划、未通过审核且逾期未整改，或规划执行严重偏离目标的</w:t>
            </w:r>
          </w:p>
        </w:tc>
        <w:tc>
          <w:tcPr>
            <w:tcW w:w="4256" w:type="dxa"/>
            <w:shd w:val="clear" w:color="auto" w:fill="auto"/>
            <w:noWrap w:val="0"/>
            <w:vAlign w:val="center"/>
          </w:tcPr>
          <w:p w14:paraId="10A13BA2">
            <w:pPr>
              <w:adjustRightInd w:val="0"/>
              <w:snapToGrid w:val="0"/>
              <w:spacing w:line="320" w:lineRule="atLeast"/>
              <w:textAlignment w:val="baseline"/>
              <w:rPr>
                <w:rFonts w:hint="default" w:ascii="宋体" w:hAnsi="宋体" w:cs="Times New Roman"/>
                <w:snapToGrid w:val="0"/>
                <w:color w:val="auto"/>
                <w:kern w:val="0"/>
                <w:szCs w:val="21"/>
                <w:highlight w:val="none"/>
                <w:lang w:eastAsia="zh-Hans"/>
              </w:rPr>
            </w:pPr>
            <w:r>
              <w:rPr>
                <w:rFonts w:hint="default" w:ascii="宋体" w:hAnsi="宋体" w:cs="Times New Roman"/>
                <w:snapToGrid w:val="0"/>
                <w:color w:val="auto"/>
                <w:kern w:val="0"/>
                <w:szCs w:val="21"/>
                <w:highlight w:val="none"/>
                <w:lang w:val="en-US" w:eastAsia="zh-Hans"/>
              </w:rPr>
              <w:t>未按要求编制规划</w:t>
            </w:r>
            <w:r>
              <w:rPr>
                <w:rFonts w:hint="eastAsia" w:ascii="宋体" w:hAnsi="宋体" w:cs="Times New Roman"/>
                <w:snapToGrid w:val="0"/>
                <w:color w:val="auto"/>
                <w:kern w:val="0"/>
                <w:szCs w:val="21"/>
                <w:highlight w:val="none"/>
                <w:lang w:val="en-US" w:eastAsia="zh-Hans"/>
              </w:rPr>
              <w:t>的按照</w:t>
            </w:r>
            <w:r>
              <w:rPr>
                <w:rFonts w:hint="default" w:ascii="宋体" w:hAnsi="宋体" w:cs="Times New Roman"/>
                <w:snapToGrid w:val="0"/>
                <w:color w:val="auto"/>
                <w:kern w:val="0"/>
                <w:szCs w:val="21"/>
                <w:highlight w:val="none"/>
                <w:lang w:eastAsia="zh-Hans"/>
              </w:rPr>
              <w:t>20</w:t>
            </w:r>
            <w:r>
              <w:rPr>
                <w:rFonts w:hint="eastAsia" w:ascii="宋体" w:hAnsi="宋体" w:cs="Times New Roman"/>
                <w:snapToGrid w:val="0"/>
                <w:color w:val="auto"/>
                <w:kern w:val="0"/>
                <w:szCs w:val="21"/>
                <w:highlight w:val="none"/>
                <w:lang w:val="en-US" w:eastAsia="zh-Hans"/>
              </w:rPr>
              <w:t>万元课以违约金</w:t>
            </w:r>
            <w:r>
              <w:rPr>
                <w:rFonts w:hint="default" w:ascii="宋体" w:hAnsi="宋体" w:cs="Times New Roman"/>
                <w:snapToGrid w:val="0"/>
                <w:color w:val="auto"/>
                <w:kern w:val="0"/>
                <w:szCs w:val="21"/>
                <w:highlight w:val="none"/>
                <w:lang w:eastAsia="zh-Hans"/>
              </w:rPr>
              <w:t>；</w:t>
            </w:r>
          </w:p>
          <w:p w14:paraId="15680BC9">
            <w:pPr>
              <w:adjustRightInd w:val="0"/>
              <w:snapToGrid w:val="0"/>
              <w:spacing w:line="320" w:lineRule="atLeast"/>
              <w:textAlignment w:val="baseline"/>
              <w:rPr>
                <w:rFonts w:hint="default" w:ascii="宋体" w:hAnsi="宋体" w:cs="Times New Roman"/>
                <w:snapToGrid w:val="0"/>
                <w:color w:val="auto"/>
                <w:kern w:val="0"/>
                <w:szCs w:val="21"/>
                <w:highlight w:val="none"/>
                <w:lang w:eastAsia="zh-Hans"/>
              </w:rPr>
            </w:pPr>
            <w:r>
              <w:rPr>
                <w:rFonts w:hint="default" w:ascii="宋体" w:hAnsi="宋体" w:cs="Times New Roman"/>
                <w:snapToGrid w:val="0"/>
                <w:color w:val="auto"/>
                <w:kern w:val="0"/>
                <w:szCs w:val="21"/>
                <w:highlight w:val="none"/>
                <w:lang w:val="en-US" w:eastAsia="zh-Hans"/>
              </w:rPr>
              <w:t>未通过审核且逾期未整改</w:t>
            </w:r>
            <w:r>
              <w:rPr>
                <w:rFonts w:hint="eastAsia" w:ascii="宋体" w:hAnsi="宋体" w:cs="Times New Roman"/>
                <w:snapToGrid w:val="0"/>
                <w:color w:val="auto"/>
                <w:kern w:val="0"/>
                <w:szCs w:val="21"/>
                <w:highlight w:val="none"/>
                <w:lang w:val="en-US" w:eastAsia="zh-Hans"/>
              </w:rPr>
              <w:t>按照</w:t>
            </w:r>
            <w:r>
              <w:rPr>
                <w:rFonts w:hint="default" w:ascii="宋体" w:hAnsi="宋体" w:cs="Times New Roman"/>
                <w:snapToGrid w:val="0"/>
                <w:color w:val="auto"/>
                <w:kern w:val="0"/>
                <w:szCs w:val="21"/>
                <w:highlight w:val="none"/>
                <w:lang w:eastAsia="zh-Hans"/>
              </w:rPr>
              <w:t>10</w:t>
            </w:r>
            <w:r>
              <w:rPr>
                <w:rFonts w:hint="eastAsia" w:ascii="宋体" w:hAnsi="宋体" w:cs="Times New Roman"/>
                <w:snapToGrid w:val="0"/>
                <w:color w:val="auto"/>
                <w:kern w:val="0"/>
                <w:szCs w:val="21"/>
                <w:highlight w:val="none"/>
                <w:lang w:val="en-US" w:eastAsia="zh-Hans"/>
              </w:rPr>
              <w:t>万元课以违约</w:t>
            </w:r>
            <w:r>
              <w:rPr>
                <w:rFonts w:hint="default" w:ascii="宋体" w:hAnsi="宋体" w:cs="Times New Roman"/>
                <w:snapToGrid w:val="0"/>
                <w:color w:val="auto"/>
                <w:kern w:val="0"/>
                <w:szCs w:val="21"/>
                <w:highlight w:val="none"/>
                <w:lang w:eastAsia="zh-Hans"/>
              </w:rPr>
              <w:t>；</w:t>
            </w:r>
          </w:p>
          <w:p w14:paraId="4143D4C6">
            <w:pPr>
              <w:adjustRightInd w:val="0"/>
              <w:snapToGrid w:val="0"/>
              <w:spacing w:line="320" w:lineRule="atLeast"/>
              <w:textAlignment w:val="baseline"/>
              <w:rPr>
                <w:rFonts w:hint="default" w:ascii="宋体" w:hAnsi="宋体" w:cs="Times New Roman"/>
                <w:snapToGrid w:val="0"/>
                <w:color w:val="auto"/>
                <w:kern w:val="0"/>
                <w:szCs w:val="21"/>
                <w:highlight w:val="none"/>
                <w:lang w:eastAsia="zh-Hans"/>
              </w:rPr>
            </w:pPr>
            <w:r>
              <w:rPr>
                <w:rFonts w:hint="default" w:ascii="宋体" w:hAnsi="宋体" w:cs="Times New Roman"/>
                <w:snapToGrid w:val="0"/>
                <w:color w:val="auto"/>
                <w:kern w:val="0"/>
                <w:szCs w:val="21"/>
                <w:highlight w:val="none"/>
                <w:lang w:val="en-US" w:eastAsia="zh-Hans"/>
              </w:rPr>
              <w:t>规划执行严重偏离目标的</w:t>
            </w:r>
            <w:r>
              <w:rPr>
                <w:rFonts w:hint="eastAsia" w:ascii="宋体" w:hAnsi="宋体" w:cs="Times New Roman"/>
                <w:snapToGrid w:val="0"/>
                <w:color w:val="auto"/>
                <w:kern w:val="0"/>
                <w:szCs w:val="21"/>
                <w:highlight w:val="none"/>
                <w:lang w:val="en-US" w:eastAsia="zh-Hans"/>
              </w:rPr>
              <w:t>按照</w:t>
            </w:r>
            <w:r>
              <w:rPr>
                <w:rFonts w:hint="default" w:ascii="宋体" w:hAnsi="宋体" w:cs="Times New Roman"/>
                <w:snapToGrid w:val="0"/>
                <w:color w:val="auto"/>
                <w:kern w:val="0"/>
                <w:szCs w:val="21"/>
                <w:highlight w:val="none"/>
                <w:lang w:eastAsia="zh-Hans"/>
              </w:rPr>
              <w:t>10</w:t>
            </w:r>
            <w:r>
              <w:rPr>
                <w:rFonts w:hint="eastAsia" w:ascii="宋体" w:hAnsi="宋体" w:cs="Times New Roman"/>
                <w:snapToGrid w:val="0"/>
                <w:color w:val="auto"/>
                <w:kern w:val="0"/>
                <w:szCs w:val="21"/>
                <w:highlight w:val="none"/>
                <w:lang w:val="en-US" w:eastAsia="zh-Hans"/>
              </w:rPr>
              <w:t>万元课以违约金</w:t>
            </w:r>
            <w:r>
              <w:rPr>
                <w:rFonts w:hint="default" w:ascii="宋体" w:hAnsi="宋体" w:cs="Times New Roman"/>
                <w:snapToGrid w:val="0"/>
                <w:color w:val="auto"/>
                <w:kern w:val="0"/>
                <w:szCs w:val="21"/>
                <w:highlight w:val="none"/>
                <w:lang w:eastAsia="zh-Hans"/>
              </w:rPr>
              <w:t>。</w:t>
            </w:r>
          </w:p>
        </w:tc>
        <w:tc>
          <w:tcPr>
            <w:tcW w:w="1776" w:type="dxa"/>
            <w:noWrap w:val="0"/>
            <w:vAlign w:val="center"/>
          </w:tcPr>
          <w:p w14:paraId="717409E5">
            <w:pPr>
              <w:rPr>
                <w:rFonts w:hint="eastAsia" w:ascii="Times New Roman" w:hAnsi="Times New Roman" w:eastAsia="宋体" w:cs="Times New Roman"/>
                <w:color w:val="auto"/>
                <w:szCs w:val="24"/>
                <w:highlight w:val="none"/>
              </w:rPr>
            </w:pPr>
          </w:p>
        </w:tc>
      </w:tr>
      <w:tr w14:paraId="14D58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blHeader/>
        </w:trPr>
        <w:tc>
          <w:tcPr>
            <w:tcW w:w="955" w:type="dxa"/>
            <w:shd w:val="clear" w:color="auto" w:fill="auto"/>
            <w:noWrap w:val="0"/>
            <w:vAlign w:val="center"/>
          </w:tcPr>
          <w:p w14:paraId="0A046AFB">
            <w:pPr>
              <w:spacing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28</w:t>
            </w:r>
          </w:p>
        </w:tc>
        <w:tc>
          <w:tcPr>
            <w:tcW w:w="1261" w:type="dxa"/>
            <w:shd w:val="clear" w:color="auto" w:fill="auto"/>
            <w:noWrap w:val="0"/>
            <w:vAlign w:val="center"/>
          </w:tcPr>
          <w:p w14:paraId="53DABB8E">
            <w:pPr>
              <w:adjustRightInd w:val="0"/>
              <w:snapToGrid w:val="0"/>
              <w:spacing w:line="320" w:lineRule="atLeast"/>
              <w:textAlignment w:val="baseline"/>
              <w:rPr>
                <w:rFonts w:hint="default" w:ascii="宋体" w:hAnsi="宋体" w:cs="Times New Roman"/>
                <w:snapToGrid w:val="0"/>
                <w:color w:val="auto"/>
                <w:kern w:val="0"/>
                <w:szCs w:val="21"/>
                <w:highlight w:val="none"/>
                <w:lang w:val="en-US" w:eastAsia="zh-CN"/>
              </w:rPr>
            </w:pPr>
            <w:r>
              <w:rPr>
                <w:rFonts w:hint="eastAsia" w:ascii="宋体" w:hAnsi="宋体" w:cs="Times New Roman"/>
                <w:snapToGrid w:val="0"/>
                <w:color w:val="auto"/>
                <w:kern w:val="0"/>
                <w:szCs w:val="21"/>
                <w:highlight w:val="none"/>
                <w:lang w:val="en-US" w:eastAsia="zh-CN"/>
              </w:rPr>
              <w:t>9.10.5</w:t>
            </w:r>
          </w:p>
        </w:tc>
        <w:tc>
          <w:tcPr>
            <w:tcW w:w="5806" w:type="dxa"/>
            <w:shd w:val="clear" w:color="auto" w:fill="auto"/>
            <w:noWrap w:val="0"/>
            <w:vAlign w:val="center"/>
          </w:tcPr>
          <w:p w14:paraId="3051DBD6">
            <w:pPr>
              <w:adjustRightInd w:val="0"/>
              <w:snapToGrid w:val="0"/>
              <w:spacing w:line="320" w:lineRule="atLeast"/>
              <w:textAlignment w:val="baseline"/>
              <w:rPr>
                <w:rFonts w:hint="default" w:ascii="宋体" w:hAnsi="宋体" w:eastAsia="宋体" w:cs="Times New Roman"/>
                <w:snapToGrid w:val="0"/>
                <w:color w:val="auto"/>
                <w:kern w:val="0"/>
                <w:szCs w:val="21"/>
                <w:highlight w:val="none"/>
                <w:lang w:val="en-US" w:eastAsia="zh-CN"/>
              </w:rPr>
            </w:pPr>
            <w:r>
              <w:rPr>
                <w:rFonts w:hint="default" w:ascii="宋体" w:hAnsi="宋体" w:cs="Times New Roman"/>
                <w:snapToGrid w:val="0"/>
                <w:color w:val="auto"/>
                <w:kern w:val="0"/>
                <w:szCs w:val="21"/>
                <w:highlight w:val="none"/>
                <w:lang w:val="en-US" w:eastAsia="zh-Hans"/>
              </w:rPr>
              <w:t>承包人</w:t>
            </w:r>
            <w:r>
              <w:rPr>
                <w:rFonts w:hint="eastAsia" w:ascii="宋体" w:hAnsi="宋体" w:cs="Times New Roman"/>
                <w:snapToGrid w:val="0"/>
                <w:color w:val="auto"/>
                <w:kern w:val="0"/>
                <w:szCs w:val="21"/>
                <w:highlight w:val="none"/>
                <w:lang w:val="en-US" w:eastAsia="zh-CN"/>
              </w:rPr>
              <w:t>未按要求建立预警机制，或预警机制不满足发包人要求。</w:t>
            </w:r>
          </w:p>
        </w:tc>
        <w:tc>
          <w:tcPr>
            <w:tcW w:w="4256" w:type="dxa"/>
            <w:shd w:val="clear" w:color="auto" w:fill="auto"/>
            <w:noWrap w:val="0"/>
            <w:vAlign w:val="center"/>
          </w:tcPr>
          <w:p w14:paraId="7B74151E">
            <w:pPr>
              <w:adjustRightInd w:val="0"/>
              <w:snapToGrid w:val="0"/>
              <w:spacing w:line="320" w:lineRule="atLeast"/>
              <w:textAlignment w:val="baseline"/>
              <w:rPr>
                <w:rFonts w:hint="eastAsia" w:ascii="宋体" w:hAnsi="宋体" w:cs="Times New Roman"/>
                <w:snapToGrid w:val="0"/>
                <w:color w:val="auto"/>
                <w:kern w:val="0"/>
                <w:szCs w:val="21"/>
                <w:highlight w:val="none"/>
                <w:lang w:val="en-US" w:eastAsia="zh-CN"/>
              </w:rPr>
            </w:pPr>
            <w:r>
              <w:rPr>
                <w:rFonts w:hint="eastAsia" w:ascii="宋体" w:hAnsi="宋体" w:cs="Times New Roman"/>
                <w:snapToGrid w:val="0"/>
                <w:color w:val="auto"/>
                <w:kern w:val="0"/>
                <w:szCs w:val="21"/>
                <w:highlight w:val="none"/>
                <w:lang w:val="en-US" w:eastAsia="zh-CN"/>
              </w:rPr>
              <w:t>未建立预警机制或不满足发包人要求根据检查情况按照10万元/次课以违约金。</w:t>
            </w:r>
          </w:p>
          <w:p w14:paraId="7C28CCDA">
            <w:pPr>
              <w:adjustRightInd w:val="0"/>
              <w:snapToGrid w:val="0"/>
              <w:spacing w:line="320" w:lineRule="atLeast"/>
              <w:textAlignment w:val="baseline"/>
              <w:rPr>
                <w:rFonts w:hint="default" w:ascii="宋体" w:hAnsi="宋体" w:cs="Times New Roman"/>
                <w:snapToGrid w:val="0"/>
                <w:color w:val="auto"/>
                <w:kern w:val="0"/>
                <w:szCs w:val="21"/>
                <w:highlight w:val="none"/>
                <w:lang w:val="en-US" w:eastAsia="zh-CN"/>
              </w:rPr>
            </w:pPr>
            <w:r>
              <w:rPr>
                <w:rFonts w:hint="eastAsia" w:ascii="宋体" w:hAnsi="宋体" w:cs="Times New Roman"/>
                <w:snapToGrid w:val="0"/>
                <w:color w:val="auto"/>
                <w:kern w:val="0"/>
                <w:szCs w:val="21"/>
                <w:highlight w:val="none"/>
                <w:lang w:val="en-US" w:eastAsia="zh-CN"/>
              </w:rPr>
              <w:t>未开展预警演练，按照5万元/次课以违约金。</w:t>
            </w:r>
          </w:p>
        </w:tc>
        <w:tc>
          <w:tcPr>
            <w:tcW w:w="1776" w:type="dxa"/>
            <w:noWrap w:val="0"/>
            <w:vAlign w:val="center"/>
          </w:tcPr>
          <w:p w14:paraId="5E1F88FD">
            <w:pPr>
              <w:rPr>
                <w:rFonts w:hint="eastAsia" w:ascii="Times New Roman" w:hAnsi="Times New Roman" w:eastAsia="宋体" w:cs="Times New Roman"/>
                <w:color w:val="auto"/>
                <w:szCs w:val="24"/>
                <w:highlight w:val="none"/>
              </w:rPr>
            </w:pPr>
          </w:p>
        </w:tc>
      </w:tr>
      <w:tr w14:paraId="3C3A8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4F02B858">
            <w:pPr>
              <w:spacing w:line="40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29</w:t>
            </w:r>
          </w:p>
        </w:tc>
        <w:tc>
          <w:tcPr>
            <w:tcW w:w="1261" w:type="dxa"/>
            <w:noWrap w:val="0"/>
            <w:vAlign w:val="center"/>
          </w:tcPr>
          <w:p w14:paraId="1F5EB302">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w:t>
            </w:r>
            <w:r>
              <w:rPr>
                <w:rFonts w:hint="eastAsia" w:ascii="宋体" w:hAnsi="宋体" w:eastAsia="宋体" w:cs="Times New Roman"/>
                <w:snapToGrid w:val="0"/>
                <w:color w:val="auto"/>
                <w:kern w:val="0"/>
                <w:szCs w:val="21"/>
                <w:highlight w:val="none"/>
              </w:rPr>
              <w:t>（</w:t>
            </w:r>
            <w:r>
              <w:rPr>
                <w:rFonts w:ascii="宋体" w:hAnsi="宋体" w:eastAsia="宋体" w:cs="Times New Roman"/>
                <w:snapToGrid w:val="0"/>
                <w:color w:val="auto"/>
                <w:kern w:val="0"/>
                <w:szCs w:val="21"/>
                <w:highlight w:val="none"/>
              </w:rPr>
              <w:t>2）</w:t>
            </w:r>
          </w:p>
        </w:tc>
        <w:tc>
          <w:tcPr>
            <w:tcW w:w="5806" w:type="dxa"/>
            <w:noWrap w:val="0"/>
            <w:vAlign w:val="center"/>
          </w:tcPr>
          <w:p w14:paraId="4CF54A7B">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承包人未按合同文件规定为施工现场施工人员办理人身安全保险，发包人有权按照标准课以违约金；</w:t>
            </w:r>
          </w:p>
        </w:tc>
        <w:tc>
          <w:tcPr>
            <w:tcW w:w="4256" w:type="dxa"/>
            <w:noWrap w:val="0"/>
            <w:vAlign w:val="center"/>
          </w:tcPr>
          <w:p w14:paraId="7F20A443">
            <w:pPr>
              <w:spacing w:line="400" w:lineRule="exact"/>
              <w:jc w:val="left"/>
              <w:rPr>
                <w:rFonts w:ascii="宋体" w:hAnsi="宋体" w:eastAsia="宋体" w:cs="Times New Roman"/>
                <w:snapToGrid w:val="0"/>
                <w:color w:val="auto"/>
                <w:kern w:val="0"/>
                <w:szCs w:val="21"/>
                <w:highlight w:val="none"/>
              </w:rPr>
            </w:pPr>
            <w:r>
              <w:rPr>
                <w:rFonts w:hint="eastAsia" w:ascii="宋体" w:hAnsi="宋体" w:cs="Times New Roman"/>
                <w:color w:val="auto"/>
                <w:szCs w:val="21"/>
                <w:highlight w:val="none"/>
                <w:lang w:val="en-US" w:eastAsia="zh-CN"/>
              </w:rPr>
              <w:t>课以</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万元</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人·次</w:t>
            </w:r>
            <w:r>
              <w:rPr>
                <w:rFonts w:hint="eastAsia" w:ascii="宋体" w:hAnsi="宋体" w:cs="Times New Roman"/>
                <w:snapToGrid w:val="0"/>
                <w:color w:val="auto"/>
                <w:kern w:val="0"/>
                <w:szCs w:val="21"/>
                <w:highlight w:val="none"/>
                <w:lang w:val="en-US" w:eastAsia="zh-CN"/>
              </w:rPr>
              <w:t>违约金</w:t>
            </w:r>
            <w:r>
              <w:rPr>
                <w:rFonts w:hint="eastAsia" w:ascii="宋体" w:hAnsi="宋体" w:eastAsia="宋体" w:cs="Times New Roman"/>
                <w:color w:val="auto"/>
                <w:szCs w:val="21"/>
                <w:highlight w:val="none"/>
              </w:rPr>
              <w:t>。</w:t>
            </w:r>
          </w:p>
        </w:tc>
        <w:tc>
          <w:tcPr>
            <w:tcW w:w="1776" w:type="dxa"/>
            <w:noWrap w:val="0"/>
            <w:vAlign w:val="center"/>
          </w:tcPr>
          <w:p w14:paraId="4588A631">
            <w:pPr>
              <w:spacing w:line="400" w:lineRule="exact"/>
              <w:jc w:val="center"/>
              <w:rPr>
                <w:rFonts w:ascii="宋体" w:hAnsi="宋体" w:eastAsia="宋体" w:cs="Times New Roman"/>
                <w:color w:val="auto"/>
                <w:szCs w:val="21"/>
                <w:highlight w:val="none"/>
              </w:rPr>
            </w:pPr>
          </w:p>
        </w:tc>
      </w:tr>
      <w:tr w14:paraId="6BE25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488A8935">
            <w:pPr>
              <w:spacing w:line="40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30</w:t>
            </w:r>
          </w:p>
        </w:tc>
        <w:tc>
          <w:tcPr>
            <w:tcW w:w="1261" w:type="dxa"/>
            <w:noWrap w:val="0"/>
            <w:vAlign w:val="center"/>
          </w:tcPr>
          <w:p w14:paraId="44A3F6D0">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w:t>
            </w:r>
            <w:r>
              <w:rPr>
                <w:rFonts w:hint="eastAsia" w:ascii="宋体" w:hAnsi="宋体" w:eastAsia="宋体" w:cs="Times New Roman"/>
                <w:snapToGrid w:val="0"/>
                <w:color w:val="auto"/>
                <w:kern w:val="0"/>
                <w:szCs w:val="21"/>
                <w:highlight w:val="none"/>
              </w:rPr>
              <w:t>（</w:t>
            </w:r>
            <w:r>
              <w:rPr>
                <w:rFonts w:ascii="宋体" w:hAnsi="宋体" w:eastAsia="宋体" w:cs="Times New Roman"/>
                <w:snapToGrid w:val="0"/>
                <w:color w:val="auto"/>
                <w:kern w:val="0"/>
                <w:szCs w:val="21"/>
                <w:highlight w:val="none"/>
              </w:rPr>
              <w:t>3）</w:t>
            </w:r>
          </w:p>
        </w:tc>
        <w:tc>
          <w:tcPr>
            <w:tcW w:w="5806" w:type="dxa"/>
            <w:noWrap w:val="0"/>
            <w:vAlign w:val="center"/>
          </w:tcPr>
          <w:p w14:paraId="086CE4D4">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承包人在投标文件中承诺的进场人员、施工设备不能正常到位，或损坏不能正常使用、或擅自改变主要设备规格型号、或未经发包人同意擅自撤离现场的、或擅自调用发包人提供的设备用于其他项目的，发包人有权按照标准课以违约金；</w:t>
            </w:r>
          </w:p>
        </w:tc>
        <w:tc>
          <w:tcPr>
            <w:tcW w:w="4256" w:type="dxa"/>
            <w:noWrap w:val="0"/>
            <w:vAlign w:val="center"/>
          </w:tcPr>
          <w:p w14:paraId="15359980">
            <w:pPr>
              <w:spacing w:line="400" w:lineRule="exact"/>
              <w:rPr>
                <w:rFonts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课以</w:t>
            </w:r>
            <w:r>
              <w:rPr>
                <w:rFonts w:hint="eastAsia" w:ascii="宋体" w:hAnsi="宋体" w:eastAsia="宋体" w:cs="Times New Roman"/>
                <w:color w:val="auto"/>
                <w:szCs w:val="21"/>
                <w:highlight w:val="none"/>
              </w:rPr>
              <w:t>人员：</w:t>
            </w:r>
            <w:r>
              <w:rPr>
                <w:rFonts w:ascii="宋体" w:hAnsi="宋体" w:eastAsia="宋体" w:cs="Times New Roman"/>
                <w:color w:val="auto"/>
                <w:szCs w:val="21"/>
                <w:highlight w:val="none"/>
              </w:rPr>
              <w:t>1000</w:t>
            </w:r>
            <w:r>
              <w:rPr>
                <w:rFonts w:hint="eastAsia" w:ascii="宋体" w:hAnsi="宋体" w:eastAsia="宋体" w:cs="Times New Roman"/>
                <w:color w:val="auto"/>
                <w:szCs w:val="21"/>
                <w:highlight w:val="none"/>
              </w:rPr>
              <w:t>元</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人</w:t>
            </w:r>
            <w:r>
              <w:rPr>
                <w:rFonts w:hint="eastAsia" w:ascii="宋体" w:hAnsi="宋体" w:eastAsia="宋体" w:cs="微软雅黑"/>
                <w:color w:val="auto"/>
                <w:szCs w:val="21"/>
                <w:highlight w:val="none"/>
              </w:rPr>
              <w:t>•</w:t>
            </w:r>
            <w:r>
              <w:rPr>
                <w:rFonts w:hint="eastAsia" w:ascii="宋体" w:hAnsi="宋体" w:eastAsia="宋体" w:cs="黑体"/>
                <w:color w:val="auto"/>
                <w:szCs w:val="21"/>
                <w:highlight w:val="none"/>
              </w:rPr>
              <w:t>天</w:t>
            </w:r>
            <w:r>
              <w:rPr>
                <w:rFonts w:hint="eastAsia" w:ascii="宋体" w:hAnsi="宋体" w:cs="Times New Roman"/>
                <w:snapToGrid w:val="0"/>
                <w:color w:val="auto"/>
                <w:kern w:val="0"/>
                <w:szCs w:val="21"/>
                <w:highlight w:val="none"/>
                <w:lang w:val="en-US" w:eastAsia="zh-CN"/>
              </w:rPr>
              <w:t>违约金</w:t>
            </w:r>
            <w:r>
              <w:rPr>
                <w:rFonts w:hint="eastAsia" w:ascii="宋体" w:hAnsi="宋体" w:eastAsia="宋体" w:cs="黑体"/>
                <w:color w:val="auto"/>
                <w:szCs w:val="21"/>
                <w:highlight w:val="none"/>
              </w:rPr>
              <w:t>。</w:t>
            </w:r>
          </w:p>
          <w:p w14:paraId="167C093C">
            <w:pPr>
              <w:spacing w:line="400" w:lineRule="exact"/>
              <w:rPr>
                <w:rFonts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课以</w:t>
            </w:r>
            <w:r>
              <w:rPr>
                <w:rFonts w:hint="eastAsia" w:ascii="宋体" w:hAnsi="宋体" w:eastAsia="宋体" w:cs="Times New Roman"/>
                <w:color w:val="auto"/>
                <w:szCs w:val="21"/>
                <w:highlight w:val="none"/>
              </w:rPr>
              <w:t>设备：</w:t>
            </w:r>
            <w:r>
              <w:rPr>
                <w:rFonts w:ascii="宋体" w:hAnsi="宋体" w:eastAsia="宋体" w:cs="Times New Roman"/>
                <w:color w:val="auto"/>
                <w:szCs w:val="21"/>
                <w:highlight w:val="none"/>
              </w:rPr>
              <w:t>5000</w:t>
            </w:r>
            <w:r>
              <w:rPr>
                <w:rFonts w:hint="eastAsia" w:ascii="宋体" w:hAnsi="宋体" w:eastAsia="宋体" w:cs="Times New Roman"/>
                <w:color w:val="auto"/>
                <w:szCs w:val="21"/>
                <w:highlight w:val="none"/>
              </w:rPr>
              <w:t>元/台</w:t>
            </w:r>
            <w:r>
              <w:rPr>
                <w:rFonts w:hint="eastAsia" w:ascii="宋体" w:hAnsi="宋体" w:eastAsia="宋体" w:cs="微软雅黑"/>
                <w:color w:val="auto"/>
                <w:szCs w:val="21"/>
                <w:highlight w:val="none"/>
              </w:rPr>
              <w:t>•天</w:t>
            </w:r>
            <w:r>
              <w:rPr>
                <w:rFonts w:hint="eastAsia" w:ascii="宋体" w:hAnsi="宋体" w:cs="Times New Roman"/>
                <w:snapToGrid w:val="0"/>
                <w:color w:val="auto"/>
                <w:kern w:val="0"/>
                <w:szCs w:val="21"/>
                <w:highlight w:val="none"/>
                <w:lang w:val="en-US" w:eastAsia="zh-CN"/>
              </w:rPr>
              <w:t>违约金</w:t>
            </w:r>
            <w:r>
              <w:rPr>
                <w:rFonts w:hint="eastAsia" w:ascii="宋体" w:hAnsi="宋体" w:eastAsia="宋体" w:cs="Times New Roman"/>
                <w:color w:val="auto"/>
                <w:szCs w:val="21"/>
                <w:highlight w:val="none"/>
              </w:rPr>
              <w:t>。</w:t>
            </w:r>
          </w:p>
        </w:tc>
        <w:tc>
          <w:tcPr>
            <w:tcW w:w="1776" w:type="dxa"/>
            <w:noWrap w:val="0"/>
            <w:vAlign w:val="center"/>
          </w:tcPr>
          <w:p w14:paraId="3507A994">
            <w:pPr>
              <w:spacing w:line="400" w:lineRule="exact"/>
              <w:jc w:val="center"/>
              <w:rPr>
                <w:rFonts w:ascii="宋体" w:hAnsi="宋体" w:eastAsia="宋体" w:cs="Times New Roman"/>
                <w:color w:val="auto"/>
                <w:szCs w:val="21"/>
                <w:highlight w:val="none"/>
              </w:rPr>
            </w:pPr>
          </w:p>
        </w:tc>
      </w:tr>
      <w:tr w14:paraId="2D77C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24FBA58C">
            <w:pPr>
              <w:spacing w:line="40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31</w:t>
            </w:r>
          </w:p>
        </w:tc>
        <w:tc>
          <w:tcPr>
            <w:tcW w:w="1261" w:type="dxa"/>
            <w:noWrap w:val="0"/>
            <w:vAlign w:val="center"/>
          </w:tcPr>
          <w:p w14:paraId="63284CFC">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24.2.2（4）</w:t>
            </w:r>
          </w:p>
        </w:tc>
        <w:tc>
          <w:tcPr>
            <w:tcW w:w="5806" w:type="dxa"/>
            <w:noWrap w:val="0"/>
            <w:vAlign w:val="center"/>
          </w:tcPr>
          <w:p w14:paraId="509D31BC">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承包人的工程质量达不到合同文件规定的质量标准，发包人有权按照标准课以违约金；</w:t>
            </w:r>
          </w:p>
        </w:tc>
        <w:tc>
          <w:tcPr>
            <w:tcW w:w="4256" w:type="dxa"/>
            <w:noWrap w:val="0"/>
            <w:vAlign w:val="center"/>
          </w:tcPr>
          <w:p w14:paraId="162F0CBE">
            <w:pPr>
              <w:spacing w:line="4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不合格工程返工处理费用的两倍。</w:t>
            </w:r>
          </w:p>
        </w:tc>
        <w:tc>
          <w:tcPr>
            <w:tcW w:w="1776" w:type="dxa"/>
            <w:noWrap w:val="0"/>
            <w:vAlign w:val="center"/>
          </w:tcPr>
          <w:p w14:paraId="7D61B822">
            <w:pPr>
              <w:spacing w:line="400" w:lineRule="exact"/>
              <w:jc w:val="center"/>
              <w:rPr>
                <w:rFonts w:ascii="宋体" w:hAnsi="宋体" w:eastAsia="宋体" w:cs="Times New Roman"/>
                <w:color w:val="auto"/>
                <w:szCs w:val="21"/>
                <w:highlight w:val="none"/>
              </w:rPr>
            </w:pPr>
          </w:p>
        </w:tc>
      </w:tr>
      <w:tr w14:paraId="2E41D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6F148582">
            <w:pPr>
              <w:spacing w:line="40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32</w:t>
            </w:r>
          </w:p>
        </w:tc>
        <w:tc>
          <w:tcPr>
            <w:tcW w:w="1261" w:type="dxa"/>
            <w:noWrap w:val="0"/>
            <w:vAlign w:val="center"/>
          </w:tcPr>
          <w:p w14:paraId="184263AC">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24.2.2（5）</w:t>
            </w:r>
          </w:p>
        </w:tc>
        <w:tc>
          <w:tcPr>
            <w:tcW w:w="5806" w:type="dxa"/>
            <w:noWrap w:val="0"/>
            <w:vAlign w:val="center"/>
          </w:tcPr>
          <w:p w14:paraId="0E042060">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承包人未按合同约定保障承包人人员的合法权益的，发包人有权按照标准课以违约金；</w:t>
            </w:r>
          </w:p>
        </w:tc>
        <w:tc>
          <w:tcPr>
            <w:tcW w:w="4256" w:type="dxa"/>
            <w:noWrap w:val="0"/>
            <w:vAlign w:val="center"/>
          </w:tcPr>
          <w:p w14:paraId="0828690A">
            <w:pPr>
              <w:spacing w:line="400" w:lineRule="exact"/>
              <w:rPr>
                <w:rFonts w:ascii="宋体" w:hAnsi="宋体" w:eastAsia="宋体" w:cs="Times New Roman"/>
                <w:color w:val="auto"/>
                <w:szCs w:val="21"/>
                <w:highlight w:val="none"/>
              </w:rPr>
            </w:pPr>
            <w:r>
              <w:rPr>
                <w:rFonts w:hint="eastAsia" w:ascii="宋体" w:hAnsi="宋体" w:eastAsia="宋体" w:cs="Times New Roman"/>
                <w:color w:val="auto"/>
                <w:szCs w:val="22"/>
                <w:highlight w:val="none"/>
              </w:rPr>
              <w:t>视情况</w:t>
            </w:r>
            <w:r>
              <w:rPr>
                <w:rFonts w:hint="eastAsia" w:ascii="宋体" w:hAnsi="宋体" w:cs="Times New Roman"/>
                <w:color w:val="auto"/>
                <w:szCs w:val="22"/>
                <w:highlight w:val="none"/>
                <w:lang w:val="en-US" w:eastAsia="zh-CN"/>
              </w:rPr>
              <w:t>课以</w:t>
            </w:r>
            <w:r>
              <w:rPr>
                <w:rFonts w:ascii="宋体" w:hAnsi="宋体" w:eastAsia="宋体" w:cs="Times New Roman"/>
                <w:color w:val="auto"/>
                <w:szCs w:val="21"/>
                <w:highlight w:val="none"/>
              </w:rPr>
              <w:t>1~3</w:t>
            </w:r>
            <w:r>
              <w:rPr>
                <w:rFonts w:hint="eastAsia" w:ascii="宋体" w:hAnsi="宋体" w:eastAsia="宋体" w:cs="Times New Roman"/>
                <w:color w:val="auto"/>
                <w:szCs w:val="21"/>
                <w:highlight w:val="none"/>
              </w:rPr>
              <w:t>万元</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次</w:t>
            </w:r>
            <w:r>
              <w:rPr>
                <w:rFonts w:hint="eastAsia" w:ascii="宋体" w:hAnsi="宋体" w:cs="Times New Roman"/>
                <w:snapToGrid w:val="0"/>
                <w:color w:val="auto"/>
                <w:kern w:val="0"/>
                <w:szCs w:val="21"/>
                <w:highlight w:val="none"/>
                <w:lang w:val="en-US" w:eastAsia="zh-CN"/>
              </w:rPr>
              <w:t>违约金</w:t>
            </w:r>
            <w:r>
              <w:rPr>
                <w:rFonts w:hint="eastAsia" w:ascii="宋体" w:hAnsi="宋体" w:eastAsia="宋体" w:cs="Times New Roman"/>
                <w:color w:val="auto"/>
                <w:szCs w:val="21"/>
                <w:highlight w:val="none"/>
              </w:rPr>
              <w:t>。</w:t>
            </w:r>
          </w:p>
        </w:tc>
        <w:tc>
          <w:tcPr>
            <w:tcW w:w="1776" w:type="dxa"/>
            <w:noWrap w:val="0"/>
            <w:vAlign w:val="center"/>
          </w:tcPr>
          <w:p w14:paraId="0CC566B9">
            <w:pPr>
              <w:spacing w:line="400" w:lineRule="exact"/>
              <w:jc w:val="center"/>
              <w:rPr>
                <w:rFonts w:ascii="宋体" w:hAnsi="宋体" w:eastAsia="宋体" w:cs="Times New Roman"/>
                <w:color w:val="auto"/>
                <w:szCs w:val="21"/>
                <w:highlight w:val="none"/>
              </w:rPr>
            </w:pPr>
          </w:p>
        </w:tc>
      </w:tr>
      <w:tr w14:paraId="31702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003AAD38">
            <w:pPr>
              <w:adjustRightInd w:val="0"/>
              <w:snapToGrid w:val="0"/>
              <w:spacing w:line="320" w:lineRule="atLeast"/>
              <w:jc w:val="center"/>
              <w:textAlignment w:val="baseline"/>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33</w:t>
            </w:r>
          </w:p>
        </w:tc>
        <w:tc>
          <w:tcPr>
            <w:tcW w:w="1261" w:type="dxa"/>
            <w:noWrap w:val="0"/>
            <w:vAlign w:val="center"/>
          </w:tcPr>
          <w:p w14:paraId="03054481">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w:t>
            </w:r>
            <w:r>
              <w:rPr>
                <w:rFonts w:hint="eastAsia" w:ascii="宋体" w:hAnsi="宋体" w:eastAsia="宋体" w:cs="Times New Roman"/>
                <w:snapToGrid w:val="0"/>
                <w:color w:val="auto"/>
                <w:kern w:val="0"/>
                <w:szCs w:val="21"/>
                <w:highlight w:val="none"/>
              </w:rPr>
              <w:t>6</w:t>
            </w:r>
            <w:r>
              <w:rPr>
                <w:rFonts w:ascii="宋体" w:hAnsi="宋体" w:eastAsia="宋体" w:cs="Times New Roman"/>
                <w:snapToGrid w:val="0"/>
                <w:color w:val="auto"/>
                <w:kern w:val="0"/>
                <w:szCs w:val="21"/>
                <w:highlight w:val="none"/>
              </w:rPr>
              <w:t>）</w:t>
            </w:r>
          </w:p>
        </w:tc>
        <w:tc>
          <w:tcPr>
            <w:tcW w:w="5806" w:type="dxa"/>
            <w:noWrap w:val="0"/>
            <w:vAlign w:val="center"/>
          </w:tcPr>
          <w:p w14:paraId="37F4CB58">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承包人在</w:t>
            </w:r>
            <w:r>
              <w:rPr>
                <w:rFonts w:hint="eastAsia" w:ascii="宋体" w:hAnsi="宋体" w:cs="Times New Roman"/>
                <w:snapToGrid w:val="0"/>
                <w:color w:val="auto"/>
                <w:kern w:val="0"/>
                <w:szCs w:val="21"/>
                <w:highlight w:val="none"/>
                <w:lang w:eastAsia="zh-CN"/>
              </w:rPr>
              <w:t>运行维护</w:t>
            </w:r>
            <w:r>
              <w:rPr>
                <w:rFonts w:hint="eastAsia" w:ascii="宋体" w:hAnsi="宋体" w:eastAsia="宋体" w:cs="Times New Roman"/>
                <w:snapToGrid w:val="0"/>
                <w:color w:val="auto"/>
                <w:kern w:val="0"/>
                <w:szCs w:val="21"/>
                <w:highlight w:val="none"/>
              </w:rPr>
              <w:t>作业期间违反安全操作规定的，发包人有权按照标准课以违约金；</w:t>
            </w:r>
          </w:p>
        </w:tc>
        <w:tc>
          <w:tcPr>
            <w:tcW w:w="4256" w:type="dxa"/>
            <w:noWrap w:val="0"/>
            <w:vAlign w:val="center"/>
          </w:tcPr>
          <w:p w14:paraId="196205CA">
            <w:pPr>
              <w:spacing w:line="400" w:lineRule="exact"/>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视情况</w:t>
            </w:r>
            <w:r>
              <w:rPr>
                <w:rFonts w:hint="eastAsia" w:ascii="宋体" w:hAnsi="宋体" w:cs="Times New Roman"/>
                <w:snapToGrid w:val="0"/>
                <w:color w:val="auto"/>
                <w:kern w:val="0"/>
                <w:szCs w:val="21"/>
                <w:highlight w:val="none"/>
                <w:lang w:val="en-US" w:eastAsia="zh-CN"/>
              </w:rPr>
              <w:t>课以</w:t>
            </w:r>
            <w:r>
              <w:rPr>
                <w:rFonts w:ascii="宋体" w:hAnsi="宋体" w:eastAsia="宋体" w:cs="Times New Roman"/>
                <w:color w:val="auto"/>
                <w:szCs w:val="21"/>
                <w:highlight w:val="none"/>
              </w:rPr>
              <w:t>1~3</w:t>
            </w:r>
            <w:r>
              <w:rPr>
                <w:rFonts w:hint="eastAsia" w:ascii="宋体" w:hAnsi="宋体" w:eastAsia="宋体" w:cs="Times New Roman"/>
                <w:color w:val="auto"/>
                <w:szCs w:val="21"/>
                <w:highlight w:val="none"/>
              </w:rPr>
              <w:t>万元</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次</w:t>
            </w:r>
            <w:r>
              <w:rPr>
                <w:rFonts w:hint="eastAsia" w:ascii="宋体" w:hAnsi="宋体" w:cs="Times New Roman"/>
                <w:snapToGrid w:val="0"/>
                <w:color w:val="auto"/>
                <w:kern w:val="0"/>
                <w:szCs w:val="21"/>
                <w:highlight w:val="none"/>
                <w:lang w:val="en-US" w:eastAsia="zh-CN"/>
              </w:rPr>
              <w:t>违约金</w:t>
            </w:r>
            <w:r>
              <w:rPr>
                <w:rFonts w:hint="eastAsia" w:ascii="宋体" w:hAnsi="宋体" w:eastAsia="宋体" w:cs="Times New Roman"/>
                <w:color w:val="auto"/>
                <w:szCs w:val="21"/>
                <w:highlight w:val="none"/>
              </w:rPr>
              <w:t>。</w:t>
            </w:r>
          </w:p>
        </w:tc>
        <w:tc>
          <w:tcPr>
            <w:tcW w:w="1776" w:type="dxa"/>
            <w:noWrap w:val="0"/>
            <w:vAlign w:val="center"/>
          </w:tcPr>
          <w:p w14:paraId="52807991">
            <w:pPr>
              <w:spacing w:line="400" w:lineRule="exact"/>
              <w:jc w:val="center"/>
              <w:rPr>
                <w:rFonts w:ascii="宋体" w:hAnsi="宋体" w:eastAsia="宋体" w:cs="Times New Roman"/>
                <w:color w:val="auto"/>
                <w:szCs w:val="21"/>
                <w:highlight w:val="none"/>
              </w:rPr>
            </w:pPr>
          </w:p>
        </w:tc>
      </w:tr>
      <w:tr w14:paraId="332AE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45DF08C3">
            <w:pPr>
              <w:adjustRightInd w:val="0"/>
              <w:snapToGrid w:val="0"/>
              <w:spacing w:line="320" w:lineRule="atLeast"/>
              <w:jc w:val="center"/>
              <w:textAlignment w:val="baseline"/>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szCs w:val="24"/>
                <w:highlight w:val="none"/>
                <w:lang w:val="en-US" w:eastAsia="zh-CN"/>
              </w:rPr>
              <w:t>34</w:t>
            </w:r>
          </w:p>
        </w:tc>
        <w:tc>
          <w:tcPr>
            <w:tcW w:w="1261" w:type="dxa"/>
            <w:noWrap w:val="0"/>
            <w:vAlign w:val="center"/>
          </w:tcPr>
          <w:p w14:paraId="4292810A">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24.2.2（7）</w:t>
            </w:r>
          </w:p>
        </w:tc>
        <w:tc>
          <w:tcPr>
            <w:tcW w:w="5806" w:type="dxa"/>
            <w:noWrap w:val="0"/>
            <w:vAlign w:val="center"/>
          </w:tcPr>
          <w:p w14:paraId="618BD915">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承包人发生安全生产事故的，发包人有权按照标准课以违约金；</w:t>
            </w:r>
          </w:p>
        </w:tc>
        <w:tc>
          <w:tcPr>
            <w:tcW w:w="4256" w:type="dxa"/>
            <w:noWrap w:val="0"/>
            <w:vAlign w:val="center"/>
          </w:tcPr>
          <w:p w14:paraId="7F96AB6C">
            <w:pPr>
              <w:spacing w:line="400" w:lineRule="exact"/>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视情况</w:t>
            </w:r>
            <w:r>
              <w:rPr>
                <w:rFonts w:hint="eastAsia" w:ascii="宋体" w:hAnsi="宋体" w:cs="Times New Roman"/>
                <w:snapToGrid w:val="0"/>
                <w:color w:val="auto"/>
                <w:kern w:val="0"/>
                <w:szCs w:val="21"/>
                <w:highlight w:val="none"/>
                <w:lang w:val="en-US" w:eastAsia="zh-CN"/>
              </w:rPr>
              <w:t>课以</w:t>
            </w:r>
            <w:r>
              <w:rPr>
                <w:rFonts w:hint="eastAsia" w:ascii="宋体" w:hAnsi="宋体" w:eastAsia="宋体" w:cs="Times New Roman"/>
                <w:color w:val="auto"/>
                <w:szCs w:val="22"/>
                <w:highlight w:val="none"/>
              </w:rPr>
              <w:t>1</w:t>
            </w:r>
            <w:r>
              <w:rPr>
                <w:rFonts w:ascii="宋体" w:hAnsi="宋体" w:eastAsia="宋体" w:cs="Times New Roman"/>
                <w:color w:val="auto"/>
                <w:szCs w:val="22"/>
                <w:highlight w:val="none"/>
              </w:rPr>
              <w:t>0~50</w:t>
            </w:r>
            <w:r>
              <w:rPr>
                <w:rFonts w:hint="eastAsia" w:ascii="宋体" w:hAnsi="宋体" w:eastAsia="宋体" w:cs="Times New Roman"/>
                <w:color w:val="auto"/>
                <w:szCs w:val="22"/>
                <w:highlight w:val="none"/>
              </w:rPr>
              <w:t>万元/次</w:t>
            </w:r>
            <w:r>
              <w:rPr>
                <w:rFonts w:hint="eastAsia" w:ascii="宋体" w:hAnsi="宋体" w:cs="Times New Roman"/>
                <w:snapToGrid w:val="0"/>
                <w:color w:val="auto"/>
                <w:kern w:val="0"/>
                <w:szCs w:val="21"/>
                <w:highlight w:val="none"/>
                <w:lang w:val="en-US" w:eastAsia="zh-CN"/>
              </w:rPr>
              <w:t>违约金</w:t>
            </w:r>
          </w:p>
        </w:tc>
        <w:tc>
          <w:tcPr>
            <w:tcW w:w="1776" w:type="dxa"/>
            <w:noWrap w:val="0"/>
            <w:vAlign w:val="center"/>
          </w:tcPr>
          <w:p w14:paraId="00B38C59">
            <w:pPr>
              <w:spacing w:line="400" w:lineRule="exact"/>
              <w:jc w:val="center"/>
              <w:rPr>
                <w:rFonts w:ascii="宋体" w:hAnsi="宋体" w:eastAsia="宋体" w:cs="Times New Roman"/>
                <w:color w:val="auto"/>
                <w:szCs w:val="21"/>
                <w:highlight w:val="none"/>
              </w:rPr>
            </w:pPr>
          </w:p>
        </w:tc>
      </w:tr>
      <w:tr w14:paraId="1C377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54C7BC78">
            <w:pPr>
              <w:adjustRightInd w:val="0"/>
              <w:snapToGrid w:val="0"/>
              <w:spacing w:line="320" w:lineRule="atLeast"/>
              <w:jc w:val="center"/>
              <w:textAlignment w:val="baseline"/>
              <w:rPr>
                <w:rFonts w:hint="eastAsia"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35</w:t>
            </w:r>
          </w:p>
        </w:tc>
        <w:tc>
          <w:tcPr>
            <w:tcW w:w="1261" w:type="dxa"/>
            <w:noWrap w:val="0"/>
            <w:vAlign w:val="center"/>
          </w:tcPr>
          <w:p w14:paraId="5431B3CF">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24.2.2（8）</w:t>
            </w:r>
          </w:p>
        </w:tc>
        <w:tc>
          <w:tcPr>
            <w:tcW w:w="5806" w:type="dxa"/>
            <w:noWrap w:val="0"/>
            <w:vAlign w:val="center"/>
          </w:tcPr>
          <w:p w14:paraId="0BEFB9CD">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承包人不执行发包人或发包人代表对本合同工程发出的指示，发包人有权按照标准课以违约金；</w:t>
            </w:r>
          </w:p>
        </w:tc>
        <w:tc>
          <w:tcPr>
            <w:tcW w:w="4256" w:type="dxa"/>
            <w:noWrap w:val="0"/>
            <w:vAlign w:val="center"/>
          </w:tcPr>
          <w:p w14:paraId="2BBB4E15">
            <w:pPr>
              <w:spacing w:line="400" w:lineRule="exact"/>
              <w:rPr>
                <w:rFonts w:ascii="宋体" w:hAnsi="宋体" w:eastAsia="宋体" w:cs="Times New Roman"/>
                <w:color w:val="auto"/>
                <w:szCs w:val="21"/>
                <w:highlight w:val="none"/>
              </w:rPr>
            </w:pPr>
            <w:r>
              <w:rPr>
                <w:rFonts w:hint="eastAsia" w:ascii="宋体" w:hAnsi="宋体" w:eastAsia="宋体" w:cs="Times New Roman"/>
                <w:color w:val="auto"/>
                <w:szCs w:val="22"/>
                <w:highlight w:val="none"/>
              </w:rPr>
              <w:t>视情况</w:t>
            </w:r>
            <w:r>
              <w:rPr>
                <w:rFonts w:hint="eastAsia" w:ascii="宋体" w:hAnsi="宋体" w:cs="Times New Roman"/>
                <w:snapToGrid w:val="0"/>
                <w:color w:val="auto"/>
                <w:kern w:val="0"/>
                <w:szCs w:val="21"/>
                <w:highlight w:val="none"/>
                <w:lang w:val="en-US" w:eastAsia="zh-CN"/>
              </w:rPr>
              <w:t>课以</w:t>
            </w:r>
            <w:r>
              <w:rPr>
                <w:rFonts w:ascii="宋体" w:hAnsi="宋体" w:eastAsia="宋体" w:cs="Times New Roman"/>
                <w:color w:val="auto"/>
                <w:szCs w:val="21"/>
                <w:highlight w:val="none"/>
              </w:rPr>
              <w:t>1~3</w:t>
            </w:r>
            <w:r>
              <w:rPr>
                <w:rFonts w:hint="eastAsia" w:ascii="宋体" w:hAnsi="宋体" w:eastAsia="宋体" w:cs="Times New Roman"/>
                <w:color w:val="auto"/>
                <w:szCs w:val="21"/>
                <w:highlight w:val="none"/>
              </w:rPr>
              <w:t>万元</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次</w:t>
            </w:r>
            <w:r>
              <w:rPr>
                <w:rFonts w:hint="eastAsia" w:ascii="宋体" w:hAnsi="宋体" w:cs="Times New Roman"/>
                <w:snapToGrid w:val="0"/>
                <w:color w:val="auto"/>
                <w:kern w:val="0"/>
                <w:szCs w:val="21"/>
                <w:highlight w:val="none"/>
                <w:lang w:val="en-US" w:eastAsia="zh-CN"/>
              </w:rPr>
              <w:t>违约金</w:t>
            </w:r>
            <w:r>
              <w:rPr>
                <w:rFonts w:hint="eastAsia" w:ascii="宋体" w:hAnsi="宋体" w:eastAsia="宋体" w:cs="Times New Roman"/>
                <w:color w:val="auto"/>
                <w:szCs w:val="21"/>
                <w:highlight w:val="none"/>
              </w:rPr>
              <w:t>。</w:t>
            </w:r>
          </w:p>
        </w:tc>
        <w:tc>
          <w:tcPr>
            <w:tcW w:w="1776" w:type="dxa"/>
            <w:noWrap w:val="0"/>
            <w:vAlign w:val="center"/>
          </w:tcPr>
          <w:p w14:paraId="510494F0">
            <w:pPr>
              <w:spacing w:line="400" w:lineRule="exact"/>
              <w:jc w:val="center"/>
              <w:rPr>
                <w:rFonts w:ascii="宋体" w:hAnsi="宋体" w:eastAsia="宋体" w:cs="Times New Roman"/>
                <w:color w:val="auto"/>
                <w:szCs w:val="21"/>
                <w:highlight w:val="none"/>
              </w:rPr>
            </w:pPr>
          </w:p>
        </w:tc>
      </w:tr>
      <w:tr w14:paraId="3A24E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1894AFA8">
            <w:pPr>
              <w:adjustRightInd w:val="0"/>
              <w:snapToGrid w:val="0"/>
              <w:spacing w:line="320" w:lineRule="atLeast"/>
              <w:jc w:val="center"/>
              <w:textAlignment w:val="baseline"/>
              <w:rPr>
                <w:rFonts w:hint="default" w:ascii="宋体" w:hAnsi="宋体" w:cs="Times New Roman"/>
                <w:color w:val="auto"/>
                <w:kern w:val="2"/>
                <w:sz w:val="21"/>
                <w:szCs w:val="24"/>
                <w:highlight w:val="none"/>
                <w:lang w:val="en-US" w:eastAsia="zh-CN" w:bidi="ar-SA"/>
              </w:rPr>
            </w:pPr>
            <w:r>
              <w:rPr>
                <w:rFonts w:hint="default" w:ascii="宋体" w:hAnsi="宋体" w:cs="Times New Roman"/>
                <w:color w:val="auto"/>
                <w:kern w:val="2"/>
                <w:sz w:val="21"/>
                <w:szCs w:val="24"/>
                <w:highlight w:val="none"/>
                <w:lang w:eastAsia="zh-CN" w:bidi="ar-SA"/>
              </w:rPr>
              <w:t>36</w:t>
            </w:r>
          </w:p>
        </w:tc>
        <w:tc>
          <w:tcPr>
            <w:tcW w:w="1261" w:type="dxa"/>
            <w:noWrap w:val="0"/>
            <w:vAlign w:val="center"/>
          </w:tcPr>
          <w:p w14:paraId="3637B1C0">
            <w:pPr>
              <w:adjustRightInd w:val="0"/>
              <w:snapToGrid w:val="0"/>
              <w:spacing w:line="320" w:lineRule="atLeast"/>
              <w:textAlignment w:val="baseline"/>
              <w:rPr>
                <w:rFonts w:hint="default" w:ascii="宋体" w:hAnsi="宋体" w:eastAsia="宋体" w:cs="Times New Roman"/>
                <w:snapToGrid w:val="0"/>
                <w:color w:val="auto"/>
                <w:kern w:val="0"/>
                <w:szCs w:val="21"/>
                <w:highlight w:val="none"/>
                <w:lang w:val="en-US" w:eastAsia="zh-CN"/>
              </w:rPr>
            </w:pPr>
            <w:r>
              <w:rPr>
                <w:rFonts w:ascii="宋体" w:hAnsi="宋体" w:eastAsia="宋体"/>
                <w:snapToGrid w:val="0"/>
                <w:color w:val="auto"/>
                <w:kern w:val="0"/>
                <w:sz w:val="21"/>
                <w:szCs w:val="21"/>
                <w:highlight w:val="none"/>
              </w:rPr>
              <w:t>24.2.2</w:t>
            </w:r>
            <w:r>
              <w:rPr>
                <w:rFonts w:hint="default" w:ascii="宋体" w:hAnsi="宋体"/>
                <w:snapToGrid w:val="0"/>
                <w:color w:val="auto"/>
                <w:kern w:val="0"/>
                <w:sz w:val="21"/>
                <w:szCs w:val="21"/>
                <w:highlight w:val="none"/>
                <w:lang w:eastAsia="zh-CN"/>
              </w:rPr>
              <w:t>（</w:t>
            </w:r>
            <w:r>
              <w:rPr>
                <w:rFonts w:hint="default" w:ascii="宋体" w:hAnsi="宋体"/>
                <w:snapToGrid w:val="0"/>
                <w:color w:val="auto"/>
                <w:kern w:val="0"/>
                <w:sz w:val="21"/>
                <w:szCs w:val="21"/>
                <w:highlight w:val="none"/>
                <w:lang w:val="en-US" w:eastAsia="zh-CN"/>
              </w:rPr>
              <w:t>9</w:t>
            </w:r>
            <w:r>
              <w:rPr>
                <w:rFonts w:hint="default" w:ascii="宋体" w:hAnsi="宋体"/>
                <w:snapToGrid w:val="0"/>
                <w:color w:val="auto"/>
                <w:kern w:val="0"/>
                <w:sz w:val="21"/>
                <w:szCs w:val="21"/>
                <w:highlight w:val="none"/>
                <w:lang w:eastAsia="zh-CN"/>
              </w:rPr>
              <w:t>）</w:t>
            </w:r>
          </w:p>
        </w:tc>
        <w:tc>
          <w:tcPr>
            <w:tcW w:w="5806" w:type="dxa"/>
            <w:noWrap w:val="0"/>
            <w:vAlign w:val="center"/>
          </w:tcPr>
          <w:p w14:paraId="7AAF64F2">
            <w:pPr>
              <w:adjustRightInd w:val="0"/>
              <w:snapToGrid w:val="0"/>
              <w:spacing w:line="320" w:lineRule="atLeast"/>
              <w:textAlignment w:val="baseline"/>
              <w:rPr>
                <w:rFonts w:hint="default" w:ascii="宋体" w:hAnsi="宋体" w:eastAsia="宋体" w:cs="Times New Roman"/>
                <w:snapToGrid w:val="0"/>
                <w:color w:val="auto"/>
                <w:kern w:val="0"/>
                <w:szCs w:val="21"/>
                <w:highlight w:val="none"/>
              </w:rPr>
            </w:pPr>
            <w:r>
              <w:rPr>
                <w:rFonts w:hint="default" w:ascii="宋体" w:hAnsi="宋体" w:eastAsia="宋体" w:cs="Times New Roman"/>
                <w:snapToGrid w:val="0"/>
                <w:color w:val="auto"/>
                <w:kern w:val="0"/>
                <w:szCs w:val="21"/>
                <w:highlight w:val="none"/>
              </w:rPr>
              <w:t>承包人未按投标文件中的方案落实增值服务的；</w:t>
            </w:r>
          </w:p>
        </w:tc>
        <w:tc>
          <w:tcPr>
            <w:tcW w:w="4256" w:type="dxa"/>
            <w:noWrap w:val="0"/>
            <w:vAlign w:val="center"/>
          </w:tcPr>
          <w:p w14:paraId="00C6D580">
            <w:pPr>
              <w:adjustRightInd w:val="0"/>
              <w:snapToGrid w:val="0"/>
              <w:spacing w:line="320" w:lineRule="atLeast"/>
              <w:jc w:val="left"/>
              <w:textAlignment w:val="baseline"/>
              <w:rPr>
                <w:rFonts w:hint="default" w:ascii="宋体" w:hAnsi="宋体" w:eastAsia="宋体" w:cs="Times New Roman"/>
                <w:snapToGrid w:val="0"/>
                <w:color w:val="auto"/>
                <w:kern w:val="0"/>
                <w:szCs w:val="21"/>
                <w:highlight w:val="none"/>
              </w:rPr>
            </w:pPr>
            <w:r>
              <w:rPr>
                <w:rFonts w:hint="eastAsia" w:ascii="宋体" w:hAnsi="宋体" w:cs="Times New Roman"/>
                <w:snapToGrid w:val="0"/>
                <w:color w:val="auto"/>
                <w:kern w:val="0"/>
                <w:szCs w:val="21"/>
                <w:highlight w:val="none"/>
                <w:lang w:val="en-US" w:eastAsia="zh-CN"/>
              </w:rPr>
              <w:t>课以10万元/项违约金。</w:t>
            </w:r>
          </w:p>
        </w:tc>
        <w:tc>
          <w:tcPr>
            <w:tcW w:w="1776" w:type="dxa"/>
            <w:noWrap w:val="0"/>
            <w:vAlign w:val="center"/>
          </w:tcPr>
          <w:p w14:paraId="38CA67FF">
            <w:pPr>
              <w:spacing w:line="400" w:lineRule="exact"/>
              <w:jc w:val="center"/>
              <w:rPr>
                <w:rFonts w:ascii="宋体" w:hAnsi="宋体" w:eastAsia="宋体" w:cs="Times New Roman"/>
                <w:color w:val="auto"/>
                <w:szCs w:val="21"/>
                <w:highlight w:val="none"/>
              </w:rPr>
            </w:pPr>
          </w:p>
        </w:tc>
      </w:tr>
      <w:tr w14:paraId="143F8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6EB53F6C">
            <w:pPr>
              <w:adjustRightInd w:val="0"/>
              <w:snapToGrid w:val="0"/>
              <w:spacing w:line="320" w:lineRule="atLeast"/>
              <w:jc w:val="center"/>
              <w:textAlignment w:val="baseline"/>
              <w:rPr>
                <w:rFonts w:hint="eastAsia" w:ascii="宋体" w:hAnsi="宋体" w:eastAsia="宋体" w:cs="Times New Roman"/>
                <w:color w:val="auto"/>
                <w:kern w:val="2"/>
                <w:sz w:val="21"/>
                <w:szCs w:val="24"/>
                <w:highlight w:val="none"/>
                <w:lang w:val="en-US" w:eastAsia="zh-CN" w:bidi="ar-SA"/>
              </w:rPr>
            </w:pPr>
            <w:r>
              <w:rPr>
                <w:rFonts w:hint="default" w:ascii="宋体" w:hAnsi="宋体" w:cs="Times New Roman"/>
                <w:color w:val="auto"/>
                <w:szCs w:val="24"/>
                <w:highlight w:val="none"/>
                <w:lang w:eastAsia="zh-CN"/>
              </w:rPr>
              <w:t>37</w:t>
            </w:r>
          </w:p>
        </w:tc>
        <w:tc>
          <w:tcPr>
            <w:tcW w:w="1261" w:type="dxa"/>
            <w:noWrap w:val="0"/>
            <w:vAlign w:val="center"/>
          </w:tcPr>
          <w:p w14:paraId="2300EB97">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w:t>
            </w:r>
            <w:r>
              <w:rPr>
                <w:rFonts w:hint="eastAsia" w:ascii="宋体" w:hAnsi="宋体" w:eastAsia="宋体" w:cs="Times New Roman"/>
                <w:snapToGrid w:val="0"/>
                <w:color w:val="auto"/>
                <w:kern w:val="0"/>
                <w:szCs w:val="21"/>
                <w:highlight w:val="none"/>
              </w:rPr>
              <w:t>（</w:t>
            </w:r>
            <w:r>
              <w:rPr>
                <w:rFonts w:ascii="宋体" w:hAnsi="宋体" w:eastAsia="宋体" w:cs="Times New Roman"/>
                <w:snapToGrid w:val="0"/>
                <w:color w:val="auto"/>
                <w:kern w:val="0"/>
                <w:szCs w:val="21"/>
                <w:highlight w:val="none"/>
              </w:rPr>
              <w:t>9）</w:t>
            </w:r>
          </w:p>
        </w:tc>
        <w:tc>
          <w:tcPr>
            <w:tcW w:w="5806" w:type="dxa"/>
            <w:noWrap w:val="0"/>
            <w:vAlign w:val="center"/>
          </w:tcPr>
          <w:p w14:paraId="0538C02A">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未能按发包人批准同意的方案所规定的时间开工或规定的时间完工的，发包人有权按照标准课以违约金；</w:t>
            </w:r>
          </w:p>
        </w:tc>
        <w:tc>
          <w:tcPr>
            <w:tcW w:w="4256" w:type="dxa"/>
            <w:noWrap w:val="0"/>
            <w:vAlign w:val="center"/>
          </w:tcPr>
          <w:p w14:paraId="480B8463">
            <w:pPr>
              <w:spacing w:line="400" w:lineRule="exact"/>
              <w:rPr>
                <w:rFonts w:ascii="宋体" w:hAnsi="宋体" w:eastAsia="宋体" w:cs="Times New Roman"/>
                <w:color w:val="auto"/>
                <w:szCs w:val="21"/>
                <w:highlight w:val="none"/>
              </w:rPr>
            </w:pPr>
            <w:r>
              <w:rPr>
                <w:rFonts w:hint="eastAsia" w:ascii="宋体" w:hAnsi="宋体" w:cs="Times New Roman"/>
                <w:snapToGrid w:val="0"/>
                <w:color w:val="auto"/>
                <w:kern w:val="0"/>
                <w:szCs w:val="21"/>
                <w:highlight w:val="none"/>
                <w:lang w:val="en-US" w:eastAsia="zh-CN"/>
              </w:rPr>
              <w:t>课以</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万元／天</w:t>
            </w:r>
            <w:r>
              <w:rPr>
                <w:rFonts w:hint="eastAsia" w:ascii="宋体" w:hAnsi="宋体" w:cs="Times New Roman"/>
                <w:color w:val="auto"/>
                <w:szCs w:val="21"/>
                <w:highlight w:val="none"/>
                <w:lang w:val="en-US" w:eastAsia="zh-CN"/>
              </w:rPr>
              <w:t>违约金</w:t>
            </w:r>
            <w:r>
              <w:rPr>
                <w:rFonts w:hint="eastAsia" w:ascii="宋体" w:hAnsi="宋体" w:eastAsia="宋体" w:cs="Times New Roman"/>
                <w:color w:val="auto"/>
                <w:szCs w:val="21"/>
                <w:highlight w:val="none"/>
              </w:rPr>
              <w:t>。</w:t>
            </w:r>
          </w:p>
        </w:tc>
        <w:tc>
          <w:tcPr>
            <w:tcW w:w="1776" w:type="dxa"/>
            <w:noWrap w:val="0"/>
            <w:vAlign w:val="center"/>
          </w:tcPr>
          <w:p w14:paraId="11B46285">
            <w:pPr>
              <w:spacing w:line="400" w:lineRule="exact"/>
              <w:jc w:val="center"/>
              <w:rPr>
                <w:rFonts w:ascii="宋体" w:hAnsi="宋体" w:eastAsia="宋体" w:cs="Times New Roman"/>
                <w:color w:val="auto"/>
                <w:szCs w:val="21"/>
                <w:highlight w:val="none"/>
              </w:rPr>
            </w:pPr>
          </w:p>
        </w:tc>
      </w:tr>
      <w:tr w14:paraId="05410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326277E8">
            <w:pPr>
              <w:adjustRightInd w:val="0"/>
              <w:snapToGrid w:val="0"/>
              <w:spacing w:line="320" w:lineRule="atLeast"/>
              <w:jc w:val="center"/>
              <w:textAlignment w:val="baseline"/>
              <w:rPr>
                <w:rFonts w:hint="eastAsia" w:ascii="宋体" w:hAnsi="宋体" w:eastAsia="宋体" w:cs="Times New Roman"/>
                <w:color w:val="auto"/>
                <w:kern w:val="2"/>
                <w:sz w:val="21"/>
                <w:szCs w:val="24"/>
                <w:highlight w:val="none"/>
                <w:lang w:val="en-US" w:eastAsia="zh-CN" w:bidi="ar-SA"/>
              </w:rPr>
            </w:pPr>
            <w:r>
              <w:rPr>
                <w:rFonts w:hint="default" w:ascii="宋体" w:hAnsi="宋体" w:cs="Times New Roman"/>
                <w:color w:val="auto"/>
                <w:kern w:val="2"/>
                <w:sz w:val="21"/>
                <w:szCs w:val="24"/>
                <w:highlight w:val="none"/>
                <w:lang w:eastAsia="zh-CN" w:bidi="ar-SA"/>
              </w:rPr>
              <w:t>38</w:t>
            </w:r>
          </w:p>
        </w:tc>
        <w:tc>
          <w:tcPr>
            <w:tcW w:w="1261" w:type="dxa"/>
            <w:noWrap w:val="0"/>
            <w:vAlign w:val="center"/>
          </w:tcPr>
          <w:p w14:paraId="158E4B4D">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24.2.2（9）</w:t>
            </w:r>
          </w:p>
        </w:tc>
        <w:tc>
          <w:tcPr>
            <w:tcW w:w="5806" w:type="dxa"/>
            <w:noWrap w:val="0"/>
            <w:vAlign w:val="center"/>
          </w:tcPr>
          <w:p w14:paraId="3699A236">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因承包人原因不能按合同文件规定的服务终止日期或发包人同意顺延的工期交工，发包人有权按照标准课以违约金；</w:t>
            </w:r>
          </w:p>
        </w:tc>
        <w:tc>
          <w:tcPr>
            <w:tcW w:w="4256" w:type="dxa"/>
            <w:noWrap w:val="0"/>
            <w:vAlign w:val="center"/>
          </w:tcPr>
          <w:p w14:paraId="2D3844B6">
            <w:pPr>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snapToGrid w:val="0"/>
                <w:color w:val="auto"/>
                <w:kern w:val="0"/>
                <w:szCs w:val="21"/>
                <w:highlight w:val="none"/>
                <w:lang w:val="en-US" w:eastAsia="zh-CN"/>
              </w:rPr>
              <w:t>课以</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万元</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天</w:t>
            </w:r>
            <w:r>
              <w:rPr>
                <w:rFonts w:hint="eastAsia" w:ascii="宋体" w:hAnsi="宋体" w:cs="Times New Roman"/>
                <w:color w:val="auto"/>
                <w:szCs w:val="21"/>
                <w:highlight w:val="none"/>
                <w:lang w:val="en-US" w:eastAsia="zh-CN"/>
              </w:rPr>
              <w:t>违约金。</w:t>
            </w:r>
          </w:p>
        </w:tc>
        <w:tc>
          <w:tcPr>
            <w:tcW w:w="1776" w:type="dxa"/>
            <w:noWrap w:val="0"/>
            <w:vAlign w:val="center"/>
          </w:tcPr>
          <w:p w14:paraId="6A36450C">
            <w:pPr>
              <w:spacing w:line="400" w:lineRule="exact"/>
              <w:jc w:val="center"/>
              <w:rPr>
                <w:rFonts w:ascii="宋体" w:hAnsi="宋体" w:eastAsia="宋体" w:cs="Times New Roman"/>
                <w:color w:val="auto"/>
                <w:szCs w:val="21"/>
                <w:highlight w:val="none"/>
              </w:rPr>
            </w:pPr>
          </w:p>
        </w:tc>
      </w:tr>
      <w:tr w14:paraId="5E4C4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7D245F49">
            <w:pPr>
              <w:adjustRightInd w:val="0"/>
              <w:snapToGrid w:val="0"/>
              <w:spacing w:line="320" w:lineRule="atLeast"/>
              <w:jc w:val="center"/>
              <w:textAlignment w:val="baseline"/>
              <w:rPr>
                <w:rFonts w:hint="eastAsia" w:ascii="宋体" w:hAnsi="宋体" w:eastAsia="宋体" w:cs="Times New Roman"/>
                <w:color w:val="auto"/>
                <w:kern w:val="2"/>
                <w:sz w:val="21"/>
                <w:szCs w:val="24"/>
                <w:highlight w:val="none"/>
                <w:lang w:val="en-US" w:eastAsia="zh-CN" w:bidi="ar-SA"/>
              </w:rPr>
            </w:pPr>
            <w:r>
              <w:rPr>
                <w:rFonts w:hint="default" w:ascii="宋体" w:hAnsi="宋体" w:cs="Times New Roman"/>
                <w:color w:val="auto"/>
                <w:kern w:val="2"/>
                <w:sz w:val="21"/>
                <w:szCs w:val="24"/>
                <w:highlight w:val="none"/>
                <w:lang w:eastAsia="zh-CN" w:bidi="ar-SA"/>
              </w:rPr>
              <w:t>39</w:t>
            </w:r>
          </w:p>
        </w:tc>
        <w:tc>
          <w:tcPr>
            <w:tcW w:w="1261" w:type="dxa"/>
            <w:noWrap w:val="0"/>
            <w:vAlign w:val="center"/>
          </w:tcPr>
          <w:p w14:paraId="699208DF">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24.2.2（9）</w:t>
            </w:r>
          </w:p>
        </w:tc>
        <w:tc>
          <w:tcPr>
            <w:tcW w:w="5806" w:type="dxa"/>
            <w:noWrap w:val="0"/>
            <w:vAlign w:val="center"/>
          </w:tcPr>
          <w:p w14:paraId="1E18D5AA">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由于承包人的原因在新闻媒体上曝光的</w:t>
            </w:r>
            <w:r>
              <w:rPr>
                <w:rFonts w:hint="eastAsia" w:ascii="宋体" w:hAnsi="宋体" w:eastAsia="宋体" w:cs="Times New Roman"/>
                <w:snapToGrid w:val="0"/>
                <w:color w:val="auto"/>
                <w:kern w:val="0"/>
                <w:szCs w:val="21"/>
                <w:highlight w:val="none"/>
                <w:lang w:val="en-US" w:eastAsia="zh-CN"/>
              </w:rPr>
              <w:t>维护</w:t>
            </w:r>
            <w:r>
              <w:rPr>
                <w:rFonts w:hint="eastAsia" w:ascii="宋体" w:hAnsi="宋体" w:eastAsia="宋体" w:cs="Times New Roman"/>
                <w:snapToGrid w:val="0"/>
                <w:color w:val="auto"/>
                <w:kern w:val="0"/>
                <w:szCs w:val="21"/>
                <w:highlight w:val="none"/>
              </w:rPr>
              <w:t>不当行为，发包人有权按照标准课以违约金；</w:t>
            </w:r>
          </w:p>
        </w:tc>
        <w:tc>
          <w:tcPr>
            <w:tcW w:w="4256" w:type="dxa"/>
            <w:noWrap w:val="0"/>
            <w:vAlign w:val="center"/>
          </w:tcPr>
          <w:p w14:paraId="45AF7529">
            <w:pPr>
              <w:spacing w:line="400" w:lineRule="exact"/>
              <w:jc w:val="left"/>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每次视情节轻重课以</w:t>
            </w:r>
            <w:r>
              <w:rPr>
                <w:rFonts w:ascii="宋体" w:hAnsi="宋体" w:eastAsia="宋体" w:cs="Times New Roman"/>
                <w:snapToGrid w:val="0"/>
                <w:color w:val="auto"/>
                <w:kern w:val="0"/>
                <w:szCs w:val="21"/>
                <w:highlight w:val="none"/>
              </w:rPr>
              <w:t xml:space="preserve">3 </w:t>
            </w:r>
            <w:r>
              <w:rPr>
                <w:rFonts w:ascii="宋体" w:hAnsi="宋体" w:eastAsia="宋体" w:cs="Times New Roman"/>
                <w:color w:val="auto"/>
                <w:szCs w:val="21"/>
                <w:highlight w:val="none"/>
              </w:rPr>
              <w:t>~</w:t>
            </w:r>
            <w:r>
              <w:rPr>
                <w:rFonts w:ascii="宋体" w:hAnsi="宋体" w:eastAsia="宋体" w:cs="Times New Roman"/>
                <w:snapToGrid w:val="0"/>
                <w:color w:val="auto"/>
                <w:kern w:val="0"/>
                <w:szCs w:val="21"/>
                <w:highlight w:val="none"/>
              </w:rPr>
              <w:t>5万元违约金。</w:t>
            </w:r>
          </w:p>
        </w:tc>
        <w:tc>
          <w:tcPr>
            <w:tcW w:w="1776" w:type="dxa"/>
            <w:noWrap w:val="0"/>
            <w:vAlign w:val="center"/>
          </w:tcPr>
          <w:p w14:paraId="1D9E433C">
            <w:pPr>
              <w:spacing w:line="400" w:lineRule="exact"/>
              <w:jc w:val="center"/>
              <w:rPr>
                <w:rFonts w:ascii="宋体" w:hAnsi="宋体" w:eastAsia="宋体" w:cs="Times New Roman"/>
                <w:color w:val="auto"/>
                <w:szCs w:val="21"/>
                <w:highlight w:val="none"/>
              </w:rPr>
            </w:pPr>
          </w:p>
        </w:tc>
      </w:tr>
      <w:tr w14:paraId="73350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75B16D72">
            <w:pPr>
              <w:adjustRightInd w:val="0"/>
              <w:snapToGrid w:val="0"/>
              <w:spacing w:line="320" w:lineRule="atLeast"/>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cs="Times New Roman"/>
                <w:color w:val="auto"/>
                <w:kern w:val="2"/>
                <w:sz w:val="21"/>
                <w:szCs w:val="24"/>
                <w:highlight w:val="none"/>
                <w:lang w:eastAsia="zh-CN" w:bidi="ar-SA"/>
              </w:rPr>
              <w:t>40</w:t>
            </w:r>
          </w:p>
        </w:tc>
        <w:tc>
          <w:tcPr>
            <w:tcW w:w="1261" w:type="dxa"/>
            <w:noWrap w:val="0"/>
            <w:vAlign w:val="center"/>
          </w:tcPr>
          <w:p w14:paraId="72E8ECE8">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24.2.2（9）</w:t>
            </w:r>
          </w:p>
        </w:tc>
        <w:tc>
          <w:tcPr>
            <w:tcW w:w="5806" w:type="dxa"/>
            <w:noWrap w:val="0"/>
            <w:vAlign w:val="center"/>
          </w:tcPr>
          <w:p w14:paraId="48B2240F">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由于承包人或其派遣劳务人员的原因导致应急处理不够及时，引起交警、路政部门、社会投诉的，发包人有权按照标准课以违约金；</w:t>
            </w:r>
          </w:p>
        </w:tc>
        <w:tc>
          <w:tcPr>
            <w:tcW w:w="4256" w:type="dxa"/>
            <w:noWrap w:val="0"/>
            <w:vAlign w:val="center"/>
          </w:tcPr>
          <w:p w14:paraId="53E459A1">
            <w:pPr>
              <w:spacing w:line="400" w:lineRule="exact"/>
              <w:jc w:val="left"/>
              <w:rPr>
                <w:rFonts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每次</w:t>
            </w:r>
            <w:r>
              <w:rPr>
                <w:rFonts w:hint="eastAsia" w:ascii="宋体" w:hAnsi="宋体" w:eastAsia="宋体" w:cs="Times New Roman"/>
                <w:color w:val="auto"/>
                <w:szCs w:val="22"/>
                <w:highlight w:val="none"/>
              </w:rPr>
              <w:t>视情节轻重每次课以</w:t>
            </w:r>
            <w:r>
              <w:rPr>
                <w:rFonts w:ascii="宋体" w:hAnsi="宋体" w:eastAsia="宋体" w:cs="Times New Roman"/>
                <w:color w:val="auto"/>
                <w:szCs w:val="22"/>
                <w:highlight w:val="none"/>
              </w:rPr>
              <w:t>1</w:t>
            </w:r>
            <w:r>
              <w:rPr>
                <w:rFonts w:hint="eastAsia" w:ascii="宋体" w:hAnsi="宋体" w:eastAsia="宋体" w:cs="Times New Roman"/>
                <w:color w:val="auto"/>
                <w:szCs w:val="22"/>
                <w:highlight w:val="none"/>
              </w:rPr>
              <w:t>万元及以下违约金。</w:t>
            </w:r>
          </w:p>
        </w:tc>
        <w:tc>
          <w:tcPr>
            <w:tcW w:w="1776" w:type="dxa"/>
            <w:noWrap w:val="0"/>
            <w:vAlign w:val="center"/>
          </w:tcPr>
          <w:p w14:paraId="73FEAFBC">
            <w:pPr>
              <w:spacing w:line="400" w:lineRule="exact"/>
              <w:jc w:val="center"/>
              <w:rPr>
                <w:rFonts w:ascii="宋体" w:hAnsi="宋体" w:eastAsia="宋体" w:cs="Times New Roman"/>
                <w:color w:val="auto"/>
                <w:szCs w:val="21"/>
                <w:highlight w:val="none"/>
              </w:rPr>
            </w:pPr>
          </w:p>
        </w:tc>
      </w:tr>
      <w:tr w14:paraId="04779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7DC2155A">
            <w:pPr>
              <w:adjustRightInd w:val="0"/>
              <w:snapToGrid w:val="0"/>
              <w:spacing w:line="320" w:lineRule="atLeast"/>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cs="Times New Roman"/>
                <w:color w:val="auto"/>
                <w:kern w:val="2"/>
                <w:sz w:val="21"/>
                <w:szCs w:val="24"/>
                <w:highlight w:val="none"/>
                <w:lang w:eastAsia="zh-CN" w:bidi="ar-SA"/>
              </w:rPr>
              <w:t>41</w:t>
            </w:r>
          </w:p>
        </w:tc>
        <w:tc>
          <w:tcPr>
            <w:tcW w:w="1261" w:type="dxa"/>
            <w:noWrap w:val="0"/>
            <w:vAlign w:val="center"/>
          </w:tcPr>
          <w:p w14:paraId="6A5BD600">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24.2.2（9）</w:t>
            </w:r>
          </w:p>
        </w:tc>
        <w:tc>
          <w:tcPr>
            <w:tcW w:w="5806" w:type="dxa"/>
            <w:noWrap w:val="0"/>
            <w:vAlign w:val="center"/>
          </w:tcPr>
          <w:p w14:paraId="0F25F31A">
            <w:pPr>
              <w:adjustRightInd w:val="0"/>
              <w:snapToGrid w:val="0"/>
              <w:spacing w:line="320" w:lineRule="atLeast"/>
              <w:textAlignment w:val="baseline"/>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承包人违反了安全生产管理体系文件所约定的有关违约情形，发包人还有权</w:t>
            </w:r>
            <w:r>
              <w:rPr>
                <w:rFonts w:hint="eastAsia" w:ascii="宋体" w:hAnsi="宋体" w:eastAsia="宋体" w:cs="Times New Roman"/>
                <w:snapToGrid w:val="0"/>
                <w:color w:val="auto"/>
                <w:kern w:val="0"/>
                <w:szCs w:val="21"/>
                <w:highlight w:val="none"/>
              </w:rPr>
              <w:t>按照约定的标准课以违约金。</w:t>
            </w:r>
          </w:p>
        </w:tc>
        <w:tc>
          <w:tcPr>
            <w:tcW w:w="4256" w:type="dxa"/>
            <w:noWrap w:val="0"/>
            <w:vAlign w:val="center"/>
          </w:tcPr>
          <w:p w14:paraId="3D66149D">
            <w:pPr>
              <w:spacing w:line="400" w:lineRule="exact"/>
              <w:jc w:val="left"/>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按照</w:t>
            </w:r>
            <w:r>
              <w:rPr>
                <w:rFonts w:hint="eastAsia" w:ascii="宋体" w:hAnsi="宋体" w:eastAsia="宋体" w:cs="Times New Roman"/>
                <w:snapToGrid w:val="0"/>
                <w:color w:val="auto"/>
                <w:kern w:val="0"/>
                <w:szCs w:val="21"/>
                <w:highlight w:val="none"/>
              </w:rPr>
              <w:t>安全生产管理体系文件约定的标准课以违约金。</w:t>
            </w:r>
          </w:p>
        </w:tc>
        <w:tc>
          <w:tcPr>
            <w:tcW w:w="1776" w:type="dxa"/>
            <w:noWrap w:val="0"/>
            <w:vAlign w:val="center"/>
          </w:tcPr>
          <w:p w14:paraId="3021E674">
            <w:pPr>
              <w:spacing w:line="400" w:lineRule="exact"/>
              <w:jc w:val="center"/>
              <w:rPr>
                <w:rFonts w:ascii="宋体" w:hAnsi="宋体" w:eastAsia="宋体" w:cs="Times New Roman"/>
                <w:color w:val="auto"/>
                <w:szCs w:val="21"/>
                <w:highlight w:val="none"/>
              </w:rPr>
            </w:pPr>
          </w:p>
        </w:tc>
      </w:tr>
      <w:tr w14:paraId="030F9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04253C13">
            <w:pPr>
              <w:adjustRightInd w:val="0"/>
              <w:snapToGrid w:val="0"/>
              <w:spacing w:line="320" w:lineRule="atLeast"/>
              <w:jc w:val="center"/>
              <w:textAlignment w:val="baseline"/>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42</w:t>
            </w:r>
          </w:p>
        </w:tc>
        <w:tc>
          <w:tcPr>
            <w:tcW w:w="1261" w:type="dxa"/>
            <w:noWrap w:val="0"/>
            <w:vAlign w:val="center"/>
          </w:tcPr>
          <w:p w14:paraId="5BAD0FEE">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24.2.2（9）</w:t>
            </w:r>
          </w:p>
        </w:tc>
        <w:tc>
          <w:tcPr>
            <w:tcW w:w="5806" w:type="dxa"/>
            <w:noWrap w:val="0"/>
            <w:vAlign w:val="center"/>
          </w:tcPr>
          <w:p w14:paraId="15DD74DA">
            <w:pPr>
              <w:adjustRightInd w:val="0"/>
              <w:snapToGrid w:val="0"/>
              <w:spacing w:line="320" w:lineRule="atLeast"/>
              <w:textAlignment w:val="baseline"/>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承包人未按合同要求对本合同工程价款进行专款专用，擅自转移资金或用于其他工程，发包人有权按照标准课以违约金。</w:t>
            </w:r>
          </w:p>
        </w:tc>
        <w:tc>
          <w:tcPr>
            <w:tcW w:w="4256" w:type="dxa"/>
            <w:noWrap w:val="0"/>
            <w:vAlign w:val="center"/>
          </w:tcPr>
          <w:p w14:paraId="4D69E480">
            <w:pPr>
              <w:spacing w:line="400" w:lineRule="exact"/>
              <w:jc w:val="left"/>
              <w:rPr>
                <w:rFonts w:ascii="宋体" w:hAnsi="宋体" w:eastAsia="宋体" w:cs="Times New Roman"/>
                <w:color w:val="auto"/>
                <w:szCs w:val="22"/>
                <w:highlight w:val="none"/>
              </w:rPr>
            </w:pPr>
            <w:r>
              <w:rPr>
                <w:rFonts w:hint="eastAsia" w:ascii="宋体" w:hAnsi="宋体" w:cs="Times New Roman"/>
                <w:color w:val="auto"/>
                <w:szCs w:val="22"/>
                <w:highlight w:val="none"/>
                <w:lang w:val="en-US" w:eastAsia="zh-CN"/>
              </w:rPr>
              <w:t>课以</w:t>
            </w:r>
            <w:r>
              <w:rPr>
                <w:rFonts w:ascii="宋体" w:hAnsi="宋体" w:eastAsia="宋体" w:cs="Times New Roman"/>
                <w:color w:val="auto"/>
                <w:szCs w:val="22"/>
                <w:highlight w:val="none"/>
              </w:rPr>
              <w:t>1万元/天</w:t>
            </w:r>
            <w:r>
              <w:rPr>
                <w:rFonts w:hint="eastAsia" w:ascii="宋体" w:hAnsi="宋体" w:cs="Times New Roman"/>
                <w:color w:val="auto"/>
                <w:szCs w:val="22"/>
                <w:highlight w:val="none"/>
                <w:lang w:val="en-US" w:eastAsia="zh-CN"/>
              </w:rPr>
              <w:t>违约金</w:t>
            </w:r>
            <w:r>
              <w:rPr>
                <w:rFonts w:ascii="宋体" w:hAnsi="宋体" w:eastAsia="宋体" w:cs="Times New Roman"/>
                <w:color w:val="auto"/>
                <w:szCs w:val="22"/>
                <w:highlight w:val="none"/>
              </w:rPr>
              <w:t>，直至承包人改正</w:t>
            </w:r>
            <w:r>
              <w:rPr>
                <w:rFonts w:hint="eastAsia" w:ascii="宋体" w:hAnsi="宋体" w:eastAsia="宋体" w:cs="Times New Roman"/>
                <w:color w:val="auto"/>
                <w:szCs w:val="22"/>
                <w:highlight w:val="none"/>
              </w:rPr>
              <w:t>为止。</w:t>
            </w:r>
          </w:p>
        </w:tc>
        <w:tc>
          <w:tcPr>
            <w:tcW w:w="1776" w:type="dxa"/>
            <w:noWrap w:val="0"/>
            <w:vAlign w:val="center"/>
          </w:tcPr>
          <w:p w14:paraId="6CFCE12D">
            <w:pPr>
              <w:spacing w:line="400" w:lineRule="exact"/>
              <w:jc w:val="center"/>
              <w:rPr>
                <w:rFonts w:ascii="宋体" w:hAnsi="宋体" w:eastAsia="宋体" w:cs="Times New Roman"/>
                <w:color w:val="auto"/>
                <w:szCs w:val="21"/>
                <w:highlight w:val="none"/>
              </w:rPr>
            </w:pPr>
          </w:p>
        </w:tc>
      </w:tr>
      <w:tr w14:paraId="22420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4CF1E98F">
            <w:pPr>
              <w:adjustRightInd w:val="0"/>
              <w:snapToGrid w:val="0"/>
              <w:spacing w:line="320" w:lineRule="atLeast"/>
              <w:jc w:val="center"/>
              <w:textAlignment w:val="baseline"/>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43</w:t>
            </w:r>
          </w:p>
        </w:tc>
        <w:tc>
          <w:tcPr>
            <w:tcW w:w="1261" w:type="dxa"/>
            <w:noWrap w:val="0"/>
            <w:vAlign w:val="center"/>
          </w:tcPr>
          <w:p w14:paraId="22C458BB">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24.2.2（9）</w:t>
            </w:r>
          </w:p>
        </w:tc>
        <w:tc>
          <w:tcPr>
            <w:tcW w:w="5806" w:type="dxa"/>
            <w:noWrap w:val="0"/>
            <w:vAlign w:val="center"/>
          </w:tcPr>
          <w:p w14:paraId="6CA57729">
            <w:pPr>
              <w:adjustRightInd w:val="0"/>
              <w:snapToGrid w:val="0"/>
              <w:spacing w:line="320" w:lineRule="atLeast"/>
              <w:textAlignment w:val="baseline"/>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承包人在日常检查时巡查、检查不到位，未及时发现安全隐患造成发包人损失的，发包人有权按照标准课以违约金。</w:t>
            </w:r>
          </w:p>
        </w:tc>
        <w:tc>
          <w:tcPr>
            <w:tcW w:w="4256" w:type="dxa"/>
            <w:noWrap w:val="0"/>
            <w:vAlign w:val="center"/>
          </w:tcPr>
          <w:p w14:paraId="3D5CA486">
            <w:pPr>
              <w:spacing w:line="400" w:lineRule="exact"/>
              <w:jc w:val="left"/>
              <w:rPr>
                <w:rFonts w:ascii="宋体" w:hAnsi="宋体" w:eastAsia="宋体" w:cs="Times New Roman"/>
                <w:color w:val="auto"/>
                <w:szCs w:val="22"/>
                <w:highlight w:val="none"/>
              </w:rPr>
            </w:pPr>
            <w:r>
              <w:rPr>
                <w:rFonts w:hint="eastAsia" w:ascii="宋体" w:hAnsi="宋体" w:cs="Times New Roman"/>
                <w:snapToGrid w:val="0"/>
                <w:color w:val="auto"/>
                <w:kern w:val="0"/>
                <w:szCs w:val="21"/>
                <w:highlight w:val="none"/>
                <w:lang w:val="en-US" w:eastAsia="zh-CN"/>
              </w:rPr>
              <w:t>课以</w:t>
            </w:r>
            <w:r>
              <w:rPr>
                <w:rFonts w:ascii="宋体" w:hAnsi="宋体" w:eastAsia="宋体" w:cs="Times New Roman"/>
                <w:color w:val="auto"/>
                <w:szCs w:val="22"/>
                <w:highlight w:val="none"/>
              </w:rPr>
              <w:t>1万元/次</w:t>
            </w:r>
            <w:r>
              <w:rPr>
                <w:rFonts w:hint="eastAsia" w:ascii="宋体" w:hAnsi="宋体" w:cs="Times New Roman"/>
                <w:color w:val="auto"/>
                <w:szCs w:val="22"/>
                <w:highlight w:val="none"/>
                <w:lang w:val="en-US" w:eastAsia="zh-CN"/>
              </w:rPr>
              <w:t>违约金</w:t>
            </w:r>
            <w:r>
              <w:rPr>
                <w:rFonts w:ascii="宋体" w:hAnsi="宋体" w:eastAsia="宋体" w:cs="Times New Roman"/>
                <w:color w:val="auto"/>
                <w:szCs w:val="22"/>
                <w:highlight w:val="none"/>
              </w:rPr>
              <w:t>，同</w:t>
            </w:r>
            <w:r>
              <w:rPr>
                <w:rFonts w:hint="eastAsia" w:ascii="宋体" w:hAnsi="宋体" w:eastAsia="宋体" w:cs="Times New Roman"/>
                <w:color w:val="auto"/>
                <w:szCs w:val="22"/>
                <w:highlight w:val="none"/>
              </w:rPr>
              <w:t>时将发包人视损失情况向承包人提出索赔。</w:t>
            </w:r>
          </w:p>
        </w:tc>
        <w:tc>
          <w:tcPr>
            <w:tcW w:w="1776" w:type="dxa"/>
            <w:noWrap w:val="0"/>
            <w:vAlign w:val="center"/>
          </w:tcPr>
          <w:p w14:paraId="15363AF2">
            <w:pPr>
              <w:spacing w:line="400" w:lineRule="exact"/>
              <w:jc w:val="center"/>
              <w:rPr>
                <w:rFonts w:ascii="宋体" w:hAnsi="宋体" w:eastAsia="宋体" w:cs="Times New Roman"/>
                <w:color w:val="auto"/>
                <w:szCs w:val="21"/>
                <w:highlight w:val="none"/>
              </w:rPr>
            </w:pPr>
          </w:p>
        </w:tc>
      </w:tr>
      <w:tr w14:paraId="47897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3B00C1FF">
            <w:pPr>
              <w:adjustRightInd w:val="0"/>
              <w:snapToGrid w:val="0"/>
              <w:spacing w:line="320" w:lineRule="atLeast"/>
              <w:jc w:val="center"/>
              <w:textAlignment w:val="baseline"/>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44</w:t>
            </w:r>
          </w:p>
        </w:tc>
        <w:tc>
          <w:tcPr>
            <w:tcW w:w="1261" w:type="dxa"/>
            <w:noWrap w:val="0"/>
            <w:vAlign w:val="center"/>
          </w:tcPr>
          <w:p w14:paraId="38A4691C">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24.2.2（9）</w:t>
            </w:r>
          </w:p>
        </w:tc>
        <w:tc>
          <w:tcPr>
            <w:tcW w:w="5806" w:type="dxa"/>
            <w:noWrap w:val="0"/>
            <w:vAlign w:val="center"/>
          </w:tcPr>
          <w:p w14:paraId="40787CC8">
            <w:pPr>
              <w:adjustRightInd w:val="0"/>
              <w:snapToGrid w:val="0"/>
              <w:spacing w:line="320" w:lineRule="atLeast"/>
              <w:textAlignment w:val="baseline"/>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因承包人原因未按合同约定或制度要求上报</w:t>
            </w:r>
            <w:r>
              <w:rPr>
                <w:rFonts w:hint="eastAsia" w:ascii="宋体" w:hAnsi="宋体" w:eastAsia="宋体" w:cs="Times New Roman"/>
                <w:color w:val="auto"/>
                <w:szCs w:val="24"/>
                <w:highlight w:val="none"/>
                <w:lang w:val="en-US" w:eastAsia="zh-CN"/>
              </w:rPr>
              <w:t>维护安全预案、</w:t>
            </w:r>
            <w:r>
              <w:rPr>
                <w:rFonts w:hint="eastAsia" w:ascii="宋体" w:hAnsi="宋体" w:eastAsia="宋体" w:cs="Times New Roman"/>
                <w:color w:val="auto"/>
                <w:szCs w:val="24"/>
                <w:highlight w:val="none"/>
              </w:rPr>
              <w:t>计划、巡查资料、计量报表、结算材料等资料的，发包人有权按照标准课以违约金。</w:t>
            </w:r>
          </w:p>
        </w:tc>
        <w:tc>
          <w:tcPr>
            <w:tcW w:w="4256" w:type="dxa"/>
            <w:noWrap w:val="0"/>
            <w:vAlign w:val="center"/>
          </w:tcPr>
          <w:p w14:paraId="22BFCDAB">
            <w:pPr>
              <w:spacing w:line="400" w:lineRule="exact"/>
              <w:jc w:val="left"/>
              <w:rPr>
                <w:rFonts w:ascii="宋体" w:hAnsi="宋体" w:eastAsia="宋体" w:cs="Times New Roman"/>
                <w:color w:val="auto"/>
                <w:szCs w:val="22"/>
                <w:highlight w:val="none"/>
              </w:rPr>
            </w:pPr>
            <w:r>
              <w:rPr>
                <w:rFonts w:hint="eastAsia" w:ascii="宋体" w:hAnsi="宋体" w:cs="Times New Roman"/>
                <w:color w:val="auto"/>
                <w:szCs w:val="22"/>
                <w:highlight w:val="none"/>
                <w:lang w:val="en-US" w:eastAsia="zh-CN"/>
              </w:rPr>
              <w:t>课以</w:t>
            </w:r>
            <w:r>
              <w:rPr>
                <w:rFonts w:ascii="宋体" w:hAnsi="宋体" w:eastAsia="宋体" w:cs="Times New Roman"/>
                <w:color w:val="auto"/>
                <w:szCs w:val="22"/>
                <w:highlight w:val="none"/>
              </w:rPr>
              <w:t>1万元/次</w:t>
            </w:r>
            <w:r>
              <w:rPr>
                <w:rFonts w:hint="eastAsia" w:ascii="宋体" w:hAnsi="宋体" w:cs="Times New Roman"/>
                <w:color w:val="auto"/>
                <w:szCs w:val="22"/>
                <w:highlight w:val="none"/>
                <w:lang w:val="en-US" w:eastAsia="zh-CN"/>
              </w:rPr>
              <w:t>违约金</w:t>
            </w:r>
            <w:r>
              <w:rPr>
                <w:rFonts w:ascii="宋体" w:hAnsi="宋体" w:eastAsia="宋体" w:cs="Times New Roman"/>
                <w:color w:val="auto"/>
                <w:szCs w:val="22"/>
                <w:highlight w:val="none"/>
              </w:rPr>
              <w:t>。</w:t>
            </w:r>
          </w:p>
        </w:tc>
        <w:tc>
          <w:tcPr>
            <w:tcW w:w="1776" w:type="dxa"/>
            <w:noWrap w:val="0"/>
            <w:vAlign w:val="center"/>
          </w:tcPr>
          <w:p w14:paraId="58E1A3E5">
            <w:pPr>
              <w:spacing w:line="400" w:lineRule="exact"/>
              <w:jc w:val="center"/>
              <w:rPr>
                <w:rFonts w:ascii="宋体" w:hAnsi="宋体" w:eastAsia="宋体" w:cs="Times New Roman"/>
                <w:color w:val="auto"/>
                <w:szCs w:val="21"/>
                <w:highlight w:val="none"/>
              </w:rPr>
            </w:pPr>
          </w:p>
        </w:tc>
      </w:tr>
      <w:tr w14:paraId="4BD07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4211C805">
            <w:pPr>
              <w:adjustRightInd w:val="0"/>
              <w:snapToGrid w:val="0"/>
              <w:spacing w:line="320" w:lineRule="atLeast"/>
              <w:jc w:val="center"/>
              <w:textAlignment w:val="baseline"/>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45</w:t>
            </w:r>
          </w:p>
        </w:tc>
        <w:tc>
          <w:tcPr>
            <w:tcW w:w="1261" w:type="dxa"/>
            <w:noWrap w:val="0"/>
            <w:vAlign w:val="center"/>
          </w:tcPr>
          <w:p w14:paraId="5F575299">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24.2.2（9）</w:t>
            </w:r>
          </w:p>
        </w:tc>
        <w:tc>
          <w:tcPr>
            <w:tcW w:w="5806" w:type="dxa"/>
            <w:noWrap w:val="0"/>
            <w:vAlign w:val="center"/>
          </w:tcPr>
          <w:p w14:paraId="509138DC">
            <w:pPr>
              <w:adjustRightInd w:val="0"/>
              <w:snapToGrid w:val="0"/>
              <w:spacing w:line="320" w:lineRule="atLeast"/>
              <w:textAlignment w:val="baseline"/>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本项目智能化、信息化系统应用过程中，由于承包人原因造成的系统信息泄露或网络安全事件等不良影响</w:t>
            </w:r>
            <w:r>
              <w:rPr>
                <w:rFonts w:ascii="宋体" w:hAnsi="宋体" w:cs="Times New Roman"/>
                <w:color w:val="auto"/>
                <w:szCs w:val="24"/>
                <w:highlight w:val="none"/>
              </w:rPr>
              <w:t>，</w:t>
            </w:r>
            <w:r>
              <w:rPr>
                <w:rFonts w:hint="eastAsia" w:ascii="宋体" w:hAnsi="宋体" w:eastAsia="宋体" w:cs="Times New Roman"/>
                <w:color w:val="auto"/>
                <w:szCs w:val="24"/>
                <w:highlight w:val="none"/>
              </w:rPr>
              <w:t>发包人有权按照标准课以违约金。</w:t>
            </w:r>
          </w:p>
        </w:tc>
        <w:tc>
          <w:tcPr>
            <w:tcW w:w="4256" w:type="dxa"/>
            <w:noWrap w:val="0"/>
            <w:vAlign w:val="center"/>
          </w:tcPr>
          <w:p w14:paraId="6104A8D5">
            <w:pPr>
              <w:spacing w:line="400" w:lineRule="exact"/>
              <w:jc w:val="left"/>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视情况课以</w:t>
            </w:r>
            <w:r>
              <w:rPr>
                <w:rFonts w:ascii="宋体" w:hAnsi="宋体" w:eastAsia="宋体" w:cs="Times New Roman"/>
                <w:color w:val="auto"/>
                <w:szCs w:val="22"/>
                <w:highlight w:val="none"/>
              </w:rPr>
              <w:t>1~5万元/次</w:t>
            </w:r>
            <w:r>
              <w:rPr>
                <w:rFonts w:hint="eastAsia" w:ascii="宋体" w:hAnsi="宋体" w:cs="Times New Roman"/>
                <w:color w:val="auto"/>
                <w:szCs w:val="22"/>
                <w:highlight w:val="none"/>
                <w:lang w:val="en-US" w:eastAsia="zh-CN"/>
              </w:rPr>
              <w:t>违约金</w:t>
            </w:r>
            <w:r>
              <w:rPr>
                <w:rFonts w:ascii="宋体" w:hAnsi="宋体" w:eastAsia="宋体" w:cs="Times New Roman"/>
                <w:color w:val="auto"/>
                <w:szCs w:val="22"/>
                <w:highlight w:val="none"/>
              </w:rPr>
              <w:t>。</w:t>
            </w:r>
          </w:p>
        </w:tc>
        <w:tc>
          <w:tcPr>
            <w:tcW w:w="1776" w:type="dxa"/>
            <w:noWrap w:val="0"/>
            <w:vAlign w:val="center"/>
          </w:tcPr>
          <w:p w14:paraId="597FABF5">
            <w:pPr>
              <w:spacing w:line="400" w:lineRule="exact"/>
              <w:jc w:val="center"/>
              <w:rPr>
                <w:rFonts w:ascii="宋体" w:hAnsi="宋体" w:eastAsia="宋体" w:cs="Times New Roman"/>
                <w:color w:val="auto"/>
                <w:szCs w:val="21"/>
                <w:highlight w:val="none"/>
              </w:rPr>
            </w:pPr>
          </w:p>
        </w:tc>
      </w:tr>
      <w:tr w14:paraId="068E5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525697CE">
            <w:pPr>
              <w:adjustRightInd w:val="0"/>
              <w:snapToGrid w:val="0"/>
              <w:spacing w:line="320" w:lineRule="atLeast"/>
              <w:jc w:val="center"/>
              <w:textAlignment w:val="baseline"/>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46</w:t>
            </w:r>
          </w:p>
        </w:tc>
        <w:tc>
          <w:tcPr>
            <w:tcW w:w="1261" w:type="dxa"/>
            <w:noWrap w:val="0"/>
            <w:vAlign w:val="center"/>
          </w:tcPr>
          <w:p w14:paraId="4D83CF6A">
            <w:pPr>
              <w:adjustRightInd w:val="0"/>
              <w:snapToGrid w:val="0"/>
              <w:spacing w:line="320" w:lineRule="atLeast"/>
              <w:textAlignment w:val="baseline"/>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24.2.2（9）</w:t>
            </w:r>
          </w:p>
        </w:tc>
        <w:tc>
          <w:tcPr>
            <w:tcW w:w="5806" w:type="dxa"/>
            <w:noWrap w:val="0"/>
            <w:vAlign w:val="center"/>
          </w:tcPr>
          <w:p w14:paraId="00431C27">
            <w:pPr>
              <w:adjustRightInd w:val="0"/>
              <w:snapToGrid w:val="0"/>
              <w:spacing w:line="320" w:lineRule="atLeast"/>
              <w:textAlignment w:val="baseline"/>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因承包人原因未按相关要求开展</w:t>
            </w:r>
            <w:r>
              <w:rPr>
                <w:rFonts w:hint="eastAsia" w:ascii="宋体" w:hAnsi="宋体" w:eastAsia="宋体" w:cs="Times New Roman"/>
                <w:color w:val="auto"/>
                <w:szCs w:val="24"/>
                <w:highlight w:val="none"/>
                <w:lang w:val="en-US" w:eastAsia="zh-CN"/>
              </w:rPr>
              <w:t>维护</w:t>
            </w:r>
            <w:r>
              <w:rPr>
                <w:rFonts w:hint="eastAsia" w:ascii="宋体" w:hAnsi="宋体" w:eastAsia="宋体" w:cs="Times New Roman"/>
                <w:color w:val="auto"/>
                <w:szCs w:val="24"/>
                <w:highlight w:val="none"/>
              </w:rPr>
              <w:t>工作，导致被部、省检查通报批评的，发包人有权按照标准课以违约金。</w:t>
            </w:r>
            <w:r>
              <w:rPr>
                <w:rFonts w:ascii="宋体" w:hAnsi="宋体" w:eastAsia="宋体" w:cs="Times New Roman"/>
                <w:color w:val="auto"/>
                <w:szCs w:val="24"/>
                <w:highlight w:val="none"/>
              </w:rPr>
              <w:t xml:space="preserve"> </w:t>
            </w:r>
          </w:p>
        </w:tc>
        <w:tc>
          <w:tcPr>
            <w:tcW w:w="4256" w:type="dxa"/>
            <w:noWrap w:val="0"/>
            <w:vAlign w:val="center"/>
          </w:tcPr>
          <w:p w14:paraId="741AC64A">
            <w:pPr>
              <w:spacing w:line="400" w:lineRule="exact"/>
              <w:jc w:val="left"/>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rPr>
              <w:t>部级通报批评</w:t>
            </w:r>
            <w:r>
              <w:rPr>
                <w:rFonts w:hint="eastAsia" w:ascii="宋体" w:hAnsi="宋体" w:cs="Times New Roman"/>
                <w:color w:val="auto"/>
                <w:szCs w:val="22"/>
                <w:highlight w:val="none"/>
                <w:lang w:val="en-US" w:eastAsia="zh-CN"/>
              </w:rPr>
              <w:t>课以</w:t>
            </w:r>
            <w:r>
              <w:rPr>
                <w:rFonts w:hint="eastAsia" w:ascii="宋体" w:hAnsi="宋体" w:eastAsia="宋体" w:cs="Times New Roman"/>
                <w:color w:val="auto"/>
                <w:szCs w:val="22"/>
                <w:highlight w:val="none"/>
                <w:lang w:val="en-US" w:eastAsia="zh-CN"/>
              </w:rPr>
              <w:t>5</w:t>
            </w:r>
            <w:r>
              <w:rPr>
                <w:rFonts w:ascii="宋体" w:hAnsi="宋体" w:eastAsia="宋体" w:cs="Times New Roman"/>
                <w:color w:val="auto"/>
                <w:szCs w:val="22"/>
                <w:highlight w:val="none"/>
              </w:rPr>
              <w:t>万元/次</w:t>
            </w:r>
            <w:r>
              <w:rPr>
                <w:rFonts w:hint="eastAsia" w:ascii="宋体" w:hAnsi="宋体" w:cs="Times New Roman"/>
                <w:color w:val="auto"/>
                <w:szCs w:val="22"/>
                <w:highlight w:val="none"/>
                <w:lang w:val="en-US" w:eastAsia="zh-CN"/>
              </w:rPr>
              <w:t>违约金</w:t>
            </w:r>
            <w:r>
              <w:rPr>
                <w:rFonts w:ascii="宋体" w:hAnsi="宋体" w:eastAsia="宋体" w:cs="Times New Roman"/>
                <w:color w:val="auto"/>
                <w:szCs w:val="22"/>
                <w:highlight w:val="none"/>
              </w:rPr>
              <w:t>；省</w:t>
            </w:r>
            <w:r>
              <w:rPr>
                <w:rFonts w:hint="eastAsia" w:ascii="宋体" w:hAnsi="宋体" w:eastAsia="宋体" w:cs="Times New Roman"/>
                <w:color w:val="auto"/>
                <w:szCs w:val="22"/>
                <w:highlight w:val="none"/>
              </w:rPr>
              <w:t>级通报批评</w:t>
            </w:r>
            <w:r>
              <w:rPr>
                <w:rFonts w:hint="eastAsia" w:ascii="宋体" w:hAnsi="宋体" w:cs="Times New Roman"/>
                <w:color w:val="auto"/>
                <w:szCs w:val="22"/>
                <w:highlight w:val="none"/>
                <w:lang w:val="en-US" w:eastAsia="zh-CN"/>
              </w:rPr>
              <w:t>课以</w:t>
            </w:r>
            <w:r>
              <w:rPr>
                <w:rFonts w:hint="eastAsia" w:ascii="宋体" w:hAnsi="宋体" w:eastAsia="宋体" w:cs="Times New Roman"/>
                <w:color w:val="auto"/>
                <w:szCs w:val="22"/>
                <w:highlight w:val="none"/>
                <w:lang w:val="en-US" w:eastAsia="zh-CN"/>
              </w:rPr>
              <w:t>2万</w:t>
            </w:r>
            <w:r>
              <w:rPr>
                <w:rFonts w:ascii="宋体" w:hAnsi="宋体" w:eastAsia="宋体" w:cs="Times New Roman"/>
                <w:color w:val="auto"/>
                <w:szCs w:val="22"/>
                <w:highlight w:val="none"/>
              </w:rPr>
              <w:t>元/次</w:t>
            </w:r>
            <w:r>
              <w:rPr>
                <w:rFonts w:hint="eastAsia" w:ascii="宋体" w:hAnsi="宋体" w:cs="Times New Roman"/>
                <w:color w:val="auto"/>
                <w:szCs w:val="22"/>
                <w:highlight w:val="none"/>
                <w:lang w:val="en-US" w:eastAsia="zh-CN"/>
              </w:rPr>
              <w:t>违约金。</w:t>
            </w:r>
          </w:p>
        </w:tc>
        <w:tc>
          <w:tcPr>
            <w:tcW w:w="1776" w:type="dxa"/>
            <w:noWrap w:val="0"/>
            <w:vAlign w:val="center"/>
          </w:tcPr>
          <w:p w14:paraId="01FAA9BB">
            <w:pPr>
              <w:spacing w:line="400" w:lineRule="exact"/>
              <w:jc w:val="center"/>
              <w:rPr>
                <w:rFonts w:ascii="宋体" w:hAnsi="宋体" w:eastAsia="宋体" w:cs="Times New Roman"/>
                <w:color w:val="auto"/>
                <w:szCs w:val="21"/>
                <w:highlight w:val="none"/>
              </w:rPr>
            </w:pPr>
          </w:p>
        </w:tc>
      </w:tr>
      <w:tr w14:paraId="7F762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55" w:type="dxa"/>
            <w:shd w:val="clear" w:color="auto" w:fill="auto"/>
            <w:noWrap w:val="0"/>
            <w:vAlign w:val="center"/>
          </w:tcPr>
          <w:p w14:paraId="3F3A7384">
            <w:pPr>
              <w:adjustRightInd w:val="0"/>
              <w:snapToGrid w:val="0"/>
              <w:spacing w:line="320" w:lineRule="atLeast"/>
              <w:jc w:val="center"/>
              <w:textAlignment w:val="baseline"/>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47</w:t>
            </w:r>
          </w:p>
        </w:tc>
        <w:tc>
          <w:tcPr>
            <w:tcW w:w="1261" w:type="dxa"/>
            <w:noWrap w:val="0"/>
            <w:vAlign w:val="center"/>
          </w:tcPr>
          <w:p w14:paraId="58530306">
            <w:pPr>
              <w:adjustRightInd w:val="0"/>
              <w:snapToGrid w:val="0"/>
              <w:spacing w:line="320" w:lineRule="atLeast"/>
              <w:textAlignment w:val="baseline"/>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其他</w:t>
            </w:r>
          </w:p>
        </w:tc>
        <w:tc>
          <w:tcPr>
            <w:tcW w:w="5806" w:type="dxa"/>
            <w:noWrap w:val="0"/>
            <w:vAlign w:val="center"/>
          </w:tcPr>
          <w:p w14:paraId="7306C73C">
            <w:pPr>
              <w:adjustRightInd w:val="0"/>
              <w:snapToGrid w:val="0"/>
              <w:spacing w:line="320" w:lineRule="atLeast"/>
              <w:textAlignment w:val="baseline"/>
              <w:rPr>
                <w:rFonts w:hint="default"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eastAsia="zh-CN"/>
              </w:rPr>
              <w:t>《南沙区水利设施运行维护项目考核管理办法》</w:t>
            </w:r>
            <w:r>
              <w:rPr>
                <w:rFonts w:hint="eastAsia" w:ascii="宋体" w:hAnsi="宋体" w:eastAsia="宋体" w:cs="Times New Roman"/>
                <w:color w:val="auto"/>
                <w:szCs w:val="24"/>
                <w:highlight w:val="none"/>
                <w:lang w:val="en-US" w:eastAsia="zh-CN"/>
              </w:rPr>
              <w:t>中约定的其他行为。</w:t>
            </w:r>
          </w:p>
        </w:tc>
        <w:tc>
          <w:tcPr>
            <w:tcW w:w="4256" w:type="dxa"/>
            <w:noWrap w:val="0"/>
            <w:vAlign w:val="center"/>
          </w:tcPr>
          <w:p w14:paraId="3E37F674">
            <w:pPr>
              <w:adjustRightInd w:val="0"/>
              <w:snapToGrid w:val="0"/>
              <w:spacing w:line="320" w:lineRule="atLeast"/>
              <w:textAlignment w:val="baseline"/>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按照《南沙区水利设施运行维护项目考核管理办法》执行。</w:t>
            </w:r>
          </w:p>
        </w:tc>
        <w:tc>
          <w:tcPr>
            <w:tcW w:w="1776" w:type="dxa"/>
            <w:noWrap w:val="0"/>
            <w:vAlign w:val="center"/>
          </w:tcPr>
          <w:p w14:paraId="00285BA6">
            <w:pPr>
              <w:spacing w:line="400" w:lineRule="exact"/>
              <w:jc w:val="center"/>
              <w:rPr>
                <w:rFonts w:ascii="宋体" w:hAnsi="宋体" w:eastAsia="宋体" w:cs="Times New Roman"/>
                <w:color w:val="auto"/>
                <w:szCs w:val="21"/>
                <w:highlight w:val="none"/>
              </w:rPr>
            </w:pPr>
          </w:p>
        </w:tc>
      </w:tr>
    </w:tbl>
    <w:p w14:paraId="24DB73D8">
      <w:pPr>
        <w:rPr>
          <w:rFonts w:ascii="Times New Roman" w:hAnsi="Times New Roman" w:eastAsia="宋体" w:cs="Times New Roman"/>
          <w:color w:val="auto"/>
          <w:szCs w:val="24"/>
          <w:highlight w:val="none"/>
        </w:rPr>
      </w:pPr>
    </w:p>
    <w:p w14:paraId="5BDC48C3">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color w:val="auto"/>
          <w:highlight w:val="none"/>
          <w:lang w:val="en-US" w:eastAsia="zh-CN"/>
        </w:rPr>
      </w:pPr>
    </w:p>
    <w:p w14:paraId="66885AF1">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color w:val="auto"/>
          <w:highlight w:val="none"/>
          <w:lang w:val="en-US" w:eastAsia="zh-CN"/>
        </w:rPr>
      </w:pPr>
    </w:p>
    <w:p w14:paraId="20DA131F">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color w:val="auto"/>
          <w:highlight w:val="none"/>
          <w:lang w:val="en-US" w:eastAsia="zh-CN"/>
        </w:rPr>
      </w:pPr>
    </w:p>
    <w:p w14:paraId="77A8F05D">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color w:val="auto"/>
          <w:highlight w:val="none"/>
          <w:lang w:val="en-US" w:eastAsia="zh-CN"/>
        </w:rPr>
      </w:pPr>
    </w:p>
    <w:p w14:paraId="1A15F649">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color w:val="auto"/>
          <w:highlight w:val="none"/>
          <w:lang w:val="en-US" w:eastAsia="zh-CN"/>
        </w:rPr>
      </w:pPr>
    </w:p>
    <w:p w14:paraId="2CDE10BB">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color w:val="auto"/>
          <w:highlight w:val="none"/>
          <w:lang w:val="en-US" w:eastAsia="zh-CN"/>
        </w:rPr>
      </w:pPr>
    </w:p>
    <w:p w14:paraId="5E169C3D">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color w:val="auto"/>
          <w:highlight w:val="none"/>
          <w:lang w:val="en-US" w:eastAsia="zh-CN"/>
        </w:rPr>
      </w:pPr>
      <w:r>
        <w:rPr>
          <w:rFonts w:hint="eastAsia"/>
          <w:color w:val="auto"/>
          <w:highlight w:val="none"/>
          <w:lang w:val="en-US" w:eastAsia="zh-CN"/>
        </w:rPr>
        <w:br w:type="page"/>
      </w:r>
    </w:p>
    <w:p w14:paraId="6841B819">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color w:val="auto"/>
          <w:highlight w:val="none"/>
          <w:lang w:val="en-US" w:eastAsia="zh-CN"/>
        </w:rPr>
        <w:sectPr>
          <w:pgSz w:w="16838" w:h="11906" w:orient="landscape"/>
          <w:pgMar w:top="1803" w:right="1440" w:bottom="1803" w:left="1440" w:header="851" w:footer="992" w:gutter="0"/>
          <w:cols w:space="0" w:num="1"/>
          <w:rtlGutter w:val="0"/>
          <w:docGrid w:type="lines" w:linePitch="319" w:charSpace="0"/>
        </w:sectPr>
      </w:pPr>
    </w:p>
    <w:p w14:paraId="4B45B1C5">
      <w:pPr>
        <w:keepNext/>
        <w:keepLines/>
        <w:widowControl/>
        <w:spacing w:before="480" w:after="120" w:line="400" w:lineRule="exact"/>
        <w:outlineLvl w:val="2"/>
        <w:rPr>
          <w:rFonts w:hint="eastAsia" w:ascii="宋体" w:hAnsi="宋体" w:eastAsia="宋体" w:cs="Times New Roman"/>
          <w:b/>
          <w:bCs/>
          <w:color w:val="auto"/>
          <w:kern w:val="0"/>
          <w:sz w:val="28"/>
          <w:szCs w:val="28"/>
          <w:highlight w:val="none"/>
          <w:lang w:val="zh-CN" w:eastAsia="zh-CN"/>
        </w:rPr>
      </w:pPr>
      <w:r>
        <w:rPr>
          <w:rFonts w:hint="eastAsia" w:ascii="宋体" w:hAnsi="宋体" w:eastAsia="宋体" w:cs="Times New Roman"/>
          <w:b/>
          <w:bCs/>
          <w:color w:val="auto"/>
          <w:kern w:val="0"/>
          <w:sz w:val="28"/>
          <w:szCs w:val="28"/>
          <w:highlight w:val="none"/>
          <w:lang w:val="zh-CN" w:eastAsia="zh-CN"/>
        </w:rPr>
        <w:t>附件3：履约担保（格式）</w:t>
      </w:r>
    </w:p>
    <w:p w14:paraId="10318A8F">
      <w:pPr>
        <w:rPr>
          <w:rFonts w:hint="eastAsia" w:eastAsia="宋体" w:cs="Times New Roman"/>
          <w:color w:val="auto"/>
          <w:highlight w:val="none"/>
          <w:lang w:val="en-US" w:eastAsia="zh-CN"/>
        </w:rPr>
      </w:pPr>
    </w:p>
    <w:p w14:paraId="5E006AD8">
      <w:pPr>
        <w:spacing w:line="360" w:lineRule="auto"/>
        <w:jc w:val="center"/>
        <w:rPr>
          <w:rFonts w:hint="eastAsia" w:ascii="宋体" w:hAnsi="宋体" w:eastAsia="宋体" w:cs="Times New Roman"/>
          <w:b/>
          <w:bCs/>
          <w:color w:val="auto"/>
          <w:szCs w:val="21"/>
          <w:highlight w:val="none"/>
          <w:u w:val="single"/>
        </w:rPr>
      </w:pPr>
      <w:r>
        <w:rPr>
          <w:rFonts w:hint="eastAsia" w:ascii="宋体" w:hAnsi="宋体" w:eastAsia="宋体" w:cs="Times New Roman"/>
          <w:b/>
          <w:bCs/>
          <w:color w:val="auto"/>
          <w:szCs w:val="21"/>
          <w:highlight w:val="none"/>
          <w:u w:val="single"/>
        </w:rPr>
        <w:t>银行履约保函</w:t>
      </w:r>
      <w:r>
        <w:rPr>
          <w:rFonts w:hint="eastAsia" w:ascii="宋体" w:hAnsi="宋体" w:eastAsia="宋体" w:cs="Times New Roman"/>
          <w:bCs/>
          <w:color w:val="auto"/>
          <w:szCs w:val="21"/>
          <w:highlight w:val="none"/>
          <w:u w:val="single"/>
        </w:rPr>
        <w:t>（格式）</w:t>
      </w:r>
    </w:p>
    <w:p w14:paraId="62703506">
      <w:pPr>
        <w:spacing w:line="360" w:lineRule="auto"/>
        <w:jc w:val="center"/>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（中标后提交，投标时不需要提交）</w:t>
      </w:r>
    </w:p>
    <w:p w14:paraId="5655EEE4">
      <w:pPr>
        <w:spacing w:line="360"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 xml:space="preserve">银行编号：                       </w:t>
      </w:r>
    </w:p>
    <w:p w14:paraId="14E5585E">
      <w:pPr>
        <w:spacing w:line="360" w:lineRule="auto"/>
        <w:jc w:val="left"/>
        <w:rPr>
          <w:rFonts w:hint="eastAsia" w:ascii="宋体" w:hAnsi="宋体" w:eastAsia="宋体" w:cs="Times New Roman"/>
          <w:color w:val="auto"/>
          <w:szCs w:val="21"/>
          <w:highlight w:val="none"/>
          <w:u w:val="single"/>
        </w:rPr>
      </w:pPr>
    </w:p>
    <w:p w14:paraId="39E67DA4">
      <w:pPr>
        <w:spacing w:line="360"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 xml:space="preserve">致：（发包人）                    </w:t>
      </w:r>
    </w:p>
    <w:p w14:paraId="532DC6AD">
      <w:pPr>
        <w:spacing w:line="360"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 xml:space="preserve">    （地址）                      </w:t>
      </w:r>
    </w:p>
    <w:p w14:paraId="2023F1AF">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鉴于</w:t>
      </w:r>
      <w:r>
        <w:rPr>
          <w:rFonts w:hint="eastAsia" w:ascii="宋体" w:hAnsi="宋体" w:eastAsia="宋体" w:cs="Times New Roman"/>
          <w:color w:val="auto"/>
          <w:szCs w:val="21"/>
          <w:highlight w:val="none"/>
          <w:u w:val="single"/>
        </w:rPr>
        <w:t xml:space="preserve">                            （以下称承包人）</w:t>
      </w:r>
      <w:r>
        <w:rPr>
          <w:rFonts w:hint="eastAsia" w:ascii="宋体" w:hAnsi="宋体" w:eastAsia="宋体" w:cs="Times New Roman"/>
          <w:color w:val="auto"/>
          <w:szCs w:val="21"/>
          <w:highlight w:val="none"/>
        </w:rPr>
        <w:t>已保证按中标通知书</w:t>
      </w:r>
      <w:r>
        <w:rPr>
          <w:rFonts w:hint="eastAsia" w:ascii="宋体" w:hAnsi="宋体" w:eastAsia="宋体" w:cs="Times New Roman"/>
          <w:color w:val="auto"/>
          <w:szCs w:val="21"/>
          <w:highlight w:val="none"/>
          <w:u w:val="single"/>
        </w:rPr>
        <w:t xml:space="preserve">（编号：        ）实施       （工程名称及服务内容）          </w:t>
      </w:r>
      <w:r>
        <w:rPr>
          <w:rFonts w:hint="eastAsia" w:ascii="宋体" w:hAnsi="宋体" w:eastAsia="宋体" w:cs="Times New Roman"/>
          <w:color w:val="auto"/>
          <w:szCs w:val="21"/>
          <w:highlight w:val="none"/>
        </w:rPr>
        <w:t>工作，又鉴于你方在招标文件中要求承包人按规定金额提交一份已经认可的银行保函作履约担保，本行已同意为承包人出具保函。</w:t>
      </w:r>
    </w:p>
    <w:p w14:paraId="022ADE38">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本行作为保证人并代表承包人向你方承担支付人民币</w:t>
      </w:r>
      <w:r>
        <w:rPr>
          <w:rFonts w:hint="eastAsia" w:ascii="宋体" w:hAnsi="宋体" w:eastAsia="宋体" w:cs="Times New Roman"/>
          <w:color w:val="auto"/>
          <w:szCs w:val="21"/>
          <w:highlight w:val="none"/>
          <w:u w:val="single"/>
        </w:rPr>
        <w:t xml:space="preserve">         元</w:t>
      </w:r>
      <w:r>
        <w:rPr>
          <w:rFonts w:hint="eastAsia" w:ascii="宋体" w:hAnsi="宋体" w:eastAsia="宋体" w:cs="Times New Roman"/>
          <w:color w:val="auto"/>
          <w:szCs w:val="21"/>
          <w:highlight w:val="none"/>
        </w:rPr>
        <w:t>的责任，如承包人违约，我方在收到你方第一次书面付款要求后，保证在上述担保金范围内无条件向你方支付。</w:t>
      </w:r>
    </w:p>
    <w:p w14:paraId="2C996BA6">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本行放弃你方应先向承包人索赔上述金额然后再向本行提出要求的权利。</w:t>
      </w:r>
    </w:p>
    <w:p w14:paraId="139B23A2">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本行还同意，在你方和承包人之间的合同条件发生补充或修改后，本行所承担保函的责任不变，有关补充或修改亦无须通知本行。</w:t>
      </w:r>
    </w:p>
    <w:p w14:paraId="4AD57CDB">
      <w:pPr>
        <w:spacing w:line="360" w:lineRule="auto"/>
        <w:jc w:val="left"/>
        <w:rPr>
          <w:rFonts w:hint="eastAsia" w:ascii="宋体" w:hAnsi="宋体" w:eastAsia="宋体" w:cs="Times New Roman"/>
          <w:b/>
          <w:color w:val="auto"/>
          <w:szCs w:val="21"/>
          <w:highlight w:val="none"/>
          <w:u w:val="single"/>
        </w:rPr>
      </w:pPr>
      <w:r>
        <w:rPr>
          <w:rFonts w:hint="eastAsia"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u w:val="single"/>
        </w:rPr>
        <w:t>本保函直至你方退还本保函原件或至   年  月   日（不得少于三年）一直有效。</w:t>
      </w:r>
    </w:p>
    <w:p w14:paraId="323F4D5A">
      <w:pPr>
        <w:spacing w:line="360" w:lineRule="auto"/>
        <w:jc w:val="left"/>
        <w:rPr>
          <w:rFonts w:hint="eastAsia" w:ascii="宋体" w:hAnsi="宋体" w:eastAsia="宋体" w:cs="Times New Roman"/>
          <w:color w:val="auto"/>
          <w:szCs w:val="21"/>
          <w:highlight w:val="none"/>
          <w:u w:val="single"/>
        </w:rPr>
      </w:pPr>
    </w:p>
    <w:p w14:paraId="5380CDB0">
      <w:pPr>
        <w:spacing w:line="360" w:lineRule="auto"/>
        <w:jc w:val="left"/>
        <w:rPr>
          <w:rFonts w:hint="eastAsia" w:ascii="宋体" w:hAnsi="宋体" w:eastAsia="宋体" w:cs="Times New Roman"/>
          <w:color w:val="auto"/>
          <w:szCs w:val="21"/>
          <w:highlight w:val="none"/>
          <w:u w:val="single"/>
        </w:rPr>
      </w:pPr>
    </w:p>
    <w:p w14:paraId="37E2F69C">
      <w:pPr>
        <w:spacing w:line="360"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 xml:space="preserve">担保银行名称（公章）：                                         </w:t>
      </w:r>
    </w:p>
    <w:p w14:paraId="3347BDB8">
      <w:pPr>
        <w:spacing w:line="360"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 xml:space="preserve">法定代表人或其授权人签章：                                     </w:t>
      </w:r>
    </w:p>
    <w:p w14:paraId="493CCCD2">
      <w:pPr>
        <w:spacing w:line="360"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 xml:space="preserve">联系电话（经办部门）：                                           </w:t>
      </w:r>
    </w:p>
    <w:p w14:paraId="0D494B21">
      <w:pPr>
        <w:spacing w:line="360"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 xml:space="preserve">地址：                                                         </w:t>
      </w:r>
    </w:p>
    <w:p w14:paraId="717B9C47">
      <w:pPr>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 xml:space="preserve">日期：                                                       </w:t>
      </w:r>
    </w:p>
    <w:p w14:paraId="5CB6C68D">
      <w:pPr>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Fonts w:hint="eastAsia"/>
          <w:color w:val="auto"/>
          <w:highlight w:val="none"/>
          <w:lang w:val="en-US" w:eastAsia="zh-CN"/>
        </w:rPr>
      </w:pPr>
      <w:r>
        <w:rPr>
          <w:rFonts w:hint="eastAsia"/>
          <w:color w:val="auto"/>
          <w:highlight w:val="none"/>
          <w:lang w:val="en-US" w:eastAsia="zh-CN"/>
        </w:rPr>
        <w:br w:type="page"/>
      </w:r>
    </w:p>
    <w:p w14:paraId="3AD9A332">
      <w:pPr>
        <w:keepNext/>
        <w:keepLines/>
        <w:pageBreakBefore w:val="0"/>
        <w:widowControl/>
        <w:kinsoku/>
        <w:wordWrap/>
        <w:overflowPunct/>
        <w:topLinePunct w:val="0"/>
        <w:autoSpaceDE/>
        <w:autoSpaceDN/>
        <w:bidi w:val="0"/>
        <w:adjustRightInd/>
        <w:snapToGrid/>
        <w:spacing w:before="480" w:after="120" w:line="400" w:lineRule="exact"/>
        <w:ind w:right="0" w:rightChars="0"/>
        <w:textAlignment w:val="auto"/>
        <w:outlineLvl w:val="2"/>
        <w:rPr>
          <w:rFonts w:hint="eastAsia" w:ascii="宋体" w:hAnsi="宋体"/>
          <w:b/>
          <w:bCs/>
          <w:color w:val="auto"/>
          <w:kern w:val="0"/>
          <w:sz w:val="28"/>
          <w:szCs w:val="28"/>
          <w:highlight w:val="none"/>
          <w:lang w:val="zh-CN" w:eastAsia="zh-CN"/>
        </w:rPr>
      </w:pPr>
      <w:r>
        <w:rPr>
          <w:rFonts w:hint="eastAsia" w:ascii="宋体" w:hAnsi="宋体"/>
          <w:b/>
          <w:bCs/>
          <w:color w:val="auto"/>
          <w:kern w:val="0"/>
          <w:sz w:val="28"/>
          <w:szCs w:val="28"/>
          <w:highlight w:val="none"/>
          <w:lang w:val="zh-CN" w:eastAsia="zh-CN"/>
        </w:rPr>
        <w:t>附件4：南沙区建设工程项目廉洁责任合同</w:t>
      </w:r>
    </w:p>
    <w:p w14:paraId="047F36AF">
      <w:pPr>
        <w:spacing w:line="360" w:lineRule="auto"/>
        <w:ind w:right="31" w:rightChars="15"/>
        <w:rPr>
          <w:rFonts w:hint="eastAsia" w:ascii="仿宋" w:hAnsi="仿宋" w:eastAsia="仿宋" w:cs="仿宋"/>
          <w:b/>
          <w:bCs/>
          <w:color w:val="auto"/>
          <w:sz w:val="24"/>
          <w:szCs w:val="24"/>
          <w:highlight w:val="none"/>
        </w:rPr>
      </w:pPr>
    </w:p>
    <w:p w14:paraId="18B26D0A">
      <w:pPr>
        <w:spacing w:line="560" w:lineRule="exact"/>
        <w:jc w:val="center"/>
        <w:rPr>
          <w:rFonts w:hint="eastAsia" w:ascii="宋体" w:hAnsi="宋体" w:eastAsia="宋体" w:cs="宋体"/>
          <w:bCs/>
          <w:color w:val="auto"/>
          <w:sz w:val="44"/>
          <w:szCs w:val="44"/>
          <w:highlight w:val="none"/>
        </w:rPr>
      </w:pPr>
      <w:bookmarkStart w:id="114" w:name="_Hlk75354119"/>
      <w:r>
        <w:rPr>
          <w:rFonts w:hint="eastAsia" w:ascii="宋体" w:hAnsi="宋体" w:eastAsia="宋体" w:cs="宋体"/>
          <w:bCs/>
          <w:color w:val="auto"/>
          <w:sz w:val="44"/>
          <w:szCs w:val="44"/>
          <w:highlight w:val="none"/>
        </w:rPr>
        <w:t>南沙区建设工程项目廉洁责任合同</w:t>
      </w:r>
    </w:p>
    <w:bookmarkEnd w:id="114"/>
    <w:p w14:paraId="27961143">
      <w:pPr>
        <w:spacing w:line="560" w:lineRule="exact"/>
        <w:jc w:val="center"/>
        <w:rPr>
          <w:rFonts w:eastAsia="楷体_GB2312"/>
          <w:bCs/>
          <w:color w:val="auto"/>
          <w:szCs w:val="32"/>
          <w:highlight w:val="none"/>
        </w:rPr>
      </w:pPr>
      <w:r>
        <w:rPr>
          <w:rFonts w:eastAsia="楷体_GB2312"/>
          <w:bCs/>
          <w:color w:val="auto"/>
          <w:szCs w:val="32"/>
          <w:highlight w:val="none"/>
        </w:rPr>
        <w:t>（</w:t>
      </w:r>
      <w:r>
        <w:rPr>
          <w:rFonts w:hint="eastAsia" w:eastAsia="楷体_GB2312"/>
          <w:bCs/>
          <w:color w:val="auto"/>
          <w:szCs w:val="32"/>
          <w:highlight w:val="none"/>
        </w:rPr>
        <w:t>示范性合同文本</w:t>
      </w:r>
      <w:r>
        <w:rPr>
          <w:rFonts w:eastAsia="楷体_GB2312"/>
          <w:bCs/>
          <w:color w:val="auto"/>
          <w:szCs w:val="32"/>
          <w:highlight w:val="none"/>
        </w:rPr>
        <w:t>）</w:t>
      </w:r>
    </w:p>
    <w:p w14:paraId="71671108">
      <w:pPr>
        <w:spacing w:line="560" w:lineRule="exact"/>
        <w:rPr>
          <w:color w:val="auto"/>
          <w:highlight w:val="none"/>
        </w:rPr>
      </w:pPr>
    </w:p>
    <w:p w14:paraId="47653D3B">
      <w:pPr>
        <w:spacing w:line="560" w:lineRule="exact"/>
        <w:rPr>
          <w:color w:val="auto"/>
          <w:szCs w:val="21"/>
          <w:highlight w:val="none"/>
        </w:rPr>
      </w:pPr>
      <w:r>
        <w:rPr>
          <w:rFonts w:hint="eastAsia"/>
          <w:color w:val="auto"/>
          <w:szCs w:val="21"/>
          <w:highlight w:val="none"/>
        </w:rPr>
        <w:t>发包人（委托人）：</w:t>
      </w:r>
    </w:p>
    <w:p w14:paraId="77857B6E">
      <w:pPr>
        <w:spacing w:line="560" w:lineRule="exact"/>
        <w:rPr>
          <w:color w:val="auto"/>
          <w:szCs w:val="21"/>
          <w:highlight w:val="none"/>
        </w:rPr>
      </w:pPr>
      <w:r>
        <w:rPr>
          <w:rFonts w:hint="eastAsia"/>
          <w:color w:val="auto"/>
          <w:szCs w:val="21"/>
          <w:highlight w:val="none"/>
        </w:rPr>
        <w:t>承包人（受托人）：</w:t>
      </w:r>
    </w:p>
    <w:p w14:paraId="44A2A4D9">
      <w:pPr>
        <w:spacing w:line="560" w:lineRule="exact"/>
        <w:rPr>
          <w:color w:val="auto"/>
          <w:szCs w:val="21"/>
          <w:highlight w:val="none"/>
          <w:u w:val="single"/>
        </w:rPr>
      </w:pPr>
      <w:r>
        <w:rPr>
          <w:rFonts w:hint="eastAsia"/>
          <w:color w:val="auto"/>
          <w:szCs w:val="21"/>
          <w:highlight w:val="none"/>
        </w:rPr>
        <w:t>建设工程项目：</w:t>
      </w:r>
    </w:p>
    <w:p w14:paraId="6C005535">
      <w:pPr>
        <w:spacing w:line="560" w:lineRule="exact"/>
        <w:rPr>
          <w:color w:val="auto"/>
          <w:szCs w:val="21"/>
          <w:highlight w:val="none"/>
          <w:u w:val="single"/>
        </w:rPr>
      </w:pPr>
      <w:r>
        <w:rPr>
          <w:rFonts w:hint="eastAsia"/>
          <w:color w:val="auto"/>
          <w:szCs w:val="21"/>
          <w:highlight w:val="none"/>
        </w:rPr>
        <w:t>建设工程地点：</w:t>
      </w:r>
      <w:r>
        <w:rPr>
          <w:rFonts w:hint="eastAsia"/>
          <w:color w:val="auto"/>
          <w:szCs w:val="21"/>
          <w:highlight w:val="none"/>
          <w:u w:val="single"/>
        </w:rPr>
        <w:t>广州市南沙区</w:t>
      </w:r>
    </w:p>
    <w:p w14:paraId="59F3C3A2">
      <w:pPr>
        <w:spacing w:line="560" w:lineRule="exact"/>
        <w:ind w:firstLine="525" w:firstLineChars="250"/>
        <w:rPr>
          <w:color w:val="auto"/>
          <w:szCs w:val="21"/>
          <w:highlight w:val="none"/>
        </w:rPr>
      </w:pPr>
    </w:p>
    <w:p w14:paraId="64C9C19E">
      <w:pPr>
        <w:spacing w:line="560" w:lineRule="exact"/>
        <w:ind w:firstLine="420" w:firstLineChars="200"/>
        <w:rPr>
          <w:color w:val="auto"/>
          <w:szCs w:val="21"/>
          <w:highlight w:val="none"/>
        </w:rPr>
      </w:pPr>
      <w:r>
        <w:rPr>
          <w:rFonts w:hint="eastAsia"/>
          <w:color w:val="auto"/>
          <w:szCs w:val="21"/>
          <w:highlight w:val="none"/>
        </w:rPr>
        <w:t>为贯彻落实国家、省、市有关廉洁规定，深化廉洁南沙自贸试验区建设，加强工程建设领域廉洁风险防控，构建亲清政商关系，营造风清气正的市场环境，根据《中华人民共和国反不正当竞争法》《中华人民共和国招标投标法》及其实施条例等法律法规及政策的规定，双方同意签订本合同。</w:t>
      </w:r>
    </w:p>
    <w:p w14:paraId="5FA0E39D">
      <w:pPr>
        <w:spacing w:line="560" w:lineRule="exact"/>
        <w:ind w:firstLine="422" w:firstLineChars="200"/>
        <w:rPr>
          <w:b/>
          <w:color w:val="auto"/>
          <w:szCs w:val="21"/>
          <w:highlight w:val="none"/>
        </w:rPr>
      </w:pPr>
      <w:r>
        <w:rPr>
          <w:rFonts w:hint="eastAsia"/>
          <w:b/>
          <w:color w:val="auto"/>
          <w:szCs w:val="21"/>
          <w:highlight w:val="none"/>
        </w:rPr>
        <w:t>第一条本合同适用于南沙区政府财政资金和国有资金占控股或主导地位的公开招标类建设工程项目，涵盖工程施工类及服务类合同。辖区范围内其他工程项目可参照执行。</w:t>
      </w:r>
    </w:p>
    <w:p w14:paraId="025972E8">
      <w:pPr>
        <w:spacing w:line="560" w:lineRule="exact"/>
        <w:ind w:firstLine="422" w:firstLineChars="200"/>
        <w:rPr>
          <w:b/>
          <w:color w:val="auto"/>
          <w:szCs w:val="21"/>
          <w:highlight w:val="none"/>
        </w:rPr>
      </w:pPr>
      <w:r>
        <w:rPr>
          <w:rFonts w:hint="eastAsia"/>
          <w:b/>
          <w:color w:val="auto"/>
          <w:szCs w:val="21"/>
          <w:highlight w:val="none"/>
        </w:rPr>
        <w:t>第二条发包人及其工作人员不得利用项目或职权为本人及亲属谋取不正当利益，包括下列行为：</w:t>
      </w:r>
    </w:p>
    <w:p w14:paraId="54A2313A">
      <w:pPr>
        <w:spacing w:line="560" w:lineRule="exact"/>
        <w:ind w:firstLine="420" w:firstLineChars="200"/>
        <w:rPr>
          <w:color w:val="auto"/>
          <w:szCs w:val="21"/>
          <w:highlight w:val="none"/>
        </w:rPr>
      </w:pPr>
      <w:r>
        <w:rPr>
          <w:color w:val="auto"/>
          <w:szCs w:val="21"/>
          <w:highlight w:val="none"/>
        </w:rPr>
        <w:t xml:space="preserve">2.1  </w:t>
      </w:r>
      <w:r>
        <w:rPr>
          <w:rFonts w:hint="eastAsia"/>
          <w:color w:val="auto"/>
          <w:szCs w:val="21"/>
          <w:highlight w:val="none"/>
        </w:rPr>
        <w:t>索取、接受或者以借为名占用承包人的财物，包括但不限于任何形式的礼品礼金、好处费、回扣、各种有价证券、购物卡及其他支付凭证、房产、车辆、贵重物品等；</w:t>
      </w:r>
    </w:p>
    <w:p w14:paraId="373634EC">
      <w:pPr>
        <w:spacing w:line="560" w:lineRule="exact"/>
        <w:ind w:firstLine="420" w:firstLineChars="200"/>
        <w:rPr>
          <w:color w:val="auto"/>
          <w:szCs w:val="21"/>
          <w:highlight w:val="none"/>
        </w:rPr>
      </w:pPr>
      <w:r>
        <w:rPr>
          <w:color w:val="auto"/>
          <w:szCs w:val="21"/>
          <w:highlight w:val="none"/>
        </w:rPr>
        <w:t xml:space="preserve">2.2  </w:t>
      </w:r>
      <w:r>
        <w:rPr>
          <w:rFonts w:hint="eastAsia"/>
          <w:color w:val="auto"/>
          <w:szCs w:val="21"/>
          <w:highlight w:val="none"/>
        </w:rPr>
        <w:t>接受承包人宴请（工作餐除外）及旅游、健身、娱乐等活动安排；</w:t>
      </w:r>
    </w:p>
    <w:p w14:paraId="1E16895E">
      <w:pPr>
        <w:spacing w:line="560" w:lineRule="exact"/>
        <w:ind w:firstLine="420" w:firstLineChars="200"/>
        <w:rPr>
          <w:color w:val="auto"/>
          <w:szCs w:val="21"/>
          <w:highlight w:val="none"/>
        </w:rPr>
      </w:pPr>
      <w:r>
        <w:rPr>
          <w:color w:val="auto"/>
          <w:szCs w:val="21"/>
          <w:highlight w:val="none"/>
        </w:rPr>
        <w:t xml:space="preserve">2.3  </w:t>
      </w:r>
      <w:r>
        <w:rPr>
          <w:rFonts w:hint="eastAsia"/>
          <w:color w:val="auto"/>
          <w:szCs w:val="21"/>
          <w:highlight w:val="none"/>
        </w:rPr>
        <w:t>向承包人报销任何应由自身承担、支付的费用；</w:t>
      </w:r>
    </w:p>
    <w:p w14:paraId="6552EB74">
      <w:pPr>
        <w:spacing w:line="560" w:lineRule="exact"/>
        <w:ind w:firstLine="420" w:firstLineChars="200"/>
        <w:rPr>
          <w:color w:val="auto"/>
          <w:szCs w:val="21"/>
          <w:highlight w:val="none"/>
        </w:rPr>
      </w:pPr>
      <w:r>
        <w:rPr>
          <w:color w:val="auto"/>
          <w:szCs w:val="21"/>
          <w:highlight w:val="none"/>
        </w:rPr>
        <w:t xml:space="preserve">2.4  </w:t>
      </w:r>
      <w:r>
        <w:rPr>
          <w:rFonts w:hint="eastAsia"/>
          <w:color w:val="auto"/>
          <w:szCs w:val="21"/>
          <w:highlight w:val="none"/>
        </w:rPr>
        <w:t>向承包人推荐分包人，推销材料和设备，要求承包人购买指定的材料和设备；</w:t>
      </w:r>
    </w:p>
    <w:p w14:paraId="53473865">
      <w:pPr>
        <w:spacing w:line="560" w:lineRule="exact"/>
        <w:ind w:firstLine="420" w:firstLineChars="200"/>
        <w:rPr>
          <w:color w:val="auto"/>
          <w:szCs w:val="21"/>
          <w:highlight w:val="none"/>
        </w:rPr>
      </w:pPr>
      <w:r>
        <w:rPr>
          <w:color w:val="auto"/>
          <w:szCs w:val="21"/>
          <w:highlight w:val="none"/>
        </w:rPr>
        <w:t xml:space="preserve">2.5  </w:t>
      </w:r>
      <w:r>
        <w:rPr>
          <w:rFonts w:hint="eastAsia"/>
          <w:color w:val="auto"/>
          <w:szCs w:val="21"/>
          <w:highlight w:val="none"/>
        </w:rPr>
        <w:t>私自为建设工程安排施工队伍，从事与建设工程有关的各种有偿中介服务；</w:t>
      </w:r>
    </w:p>
    <w:p w14:paraId="07FA4836">
      <w:pPr>
        <w:spacing w:line="560" w:lineRule="exact"/>
        <w:ind w:firstLine="420" w:firstLineChars="200"/>
        <w:rPr>
          <w:color w:val="auto"/>
          <w:szCs w:val="21"/>
          <w:highlight w:val="none"/>
        </w:rPr>
      </w:pPr>
      <w:r>
        <w:rPr>
          <w:color w:val="auto"/>
          <w:szCs w:val="21"/>
          <w:highlight w:val="none"/>
        </w:rPr>
        <w:t xml:space="preserve">2.6  </w:t>
      </w:r>
      <w:r>
        <w:rPr>
          <w:rFonts w:hint="eastAsia"/>
          <w:color w:val="auto"/>
          <w:szCs w:val="21"/>
          <w:highlight w:val="none"/>
        </w:rPr>
        <w:t>要求或者暗示承包人为本人或亲属的工作安排、职务晋升、经商办企业、出国出境、旅游、留学、探亲、定居等提供资助或便利；</w:t>
      </w:r>
    </w:p>
    <w:p w14:paraId="184F7318">
      <w:pPr>
        <w:spacing w:line="560" w:lineRule="exact"/>
        <w:ind w:firstLine="420" w:firstLineChars="200"/>
        <w:rPr>
          <w:color w:val="auto"/>
          <w:szCs w:val="21"/>
          <w:highlight w:val="none"/>
        </w:rPr>
      </w:pPr>
      <w:r>
        <w:rPr>
          <w:color w:val="auto"/>
          <w:szCs w:val="21"/>
          <w:highlight w:val="none"/>
        </w:rPr>
        <w:t xml:space="preserve">2.7  </w:t>
      </w:r>
      <w:r>
        <w:rPr>
          <w:rFonts w:hint="eastAsia"/>
          <w:color w:val="auto"/>
          <w:szCs w:val="21"/>
          <w:highlight w:val="none"/>
        </w:rPr>
        <w:t>默许、纵容、授意亲属收受承包人财物，或从事与建设工程有关的材料和设备供应、工程分包、劳务等经济活动；</w:t>
      </w:r>
    </w:p>
    <w:p w14:paraId="0AE02865">
      <w:pPr>
        <w:spacing w:line="560" w:lineRule="exact"/>
        <w:ind w:firstLine="420" w:firstLineChars="200"/>
        <w:rPr>
          <w:color w:val="auto"/>
          <w:szCs w:val="21"/>
          <w:highlight w:val="none"/>
        </w:rPr>
      </w:pPr>
      <w:r>
        <w:rPr>
          <w:color w:val="auto"/>
          <w:szCs w:val="21"/>
          <w:highlight w:val="none"/>
        </w:rPr>
        <w:t xml:space="preserve">2.8  </w:t>
      </w:r>
      <w:r>
        <w:rPr>
          <w:rFonts w:hint="eastAsia"/>
          <w:color w:val="auto"/>
          <w:szCs w:val="21"/>
          <w:highlight w:val="none"/>
        </w:rPr>
        <w:t>其他利用项目或职权谋取不正当利益的行为。</w:t>
      </w:r>
    </w:p>
    <w:p w14:paraId="11063D8D">
      <w:pPr>
        <w:spacing w:line="560" w:lineRule="exact"/>
        <w:ind w:firstLine="422" w:firstLineChars="200"/>
        <w:rPr>
          <w:b/>
          <w:color w:val="auto"/>
          <w:szCs w:val="21"/>
          <w:highlight w:val="none"/>
        </w:rPr>
      </w:pPr>
      <w:r>
        <w:rPr>
          <w:rFonts w:hint="eastAsia"/>
          <w:b/>
          <w:color w:val="auto"/>
          <w:szCs w:val="21"/>
          <w:highlight w:val="none"/>
        </w:rPr>
        <w:t>第三条承包人及其工作人员不得通过商业贿赂等不正当手段谋取利益，包括下列行为：</w:t>
      </w:r>
    </w:p>
    <w:p w14:paraId="2201CC07">
      <w:pPr>
        <w:spacing w:line="560" w:lineRule="exact"/>
        <w:ind w:firstLine="420" w:firstLineChars="200"/>
        <w:rPr>
          <w:color w:val="auto"/>
          <w:szCs w:val="21"/>
          <w:highlight w:val="none"/>
        </w:rPr>
      </w:pPr>
      <w:r>
        <w:rPr>
          <w:color w:val="auto"/>
          <w:szCs w:val="21"/>
          <w:highlight w:val="none"/>
        </w:rPr>
        <w:t xml:space="preserve">3.1  </w:t>
      </w:r>
      <w:r>
        <w:rPr>
          <w:rFonts w:hint="eastAsia"/>
          <w:color w:val="auto"/>
          <w:szCs w:val="21"/>
          <w:highlight w:val="none"/>
        </w:rPr>
        <w:t>同意或主动向发包人及其工作人员提供第二条约定的禁止性行为；</w:t>
      </w:r>
    </w:p>
    <w:p w14:paraId="78FD3C4F">
      <w:pPr>
        <w:spacing w:line="560" w:lineRule="exact"/>
        <w:ind w:firstLine="420" w:firstLineChars="200"/>
        <w:rPr>
          <w:color w:val="auto"/>
          <w:szCs w:val="21"/>
          <w:highlight w:val="none"/>
        </w:rPr>
      </w:pPr>
      <w:r>
        <w:rPr>
          <w:color w:val="auto"/>
          <w:szCs w:val="21"/>
          <w:highlight w:val="none"/>
        </w:rPr>
        <w:t xml:space="preserve">3.2  </w:t>
      </w:r>
      <w:r>
        <w:rPr>
          <w:rFonts w:hint="eastAsia"/>
          <w:color w:val="auto"/>
          <w:szCs w:val="21"/>
          <w:highlight w:val="none"/>
        </w:rPr>
        <w:t>向与建设工程相关的代建、施工、监理（项目管理）、勘察、设计、咨询等有关单位及其工作人员进行商业贿赂，包括但不限于任何形式的礼品礼金、有价证券、购物卡、回扣、佣金、咨询费、劳务费、赞助费、宣传费，以及支付旅游费用、报销各种消费凭证等。</w:t>
      </w:r>
    </w:p>
    <w:p w14:paraId="433D31F8">
      <w:pPr>
        <w:spacing w:line="560" w:lineRule="exact"/>
        <w:ind w:firstLine="420" w:firstLineChars="200"/>
        <w:rPr>
          <w:color w:val="auto"/>
          <w:szCs w:val="21"/>
          <w:highlight w:val="none"/>
        </w:rPr>
      </w:pPr>
      <w:r>
        <w:rPr>
          <w:color w:val="auto"/>
          <w:szCs w:val="21"/>
          <w:highlight w:val="none"/>
        </w:rPr>
        <w:t>3.3</w:t>
      </w:r>
      <w:r>
        <w:rPr>
          <w:rFonts w:hint="eastAsia"/>
          <w:color w:val="auto"/>
          <w:szCs w:val="21"/>
          <w:highlight w:val="none"/>
        </w:rPr>
        <w:t xml:space="preserve">  接受与建设工程相关的代建、施工、监理（项目管理）、勘察、设计、咨询等有关单位及其工作人员的商业贿赂。</w:t>
      </w:r>
    </w:p>
    <w:p w14:paraId="250C2CC4">
      <w:pPr>
        <w:spacing w:line="560" w:lineRule="exact"/>
        <w:ind w:firstLine="420" w:firstLineChars="200"/>
        <w:rPr>
          <w:color w:val="auto"/>
          <w:szCs w:val="21"/>
          <w:highlight w:val="none"/>
        </w:rPr>
      </w:pPr>
      <w:r>
        <w:rPr>
          <w:color w:val="auto"/>
          <w:szCs w:val="21"/>
          <w:highlight w:val="none"/>
        </w:rPr>
        <w:t>3.4</w:t>
      </w:r>
      <w:r>
        <w:rPr>
          <w:rFonts w:hint="eastAsia"/>
          <w:color w:val="auto"/>
          <w:szCs w:val="21"/>
          <w:highlight w:val="none"/>
        </w:rPr>
        <w:t xml:space="preserve">  接受分包（工程分包、劳务分包等）单位、材料设备供应单位等单位及其工作人员的商业贿赂。</w:t>
      </w:r>
    </w:p>
    <w:p w14:paraId="64024041">
      <w:pPr>
        <w:spacing w:line="560" w:lineRule="exact"/>
        <w:ind w:firstLine="420" w:firstLineChars="200"/>
        <w:rPr>
          <w:color w:val="auto"/>
          <w:szCs w:val="21"/>
          <w:highlight w:val="none"/>
        </w:rPr>
      </w:pPr>
      <w:r>
        <w:rPr>
          <w:color w:val="auto"/>
          <w:szCs w:val="21"/>
          <w:highlight w:val="none"/>
        </w:rPr>
        <w:t xml:space="preserve">3.5  </w:t>
      </w:r>
      <w:r>
        <w:rPr>
          <w:rFonts w:hint="eastAsia"/>
          <w:color w:val="auto"/>
          <w:szCs w:val="21"/>
          <w:highlight w:val="none"/>
        </w:rPr>
        <w:t>其他通过不正当手段谋取利益的行为。</w:t>
      </w:r>
    </w:p>
    <w:p w14:paraId="47B54297">
      <w:pPr>
        <w:spacing w:line="560" w:lineRule="exact"/>
        <w:ind w:firstLine="422" w:firstLineChars="200"/>
        <w:rPr>
          <w:b/>
          <w:color w:val="auto"/>
          <w:szCs w:val="21"/>
          <w:highlight w:val="none"/>
        </w:rPr>
      </w:pPr>
      <w:r>
        <w:rPr>
          <w:rFonts w:hint="eastAsia"/>
          <w:b/>
          <w:color w:val="auto"/>
          <w:szCs w:val="21"/>
          <w:highlight w:val="none"/>
        </w:rPr>
        <w:t>第四条  发包人、承包人及双方工作人员不得违规干预或插手建设工程招投标活动，禁止串通投标（围标）等不正当竞争行为。</w:t>
      </w:r>
    </w:p>
    <w:p w14:paraId="3714AE53">
      <w:pPr>
        <w:spacing w:line="560" w:lineRule="exact"/>
        <w:ind w:firstLine="422" w:firstLineChars="200"/>
        <w:rPr>
          <w:b/>
          <w:color w:val="auto"/>
          <w:szCs w:val="21"/>
          <w:highlight w:val="none"/>
        </w:rPr>
      </w:pPr>
      <w:r>
        <w:rPr>
          <w:rFonts w:hint="eastAsia"/>
          <w:b/>
          <w:color w:val="auto"/>
          <w:szCs w:val="21"/>
          <w:highlight w:val="none"/>
        </w:rPr>
        <w:t>第五条  廉洁风险防控机制</w:t>
      </w:r>
    </w:p>
    <w:p w14:paraId="0A2401FB">
      <w:pPr>
        <w:spacing w:line="560" w:lineRule="exact"/>
        <w:ind w:firstLine="420" w:firstLineChars="200"/>
        <w:rPr>
          <w:color w:val="auto"/>
          <w:szCs w:val="21"/>
          <w:highlight w:val="none"/>
        </w:rPr>
      </w:pPr>
      <w:r>
        <w:rPr>
          <w:rFonts w:hint="eastAsia"/>
          <w:color w:val="auto"/>
          <w:szCs w:val="21"/>
          <w:highlight w:val="none"/>
        </w:rPr>
        <w:t>发包人、承包人双方均有义务建立健全廉洁风险防控机制，排查、梳理建设工程业务流程及关键工作岗位涉及的廉洁风险点，有针对性地逐项制定防控措施，加强对单位工作人员的廉洁教育，预警在先、防范在前，风险定到岗、制度建到位、责任落到人。发现对方在业务活动中有违反廉洁规定的行为，应及时给予提醒和纠正。</w:t>
      </w:r>
    </w:p>
    <w:p w14:paraId="5A933C1B">
      <w:pPr>
        <w:spacing w:line="560" w:lineRule="exact"/>
        <w:ind w:firstLine="422" w:firstLineChars="200"/>
        <w:rPr>
          <w:b/>
          <w:color w:val="auto"/>
          <w:szCs w:val="21"/>
          <w:highlight w:val="none"/>
        </w:rPr>
      </w:pPr>
      <w:r>
        <w:rPr>
          <w:rFonts w:hint="eastAsia"/>
          <w:b/>
          <w:color w:val="auto"/>
          <w:szCs w:val="21"/>
          <w:highlight w:val="none"/>
        </w:rPr>
        <w:t>第六条  廉洁违约责任</w:t>
      </w:r>
    </w:p>
    <w:p w14:paraId="0A0929E5">
      <w:pPr>
        <w:spacing w:line="560" w:lineRule="exact"/>
        <w:ind w:firstLine="420" w:firstLineChars="200"/>
        <w:rPr>
          <w:color w:val="auto"/>
          <w:szCs w:val="21"/>
          <w:highlight w:val="none"/>
        </w:rPr>
      </w:pPr>
      <w:r>
        <w:rPr>
          <w:color w:val="auto"/>
          <w:szCs w:val="21"/>
          <w:highlight w:val="none"/>
        </w:rPr>
        <w:t xml:space="preserve">6.1  </w:t>
      </w:r>
      <w:r>
        <w:rPr>
          <w:rFonts w:hint="eastAsia"/>
          <w:color w:val="auto"/>
          <w:szCs w:val="21"/>
          <w:highlight w:val="none"/>
        </w:rPr>
        <w:t>发包人及其工作人员违反本合同第二条和第四条规定，相关责任人应受到相应的党纪政务（纪）处分，涉嫌犯罪的，移送司法机关依法处理；给承包人造成经济损失的，应承担相应的赔偿责任。</w:t>
      </w:r>
    </w:p>
    <w:p w14:paraId="20CDBE01">
      <w:pPr>
        <w:spacing w:line="560" w:lineRule="exact"/>
        <w:ind w:firstLine="420" w:firstLineChars="200"/>
        <w:rPr>
          <w:color w:val="auto"/>
          <w:szCs w:val="21"/>
          <w:highlight w:val="none"/>
        </w:rPr>
      </w:pPr>
      <w:r>
        <w:rPr>
          <w:color w:val="auto"/>
          <w:szCs w:val="21"/>
          <w:highlight w:val="none"/>
        </w:rPr>
        <w:t xml:space="preserve">6.2  </w:t>
      </w:r>
      <w:r>
        <w:rPr>
          <w:rFonts w:hint="eastAsia"/>
          <w:color w:val="auto"/>
          <w:szCs w:val="21"/>
          <w:highlight w:val="none"/>
        </w:rPr>
        <w:t>承包人</w:t>
      </w:r>
      <w:r>
        <w:rPr>
          <w:rFonts w:hint="eastAsia"/>
          <w:bCs/>
          <w:color w:val="auto"/>
          <w:szCs w:val="21"/>
          <w:highlight w:val="none"/>
        </w:rPr>
        <w:t>及其工作人员</w:t>
      </w:r>
      <w:r>
        <w:rPr>
          <w:rFonts w:hint="eastAsia"/>
          <w:color w:val="auto"/>
          <w:szCs w:val="21"/>
          <w:highlight w:val="none"/>
        </w:rPr>
        <w:t>违反本合同第三条和第四条规定，经有关主管部门查证属实或者经纪检监察机关认定违纪、经司法机关依法确定构成违法犯罪的，承包人应按次向发包人支付廉洁违约金（施工类建设项目合同价款2%且不超过100万元人民币，服务类建设项目合同价款5%且不超过50万元人民币）；给发包人造成经济损失的，还应承担相应的赔偿责任。同时，发包人有权：（1）如承包人的行为严重影响合同的履行或者严重干扰市场公平竞争营商环境，可单方解除主合同；（2）将承包人的履约评价评为不合格，并拒绝其参与发包人负责实施项目的投标或摇珠；（3）将有关情况报相关主管部门记录，作为企业诚信评分考核，建议给予通报并向社会进行公示。</w:t>
      </w:r>
    </w:p>
    <w:p w14:paraId="48AD0734">
      <w:pPr>
        <w:spacing w:line="560" w:lineRule="exact"/>
        <w:ind w:firstLine="422" w:firstLineChars="200"/>
        <w:rPr>
          <w:b/>
          <w:color w:val="auto"/>
          <w:szCs w:val="21"/>
          <w:highlight w:val="none"/>
        </w:rPr>
      </w:pPr>
      <w:r>
        <w:rPr>
          <w:rFonts w:hint="eastAsia"/>
          <w:b/>
          <w:color w:val="auto"/>
          <w:szCs w:val="21"/>
          <w:highlight w:val="none"/>
        </w:rPr>
        <w:t>第七条  监督举报</w:t>
      </w:r>
    </w:p>
    <w:p w14:paraId="63C1CFFD">
      <w:pPr>
        <w:spacing w:line="560" w:lineRule="exact"/>
        <w:ind w:firstLine="420" w:firstLineChars="200"/>
        <w:rPr>
          <w:color w:val="auto"/>
          <w:szCs w:val="21"/>
          <w:highlight w:val="none"/>
        </w:rPr>
      </w:pPr>
      <w:r>
        <w:rPr>
          <w:rFonts w:hint="eastAsia"/>
          <w:color w:val="auto"/>
          <w:szCs w:val="21"/>
          <w:highlight w:val="none"/>
        </w:rPr>
        <w:t>发包人、承包人均有监督举报的权利和义务，发现对方有违反本合同的行为，可向南沙区纪委监委举报。南沙区纪委监委将按照相关规定予以受理，鼓励实名举报，严查诬告陷害，对实名举报有功人员给予一定的现金奖励，对诬告陷害的依规依纪依法给予处理。</w:t>
      </w:r>
    </w:p>
    <w:p w14:paraId="2646B41E">
      <w:pPr>
        <w:spacing w:line="560" w:lineRule="exact"/>
        <w:ind w:firstLine="422" w:firstLineChars="200"/>
        <w:rPr>
          <w:color w:val="auto"/>
          <w:szCs w:val="21"/>
          <w:highlight w:val="none"/>
        </w:rPr>
      </w:pPr>
      <w:r>
        <w:rPr>
          <w:rFonts w:hint="eastAsia"/>
          <w:b/>
          <w:bCs/>
          <w:color w:val="auto"/>
          <w:szCs w:val="21"/>
          <w:highlight w:val="none"/>
        </w:rPr>
        <w:t>南沙区纪委监委举报方式</w:t>
      </w:r>
      <w:r>
        <w:rPr>
          <w:rFonts w:hint="eastAsia"/>
          <w:color w:val="auto"/>
          <w:szCs w:val="21"/>
          <w:highlight w:val="none"/>
        </w:rPr>
        <w:t>：</w:t>
      </w:r>
    </w:p>
    <w:p w14:paraId="3690751F">
      <w:pPr>
        <w:spacing w:line="560" w:lineRule="exact"/>
        <w:ind w:firstLine="420" w:firstLineChars="200"/>
        <w:rPr>
          <w:color w:val="auto"/>
          <w:szCs w:val="21"/>
          <w:highlight w:val="none"/>
        </w:rPr>
      </w:pPr>
      <w:r>
        <w:rPr>
          <w:rFonts w:hint="eastAsia"/>
          <w:color w:val="auto"/>
          <w:szCs w:val="21"/>
          <w:highlight w:val="none"/>
        </w:rPr>
        <w:t>来信举报：广州市南沙区凤凰大道一号南沙区纪委监委信访室，邮编511455；</w:t>
      </w:r>
    </w:p>
    <w:p w14:paraId="0C75B282">
      <w:pPr>
        <w:spacing w:line="560" w:lineRule="exact"/>
        <w:ind w:firstLine="420" w:firstLineChars="200"/>
        <w:rPr>
          <w:color w:val="auto"/>
          <w:szCs w:val="21"/>
          <w:highlight w:val="none"/>
        </w:rPr>
      </w:pPr>
      <w:r>
        <w:rPr>
          <w:rFonts w:hint="eastAsia"/>
          <w:color w:val="auto"/>
          <w:szCs w:val="21"/>
          <w:highlight w:val="none"/>
        </w:rPr>
        <w:t>电话举报：020-84986949，</w:t>
      </w:r>
      <w:r>
        <w:rPr>
          <w:color w:val="auto"/>
          <w:szCs w:val="21"/>
          <w:highlight w:val="none"/>
        </w:rPr>
        <w:t>020-12388</w:t>
      </w:r>
      <w:r>
        <w:rPr>
          <w:rFonts w:hint="eastAsia"/>
          <w:color w:val="auto"/>
          <w:szCs w:val="21"/>
          <w:highlight w:val="none"/>
        </w:rPr>
        <w:t>；</w:t>
      </w:r>
    </w:p>
    <w:p w14:paraId="0A5F6764">
      <w:pPr>
        <w:spacing w:line="560" w:lineRule="exact"/>
        <w:ind w:firstLine="420" w:firstLineChars="200"/>
        <w:rPr>
          <w:color w:val="auto"/>
          <w:szCs w:val="21"/>
          <w:highlight w:val="none"/>
        </w:rPr>
      </w:pPr>
      <w:r>
        <w:rPr>
          <w:rFonts w:hint="eastAsia"/>
          <w:color w:val="auto"/>
          <w:szCs w:val="21"/>
          <w:highlight w:val="none"/>
        </w:rPr>
        <w:t>网络举报：</w:t>
      </w:r>
      <w:r>
        <w:rPr>
          <w:color w:val="auto"/>
          <w:szCs w:val="21"/>
          <w:highlight w:val="none"/>
        </w:rPr>
        <w:fldChar w:fldCharType="begin"/>
      </w:r>
      <w:r>
        <w:rPr>
          <w:color w:val="auto"/>
          <w:szCs w:val="21"/>
          <w:highlight w:val="none"/>
        </w:rPr>
        <w:instrText xml:space="preserve">HYPERLINK "http://guangdong.12388.gov.cn；"</w:instrText>
      </w:r>
      <w:r>
        <w:rPr>
          <w:color w:val="auto"/>
          <w:szCs w:val="21"/>
          <w:highlight w:val="none"/>
        </w:rPr>
        <w:fldChar w:fldCharType="separate"/>
      </w:r>
      <w:r>
        <w:rPr>
          <w:rFonts w:hint="eastAsia"/>
          <w:color w:val="auto"/>
          <w:szCs w:val="21"/>
          <w:highlight w:val="none"/>
        </w:rPr>
        <w:t>http://guangdong.12388.gov.cn；</w:t>
      </w:r>
      <w:r>
        <w:rPr>
          <w:color w:val="auto"/>
          <w:szCs w:val="21"/>
          <w:highlight w:val="none"/>
        </w:rPr>
        <w:fldChar w:fldCharType="end"/>
      </w:r>
    </w:p>
    <w:p w14:paraId="72D16218">
      <w:pPr>
        <w:spacing w:line="560" w:lineRule="exact"/>
        <w:ind w:firstLine="420" w:firstLineChars="200"/>
        <w:rPr>
          <w:color w:val="auto"/>
          <w:szCs w:val="21"/>
          <w:highlight w:val="none"/>
        </w:rPr>
      </w:pPr>
      <w:r>
        <w:rPr>
          <w:color w:val="auto"/>
          <w:szCs w:val="21"/>
          <w:highlight w:val="none"/>
        </w:rPr>
        <w:drawing>
          <wp:anchor distT="0" distB="0" distL="114300" distR="114300" simplePos="0" relativeHeight="251659264" behindDoc="0" locked="0" layoutInCell="1" allowOverlap="1">
            <wp:simplePos x="0" y="0"/>
            <wp:positionH relativeFrom="column">
              <wp:posOffset>1579245</wp:posOffset>
            </wp:positionH>
            <wp:positionV relativeFrom="paragraph">
              <wp:posOffset>416560</wp:posOffset>
            </wp:positionV>
            <wp:extent cx="1991360" cy="2440940"/>
            <wp:effectExtent l="0" t="0" r="8890" b="6985"/>
            <wp:wrapTopAndBottom/>
            <wp:docPr id="4" name="图片 41" descr="1603424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1" descr="1603424669(1)"/>
                    <pic:cNvPicPr>
                      <a:picLocks noChangeAspect="1"/>
                    </pic:cNvPicPr>
                  </pic:nvPicPr>
                  <pic:blipFill>
                    <a:blip r:embed="rId6"/>
                    <a:stretch>
                      <a:fillRect/>
                    </a:stretch>
                  </pic:blipFill>
                  <pic:spPr>
                    <a:xfrm>
                      <a:off x="0" y="0"/>
                      <a:ext cx="1991360" cy="2440940"/>
                    </a:xfrm>
                    <a:prstGeom prst="rect">
                      <a:avLst/>
                    </a:prstGeom>
                    <a:noFill/>
                    <a:ln>
                      <a:noFill/>
                    </a:ln>
                  </pic:spPr>
                </pic:pic>
              </a:graphicData>
            </a:graphic>
          </wp:anchor>
        </w:drawing>
      </w:r>
      <w:r>
        <w:rPr>
          <w:rFonts w:hint="eastAsia"/>
          <w:color w:val="auto"/>
          <w:szCs w:val="21"/>
          <w:highlight w:val="none"/>
        </w:rPr>
        <w:t>二维码举报：</w:t>
      </w:r>
    </w:p>
    <w:p w14:paraId="02D826E5">
      <w:pPr>
        <w:spacing w:line="560" w:lineRule="exact"/>
        <w:ind w:firstLine="422" w:firstLineChars="200"/>
        <w:rPr>
          <w:b/>
          <w:color w:val="auto"/>
          <w:szCs w:val="21"/>
          <w:highlight w:val="none"/>
        </w:rPr>
      </w:pPr>
      <w:r>
        <w:rPr>
          <w:rFonts w:hint="eastAsia"/>
          <w:b/>
          <w:color w:val="auto"/>
          <w:szCs w:val="21"/>
          <w:highlight w:val="none"/>
        </w:rPr>
        <w:t>第八条其他约定</w:t>
      </w:r>
    </w:p>
    <w:p w14:paraId="1F131ED7">
      <w:pPr>
        <w:spacing w:line="560" w:lineRule="exact"/>
        <w:ind w:firstLine="420" w:firstLineChars="200"/>
        <w:rPr>
          <w:color w:val="auto"/>
          <w:szCs w:val="21"/>
          <w:highlight w:val="none"/>
        </w:rPr>
      </w:pPr>
      <w:r>
        <w:rPr>
          <w:rFonts w:hint="eastAsia"/>
          <w:color w:val="auto"/>
          <w:szCs w:val="21"/>
          <w:highlight w:val="none"/>
        </w:rPr>
        <w:t>本合同作为双方所签署主合同的附件，与主合同具有同等法律效力。对项目涉及的廉洁问题，不受项目验收、工作人员离职或退休等原因影响，发包人、承包人仍应按合同约定承担相应的违约责任。</w:t>
      </w:r>
    </w:p>
    <w:p w14:paraId="71FCFD12">
      <w:pPr>
        <w:spacing w:line="560" w:lineRule="exact"/>
        <w:ind w:firstLine="420" w:firstLineChars="200"/>
        <w:rPr>
          <w:color w:val="auto"/>
          <w:szCs w:val="21"/>
          <w:highlight w:val="none"/>
        </w:rPr>
      </w:pPr>
      <w:r>
        <w:rPr>
          <w:rFonts w:hint="eastAsia"/>
          <w:color w:val="auto"/>
          <w:szCs w:val="21"/>
          <w:highlight w:val="none"/>
        </w:rPr>
        <w:t>本合同一式____份，双方各执____份，经双方签署后生效。</w:t>
      </w:r>
    </w:p>
    <w:p w14:paraId="3D5769DB">
      <w:pPr>
        <w:spacing w:line="560" w:lineRule="exact"/>
        <w:rPr>
          <w:color w:val="auto"/>
          <w:szCs w:val="21"/>
          <w:highlight w:val="none"/>
        </w:rPr>
      </w:pPr>
    </w:p>
    <w:tbl>
      <w:tblPr>
        <w:tblStyle w:val="12"/>
        <w:tblW w:w="0" w:type="auto"/>
        <w:tblInd w:w="0" w:type="dxa"/>
        <w:tblLayout w:type="fixed"/>
        <w:tblCellMar>
          <w:top w:w="0" w:type="dxa"/>
          <w:left w:w="108" w:type="dxa"/>
          <w:bottom w:w="0" w:type="dxa"/>
          <w:right w:w="108" w:type="dxa"/>
        </w:tblCellMar>
      </w:tblPr>
      <w:tblGrid>
        <w:gridCol w:w="4530"/>
        <w:gridCol w:w="4530"/>
      </w:tblGrid>
      <w:tr w14:paraId="5F3FA923">
        <w:tc>
          <w:tcPr>
            <w:tcW w:w="4530" w:type="dxa"/>
            <w:noWrap w:val="0"/>
            <w:vAlign w:val="top"/>
          </w:tcPr>
          <w:p w14:paraId="26BF7DD0">
            <w:pPr>
              <w:spacing w:line="560" w:lineRule="exact"/>
              <w:rPr>
                <w:color w:val="auto"/>
                <w:szCs w:val="21"/>
                <w:highlight w:val="none"/>
              </w:rPr>
            </w:pPr>
            <w:r>
              <w:rPr>
                <w:rFonts w:hint="eastAsia"/>
                <w:color w:val="auto"/>
                <w:szCs w:val="21"/>
                <w:highlight w:val="none"/>
              </w:rPr>
              <w:t>发包人（公章）：</w:t>
            </w:r>
          </w:p>
          <w:p w14:paraId="263272BF">
            <w:pPr>
              <w:spacing w:line="560" w:lineRule="exact"/>
              <w:rPr>
                <w:color w:val="auto"/>
                <w:szCs w:val="21"/>
                <w:highlight w:val="none"/>
              </w:rPr>
            </w:pPr>
          </w:p>
          <w:p w14:paraId="147B5051">
            <w:pPr>
              <w:spacing w:line="560" w:lineRule="exact"/>
              <w:rPr>
                <w:color w:val="auto"/>
                <w:szCs w:val="21"/>
                <w:highlight w:val="none"/>
              </w:rPr>
            </w:pPr>
            <w:r>
              <w:rPr>
                <w:rFonts w:hint="eastAsia"/>
                <w:color w:val="auto"/>
                <w:szCs w:val="21"/>
                <w:highlight w:val="none"/>
              </w:rPr>
              <w:t>法定代表人/授权代理人</w:t>
            </w:r>
          </w:p>
          <w:p w14:paraId="5158472C">
            <w:pPr>
              <w:spacing w:line="560" w:lineRule="exact"/>
              <w:rPr>
                <w:color w:val="auto"/>
                <w:szCs w:val="21"/>
                <w:highlight w:val="none"/>
              </w:rPr>
            </w:pPr>
            <w:r>
              <w:rPr>
                <w:rFonts w:hint="eastAsia"/>
                <w:color w:val="auto"/>
                <w:szCs w:val="21"/>
                <w:highlight w:val="none"/>
              </w:rPr>
              <w:t>（签字）：</w:t>
            </w:r>
          </w:p>
          <w:p w14:paraId="0B282C3D">
            <w:pPr>
              <w:spacing w:line="560" w:lineRule="exact"/>
              <w:rPr>
                <w:color w:val="auto"/>
                <w:szCs w:val="21"/>
                <w:highlight w:val="none"/>
              </w:rPr>
            </w:pPr>
          </w:p>
          <w:p w14:paraId="5C8A9C24">
            <w:pPr>
              <w:spacing w:line="560" w:lineRule="exact"/>
              <w:rPr>
                <w:color w:val="auto"/>
                <w:szCs w:val="21"/>
                <w:highlight w:val="none"/>
              </w:rPr>
            </w:pPr>
            <w:r>
              <w:rPr>
                <w:rFonts w:hint="eastAsia"/>
                <w:color w:val="auto"/>
                <w:szCs w:val="21"/>
                <w:highlight w:val="none"/>
              </w:rPr>
              <w:t>或党委书记/纪委书记</w:t>
            </w:r>
          </w:p>
          <w:p w14:paraId="3EA373EC">
            <w:pPr>
              <w:spacing w:line="560" w:lineRule="exact"/>
              <w:rPr>
                <w:color w:val="auto"/>
                <w:szCs w:val="21"/>
                <w:highlight w:val="none"/>
              </w:rPr>
            </w:pPr>
            <w:r>
              <w:rPr>
                <w:rFonts w:hint="eastAsia"/>
                <w:color w:val="auto"/>
                <w:szCs w:val="21"/>
                <w:highlight w:val="none"/>
              </w:rPr>
              <w:t>（签字）</w:t>
            </w:r>
          </w:p>
        </w:tc>
        <w:tc>
          <w:tcPr>
            <w:tcW w:w="4530" w:type="dxa"/>
            <w:noWrap w:val="0"/>
            <w:vAlign w:val="top"/>
          </w:tcPr>
          <w:p w14:paraId="4AE7EDF5">
            <w:pPr>
              <w:spacing w:line="560" w:lineRule="exact"/>
              <w:rPr>
                <w:color w:val="auto"/>
                <w:szCs w:val="21"/>
                <w:highlight w:val="none"/>
              </w:rPr>
            </w:pPr>
            <w:r>
              <w:rPr>
                <w:rFonts w:hint="eastAsia"/>
                <w:color w:val="auto"/>
                <w:szCs w:val="21"/>
                <w:highlight w:val="none"/>
              </w:rPr>
              <w:t>承包人（公章）：</w:t>
            </w:r>
          </w:p>
          <w:p w14:paraId="3D6FCFDA">
            <w:pPr>
              <w:spacing w:line="560" w:lineRule="exact"/>
              <w:rPr>
                <w:color w:val="auto"/>
                <w:szCs w:val="21"/>
                <w:highlight w:val="none"/>
              </w:rPr>
            </w:pPr>
          </w:p>
          <w:p w14:paraId="57A2B0BF">
            <w:pPr>
              <w:spacing w:line="560" w:lineRule="exact"/>
              <w:rPr>
                <w:color w:val="auto"/>
                <w:szCs w:val="21"/>
                <w:highlight w:val="none"/>
              </w:rPr>
            </w:pPr>
            <w:r>
              <w:rPr>
                <w:rFonts w:hint="eastAsia"/>
                <w:color w:val="auto"/>
                <w:szCs w:val="21"/>
                <w:highlight w:val="none"/>
              </w:rPr>
              <w:t>法定代表人/授权代理人</w:t>
            </w:r>
          </w:p>
          <w:p w14:paraId="653B5207">
            <w:pPr>
              <w:spacing w:line="560" w:lineRule="exact"/>
              <w:rPr>
                <w:color w:val="auto"/>
                <w:szCs w:val="21"/>
                <w:highlight w:val="none"/>
              </w:rPr>
            </w:pPr>
            <w:r>
              <w:rPr>
                <w:rFonts w:hint="eastAsia"/>
                <w:color w:val="auto"/>
                <w:szCs w:val="21"/>
                <w:highlight w:val="none"/>
              </w:rPr>
              <w:t>（签字）：</w:t>
            </w:r>
          </w:p>
          <w:p w14:paraId="4E8ED082">
            <w:pPr>
              <w:spacing w:line="560" w:lineRule="exact"/>
              <w:rPr>
                <w:color w:val="auto"/>
                <w:szCs w:val="21"/>
                <w:highlight w:val="none"/>
              </w:rPr>
            </w:pPr>
          </w:p>
          <w:p w14:paraId="6192FCAA">
            <w:pPr>
              <w:spacing w:line="560" w:lineRule="exact"/>
              <w:rPr>
                <w:color w:val="auto"/>
                <w:szCs w:val="21"/>
                <w:highlight w:val="none"/>
              </w:rPr>
            </w:pPr>
            <w:r>
              <w:rPr>
                <w:rFonts w:hint="eastAsia"/>
                <w:color w:val="auto"/>
                <w:szCs w:val="21"/>
                <w:highlight w:val="none"/>
              </w:rPr>
              <w:t>或党委书记/纪委书记</w:t>
            </w:r>
          </w:p>
          <w:p w14:paraId="4A5ACBF3">
            <w:pPr>
              <w:spacing w:line="560" w:lineRule="exact"/>
              <w:rPr>
                <w:color w:val="auto"/>
                <w:szCs w:val="21"/>
                <w:highlight w:val="none"/>
              </w:rPr>
            </w:pPr>
            <w:r>
              <w:rPr>
                <w:rFonts w:hint="eastAsia"/>
                <w:color w:val="auto"/>
                <w:szCs w:val="21"/>
                <w:highlight w:val="none"/>
              </w:rPr>
              <w:t>（签字）</w:t>
            </w:r>
          </w:p>
        </w:tc>
      </w:tr>
    </w:tbl>
    <w:p w14:paraId="51F9E6AF">
      <w:pPr>
        <w:rPr>
          <w:rFonts w:hint="eastAsia"/>
          <w:color w:val="auto"/>
          <w:highlight w:val="none"/>
          <w:lang w:val="zh-CN"/>
        </w:rPr>
      </w:pPr>
      <w:r>
        <w:rPr>
          <w:rFonts w:hint="eastAsia"/>
          <w:color w:val="auto"/>
          <w:highlight w:val="none"/>
          <w:lang w:val="zh-CN"/>
        </w:rPr>
        <w:br w:type="page"/>
      </w:r>
    </w:p>
    <w:p w14:paraId="6146310E">
      <w:pPr>
        <w:keepNext/>
        <w:keepLines/>
        <w:widowControl/>
        <w:spacing w:before="480" w:after="120" w:line="400" w:lineRule="exact"/>
        <w:outlineLvl w:val="2"/>
        <w:rPr>
          <w:rFonts w:hint="eastAsia" w:ascii="宋体" w:hAnsi="宋体"/>
          <w:b/>
          <w:bCs/>
          <w:color w:val="auto"/>
          <w:kern w:val="0"/>
          <w:sz w:val="28"/>
          <w:szCs w:val="28"/>
          <w:highlight w:val="none"/>
          <w:lang w:val="zh-CN" w:eastAsia="zh-CN"/>
        </w:rPr>
      </w:pPr>
      <w:r>
        <w:rPr>
          <w:rFonts w:hint="eastAsia" w:ascii="宋体" w:hAnsi="宋体"/>
          <w:b/>
          <w:bCs/>
          <w:color w:val="auto"/>
          <w:kern w:val="0"/>
          <w:sz w:val="28"/>
          <w:szCs w:val="28"/>
          <w:highlight w:val="none"/>
          <w:lang w:val="zh-CN" w:eastAsia="zh-CN"/>
        </w:rPr>
        <w:t>附件</w:t>
      </w:r>
      <w:r>
        <w:rPr>
          <w:rFonts w:hint="eastAsia" w:ascii="宋体" w:hAnsi="宋体" w:eastAsia="宋体"/>
          <w:b/>
          <w:bCs/>
          <w:color w:val="auto"/>
          <w:kern w:val="0"/>
          <w:sz w:val="28"/>
          <w:szCs w:val="28"/>
          <w:highlight w:val="none"/>
          <w:lang w:val="en-US" w:eastAsia="zh-CN"/>
        </w:rPr>
        <w:t>5</w:t>
      </w:r>
      <w:r>
        <w:rPr>
          <w:rFonts w:hint="eastAsia" w:ascii="宋体" w:hAnsi="宋体"/>
          <w:b/>
          <w:bCs/>
          <w:color w:val="auto"/>
          <w:kern w:val="0"/>
          <w:sz w:val="28"/>
          <w:szCs w:val="28"/>
          <w:highlight w:val="none"/>
          <w:lang w:val="zh-CN" w:eastAsia="zh-CN"/>
        </w:rPr>
        <w:t>：</w:t>
      </w:r>
      <w:r>
        <w:rPr>
          <w:rFonts w:hint="eastAsia" w:ascii="宋体" w:hAnsi="宋体"/>
          <w:b/>
          <w:bCs/>
          <w:color w:val="auto"/>
          <w:kern w:val="0"/>
          <w:sz w:val="28"/>
          <w:szCs w:val="28"/>
          <w:highlight w:val="none"/>
          <w:lang w:val="en-US" w:eastAsia="zh-CN"/>
        </w:rPr>
        <w:t>人员组织架构</w:t>
      </w:r>
    </w:p>
    <w:p w14:paraId="213271B4">
      <w:pPr>
        <w:rPr>
          <w:rFonts w:hint="eastAsia"/>
          <w:color w:val="auto"/>
          <w:highlight w:val="none"/>
          <w:lang w:val="zh-CN"/>
        </w:rPr>
      </w:pPr>
    </w:p>
    <w:p w14:paraId="54CCBB4F">
      <w:pPr>
        <w:rPr>
          <w:rFonts w:hint="eastAsia"/>
          <w:color w:val="auto"/>
          <w:highlight w:val="none"/>
          <w:lang w:val="zh-CN"/>
        </w:rPr>
      </w:pPr>
    </w:p>
    <w:p w14:paraId="27B4C7E8">
      <w:pPr>
        <w:rPr>
          <w:rFonts w:hint="default" w:eastAsia="宋体"/>
          <w:color w:val="auto"/>
          <w:highlight w:val="none"/>
          <w:lang w:val="en-US" w:eastAsia="zh-CN"/>
        </w:rPr>
      </w:pPr>
      <w:r>
        <w:rPr>
          <w:rFonts w:hint="eastAsia"/>
          <w:color w:val="auto"/>
          <w:highlight w:val="none"/>
          <w:lang w:val="en-US" w:eastAsia="zh-CN"/>
        </w:rPr>
        <w:t>（承包人中标后根据管理架构向发包人上报拟投入的其他管理人员和技术人人员，经发包人批准后组织入场。）</w:t>
      </w:r>
    </w:p>
    <w:p w14:paraId="3D4AEABB">
      <w:pPr>
        <w:rPr>
          <w:rFonts w:hint="eastAsia"/>
          <w:color w:val="auto"/>
          <w:highlight w:val="none"/>
          <w:lang w:val="zh-CN"/>
        </w:rPr>
      </w:pPr>
    </w:p>
    <w:p w14:paraId="3540EAD5">
      <w:pPr>
        <w:rPr>
          <w:rFonts w:hint="eastAsia"/>
          <w:color w:val="auto"/>
          <w:highlight w:val="none"/>
          <w:lang w:val="zh-CN"/>
        </w:rPr>
      </w:pPr>
      <w:r>
        <w:rPr>
          <w:rFonts w:hint="eastAsia"/>
          <w:color w:val="auto"/>
          <w:highlight w:val="none"/>
          <w:lang w:val="zh-CN"/>
        </w:rPr>
        <w:br w:type="page"/>
      </w:r>
    </w:p>
    <w:p w14:paraId="12AA40CC">
      <w:pPr>
        <w:keepNext/>
        <w:keepLines/>
        <w:widowControl/>
        <w:spacing w:before="480" w:line="400" w:lineRule="exact"/>
        <w:outlineLvl w:val="2"/>
        <w:rPr>
          <w:rFonts w:hint="eastAsia" w:ascii="宋体" w:hAnsi="宋体" w:eastAsia="宋体"/>
          <w:b/>
          <w:bCs/>
          <w:color w:val="auto"/>
          <w:kern w:val="0"/>
          <w:sz w:val="28"/>
          <w:szCs w:val="28"/>
          <w:highlight w:val="none"/>
          <w:lang w:val="zh-CN" w:eastAsia="zh-CN"/>
        </w:rPr>
      </w:pPr>
      <w:r>
        <w:rPr>
          <w:rFonts w:hint="eastAsia" w:ascii="宋体" w:hAnsi="宋体" w:eastAsia="宋体"/>
          <w:b/>
          <w:bCs/>
          <w:color w:val="auto"/>
          <w:kern w:val="0"/>
          <w:sz w:val="28"/>
          <w:szCs w:val="28"/>
          <w:highlight w:val="none"/>
          <w:lang w:val="zh-CN" w:eastAsia="zh-CN"/>
        </w:rPr>
        <w:t>附件</w:t>
      </w:r>
      <w:r>
        <w:rPr>
          <w:rFonts w:hint="eastAsia" w:ascii="宋体" w:hAnsi="宋体" w:eastAsia="宋体"/>
          <w:b/>
          <w:bCs/>
          <w:color w:val="auto"/>
          <w:kern w:val="0"/>
          <w:sz w:val="28"/>
          <w:szCs w:val="28"/>
          <w:highlight w:val="none"/>
          <w:lang w:val="en-US" w:eastAsia="zh-CN"/>
        </w:rPr>
        <w:t>6</w:t>
      </w:r>
      <w:r>
        <w:rPr>
          <w:rFonts w:hint="eastAsia" w:ascii="宋体" w:hAnsi="宋体" w:eastAsia="宋体"/>
          <w:b/>
          <w:bCs/>
          <w:color w:val="auto"/>
          <w:kern w:val="0"/>
          <w:sz w:val="28"/>
          <w:szCs w:val="28"/>
          <w:highlight w:val="none"/>
          <w:lang w:val="zh-CN" w:eastAsia="zh-CN"/>
        </w:rPr>
        <w:t>：运行维护管理平台功能需求表</w:t>
      </w:r>
    </w:p>
    <w:tbl>
      <w:tblPr>
        <w:tblStyle w:val="12"/>
        <w:tblW w:w="858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5"/>
        <w:gridCol w:w="7015"/>
      </w:tblGrid>
      <w:tr w14:paraId="3AD3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83" w:type="dxa"/>
            <w:gridSpan w:val="2"/>
            <w:tcBorders>
              <w:top w:val="nil"/>
              <w:left w:val="nil"/>
              <w:bottom w:val="nil"/>
              <w:right w:val="nil"/>
            </w:tcBorders>
            <w:shd w:val="clear" w:color="auto" w:fill="auto"/>
            <w:vAlign w:val="center"/>
          </w:tcPr>
          <w:p w14:paraId="55BCE8EA">
            <w:pPr>
              <w:pStyle w:val="6"/>
              <w:jc w:val="center"/>
              <w:rPr>
                <w:rFonts w:hint="eastAsia"/>
                <w:color w:val="auto"/>
                <w:highlight w:val="none"/>
                <w:lang w:val="zh-CN"/>
              </w:rPr>
            </w:pPr>
            <w:r>
              <w:rPr>
                <w:rFonts w:hint="eastAsia"/>
                <w:color w:val="auto"/>
                <w:highlight w:val="none"/>
                <w:lang w:val="zh-CN" w:eastAsia="zh-CN"/>
              </w:rPr>
              <w:t>运行维护管理平台功能需求表</w:t>
            </w:r>
          </w:p>
        </w:tc>
      </w:tr>
      <w:tr w14:paraId="768D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CAC2">
            <w:pPr>
              <w:pStyle w:val="6"/>
              <w:rPr>
                <w:rFonts w:hint="eastAsia"/>
                <w:color w:val="auto"/>
                <w:highlight w:val="none"/>
                <w:lang w:val="zh-CN"/>
              </w:rPr>
            </w:pPr>
            <w:r>
              <w:rPr>
                <w:rFonts w:hint="eastAsia"/>
                <w:color w:val="auto"/>
                <w:highlight w:val="none"/>
                <w:lang w:val="zh-CN" w:eastAsia="zh-CN"/>
              </w:rPr>
              <w:t>功能名称</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9390">
            <w:pPr>
              <w:pStyle w:val="6"/>
              <w:rPr>
                <w:rFonts w:hint="eastAsia"/>
                <w:color w:val="auto"/>
                <w:highlight w:val="none"/>
                <w:lang w:val="zh-CN"/>
              </w:rPr>
            </w:pPr>
            <w:r>
              <w:rPr>
                <w:rFonts w:hint="eastAsia"/>
                <w:color w:val="auto"/>
                <w:highlight w:val="none"/>
                <w:lang w:val="zh-CN" w:eastAsia="zh-CN"/>
              </w:rPr>
              <w:t>功能描述</w:t>
            </w:r>
          </w:p>
        </w:tc>
      </w:tr>
      <w:tr w14:paraId="5C08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8D93">
            <w:pPr>
              <w:pStyle w:val="6"/>
              <w:rPr>
                <w:rFonts w:hint="eastAsia"/>
                <w:color w:val="auto"/>
                <w:highlight w:val="none"/>
                <w:lang w:val="zh-CN"/>
              </w:rPr>
            </w:pPr>
            <w:r>
              <w:rPr>
                <w:rFonts w:hint="eastAsia"/>
                <w:color w:val="auto"/>
                <w:highlight w:val="none"/>
                <w:lang w:val="zh-CN" w:eastAsia="zh-CN"/>
              </w:rPr>
              <w:t>工程管理</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83F5">
            <w:pPr>
              <w:pStyle w:val="6"/>
              <w:rPr>
                <w:rFonts w:hint="eastAsia"/>
                <w:color w:val="auto"/>
                <w:highlight w:val="none"/>
                <w:lang w:val="zh-CN"/>
              </w:rPr>
            </w:pPr>
            <w:r>
              <w:rPr>
                <w:rFonts w:hint="eastAsia"/>
                <w:color w:val="auto"/>
                <w:highlight w:val="none"/>
                <w:lang w:val="zh-CN" w:eastAsia="zh-CN"/>
              </w:rPr>
              <w:t>水闸：实现对水闸工程基本信息的管理。水闸工程基本信息包括水闸工程的一般信息、水文特征、工程等别、工程规模、设计标准、过闸流量、闸门形式、启闭机形式、主要功能、管理情况、责任人、历史资料、设计图纸等信息。</w:t>
            </w:r>
            <w:r>
              <w:rPr>
                <w:rFonts w:hint="eastAsia"/>
                <w:color w:val="auto"/>
                <w:highlight w:val="none"/>
                <w:lang w:val="zh-CN" w:eastAsia="zh-CN"/>
              </w:rPr>
              <w:br w:type="textWrapping"/>
            </w:r>
            <w:r>
              <w:rPr>
                <w:rFonts w:hint="eastAsia"/>
                <w:color w:val="auto"/>
                <w:highlight w:val="none"/>
                <w:lang w:val="zh-CN" w:eastAsia="zh-CN"/>
              </w:rPr>
              <w:t>泵站：基础信息主要包括所属行政区划、泵站类型、工程规模、投产时间、工程参数（台数、水泵类型、水泵型号、电机型号、装机、扬程、流量）、变电设备情况、受益情况（排涝面积、灌溉面积、捍卫人口、捍卫产值）、管理情况、责任人、历史资料、设计图纸等信息。</w:t>
            </w:r>
            <w:r>
              <w:rPr>
                <w:rFonts w:hint="eastAsia"/>
                <w:color w:val="auto"/>
                <w:highlight w:val="none"/>
                <w:lang w:val="zh-CN" w:eastAsia="zh-CN"/>
              </w:rPr>
              <w:br w:type="textWrapping"/>
            </w:r>
            <w:r>
              <w:rPr>
                <w:rFonts w:hint="eastAsia"/>
                <w:color w:val="auto"/>
                <w:highlight w:val="none"/>
                <w:lang w:val="zh-CN" w:eastAsia="zh-CN"/>
              </w:rPr>
              <w:t>堤防：工程概览、基础信息、堤顶高程、防浪墙高程、历史资料、设计图纸、规章制度、确权划界、标识标牌、责任人等信息。</w:t>
            </w:r>
            <w:r>
              <w:rPr>
                <w:rFonts w:hint="eastAsia"/>
                <w:color w:val="auto"/>
                <w:highlight w:val="none"/>
                <w:lang w:val="zh-CN" w:eastAsia="zh-CN"/>
              </w:rPr>
              <w:br w:type="textWrapping"/>
            </w:r>
            <w:r>
              <w:rPr>
                <w:rFonts w:hint="eastAsia"/>
                <w:color w:val="auto"/>
                <w:highlight w:val="none"/>
                <w:lang w:val="zh-CN" w:eastAsia="zh-CN"/>
              </w:rPr>
              <w:t>水系分布：按各联围或镇街统计河道（河涌）及水利设施情况。</w:t>
            </w:r>
          </w:p>
        </w:tc>
      </w:tr>
      <w:tr w14:paraId="7EE3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1771">
            <w:pPr>
              <w:pStyle w:val="6"/>
              <w:rPr>
                <w:rFonts w:hint="eastAsia"/>
                <w:color w:val="auto"/>
                <w:highlight w:val="none"/>
                <w:lang w:val="zh-CN"/>
              </w:rPr>
            </w:pPr>
            <w:r>
              <w:rPr>
                <w:rFonts w:hint="eastAsia"/>
                <w:color w:val="auto"/>
                <w:highlight w:val="none"/>
                <w:lang w:val="zh-CN" w:eastAsia="zh-CN"/>
              </w:rPr>
              <w:t>运行管理</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5930">
            <w:pPr>
              <w:pStyle w:val="6"/>
              <w:rPr>
                <w:rFonts w:hint="eastAsia"/>
                <w:color w:val="auto"/>
                <w:highlight w:val="none"/>
                <w:lang w:val="zh-CN"/>
              </w:rPr>
            </w:pPr>
            <w:r>
              <w:rPr>
                <w:rFonts w:hint="eastAsia"/>
                <w:color w:val="auto"/>
                <w:highlight w:val="none"/>
                <w:lang w:val="zh-CN" w:eastAsia="zh-CN"/>
              </w:rPr>
              <w:t>包括运行数据监测、调度记录等</w:t>
            </w:r>
          </w:p>
        </w:tc>
      </w:tr>
      <w:tr w14:paraId="05EC4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E05C">
            <w:pPr>
              <w:pStyle w:val="6"/>
              <w:rPr>
                <w:rFonts w:hint="eastAsia"/>
                <w:color w:val="auto"/>
                <w:highlight w:val="none"/>
                <w:lang w:val="zh-CN"/>
              </w:rPr>
            </w:pPr>
            <w:r>
              <w:rPr>
                <w:rFonts w:hint="eastAsia"/>
                <w:color w:val="auto"/>
                <w:highlight w:val="none"/>
                <w:lang w:val="zh-CN" w:eastAsia="zh-CN"/>
              </w:rPr>
              <w:t>智能巡检</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B391">
            <w:pPr>
              <w:pStyle w:val="6"/>
              <w:rPr>
                <w:rFonts w:hint="eastAsia"/>
                <w:color w:val="auto"/>
                <w:highlight w:val="none"/>
                <w:lang w:val="zh-CN"/>
              </w:rPr>
            </w:pPr>
            <w:r>
              <w:rPr>
                <w:rFonts w:hint="eastAsia"/>
                <w:color w:val="auto"/>
                <w:highlight w:val="none"/>
                <w:lang w:val="zh-CN" w:eastAsia="zh-CN"/>
              </w:rPr>
              <w:t>实现日常巡检、智能识别的问题全过程处理流程管理，可通过航拍视角进行问题巡查。</w:t>
            </w:r>
          </w:p>
        </w:tc>
      </w:tr>
      <w:tr w14:paraId="5C8D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7B0B">
            <w:pPr>
              <w:pStyle w:val="6"/>
              <w:rPr>
                <w:rFonts w:hint="eastAsia"/>
                <w:color w:val="auto"/>
                <w:highlight w:val="none"/>
                <w:lang w:val="zh-CN"/>
              </w:rPr>
            </w:pPr>
            <w:r>
              <w:rPr>
                <w:rFonts w:hint="eastAsia"/>
                <w:color w:val="auto"/>
                <w:highlight w:val="none"/>
                <w:lang w:val="zh-CN" w:eastAsia="zh-CN"/>
              </w:rPr>
              <w:t>检修管理</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6CCC">
            <w:pPr>
              <w:pStyle w:val="6"/>
              <w:rPr>
                <w:rFonts w:hint="eastAsia"/>
                <w:color w:val="auto"/>
                <w:highlight w:val="none"/>
                <w:lang w:val="zh-CN"/>
              </w:rPr>
            </w:pPr>
            <w:r>
              <w:rPr>
                <w:rFonts w:hint="eastAsia"/>
                <w:color w:val="auto"/>
                <w:highlight w:val="none"/>
                <w:lang w:val="zh-CN" w:eastAsia="zh-CN"/>
              </w:rPr>
              <w:t>实现水利设备的检修管理</w:t>
            </w:r>
          </w:p>
        </w:tc>
      </w:tr>
      <w:tr w14:paraId="2ED6F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106C">
            <w:pPr>
              <w:pStyle w:val="6"/>
              <w:rPr>
                <w:rFonts w:hint="eastAsia"/>
                <w:color w:val="auto"/>
                <w:highlight w:val="none"/>
                <w:lang w:val="zh-CN"/>
              </w:rPr>
            </w:pPr>
            <w:r>
              <w:rPr>
                <w:rFonts w:hint="eastAsia"/>
                <w:color w:val="auto"/>
                <w:highlight w:val="none"/>
                <w:lang w:val="zh-CN" w:eastAsia="zh-CN"/>
              </w:rPr>
              <w:t>物资管理</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D814">
            <w:pPr>
              <w:pStyle w:val="6"/>
              <w:rPr>
                <w:rFonts w:hint="eastAsia"/>
                <w:color w:val="auto"/>
                <w:highlight w:val="none"/>
                <w:lang w:val="zh-CN"/>
              </w:rPr>
            </w:pPr>
            <w:r>
              <w:rPr>
                <w:rFonts w:hint="eastAsia"/>
                <w:color w:val="auto"/>
                <w:highlight w:val="none"/>
                <w:lang w:val="zh-CN" w:eastAsia="zh-CN"/>
              </w:rPr>
              <w:t>实现防汛物资的管理</w:t>
            </w:r>
          </w:p>
        </w:tc>
      </w:tr>
      <w:tr w14:paraId="0C2A3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D3D2">
            <w:pPr>
              <w:pStyle w:val="6"/>
              <w:rPr>
                <w:rFonts w:hint="eastAsia"/>
                <w:color w:val="auto"/>
                <w:highlight w:val="none"/>
                <w:lang w:val="zh-CN"/>
              </w:rPr>
            </w:pPr>
            <w:r>
              <w:rPr>
                <w:rFonts w:hint="eastAsia"/>
                <w:color w:val="auto"/>
                <w:highlight w:val="none"/>
                <w:lang w:val="zh-CN" w:eastAsia="zh-CN"/>
              </w:rPr>
              <w:t>养护管理</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685E">
            <w:pPr>
              <w:pStyle w:val="6"/>
              <w:rPr>
                <w:rFonts w:hint="eastAsia"/>
                <w:color w:val="auto"/>
                <w:highlight w:val="none"/>
                <w:lang w:val="zh-CN"/>
              </w:rPr>
            </w:pPr>
            <w:r>
              <w:rPr>
                <w:rFonts w:hint="eastAsia"/>
                <w:color w:val="auto"/>
                <w:highlight w:val="none"/>
                <w:lang w:val="zh-CN" w:eastAsia="zh-CN"/>
              </w:rPr>
              <w:t>实现水利工程的养护记录管理</w:t>
            </w:r>
          </w:p>
        </w:tc>
      </w:tr>
      <w:tr w14:paraId="6ED7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4D15">
            <w:pPr>
              <w:pStyle w:val="6"/>
              <w:rPr>
                <w:rFonts w:hint="eastAsia"/>
                <w:color w:val="auto"/>
                <w:highlight w:val="none"/>
                <w:lang w:val="zh-CN"/>
              </w:rPr>
            </w:pPr>
            <w:r>
              <w:rPr>
                <w:rFonts w:hint="eastAsia"/>
                <w:color w:val="auto"/>
                <w:highlight w:val="none"/>
                <w:lang w:val="zh-CN" w:eastAsia="zh-CN"/>
              </w:rPr>
              <w:t>检查管理</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761C">
            <w:pPr>
              <w:pStyle w:val="6"/>
              <w:rPr>
                <w:rFonts w:hint="eastAsia"/>
                <w:color w:val="auto"/>
                <w:highlight w:val="none"/>
                <w:lang w:val="zh-CN"/>
              </w:rPr>
            </w:pPr>
            <w:r>
              <w:rPr>
                <w:rFonts w:hint="eastAsia"/>
                <w:color w:val="auto"/>
                <w:highlight w:val="none"/>
                <w:lang w:val="zh-CN" w:eastAsia="zh-CN"/>
              </w:rPr>
              <w:t>包括常规检查、一般检查、特别检查的管理</w:t>
            </w:r>
          </w:p>
        </w:tc>
      </w:tr>
      <w:tr w14:paraId="5660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2399">
            <w:pPr>
              <w:pStyle w:val="6"/>
              <w:rPr>
                <w:rFonts w:hint="eastAsia"/>
                <w:color w:val="auto"/>
                <w:highlight w:val="none"/>
                <w:lang w:val="zh-CN"/>
              </w:rPr>
            </w:pPr>
            <w:r>
              <w:rPr>
                <w:rFonts w:hint="eastAsia"/>
                <w:color w:val="auto"/>
                <w:highlight w:val="none"/>
                <w:lang w:val="zh-CN" w:eastAsia="zh-CN"/>
              </w:rPr>
              <w:t>抢险队伍</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0D5F">
            <w:pPr>
              <w:pStyle w:val="6"/>
              <w:rPr>
                <w:rFonts w:hint="eastAsia"/>
                <w:color w:val="auto"/>
                <w:highlight w:val="none"/>
                <w:lang w:val="zh-CN"/>
              </w:rPr>
            </w:pPr>
            <w:r>
              <w:rPr>
                <w:rFonts w:hint="eastAsia"/>
                <w:color w:val="auto"/>
                <w:highlight w:val="none"/>
                <w:lang w:val="zh-CN" w:eastAsia="zh-CN"/>
              </w:rPr>
              <w:t>实现抢险队伍的管理</w:t>
            </w:r>
          </w:p>
        </w:tc>
      </w:tr>
      <w:tr w14:paraId="3535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AFC4">
            <w:pPr>
              <w:pStyle w:val="6"/>
              <w:rPr>
                <w:rFonts w:hint="eastAsia"/>
                <w:color w:val="auto"/>
                <w:highlight w:val="none"/>
                <w:lang w:val="zh-CN"/>
              </w:rPr>
            </w:pPr>
            <w:r>
              <w:rPr>
                <w:rFonts w:hint="eastAsia"/>
                <w:color w:val="auto"/>
                <w:highlight w:val="none"/>
                <w:lang w:val="zh-CN" w:eastAsia="zh-CN"/>
              </w:rPr>
              <w:t>安监管理</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E710">
            <w:pPr>
              <w:pStyle w:val="6"/>
              <w:rPr>
                <w:rFonts w:hint="eastAsia"/>
                <w:color w:val="auto"/>
                <w:highlight w:val="none"/>
                <w:lang w:val="zh-CN"/>
              </w:rPr>
            </w:pPr>
            <w:r>
              <w:rPr>
                <w:rFonts w:hint="eastAsia"/>
                <w:color w:val="auto"/>
                <w:highlight w:val="none"/>
                <w:lang w:val="zh-CN" w:eastAsia="zh-CN"/>
              </w:rPr>
              <w:t>包括视频监控、安保巡查管理</w:t>
            </w:r>
          </w:p>
        </w:tc>
      </w:tr>
      <w:tr w14:paraId="50B2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3239">
            <w:pPr>
              <w:pStyle w:val="6"/>
              <w:rPr>
                <w:rFonts w:hint="eastAsia"/>
                <w:color w:val="auto"/>
                <w:highlight w:val="none"/>
                <w:lang w:val="zh-CN"/>
              </w:rPr>
            </w:pPr>
            <w:r>
              <w:rPr>
                <w:rFonts w:hint="eastAsia"/>
                <w:color w:val="auto"/>
                <w:highlight w:val="none"/>
                <w:lang w:val="zh-CN" w:eastAsia="zh-CN"/>
              </w:rPr>
              <w:t>监测一张图</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2790">
            <w:pPr>
              <w:pStyle w:val="6"/>
              <w:rPr>
                <w:rFonts w:hint="eastAsia"/>
                <w:color w:val="auto"/>
                <w:highlight w:val="none"/>
                <w:lang w:val="zh-CN"/>
              </w:rPr>
            </w:pPr>
            <w:r>
              <w:rPr>
                <w:rFonts w:hint="eastAsia"/>
                <w:color w:val="auto"/>
                <w:highlight w:val="none"/>
                <w:lang w:val="zh-CN" w:eastAsia="zh-CN"/>
              </w:rPr>
              <w:t>监测一张图功能基于GIS地图集成堤防、水闸、泵站的基础数据、实时运行数据与监测设备（如水位计、流量传感器、视频监控点），实现全域工程设施的空间化展示。具体功能包括：</w:t>
            </w:r>
            <w:r>
              <w:rPr>
                <w:rFonts w:hint="eastAsia"/>
                <w:color w:val="auto"/>
                <w:highlight w:val="none"/>
                <w:lang w:val="zh-CN" w:eastAsia="zh-CN"/>
              </w:rPr>
              <w:br w:type="textWrapping"/>
            </w:r>
            <w:r>
              <w:rPr>
                <w:rFonts w:hint="eastAsia"/>
                <w:color w:val="auto"/>
                <w:highlight w:val="none"/>
                <w:lang w:val="zh-CN" w:eastAsia="zh-CN"/>
              </w:rPr>
              <w:t>​1、工程基础信息：在电子地图上叠加展示工程分布点位、数量统计、管理范围、高程等基础信息，支持点击展示工程详细信息，如：责任人信息、设计图纸、应急预案、维修养护记录等。</w:t>
            </w:r>
            <w:r>
              <w:rPr>
                <w:rFonts w:hint="eastAsia"/>
                <w:color w:val="auto"/>
                <w:highlight w:val="none"/>
                <w:lang w:val="zh-CN" w:eastAsia="zh-CN"/>
              </w:rPr>
              <w:br w:type="textWrapping"/>
            </w:r>
            <w:r>
              <w:rPr>
                <w:rFonts w:hint="eastAsia"/>
                <w:color w:val="auto"/>
                <w:highlight w:val="none"/>
                <w:lang w:val="zh-CN" w:eastAsia="zh-CN"/>
              </w:rPr>
              <w:t>2、监测信息：在电子地图上叠加展示雨量站分布（显示瞬时/累积雨量）、水位站点（动态水位过程线及超汛限告警）、泵站机组状态（启停、流量）、闸门状态（开度、闸上下水位）、形变位移/渗压监测点、视频监控点等监测数据；</w:t>
            </w:r>
            <w:r>
              <w:rPr>
                <w:rFonts w:hint="eastAsia"/>
                <w:color w:val="auto"/>
                <w:highlight w:val="none"/>
                <w:lang w:val="zh-CN" w:eastAsia="zh-CN"/>
              </w:rPr>
              <w:br w:type="textWrapping"/>
            </w:r>
            <w:r>
              <w:rPr>
                <w:rFonts w:hint="eastAsia"/>
                <w:color w:val="auto"/>
                <w:highlight w:val="none"/>
                <w:lang w:val="zh-CN" w:eastAsia="zh-CN"/>
              </w:rPr>
              <w:t>3、告警信息：自动关联异常数据（如水位超限）触发多级告警，通过地图定位告警位置，并支持点击查看告警对象的数据。</w:t>
            </w:r>
          </w:p>
        </w:tc>
      </w:tr>
      <w:tr w14:paraId="499B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89A5">
            <w:pPr>
              <w:pStyle w:val="6"/>
              <w:rPr>
                <w:rFonts w:hint="eastAsia"/>
                <w:color w:val="auto"/>
                <w:highlight w:val="none"/>
                <w:lang w:val="zh-CN"/>
              </w:rPr>
            </w:pPr>
            <w:r>
              <w:rPr>
                <w:rFonts w:hint="eastAsia"/>
                <w:color w:val="auto"/>
                <w:highlight w:val="none"/>
                <w:lang w:val="zh-CN" w:eastAsia="zh-CN"/>
              </w:rPr>
              <w:t>预报</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97FB">
            <w:pPr>
              <w:pStyle w:val="6"/>
              <w:rPr>
                <w:rFonts w:hint="eastAsia"/>
                <w:color w:val="auto"/>
                <w:highlight w:val="none"/>
                <w:lang w:val="zh-CN"/>
              </w:rPr>
            </w:pPr>
            <w:r>
              <w:rPr>
                <w:rFonts w:hint="eastAsia"/>
                <w:color w:val="auto"/>
                <w:highlight w:val="none"/>
                <w:lang w:val="zh-CN" w:eastAsia="zh-CN"/>
              </w:rPr>
              <w:t>对接降雨预报数据及专业水利模型，结合电子地图和图表展示未来24小时的降雨量、水位等数据，并对超过预警阈值的数据进行预警。</w:t>
            </w:r>
          </w:p>
        </w:tc>
      </w:tr>
      <w:tr w14:paraId="5635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3271">
            <w:pPr>
              <w:pStyle w:val="6"/>
              <w:rPr>
                <w:rFonts w:hint="eastAsia"/>
                <w:color w:val="auto"/>
                <w:highlight w:val="none"/>
                <w:lang w:val="zh-CN"/>
              </w:rPr>
            </w:pPr>
            <w:r>
              <w:rPr>
                <w:rFonts w:hint="eastAsia"/>
                <w:color w:val="auto"/>
                <w:highlight w:val="none"/>
                <w:lang w:val="zh-CN" w:eastAsia="zh-CN"/>
              </w:rPr>
              <w:t>预警</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67C7">
            <w:pPr>
              <w:pStyle w:val="6"/>
              <w:rPr>
                <w:rFonts w:hint="eastAsia"/>
                <w:color w:val="auto"/>
                <w:highlight w:val="none"/>
                <w:lang w:val="zh-CN"/>
              </w:rPr>
            </w:pPr>
            <w:r>
              <w:rPr>
                <w:rFonts w:hint="eastAsia"/>
                <w:color w:val="auto"/>
                <w:highlight w:val="none"/>
                <w:lang w:val="zh-CN" w:eastAsia="zh-CN"/>
              </w:rPr>
              <w:t>对接三防指挥预警信息、设备实测数据和预报数据，在电子地图和图表中展示的降雨量、水位、工程状态等预警信息。</w:t>
            </w:r>
          </w:p>
        </w:tc>
      </w:tr>
      <w:tr w14:paraId="5822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E45C">
            <w:pPr>
              <w:pStyle w:val="6"/>
              <w:rPr>
                <w:rFonts w:hint="eastAsia"/>
                <w:color w:val="auto"/>
                <w:highlight w:val="none"/>
                <w:lang w:val="zh-CN"/>
              </w:rPr>
            </w:pPr>
            <w:r>
              <w:rPr>
                <w:rFonts w:hint="eastAsia"/>
                <w:color w:val="auto"/>
                <w:highlight w:val="none"/>
                <w:lang w:val="zh-CN" w:eastAsia="zh-CN"/>
              </w:rPr>
              <w:t>数据报表</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1F91">
            <w:pPr>
              <w:pStyle w:val="6"/>
              <w:rPr>
                <w:rFonts w:hint="eastAsia"/>
                <w:color w:val="auto"/>
                <w:highlight w:val="none"/>
                <w:lang w:val="zh-CN"/>
              </w:rPr>
            </w:pPr>
            <w:r>
              <w:rPr>
                <w:rFonts w:hint="eastAsia"/>
                <w:color w:val="auto"/>
                <w:highlight w:val="none"/>
                <w:lang w:val="zh-CN" w:eastAsia="zh-CN"/>
              </w:rPr>
              <w:t>根据工程管养的要求，整合堤防、水闸、泵站的基础数据、运行数据、养护记录、安监隐患等数据提供各类数据报表的查询功能。系统预置标准报表模板，支持一键导出word/Excel格式，并允许自定义字段。</w:t>
            </w:r>
          </w:p>
        </w:tc>
      </w:tr>
      <w:tr w14:paraId="2F2D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B7AF">
            <w:pPr>
              <w:pStyle w:val="6"/>
              <w:rPr>
                <w:rFonts w:hint="eastAsia"/>
                <w:color w:val="auto"/>
                <w:highlight w:val="none"/>
                <w:lang w:val="zh-CN"/>
              </w:rPr>
            </w:pPr>
            <w:r>
              <w:rPr>
                <w:rFonts w:hint="eastAsia"/>
                <w:color w:val="auto"/>
                <w:highlight w:val="none"/>
                <w:lang w:val="zh-CN" w:eastAsia="zh-CN"/>
              </w:rPr>
              <w:t>水务大模型</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57C5">
            <w:pPr>
              <w:pStyle w:val="6"/>
              <w:rPr>
                <w:rFonts w:hint="eastAsia"/>
                <w:color w:val="auto"/>
                <w:highlight w:val="none"/>
                <w:lang w:val="zh-CN"/>
              </w:rPr>
            </w:pPr>
            <w:r>
              <w:rPr>
                <w:rFonts w:hint="eastAsia"/>
                <w:color w:val="auto"/>
                <w:highlight w:val="none"/>
                <w:lang w:val="zh-CN" w:eastAsia="zh-CN"/>
              </w:rPr>
              <w:t>整合工程基础信息、工程规范、历史维修记录等数据，构建水利知识图谱，支持自然语言交互解答专业问题（如设备保养周期），并关联政策法规推送风险预警。</w:t>
            </w:r>
          </w:p>
        </w:tc>
      </w:tr>
      <w:tr w14:paraId="4534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46B1">
            <w:pPr>
              <w:pStyle w:val="6"/>
              <w:rPr>
                <w:rFonts w:hint="default"/>
                <w:color w:val="auto"/>
                <w:highlight w:val="none"/>
                <w:lang w:val="en-US" w:eastAsia="zh-CN"/>
              </w:rPr>
            </w:pPr>
            <w:r>
              <w:rPr>
                <w:rFonts w:hint="eastAsia"/>
                <w:color w:val="auto"/>
                <w:highlight w:val="none"/>
                <w:lang w:val="en-US" w:eastAsia="zh-CN"/>
              </w:rPr>
              <w:t>用水用电情况</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8A5F">
            <w:pPr>
              <w:pStyle w:val="6"/>
              <w:rPr>
                <w:rFonts w:hint="default"/>
                <w:color w:val="auto"/>
                <w:highlight w:val="none"/>
                <w:lang w:val="en-US" w:eastAsia="zh-CN"/>
              </w:rPr>
            </w:pPr>
            <w:r>
              <w:rPr>
                <w:rFonts w:hint="eastAsia"/>
                <w:color w:val="auto"/>
                <w:highlight w:val="none"/>
                <w:lang w:val="en-US" w:eastAsia="zh-CN"/>
              </w:rPr>
              <w:t>每月填报用水用电情况。</w:t>
            </w:r>
          </w:p>
        </w:tc>
      </w:tr>
      <w:tr w14:paraId="2984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18E4">
            <w:pPr>
              <w:pStyle w:val="6"/>
              <w:rPr>
                <w:rFonts w:hint="default"/>
                <w:color w:val="auto"/>
                <w:highlight w:val="none"/>
                <w:lang w:val="en-US" w:eastAsia="zh-CN"/>
              </w:rPr>
            </w:pPr>
            <w:r>
              <w:rPr>
                <w:rFonts w:hint="eastAsia"/>
                <w:color w:val="auto"/>
                <w:highlight w:val="none"/>
                <w:lang w:val="en-US" w:eastAsia="zh-CN"/>
              </w:rPr>
              <w:t>柴油发电机使用情况</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4273">
            <w:pPr>
              <w:pStyle w:val="6"/>
              <w:rPr>
                <w:rFonts w:hint="default"/>
                <w:color w:val="auto"/>
                <w:highlight w:val="none"/>
                <w:lang w:val="en-US" w:eastAsia="zh-CN"/>
              </w:rPr>
            </w:pPr>
            <w:r>
              <w:rPr>
                <w:rFonts w:hint="eastAsia"/>
                <w:color w:val="auto"/>
                <w:highlight w:val="none"/>
                <w:lang w:val="en-US" w:eastAsia="zh-CN"/>
              </w:rPr>
              <w:t>根据柴油发电机实际使用情况进行记录。</w:t>
            </w:r>
          </w:p>
        </w:tc>
      </w:tr>
    </w:tbl>
    <w:p w14:paraId="417603E0">
      <w:pPr>
        <w:pStyle w:val="6"/>
        <w:rPr>
          <w:rFonts w:hint="eastAsia"/>
          <w:color w:val="auto"/>
          <w:highlight w:val="none"/>
          <w:lang w:val="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D756F">
    <w:pPr>
      <w:pStyle w:val="9"/>
      <w:jc w:val="center"/>
    </w:pPr>
    <w:r>
      <w:rPr>
        <w:rStyle w:val="15"/>
      </w:rPr>
      <w:fldChar w:fldCharType="begin"/>
    </w:r>
    <w:r>
      <w:rPr>
        <w:rStyle w:val="15"/>
      </w:rPr>
      <w:instrText xml:space="preserve"> PAGE </w:instrText>
    </w:r>
    <w:r>
      <w:rPr>
        <w:rStyle w:val="15"/>
      </w:rPr>
      <w:fldChar w:fldCharType="separate"/>
    </w:r>
    <w:r>
      <w:rPr>
        <w:rStyle w:val="15"/>
      </w:rPr>
      <w:t>124</w:t>
    </w:r>
    <w:r>
      <w:rPr>
        <w:rStyle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4E4FE">
    <w:pPr>
      <w:pStyle w:val="9"/>
      <w:jc w:val="center"/>
    </w:pPr>
    <w:r>
      <w:rPr>
        <w:rStyle w:val="15"/>
      </w:rPr>
      <w:fldChar w:fldCharType="begin"/>
    </w:r>
    <w:r>
      <w:rPr>
        <w:rStyle w:val="15"/>
      </w:rPr>
      <w:instrText xml:space="preserve"> PAGE </w:instrText>
    </w:r>
    <w:r>
      <w:rPr>
        <w:rStyle w:val="15"/>
      </w:rPr>
      <w:fldChar w:fldCharType="separate"/>
    </w:r>
    <w:r>
      <w:rPr>
        <w:rStyle w:val="15"/>
      </w:rPr>
      <w:t>124</w:t>
    </w:r>
    <w:r>
      <w:rPr>
        <w:rStyle w:val="15"/>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C3FD6"/>
    <w:rsid w:val="00351435"/>
    <w:rsid w:val="00704336"/>
    <w:rsid w:val="008322BB"/>
    <w:rsid w:val="014A2E61"/>
    <w:rsid w:val="01635C49"/>
    <w:rsid w:val="045350DF"/>
    <w:rsid w:val="04A820FA"/>
    <w:rsid w:val="064F10D6"/>
    <w:rsid w:val="069A2E21"/>
    <w:rsid w:val="07C1472C"/>
    <w:rsid w:val="083D0F03"/>
    <w:rsid w:val="09182A12"/>
    <w:rsid w:val="0AF618DB"/>
    <w:rsid w:val="0B1003B3"/>
    <w:rsid w:val="0B48482D"/>
    <w:rsid w:val="0CF47651"/>
    <w:rsid w:val="0CF60AD7"/>
    <w:rsid w:val="0D317E23"/>
    <w:rsid w:val="0E0C6FE9"/>
    <w:rsid w:val="0E53709F"/>
    <w:rsid w:val="0E782136"/>
    <w:rsid w:val="0FDF1BDA"/>
    <w:rsid w:val="0FFE04C8"/>
    <w:rsid w:val="11672495"/>
    <w:rsid w:val="11B574AF"/>
    <w:rsid w:val="12B21004"/>
    <w:rsid w:val="13516249"/>
    <w:rsid w:val="144E0343"/>
    <w:rsid w:val="1479504C"/>
    <w:rsid w:val="160D3593"/>
    <w:rsid w:val="16275273"/>
    <w:rsid w:val="16777D74"/>
    <w:rsid w:val="17A519DD"/>
    <w:rsid w:val="17D838C4"/>
    <w:rsid w:val="17ED6ABC"/>
    <w:rsid w:val="17FF7C26"/>
    <w:rsid w:val="187529D9"/>
    <w:rsid w:val="19717795"/>
    <w:rsid w:val="1A107B50"/>
    <w:rsid w:val="1B275E21"/>
    <w:rsid w:val="1C0B1DD9"/>
    <w:rsid w:val="1C715266"/>
    <w:rsid w:val="1D6255FC"/>
    <w:rsid w:val="1E7975B3"/>
    <w:rsid w:val="1EC306DE"/>
    <w:rsid w:val="1EC9047C"/>
    <w:rsid w:val="225738AC"/>
    <w:rsid w:val="23827D58"/>
    <w:rsid w:val="23962BF2"/>
    <w:rsid w:val="244C3FD6"/>
    <w:rsid w:val="246062EC"/>
    <w:rsid w:val="25D0624C"/>
    <w:rsid w:val="25F859B7"/>
    <w:rsid w:val="26314D15"/>
    <w:rsid w:val="265C6F87"/>
    <w:rsid w:val="26D60AE7"/>
    <w:rsid w:val="27D85058"/>
    <w:rsid w:val="27FA59CC"/>
    <w:rsid w:val="28011B94"/>
    <w:rsid w:val="28AE124C"/>
    <w:rsid w:val="28C33A47"/>
    <w:rsid w:val="28F97E28"/>
    <w:rsid w:val="29DB01C2"/>
    <w:rsid w:val="2AE6208E"/>
    <w:rsid w:val="2B0C608E"/>
    <w:rsid w:val="2ED5668B"/>
    <w:rsid w:val="2F1D3D71"/>
    <w:rsid w:val="30F1651D"/>
    <w:rsid w:val="311A1F18"/>
    <w:rsid w:val="315C4C21"/>
    <w:rsid w:val="32042743"/>
    <w:rsid w:val="34226D46"/>
    <w:rsid w:val="352110C4"/>
    <w:rsid w:val="35D546B3"/>
    <w:rsid w:val="36D546CB"/>
    <w:rsid w:val="37444FA5"/>
    <w:rsid w:val="3B2807E3"/>
    <w:rsid w:val="3D13022E"/>
    <w:rsid w:val="3E253AFA"/>
    <w:rsid w:val="3EEB291F"/>
    <w:rsid w:val="3F6C393F"/>
    <w:rsid w:val="41455175"/>
    <w:rsid w:val="41AA2E44"/>
    <w:rsid w:val="432749A3"/>
    <w:rsid w:val="44A37780"/>
    <w:rsid w:val="46C24BA5"/>
    <w:rsid w:val="47B007CC"/>
    <w:rsid w:val="48C648E3"/>
    <w:rsid w:val="48DA7B6B"/>
    <w:rsid w:val="49177011"/>
    <w:rsid w:val="49BA3CC6"/>
    <w:rsid w:val="4BE85AF6"/>
    <w:rsid w:val="4E034B79"/>
    <w:rsid w:val="4E224B0C"/>
    <w:rsid w:val="4E473FBE"/>
    <w:rsid w:val="4F84163B"/>
    <w:rsid w:val="4F9C12AB"/>
    <w:rsid w:val="4FA9666C"/>
    <w:rsid w:val="51855559"/>
    <w:rsid w:val="519C5D4D"/>
    <w:rsid w:val="51DC4515"/>
    <w:rsid w:val="52802B3A"/>
    <w:rsid w:val="561467A0"/>
    <w:rsid w:val="56595468"/>
    <w:rsid w:val="56967568"/>
    <w:rsid w:val="580A2F64"/>
    <w:rsid w:val="599E7CD0"/>
    <w:rsid w:val="5CB309A7"/>
    <w:rsid w:val="5F2711D9"/>
    <w:rsid w:val="61A706BD"/>
    <w:rsid w:val="623264DA"/>
    <w:rsid w:val="62512EF8"/>
    <w:rsid w:val="62BB1826"/>
    <w:rsid w:val="63080B39"/>
    <w:rsid w:val="63265660"/>
    <w:rsid w:val="65EDD1D2"/>
    <w:rsid w:val="67071392"/>
    <w:rsid w:val="681F6670"/>
    <w:rsid w:val="684A76EF"/>
    <w:rsid w:val="69552454"/>
    <w:rsid w:val="69C57CB8"/>
    <w:rsid w:val="69F101A5"/>
    <w:rsid w:val="6A554E4C"/>
    <w:rsid w:val="6B3F2030"/>
    <w:rsid w:val="6CBA4797"/>
    <w:rsid w:val="6CFC60D1"/>
    <w:rsid w:val="6D5A02CB"/>
    <w:rsid w:val="6D5F3847"/>
    <w:rsid w:val="6E285EAE"/>
    <w:rsid w:val="6FDD4478"/>
    <w:rsid w:val="7089080C"/>
    <w:rsid w:val="71A522C7"/>
    <w:rsid w:val="72B55021"/>
    <w:rsid w:val="733A4304"/>
    <w:rsid w:val="733F28AB"/>
    <w:rsid w:val="7507768A"/>
    <w:rsid w:val="76981E32"/>
    <w:rsid w:val="76D35F87"/>
    <w:rsid w:val="76DB3034"/>
    <w:rsid w:val="7722255A"/>
    <w:rsid w:val="77461667"/>
    <w:rsid w:val="782F4F2E"/>
    <w:rsid w:val="7970173B"/>
    <w:rsid w:val="7B8E5C3C"/>
    <w:rsid w:val="7BF34561"/>
    <w:rsid w:val="7C9E2F91"/>
    <w:rsid w:val="7CCC3693"/>
    <w:rsid w:val="7D3036CA"/>
    <w:rsid w:val="7D4E67AF"/>
    <w:rsid w:val="7E943A08"/>
    <w:rsid w:val="7EBFA17A"/>
    <w:rsid w:val="7F0645FB"/>
    <w:rsid w:val="7FED1CA4"/>
    <w:rsid w:val="B8E7B39F"/>
    <w:rsid w:val="DFA62F22"/>
    <w:rsid w:val="E7FF052F"/>
    <w:rsid w:val="EBDEA64B"/>
    <w:rsid w:val="F1AD55EB"/>
    <w:rsid w:val="F7FF417B"/>
    <w:rsid w:val="FA305063"/>
    <w:rsid w:val="FFCD8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next w:val="7"/>
    <w:unhideWhenUsed/>
    <w:qFormat/>
    <w:uiPriority w:val="99"/>
    <w:pPr>
      <w:spacing w:after="120"/>
    </w:pPr>
    <w:rPr>
      <w:kern w:val="0"/>
      <w:sz w:val="20"/>
      <w:szCs w:val="20"/>
    </w:rPr>
  </w:style>
  <w:style w:type="paragraph" w:styleId="7">
    <w:name w:val="Body Text Indent"/>
    <w:basedOn w:val="1"/>
    <w:next w:val="1"/>
    <w:qFormat/>
    <w:uiPriority w:val="0"/>
    <w:pPr>
      <w:spacing w:after="120"/>
      <w:ind w:left="420" w:leftChars="200"/>
    </w:pPr>
    <w:rPr>
      <w:rFonts w:ascii="Times New Roman" w:hAnsi="Times New Roman"/>
      <w:kern w:val="0"/>
      <w:sz w:val="20"/>
      <w:szCs w:val="24"/>
    </w:rPr>
  </w:style>
  <w:style w:type="paragraph" w:styleId="8">
    <w:name w:val="Plain Text"/>
    <w:basedOn w:val="1"/>
    <w:next w:val="1"/>
    <w:qFormat/>
    <w:uiPriority w:val="0"/>
    <w:rPr>
      <w:rFonts w:ascii="宋体" w:hAnsi="Courier New"/>
      <w:kern w:val="0"/>
      <w:sz w:val="20"/>
      <w:szCs w:val="20"/>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Body Text Indent 3"/>
    <w:basedOn w:val="1"/>
    <w:qFormat/>
    <w:uiPriority w:val="0"/>
    <w:pPr>
      <w:spacing w:line="560" w:lineRule="exact"/>
      <w:ind w:firstLine="570"/>
    </w:pPr>
    <w:rPr>
      <w:rFonts w:ascii="宋体" w:hAnsi="宋体"/>
      <w:sz w:val="24"/>
    </w:rPr>
  </w:style>
  <w:style w:type="paragraph" w:styleId="11">
    <w:name w:val="Body Text 2"/>
    <w:basedOn w:val="1"/>
    <w:qFormat/>
    <w:uiPriority w:val="0"/>
    <w:pPr>
      <w:spacing w:after="120" w:line="480" w:lineRule="auto"/>
    </w:pPr>
  </w:style>
  <w:style w:type="character" w:styleId="14">
    <w:name w:val="Strong"/>
    <w:basedOn w:val="13"/>
    <w:qFormat/>
    <w:uiPriority w:val="0"/>
    <w:rPr>
      <w:b/>
    </w:rPr>
  </w:style>
  <w:style w:type="character" w:styleId="15">
    <w:name w:val="page number"/>
    <w:basedOn w:val="13"/>
    <w:qFormat/>
    <w:uiPriority w:val="0"/>
    <w:rPr>
      <w:rFonts w:ascii="Arial" w:hAnsi="Arial" w:eastAsia="黑体"/>
      <w:kern w:val="2"/>
      <w:sz w:val="21"/>
      <w:szCs w:val="21"/>
      <w:lang w:val="en-US" w:eastAsia="zh-CN" w:bidi="ar-SA"/>
    </w:rPr>
  </w:style>
  <w:style w:type="character" w:customStyle="1" w:styleId="16">
    <w:name w:val="font41"/>
    <w:basedOn w:val="13"/>
    <w:qFormat/>
    <w:uiPriority w:val="0"/>
    <w:rPr>
      <w:rFonts w:hint="eastAsia" w:ascii="微软雅黑" w:hAnsi="微软雅黑" w:eastAsia="微软雅黑" w:cs="微软雅黑"/>
      <w:color w:val="000000"/>
      <w:sz w:val="20"/>
      <w:szCs w:val="20"/>
      <w:u w:val="none"/>
    </w:rPr>
  </w:style>
  <w:style w:type="character" w:customStyle="1" w:styleId="17">
    <w:name w:val="font31"/>
    <w:basedOn w:val="13"/>
    <w:qFormat/>
    <w:uiPriority w:val="0"/>
    <w:rPr>
      <w:rFonts w:hint="eastAsia" w:ascii="微软雅黑" w:hAnsi="微软雅黑" w:eastAsia="微软雅黑" w:cs="微软雅黑"/>
      <w:b/>
      <w:bCs/>
      <w:color w:val="000000"/>
      <w:sz w:val="20"/>
      <w:szCs w:val="20"/>
      <w:u w:val="none"/>
    </w:rPr>
  </w:style>
  <w:style w:type="character" w:customStyle="1" w:styleId="18">
    <w:name w:val="font51"/>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34264</Words>
  <Characters>35253</Characters>
  <Lines>0</Lines>
  <Paragraphs>0</Paragraphs>
  <TotalTime>4</TotalTime>
  <ScaleCrop>false</ScaleCrop>
  <LinksUpToDate>false</LinksUpToDate>
  <CharactersWithSpaces>35604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2025-07-18T20:27:00Z</dcterms:created>
  <dc:creator>叶凯夫</dc:creator>
  <cp:lastModifiedBy>叶凯夫</cp:lastModifiedBy>
  <dcterms:modified xsi:type="dcterms:W3CDTF">2025-09-03T01:18:35Z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636B2F46E6684DBB963EEAA8AB190088_13</vt:lpwstr>
  </property>
  <property fmtid="{D5CDD505-2E9C-101B-9397-08002B2CF9AE}" pid="4" name="KSOTemplateDocerSaveRecord">
    <vt:lpwstr>eyJoZGlkIjoiNTc5YjNjYjA4MDg1OWZhMDVlNjAxODY5MWYyMWE4NzciLCJ1c2VySWQiOiIzNDQxNjM5ODYifQ==</vt:lpwstr>
  </property>
</Properties>
</file>