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C0545">
      <w:pPr>
        <w:pageBreakBefore w:val="0"/>
        <w:wordWrap/>
        <w:overflowPunct/>
        <w:autoSpaceDE/>
        <w:autoSpaceDN/>
        <w:bidi w:val="0"/>
        <w:spacing w:line="500" w:lineRule="exact"/>
        <w:contextualSpacing/>
        <w:jc w:val="center"/>
        <w:outlineLvl w:val="0"/>
        <w:rPr>
          <w:rFonts w:hint="eastAsia" w:ascii="宋体" w:hAnsi="宋体" w:cs="宋体"/>
          <w:b/>
          <w:sz w:val="44"/>
          <w:szCs w:val="44"/>
          <w:highlight w:val="none"/>
        </w:rPr>
      </w:pPr>
      <w:bookmarkStart w:id="0" w:name="_Toc9574"/>
      <w:bookmarkStart w:id="1" w:name="_Toc7019449"/>
      <w:bookmarkStart w:id="2" w:name="_Toc125032296"/>
      <w:r>
        <w:rPr>
          <w:rFonts w:hint="eastAsia" w:ascii="宋体" w:hAnsi="宋体" w:cs="宋体"/>
          <w:b/>
          <w:sz w:val="44"/>
          <w:szCs w:val="44"/>
          <w:highlight w:val="none"/>
        </w:rPr>
        <w:t>天河区柯木塱村城中村改造项目—首开区广建及其南北地块复建安置房及配套设施工程</w:t>
      </w:r>
    </w:p>
    <w:p w14:paraId="5E8B2FD4">
      <w:pPr>
        <w:pageBreakBefore w:val="0"/>
        <w:wordWrap/>
        <w:overflowPunct/>
        <w:autoSpaceDE/>
        <w:autoSpaceDN/>
        <w:bidi w:val="0"/>
        <w:spacing w:line="500" w:lineRule="exact"/>
        <w:ind w:firstLine="883" w:firstLineChars="200"/>
        <w:contextualSpacing/>
        <w:jc w:val="center"/>
        <w:outlineLvl w:val="0"/>
        <w:rPr>
          <w:rFonts w:hint="eastAsia" w:ascii="宋体" w:hAnsi="宋体" w:cs="宋体"/>
          <w:b/>
          <w:sz w:val="44"/>
          <w:szCs w:val="44"/>
          <w:highlight w:val="none"/>
        </w:rPr>
      </w:pPr>
      <w:r>
        <w:rPr>
          <w:rFonts w:hint="eastAsia" w:ascii="宋体" w:hAnsi="宋体" w:cs="宋体"/>
          <w:b/>
          <w:sz w:val="44"/>
          <w:szCs w:val="44"/>
          <w:highlight w:val="none"/>
        </w:rPr>
        <w:t>设计施工总承包施工管理要求</w:t>
      </w:r>
    </w:p>
    <w:bookmarkEnd w:id="0"/>
    <w:p w14:paraId="34DE7ED1">
      <w:pPr>
        <w:pageBreakBefore w:val="0"/>
        <w:wordWrap/>
        <w:overflowPunct/>
        <w:autoSpaceDE/>
        <w:autoSpaceDN/>
        <w:bidi w:val="0"/>
        <w:spacing w:line="500" w:lineRule="exact"/>
        <w:ind w:firstLine="482" w:firstLineChars="200"/>
        <w:contextualSpacing/>
        <w:jc w:val="center"/>
        <w:outlineLvl w:val="0"/>
        <w:rPr>
          <w:rFonts w:hint="eastAsia" w:ascii="宋体" w:hAnsi="宋体" w:cs="宋体"/>
          <w:b/>
          <w:bCs/>
          <w:sz w:val="24"/>
          <w:szCs w:val="24"/>
          <w:highlight w:val="none"/>
        </w:rPr>
      </w:pPr>
      <w:bookmarkStart w:id="3" w:name="_Toc4398"/>
      <w:bookmarkStart w:id="4" w:name="_Toc179898806"/>
    </w:p>
    <w:p w14:paraId="4F17EE0A">
      <w:pPr>
        <w:pageBreakBefore w:val="0"/>
        <w:wordWrap/>
        <w:overflowPunct/>
        <w:autoSpaceDE/>
        <w:autoSpaceDN/>
        <w:bidi w:val="0"/>
        <w:adjustRightInd w:val="0"/>
        <w:snapToGrid w:val="0"/>
        <w:spacing w:line="360" w:lineRule="auto"/>
        <w:ind w:firstLine="643" w:firstLineChars="200"/>
        <w:contextualSpacing/>
        <w:jc w:val="left"/>
        <w:rPr>
          <w:rFonts w:hint="eastAsia" w:ascii="黑体" w:hAnsi="黑体" w:eastAsia="黑体" w:cs="黑体"/>
          <w:b/>
          <w:spacing w:val="4"/>
          <w:sz w:val="32"/>
          <w:szCs w:val="32"/>
          <w:highlight w:val="none"/>
        </w:rPr>
      </w:pPr>
      <w:r>
        <w:rPr>
          <w:rFonts w:hint="eastAsia" w:ascii="黑体" w:hAnsi="黑体" w:eastAsia="黑体" w:cs="黑体"/>
          <w:b/>
          <w:bCs/>
          <w:sz w:val="32"/>
          <w:szCs w:val="32"/>
          <w:highlight w:val="none"/>
          <w:lang w:eastAsia="zh"/>
        </w:rPr>
        <w:t>一、工程概况</w:t>
      </w:r>
      <w:bookmarkEnd w:id="3"/>
      <w:bookmarkEnd w:id="4"/>
    </w:p>
    <w:p w14:paraId="6FAEE452">
      <w:pPr>
        <w:pageBreakBefore w:val="0"/>
        <w:wordWrap/>
        <w:overflowPunct/>
        <w:autoSpaceDE/>
        <w:autoSpaceDN/>
        <w:bidi w:val="0"/>
        <w:adjustRightInd w:val="0"/>
        <w:snapToGrid w:val="0"/>
        <w:spacing w:line="360" w:lineRule="auto"/>
        <w:ind w:firstLine="659" w:firstLineChars="200"/>
        <w:contextualSpacing/>
        <w:jc w:val="left"/>
        <w:rPr>
          <w:rFonts w:hint="eastAsia" w:ascii="仿宋" w:hAnsi="仿宋" w:eastAsia="仿宋" w:cs="仿宋"/>
          <w:bCs/>
          <w:spacing w:val="4"/>
          <w:sz w:val="32"/>
          <w:szCs w:val="32"/>
          <w:highlight w:val="none"/>
        </w:rPr>
      </w:pPr>
      <w:r>
        <w:rPr>
          <w:rFonts w:hint="eastAsia" w:ascii="楷体" w:hAnsi="楷体" w:eastAsia="楷体" w:cs="楷体"/>
          <w:b/>
          <w:spacing w:val="4"/>
          <w:sz w:val="32"/>
          <w:szCs w:val="32"/>
          <w:highlight w:val="none"/>
          <w:lang w:eastAsia="zh"/>
        </w:rPr>
        <w:t>（一</w:t>
      </w:r>
      <w:bookmarkStart w:id="5" w:name="_Hlk196724643"/>
      <w:r>
        <w:rPr>
          <w:rFonts w:hint="eastAsia" w:ascii="楷体" w:hAnsi="楷体" w:eastAsia="楷体" w:cs="楷体"/>
          <w:b/>
          <w:spacing w:val="4"/>
          <w:sz w:val="32"/>
          <w:szCs w:val="32"/>
          <w:highlight w:val="none"/>
          <w:lang w:eastAsia="zh"/>
        </w:rPr>
        <w:t>）项目名称：</w:t>
      </w:r>
      <w:bookmarkStart w:id="6" w:name="_Hlk196724515"/>
      <w:r>
        <w:rPr>
          <w:rFonts w:ascii="仿宋" w:hAnsi="仿宋" w:eastAsia="仿宋" w:cs="仿宋"/>
          <w:bCs/>
          <w:spacing w:val="4"/>
          <w:sz w:val="32"/>
          <w:szCs w:val="32"/>
          <w:highlight w:val="none"/>
          <w:lang w:eastAsia="zh"/>
        </w:rPr>
        <w:t>天河区</w:t>
      </w:r>
      <w:r>
        <w:rPr>
          <w:rFonts w:hint="eastAsia" w:ascii="仿宋" w:hAnsi="仿宋" w:eastAsia="仿宋" w:cs="仿宋"/>
          <w:bCs/>
          <w:spacing w:val="4"/>
          <w:sz w:val="32"/>
          <w:szCs w:val="32"/>
          <w:highlight w:val="none"/>
        </w:rPr>
        <w:t>柯木塱</w:t>
      </w:r>
      <w:r>
        <w:rPr>
          <w:rFonts w:ascii="仿宋" w:hAnsi="仿宋" w:eastAsia="仿宋" w:cs="仿宋"/>
          <w:bCs/>
          <w:spacing w:val="4"/>
          <w:sz w:val="32"/>
          <w:szCs w:val="32"/>
          <w:highlight w:val="none"/>
          <w:lang w:eastAsia="zh"/>
        </w:rPr>
        <w:t>村城中村改造项目-</w:t>
      </w:r>
      <w:bookmarkEnd w:id="5"/>
      <w:bookmarkEnd w:id="6"/>
      <w:r>
        <w:rPr>
          <w:rFonts w:hint="eastAsia" w:ascii="仿宋" w:hAnsi="仿宋" w:eastAsia="仿宋" w:cs="仿宋"/>
          <w:bCs/>
          <w:spacing w:val="4"/>
          <w:sz w:val="32"/>
          <w:szCs w:val="32"/>
          <w:highlight w:val="none"/>
          <w:lang w:eastAsia="zh"/>
        </w:rPr>
        <w:t>首开区广建及其南北地块复建安置房及配套设施工程设计施工总承包</w:t>
      </w:r>
    </w:p>
    <w:p w14:paraId="5206B285">
      <w:pPr>
        <w:pageBreakBefore w:val="0"/>
        <w:wordWrap/>
        <w:overflowPunct/>
        <w:autoSpaceDE/>
        <w:autoSpaceDN/>
        <w:bidi w:val="0"/>
        <w:adjustRightInd w:val="0"/>
        <w:snapToGrid w:val="0"/>
        <w:spacing w:line="360" w:lineRule="auto"/>
        <w:ind w:firstLine="659" w:firstLineChars="200"/>
        <w:contextualSpacing/>
        <w:rPr>
          <w:rFonts w:hint="eastAsia" w:ascii="仿宋" w:hAnsi="仿宋" w:eastAsia="仿宋" w:cs="仿宋"/>
          <w:bCs/>
          <w:spacing w:val="4"/>
          <w:sz w:val="32"/>
          <w:szCs w:val="32"/>
          <w:highlight w:val="none"/>
        </w:rPr>
      </w:pPr>
      <w:r>
        <w:rPr>
          <w:rFonts w:hint="eastAsia" w:ascii="楷体" w:hAnsi="楷体" w:eastAsia="楷体" w:cs="楷体"/>
          <w:b/>
          <w:spacing w:val="4"/>
          <w:sz w:val="32"/>
          <w:szCs w:val="32"/>
          <w:highlight w:val="none"/>
          <w:lang w:eastAsia="zh"/>
        </w:rPr>
        <w:t>（二）建设地点</w:t>
      </w:r>
      <w:r>
        <w:rPr>
          <w:rFonts w:ascii="仿宋" w:hAnsi="仿宋" w:eastAsia="仿宋" w:cs="仿宋"/>
          <w:b/>
          <w:spacing w:val="4"/>
          <w:sz w:val="32"/>
          <w:szCs w:val="32"/>
          <w:highlight w:val="none"/>
        </w:rPr>
        <w:t>：</w:t>
      </w:r>
      <w:r>
        <w:rPr>
          <w:rFonts w:ascii="仿宋" w:hAnsi="仿宋" w:eastAsia="仿宋" w:cs="仿宋"/>
          <w:bCs/>
          <w:spacing w:val="4"/>
          <w:sz w:val="32"/>
          <w:szCs w:val="32"/>
          <w:highlight w:val="none"/>
          <w:lang w:bidi="ar"/>
        </w:rPr>
        <w:t>天河区</w:t>
      </w:r>
      <w:r>
        <w:rPr>
          <w:rFonts w:ascii="仿宋" w:hAnsi="仿宋" w:eastAsia="仿宋" w:cs="仿宋"/>
          <w:bCs/>
          <w:spacing w:val="4"/>
          <w:sz w:val="32"/>
          <w:szCs w:val="32"/>
          <w:highlight w:val="none"/>
          <w:lang w:eastAsia="zh" w:bidi="ar"/>
        </w:rPr>
        <w:t>。</w:t>
      </w:r>
    </w:p>
    <w:p w14:paraId="4DAD9338">
      <w:pPr>
        <w:pageBreakBefore w:val="0"/>
        <w:wordWrap/>
        <w:overflowPunct/>
        <w:autoSpaceDE/>
        <w:autoSpaceDN/>
        <w:bidi w:val="0"/>
        <w:adjustRightInd w:val="0"/>
        <w:snapToGrid w:val="0"/>
        <w:spacing w:line="360" w:lineRule="auto"/>
        <w:ind w:firstLine="659" w:firstLineChars="200"/>
        <w:contextualSpacing/>
        <w:jc w:val="left"/>
        <w:rPr>
          <w:rFonts w:hint="eastAsia" w:ascii="楷体" w:hAnsi="楷体" w:eastAsia="楷体" w:cs="楷体"/>
          <w:bCs/>
          <w:spacing w:val="4"/>
          <w:sz w:val="32"/>
          <w:szCs w:val="32"/>
          <w:highlight w:val="none"/>
        </w:rPr>
      </w:pPr>
      <w:r>
        <w:rPr>
          <w:rFonts w:hint="eastAsia" w:ascii="楷体" w:hAnsi="楷体" w:eastAsia="楷体" w:cs="楷体"/>
          <w:b/>
          <w:spacing w:val="4"/>
          <w:sz w:val="32"/>
          <w:szCs w:val="32"/>
          <w:highlight w:val="none"/>
          <w:lang w:eastAsia="zh"/>
        </w:rPr>
        <w:t>（三）承包范围及内容</w:t>
      </w:r>
      <w:r>
        <w:rPr>
          <w:rFonts w:hint="eastAsia" w:ascii="楷体" w:hAnsi="楷体" w:eastAsia="楷体" w:cs="楷体"/>
          <w:bCs/>
          <w:spacing w:val="4"/>
          <w:sz w:val="32"/>
          <w:szCs w:val="32"/>
          <w:highlight w:val="none"/>
        </w:rPr>
        <w:t>：</w:t>
      </w:r>
    </w:p>
    <w:p w14:paraId="2D5B3653">
      <w:pPr>
        <w:pageBreakBefore w:val="0"/>
        <w:wordWrap/>
        <w:overflowPunct/>
        <w:autoSpaceDE/>
        <w:autoSpaceDN/>
        <w:bidi w:val="0"/>
        <w:spacing w:line="360" w:lineRule="auto"/>
        <w:ind w:firstLine="624" w:firstLineChars="200"/>
        <w:contextualSpacing/>
        <w:rPr>
          <w:rFonts w:hint="eastAsia" w:ascii="仿宋" w:hAnsi="仿宋" w:eastAsia="仿宋" w:cs="仿宋"/>
          <w:snapToGrid w:val="0"/>
          <w:spacing w:val="4"/>
          <w:kern w:val="0"/>
          <w:sz w:val="32"/>
          <w:szCs w:val="32"/>
          <w:highlight w:val="none"/>
          <w:lang w:eastAsia="zh" w:bidi="ar"/>
        </w:rPr>
      </w:pPr>
      <w:r>
        <w:rPr>
          <w:rFonts w:hint="eastAsia" w:ascii="仿宋" w:hAnsi="仿宋" w:eastAsia="仿宋" w:cs="仿宋"/>
          <w:spacing w:val="-4"/>
          <w:kern w:val="0"/>
          <w:sz w:val="32"/>
          <w:szCs w:val="32"/>
          <w:highlight w:val="none"/>
          <w:lang w:val="en-US" w:eastAsia="zh-CN" w:bidi="ar"/>
        </w:rPr>
        <w:t>1.</w:t>
      </w:r>
      <w:r>
        <w:rPr>
          <w:rFonts w:hint="eastAsia" w:ascii="仿宋" w:hAnsi="仿宋" w:eastAsia="仿宋" w:cs="仿宋"/>
          <w:snapToGrid w:val="0"/>
          <w:spacing w:val="4"/>
          <w:kern w:val="0"/>
          <w:sz w:val="32"/>
          <w:szCs w:val="32"/>
          <w:highlight w:val="none"/>
          <w:lang w:eastAsia="zh" w:bidi="ar"/>
        </w:rPr>
        <w:t>承包范围：按发包人确认的施工图纸、图纸会审记录和有关变更文件、资料、招标文件、承包人投标文件以及双方签订的有关协议所包含的内容。包深化设计、包BIM、包材料、包施工、包质量、包工期、包联合调试、包施工安全、包文明施工、包成品（半成品）保护、包调试与检测、包周边房屋安全鉴定、配合第三方检测及监测、包试运行、包验收合格、包培训、包质保期内工程质量保修、包现场组织和协调、包工程备案、包竣工验收及备案资料、包税费、包配合整体竣工验收（含相关工程资料收集整理）、包因验收（合同范围内）不能通过所需要发生的整改费用，包通水、包通电、包通燃气、包通讯、包移交、包结算、包创优工程的组织实施工作和资料整理、包承包人应当购买的保险、包竣工图编制（须满足规划等各专项验收要求）等，包控制投资、包报批报建、以及包承包人按照税收法律法规规定须承担为履行此合同在中华人民共和国境内外所必须缴纳的一切直接或间接税费及规费（包括但不限于增值税、企业所得税、个人所得税、关税等税费，此税费及规费应已包括可能涉及的合同价格调整）等工作及其它相关服务内容。</w:t>
      </w:r>
    </w:p>
    <w:p w14:paraId="6E7441FF">
      <w:pPr>
        <w:pageBreakBefore w:val="0"/>
        <w:wordWrap/>
        <w:overflowPunct/>
        <w:autoSpaceDE/>
        <w:autoSpaceDN/>
        <w:bidi w:val="0"/>
        <w:snapToGrid w:val="0"/>
        <w:spacing w:line="360" w:lineRule="auto"/>
        <w:ind w:firstLine="640" w:firstLineChars="200"/>
        <w:contextualSpacing/>
        <w:jc w:val="left"/>
        <w:rPr>
          <w:rFonts w:hint="eastAsia" w:ascii="仿宋" w:hAnsi="仿宋" w:eastAsia="仿宋" w:cs="仿宋"/>
          <w:snapToGrid w:val="0"/>
          <w:spacing w:val="4"/>
          <w:kern w:val="0"/>
          <w:sz w:val="32"/>
          <w:szCs w:val="32"/>
          <w:highlight w:val="none"/>
          <w:lang w:eastAsia="zh" w:bidi="ar"/>
        </w:rPr>
      </w:pPr>
      <w:r>
        <w:rPr>
          <w:rFonts w:hint="eastAsia" w:ascii="仿宋" w:hAnsi="仿宋" w:eastAsia="仿宋" w:cs="仿宋"/>
          <w:sz w:val="32"/>
          <w:szCs w:val="32"/>
          <w:lang w:val="en-US" w:eastAsia="zh-CN" w:bidi="ar"/>
        </w:rPr>
        <w:t>2.</w:t>
      </w:r>
      <w:r>
        <w:rPr>
          <w:rFonts w:hint="eastAsia" w:ascii="仿宋" w:hAnsi="仿宋" w:eastAsia="仿宋" w:cs="仿宋"/>
          <w:snapToGrid w:val="0"/>
          <w:spacing w:val="4"/>
          <w:kern w:val="0"/>
          <w:sz w:val="32"/>
          <w:szCs w:val="32"/>
          <w:lang w:eastAsia="zh" w:bidi="ar"/>
        </w:rPr>
        <w:t>总承包</w:t>
      </w:r>
      <w:r>
        <w:rPr>
          <w:rFonts w:hint="eastAsia" w:ascii="仿宋" w:hAnsi="仿宋" w:eastAsia="仿宋" w:cs="仿宋"/>
          <w:snapToGrid w:val="0"/>
          <w:spacing w:val="4"/>
          <w:kern w:val="0"/>
          <w:sz w:val="32"/>
          <w:szCs w:val="32"/>
          <w:highlight w:val="none"/>
          <w:lang w:eastAsia="zh" w:bidi="ar"/>
        </w:rPr>
        <w:t>内容：负责完成本项目所需的所有的施工工作包括但不限于：基坑支护与土石方工程、永久边坡支护（包括排洪渠）与土石方、管线迁改、特殊地基处理、</w:t>
      </w:r>
      <w:r>
        <w:rPr>
          <w:rFonts w:hint="eastAsia" w:ascii="仿宋" w:hAnsi="仿宋" w:eastAsia="仿宋" w:cs="仿宋"/>
          <w:sz w:val="32"/>
          <w:szCs w:val="32"/>
          <w:highlight w:val="none"/>
          <w:lang w:val="en-US" w:eastAsia="zh-CN"/>
        </w:rPr>
        <w:t>原有基础拆除（如有）</w:t>
      </w:r>
      <w:r>
        <w:rPr>
          <w:rFonts w:hint="eastAsia" w:ascii="仿宋" w:hAnsi="仿宋" w:eastAsia="仿宋" w:cs="仿宋"/>
          <w:sz w:val="32"/>
          <w:szCs w:val="32"/>
          <w:highlight w:val="none"/>
        </w:rPr>
        <w:t>、</w:t>
      </w:r>
      <w:r>
        <w:rPr>
          <w:rFonts w:hint="eastAsia" w:ascii="仿宋" w:hAnsi="仿宋" w:eastAsia="仿宋" w:cs="仿宋"/>
          <w:snapToGrid w:val="0"/>
          <w:spacing w:val="4"/>
          <w:kern w:val="0"/>
          <w:sz w:val="32"/>
          <w:szCs w:val="32"/>
          <w:highlight w:val="none"/>
          <w:lang w:eastAsia="zh" w:bidi="ar"/>
        </w:rPr>
        <w:t>桩基础工程、土方工程、建筑工程、装配式建筑工程、</w:t>
      </w:r>
      <w:r>
        <w:rPr>
          <w:rFonts w:hint="eastAsia" w:ascii="仿宋" w:hAnsi="仿宋" w:eastAsia="仿宋" w:cs="仿宋"/>
          <w:snapToGrid w:val="0"/>
          <w:spacing w:val="4"/>
          <w:kern w:val="0"/>
          <w:sz w:val="32"/>
          <w:szCs w:val="32"/>
          <w:highlight w:val="none"/>
          <w:lang w:val="en-US" w:eastAsia="zh-CN" w:bidi="ar"/>
        </w:rPr>
        <w:t>模块化建筑、</w:t>
      </w:r>
      <w:r>
        <w:rPr>
          <w:rFonts w:hint="eastAsia" w:ascii="仿宋" w:hAnsi="仿宋" w:eastAsia="仿宋" w:cs="仿宋"/>
          <w:snapToGrid w:val="0"/>
          <w:spacing w:val="4"/>
          <w:kern w:val="0"/>
          <w:sz w:val="32"/>
          <w:szCs w:val="32"/>
          <w:highlight w:val="none"/>
          <w:lang w:eastAsia="zh" w:bidi="ar"/>
        </w:rPr>
        <w:t>装饰装修工程、电气工程、智能化工程、暖通工程、给排水工程、消防工程、机电设备安装工程（含柴油发电机及环保工程）、电梯工程、人防工程、防水工程、燃气工程、交通标线、标识（含地下室）、临时用水、临时用电、永久用水、永久用电、白蚁防治、室外工程（包括绿化、室外管网、室外园建、小区道路、海绵城市、临时道路等）、垃圾收集、网络、有线电视、信号覆盖、泛光照明、永久围墙、大门门岗、防护绿地、零星工程（包括但不限于安装或吊装构件的预埋件和连接件、楼宇门牌标识的制作安装、信报箱制安及通邮申报工作等附属配套工程）、绿色施工、智慧工地建设及配套设施工程、竣工图编制等。</w:t>
      </w:r>
    </w:p>
    <w:p w14:paraId="085F5E31">
      <w:pPr>
        <w:pageBreakBefore w:val="0"/>
        <w:wordWrap/>
        <w:overflowPunct/>
        <w:autoSpaceDE/>
        <w:autoSpaceDN/>
        <w:bidi w:val="0"/>
        <w:spacing w:line="360" w:lineRule="auto"/>
        <w:ind w:firstLine="659" w:firstLineChars="200"/>
        <w:contextualSpacing/>
        <w:jc w:val="left"/>
        <w:rPr>
          <w:rFonts w:hint="eastAsia" w:ascii="黑体" w:hAnsi="黑体" w:eastAsia="黑体" w:cs="黑体"/>
          <w:b/>
          <w:sz w:val="32"/>
          <w:szCs w:val="32"/>
        </w:rPr>
      </w:pPr>
      <w:r>
        <w:rPr>
          <w:rFonts w:hint="eastAsia" w:ascii="黑体" w:hAnsi="黑体" w:eastAsia="黑体" w:cs="黑体"/>
          <w:b/>
          <w:spacing w:val="4"/>
          <w:sz w:val="32"/>
          <w:szCs w:val="32"/>
          <w:lang w:eastAsia="zh"/>
        </w:rPr>
        <w:t>二、</w:t>
      </w:r>
      <w:bookmarkStart w:id="7" w:name="_Toc7524"/>
      <w:r>
        <w:rPr>
          <w:rFonts w:hint="eastAsia" w:ascii="黑体" w:hAnsi="黑体" w:eastAsia="黑体" w:cs="黑体"/>
          <w:b/>
          <w:sz w:val="32"/>
          <w:szCs w:val="32"/>
        </w:rPr>
        <w:t>项目现状</w:t>
      </w:r>
      <w:bookmarkEnd w:id="7"/>
    </w:p>
    <w:p w14:paraId="12EBC31D">
      <w:pPr>
        <w:pStyle w:val="39"/>
        <w:pageBreakBefore w:val="0"/>
        <w:widowControl w:val="0"/>
        <w:wordWrap/>
        <w:overflowPunct/>
        <w:autoSpaceDE/>
        <w:autoSpaceDN/>
        <w:bidi w:val="0"/>
        <w:ind w:firstLine="659" w:firstLineChars="200"/>
        <w:contextualSpacing/>
        <w:outlineLvl w:val="2"/>
        <w:rPr>
          <w:rFonts w:hint="eastAsia" w:ascii="仿宋" w:hAnsi="仿宋" w:eastAsia="仿宋" w:cs="仿宋"/>
          <w:b/>
          <w:bCs/>
          <w:sz w:val="32"/>
          <w:szCs w:val="32"/>
          <w:highlight w:val="none"/>
        </w:rPr>
      </w:pPr>
      <w:r>
        <w:rPr>
          <w:rFonts w:hint="eastAsia" w:ascii="楷体" w:hAnsi="楷体" w:eastAsia="楷体" w:cs="楷体"/>
          <w:b/>
          <w:bCs/>
          <w:sz w:val="32"/>
          <w:szCs w:val="32"/>
          <w:highlight w:val="none"/>
          <w:lang w:eastAsia="zh"/>
        </w:rPr>
        <w:t>（一）</w:t>
      </w:r>
      <w:r>
        <w:rPr>
          <w:rFonts w:hint="eastAsia" w:ascii="楷体" w:hAnsi="楷体" w:eastAsia="楷体" w:cs="楷体"/>
          <w:b/>
          <w:bCs/>
          <w:sz w:val="32"/>
          <w:szCs w:val="32"/>
          <w:highlight w:val="none"/>
        </w:rPr>
        <w:t>临水临电</w:t>
      </w:r>
    </w:p>
    <w:p w14:paraId="778872CB">
      <w:pPr>
        <w:pStyle w:val="39"/>
        <w:pageBreakBefore w:val="0"/>
        <w:wordWrap/>
        <w:overflowPunct/>
        <w:autoSpaceDE/>
        <w:autoSpaceDN/>
        <w:bidi w:val="0"/>
        <w:ind w:firstLine="656" w:firstLineChars="200"/>
        <w:outlineLvl w:val="2"/>
        <w:rPr>
          <w:rFonts w:hint="eastAsia" w:ascii="仿宋" w:hAnsi="仿宋" w:eastAsia="仿宋" w:cs="仿宋"/>
          <w:kern w:val="0"/>
          <w:sz w:val="32"/>
          <w:szCs w:val="32"/>
          <w:highlight w:val="none"/>
          <w:lang w:eastAsia="zh" w:bidi="ar"/>
        </w:rPr>
      </w:pPr>
      <w:r>
        <w:rPr>
          <w:rFonts w:hint="eastAsia" w:ascii="仿宋" w:hAnsi="仿宋" w:eastAsia="仿宋" w:cs="仿宋"/>
          <w:kern w:val="0"/>
          <w:sz w:val="32"/>
          <w:szCs w:val="32"/>
          <w:highlight w:val="none"/>
          <w:lang w:eastAsia="zh" w:bidi="ar"/>
        </w:rPr>
        <w:t>本工程的施工临时用水、</w:t>
      </w:r>
      <w:r>
        <w:rPr>
          <w:rFonts w:hint="eastAsia" w:ascii="仿宋" w:hAnsi="仿宋" w:eastAsia="仿宋" w:cs="仿宋"/>
          <w:kern w:val="0"/>
          <w:sz w:val="32"/>
          <w:szCs w:val="32"/>
          <w:highlight w:val="none"/>
          <w:lang w:val="en-US" w:eastAsia="zh-CN" w:bidi="ar"/>
        </w:rPr>
        <w:t>临时</w:t>
      </w:r>
      <w:r>
        <w:rPr>
          <w:rFonts w:hint="eastAsia" w:ascii="仿宋" w:hAnsi="仿宋" w:eastAsia="仿宋" w:cs="仿宋"/>
          <w:kern w:val="0"/>
          <w:sz w:val="32"/>
          <w:szCs w:val="32"/>
          <w:highlight w:val="none"/>
          <w:lang w:eastAsia="zh" w:bidi="ar"/>
        </w:rPr>
        <w:t>用电由</w:t>
      </w:r>
      <w:r>
        <w:rPr>
          <w:rFonts w:hint="eastAsia" w:ascii="仿宋" w:hAnsi="仿宋" w:eastAsia="仿宋" w:cs="仿宋"/>
          <w:kern w:val="0"/>
          <w:sz w:val="32"/>
          <w:szCs w:val="32"/>
          <w:highlight w:val="none"/>
          <w:lang w:bidi="ar"/>
        </w:rPr>
        <w:t>承包人</w:t>
      </w:r>
      <w:r>
        <w:rPr>
          <w:rFonts w:hint="eastAsia" w:ascii="仿宋" w:hAnsi="仿宋" w:eastAsia="仿宋" w:cs="仿宋"/>
          <w:kern w:val="0"/>
          <w:sz w:val="32"/>
          <w:szCs w:val="32"/>
          <w:highlight w:val="none"/>
          <w:lang w:eastAsia="zh" w:bidi="ar"/>
        </w:rPr>
        <w:t>实施。同时承包人应</w:t>
      </w:r>
      <w:r>
        <w:rPr>
          <w:rFonts w:ascii="仿宋" w:hAnsi="仿宋" w:eastAsia="仿宋" w:cs="仿宋"/>
          <w:kern w:val="0"/>
          <w:sz w:val="32"/>
          <w:szCs w:val="32"/>
          <w:highlight w:val="none"/>
          <w:lang w:bidi="ar"/>
        </w:rPr>
        <w:t>自行摸查</w:t>
      </w:r>
      <w:r>
        <w:rPr>
          <w:rFonts w:hint="eastAsia" w:ascii="仿宋" w:hAnsi="仿宋" w:eastAsia="仿宋" w:cs="仿宋"/>
          <w:kern w:val="0"/>
          <w:sz w:val="32"/>
          <w:szCs w:val="32"/>
          <w:highlight w:val="none"/>
          <w:lang w:eastAsia="zh" w:bidi="ar"/>
        </w:rPr>
        <w:t>本工程</w:t>
      </w:r>
      <w:r>
        <w:rPr>
          <w:rFonts w:ascii="仿宋" w:hAnsi="仿宋" w:eastAsia="仿宋" w:cs="仿宋"/>
          <w:kern w:val="0"/>
          <w:sz w:val="32"/>
          <w:szCs w:val="32"/>
          <w:highlight w:val="none"/>
          <w:lang w:bidi="ar"/>
        </w:rPr>
        <w:t>所属区域及周边的接驳点，根据接取点综合考虑</w:t>
      </w:r>
      <w:r>
        <w:rPr>
          <w:rFonts w:hint="eastAsia" w:ascii="仿宋" w:hAnsi="仿宋" w:eastAsia="仿宋" w:cs="仿宋"/>
          <w:kern w:val="0"/>
          <w:sz w:val="32"/>
          <w:szCs w:val="32"/>
          <w:highlight w:val="none"/>
          <w:lang w:eastAsia="zh" w:bidi="ar"/>
        </w:rPr>
        <w:t>临水临电接入</w:t>
      </w:r>
      <w:r>
        <w:rPr>
          <w:rFonts w:ascii="仿宋" w:hAnsi="仿宋" w:eastAsia="仿宋" w:cs="仿宋"/>
          <w:kern w:val="0"/>
          <w:sz w:val="32"/>
          <w:szCs w:val="32"/>
          <w:highlight w:val="none"/>
          <w:lang w:bidi="ar"/>
        </w:rPr>
        <w:t>路由</w:t>
      </w:r>
      <w:r>
        <w:rPr>
          <w:rFonts w:hint="eastAsia" w:ascii="仿宋" w:hAnsi="仿宋" w:eastAsia="仿宋" w:cs="仿宋"/>
          <w:kern w:val="0"/>
          <w:sz w:val="32"/>
          <w:szCs w:val="32"/>
          <w:highlight w:val="none"/>
          <w:lang w:eastAsia="zh" w:bidi="ar"/>
        </w:rPr>
        <w:t>。若前期临</w:t>
      </w:r>
      <w:r>
        <w:rPr>
          <w:rFonts w:ascii="仿宋" w:hAnsi="仿宋" w:eastAsia="仿宋" w:cs="仿宋"/>
          <w:kern w:val="0"/>
          <w:sz w:val="32"/>
          <w:szCs w:val="32"/>
          <w:highlight w:val="none"/>
          <w:lang w:bidi="ar"/>
        </w:rPr>
        <w:t>时用水用电</w:t>
      </w:r>
      <w:r>
        <w:rPr>
          <w:rFonts w:hint="eastAsia" w:ascii="仿宋" w:hAnsi="仿宋" w:eastAsia="仿宋" w:cs="仿宋"/>
          <w:kern w:val="0"/>
          <w:sz w:val="32"/>
          <w:szCs w:val="32"/>
          <w:highlight w:val="none"/>
          <w:lang w:eastAsia="zh" w:bidi="ar"/>
        </w:rPr>
        <w:t>暂未开通</w:t>
      </w:r>
      <w:r>
        <w:rPr>
          <w:rFonts w:ascii="仿宋" w:hAnsi="仿宋" w:eastAsia="仿宋" w:cs="仿宋"/>
          <w:kern w:val="0"/>
          <w:sz w:val="32"/>
          <w:szCs w:val="32"/>
          <w:highlight w:val="none"/>
          <w:lang w:bidi="ar"/>
        </w:rPr>
        <w:t>，</w:t>
      </w:r>
      <w:r>
        <w:rPr>
          <w:rFonts w:hint="eastAsia" w:ascii="仿宋" w:hAnsi="仿宋" w:eastAsia="仿宋" w:cs="仿宋"/>
          <w:kern w:val="0"/>
          <w:sz w:val="32"/>
          <w:szCs w:val="32"/>
          <w:highlight w:val="none"/>
          <w:lang w:eastAsia="zh" w:bidi="ar"/>
        </w:rPr>
        <w:t>承包人须自行协调采取其它</w:t>
      </w:r>
      <w:r>
        <w:rPr>
          <w:rFonts w:ascii="仿宋" w:hAnsi="仿宋" w:eastAsia="仿宋" w:cs="仿宋"/>
          <w:kern w:val="0"/>
          <w:sz w:val="32"/>
          <w:szCs w:val="32"/>
          <w:highlight w:val="none"/>
          <w:lang w:bidi="ar"/>
        </w:rPr>
        <w:t>接驳水电</w:t>
      </w:r>
      <w:r>
        <w:rPr>
          <w:rFonts w:hint="eastAsia" w:ascii="仿宋" w:hAnsi="仿宋" w:eastAsia="仿宋" w:cs="仿宋"/>
          <w:kern w:val="0"/>
          <w:sz w:val="32"/>
          <w:szCs w:val="32"/>
          <w:highlight w:val="none"/>
          <w:lang w:eastAsia="zh" w:bidi="ar"/>
        </w:rPr>
        <w:t>方案</w:t>
      </w:r>
      <w:r>
        <w:rPr>
          <w:rFonts w:ascii="仿宋" w:hAnsi="仿宋" w:eastAsia="仿宋" w:cs="仿宋"/>
          <w:kern w:val="0"/>
          <w:sz w:val="32"/>
          <w:szCs w:val="32"/>
          <w:highlight w:val="none"/>
          <w:lang w:bidi="ar"/>
        </w:rPr>
        <w:t>确保工程进度正常实施。</w:t>
      </w:r>
      <w:r>
        <w:rPr>
          <w:rFonts w:hint="eastAsia" w:ascii="仿宋" w:hAnsi="仿宋" w:eastAsia="仿宋" w:cs="仿宋"/>
          <w:kern w:val="0"/>
          <w:sz w:val="32"/>
          <w:szCs w:val="32"/>
          <w:highlight w:val="none"/>
          <w:lang w:eastAsia="zh" w:bidi="ar"/>
        </w:rPr>
        <w:t>相关费用含在安全防护、文明施工措施费/绿色施工安全防护措施费中，发包人不另行计列。</w:t>
      </w:r>
    </w:p>
    <w:p w14:paraId="7E4380BD">
      <w:pPr>
        <w:pStyle w:val="39"/>
        <w:pageBreakBefore w:val="0"/>
        <w:widowControl w:val="0"/>
        <w:wordWrap/>
        <w:overflowPunct/>
        <w:autoSpaceDE/>
        <w:autoSpaceDN/>
        <w:bidi w:val="0"/>
        <w:ind w:firstLine="659" w:firstLineChars="200"/>
        <w:contextualSpacing/>
        <w:outlineLvl w:val="2"/>
        <w:rPr>
          <w:rFonts w:hint="eastAsia" w:ascii="仿宋" w:hAnsi="仿宋" w:eastAsia="仿宋" w:cs="仿宋"/>
          <w:bCs/>
          <w:sz w:val="32"/>
          <w:szCs w:val="32"/>
        </w:rPr>
      </w:pPr>
      <w:r>
        <w:rPr>
          <w:rFonts w:hint="eastAsia" w:ascii="楷体" w:hAnsi="楷体" w:eastAsia="楷体" w:cs="楷体"/>
          <w:b/>
          <w:bCs/>
          <w:sz w:val="32"/>
          <w:szCs w:val="32"/>
          <w:lang w:eastAsia="zh"/>
        </w:rPr>
        <w:t>（二）场地条件</w:t>
      </w:r>
    </w:p>
    <w:p w14:paraId="7E80C3CA">
      <w:pPr>
        <w:pStyle w:val="39"/>
        <w:pageBreakBefore w:val="0"/>
        <w:widowControl w:val="0"/>
        <w:wordWrap/>
        <w:overflowPunct/>
        <w:autoSpaceDE/>
        <w:autoSpaceDN/>
        <w:bidi w:val="0"/>
        <w:ind w:firstLine="656" w:firstLineChars="200"/>
        <w:contextualSpacing/>
        <w:outlineLvl w:val="2"/>
        <w:rPr>
          <w:rFonts w:hint="eastAsia" w:ascii="仿宋" w:hAnsi="仿宋" w:eastAsia="仿宋" w:cs="仿宋"/>
          <w:kern w:val="0"/>
          <w:sz w:val="32"/>
          <w:szCs w:val="32"/>
          <w:highlight w:val="none"/>
          <w:lang w:eastAsia="zh-CN" w:bidi="ar"/>
        </w:rPr>
      </w:pPr>
      <w:r>
        <w:rPr>
          <w:rFonts w:hint="eastAsia" w:ascii="仿宋" w:hAnsi="仿宋" w:eastAsia="仿宋" w:cs="仿宋"/>
          <w:kern w:val="0"/>
          <w:sz w:val="32"/>
          <w:szCs w:val="32"/>
          <w:highlight w:val="none"/>
          <w:lang w:eastAsia="zh" w:bidi="ar"/>
        </w:rPr>
        <w:t>1.</w:t>
      </w:r>
      <w:r>
        <w:rPr>
          <w:rFonts w:hint="eastAsia" w:ascii="仿宋" w:hAnsi="仿宋" w:eastAsia="仿宋" w:cs="仿宋"/>
          <w:kern w:val="0"/>
          <w:sz w:val="32"/>
          <w:szCs w:val="32"/>
          <w:highlight w:val="none"/>
          <w:lang w:val="en-US" w:eastAsia="zh-CN" w:bidi="ar"/>
        </w:rPr>
        <w:t>复建物业楼</w:t>
      </w:r>
      <w:r>
        <w:rPr>
          <w:rFonts w:hint="eastAsia" w:ascii="仿宋" w:hAnsi="仿宋" w:eastAsia="仿宋" w:cs="仿宋"/>
          <w:kern w:val="0"/>
          <w:sz w:val="32"/>
          <w:szCs w:val="32"/>
          <w:highlight w:val="none"/>
          <w:lang w:eastAsia="zh" w:bidi="ar"/>
        </w:rPr>
        <w:t>属于柯木塱村自建</w:t>
      </w:r>
      <w:r>
        <w:rPr>
          <w:rFonts w:hint="eastAsia" w:ascii="仿宋" w:hAnsi="仿宋" w:eastAsia="仿宋" w:cs="仿宋"/>
          <w:kern w:val="0"/>
          <w:sz w:val="32"/>
          <w:szCs w:val="32"/>
          <w:highlight w:val="none"/>
          <w:lang w:val="en-US" w:eastAsia="zh-CN" w:bidi="ar"/>
        </w:rPr>
        <w:t>复建</w:t>
      </w:r>
      <w:r>
        <w:rPr>
          <w:rFonts w:hint="eastAsia" w:ascii="仿宋" w:hAnsi="仿宋" w:eastAsia="仿宋" w:cs="仿宋"/>
          <w:kern w:val="0"/>
          <w:sz w:val="32"/>
          <w:szCs w:val="32"/>
          <w:highlight w:val="none"/>
          <w:lang w:eastAsia="zh" w:bidi="ar"/>
        </w:rPr>
        <w:t>物业，不在本次招标范围内。承包人需按要求预留</w:t>
      </w:r>
      <w:r>
        <w:rPr>
          <w:rFonts w:hint="eastAsia" w:ascii="仿宋" w:hAnsi="仿宋" w:eastAsia="仿宋" w:cs="仿宋"/>
          <w:kern w:val="0"/>
          <w:sz w:val="32"/>
          <w:szCs w:val="32"/>
          <w:highlight w:val="none"/>
          <w:lang w:val="en-US" w:eastAsia="zh-CN" w:bidi="ar"/>
        </w:rPr>
        <w:t>该楼</w:t>
      </w:r>
      <w:r>
        <w:rPr>
          <w:rFonts w:hint="eastAsia" w:ascii="仿宋" w:hAnsi="仿宋" w:eastAsia="仿宋" w:cs="仿宋"/>
          <w:kern w:val="0"/>
          <w:sz w:val="32"/>
          <w:szCs w:val="32"/>
          <w:highlight w:val="none"/>
          <w:lang w:eastAsia="zh" w:bidi="ar"/>
        </w:rPr>
        <w:t>水电安装等条件</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并</w:t>
      </w:r>
      <w:r>
        <w:rPr>
          <w:rFonts w:hint="eastAsia" w:ascii="仿宋" w:hAnsi="仿宋" w:eastAsia="仿宋" w:cs="仿宋"/>
          <w:kern w:val="0"/>
          <w:sz w:val="32"/>
          <w:szCs w:val="32"/>
          <w:highlight w:val="none"/>
          <w:lang w:eastAsia="zh" w:bidi="ar"/>
        </w:rPr>
        <w:t>配合发包人与复建物业施工单位衔接施工界面</w:t>
      </w:r>
      <w:r>
        <w:rPr>
          <w:rFonts w:hint="eastAsia" w:ascii="仿宋" w:hAnsi="仿宋" w:eastAsia="仿宋" w:cs="仿宋"/>
          <w:kern w:val="0"/>
          <w:sz w:val="32"/>
          <w:szCs w:val="32"/>
          <w:highlight w:val="none"/>
          <w:lang w:eastAsia="zh-CN" w:bidi="ar"/>
        </w:rPr>
        <w:t>。</w:t>
      </w:r>
    </w:p>
    <w:p w14:paraId="75D2B8B8">
      <w:pPr>
        <w:pStyle w:val="39"/>
        <w:pageBreakBefore w:val="0"/>
        <w:widowControl w:val="0"/>
        <w:wordWrap/>
        <w:overflowPunct/>
        <w:autoSpaceDE/>
        <w:autoSpaceDN/>
        <w:bidi w:val="0"/>
        <w:ind w:firstLine="656" w:firstLineChars="200"/>
        <w:contextualSpacing/>
        <w:outlineLvl w:val="2"/>
        <w:rPr>
          <w:rFonts w:hint="eastAsia" w:ascii="仿宋" w:hAnsi="仿宋" w:eastAsia="仿宋" w:cs="仿宋"/>
          <w:kern w:val="0"/>
          <w:sz w:val="32"/>
          <w:szCs w:val="32"/>
          <w:highlight w:val="none"/>
          <w:lang w:eastAsia="zh-CN" w:bidi="ar"/>
        </w:rPr>
      </w:pPr>
      <w:r>
        <w:rPr>
          <w:rFonts w:hint="eastAsia" w:ascii="仿宋" w:hAnsi="仿宋" w:eastAsia="仿宋" w:cs="仿宋"/>
          <w:kern w:val="0"/>
          <w:sz w:val="32"/>
          <w:szCs w:val="32"/>
          <w:highlight w:val="none"/>
          <w:lang w:eastAsia="zh" w:bidi="ar"/>
        </w:rPr>
        <w:t>2.本项目建设用地内</w:t>
      </w:r>
      <w:r>
        <w:rPr>
          <w:rFonts w:ascii="仿宋" w:hAnsi="仿宋" w:eastAsia="仿宋" w:cs="仿宋"/>
          <w:kern w:val="0"/>
          <w:sz w:val="32"/>
          <w:szCs w:val="32"/>
          <w:highlight w:val="none"/>
          <w:lang w:eastAsia="zh" w:bidi="ar"/>
        </w:rPr>
        <w:t>有需要拆除的</w:t>
      </w:r>
      <w:r>
        <w:rPr>
          <w:rFonts w:hint="eastAsia" w:ascii="仿宋" w:hAnsi="仿宋" w:eastAsia="仿宋" w:cs="仿宋"/>
          <w:kern w:val="0"/>
          <w:sz w:val="32"/>
          <w:szCs w:val="32"/>
          <w:highlight w:val="none"/>
          <w:lang w:val="en-US" w:eastAsia="zh-CN" w:bidi="ar"/>
        </w:rPr>
        <w:t>建筑物（</w:t>
      </w:r>
      <w:r>
        <w:rPr>
          <w:rFonts w:hint="eastAsia" w:ascii="仿宋" w:hAnsi="仿宋" w:eastAsia="仿宋" w:cs="仿宋"/>
          <w:kern w:val="0"/>
          <w:sz w:val="32"/>
          <w:szCs w:val="32"/>
          <w:highlight w:val="none"/>
          <w:lang w:eastAsia="zh" w:bidi="ar"/>
        </w:rPr>
        <w:t>不在本次招标范围内</w:t>
      </w:r>
      <w:r>
        <w:rPr>
          <w:rFonts w:hint="eastAsia" w:ascii="仿宋" w:hAnsi="仿宋" w:eastAsia="仿宋" w:cs="仿宋"/>
          <w:kern w:val="0"/>
          <w:sz w:val="32"/>
          <w:szCs w:val="32"/>
          <w:highlight w:val="none"/>
          <w:lang w:eastAsia="zh-CN" w:bidi="ar"/>
        </w:rPr>
        <w:t>）</w:t>
      </w:r>
      <w:r>
        <w:rPr>
          <w:rFonts w:ascii="仿宋" w:hAnsi="仿宋" w:eastAsia="仿宋" w:cs="仿宋"/>
          <w:kern w:val="0"/>
          <w:sz w:val="32"/>
          <w:szCs w:val="32"/>
          <w:highlight w:val="none"/>
          <w:lang w:eastAsia="zh" w:bidi="ar"/>
        </w:rPr>
        <w:t>，</w:t>
      </w:r>
      <w:r>
        <w:rPr>
          <w:rFonts w:hint="eastAsia" w:ascii="仿宋" w:hAnsi="仿宋" w:eastAsia="仿宋" w:cs="仿宋"/>
          <w:kern w:val="0"/>
          <w:sz w:val="32"/>
          <w:szCs w:val="32"/>
          <w:highlight w:val="none"/>
          <w:lang w:eastAsia="zh" w:bidi="ar"/>
        </w:rPr>
        <w:t>计划于</w:t>
      </w:r>
      <w:r>
        <w:rPr>
          <w:rFonts w:hint="eastAsia" w:ascii="仿宋" w:hAnsi="仿宋" w:eastAsia="仿宋" w:cs="仿宋"/>
          <w:kern w:val="0"/>
          <w:sz w:val="32"/>
          <w:szCs w:val="32"/>
          <w:highlight w:val="none"/>
          <w:lang w:bidi="ar"/>
        </w:rPr>
        <w:t>2025年底</w:t>
      </w:r>
      <w:r>
        <w:rPr>
          <w:rFonts w:hint="eastAsia" w:ascii="仿宋" w:hAnsi="仿宋" w:eastAsia="仿宋" w:cs="仿宋"/>
          <w:kern w:val="0"/>
          <w:sz w:val="32"/>
          <w:szCs w:val="32"/>
          <w:highlight w:val="none"/>
          <w:lang w:val="en-US" w:eastAsia="zh-CN" w:bidi="ar"/>
        </w:rPr>
        <w:t>前</w:t>
      </w:r>
      <w:r>
        <w:rPr>
          <w:rFonts w:hint="eastAsia" w:ascii="仿宋" w:hAnsi="仿宋" w:eastAsia="仿宋" w:cs="仿宋"/>
          <w:kern w:val="0"/>
          <w:sz w:val="32"/>
          <w:szCs w:val="32"/>
          <w:highlight w:val="none"/>
          <w:lang w:bidi="ar"/>
        </w:rPr>
        <w:t>拆除</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eastAsia="zh" w:bidi="ar"/>
        </w:rPr>
        <w:t>在未拆除前需做好保护及监测</w:t>
      </w:r>
      <w:r>
        <w:rPr>
          <w:rFonts w:hint="eastAsia" w:ascii="仿宋" w:hAnsi="仿宋" w:eastAsia="仿宋" w:cs="仿宋"/>
          <w:kern w:val="0"/>
          <w:sz w:val="32"/>
          <w:szCs w:val="32"/>
          <w:highlight w:val="none"/>
          <w:lang w:val="en-US" w:eastAsia="zh-CN" w:bidi="ar"/>
        </w:rPr>
        <w:t>等措施；</w:t>
      </w:r>
      <w:r>
        <w:rPr>
          <w:rFonts w:hint="eastAsia" w:ascii="仿宋" w:hAnsi="仿宋" w:eastAsia="仿宋" w:cs="仿宋"/>
          <w:kern w:val="0"/>
          <w:sz w:val="32"/>
          <w:szCs w:val="32"/>
          <w:highlight w:val="none"/>
          <w:lang w:eastAsia="zh" w:bidi="ar"/>
        </w:rPr>
        <w:t>在地铁保护范围内的施工应按地铁集团的相关要求严格执行</w:t>
      </w:r>
      <w:r>
        <w:rPr>
          <w:rFonts w:hint="eastAsia" w:ascii="仿宋" w:hAnsi="仿宋" w:eastAsia="仿宋" w:cs="仿宋"/>
          <w:kern w:val="0"/>
          <w:sz w:val="32"/>
          <w:szCs w:val="32"/>
          <w:highlight w:val="none"/>
          <w:lang w:eastAsia="zh-CN" w:bidi="ar"/>
        </w:rPr>
        <w:t>。</w:t>
      </w:r>
    </w:p>
    <w:p w14:paraId="4BDF1D47">
      <w:pPr>
        <w:pStyle w:val="39"/>
        <w:pageBreakBefore w:val="0"/>
        <w:widowControl w:val="0"/>
        <w:wordWrap/>
        <w:overflowPunct/>
        <w:autoSpaceDE/>
        <w:autoSpaceDN/>
        <w:bidi w:val="0"/>
        <w:ind w:firstLine="656" w:firstLineChars="200"/>
        <w:contextualSpacing/>
        <w:outlineLvl w:val="2"/>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3.</w:t>
      </w:r>
      <w:r>
        <w:rPr>
          <w:rFonts w:hint="eastAsia" w:ascii="仿宋" w:hAnsi="仿宋" w:eastAsia="仿宋" w:cs="仿宋"/>
          <w:kern w:val="0"/>
          <w:sz w:val="32"/>
          <w:szCs w:val="32"/>
          <w:highlight w:val="none"/>
          <w:lang w:eastAsia="zh" w:bidi="ar"/>
        </w:rPr>
        <w:t>本项目建设用地标高按原状移交，承包人需自行平整至满足施工要求。</w:t>
      </w:r>
    </w:p>
    <w:p w14:paraId="0BA26526">
      <w:pPr>
        <w:pStyle w:val="39"/>
        <w:pageBreakBefore w:val="0"/>
        <w:widowControl w:val="0"/>
        <w:wordWrap/>
        <w:overflowPunct/>
        <w:autoSpaceDE/>
        <w:autoSpaceDN/>
        <w:bidi w:val="0"/>
        <w:ind w:firstLine="659" w:firstLineChars="200"/>
        <w:contextualSpacing/>
        <w:outlineLvl w:val="2"/>
        <w:rPr>
          <w:rFonts w:hint="eastAsia" w:ascii="楷体" w:hAnsi="楷体" w:eastAsia="楷体" w:cs="楷体"/>
          <w:b/>
          <w:bCs/>
          <w:sz w:val="32"/>
          <w:szCs w:val="32"/>
        </w:rPr>
      </w:pPr>
      <w:r>
        <w:rPr>
          <w:rFonts w:hint="eastAsia" w:ascii="楷体" w:hAnsi="楷体" w:eastAsia="楷体" w:cs="楷体"/>
          <w:b/>
          <w:bCs/>
          <w:sz w:val="32"/>
          <w:szCs w:val="32"/>
          <w:lang w:eastAsia="zh"/>
        </w:rPr>
        <w:t>（三）</w:t>
      </w:r>
      <w:r>
        <w:rPr>
          <w:rFonts w:hint="eastAsia" w:ascii="楷体" w:hAnsi="楷体" w:eastAsia="楷体" w:cs="楷体"/>
          <w:b/>
          <w:bCs/>
          <w:sz w:val="32"/>
          <w:szCs w:val="32"/>
        </w:rPr>
        <w:t>临时排水排污</w:t>
      </w:r>
    </w:p>
    <w:p w14:paraId="12390431">
      <w:pPr>
        <w:pStyle w:val="39"/>
        <w:pageBreakBefore w:val="0"/>
        <w:widowControl w:val="0"/>
        <w:wordWrap/>
        <w:overflowPunct/>
        <w:autoSpaceDE/>
        <w:autoSpaceDN/>
        <w:bidi w:val="0"/>
        <w:ind w:firstLine="656" w:firstLineChars="200"/>
        <w:contextualSpacing/>
        <w:rPr>
          <w:rFonts w:hint="eastAsia" w:ascii="仿宋" w:hAnsi="仿宋" w:eastAsia="仿宋" w:cs="仿宋"/>
          <w:sz w:val="32"/>
          <w:szCs w:val="32"/>
        </w:rPr>
      </w:pPr>
      <w:r>
        <w:rPr>
          <w:rFonts w:hint="eastAsia" w:ascii="仿宋" w:hAnsi="仿宋" w:eastAsia="仿宋" w:cs="仿宋"/>
          <w:sz w:val="32"/>
          <w:szCs w:val="32"/>
        </w:rPr>
        <w:t>项目</w:t>
      </w:r>
      <w:r>
        <w:rPr>
          <w:rFonts w:ascii="仿宋" w:hAnsi="仿宋" w:eastAsia="仿宋" w:cs="仿宋"/>
          <w:sz w:val="32"/>
          <w:szCs w:val="32"/>
        </w:rPr>
        <w:t>现状场地</w:t>
      </w:r>
      <w:r>
        <w:rPr>
          <w:rFonts w:hint="eastAsia" w:ascii="仿宋" w:hAnsi="仿宋" w:eastAsia="仿宋" w:cs="仿宋"/>
          <w:sz w:val="32"/>
          <w:szCs w:val="32"/>
        </w:rPr>
        <w:t>北</w:t>
      </w:r>
      <w:r>
        <w:rPr>
          <w:rFonts w:ascii="仿宋" w:hAnsi="仿宋" w:eastAsia="仿宋" w:cs="仿宋"/>
          <w:sz w:val="32"/>
          <w:szCs w:val="32"/>
        </w:rPr>
        <w:t>面有排水、排污检查井，在施工时</w:t>
      </w:r>
      <w:r>
        <w:rPr>
          <w:rFonts w:hint="eastAsia" w:ascii="仿宋" w:hAnsi="仿宋" w:eastAsia="仿宋" w:cs="仿宋"/>
          <w:sz w:val="32"/>
          <w:szCs w:val="32"/>
        </w:rPr>
        <w:t>承包人</w:t>
      </w:r>
      <w:r>
        <w:rPr>
          <w:rFonts w:ascii="仿宋" w:hAnsi="仿宋" w:eastAsia="仿宋" w:cs="仿宋"/>
          <w:sz w:val="32"/>
          <w:szCs w:val="32"/>
        </w:rPr>
        <w:t>需办理临时排污手续后在建设范围就近接入使用。</w:t>
      </w:r>
    </w:p>
    <w:p w14:paraId="7E579213">
      <w:pPr>
        <w:pStyle w:val="39"/>
        <w:pageBreakBefore w:val="0"/>
        <w:widowControl w:val="0"/>
        <w:wordWrap/>
        <w:overflowPunct/>
        <w:autoSpaceDE/>
        <w:autoSpaceDN/>
        <w:bidi w:val="0"/>
        <w:ind w:firstLine="659" w:firstLineChars="200"/>
        <w:contextualSpacing/>
        <w:outlineLvl w:val="2"/>
        <w:rPr>
          <w:rFonts w:hint="eastAsia" w:ascii="仿宋" w:hAnsi="仿宋" w:eastAsia="仿宋" w:cs="仿宋"/>
          <w:b/>
          <w:bCs/>
          <w:sz w:val="32"/>
          <w:szCs w:val="32"/>
        </w:rPr>
      </w:pPr>
      <w:r>
        <w:rPr>
          <w:rFonts w:hint="eastAsia" w:ascii="楷体" w:hAnsi="楷体" w:eastAsia="楷体" w:cs="楷体"/>
          <w:b/>
          <w:bCs/>
          <w:sz w:val="32"/>
          <w:szCs w:val="32"/>
          <w:lang w:eastAsia="zh"/>
        </w:rPr>
        <w:t>（四）地质条件</w:t>
      </w:r>
    </w:p>
    <w:p w14:paraId="12641B3B">
      <w:pPr>
        <w:pStyle w:val="39"/>
        <w:pageBreakBefore w:val="0"/>
        <w:widowControl w:val="0"/>
        <w:wordWrap/>
        <w:overflowPunct/>
        <w:autoSpaceDE/>
        <w:autoSpaceDN/>
        <w:bidi w:val="0"/>
        <w:ind w:firstLine="656" w:firstLineChars="200"/>
        <w:contextualSpacing/>
        <w:rPr>
          <w:rFonts w:hint="eastAsia" w:ascii="仿宋" w:hAnsi="仿宋" w:eastAsia="仿宋" w:cs="仿宋"/>
          <w:sz w:val="32"/>
          <w:szCs w:val="32"/>
          <w:highlight w:val="none"/>
        </w:rPr>
      </w:pPr>
      <w:r>
        <w:rPr>
          <w:rFonts w:ascii="仿宋" w:hAnsi="仿宋" w:eastAsia="仿宋" w:cs="仿宋"/>
          <w:sz w:val="32"/>
          <w:szCs w:val="32"/>
          <w:highlight w:val="none"/>
        </w:rPr>
        <w:t>详见地质勘察报告。</w:t>
      </w:r>
    </w:p>
    <w:p w14:paraId="7B3FB4D1">
      <w:pPr>
        <w:pStyle w:val="39"/>
        <w:pageBreakBefore w:val="0"/>
        <w:widowControl w:val="0"/>
        <w:wordWrap/>
        <w:overflowPunct/>
        <w:autoSpaceDE/>
        <w:autoSpaceDN/>
        <w:bidi w:val="0"/>
        <w:ind w:left="0" w:leftChars="0" w:firstLine="659" w:firstLineChars="200"/>
        <w:contextualSpacing/>
        <w:rPr>
          <w:rFonts w:hint="eastAsia" w:ascii="仿宋" w:hAnsi="仿宋" w:eastAsia="仿宋" w:cs="仿宋"/>
          <w:b/>
          <w:bCs/>
          <w:sz w:val="32"/>
          <w:szCs w:val="32"/>
          <w:highlight w:val="none"/>
        </w:rPr>
      </w:pPr>
      <w:r>
        <w:rPr>
          <w:rFonts w:hint="eastAsia" w:ascii="黑体" w:hAnsi="黑体" w:eastAsia="黑体" w:cs="黑体"/>
          <w:b/>
          <w:bCs/>
          <w:sz w:val="32"/>
          <w:szCs w:val="32"/>
          <w:highlight w:val="none"/>
          <w:lang w:eastAsia="zh"/>
        </w:rPr>
        <w:t>三、</w:t>
      </w:r>
      <w:bookmarkStart w:id="8" w:name="_Toc179898810"/>
      <w:bookmarkStart w:id="9" w:name="_Toc14331"/>
      <w:r>
        <w:rPr>
          <w:rFonts w:hint="eastAsia" w:ascii="黑体" w:hAnsi="黑体" w:eastAsia="黑体" w:cs="黑体"/>
          <w:b/>
          <w:bCs/>
          <w:sz w:val="32"/>
          <w:szCs w:val="32"/>
          <w:highlight w:val="none"/>
        </w:rPr>
        <w:t>项目管理目标</w:t>
      </w:r>
      <w:bookmarkEnd w:id="8"/>
      <w:bookmarkEnd w:id="9"/>
    </w:p>
    <w:p w14:paraId="3D2A5657">
      <w:pPr>
        <w:pStyle w:val="39"/>
        <w:pageBreakBefore w:val="0"/>
        <w:widowControl w:val="0"/>
        <w:wordWrap/>
        <w:overflowPunct/>
        <w:autoSpaceDE/>
        <w:autoSpaceDN/>
        <w:bidi w:val="0"/>
        <w:ind w:firstLine="659" w:firstLineChars="200"/>
        <w:contextualSpacing/>
        <w:outlineLvl w:val="2"/>
        <w:rPr>
          <w:rFonts w:hint="eastAsia" w:ascii="楷体" w:hAnsi="楷体" w:eastAsia="楷体" w:cs="楷体"/>
          <w:b/>
          <w:bCs/>
          <w:sz w:val="32"/>
          <w:szCs w:val="32"/>
          <w:highlight w:val="none"/>
          <w:lang w:eastAsia="zh"/>
        </w:rPr>
      </w:pPr>
      <w:bookmarkStart w:id="10" w:name="_Toc179898811"/>
      <w:bookmarkStart w:id="11" w:name="_Toc16115"/>
      <w:r>
        <w:rPr>
          <w:rFonts w:hint="eastAsia" w:ascii="楷体" w:hAnsi="楷体" w:eastAsia="楷体" w:cs="楷体"/>
          <w:b/>
          <w:bCs/>
          <w:sz w:val="32"/>
          <w:szCs w:val="32"/>
          <w:highlight w:val="none"/>
          <w:lang w:eastAsia="zh"/>
        </w:rPr>
        <w:t>（一）工期进度目标</w:t>
      </w:r>
      <w:bookmarkEnd w:id="10"/>
      <w:bookmarkEnd w:id="11"/>
    </w:p>
    <w:p w14:paraId="57565FE7">
      <w:pPr>
        <w:pageBreakBefore w:val="0"/>
        <w:wordWrap/>
        <w:overflowPunct/>
        <w:autoSpaceDE/>
        <w:autoSpaceDN/>
        <w:bidi w:val="0"/>
        <w:snapToGrid w:val="0"/>
        <w:spacing w:line="360" w:lineRule="auto"/>
        <w:ind w:firstLine="656" w:firstLineChars="200"/>
        <w:contextualSpacing/>
        <w:rPr>
          <w:rFonts w:hint="eastAsia" w:ascii="仿宋" w:hAnsi="仿宋" w:eastAsia="仿宋" w:cs="仿宋"/>
          <w:bCs/>
          <w:sz w:val="32"/>
          <w:szCs w:val="32"/>
          <w:highlight w:val="none"/>
        </w:rPr>
      </w:pPr>
      <w:bookmarkStart w:id="12" w:name="_Toc420914101"/>
      <w:bookmarkStart w:id="13" w:name="_Toc387060534"/>
      <w:bookmarkStart w:id="14" w:name="_Toc386995908"/>
      <w:r>
        <w:rPr>
          <w:rFonts w:ascii="仿宋" w:hAnsi="仿宋" w:eastAsia="仿宋" w:cs="仿宋"/>
          <w:snapToGrid w:val="0"/>
          <w:spacing w:val="4"/>
          <w:sz w:val="32"/>
          <w:szCs w:val="32"/>
          <w:highlight w:val="none"/>
        </w:rPr>
        <w:t>总工期为</w:t>
      </w:r>
      <w:r>
        <w:rPr>
          <w:rFonts w:hint="eastAsia" w:ascii="仿宋" w:hAnsi="仿宋" w:eastAsia="仿宋" w:cs="仿宋"/>
          <w:bCs/>
          <w:sz w:val="32"/>
          <w:szCs w:val="32"/>
          <w:highlight w:val="none"/>
          <w:lang w:val="en-US" w:eastAsia="zh-CN"/>
        </w:rPr>
        <w:t>914</w:t>
      </w:r>
      <w:r>
        <w:rPr>
          <w:rFonts w:ascii="仿宋" w:hAnsi="仿宋" w:eastAsia="仿宋" w:cs="仿宋"/>
          <w:bCs/>
          <w:sz w:val="32"/>
          <w:szCs w:val="32"/>
          <w:highlight w:val="none"/>
        </w:rPr>
        <w:t>天</w:t>
      </w:r>
      <w:r>
        <w:rPr>
          <w:rFonts w:hint="eastAsia" w:ascii="仿宋" w:hAnsi="仿宋" w:eastAsia="仿宋" w:cs="仿宋"/>
          <w:bCs/>
          <w:sz w:val="32"/>
          <w:szCs w:val="32"/>
          <w:highlight w:val="none"/>
        </w:rPr>
        <w:t>（含设计工期，最终按中标工期填写）</w:t>
      </w:r>
      <w:r>
        <w:rPr>
          <w:rFonts w:ascii="仿宋" w:hAnsi="仿宋" w:eastAsia="仿宋" w:cs="仿宋"/>
          <w:bCs/>
          <w:sz w:val="32"/>
          <w:szCs w:val="32"/>
          <w:highlight w:val="none"/>
        </w:rPr>
        <w:t>。</w:t>
      </w:r>
      <w:r>
        <w:rPr>
          <w:rFonts w:hint="eastAsia" w:ascii="仿宋" w:hAnsi="仿宋" w:eastAsia="仿宋" w:cs="仿宋"/>
          <w:bCs/>
          <w:sz w:val="32"/>
          <w:szCs w:val="32"/>
          <w:highlight w:val="none"/>
        </w:rPr>
        <w:t>施工开工日期(绝对日期或相对日期)：以监理工程师发出的开工令中指定的日期为准；实际竣工日期：以通过工程竣工联合验收的日期为准。</w:t>
      </w:r>
    </w:p>
    <w:bookmarkEnd w:id="12"/>
    <w:bookmarkEnd w:id="13"/>
    <w:bookmarkEnd w:id="14"/>
    <w:p w14:paraId="7E421C59">
      <w:pPr>
        <w:pStyle w:val="39"/>
        <w:pageBreakBefore w:val="0"/>
        <w:widowControl w:val="0"/>
        <w:wordWrap/>
        <w:overflowPunct/>
        <w:autoSpaceDE/>
        <w:autoSpaceDN/>
        <w:bidi w:val="0"/>
        <w:ind w:firstLine="659" w:firstLineChars="200"/>
        <w:contextualSpacing/>
        <w:outlineLvl w:val="2"/>
        <w:rPr>
          <w:rFonts w:hint="eastAsia" w:ascii="楷体" w:hAnsi="楷体" w:eastAsia="楷体" w:cs="楷体"/>
          <w:b/>
          <w:bCs/>
          <w:sz w:val="32"/>
          <w:szCs w:val="32"/>
          <w:highlight w:val="none"/>
          <w:lang w:eastAsia="zh"/>
        </w:rPr>
      </w:pPr>
      <w:bookmarkStart w:id="15" w:name="_Toc179898812"/>
      <w:bookmarkStart w:id="16" w:name="_Toc28355"/>
      <w:r>
        <w:rPr>
          <w:rFonts w:hint="eastAsia" w:ascii="楷体" w:hAnsi="楷体" w:eastAsia="楷体" w:cs="楷体"/>
          <w:b/>
          <w:bCs/>
          <w:sz w:val="32"/>
          <w:szCs w:val="32"/>
          <w:highlight w:val="none"/>
          <w:lang w:eastAsia="zh"/>
        </w:rPr>
        <w:t>（二）质量目标</w:t>
      </w:r>
      <w:bookmarkEnd w:id="15"/>
      <w:bookmarkEnd w:id="16"/>
    </w:p>
    <w:p w14:paraId="572DDB0C">
      <w:pPr>
        <w:pStyle w:val="39"/>
        <w:pageBreakBefore w:val="0"/>
        <w:widowControl w:val="0"/>
        <w:wordWrap/>
        <w:overflowPunct/>
        <w:autoSpaceDE/>
        <w:autoSpaceDN/>
        <w:bidi w:val="0"/>
        <w:ind w:firstLine="656" w:firstLineChars="200"/>
        <w:contextualSpacing/>
        <w:rPr>
          <w:rFonts w:hint="eastAsia" w:ascii="仿宋" w:hAnsi="仿宋" w:eastAsia="仿宋" w:cs="仿宋"/>
          <w:sz w:val="32"/>
          <w:szCs w:val="32"/>
          <w:highlight w:val="none"/>
        </w:rPr>
      </w:pPr>
      <w:r>
        <w:rPr>
          <w:rFonts w:ascii="仿宋" w:hAnsi="仿宋" w:eastAsia="仿宋" w:cs="仿宋"/>
          <w:sz w:val="32"/>
          <w:szCs w:val="32"/>
          <w:highlight w:val="none"/>
          <w:lang w:eastAsia="zh"/>
        </w:rPr>
        <w:t>符合设计施工图纸要求和国家、省、市相关法律法规规定要求及行业颁发的工程质量标准，达到合格等级；按照国家最新颁布《建筑工程施工质量验收统一标准》（GB 50300-2013）及相应配套的各专业验收规范，一次竣工验收合格；分部工程验收合格率100%，项目所涉及的政府专项验收全部通过，单位工程一次竣工验收合格，质量等级评定合格</w:t>
      </w:r>
      <w:r>
        <w:rPr>
          <w:rFonts w:ascii="仿宋" w:hAnsi="仿宋" w:eastAsia="仿宋" w:cs="仿宋"/>
          <w:sz w:val="32"/>
          <w:szCs w:val="32"/>
          <w:highlight w:val="none"/>
        </w:rPr>
        <w:t xml:space="preserve">。 </w:t>
      </w:r>
    </w:p>
    <w:p w14:paraId="49DAD4FC">
      <w:pPr>
        <w:pStyle w:val="39"/>
        <w:pageBreakBefore w:val="0"/>
        <w:widowControl w:val="0"/>
        <w:wordWrap/>
        <w:overflowPunct/>
        <w:autoSpaceDE/>
        <w:autoSpaceDN/>
        <w:bidi w:val="0"/>
        <w:ind w:firstLine="659" w:firstLineChars="200"/>
        <w:contextualSpacing/>
        <w:outlineLvl w:val="2"/>
        <w:rPr>
          <w:rFonts w:hint="eastAsia" w:ascii="楷体" w:hAnsi="楷体" w:eastAsia="楷体" w:cs="楷体"/>
          <w:b/>
          <w:bCs/>
          <w:sz w:val="32"/>
          <w:szCs w:val="32"/>
          <w:highlight w:val="none"/>
          <w:lang w:eastAsia="zh"/>
        </w:rPr>
      </w:pPr>
      <w:bookmarkStart w:id="17" w:name="_Toc30300"/>
      <w:bookmarkStart w:id="18" w:name="_Toc179898813"/>
      <w:r>
        <w:rPr>
          <w:rFonts w:hint="eastAsia" w:ascii="楷体" w:hAnsi="楷体" w:eastAsia="楷体" w:cs="楷体"/>
          <w:b/>
          <w:bCs/>
          <w:sz w:val="32"/>
          <w:szCs w:val="32"/>
          <w:highlight w:val="none"/>
          <w:lang w:eastAsia="zh"/>
        </w:rPr>
        <w:t>（三）创优目标</w:t>
      </w:r>
    </w:p>
    <w:p w14:paraId="6C04D46F">
      <w:pPr>
        <w:pStyle w:val="39"/>
        <w:pageBreakBefore w:val="0"/>
        <w:wordWrap/>
        <w:overflowPunct/>
        <w:autoSpaceDE/>
        <w:autoSpaceDN/>
        <w:bidi w:val="0"/>
        <w:ind w:firstLine="656"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市</w:t>
      </w:r>
      <w:r>
        <w:rPr>
          <w:rFonts w:ascii="仿宋" w:hAnsi="仿宋" w:eastAsia="仿宋" w:cs="仿宋"/>
          <w:sz w:val="32"/>
          <w:szCs w:val="32"/>
          <w:highlight w:val="none"/>
          <w:lang w:eastAsia="zh"/>
        </w:rPr>
        <w:t>级工程优质奖</w:t>
      </w:r>
      <w:r>
        <w:rPr>
          <w:rFonts w:ascii="仿宋" w:hAnsi="仿宋" w:eastAsia="仿宋" w:cs="仿宋"/>
          <w:sz w:val="32"/>
          <w:szCs w:val="32"/>
          <w:highlight w:val="none"/>
        </w:rPr>
        <w:t>。</w:t>
      </w:r>
    </w:p>
    <w:p w14:paraId="295845F1">
      <w:pPr>
        <w:pStyle w:val="39"/>
        <w:pageBreakBefore w:val="0"/>
        <w:widowControl w:val="0"/>
        <w:wordWrap/>
        <w:overflowPunct/>
        <w:autoSpaceDE/>
        <w:autoSpaceDN/>
        <w:bidi w:val="0"/>
        <w:ind w:firstLine="659" w:firstLineChars="200"/>
        <w:contextualSpacing/>
        <w:outlineLvl w:val="2"/>
        <w:rPr>
          <w:rFonts w:hint="eastAsia" w:ascii="楷体" w:hAnsi="楷体" w:eastAsia="楷体" w:cs="楷体"/>
          <w:b/>
          <w:bCs/>
          <w:sz w:val="32"/>
          <w:szCs w:val="32"/>
          <w:highlight w:val="none"/>
          <w:lang w:eastAsia="zh"/>
        </w:rPr>
      </w:pPr>
      <w:r>
        <w:rPr>
          <w:rFonts w:hint="eastAsia" w:ascii="楷体" w:hAnsi="楷体" w:eastAsia="楷体" w:cs="楷体"/>
          <w:b/>
          <w:bCs/>
          <w:sz w:val="32"/>
          <w:szCs w:val="32"/>
          <w:highlight w:val="none"/>
          <w:lang w:eastAsia="zh"/>
        </w:rPr>
        <w:t>（四）创建文明工地目标</w:t>
      </w:r>
      <w:bookmarkEnd w:id="17"/>
      <w:bookmarkEnd w:id="18"/>
    </w:p>
    <w:p w14:paraId="668DA5E4">
      <w:pPr>
        <w:pStyle w:val="39"/>
        <w:pageBreakBefore w:val="0"/>
        <w:widowControl w:val="0"/>
        <w:wordWrap/>
        <w:overflowPunct/>
        <w:autoSpaceDE/>
        <w:autoSpaceDN/>
        <w:bidi w:val="0"/>
        <w:ind w:firstLine="656" w:firstLineChars="200"/>
        <w:contextualSpacing/>
        <w:rPr>
          <w:rFonts w:hint="eastAsia" w:ascii="仿宋" w:hAnsi="仿宋" w:eastAsia="仿宋" w:cs="仿宋"/>
          <w:sz w:val="32"/>
          <w:szCs w:val="32"/>
          <w:highlight w:val="none"/>
        </w:rPr>
      </w:pPr>
      <w:r>
        <w:rPr>
          <w:rFonts w:ascii="仿宋" w:hAnsi="仿宋" w:eastAsia="仿宋" w:cs="仿宋"/>
          <w:sz w:val="32"/>
          <w:szCs w:val="32"/>
          <w:highlight w:val="none"/>
        </w:rPr>
        <w:t>市级安全文明绿色施工样板工地</w:t>
      </w:r>
      <w:r>
        <w:rPr>
          <w:rFonts w:hint="eastAsia" w:ascii="仿宋" w:hAnsi="仿宋" w:eastAsia="仿宋" w:cs="仿宋"/>
          <w:sz w:val="32"/>
          <w:szCs w:val="32"/>
          <w:highlight w:val="none"/>
        </w:rPr>
        <w:t>。</w:t>
      </w:r>
    </w:p>
    <w:p w14:paraId="5A536D74">
      <w:pPr>
        <w:pStyle w:val="39"/>
        <w:pageBreakBefore w:val="0"/>
        <w:widowControl w:val="0"/>
        <w:wordWrap/>
        <w:overflowPunct/>
        <w:autoSpaceDE/>
        <w:autoSpaceDN/>
        <w:bidi w:val="0"/>
        <w:ind w:firstLine="659" w:firstLineChars="200"/>
        <w:contextualSpacing/>
        <w:rPr>
          <w:rFonts w:hint="eastAsia" w:ascii="黑体" w:hAnsi="黑体" w:eastAsia="黑体" w:cs="黑体"/>
          <w:b/>
          <w:bCs/>
          <w:sz w:val="32"/>
          <w:szCs w:val="32"/>
          <w:highlight w:val="none"/>
        </w:rPr>
      </w:pPr>
      <w:bookmarkStart w:id="19" w:name="_Toc14847"/>
      <w:bookmarkStart w:id="20" w:name="_Toc179898815"/>
      <w:r>
        <w:rPr>
          <w:rFonts w:hint="eastAsia" w:ascii="黑体" w:hAnsi="黑体" w:eastAsia="黑体" w:cs="黑体"/>
          <w:b/>
          <w:bCs/>
          <w:sz w:val="32"/>
          <w:szCs w:val="32"/>
          <w:highlight w:val="none"/>
          <w:lang w:eastAsia="zh"/>
        </w:rPr>
        <w:t>四、</w:t>
      </w:r>
      <w:r>
        <w:rPr>
          <w:rFonts w:hint="eastAsia" w:ascii="黑体" w:hAnsi="黑体" w:eastAsia="黑体" w:cs="黑体"/>
          <w:b/>
          <w:bCs/>
          <w:sz w:val="32"/>
          <w:szCs w:val="32"/>
          <w:highlight w:val="none"/>
        </w:rPr>
        <w:t>项目管理重点、难点</w:t>
      </w:r>
      <w:bookmarkEnd w:id="19"/>
      <w:bookmarkEnd w:id="20"/>
      <w:bookmarkStart w:id="21" w:name="_Toc25057"/>
    </w:p>
    <w:bookmarkEnd w:id="21"/>
    <w:p w14:paraId="7D97D3CD">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一</w:t>
      </w:r>
      <w:r>
        <w:rPr>
          <w:rFonts w:ascii="仿宋" w:hAnsi="仿宋" w:eastAsia="仿宋" w:cs="仿宋"/>
          <w:kern w:val="0"/>
          <w:sz w:val="32"/>
          <w:szCs w:val="32"/>
          <w:highlight w:val="none"/>
          <w:lang w:bidi="ar"/>
        </w:rPr>
        <w:t>）装配式建筑形式多样、制作安装精度要求高，对项目进度影响较大。因此，装配式建筑的深化设计、材料采购、生产、运输、存放、拼装、吊装、与相关工种的配合搭接等是项目管理的难点。</w:t>
      </w:r>
    </w:p>
    <w:p w14:paraId="4B789750">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二</w:t>
      </w:r>
      <w:r>
        <w:rPr>
          <w:rFonts w:ascii="仿宋" w:hAnsi="仿宋" w:eastAsia="仿宋" w:cs="仿宋"/>
          <w:kern w:val="0"/>
          <w:sz w:val="32"/>
          <w:szCs w:val="32"/>
          <w:highlight w:val="none"/>
          <w:lang w:bidi="ar"/>
        </w:rPr>
        <w:t>）装配式工程需进行深化设计。发包人将根据工程进度对装配式等工程进行现场</w:t>
      </w:r>
      <w:r>
        <w:rPr>
          <w:rFonts w:hint="eastAsia" w:ascii="仿宋" w:hAnsi="仿宋" w:eastAsia="仿宋" w:cs="仿宋"/>
          <w:kern w:val="0"/>
          <w:sz w:val="32"/>
          <w:szCs w:val="32"/>
          <w:highlight w:val="none"/>
          <w:lang w:bidi="ar"/>
        </w:rPr>
        <w:t>监督</w:t>
      </w:r>
      <w:r>
        <w:rPr>
          <w:rFonts w:ascii="仿宋" w:hAnsi="仿宋" w:eastAsia="仿宋" w:cs="仿宋"/>
          <w:kern w:val="0"/>
          <w:sz w:val="32"/>
          <w:szCs w:val="32"/>
          <w:highlight w:val="none"/>
          <w:lang w:bidi="ar"/>
        </w:rPr>
        <w:t>，承包人必须无条件配合。</w:t>
      </w:r>
    </w:p>
    <w:p w14:paraId="643C30CF">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三</w:t>
      </w:r>
      <w:r>
        <w:rPr>
          <w:rFonts w:ascii="仿宋" w:hAnsi="仿宋" w:eastAsia="仿宋" w:cs="仿宋"/>
          <w:kern w:val="0"/>
          <w:sz w:val="32"/>
          <w:szCs w:val="32"/>
          <w:highlight w:val="none"/>
          <w:lang w:bidi="ar"/>
        </w:rPr>
        <w:t>）材料管理是质量管理的重中之重。因此，严格实行材料看样定板制度，对进场材料严格按照定板标准组织监理验收并按相关规定进行材料检测，必须是百分百合格且与样板一致的材料才准进场使用。成套设备严格执行开箱验收制度，组织监理严格按照设计图纸和主要材料设备技术需求书列明的参数核对设备信息，确保进场材料设备符合设计要求，承包人需配置专人进行材料管理。</w:t>
      </w:r>
    </w:p>
    <w:p w14:paraId="2D306BEE">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四</w:t>
      </w:r>
      <w:r>
        <w:rPr>
          <w:rFonts w:ascii="仿宋" w:hAnsi="仿宋" w:eastAsia="仿宋" w:cs="仿宋"/>
          <w:kern w:val="0"/>
          <w:sz w:val="32"/>
          <w:szCs w:val="32"/>
          <w:highlight w:val="none"/>
          <w:lang w:bidi="ar"/>
        </w:rPr>
        <w:t>）现场临设场地需统一规划，各专业的平行施工较多，因此，工序衔接、专业之间的配合垂直运输设备的使用统筹、现场材料进场堆放等诸多方面需要现场管理组重点协调，是现场管理的一项重点工作。</w:t>
      </w:r>
    </w:p>
    <w:p w14:paraId="03E74F16">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五</w:t>
      </w:r>
      <w:r>
        <w:rPr>
          <w:rFonts w:ascii="仿宋" w:hAnsi="仿宋" w:eastAsia="仿宋" w:cs="仿宋"/>
          <w:kern w:val="0"/>
          <w:sz w:val="32"/>
          <w:szCs w:val="32"/>
          <w:highlight w:val="none"/>
          <w:lang w:bidi="ar"/>
        </w:rPr>
        <w:t>）项目严格实施技术策划先行，针对发包人组织的施工组织策划、防水专项策划、外立面策划、机电专项策划、创优策划等，由承包人牵头负责策划准备及汇报，并提供满足施工要求的对应深化图纸。</w:t>
      </w:r>
    </w:p>
    <w:p w14:paraId="15D40D20">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ascii="仿宋" w:hAnsi="仿宋" w:eastAsia="仿宋" w:cs="仿宋"/>
          <w:kern w:val="0"/>
          <w:sz w:val="32"/>
          <w:szCs w:val="32"/>
          <w:highlight w:val="none"/>
          <w:lang w:bidi="ar"/>
        </w:rPr>
        <w:t xml:space="preserve"> 发包人将在实施过程中对策划及深化内容进行监督查验，对于已经过审批的施工策划未能及时有效落地的，由承包人按照合同条款的约定承担违约责任。</w:t>
      </w:r>
    </w:p>
    <w:p w14:paraId="41E6EA66">
      <w:pPr>
        <w:pageBreakBefore w:val="0"/>
        <w:wordWrap/>
        <w:overflowPunct/>
        <w:autoSpaceDE/>
        <w:autoSpaceDN/>
        <w:bidi w:val="0"/>
        <w:spacing w:line="360" w:lineRule="auto"/>
        <w:ind w:firstLine="640" w:firstLineChars="200"/>
        <w:contextualSpacing/>
        <w:jc w:val="left"/>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六</w:t>
      </w:r>
      <w:r>
        <w:rPr>
          <w:rFonts w:ascii="仿宋" w:hAnsi="仿宋" w:eastAsia="仿宋" w:cs="仿宋"/>
          <w:kern w:val="0"/>
          <w:sz w:val="32"/>
          <w:szCs w:val="32"/>
          <w:highlight w:val="none"/>
          <w:lang w:bidi="ar"/>
        </w:rPr>
        <w:t>）项目严格实施样板引路，尤其是对设计效果展示中涉及到观感的，材料用量较大的，同时又是交付时客户敏感点的材料进行设计看样，对此类材料的观感、品牌、质量、规格、尺寸、样式进行严控，承包人需配置满足材料管理要求的样板封样间，并在现场设置工序样板展示区、工艺样板展示区、实体样板展示区。</w:t>
      </w:r>
    </w:p>
    <w:p w14:paraId="48DCF905">
      <w:pPr>
        <w:pageBreakBefore w:val="0"/>
        <w:wordWrap/>
        <w:overflowPunct/>
        <w:autoSpaceDE/>
        <w:autoSpaceDN/>
        <w:bidi w:val="0"/>
        <w:spacing w:line="360" w:lineRule="auto"/>
        <w:ind w:firstLine="640" w:firstLineChars="200"/>
        <w:contextualSpacing/>
        <w:jc w:val="left"/>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七</w:t>
      </w:r>
      <w:r>
        <w:rPr>
          <w:rFonts w:ascii="仿宋" w:hAnsi="仿宋" w:eastAsia="仿宋" w:cs="仿宋"/>
          <w:kern w:val="0"/>
          <w:sz w:val="32"/>
          <w:szCs w:val="32"/>
          <w:highlight w:val="none"/>
          <w:lang w:bidi="ar"/>
        </w:rPr>
        <w:t>）本项目外立面造型多样，施工质量要求高，承包人需充分考虑主体外脚手架的安全性及美观性。后期不允许因脚手架形式的调整申请增加任何费用。</w:t>
      </w:r>
    </w:p>
    <w:p w14:paraId="5E6A90A0">
      <w:pPr>
        <w:pageBreakBefore w:val="0"/>
        <w:wordWrap/>
        <w:overflowPunct/>
        <w:autoSpaceDE/>
        <w:autoSpaceDN/>
        <w:bidi w:val="0"/>
        <w:spacing w:line="360" w:lineRule="auto"/>
        <w:ind w:firstLine="640" w:firstLineChars="200"/>
        <w:contextualSpacing/>
        <w:jc w:val="left"/>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w:t>
      </w:r>
      <w:r>
        <w:rPr>
          <w:rFonts w:ascii="仿宋" w:hAnsi="仿宋" w:eastAsia="仿宋" w:cs="仿宋"/>
          <w:kern w:val="0"/>
          <w:sz w:val="32"/>
          <w:szCs w:val="32"/>
          <w:highlight w:val="none"/>
          <w:lang w:eastAsia="zh" w:bidi="ar"/>
        </w:rPr>
        <w:t>八</w:t>
      </w:r>
      <w:r>
        <w:rPr>
          <w:rFonts w:ascii="仿宋" w:hAnsi="仿宋" w:eastAsia="仿宋" w:cs="仿宋"/>
          <w:kern w:val="0"/>
          <w:sz w:val="32"/>
          <w:szCs w:val="32"/>
          <w:highlight w:val="none"/>
          <w:lang w:bidi="ar"/>
        </w:rPr>
        <w:t>）文明施工与绿色施工，承包单位应按照</w:t>
      </w:r>
      <w:r>
        <w:rPr>
          <w:rFonts w:hint="eastAsia" w:ascii="仿宋" w:hAnsi="仿宋" w:eastAsia="仿宋" w:cs="仿宋"/>
          <w:kern w:val="0"/>
          <w:sz w:val="32"/>
          <w:szCs w:val="32"/>
          <w:highlight w:val="none"/>
          <w:lang w:bidi="ar"/>
        </w:rPr>
        <w:t>市级安全文明绿色施工样板工地</w:t>
      </w:r>
      <w:r>
        <w:rPr>
          <w:rFonts w:ascii="仿宋" w:hAnsi="仿宋" w:eastAsia="仿宋" w:cs="仿宋"/>
          <w:kern w:val="0"/>
          <w:sz w:val="32"/>
          <w:szCs w:val="32"/>
          <w:highlight w:val="none"/>
          <w:lang w:bidi="ar"/>
        </w:rPr>
        <w:t>的要求做好现场安全生产及文明施工，保证施工场地清洁、扬尘及噪音管理符合环境卫生管理的有关规定。需根据《建筑工程绿色施工评价标准》（GB/T50640-2010）、《广州市建设工程绿色施工工作技术指引》及相关规定，按照不同阶段进行安全文明与绿色施工策划，使用可重复利用周转材料，半成品推广工厂制作到场安装，全过程标准化，实现节能减排，绿色环保，积极创新，凸显亮点。</w:t>
      </w:r>
    </w:p>
    <w:p w14:paraId="7AFE3369">
      <w:pPr>
        <w:pageBreakBefore w:val="0"/>
        <w:wordWrap/>
        <w:overflowPunct/>
        <w:autoSpaceDE/>
        <w:autoSpaceDN/>
        <w:bidi w:val="0"/>
        <w:spacing w:line="360" w:lineRule="auto"/>
        <w:ind w:firstLine="640" w:firstLineChars="200"/>
        <w:contextualSpacing/>
        <w:jc w:val="left"/>
        <w:rPr>
          <w:rFonts w:hint="eastAsia" w:ascii="仿宋" w:hAnsi="仿宋" w:eastAsia="仿宋" w:cs="仿宋"/>
          <w:kern w:val="0"/>
          <w:sz w:val="32"/>
          <w:szCs w:val="32"/>
          <w:highlight w:val="none"/>
          <w:lang w:eastAsia="zh" w:bidi="ar"/>
        </w:rPr>
      </w:pPr>
      <w:r>
        <w:rPr>
          <w:rFonts w:ascii="仿宋" w:hAnsi="仿宋" w:eastAsia="仿宋" w:cs="仿宋"/>
          <w:kern w:val="0"/>
          <w:sz w:val="32"/>
          <w:szCs w:val="32"/>
          <w:highlight w:val="none"/>
          <w:lang w:eastAsia="zh" w:bidi="ar"/>
        </w:rPr>
        <w:t>（九）</w:t>
      </w:r>
      <w:r>
        <w:rPr>
          <w:rFonts w:ascii="仿宋" w:hAnsi="仿宋" w:eastAsia="仿宋" w:cs="仿宋"/>
          <w:kern w:val="0"/>
          <w:sz w:val="32"/>
          <w:szCs w:val="32"/>
          <w:highlight w:val="none"/>
          <w:lang w:bidi="ar"/>
        </w:rPr>
        <w:t>本项目为</w:t>
      </w:r>
      <w:r>
        <w:rPr>
          <w:rFonts w:hint="eastAsia" w:ascii="仿宋" w:hAnsi="仿宋" w:eastAsia="仿宋" w:cs="仿宋"/>
          <w:kern w:val="0"/>
          <w:sz w:val="32"/>
          <w:szCs w:val="32"/>
          <w:highlight w:val="none"/>
          <w:lang w:bidi="ar"/>
        </w:rPr>
        <w:t>柯木塱村改造首开区复建</w:t>
      </w:r>
      <w:r>
        <w:rPr>
          <w:rFonts w:ascii="仿宋" w:hAnsi="仿宋" w:eastAsia="仿宋" w:cs="仿宋"/>
          <w:kern w:val="0"/>
          <w:sz w:val="32"/>
          <w:szCs w:val="32"/>
          <w:highlight w:val="none"/>
          <w:lang w:eastAsia="zh" w:bidi="ar"/>
        </w:rPr>
        <w:t>安置房</w:t>
      </w:r>
      <w:r>
        <w:rPr>
          <w:rFonts w:ascii="仿宋" w:hAnsi="仿宋" w:eastAsia="仿宋" w:cs="仿宋"/>
          <w:kern w:val="0"/>
          <w:sz w:val="32"/>
          <w:szCs w:val="32"/>
          <w:highlight w:val="none"/>
          <w:lang w:bidi="ar"/>
        </w:rPr>
        <w:t>，且项目涉及装配式结构、大体积混凝土较多，防水防渗漏为质量管理的重中之重，承包人进场后需严格把控结构自防水、防水层及防水成品保护质量，若出现结构渗漏，需保证百分百完成堵漏处理后再进行防水层施工。</w:t>
      </w:r>
    </w:p>
    <w:p w14:paraId="1B29DE6B">
      <w:pPr>
        <w:pStyle w:val="2"/>
        <w:pageBreakBefore w:val="0"/>
        <w:wordWrap/>
        <w:overflowPunct/>
        <w:autoSpaceDE/>
        <w:autoSpaceDN/>
        <w:bidi w:val="0"/>
        <w:spacing w:before="0" w:after="0" w:line="360" w:lineRule="auto"/>
        <w:ind w:firstLine="659" w:firstLineChars="200"/>
        <w:contextualSpacing/>
        <w:jc w:val="left"/>
        <w:rPr>
          <w:rFonts w:hint="eastAsia" w:ascii="黑体" w:hAnsi="黑体" w:eastAsia="黑体" w:cs="黑体"/>
          <w:b/>
          <w:snapToGrid w:val="0"/>
          <w:spacing w:val="4"/>
          <w:kern w:val="2"/>
          <w:sz w:val="32"/>
          <w:szCs w:val="32"/>
          <w:highlight w:val="none"/>
        </w:rPr>
      </w:pPr>
      <w:bookmarkStart w:id="22" w:name="_Toc19335"/>
      <w:bookmarkStart w:id="23" w:name="_Toc179898818"/>
      <w:r>
        <w:rPr>
          <w:rFonts w:hint="eastAsia" w:ascii="黑体" w:hAnsi="黑体" w:eastAsia="黑体" w:cs="黑体"/>
          <w:b/>
          <w:snapToGrid w:val="0"/>
          <w:spacing w:val="4"/>
          <w:kern w:val="2"/>
          <w:sz w:val="32"/>
          <w:szCs w:val="32"/>
          <w:highlight w:val="none"/>
        </w:rPr>
        <w:t>五、施工管理要求</w:t>
      </w:r>
      <w:bookmarkEnd w:id="22"/>
      <w:bookmarkEnd w:id="23"/>
    </w:p>
    <w:p w14:paraId="4C54B1C8">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24" w:name="_Toc16072"/>
      <w:bookmarkStart w:id="25" w:name="_Toc182248511"/>
      <w:bookmarkStart w:id="26" w:name="_Toc179898819"/>
      <w:r>
        <w:rPr>
          <w:rFonts w:hint="eastAsia" w:ascii="楷体" w:hAnsi="楷体" w:eastAsia="楷体" w:cs="楷体"/>
          <w:color w:val="auto"/>
          <w:sz w:val="32"/>
          <w:szCs w:val="32"/>
          <w:highlight w:val="none"/>
        </w:rPr>
        <w:t>（一）总平面管理要求</w:t>
      </w:r>
      <w:bookmarkEnd w:id="24"/>
      <w:bookmarkEnd w:id="25"/>
    </w:p>
    <w:p w14:paraId="42232020">
      <w:pPr>
        <w:pageBreakBefore w:val="0"/>
        <w:wordWrap/>
        <w:overflowPunct/>
        <w:autoSpaceDE/>
        <w:autoSpaceDN/>
        <w:bidi w:val="0"/>
        <w:spacing w:line="360" w:lineRule="auto"/>
        <w:ind w:firstLine="656" w:firstLineChars="200"/>
        <w:contextualSpacing/>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施工现场的视频监控系统应满足2019年4月3日印发《广州市住房和城乡建设局关于加快推进我市建设工程安装视频和扬尘在线监控设备的通知》的要求管理。</w:t>
      </w:r>
    </w:p>
    <w:p w14:paraId="30CE2BC4">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27" w:name="_Toc25069"/>
      <w:r>
        <w:rPr>
          <w:rFonts w:hint="eastAsia" w:ascii="楷体" w:hAnsi="楷体" w:eastAsia="楷体" w:cs="楷体"/>
          <w:color w:val="auto"/>
          <w:sz w:val="32"/>
          <w:szCs w:val="32"/>
          <w:highlight w:val="none"/>
        </w:rPr>
        <w:t>（二）分包管理要求</w:t>
      </w:r>
      <w:bookmarkEnd w:id="27"/>
    </w:p>
    <w:p w14:paraId="4F8502DE">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本项目主体结构、关键工作的施工必须由承包人自行完成，禁止将建筑工程主体结构施工进行分包，严格按国家、省市相关法律法规执行，不得违法分包及转包。结合项目特点，本项目的主体结构工程（除幕墙外）、机电工程（</w:t>
      </w:r>
      <w:r>
        <w:rPr>
          <w:rFonts w:hint="eastAsia" w:ascii="仿宋" w:hAnsi="仿宋" w:eastAsia="仿宋" w:cs="宋体"/>
          <w:snapToGrid w:val="0"/>
          <w:spacing w:val="4"/>
          <w:kern w:val="0"/>
          <w:sz w:val="32"/>
          <w:szCs w:val="32"/>
          <w:highlight w:val="none"/>
          <w:lang w:eastAsia="zh"/>
        </w:rPr>
        <w:t>永久用水用电、</w:t>
      </w:r>
      <w:r>
        <w:rPr>
          <w:rFonts w:hint="eastAsia" w:ascii="仿宋" w:hAnsi="仿宋" w:eastAsia="仿宋" w:cs="宋体"/>
          <w:snapToGrid w:val="0"/>
          <w:spacing w:val="4"/>
          <w:kern w:val="0"/>
          <w:sz w:val="32"/>
          <w:szCs w:val="32"/>
          <w:highlight w:val="none"/>
        </w:rPr>
        <w:t>消防、人防、电梯、燃气、智能化工程除外）、装修工程不允许分包。对于</w:t>
      </w:r>
      <w:r>
        <w:rPr>
          <w:rFonts w:hint="eastAsia" w:ascii="仿宋" w:hAnsi="仿宋" w:eastAsia="仿宋" w:cs="宋体"/>
          <w:snapToGrid w:val="0"/>
          <w:spacing w:val="4"/>
          <w:kern w:val="0"/>
          <w:sz w:val="32"/>
          <w:szCs w:val="32"/>
          <w:highlight w:val="none"/>
          <w:lang w:eastAsia="zh"/>
        </w:rPr>
        <w:t>永久用水用电、</w:t>
      </w:r>
      <w:r>
        <w:rPr>
          <w:rFonts w:hint="eastAsia" w:ascii="仿宋" w:hAnsi="仿宋" w:eastAsia="仿宋" w:cs="宋体"/>
          <w:snapToGrid w:val="0"/>
          <w:spacing w:val="4"/>
          <w:kern w:val="0"/>
          <w:sz w:val="32"/>
          <w:szCs w:val="32"/>
          <w:highlight w:val="none"/>
        </w:rPr>
        <w:t>燃气、消防、人防、电梯、智能化、防水等专业工程，承包人需严格按照分包管理相关规定执行，需对经发包人审批同意的专业分包单位加强管理，履行承包人主体管理责任，否则按合同约定及相关规定处理。</w:t>
      </w:r>
    </w:p>
    <w:p w14:paraId="52153573">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28" w:name="_Toc15826"/>
      <w:r>
        <w:rPr>
          <w:rFonts w:hint="eastAsia" w:ascii="楷体" w:hAnsi="楷体" w:eastAsia="楷体" w:cs="楷体"/>
          <w:color w:val="auto"/>
          <w:sz w:val="32"/>
          <w:szCs w:val="32"/>
          <w:highlight w:val="none"/>
        </w:rPr>
        <w:t>（三）进度管理要求</w:t>
      </w:r>
      <w:bookmarkEnd w:id="26"/>
      <w:bookmarkEnd w:id="28"/>
    </w:p>
    <w:p w14:paraId="54851ECC">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1.承包人进场前应就项目开工条件进行全面梳理，报监理单位和发包人批准后方可进场实施。</w:t>
      </w:r>
    </w:p>
    <w:p w14:paraId="09CC6E52">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2.承包人进场后须根据项目实施总控计划、施工图纸和现场实际情况编制切实可行的实施进度计划（总体施工计划须采用网络进度计划）报监理单位和发包人审批，并采取一切可能的措施，确保按批准的进度计划实施工程。在工程实施过程中，如因不可抗力等非承包人原因导致工期确需调整的（以合同约定为准），承包人应及时向监理单位和发包人提出工期调整及人员、机械设备投入调整的申请报告，经监理单位和发包人批准后方可执行，且承包人不得因此向发包人提出人员、机械设备等窝工费用的索赔。</w:t>
      </w:r>
    </w:p>
    <w:p w14:paraId="4DEB89A4">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3.承包人须每周向监理及发包人递交施工周报，内容包括本周重要事项、上周计划完成情况、未按上周计划完成的原因分析以及拟采取的赶工措施、下周计划、投入的机械设备、拟进场的材料、需要协调解决的事项及建议等。</w:t>
      </w:r>
    </w:p>
    <w:p w14:paraId="295811EC">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4.承包人须每月向监理及发包人递交施工月报，内容包括工程进度数据化、下月施工计划、工程质量及质量管理工作、投入主要施工机械设备数量、主要材料使用数量、计量支付情况及本月施工产值、工程变更、施工安全生产情况、文明施工情况、目前存在的问题及其解决建议、本月大事记、创优推进情况、科研课题推进情况、现场施工照片等方面内容。同时，发包人有权不定期要求承包人提交报告资料等，承包人需按发包人要求提供。</w:t>
      </w:r>
    </w:p>
    <w:p w14:paraId="0373E9C7">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29" w:name="_Toc18135"/>
      <w:bookmarkStart w:id="30" w:name="_Toc179898820"/>
      <w:r>
        <w:rPr>
          <w:rFonts w:hint="eastAsia" w:ascii="楷体" w:hAnsi="楷体" w:eastAsia="楷体" w:cs="楷体"/>
          <w:color w:val="auto"/>
          <w:sz w:val="32"/>
          <w:szCs w:val="32"/>
          <w:highlight w:val="none"/>
        </w:rPr>
        <w:t>（四）质量管理要求</w:t>
      </w:r>
      <w:bookmarkEnd w:id="29"/>
      <w:bookmarkEnd w:id="30"/>
    </w:p>
    <w:p w14:paraId="5F3BB3E1">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1.承包人需在开工前由项目负责人组织全专业的图纸会审，严格按经审查批准的施工方案和设计图纸施工，不得擅自修改施工方案及设计图纸。</w:t>
      </w:r>
    </w:p>
    <w:p w14:paraId="441D4E2C">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28"/>
          <w:szCs w:val="28"/>
          <w:highlight w:val="none"/>
        </w:rPr>
      </w:pPr>
      <w:r>
        <w:rPr>
          <w:rFonts w:hint="eastAsia" w:ascii="仿宋" w:hAnsi="仿宋" w:eastAsia="仿宋" w:cs="宋体"/>
          <w:snapToGrid w:val="0"/>
          <w:spacing w:val="4"/>
          <w:kern w:val="0"/>
          <w:sz w:val="32"/>
          <w:szCs w:val="32"/>
          <w:highlight w:val="none"/>
        </w:rPr>
        <w:t>2.承包人进场后根据施工总工期计划，编制主要设备材料看样定板计划报监理单位和发包人审批，在实施中严格按计划组织看样定板工作。承包人及其选择的专业承包商所采用的所有材料</w:t>
      </w:r>
      <w:r>
        <w:rPr>
          <w:rFonts w:hint="eastAsia" w:ascii="仿宋" w:hAnsi="仿宋" w:eastAsia="仿宋" w:cs="宋体"/>
          <w:snapToGrid w:val="0"/>
          <w:spacing w:val="4"/>
          <w:kern w:val="0"/>
          <w:sz w:val="32"/>
          <w:szCs w:val="32"/>
          <w:highlight w:val="none"/>
          <w:lang w:eastAsia="zh"/>
        </w:rPr>
        <w:t>设备</w:t>
      </w:r>
      <w:r>
        <w:rPr>
          <w:rFonts w:hint="eastAsia" w:ascii="仿宋" w:hAnsi="仿宋" w:eastAsia="仿宋" w:cs="宋体"/>
          <w:snapToGrid w:val="0"/>
          <w:spacing w:val="4"/>
          <w:kern w:val="0"/>
          <w:sz w:val="32"/>
          <w:szCs w:val="32"/>
          <w:highlight w:val="none"/>
        </w:rPr>
        <w:t>应符合设计技术参数</w:t>
      </w:r>
      <w:r>
        <w:rPr>
          <w:rFonts w:hint="eastAsia" w:ascii="仿宋" w:hAnsi="仿宋" w:eastAsia="仿宋" w:cs="宋体"/>
          <w:snapToGrid w:val="0"/>
          <w:spacing w:val="4"/>
          <w:kern w:val="0"/>
          <w:sz w:val="32"/>
          <w:szCs w:val="32"/>
          <w:highlight w:val="none"/>
          <w:lang w:eastAsia="zh"/>
        </w:rPr>
        <w:t>、</w:t>
      </w:r>
      <w:r>
        <w:rPr>
          <w:rFonts w:hint="eastAsia" w:ascii="仿宋" w:hAnsi="仿宋" w:eastAsia="仿宋" w:cs="宋体"/>
          <w:snapToGrid w:val="0"/>
          <w:spacing w:val="4"/>
          <w:kern w:val="0"/>
          <w:sz w:val="32"/>
          <w:szCs w:val="32"/>
          <w:highlight w:val="none"/>
        </w:rPr>
        <w:t>合同内主要材料设备品牌推荐表</w:t>
      </w:r>
      <w:r>
        <w:rPr>
          <w:rFonts w:hint="eastAsia" w:ascii="仿宋" w:hAnsi="仿宋" w:eastAsia="仿宋" w:cs="宋体"/>
          <w:snapToGrid w:val="0"/>
          <w:spacing w:val="4"/>
          <w:kern w:val="0"/>
          <w:sz w:val="32"/>
          <w:szCs w:val="32"/>
          <w:highlight w:val="none"/>
          <w:lang w:eastAsia="zh"/>
        </w:rPr>
        <w:t>的</w:t>
      </w:r>
      <w:r>
        <w:rPr>
          <w:rFonts w:hint="eastAsia" w:ascii="仿宋" w:hAnsi="仿宋" w:eastAsia="仿宋" w:cs="宋体"/>
          <w:snapToGrid w:val="0"/>
          <w:spacing w:val="4"/>
          <w:kern w:val="0"/>
          <w:sz w:val="32"/>
          <w:szCs w:val="32"/>
          <w:highlight w:val="none"/>
        </w:rPr>
        <w:t>要求，</w:t>
      </w:r>
      <w:r>
        <w:rPr>
          <w:rFonts w:hint="eastAsia" w:ascii="仿宋" w:hAnsi="仿宋" w:eastAsia="仿宋" w:cs="宋体"/>
          <w:snapToGrid w:val="0"/>
          <w:spacing w:val="4"/>
          <w:kern w:val="0"/>
          <w:sz w:val="32"/>
          <w:szCs w:val="32"/>
          <w:highlight w:val="none"/>
          <w:lang w:eastAsia="zh"/>
        </w:rPr>
        <w:t>在各阶段采购定货前一周</w:t>
      </w:r>
      <w:r>
        <w:rPr>
          <w:rFonts w:hint="eastAsia" w:ascii="仿宋" w:hAnsi="仿宋" w:eastAsia="仿宋" w:cs="宋体"/>
          <w:snapToGrid w:val="0"/>
          <w:spacing w:val="4"/>
          <w:kern w:val="0"/>
          <w:sz w:val="32"/>
          <w:szCs w:val="32"/>
          <w:highlight w:val="none"/>
        </w:rPr>
        <w:t>报发包人、监理人审批</w:t>
      </w:r>
      <w:r>
        <w:rPr>
          <w:rFonts w:hint="eastAsia" w:ascii="仿宋" w:hAnsi="仿宋" w:eastAsia="仿宋" w:cs="宋体"/>
          <w:snapToGrid w:val="0"/>
          <w:spacing w:val="4"/>
          <w:kern w:val="0"/>
          <w:sz w:val="32"/>
          <w:szCs w:val="32"/>
          <w:highlight w:val="none"/>
          <w:lang w:eastAsia="zh"/>
        </w:rPr>
        <w:t>，未经审批的材料设备不得进入施工现场</w:t>
      </w:r>
      <w:r>
        <w:rPr>
          <w:rFonts w:hint="eastAsia" w:ascii="仿宋" w:hAnsi="仿宋" w:eastAsia="仿宋" w:cs="宋体"/>
          <w:snapToGrid w:val="0"/>
          <w:spacing w:val="4"/>
          <w:kern w:val="0"/>
          <w:sz w:val="32"/>
          <w:szCs w:val="32"/>
          <w:highlight w:val="none"/>
        </w:rPr>
        <w:t>。进场</w:t>
      </w:r>
      <w:r>
        <w:rPr>
          <w:rFonts w:hint="eastAsia" w:ascii="仿宋" w:hAnsi="仿宋" w:eastAsia="仿宋" w:cs="宋体"/>
          <w:snapToGrid w:val="0"/>
          <w:spacing w:val="4"/>
          <w:kern w:val="0"/>
          <w:sz w:val="32"/>
          <w:szCs w:val="32"/>
          <w:highlight w:val="none"/>
          <w:lang w:eastAsia="zh"/>
        </w:rPr>
        <w:t>后</w:t>
      </w:r>
      <w:r>
        <w:rPr>
          <w:rFonts w:hint="eastAsia" w:ascii="仿宋" w:hAnsi="仿宋" w:eastAsia="仿宋" w:cs="宋体"/>
          <w:snapToGrid w:val="0"/>
          <w:spacing w:val="4"/>
          <w:kern w:val="0"/>
          <w:sz w:val="32"/>
          <w:szCs w:val="32"/>
          <w:highlight w:val="none"/>
        </w:rPr>
        <w:t>材料需按规定送至发包人委托的第三方检测单位检测，凡材料设备质量不符合要求，承包人必须将不合格的材料设备清退出场，由此造成的一切后果由承包人承担。</w:t>
      </w:r>
    </w:p>
    <w:p w14:paraId="19475F22">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3.要求承包人建立工序质量样板、样板展示区，相关费用含在承包人中标下浮率中，发包人不再另行计列。实物样板包括但不限于：管线综合布置、外幕墙单元、</w:t>
      </w:r>
      <w:r>
        <w:rPr>
          <w:rFonts w:hint="eastAsia" w:ascii="仿宋" w:hAnsi="仿宋" w:eastAsia="仿宋" w:cs="宋体"/>
          <w:snapToGrid w:val="0"/>
          <w:spacing w:val="4"/>
          <w:kern w:val="0"/>
          <w:sz w:val="32"/>
          <w:szCs w:val="32"/>
          <w:highlight w:val="none"/>
          <w:lang w:eastAsia="zh"/>
        </w:rPr>
        <w:t>住宅样板层</w:t>
      </w:r>
      <w:r>
        <w:rPr>
          <w:rFonts w:hint="eastAsia" w:ascii="仿宋" w:hAnsi="仿宋" w:eastAsia="仿宋" w:cs="宋体"/>
          <w:snapToGrid w:val="0"/>
          <w:spacing w:val="4"/>
          <w:kern w:val="0"/>
          <w:sz w:val="32"/>
          <w:szCs w:val="32"/>
          <w:highlight w:val="none"/>
        </w:rPr>
        <w:t>、</w:t>
      </w:r>
      <w:r>
        <w:rPr>
          <w:rFonts w:hint="eastAsia" w:ascii="仿宋" w:hAnsi="仿宋" w:eastAsia="仿宋" w:cs="宋体"/>
          <w:snapToGrid w:val="0"/>
          <w:spacing w:val="4"/>
          <w:kern w:val="0"/>
          <w:sz w:val="32"/>
          <w:szCs w:val="32"/>
          <w:highlight w:val="none"/>
          <w:lang w:eastAsia="zh"/>
        </w:rPr>
        <w:t>首层电梯大堂</w:t>
      </w:r>
      <w:r>
        <w:rPr>
          <w:rFonts w:hint="eastAsia" w:ascii="仿宋" w:hAnsi="仿宋" w:eastAsia="仿宋" w:cs="宋体"/>
          <w:snapToGrid w:val="0"/>
          <w:spacing w:val="4"/>
          <w:kern w:val="0"/>
          <w:sz w:val="32"/>
          <w:szCs w:val="32"/>
          <w:highlight w:val="none"/>
        </w:rPr>
        <w:t>等重要功能空间。</w:t>
      </w:r>
    </w:p>
    <w:p w14:paraId="4845A3F5">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4.承包人必须根据《工程质量安全专职机构及人员管理实施细则》要求，建立和健全管理体系，设立质量安全管理专职机构，配备满足规定要求的专职管理人员，特别是质量负责人、安全负责人必须由专人担任，不得兼职。</w:t>
      </w:r>
    </w:p>
    <w:p w14:paraId="4C72B0D0">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31" w:name="_Toc20377"/>
      <w:bookmarkStart w:id="32" w:name="_Toc179898821"/>
      <w:r>
        <w:rPr>
          <w:rFonts w:hint="eastAsia" w:ascii="楷体" w:hAnsi="楷体" w:eastAsia="楷体" w:cs="楷体"/>
          <w:color w:val="auto"/>
          <w:sz w:val="32"/>
          <w:szCs w:val="32"/>
          <w:highlight w:val="none"/>
        </w:rPr>
        <w:t>（五）安全、文明施工管理要求</w:t>
      </w:r>
      <w:bookmarkEnd w:id="31"/>
      <w:bookmarkEnd w:id="32"/>
    </w:p>
    <w:p w14:paraId="630B6FA2">
      <w:pPr>
        <w:pStyle w:val="39"/>
        <w:pageBreakBefore w:val="0"/>
        <w:widowControl w:val="0"/>
        <w:wordWrap/>
        <w:overflowPunct/>
        <w:autoSpaceDE/>
        <w:autoSpaceDN/>
        <w:bidi w:val="0"/>
        <w:ind w:firstLine="656" w:firstLineChars="200"/>
        <w:contextualSpacing/>
        <w:rPr>
          <w:rFonts w:hint="eastAsia" w:ascii="仿宋" w:hAnsi="仿宋" w:eastAsia="仿宋" w:cs="宋体"/>
          <w:sz w:val="32"/>
          <w:szCs w:val="32"/>
          <w:highlight w:val="none"/>
        </w:rPr>
      </w:pPr>
      <w:r>
        <w:rPr>
          <w:rFonts w:hint="eastAsia" w:ascii="仿宋" w:hAnsi="仿宋" w:eastAsia="仿宋" w:cs="宋体"/>
          <w:sz w:val="32"/>
          <w:szCs w:val="32"/>
          <w:highlight w:val="none"/>
        </w:rPr>
        <w:t>1.承包人须满足相关部门对安全生产、文明施工以及标语宣传等规定要求，须满足属地行政监管部门的规定要求；所有相关费用包括在措施项目清单“绿色施工安全防护措施费”中。</w:t>
      </w:r>
    </w:p>
    <w:p w14:paraId="23DA18DD">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2.承包人在施工过程中必须严格执行安全文明施工方案，做到</w:t>
      </w:r>
      <w:r>
        <w:rPr>
          <w:rFonts w:hint="eastAsia" w:ascii="仿宋" w:hAnsi="仿宋" w:eastAsia="仿宋" w:cs="宋体"/>
          <w:sz w:val="32"/>
          <w:szCs w:val="32"/>
          <w:highlight w:val="none"/>
        </w:rPr>
        <w:t>绿色施工安全防护措施费</w:t>
      </w:r>
      <w:r>
        <w:rPr>
          <w:rFonts w:hint="eastAsia" w:ascii="仿宋" w:hAnsi="仿宋" w:eastAsia="仿宋" w:cs="宋体"/>
          <w:snapToGrid w:val="0"/>
          <w:spacing w:val="4"/>
          <w:kern w:val="0"/>
          <w:sz w:val="32"/>
          <w:szCs w:val="32"/>
          <w:highlight w:val="none"/>
        </w:rPr>
        <w:t>专款专用，严禁挪用。每月应书面将</w:t>
      </w:r>
      <w:r>
        <w:rPr>
          <w:rFonts w:hint="eastAsia" w:ascii="仿宋" w:hAnsi="仿宋" w:eastAsia="仿宋" w:cs="宋体"/>
          <w:sz w:val="32"/>
          <w:szCs w:val="32"/>
          <w:highlight w:val="none"/>
        </w:rPr>
        <w:t>绿色施工安全防护措施费</w:t>
      </w:r>
      <w:r>
        <w:rPr>
          <w:rFonts w:hint="eastAsia" w:ascii="仿宋" w:hAnsi="仿宋" w:eastAsia="仿宋" w:cs="宋体"/>
          <w:snapToGrid w:val="0"/>
          <w:spacing w:val="4"/>
          <w:kern w:val="0"/>
          <w:sz w:val="32"/>
          <w:szCs w:val="32"/>
          <w:highlight w:val="none"/>
        </w:rPr>
        <w:t>使用计划提交给发包人、监理单位审批，且应定期将</w:t>
      </w:r>
      <w:r>
        <w:rPr>
          <w:rFonts w:hint="eastAsia" w:ascii="仿宋" w:hAnsi="仿宋" w:eastAsia="仿宋" w:cs="宋体"/>
          <w:sz w:val="32"/>
          <w:szCs w:val="32"/>
          <w:highlight w:val="none"/>
        </w:rPr>
        <w:t>绿色施工安全防护措施费</w:t>
      </w:r>
      <w:r>
        <w:rPr>
          <w:rFonts w:hint="eastAsia" w:ascii="仿宋" w:hAnsi="仿宋" w:eastAsia="仿宋" w:cs="宋体"/>
          <w:snapToGrid w:val="0"/>
          <w:spacing w:val="4"/>
          <w:kern w:val="0"/>
          <w:sz w:val="32"/>
          <w:szCs w:val="32"/>
          <w:highlight w:val="none"/>
        </w:rPr>
        <w:t>使用情况（进场验收证明、发票等单据及现场照片）提交发包人、监理单位核实。</w:t>
      </w:r>
    </w:p>
    <w:p w14:paraId="17CC7DDD">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3.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w:t>
      </w:r>
    </w:p>
    <w:p w14:paraId="4E7F2700">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4.承包人在地下工程施工时，须配备足够的、质量合格的排水、降水设备，并安排专人负责排水、降水工作。承包人须自行结合现场实际情况综合考虑现场排水降水措施，并安排专人负责排水工作，相关费用含在承包人中标下浮率中，发包人不再另行计列。</w:t>
      </w:r>
    </w:p>
    <w:p w14:paraId="14026452">
      <w:pPr>
        <w:pageBreakBefore w:val="0"/>
        <w:wordWrap/>
        <w:overflowPunct/>
        <w:autoSpaceDE/>
        <w:autoSpaceDN/>
        <w:bidi w:val="0"/>
        <w:spacing w:line="360" w:lineRule="auto"/>
        <w:ind w:firstLine="656" w:firstLineChars="200"/>
        <w:contextualSpacing/>
        <w:rPr>
          <w:rFonts w:hint="eastAsia" w:ascii="仿宋" w:hAnsi="仿宋" w:eastAsia="仿宋" w:cs="宋体"/>
          <w:snapToGrid w:val="0"/>
          <w:spacing w:val="4"/>
          <w:kern w:val="0"/>
          <w:sz w:val="32"/>
          <w:szCs w:val="32"/>
          <w:highlight w:val="none"/>
        </w:rPr>
      </w:pPr>
      <w:r>
        <w:rPr>
          <w:rFonts w:hint="eastAsia" w:ascii="仿宋" w:hAnsi="仿宋" w:eastAsia="仿宋" w:cs="宋体"/>
          <w:snapToGrid w:val="0"/>
          <w:spacing w:val="4"/>
          <w:kern w:val="0"/>
          <w:sz w:val="32"/>
          <w:szCs w:val="32"/>
          <w:highlight w:val="none"/>
        </w:rPr>
        <w:t>5.要求承包人进场后需对本项目施工过程场地平面布置及分阶段利用方案进行综合考虑。承包人综合考虑临时办公区和生活区临时板房和设施二次搬迁费用，相关费用含在承包人中标下浮率中，发包人不再另行计列。</w:t>
      </w:r>
    </w:p>
    <w:p w14:paraId="1DEB538B">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lang w:val="en-US" w:eastAsia="zh-CN"/>
        </w:rPr>
      </w:pPr>
      <w:bookmarkStart w:id="33" w:name="_Toc179898823"/>
      <w:bookmarkStart w:id="34" w:name="_Toc19396"/>
      <w:r>
        <w:rPr>
          <w:rFonts w:hint="eastAsia" w:ascii="楷体" w:hAnsi="楷体" w:eastAsia="楷体" w:cs="楷体"/>
          <w:color w:val="auto"/>
          <w:sz w:val="32"/>
          <w:szCs w:val="32"/>
          <w:highlight w:val="none"/>
          <w:lang w:val="en-US" w:eastAsia="zh-CN"/>
        </w:rPr>
        <w:t>（六）</w:t>
      </w:r>
      <w:bookmarkEnd w:id="33"/>
      <w:bookmarkEnd w:id="34"/>
      <w:bookmarkStart w:id="35" w:name="_Toc5957"/>
      <w:bookmarkStart w:id="36" w:name="_Toc29906"/>
      <w:bookmarkStart w:id="37" w:name="_Toc18234"/>
      <w:bookmarkStart w:id="38" w:name="_Toc4117"/>
      <w:r>
        <w:rPr>
          <w:rFonts w:hint="eastAsia" w:ascii="楷体" w:hAnsi="楷体" w:eastAsia="楷体" w:cs="楷体"/>
          <w:color w:val="auto"/>
          <w:sz w:val="32"/>
          <w:szCs w:val="32"/>
          <w:highlight w:val="none"/>
          <w:lang w:val="en-US" w:eastAsia="zh-CN"/>
        </w:rPr>
        <w:t>项目组织架构及工作要求</w:t>
      </w:r>
      <w:bookmarkEnd w:id="35"/>
      <w:bookmarkEnd w:id="36"/>
      <w:bookmarkEnd w:id="37"/>
      <w:bookmarkEnd w:id="38"/>
    </w:p>
    <w:p w14:paraId="7A621C59">
      <w:pPr>
        <w:pStyle w:val="6"/>
        <w:pageBreakBefore w:val="0"/>
        <w:wordWrap/>
        <w:overflowPunct/>
        <w:autoSpaceDE/>
        <w:autoSpaceDN/>
        <w:bidi w:val="0"/>
        <w:spacing w:before="0" w:after="0" w:line="360" w:lineRule="auto"/>
        <w:ind w:firstLine="640" w:firstLineChars="200"/>
        <w:contextualSpacing/>
        <w:jc w:val="left"/>
        <w:rPr>
          <w:rFonts w:hint="eastAsia" w:ascii="仿宋" w:hAnsi="仿宋" w:eastAsia="仿宋" w:cs="仿宋"/>
          <w:b w:val="0"/>
          <w:bCs/>
          <w:color w:val="auto"/>
          <w:sz w:val="32"/>
          <w:szCs w:val="32"/>
          <w:highlight w:val="none"/>
          <w:lang w:val="en-US" w:eastAsia="zh-CN"/>
        </w:rPr>
      </w:pPr>
      <w:bookmarkStart w:id="39" w:name="_Toc26371"/>
      <w:bookmarkStart w:id="40" w:name="_Toc13183"/>
      <w:bookmarkStart w:id="41" w:name="_Toc10410"/>
      <w:bookmarkStart w:id="42" w:name="_Toc25537"/>
      <w:bookmarkStart w:id="43" w:name="_Toc11797"/>
      <w:bookmarkStart w:id="44" w:name="_Toc27654"/>
      <w:bookmarkStart w:id="45" w:name="_Toc18300"/>
      <w:bookmarkStart w:id="46" w:name="_Toc169722207"/>
      <w:bookmarkStart w:id="47" w:name="_Toc16283"/>
      <w:bookmarkStart w:id="48" w:name="_Toc5312"/>
      <w:bookmarkStart w:id="49" w:name="_Toc17611"/>
      <w:r>
        <w:rPr>
          <w:rFonts w:hint="eastAsia" w:ascii="仿宋" w:hAnsi="仿宋" w:eastAsia="仿宋" w:cs="仿宋"/>
          <w:b w:val="0"/>
          <w:bCs/>
          <w:color w:val="auto"/>
          <w:sz w:val="32"/>
          <w:szCs w:val="32"/>
          <w:highlight w:val="none"/>
          <w:lang w:val="en-US" w:eastAsia="zh-CN"/>
        </w:rPr>
        <w:t>1.项目管理团队组织架构设置要求</w:t>
      </w:r>
      <w:bookmarkEnd w:id="39"/>
      <w:bookmarkEnd w:id="40"/>
      <w:bookmarkEnd w:id="41"/>
      <w:bookmarkEnd w:id="42"/>
      <w:bookmarkEnd w:id="43"/>
      <w:bookmarkEnd w:id="44"/>
      <w:bookmarkEnd w:id="45"/>
      <w:bookmarkEnd w:id="46"/>
      <w:bookmarkEnd w:id="47"/>
      <w:bookmarkEnd w:id="48"/>
      <w:bookmarkEnd w:id="49"/>
    </w:p>
    <w:p w14:paraId="6023CA95">
      <w:pPr>
        <w:pStyle w:val="6"/>
        <w:pageBreakBefore w:val="0"/>
        <w:wordWrap/>
        <w:overflowPunct/>
        <w:autoSpaceDE/>
        <w:autoSpaceDN/>
        <w:bidi w:val="0"/>
        <w:spacing w:before="0" w:after="0" w:line="360" w:lineRule="auto"/>
        <w:ind w:firstLine="640" w:firstLineChars="200"/>
        <w:contextualSpacing/>
        <w:jc w:val="left"/>
        <w:rPr>
          <w:rFonts w:hint="eastAsia" w:ascii="仿宋" w:hAnsi="仿宋" w:eastAsia="仿宋" w:cs="仿宋"/>
          <w:b w:val="0"/>
          <w:bCs/>
          <w:sz w:val="32"/>
          <w:szCs w:val="32"/>
          <w:highlight w:val="none"/>
        </w:rPr>
      </w:pPr>
      <w:r>
        <w:rPr>
          <w:rFonts w:hint="eastAsia" w:ascii="仿宋" w:hAnsi="仿宋" w:eastAsia="仿宋" w:cs="仿宋"/>
          <w:b w:val="0"/>
          <w:bCs/>
          <w:color w:val="auto"/>
          <w:sz w:val="32"/>
          <w:szCs w:val="32"/>
          <w:highlight w:val="none"/>
        </w:rPr>
        <w:t>（1）承包人应设置项目指挥长一职</w:t>
      </w:r>
      <w:r>
        <w:rPr>
          <w:rFonts w:hint="eastAsia" w:ascii="仿宋" w:hAnsi="仿宋" w:eastAsia="仿宋" w:cs="仿宋"/>
          <w:b w:val="0"/>
          <w:bCs/>
          <w:sz w:val="32"/>
          <w:szCs w:val="32"/>
          <w:highlight w:val="none"/>
        </w:rPr>
        <w:t>，项目指挥长由承包人负责生产的公司副总经理（或以上）级别的人员担任，以保证有效调配、协调公司资源，满足项目在进度、质量、安全文明施工等方面的管理需要。</w:t>
      </w:r>
    </w:p>
    <w:p w14:paraId="57C0F48F">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sz w:val="32"/>
          <w:szCs w:val="32"/>
          <w:highlight w:val="none"/>
        </w:rPr>
      </w:pPr>
      <w:r>
        <w:rPr>
          <w:rFonts w:ascii="仿宋" w:hAnsi="仿宋" w:eastAsia="仿宋"/>
          <w:sz w:val="32"/>
          <w:szCs w:val="32"/>
          <w:highlight w:val="none"/>
        </w:rPr>
        <w:t>（2）承包人应根据发包人对项目组织架构的要求，配备项目管理人员。</w:t>
      </w:r>
    </w:p>
    <w:p w14:paraId="69FAFBC3">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sz w:val="32"/>
          <w:szCs w:val="32"/>
          <w:highlight w:val="none"/>
        </w:rPr>
      </w:pPr>
      <w:r>
        <w:rPr>
          <w:rFonts w:ascii="仿宋" w:hAnsi="仿宋" w:eastAsia="仿宋"/>
          <w:sz w:val="32"/>
          <w:szCs w:val="32"/>
          <w:highlight w:val="none"/>
        </w:rPr>
        <w:t>（3）项目组织架构中的</w:t>
      </w:r>
      <w:bookmarkStart w:id="50" w:name="_Hlk196727564"/>
      <w:r>
        <w:rPr>
          <w:rFonts w:ascii="仿宋" w:hAnsi="仿宋" w:eastAsia="仿宋"/>
          <w:sz w:val="32"/>
          <w:szCs w:val="32"/>
          <w:highlight w:val="none"/>
        </w:rPr>
        <w:t>项目负责人、生产经理、技术负责人、质量负责人、造价负责人、安全负责人为关键岗位。</w:t>
      </w:r>
      <w:bookmarkEnd w:id="50"/>
    </w:p>
    <w:p w14:paraId="582A066E">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sz w:val="32"/>
          <w:szCs w:val="32"/>
          <w:highlight w:val="none"/>
        </w:rPr>
      </w:pPr>
      <w:r>
        <w:rPr>
          <w:rFonts w:ascii="仿宋" w:hAnsi="仿宋" w:eastAsia="仿宋"/>
          <w:sz w:val="32"/>
          <w:szCs w:val="32"/>
          <w:highlight w:val="none"/>
        </w:rPr>
        <w:t>（4）施工管理人员配置要求</w:t>
      </w:r>
    </w:p>
    <w:p w14:paraId="41677AE2">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sz w:val="32"/>
          <w:szCs w:val="32"/>
          <w:highlight w:val="none"/>
        </w:rPr>
      </w:pPr>
      <w:r>
        <w:rPr>
          <w:rFonts w:ascii="仿宋" w:hAnsi="仿宋" w:eastAsia="仿宋"/>
          <w:sz w:val="32"/>
          <w:szCs w:val="32"/>
          <w:highlight w:val="none"/>
        </w:rPr>
        <w:t>承包人进场即成立项目管理部负责工程管理工作。其中，施工管理人员配备求见《施工管理主要人员配置要求》。</w:t>
      </w:r>
    </w:p>
    <w:p w14:paraId="54687ACF">
      <w:pPr>
        <w:pStyle w:val="20"/>
        <w:pageBreakBefore w:val="0"/>
        <w:widowControl w:val="0"/>
        <w:wordWrap/>
        <w:overflowPunct/>
        <w:autoSpaceDE/>
        <w:autoSpaceDN/>
        <w:bidi w:val="0"/>
        <w:spacing w:before="0" w:beforeAutospacing="0" w:after="0" w:afterAutospacing="0" w:line="360" w:lineRule="auto"/>
        <w:ind w:firstLine="656" w:firstLineChars="200"/>
        <w:contextualSpacing/>
        <w:jc w:val="center"/>
        <w:rPr>
          <w:rFonts w:hint="eastAsia" w:ascii="仿宋" w:hAnsi="仿宋" w:eastAsia="仿宋" w:cs="宋体"/>
          <w:snapToGrid w:val="0"/>
          <w:spacing w:val="4"/>
          <w:sz w:val="32"/>
          <w:szCs w:val="32"/>
          <w:highlight w:val="none"/>
        </w:rPr>
      </w:pPr>
      <w:r>
        <w:rPr>
          <w:rFonts w:hint="eastAsia" w:ascii="仿宋" w:hAnsi="仿宋" w:eastAsia="仿宋" w:cs="宋体"/>
          <w:snapToGrid w:val="0"/>
          <w:spacing w:val="4"/>
          <w:sz w:val="32"/>
          <w:szCs w:val="32"/>
          <w:highlight w:val="none"/>
        </w:rPr>
        <w:t>施工管理主要人员配置要求</w:t>
      </w:r>
    </w:p>
    <w:tbl>
      <w:tblPr>
        <w:tblStyle w:val="21"/>
        <w:tblW w:w="9055" w:type="dxa"/>
        <w:jc w:val="center"/>
        <w:tblLayout w:type="fixed"/>
        <w:tblCellMar>
          <w:top w:w="0" w:type="dxa"/>
          <w:left w:w="108" w:type="dxa"/>
          <w:bottom w:w="0" w:type="dxa"/>
          <w:right w:w="108" w:type="dxa"/>
        </w:tblCellMar>
      </w:tblPr>
      <w:tblGrid>
        <w:gridCol w:w="748"/>
        <w:gridCol w:w="1565"/>
        <w:gridCol w:w="1123"/>
        <w:gridCol w:w="4185"/>
        <w:gridCol w:w="1434"/>
      </w:tblGrid>
      <w:tr w14:paraId="21C08E31">
        <w:tblPrEx>
          <w:tblCellMar>
            <w:top w:w="0" w:type="dxa"/>
            <w:left w:w="108" w:type="dxa"/>
            <w:bottom w:w="0" w:type="dxa"/>
            <w:right w:w="108" w:type="dxa"/>
          </w:tblCellMar>
        </w:tblPrEx>
        <w:trPr>
          <w:trHeight w:val="285" w:hRule="atLeast"/>
          <w:jc w:val="center"/>
        </w:trPr>
        <w:tc>
          <w:tcPr>
            <w:tcW w:w="748" w:type="dxa"/>
            <w:tcBorders>
              <w:top w:val="single" w:color="000000" w:sz="8" w:space="0"/>
              <w:left w:val="single" w:color="000000" w:sz="8" w:space="0"/>
              <w:bottom w:val="single" w:color="000000" w:sz="8" w:space="0"/>
              <w:right w:val="single" w:color="000000" w:sz="8" w:space="0"/>
            </w:tcBorders>
            <w:vAlign w:val="center"/>
          </w:tcPr>
          <w:p w14:paraId="5FF1AA9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both"/>
              <w:textAlignment w:val="center"/>
              <w:outlineLvl w:val="9"/>
              <w:rPr>
                <w:rFonts w:hint="eastAsia" w:ascii="仿宋" w:hAnsi="仿宋" w:eastAsia="仿宋"/>
                <w:color w:val="auto"/>
                <w:sz w:val="24"/>
                <w:szCs w:val="24"/>
                <w:highlight w:val="none"/>
              </w:rPr>
            </w:pPr>
            <w:r>
              <w:rPr>
                <w:rFonts w:ascii="仿宋" w:hAnsi="仿宋" w:eastAsia="仿宋" w:cs="宋体"/>
                <w:b/>
                <w:bCs/>
                <w:snapToGrid w:val="0"/>
                <w:color w:val="auto"/>
                <w:kern w:val="0"/>
                <w:sz w:val="24"/>
                <w:szCs w:val="24"/>
                <w:highlight w:val="none"/>
                <w:lang w:bidi="ar"/>
              </w:rPr>
              <w:t>序号</w:t>
            </w:r>
          </w:p>
        </w:tc>
        <w:tc>
          <w:tcPr>
            <w:tcW w:w="1565" w:type="dxa"/>
            <w:tcBorders>
              <w:top w:val="single" w:color="000000" w:sz="8" w:space="0"/>
              <w:left w:val="nil"/>
              <w:bottom w:val="single" w:color="000000" w:sz="8" w:space="0"/>
              <w:right w:val="single" w:color="000000" w:sz="8" w:space="0"/>
            </w:tcBorders>
            <w:vAlign w:val="center"/>
          </w:tcPr>
          <w:p w14:paraId="1178AFF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r>
              <w:rPr>
                <w:rFonts w:ascii="仿宋" w:hAnsi="仿宋" w:eastAsia="仿宋" w:cs="宋体"/>
                <w:b/>
                <w:bCs/>
                <w:snapToGrid w:val="0"/>
                <w:color w:val="auto"/>
                <w:kern w:val="0"/>
                <w:sz w:val="24"/>
                <w:szCs w:val="24"/>
                <w:highlight w:val="none"/>
                <w:lang w:bidi="ar"/>
              </w:rPr>
              <w:t>职务</w:t>
            </w:r>
          </w:p>
        </w:tc>
        <w:tc>
          <w:tcPr>
            <w:tcW w:w="1123" w:type="dxa"/>
            <w:tcBorders>
              <w:top w:val="single" w:color="000000" w:sz="8" w:space="0"/>
              <w:left w:val="nil"/>
              <w:bottom w:val="single" w:color="000000" w:sz="8" w:space="0"/>
              <w:right w:val="single" w:color="000000" w:sz="8" w:space="0"/>
            </w:tcBorders>
            <w:vAlign w:val="center"/>
          </w:tcPr>
          <w:p w14:paraId="4538D2F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b/>
                <w:bCs/>
                <w:snapToGrid w:val="0"/>
                <w:color w:val="auto"/>
                <w:kern w:val="0"/>
                <w:sz w:val="24"/>
                <w:szCs w:val="24"/>
                <w:highlight w:val="none"/>
                <w:lang w:bidi="ar"/>
              </w:rPr>
            </w:pPr>
            <w:r>
              <w:rPr>
                <w:rFonts w:ascii="仿宋" w:hAnsi="仿宋" w:eastAsia="仿宋" w:cs="宋体"/>
                <w:b/>
                <w:bCs/>
                <w:snapToGrid w:val="0"/>
                <w:color w:val="auto"/>
                <w:kern w:val="0"/>
                <w:sz w:val="24"/>
                <w:szCs w:val="24"/>
                <w:highlight w:val="none"/>
                <w:lang w:bidi="ar"/>
              </w:rPr>
              <w:t>计划</w:t>
            </w:r>
          </w:p>
          <w:p w14:paraId="5A6EA84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b/>
                <w:bCs/>
                <w:snapToGrid w:val="0"/>
                <w:color w:val="auto"/>
                <w:kern w:val="0"/>
                <w:sz w:val="24"/>
                <w:szCs w:val="24"/>
                <w:highlight w:val="none"/>
                <w:lang w:bidi="ar"/>
              </w:rPr>
              <w:t>人数</w:t>
            </w:r>
          </w:p>
        </w:tc>
        <w:tc>
          <w:tcPr>
            <w:tcW w:w="4185" w:type="dxa"/>
            <w:tcBorders>
              <w:top w:val="single" w:color="000000" w:sz="8" w:space="0"/>
              <w:left w:val="nil"/>
              <w:bottom w:val="single" w:color="000000" w:sz="8" w:space="0"/>
              <w:right w:val="single" w:color="000000" w:sz="8" w:space="0"/>
            </w:tcBorders>
            <w:vAlign w:val="center"/>
          </w:tcPr>
          <w:p w14:paraId="77978A8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b/>
                <w:bCs/>
                <w:snapToGrid w:val="0"/>
                <w:color w:val="auto"/>
                <w:kern w:val="0"/>
                <w:sz w:val="24"/>
                <w:szCs w:val="24"/>
                <w:highlight w:val="none"/>
                <w:lang w:bidi="ar"/>
              </w:rPr>
              <w:t>基本任职条件</w:t>
            </w:r>
          </w:p>
        </w:tc>
        <w:tc>
          <w:tcPr>
            <w:tcW w:w="1434" w:type="dxa"/>
            <w:tcBorders>
              <w:top w:val="single" w:color="000000" w:sz="8" w:space="0"/>
              <w:left w:val="nil"/>
              <w:bottom w:val="single" w:color="000000" w:sz="8" w:space="0"/>
              <w:right w:val="single" w:color="000000" w:sz="8" w:space="0"/>
            </w:tcBorders>
            <w:vAlign w:val="center"/>
          </w:tcPr>
          <w:p w14:paraId="680F571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b/>
                <w:bCs/>
                <w:snapToGrid w:val="0"/>
                <w:color w:val="auto"/>
                <w:kern w:val="0"/>
                <w:sz w:val="24"/>
                <w:szCs w:val="24"/>
                <w:highlight w:val="none"/>
                <w:lang w:bidi="ar"/>
              </w:rPr>
              <w:t>备注</w:t>
            </w:r>
          </w:p>
        </w:tc>
      </w:tr>
      <w:tr w14:paraId="04F4E02E">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31A007F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1565" w:type="dxa"/>
            <w:tcBorders>
              <w:top w:val="nil"/>
              <w:left w:val="nil"/>
              <w:bottom w:val="single" w:color="000000" w:sz="8" w:space="0"/>
              <w:right w:val="single" w:color="000000" w:sz="8" w:space="0"/>
            </w:tcBorders>
            <w:vAlign w:val="center"/>
          </w:tcPr>
          <w:p w14:paraId="253D9EA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指挥长</w:t>
            </w:r>
          </w:p>
        </w:tc>
        <w:tc>
          <w:tcPr>
            <w:tcW w:w="1123" w:type="dxa"/>
            <w:tcBorders>
              <w:top w:val="nil"/>
              <w:left w:val="nil"/>
              <w:bottom w:val="single" w:color="000000" w:sz="8" w:space="0"/>
              <w:right w:val="single" w:color="000000" w:sz="8" w:space="0"/>
            </w:tcBorders>
            <w:vAlign w:val="center"/>
          </w:tcPr>
          <w:p w14:paraId="61A5659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2EB9327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应由施工方现任单位领导班子副职或以上级别的领导担任，且应已任该职务满半年或以上。</w:t>
            </w:r>
          </w:p>
        </w:tc>
        <w:tc>
          <w:tcPr>
            <w:tcW w:w="1434" w:type="dxa"/>
            <w:tcBorders>
              <w:top w:val="nil"/>
              <w:left w:val="nil"/>
              <w:bottom w:val="single" w:color="000000" w:sz="8" w:space="0"/>
              <w:right w:val="single" w:color="000000" w:sz="8" w:space="0"/>
            </w:tcBorders>
            <w:vAlign w:val="center"/>
          </w:tcPr>
          <w:p w14:paraId="6AE6DD90">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不要求驻场</w:t>
            </w:r>
          </w:p>
        </w:tc>
      </w:tr>
      <w:tr w14:paraId="17DC4C15">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16F5CB4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2</w:t>
            </w:r>
          </w:p>
        </w:tc>
        <w:tc>
          <w:tcPr>
            <w:tcW w:w="1565" w:type="dxa"/>
            <w:tcBorders>
              <w:top w:val="nil"/>
              <w:left w:val="nil"/>
              <w:bottom w:val="single" w:color="000000" w:sz="8" w:space="0"/>
              <w:right w:val="single" w:color="000000" w:sz="8" w:space="0"/>
            </w:tcBorders>
            <w:vAlign w:val="center"/>
          </w:tcPr>
          <w:p w14:paraId="661F57F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项目负责人</w:t>
            </w:r>
          </w:p>
        </w:tc>
        <w:tc>
          <w:tcPr>
            <w:tcW w:w="1123" w:type="dxa"/>
            <w:tcBorders>
              <w:top w:val="nil"/>
              <w:left w:val="nil"/>
              <w:bottom w:val="single" w:color="000000" w:sz="8" w:space="0"/>
              <w:right w:val="single" w:color="000000" w:sz="8" w:space="0"/>
            </w:tcBorders>
            <w:vAlign w:val="center"/>
          </w:tcPr>
          <w:p w14:paraId="66B1185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53C2AAF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按招标公告要求</w:t>
            </w:r>
          </w:p>
        </w:tc>
        <w:tc>
          <w:tcPr>
            <w:tcW w:w="1434" w:type="dxa"/>
            <w:tcBorders>
              <w:top w:val="nil"/>
              <w:left w:val="nil"/>
              <w:bottom w:val="single" w:color="000000" w:sz="8" w:space="0"/>
              <w:right w:val="single" w:color="000000" w:sz="8" w:space="0"/>
            </w:tcBorders>
            <w:vAlign w:val="center"/>
          </w:tcPr>
          <w:p w14:paraId="7D5B5BC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关键岗位</w:t>
            </w:r>
          </w:p>
        </w:tc>
      </w:tr>
      <w:tr w14:paraId="75B83E59">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562E4A9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3</w:t>
            </w:r>
          </w:p>
        </w:tc>
        <w:tc>
          <w:tcPr>
            <w:tcW w:w="1565" w:type="dxa"/>
            <w:tcBorders>
              <w:top w:val="nil"/>
              <w:left w:val="nil"/>
              <w:bottom w:val="single" w:color="000000" w:sz="8" w:space="0"/>
              <w:right w:val="single" w:color="000000" w:sz="8" w:space="0"/>
            </w:tcBorders>
            <w:vAlign w:val="center"/>
          </w:tcPr>
          <w:p w14:paraId="137D6A3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项目生产经理</w:t>
            </w:r>
          </w:p>
        </w:tc>
        <w:tc>
          <w:tcPr>
            <w:tcW w:w="1123" w:type="dxa"/>
            <w:tcBorders>
              <w:top w:val="nil"/>
              <w:left w:val="nil"/>
              <w:bottom w:val="single" w:color="000000" w:sz="8" w:space="0"/>
              <w:right w:val="single" w:color="000000" w:sz="8" w:space="0"/>
            </w:tcBorders>
            <w:vAlign w:val="center"/>
          </w:tcPr>
          <w:p w14:paraId="3918BEE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52DFA3F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具备工程类中级或以上技术职称，具有工作经验</w:t>
            </w:r>
            <w:r>
              <w:rPr>
                <w:rFonts w:ascii="仿宋" w:hAnsi="仿宋" w:eastAsia="仿宋" w:cs="宋体"/>
                <w:color w:val="auto"/>
                <w:kern w:val="0"/>
                <w:sz w:val="24"/>
                <w:szCs w:val="24"/>
                <w:highlight w:val="none"/>
                <w:lang w:bidi="ar"/>
              </w:rPr>
              <w:t>8</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2645A93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关键岗位</w:t>
            </w:r>
          </w:p>
        </w:tc>
      </w:tr>
      <w:tr w14:paraId="3D58AB09">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38F0548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4</w:t>
            </w:r>
          </w:p>
        </w:tc>
        <w:tc>
          <w:tcPr>
            <w:tcW w:w="1565" w:type="dxa"/>
            <w:tcBorders>
              <w:top w:val="nil"/>
              <w:left w:val="nil"/>
              <w:bottom w:val="single" w:color="000000" w:sz="8" w:space="0"/>
              <w:right w:val="single" w:color="000000" w:sz="8" w:space="0"/>
            </w:tcBorders>
            <w:vAlign w:val="center"/>
          </w:tcPr>
          <w:p w14:paraId="036D1AE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技术负责人</w:t>
            </w:r>
          </w:p>
        </w:tc>
        <w:tc>
          <w:tcPr>
            <w:tcW w:w="1123" w:type="dxa"/>
            <w:tcBorders>
              <w:top w:val="nil"/>
              <w:left w:val="nil"/>
              <w:bottom w:val="single" w:color="000000" w:sz="8" w:space="0"/>
              <w:right w:val="single" w:color="000000" w:sz="8" w:space="0"/>
            </w:tcBorders>
            <w:vAlign w:val="center"/>
          </w:tcPr>
          <w:p w14:paraId="7838892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7CC911A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按招标公告要求</w:t>
            </w:r>
          </w:p>
        </w:tc>
        <w:tc>
          <w:tcPr>
            <w:tcW w:w="1434" w:type="dxa"/>
            <w:tcBorders>
              <w:top w:val="nil"/>
              <w:left w:val="nil"/>
              <w:bottom w:val="single" w:color="000000" w:sz="8" w:space="0"/>
              <w:right w:val="single" w:color="000000" w:sz="8" w:space="0"/>
            </w:tcBorders>
            <w:vAlign w:val="center"/>
          </w:tcPr>
          <w:p w14:paraId="0310682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关键岗位</w:t>
            </w:r>
          </w:p>
        </w:tc>
      </w:tr>
      <w:tr w14:paraId="2574519B">
        <w:tblPrEx>
          <w:tblCellMar>
            <w:top w:w="0" w:type="dxa"/>
            <w:left w:w="108" w:type="dxa"/>
            <w:bottom w:w="0" w:type="dxa"/>
            <w:right w:w="108" w:type="dxa"/>
          </w:tblCellMar>
        </w:tblPrEx>
        <w:trPr>
          <w:trHeight w:val="780" w:hRule="atLeast"/>
          <w:jc w:val="center"/>
        </w:trPr>
        <w:tc>
          <w:tcPr>
            <w:tcW w:w="748" w:type="dxa"/>
            <w:tcBorders>
              <w:top w:val="nil"/>
              <w:left w:val="single" w:color="000000" w:sz="8" w:space="0"/>
              <w:bottom w:val="single" w:color="000000" w:sz="8" w:space="0"/>
              <w:right w:val="single" w:color="000000" w:sz="8" w:space="0"/>
            </w:tcBorders>
            <w:vAlign w:val="center"/>
          </w:tcPr>
          <w:p w14:paraId="1F1D8CB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5</w:t>
            </w:r>
          </w:p>
        </w:tc>
        <w:tc>
          <w:tcPr>
            <w:tcW w:w="1565" w:type="dxa"/>
            <w:tcBorders>
              <w:top w:val="nil"/>
              <w:left w:val="nil"/>
              <w:bottom w:val="single" w:color="000000" w:sz="8" w:space="0"/>
              <w:right w:val="single" w:color="000000" w:sz="8" w:space="0"/>
            </w:tcBorders>
            <w:vAlign w:val="center"/>
          </w:tcPr>
          <w:p w14:paraId="459F732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技术工程师</w:t>
            </w:r>
          </w:p>
        </w:tc>
        <w:tc>
          <w:tcPr>
            <w:tcW w:w="1123" w:type="dxa"/>
            <w:tcBorders>
              <w:top w:val="nil"/>
              <w:left w:val="nil"/>
              <w:bottom w:val="single" w:color="000000" w:sz="8" w:space="0"/>
              <w:right w:val="single" w:color="000000" w:sz="8" w:space="0"/>
            </w:tcBorders>
            <w:vAlign w:val="center"/>
          </w:tcPr>
          <w:p w14:paraId="6BC6F2F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s="宋体"/>
                <w:snapToGrid w:val="0"/>
                <w:color w:val="auto"/>
                <w:kern w:val="0"/>
                <w:sz w:val="24"/>
                <w:szCs w:val="24"/>
                <w:highlight w:val="none"/>
                <w:lang w:val="en-US" w:eastAsia="zh-CN" w:bidi="ar"/>
              </w:rPr>
              <w:t>3</w:t>
            </w:r>
          </w:p>
        </w:tc>
        <w:tc>
          <w:tcPr>
            <w:tcW w:w="4185" w:type="dxa"/>
            <w:tcBorders>
              <w:top w:val="nil"/>
              <w:left w:val="nil"/>
              <w:bottom w:val="single" w:color="000000" w:sz="8" w:space="0"/>
              <w:right w:val="single" w:color="000000" w:sz="8" w:space="0"/>
            </w:tcBorders>
            <w:vAlign w:val="center"/>
          </w:tcPr>
          <w:p w14:paraId="03AEF08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bookmarkStart w:id="51" w:name="OLE_LINK1"/>
            <w:r>
              <w:rPr>
                <w:rFonts w:ascii="仿宋" w:hAnsi="仿宋" w:eastAsia="仿宋" w:cs="宋体"/>
                <w:snapToGrid w:val="0"/>
                <w:color w:val="auto"/>
                <w:kern w:val="0"/>
                <w:sz w:val="24"/>
                <w:szCs w:val="24"/>
                <w:highlight w:val="none"/>
                <w:lang w:bidi="ar"/>
              </w:rPr>
              <w:t>建筑工程相关专业中级或以上技术职称</w:t>
            </w:r>
            <w:bookmarkEnd w:id="51"/>
            <w:r>
              <w:rPr>
                <w:rFonts w:ascii="仿宋" w:hAnsi="仿宋" w:eastAsia="仿宋" w:cs="宋体"/>
                <w:snapToGrid w:val="0"/>
                <w:color w:val="auto"/>
                <w:kern w:val="0"/>
                <w:sz w:val="24"/>
                <w:szCs w:val="24"/>
                <w:highlight w:val="none"/>
                <w:lang w:bidi="ar"/>
              </w:rPr>
              <w:t>。</w:t>
            </w:r>
          </w:p>
        </w:tc>
        <w:tc>
          <w:tcPr>
            <w:tcW w:w="1434" w:type="dxa"/>
            <w:tcBorders>
              <w:top w:val="nil"/>
              <w:left w:val="nil"/>
              <w:bottom w:val="single" w:color="000000" w:sz="8" w:space="0"/>
              <w:right w:val="single" w:color="000000" w:sz="8" w:space="0"/>
            </w:tcBorders>
            <w:vAlign w:val="center"/>
          </w:tcPr>
          <w:p w14:paraId="634DD3C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要求深化设计专职负责</w:t>
            </w:r>
          </w:p>
        </w:tc>
      </w:tr>
      <w:tr w14:paraId="2C7D7906">
        <w:tblPrEx>
          <w:tblCellMar>
            <w:top w:w="0" w:type="dxa"/>
            <w:left w:w="108" w:type="dxa"/>
            <w:bottom w:w="0" w:type="dxa"/>
            <w:right w:w="108" w:type="dxa"/>
          </w:tblCellMar>
        </w:tblPrEx>
        <w:trPr>
          <w:trHeight w:val="1035" w:hRule="atLeast"/>
          <w:jc w:val="center"/>
        </w:trPr>
        <w:tc>
          <w:tcPr>
            <w:tcW w:w="748" w:type="dxa"/>
            <w:tcBorders>
              <w:top w:val="nil"/>
              <w:left w:val="single" w:color="000000" w:sz="8" w:space="0"/>
              <w:bottom w:val="single" w:color="000000" w:sz="8" w:space="0"/>
              <w:right w:val="single" w:color="000000" w:sz="8" w:space="0"/>
            </w:tcBorders>
            <w:vAlign w:val="center"/>
          </w:tcPr>
          <w:p w14:paraId="39C4EA1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6</w:t>
            </w:r>
          </w:p>
        </w:tc>
        <w:tc>
          <w:tcPr>
            <w:tcW w:w="1565" w:type="dxa"/>
            <w:tcBorders>
              <w:top w:val="nil"/>
              <w:left w:val="nil"/>
              <w:bottom w:val="single" w:color="000000" w:sz="8" w:space="0"/>
              <w:right w:val="single" w:color="000000" w:sz="8" w:space="0"/>
            </w:tcBorders>
            <w:vAlign w:val="center"/>
          </w:tcPr>
          <w:p w14:paraId="4B73EF5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安全负责人</w:t>
            </w:r>
          </w:p>
        </w:tc>
        <w:tc>
          <w:tcPr>
            <w:tcW w:w="1123" w:type="dxa"/>
            <w:tcBorders>
              <w:top w:val="nil"/>
              <w:left w:val="nil"/>
              <w:bottom w:val="single" w:color="000000" w:sz="8" w:space="0"/>
              <w:right w:val="single" w:color="000000" w:sz="8" w:space="0"/>
            </w:tcBorders>
            <w:vAlign w:val="center"/>
          </w:tcPr>
          <w:p w14:paraId="5545FF2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1CE4B3B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具有工程类中级或以上技术职称，具有在有效期内的安全生产考核合格证</w:t>
            </w:r>
            <w:r>
              <w:rPr>
                <w:rFonts w:ascii="仿宋" w:hAnsi="仿宋" w:eastAsia="仿宋" w:cs="宋体"/>
                <w:color w:val="auto"/>
                <w:kern w:val="0"/>
                <w:sz w:val="24"/>
                <w:szCs w:val="24"/>
                <w:highlight w:val="none"/>
                <w:lang w:bidi="ar"/>
              </w:rPr>
              <w:t>(A</w:t>
            </w:r>
            <w:r>
              <w:rPr>
                <w:rFonts w:ascii="仿宋" w:hAnsi="仿宋" w:eastAsia="仿宋" w:cs="宋体"/>
                <w:snapToGrid w:val="0"/>
                <w:color w:val="auto"/>
                <w:kern w:val="0"/>
                <w:sz w:val="24"/>
                <w:szCs w:val="24"/>
                <w:highlight w:val="none"/>
                <w:lang w:bidi="ar"/>
              </w:rPr>
              <w:t>类</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或建筑施工企业主要负责人安全生产考核合格证书或安全生产考核合格证</w:t>
            </w:r>
            <w:r>
              <w:rPr>
                <w:rFonts w:ascii="仿宋" w:hAnsi="仿宋" w:eastAsia="仿宋" w:cs="宋体"/>
                <w:color w:val="auto"/>
                <w:kern w:val="0"/>
                <w:sz w:val="24"/>
                <w:szCs w:val="24"/>
                <w:highlight w:val="none"/>
                <w:lang w:bidi="ar"/>
              </w:rPr>
              <w:t>(B</w:t>
            </w:r>
            <w:r>
              <w:rPr>
                <w:rFonts w:ascii="仿宋" w:hAnsi="仿宋" w:eastAsia="仿宋" w:cs="宋体"/>
                <w:snapToGrid w:val="0"/>
                <w:color w:val="auto"/>
                <w:kern w:val="0"/>
                <w:sz w:val="24"/>
                <w:szCs w:val="24"/>
                <w:highlight w:val="none"/>
                <w:lang w:bidi="ar"/>
              </w:rPr>
              <w:t>类</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或建筑施工企业项目负责人安全生产考核合格证书或安全生产考核合格证</w:t>
            </w:r>
            <w:r>
              <w:rPr>
                <w:rFonts w:ascii="仿宋" w:hAnsi="仿宋" w:eastAsia="仿宋" w:cs="宋体"/>
                <w:color w:val="auto"/>
                <w:kern w:val="0"/>
                <w:sz w:val="24"/>
                <w:szCs w:val="24"/>
                <w:highlight w:val="none"/>
                <w:lang w:bidi="ar"/>
              </w:rPr>
              <w:t>(C</w:t>
            </w:r>
            <w:r>
              <w:rPr>
                <w:rFonts w:ascii="仿宋" w:hAnsi="仿宋" w:eastAsia="仿宋" w:cs="宋体"/>
                <w:snapToGrid w:val="0"/>
                <w:color w:val="auto"/>
                <w:kern w:val="0"/>
                <w:sz w:val="24"/>
                <w:szCs w:val="24"/>
                <w:highlight w:val="none"/>
                <w:lang w:bidi="ar"/>
              </w:rPr>
              <w:t>类</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或建筑施工企业专职安全生产管理人员安全生产考核合格证书</w:t>
            </w:r>
            <w:r>
              <w:rPr>
                <w:rFonts w:ascii="仿宋" w:hAnsi="仿宋" w:eastAsia="仿宋" w:cs="宋体"/>
                <w:color w:val="auto"/>
                <w:kern w:val="0"/>
                <w:sz w:val="24"/>
                <w:szCs w:val="24"/>
                <w:highlight w:val="none"/>
                <w:lang w:bidi="ar"/>
              </w:rPr>
              <w:t>(C3)</w:t>
            </w:r>
            <w:r>
              <w:rPr>
                <w:rFonts w:ascii="仿宋" w:hAnsi="仿宋" w:eastAsia="仿宋" w:cs="宋体"/>
                <w:snapToGrid w:val="0"/>
                <w:color w:val="auto"/>
                <w:kern w:val="0"/>
                <w:sz w:val="24"/>
                <w:szCs w:val="24"/>
                <w:highlight w:val="none"/>
                <w:lang w:bidi="ar"/>
              </w:rPr>
              <w:t>，具有工作经验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5B2659C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关键岗位</w:t>
            </w:r>
          </w:p>
        </w:tc>
      </w:tr>
      <w:tr w14:paraId="741A3981">
        <w:tblPrEx>
          <w:tblCellMar>
            <w:top w:w="0" w:type="dxa"/>
            <w:left w:w="108" w:type="dxa"/>
            <w:bottom w:w="0" w:type="dxa"/>
            <w:right w:w="108" w:type="dxa"/>
          </w:tblCellMar>
        </w:tblPrEx>
        <w:trPr>
          <w:trHeight w:val="1035" w:hRule="atLeast"/>
          <w:jc w:val="center"/>
        </w:trPr>
        <w:tc>
          <w:tcPr>
            <w:tcW w:w="748" w:type="dxa"/>
            <w:tcBorders>
              <w:top w:val="nil"/>
              <w:left w:val="single" w:color="000000" w:sz="8" w:space="0"/>
              <w:bottom w:val="single" w:color="000000" w:sz="8" w:space="0"/>
              <w:right w:val="single" w:color="000000" w:sz="8" w:space="0"/>
            </w:tcBorders>
            <w:vAlign w:val="center"/>
          </w:tcPr>
          <w:p w14:paraId="127DDDC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7</w:t>
            </w:r>
          </w:p>
        </w:tc>
        <w:tc>
          <w:tcPr>
            <w:tcW w:w="1565" w:type="dxa"/>
            <w:tcBorders>
              <w:top w:val="nil"/>
              <w:left w:val="nil"/>
              <w:bottom w:val="single" w:color="000000" w:sz="8" w:space="0"/>
              <w:right w:val="single" w:color="000000" w:sz="8" w:space="0"/>
            </w:tcBorders>
            <w:vAlign w:val="center"/>
          </w:tcPr>
          <w:p w14:paraId="2E2AA3A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default"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机电负责人</w:t>
            </w:r>
          </w:p>
        </w:tc>
        <w:tc>
          <w:tcPr>
            <w:tcW w:w="1123" w:type="dxa"/>
            <w:tcBorders>
              <w:top w:val="nil"/>
              <w:left w:val="nil"/>
              <w:bottom w:val="single" w:color="000000" w:sz="8" w:space="0"/>
              <w:right w:val="single" w:color="000000" w:sz="8" w:space="0"/>
            </w:tcBorders>
            <w:vAlign w:val="center"/>
          </w:tcPr>
          <w:p w14:paraId="6062BE5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1</w:t>
            </w:r>
          </w:p>
        </w:tc>
        <w:tc>
          <w:tcPr>
            <w:tcW w:w="4185" w:type="dxa"/>
            <w:tcBorders>
              <w:top w:val="nil"/>
              <w:left w:val="nil"/>
              <w:bottom w:val="single" w:color="000000" w:sz="8" w:space="0"/>
              <w:right w:val="single" w:color="000000" w:sz="8" w:space="0"/>
            </w:tcBorders>
            <w:vAlign w:val="center"/>
          </w:tcPr>
          <w:p w14:paraId="2C3D55C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ascii="仿宋" w:hAnsi="仿宋" w:eastAsia="仿宋" w:cs="宋体"/>
                <w:snapToGrid w:val="0"/>
                <w:color w:val="auto"/>
                <w:kern w:val="0"/>
                <w:sz w:val="24"/>
                <w:szCs w:val="24"/>
                <w:highlight w:val="none"/>
                <w:lang w:bidi="ar"/>
              </w:rPr>
            </w:pPr>
            <w:r>
              <w:rPr>
                <w:rFonts w:hint="eastAsia" w:ascii="仿宋" w:hAnsi="仿宋" w:eastAsia="仿宋" w:cs="宋体"/>
                <w:snapToGrid w:val="0"/>
                <w:color w:val="auto"/>
                <w:kern w:val="0"/>
                <w:sz w:val="24"/>
                <w:szCs w:val="24"/>
                <w:highlight w:val="none"/>
                <w:lang w:val="en-US" w:eastAsia="zh-CN" w:bidi="ar"/>
              </w:rPr>
              <w:t>具备一级建造师（机电）职业资格或机电</w:t>
            </w:r>
            <w:r>
              <w:rPr>
                <w:rFonts w:ascii="仿宋" w:hAnsi="仿宋" w:eastAsia="仿宋" w:cs="宋体"/>
                <w:snapToGrid w:val="0"/>
                <w:color w:val="auto"/>
                <w:kern w:val="0"/>
                <w:sz w:val="24"/>
                <w:szCs w:val="24"/>
                <w:highlight w:val="none"/>
                <w:lang w:bidi="ar"/>
              </w:rPr>
              <w:t>相关专业</w:t>
            </w:r>
            <w:r>
              <w:rPr>
                <w:rFonts w:hint="eastAsia" w:ascii="仿宋" w:hAnsi="仿宋" w:eastAsia="仿宋" w:cs="宋体"/>
                <w:snapToGrid w:val="0"/>
                <w:color w:val="auto"/>
                <w:kern w:val="0"/>
                <w:sz w:val="24"/>
                <w:szCs w:val="24"/>
                <w:highlight w:val="none"/>
                <w:lang w:eastAsia="zh-CN" w:bidi="ar"/>
              </w:rPr>
              <w:t>（</w:t>
            </w:r>
            <w:r>
              <w:rPr>
                <w:rFonts w:ascii="仿宋" w:hAnsi="仿宋" w:eastAsia="仿宋" w:cs="宋体"/>
                <w:snapToGrid w:val="0"/>
                <w:color w:val="auto"/>
                <w:kern w:val="0"/>
                <w:sz w:val="24"/>
                <w:szCs w:val="24"/>
                <w:highlight w:val="none"/>
                <w:lang w:bidi="ar"/>
              </w:rPr>
              <w:t>通风空调及给排水</w:t>
            </w:r>
            <w:r>
              <w:rPr>
                <w:rFonts w:hint="eastAsia" w:ascii="仿宋" w:hAnsi="仿宋" w:eastAsia="仿宋" w:cs="宋体"/>
                <w:snapToGrid w:val="0"/>
                <w:color w:val="auto"/>
                <w:kern w:val="0"/>
                <w:sz w:val="24"/>
                <w:szCs w:val="24"/>
                <w:highlight w:val="none"/>
                <w:lang w:eastAsia="zh-CN" w:bidi="ar"/>
              </w:rPr>
              <w:t>）</w:t>
            </w:r>
            <w:r>
              <w:rPr>
                <w:rFonts w:ascii="仿宋" w:hAnsi="仿宋" w:eastAsia="仿宋" w:cs="宋体"/>
                <w:snapToGrid w:val="0"/>
                <w:color w:val="auto"/>
                <w:kern w:val="0"/>
                <w:sz w:val="24"/>
                <w:szCs w:val="24"/>
                <w:highlight w:val="none"/>
                <w:lang w:bidi="ar"/>
              </w:rPr>
              <w:t>工程师或以上技术职称，具有工作经验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5AACC61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ascii="仿宋" w:hAnsi="仿宋" w:eastAsia="仿宋" w:cs="宋体"/>
                <w:snapToGrid w:val="0"/>
                <w:color w:val="auto"/>
                <w:kern w:val="0"/>
                <w:sz w:val="24"/>
                <w:szCs w:val="24"/>
                <w:highlight w:val="none"/>
                <w:lang w:bidi="ar"/>
              </w:rPr>
            </w:pPr>
            <w:r>
              <w:rPr>
                <w:rFonts w:ascii="仿宋" w:hAnsi="仿宋" w:eastAsia="仿宋" w:cs="宋体"/>
                <w:snapToGrid w:val="0"/>
                <w:color w:val="auto"/>
                <w:kern w:val="0"/>
                <w:sz w:val="24"/>
                <w:szCs w:val="24"/>
                <w:highlight w:val="none"/>
                <w:lang w:bidi="ar"/>
              </w:rPr>
              <w:t>关键岗位</w:t>
            </w:r>
          </w:p>
        </w:tc>
      </w:tr>
      <w:tr w14:paraId="524B9ADD">
        <w:tblPrEx>
          <w:tblCellMar>
            <w:top w:w="0" w:type="dxa"/>
            <w:left w:w="108" w:type="dxa"/>
            <w:bottom w:w="0" w:type="dxa"/>
            <w:right w:w="108" w:type="dxa"/>
          </w:tblCellMar>
        </w:tblPrEx>
        <w:trPr>
          <w:trHeight w:val="780" w:hRule="atLeast"/>
          <w:jc w:val="center"/>
        </w:trPr>
        <w:tc>
          <w:tcPr>
            <w:tcW w:w="748" w:type="dxa"/>
            <w:tcBorders>
              <w:top w:val="nil"/>
              <w:left w:val="single" w:color="000000" w:sz="8" w:space="0"/>
              <w:bottom w:val="single" w:color="000000" w:sz="8" w:space="0"/>
              <w:right w:val="single" w:color="000000" w:sz="8" w:space="0"/>
            </w:tcBorders>
            <w:vAlign w:val="center"/>
          </w:tcPr>
          <w:p w14:paraId="1C34A78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w:t>
            </w:r>
          </w:p>
        </w:tc>
        <w:tc>
          <w:tcPr>
            <w:tcW w:w="1565" w:type="dxa"/>
            <w:tcBorders>
              <w:top w:val="nil"/>
              <w:left w:val="nil"/>
              <w:bottom w:val="single" w:color="000000" w:sz="8" w:space="0"/>
              <w:right w:val="single" w:color="000000" w:sz="8" w:space="0"/>
            </w:tcBorders>
            <w:vAlign w:val="center"/>
          </w:tcPr>
          <w:p w14:paraId="6178197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造价负责人</w:t>
            </w:r>
          </w:p>
        </w:tc>
        <w:tc>
          <w:tcPr>
            <w:tcW w:w="1123" w:type="dxa"/>
            <w:tcBorders>
              <w:top w:val="nil"/>
              <w:left w:val="nil"/>
              <w:bottom w:val="single" w:color="000000" w:sz="8" w:space="0"/>
              <w:right w:val="single" w:color="000000" w:sz="8" w:space="0"/>
            </w:tcBorders>
            <w:vAlign w:val="center"/>
          </w:tcPr>
          <w:p w14:paraId="0FED8759">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0CF0503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具备一级注册造价工程师执业资格或建筑工程类相关专业</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含造价类专业</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工程师或以上技术职称，具有工作经验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38AB76B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关键岗位</w:t>
            </w:r>
          </w:p>
        </w:tc>
      </w:tr>
      <w:tr w14:paraId="3F5678AD">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7EBA2DE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s="宋体"/>
                <w:snapToGrid w:val="0"/>
                <w:color w:val="auto"/>
                <w:kern w:val="0"/>
                <w:sz w:val="24"/>
                <w:szCs w:val="24"/>
                <w:highlight w:val="none"/>
                <w:lang w:val="en-US" w:eastAsia="zh-CN" w:bidi="ar"/>
              </w:rPr>
              <w:t>9</w:t>
            </w:r>
          </w:p>
        </w:tc>
        <w:tc>
          <w:tcPr>
            <w:tcW w:w="1565" w:type="dxa"/>
            <w:tcBorders>
              <w:top w:val="nil"/>
              <w:left w:val="nil"/>
              <w:bottom w:val="single" w:color="000000" w:sz="8" w:space="0"/>
              <w:right w:val="single" w:color="000000" w:sz="8" w:space="0"/>
            </w:tcBorders>
            <w:vAlign w:val="center"/>
          </w:tcPr>
          <w:p w14:paraId="7F65AED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造价工程师</w:t>
            </w:r>
          </w:p>
        </w:tc>
        <w:tc>
          <w:tcPr>
            <w:tcW w:w="1123" w:type="dxa"/>
            <w:tcBorders>
              <w:top w:val="nil"/>
              <w:left w:val="nil"/>
              <w:bottom w:val="single" w:color="000000" w:sz="8" w:space="0"/>
              <w:right w:val="single" w:color="000000" w:sz="8" w:space="0"/>
            </w:tcBorders>
            <w:vAlign w:val="center"/>
          </w:tcPr>
          <w:p w14:paraId="77BD600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hint="eastAsia" w:ascii="仿宋" w:hAnsi="仿宋" w:eastAsia="仿宋" w:cs="宋体"/>
                <w:snapToGrid w:val="0"/>
                <w:color w:val="auto"/>
                <w:kern w:val="0"/>
                <w:sz w:val="24"/>
                <w:szCs w:val="24"/>
                <w:highlight w:val="none"/>
                <w:lang w:bidi="ar"/>
              </w:rPr>
              <w:t>2</w:t>
            </w:r>
          </w:p>
        </w:tc>
        <w:tc>
          <w:tcPr>
            <w:tcW w:w="4185" w:type="dxa"/>
            <w:tcBorders>
              <w:top w:val="nil"/>
              <w:left w:val="nil"/>
              <w:bottom w:val="single" w:color="000000" w:sz="8" w:space="0"/>
              <w:right w:val="single" w:color="000000" w:sz="8" w:space="0"/>
            </w:tcBorders>
            <w:vAlign w:val="center"/>
          </w:tcPr>
          <w:p w14:paraId="4F2C33C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工程类（含造价类）相关专业大学专科（或以上）学历，具有工作经验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13116C1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7B61D19A">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745F16B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default" w:ascii="仿宋" w:hAnsi="仿宋" w:eastAsia="仿宋"/>
                <w:color w:val="auto"/>
                <w:sz w:val="24"/>
                <w:szCs w:val="24"/>
                <w:highlight w:val="none"/>
                <w:lang w:val="en-US" w:eastAsia="zh-CN"/>
              </w:rPr>
            </w:pPr>
            <w:r>
              <w:rPr>
                <w:rFonts w:hint="eastAsia" w:ascii="仿宋" w:hAnsi="仿宋" w:eastAsia="仿宋" w:cs="宋体"/>
                <w:snapToGrid w:val="0"/>
                <w:color w:val="auto"/>
                <w:kern w:val="0"/>
                <w:sz w:val="24"/>
                <w:szCs w:val="24"/>
                <w:highlight w:val="none"/>
                <w:lang w:val="en-US" w:eastAsia="zh-CN" w:bidi="ar"/>
              </w:rPr>
              <w:t>10</w:t>
            </w:r>
          </w:p>
        </w:tc>
        <w:tc>
          <w:tcPr>
            <w:tcW w:w="1565" w:type="dxa"/>
            <w:tcBorders>
              <w:top w:val="nil"/>
              <w:left w:val="nil"/>
              <w:bottom w:val="single" w:color="000000" w:sz="8" w:space="0"/>
              <w:right w:val="single" w:color="000000" w:sz="8" w:space="0"/>
            </w:tcBorders>
            <w:vAlign w:val="center"/>
          </w:tcPr>
          <w:p w14:paraId="7A0F963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质量负责人</w:t>
            </w:r>
          </w:p>
        </w:tc>
        <w:tc>
          <w:tcPr>
            <w:tcW w:w="1123" w:type="dxa"/>
            <w:tcBorders>
              <w:top w:val="nil"/>
              <w:left w:val="nil"/>
              <w:bottom w:val="single" w:color="000000" w:sz="8" w:space="0"/>
              <w:right w:val="single" w:color="000000" w:sz="8" w:space="0"/>
            </w:tcBorders>
            <w:vAlign w:val="center"/>
          </w:tcPr>
          <w:p w14:paraId="653DBD7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s="宋体"/>
                <w:snapToGrid w:val="0"/>
                <w:color w:val="auto"/>
                <w:kern w:val="0"/>
                <w:sz w:val="24"/>
                <w:szCs w:val="24"/>
                <w:highlight w:val="none"/>
                <w:lang w:val="en-US" w:eastAsia="zh-CN" w:bidi="ar"/>
              </w:rPr>
              <w:t>3</w:t>
            </w:r>
          </w:p>
        </w:tc>
        <w:tc>
          <w:tcPr>
            <w:tcW w:w="4185" w:type="dxa"/>
            <w:tcBorders>
              <w:top w:val="nil"/>
              <w:left w:val="nil"/>
              <w:bottom w:val="single" w:color="000000" w:sz="8" w:space="0"/>
              <w:right w:val="single" w:color="000000" w:sz="8" w:space="0"/>
            </w:tcBorders>
            <w:vAlign w:val="center"/>
          </w:tcPr>
          <w:p w14:paraId="70E1E0E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工程类相关专业大学专科（或以上）学历，建筑工程相关专业中级或以上技术职称，具有工作经验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717862C4">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7A152D83">
        <w:tblPrEx>
          <w:tblCellMar>
            <w:top w:w="0" w:type="dxa"/>
            <w:left w:w="108" w:type="dxa"/>
            <w:bottom w:w="0" w:type="dxa"/>
            <w:right w:w="108" w:type="dxa"/>
          </w:tblCellMar>
        </w:tblPrEx>
        <w:trPr>
          <w:trHeight w:val="780" w:hRule="atLeast"/>
          <w:jc w:val="center"/>
        </w:trPr>
        <w:tc>
          <w:tcPr>
            <w:tcW w:w="748" w:type="dxa"/>
            <w:tcBorders>
              <w:top w:val="nil"/>
              <w:left w:val="single" w:color="000000" w:sz="8" w:space="0"/>
              <w:bottom w:val="single" w:color="000000" w:sz="8" w:space="0"/>
              <w:right w:val="single" w:color="000000" w:sz="8" w:space="0"/>
            </w:tcBorders>
            <w:vAlign w:val="center"/>
          </w:tcPr>
          <w:p w14:paraId="242CC1B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1</w:t>
            </w:r>
          </w:p>
        </w:tc>
        <w:tc>
          <w:tcPr>
            <w:tcW w:w="1565" w:type="dxa"/>
            <w:tcBorders>
              <w:top w:val="nil"/>
              <w:left w:val="nil"/>
              <w:bottom w:val="single" w:color="000000" w:sz="8" w:space="0"/>
              <w:right w:val="single" w:color="000000" w:sz="8" w:space="0"/>
            </w:tcBorders>
            <w:vAlign w:val="center"/>
          </w:tcPr>
          <w:p w14:paraId="65CC7479">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专职安全员</w:t>
            </w:r>
          </w:p>
        </w:tc>
        <w:tc>
          <w:tcPr>
            <w:tcW w:w="1123" w:type="dxa"/>
            <w:tcBorders>
              <w:top w:val="nil"/>
              <w:left w:val="nil"/>
              <w:bottom w:val="single" w:color="000000" w:sz="8" w:space="0"/>
              <w:right w:val="single" w:color="000000" w:sz="8" w:space="0"/>
            </w:tcBorders>
            <w:vAlign w:val="center"/>
          </w:tcPr>
          <w:p w14:paraId="1C097753">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3</w:t>
            </w:r>
          </w:p>
        </w:tc>
        <w:tc>
          <w:tcPr>
            <w:tcW w:w="4185" w:type="dxa"/>
            <w:tcBorders>
              <w:top w:val="nil"/>
              <w:left w:val="nil"/>
              <w:bottom w:val="single" w:color="000000" w:sz="8" w:space="0"/>
              <w:right w:val="single" w:color="000000" w:sz="8" w:space="0"/>
            </w:tcBorders>
            <w:vAlign w:val="center"/>
          </w:tcPr>
          <w:p w14:paraId="71148DA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按招标公告要求</w:t>
            </w:r>
          </w:p>
        </w:tc>
        <w:tc>
          <w:tcPr>
            <w:tcW w:w="1434" w:type="dxa"/>
            <w:tcBorders>
              <w:top w:val="nil"/>
              <w:left w:val="nil"/>
              <w:bottom w:val="single" w:color="000000" w:sz="8" w:space="0"/>
              <w:right w:val="single" w:color="000000" w:sz="8" w:space="0"/>
            </w:tcBorders>
            <w:vAlign w:val="center"/>
          </w:tcPr>
          <w:p w14:paraId="34EE54F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69D65E88">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0C1D7AF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snapToGrid w:val="0"/>
                <w:color w:val="auto"/>
                <w:kern w:val="0"/>
                <w:sz w:val="24"/>
                <w:szCs w:val="24"/>
                <w:highlight w:val="none"/>
                <w:lang w:eastAsia="zh-CN" w:bidi="ar"/>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2</w:t>
            </w:r>
          </w:p>
        </w:tc>
        <w:tc>
          <w:tcPr>
            <w:tcW w:w="1565" w:type="dxa"/>
            <w:tcBorders>
              <w:top w:val="nil"/>
              <w:left w:val="nil"/>
              <w:bottom w:val="single" w:color="000000" w:sz="8" w:space="0"/>
              <w:right w:val="single" w:color="000000" w:sz="8" w:space="0"/>
            </w:tcBorders>
            <w:vAlign w:val="center"/>
          </w:tcPr>
          <w:p w14:paraId="4A7767C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s="宋体"/>
                <w:snapToGrid w:val="0"/>
                <w:color w:val="auto"/>
                <w:kern w:val="0"/>
                <w:sz w:val="24"/>
                <w:szCs w:val="24"/>
                <w:highlight w:val="none"/>
                <w:lang w:bidi="ar"/>
              </w:rPr>
            </w:pPr>
            <w:r>
              <w:rPr>
                <w:rFonts w:ascii="仿宋" w:hAnsi="仿宋" w:eastAsia="仿宋" w:cs="宋体"/>
                <w:snapToGrid w:val="0"/>
                <w:color w:val="auto"/>
                <w:kern w:val="0"/>
                <w:sz w:val="24"/>
                <w:szCs w:val="24"/>
                <w:highlight w:val="none"/>
                <w:lang w:bidi="ar"/>
              </w:rPr>
              <w:t>安全员</w:t>
            </w:r>
          </w:p>
        </w:tc>
        <w:tc>
          <w:tcPr>
            <w:tcW w:w="1123" w:type="dxa"/>
            <w:tcBorders>
              <w:top w:val="nil"/>
              <w:left w:val="nil"/>
              <w:bottom w:val="single" w:color="000000" w:sz="8" w:space="0"/>
              <w:right w:val="single" w:color="000000" w:sz="8" w:space="0"/>
            </w:tcBorders>
            <w:vAlign w:val="center"/>
          </w:tcPr>
          <w:p w14:paraId="4316060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snapToGrid w:val="0"/>
                <w:color w:val="auto"/>
                <w:kern w:val="0"/>
                <w:sz w:val="24"/>
                <w:szCs w:val="24"/>
                <w:highlight w:val="none"/>
                <w:lang w:eastAsia="zh-CN" w:bidi="ar"/>
              </w:rPr>
            </w:pPr>
            <w:r>
              <w:rPr>
                <w:rFonts w:hint="eastAsia" w:ascii="仿宋" w:hAnsi="仿宋" w:eastAsia="仿宋" w:cs="宋体"/>
                <w:snapToGrid w:val="0"/>
                <w:color w:val="auto"/>
                <w:kern w:val="0"/>
                <w:sz w:val="24"/>
                <w:szCs w:val="24"/>
                <w:highlight w:val="none"/>
                <w:lang w:val="en-US" w:eastAsia="zh-CN" w:bidi="ar"/>
              </w:rPr>
              <w:t>2</w:t>
            </w:r>
          </w:p>
        </w:tc>
        <w:tc>
          <w:tcPr>
            <w:tcW w:w="4185" w:type="dxa"/>
            <w:tcBorders>
              <w:top w:val="nil"/>
              <w:left w:val="nil"/>
              <w:bottom w:val="single" w:color="000000" w:sz="8" w:space="0"/>
              <w:right w:val="single" w:color="000000" w:sz="8" w:space="0"/>
            </w:tcBorders>
            <w:vAlign w:val="center"/>
          </w:tcPr>
          <w:p w14:paraId="4FE7D97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lang w:eastAsia="zh"/>
              </w:rPr>
            </w:pPr>
            <w:r>
              <w:rPr>
                <w:rFonts w:ascii="仿宋" w:hAnsi="仿宋" w:eastAsia="仿宋" w:cs="宋体"/>
                <w:snapToGrid w:val="0"/>
                <w:color w:val="auto"/>
                <w:kern w:val="0"/>
                <w:sz w:val="24"/>
                <w:szCs w:val="24"/>
                <w:highlight w:val="none"/>
                <w:lang w:bidi="ar"/>
              </w:rPr>
              <w:t>具</w:t>
            </w:r>
            <w:r>
              <w:rPr>
                <w:rFonts w:hint="eastAsia" w:ascii="仿宋" w:hAnsi="仿宋" w:eastAsia="仿宋"/>
                <w:color w:val="auto"/>
                <w:sz w:val="24"/>
                <w:szCs w:val="24"/>
                <w:highlight w:val="none"/>
                <w:lang w:eastAsia="zh"/>
              </w:rPr>
              <w:t>有</w:t>
            </w:r>
            <w:r>
              <w:rPr>
                <w:rFonts w:ascii="仿宋" w:hAnsi="仿宋" w:eastAsia="仿宋" w:cs="宋体"/>
                <w:snapToGrid w:val="0"/>
                <w:color w:val="auto"/>
                <w:kern w:val="0"/>
                <w:sz w:val="24"/>
                <w:szCs w:val="24"/>
                <w:highlight w:val="none"/>
                <w:lang w:bidi="ar"/>
              </w:rPr>
              <w:t>安全生产考核合格证</w:t>
            </w:r>
            <w:r>
              <w:rPr>
                <w:rFonts w:ascii="仿宋" w:hAnsi="仿宋" w:eastAsia="仿宋" w:cs="宋体"/>
                <w:color w:val="auto"/>
                <w:kern w:val="0"/>
                <w:sz w:val="24"/>
                <w:szCs w:val="24"/>
                <w:highlight w:val="none"/>
                <w:lang w:bidi="ar"/>
              </w:rPr>
              <w:t>(C</w:t>
            </w:r>
            <w:r>
              <w:rPr>
                <w:rFonts w:ascii="仿宋" w:hAnsi="仿宋" w:eastAsia="仿宋" w:cs="宋体"/>
                <w:snapToGrid w:val="0"/>
                <w:color w:val="auto"/>
                <w:kern w:val="0"/>
                <w:sz w:val="24"/>
                <w:szCs w:val="24"/>
                <w:highlight w:val="none"/>
                <w:lang w:bidi="ar"/>
              </w:rPr>
              <w:t>类</w:t>
            </w:r>
            <w:r>
              <w:rPr>
                <w:rFonts w:ascii="仿宋" w:hAnsi="仿宋" w:eastAsia="仿宋" w:cs="宋体"/>
                <w:color w:val="auto"/>
                <w:kern w:val="0"/>
                <w:sz w:val="24"/>
                <w:szCs w:val="24"/>
                <w:highlight w:val="none"/>
                <w:lang w:bidi="ar"/>
              </w:rPr>
              <w:t>)</w:t>
            </w:r>
            <w:r>
              <w:rPr>
                <w:rFonts w:ascii="仿宋" w:hAnsi="仿宋" w:eastAsia="仿宋" w:cs="宋体"/>
                <w:snapToGrid w:val="0"/>
                <w:color w:val="auto"/>
                <w:kern w:val="0"/>
                <w:sz w:val="24"/>
                <w:szCs w:val="24"/>
                <w:highlight w:val="none"/>
                <w:lang w:bidi="ar"/>
              </w:rPr>
              <w:t>或建筑施工企业专职安全生产管理人员安全生产考核合格证书</w:t>
            </w:r>
            <w:r>
              <w:rPr>
                <w:rFonts w:ascii="仿宋" w:hAnsi="仿宋" w:eastAsia="仿宋" w:cs="宋体"/>
                <w:color w:val="auto"/>
                <w:kern w:val="0"/>
                <w:sz w:val="24"/>
                <w:szCs w:val="24"/>
                <w:highlight w:val="none"/>
                <w:lang w:bidi="ar"/>
              </w:rPr>
              <w:t>(C3)</w:t>
            </w:r>
            <w:r>
              <w:rPr>
                <w:rFonts w:ascii="仿宋" w:hAnsi="仿宋" w:eastAsia="仿宋" w:cs="宋体"/>
                <w:snapToGrid w:val="0"/>
                <w:color w:val="auto"/>
                <w:kern w:val="0"/>
                <w:sz w:val="24"/>
                <w:szCs w:val="24"/>
                <w:highlight w:val="none"/>
                <w:lang w:bidi="ar"/>
              </w:rPr>
              <w:t>，具有工作经验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4B12A49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r>
              <w:rPr>
                <w:rFonts w:ascii="Calibri" w:hAnsi="Calibri" w:eastAsia="仿宋" w:cs="Calibri"/>
                <w:snapToGrid w:val="0"/>
                <w:color w:val="auto"/>
                <w:kern w:val="0"/>
                <w:sz w:val="24"/>
                <w:szCs w:val="24"/>
                <w:highlight w:val="none"/>
                <w:lang w:bidi="ar"/>
              </w:rPr>
              <w:t>  </w:t>
            </w:r>
          </w:p>
        </w:tc>
      </w:tr>
      <w:tr w14:paraId="2BA45616">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7CF3593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3</w:t>
            </w:r>
          </w:p>
        </w:tc>
        <w:tc>
          <w:tcPr>
            <w:tcW w:w="1565" w:type="dxa"/>
            <w:tcBorders>
              <w:top w:val="nil"/>
              <w:left w:val="nil"/>
              <w:bottom w:val="single" w:color="000000" w:sz="8" w:space="0"/>
              <w:right w:val="single" w:color="000000" w:sz="8" w:space="0"/>
            </w:tcBorders>
            <w:vAlign w:val="center"/>
          </w:tcPr>
          <w:p w14:paraId="7A7A894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土建工程师</w:t>
            </w:r>
          </w:p>
        </w:tc>
        <w:tc>
          <w:tcPr>
            <w:tcW w:w="1123" w:type="dxa"/>
            <w:tcBorders>
              <w:top w:val="nil"/>
              <w:left w:val="nil"/>
              <w:bottom w:val="single" w:color="000000" w:sz="8" w:space="0"/>
              <w:right w:val="single" w:color="000000" w:sz="8" w:space="0"/>
            </w:tcBorders>
            <w:vAlign w:val="center"/>
          </w:tcPr>
          <w:p w14:paraId="1F6ED35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s="宋体"/>
                <w:snapToGrid w:val="0"/>
                <w:color w:val="auto"/>
                <w:kern w:val="0"/>
                <w:sz w:val="24"/>
                <w:szCs w:val="24"/>
                <w:highlight w:val="none"/>
                <w:lang w:val="en-US" w:eastAsia="zh-CN" w:bidi="ar"/>
              </w:rPr>
              <w:t>4</w:t>
            </w:r>
          </w:p>
        </w:tc>
        <w:tc>
          <w:tcPr>
            <w:tcW w:w="4185" w:type="dxa"/>
            <w:tcBorders>
              <w:top w:val="nil"/>
              <w:left w:val="nil"/>
              <w:bottom w:val="single" w:color="000000" w:sz="8" w:space="0"/>
              <w:right w:val="single" w:color="000000" w:sz="8" w:space="0"/>
            </w:tcBorders>
            <w:vAlign w:val="center"/>
          </w:tcPr>
          <w:p w14:paraId="6FAC6BE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所学专业或职称为土建类相关专业，具有工作经验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4E596E9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s="宋体"/>
                <w:snapToGrid w:val="0"/>
                <w:color w:val="auto"/>
                <w:kern w:val="0"/>
                <w:sz w:val="24"/>
                <w:szCs w:val="24"/>
                <w:highlight w:val="none"/>
                <w:lang w:bidi="ar"/>
              </w:rPr>
            </w:pPr>
          </w:p>
        </w:tc>
      </w:tr>
      <w:tr w14:paraId="76C9F01D">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4424604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4</w:t>
            </w:r>
          </w:p>
        </w:tc>
        <w:tc>
          <w:tcPr>
            <w:tcW w:w="1565" w:type="dxa"/>
            <w:tcBorders>
              <w:top w:val="nil"/>
              <w:left w:val="nil"/>
              <w:bottom w:val="single" w:color="000000" w:sz="8" w:space="0"/>
              <w:right w:val="single" w:color="000000" w:sz="8" w:space="0"/>
            </w:tcBorders>
            <w:vAlign w:val="center"/>
          </w:tcPr>
          <w:p w14:paraId="0968D83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电气工程师</w:t>
            </w:r>
          </w:p>
        </w:tc>
        <w:tc>
          <w:tcPr>
            <w:tcW w:w="1123" w:type="dxa"/>
            <w:tcBorders>
              <w:top w:val="nil"/>
              <w:left w:val="nil"/>
              <w:bottom w:val="single" w:color="000000" w:sz="8" w:space="0"/>
              <w:right w:val="single" w:color="000000" w:sz="8" w:space="0"/>
            </w:tcBorders>
            <w:vAlign w:val="center"/>
          </w:tcPr>
          <w:p w14:paraId="7843CB4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63209B6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75DF62A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r>
              <w:rPr>
                <w:rFonts w:ascii="Calibri" w:hAnsi="Calibri" w:eastAsia="仿宋" w:cs="Calibri"/>
                <w:snapToGrid w:val="0"/>
                <w:color w:val="auto"/>
                <w:kern w:val="0"/>
                <w:sz w:val="24"/>
                <w:szCs w:val="24"/>
                <w:highlight w:val="none"/>
                <w:lang w:bidi="ar"/>
              </w:rPr>
              <w:t>  </w:t>
            </w:r>
          </w:p>
        </w:tc>
      </w:tr>
      <w:tr w14:paraId="47A36907">
        <w:tblPrEx>
          <w:tblCellMar>
            <w:top w:w="0" w:type="dxa"/>
            <w:left w:w="108" w:type="dxa"/>
            <w:bottom w:w="0" w:type="dxa"/>
            <w:right w:w="108" w:type="dxa"/>
          </w:tblCellMar>
        </w:tblPrEx>
        <w:trPr>
          <w:trHeight w:val="1035" w:hRule="atLeast"/>
          <w:jc w:val="center"/>
        </w:trPr>
        <w:tc>
          <w:tcPr>
            <w:tcW w:w="748" w:type="dxa"/>
            <w:tcBorders>
              <w:top w:val="nil"/>
              <w:left w:val="single" w:color="000000" w:sz="8" w:space="0"/>
              <w:bottom w:val="single" w:color="000000" w:sz="8" w:space="0"/>
              <w:right w:val="single" w:color="000000" w:sz="8" w:space="0"/>
            </w:tcBorders>
            <w:vAlign w:val="center"/>
          </w:tcPr>
          <w:p w14:paraId="6D0A2B8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5</w:t>
            </w:r>
          </w:p>
        </w:tc>
        <w:tc>
          <w:tcPr>
            <w:tcW w:w="1565" w:type="dxa"/>
            <w:tcBorders>
              <w:top w:val="nil"/>
              <w:left w:val="nil"/>
              <w:bottom w:val="nil"/>
              <w:right w:val="single" w:color="000000" w:sz="8" w:space="0"/>
            </w:tcBorders>
            <w:vAlign w:val="center"/>
          </w:tcPr>
          <w:p w14:paraId="01D1747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机电工程师</w:t>
            </w:r>
            <w:bookmarkStart w:id="52" w:name="OLE_LINK2"/>
            <w:r>
              <w:rPr>
                <w:rFonts w:ascii="仿宋" w:hAnsi="仿宋" w:eastAsia="仿宋" w:cs="宋体"/>
                <w:snapToGrid w:val="0"/>
                <w:color w:val="auto"/>
                <w:kern w:val="0"/>
                <w:sz w:val="24"/>
                <w:szCs w:val="24"/>
                <w:highlight w:val="none"/>
                <w:lang w:bidi="ar"/>
              </w:rPr>
              <w:t>（通风空调及给排水）</w:t>
            </w:r>
            <w:bookmarkEnd w:id="52"/>
          </w:p>
        </w:tc>
        <w:tc>
          <w:tcPr>
            <w:tcW w:w="1123" w:type="dxa"/>
            <w:tcBorders>
              <w:top w:val="nil"/>
              <w:left w:val="nil"/>
              <w:bottom w:val="single" w:color="000000" w:sz="8" w:space="0"/>
              <w:right w:val="single" w:color="000000" w:sz="8" w:space="0"/>
            </w:tcBorders>
            <w:vAlign w:val="center"/>
          </w:tcPr>
          <w:p w14:paraId="0C1B6735">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68B300E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459F2E48">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r>
              <w:rPr>
                <w:rFonts w:ascii="Calibri" w:hAnsi="Calibri" w:eastAsia="仿宋" w:cs="Calibri"/>
                <w:snapToGrid w:val="0"/>
                <w:color w:val="auto"/>
                <w:kern w:val="0"/>
                <w:sz w:val="24"/>
                <w:szCs w:val="24"/>
                <w:highlight w:val="none"/>
                <w:lang w:bidi="ar"/>
              </w:rPr>
              <w:t>  </w:t>
            </w:r>
          </w:p>
        </w:tc>
      </w:tr>
      <w:tr w14:paraId="5CE1FDD7">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1AE75879">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6</w:t>
            </w:r>
          </w:p>
        </w:tc>
        <w:tc>
          <w:tcPr>
            <w:tcW w:w="1565" w:type="dxa"/>
            <w:tcBorders>
              <w:top w:val="single" w:color="000000" w:sz="8" w:space="0"/>
              <w:left w:val="nil"/>
              <w:bottom w:val="single" w:color="000000" w:sz="8" w:space="0"/>
              <w:right w:val="single" w:color="000000" w:sz="8" w:space="0"/>
            </w:tcBorders>
            <w:vAlign w:val="center"/>
          </w:tcPr>
          <w:p w14:paraId="24EEC5E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弱电智能化工程师</w:t>
            </w:r>
          </w:p>
        </w:tc>
        <w:tc>
          <w:tcPr>
            <w:tcW w:w="1123" w:type="dxa"/>
            <w:tcBorders>
              <w:top w:val="nil"/>
              <w:left w:val="nil"/>
              <w:bottom w:val="single" w:color="000000" w:sz="8" w:space="0"/>
              <w:right w:val="single" w:color="000000" w:sz="8" w:space="0"/>
            </w:tcBorders>
            <w:vAlign w:val="center"/>
          </w:tcPr>
          <w:p w14:paraId="64FE4E0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7E6F75F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6449888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7E193769">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18F04DD0">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7</w:t>
            </w:r>
          </w:p>
        </w:tc>
        <w:tc>
          <w:tcPr>
            <w:tcW w:w="1565" w:type="dxa"/>
            <w:tcBorders>
              <w:top w:val="nil"/>
              <w:left w:val="nil"/>
              <w:bottom w:val="single" w:color="000000" w:sz="8" w:space="0"/>
              <w:right w:val="single" w:color="000000" w:sz="8" w:space="0"/>
            </w:tcBorders>
            <w:vAlign w:val="center"/>
          </w:tcPr>
          <w:p w14:paraId="10FE3E7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BIM工程师</w:t>
            </w:r>
          </w:p>
        </w:tc>
        <w:tc>
          <w:tcPr>
            <w:tcW w:w="1123" w:type="dxa"/>
            <w:tcBorders>
              <w:top w:val="nil"/>
              <w:left w:val="nil"/>
              <w:bottom w:val="single" w:color="000000" w:sz="8" w:space="0"/>
              <w:right w:val="single" w:color="000000" w:sz="8" w:space="0"/>
            </w:tcBorders>
            <w:vAlign w:val="center"/>
          </w:tcPr>
          <w:p w14:paraId="38D11B90">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22777EB6">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216959E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r>
              <w:rPr>
                <w:rFonts w:ascii="Calibri" w:hAnsi="Calibri" w:eastAsia="仿宋" w:cs="Calibri"/>
                <w:snapToGrid w:val="0"/>
                <w:color w:val="auto"/>
                <w:kern w:val="0"/>
                <w:sz w:val="24"/>
                <w:szCs w:val="24"/>
                <w:highlight w:val="none"/>
                <w:lang w:bidi="ar"/>
              </w:rPr>
              <w:t> </w:t>
            </w:r>
          </w:p>
        </w:tc>
      </w:tr>
      <w:tr w14:paraId="764B2098">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2373AEFB">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8</w:t>
            </w:r>
          </w:p>
        </w:tc>
        <w:tc>
          <w:tcPr>
            <w:tcW w:w="1565" w:type="dxa"/>
            <w:tcBorders>
              <w:top w:val="nil"/>
              <w:left w:val="nil"/>
              <w:bottom w:val="single" w:color="000000" w:sz="8" w:space="0"/>
              <w:right w:val="single" w:color="000000" w:sz="8" w:space="0"/>
            </w:tcBorders>
            <w:vAlign w:val="center"/>
          </w:tcPr>
          <w:p w14:paraId="036C7D5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材料工程师</w:t>
            </w:r>
          </w:p>
        </w:tc>
        <w:tc>
          <w:tcPr>
            <w:tcW w:w="1123" w:type="dxa"/>
            <w:tcBorders>
              <w:top w:val="nil"/>
              <w:left w:val="nil"/>
              <w:bottom w:val="single" w:color="000000" w:sz="8" w:space="0"/>
              <w:right w:val="single" w:color="000000" w:sz="8" w:space="0"/>
            </w:tcBorders>
            <w:vAlign w:val="center"/>
          </w:tcPr>
          <w:p w14:paraId="1851205E">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1</w:t>
            </w:r>
          </w:p>
        </w:tc>
        <w:tc>
          <w:tcPr>
            <w:tcW w:w="4185" w:type="dxa"/>
            <w:tcBorders>
              <w:top w:val="nil"/>
              <w:left w:val="nil"/>
              <w:bottom w:val="single" w:color="000000" w:sz="8" w:space="0"/>
              <w:right w:val="single" w:color="000000" w:sz="8" w:space="0"/>
            </w:tcBorders>
            <w:vAlign w:val="center"/>
          </w:tcPr>
          <w:p w14:paraId="16289F00">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具备工程类相关专业大学专科（或以上）学历，具有工作经验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0AD28E9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62708823">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106EDCA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ascii="仿宋" w:hAnsi="仿宋" w:eastAsia="仿宋" w:cs="宋体"/>
                <w:snapToGrid w:val="0"/>
                <w:color w:val="auto"/>
                <w:kern w:val="0"/>
                <w:sz w:val="24"/>
                <w:szCs w:val="24"/>
                <w:highlight w:val="none"/>
                <w:lang w:bidi="ar"/>
              </w:rPr>
              <w:t>1</w:t>
            </w:r>
            <w:r>
              <w:rPr>
                <w:rFonts w:hint="eastAsia" w:ascii="仿宋" w:hAnsi="仿宋" w:eastAsia="仿宋" w:cs="宋体"/>
                <w:snapToGrid w:val="0"/>
                <w:color w:val="auto"/>
                <w:kern w:val="0"/>
                <w:sz w:val="24"/>
                <w:szCs w:val="24"/>
                <w:highlight w:val="none"/>
                <w:lang w:val="en-US" w:eastAsia="zh-CN" w:bidi="ar"/>
              </w:rPr>
              <w:t>9</w:t>
            </w:r>
          </w:p>
        </w:tc>
        <w:tc>
          <w:tcPr>
            <w:tcW w:w="1565" w:type="dxa"/>
            <w:tcBorders>
              <w:top w:val="nil"/>
              <w:left w:val="nil"/>
              <w:bottom w:val="single" w:color="000000" w:sz="8" w:space="0"/>
              <w:right w:val="single" w:color="000000" w:sz="8" w:space="0"/>
            </w:tcBorders>
            <w:vAlign w:val="center"/>
          </w:tcPr>
          <w:p w14:paraId="6920C0E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质量工程师</w:t>
            </w:r>
          </w:p>
        </w:tc>
        <w:tc>
          <w:tcPr>
            <w:tcW w:w="1123" w:type="dxa"/>
            <w:tcBorders>
              <w:top w:val="nil"/>
              <w:left w:val="nil"/>
              <w:bottom w:val="single" w:color="000000" w:sz="8" w:space="0"/>
              <w:right w:val="single" w:color="000000" w:sz="8" w:space="0"/>
            </w:tcBorders>
            <w:vAlign w:val="center"/>
          </w:tcPr>
          <w:p w14:paraId="30751069">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lang w:eastAsia="zh-CN"/>
              </w:rPr>
            </w:pPr>
            <w:r>
              <w:rPr>
                <w:rFonts w:hint="eastAsia" w:ascii="仿宋" w:hAnsi="仿宋" w:eastAsia="仿宋" w:cs="宋体"/>
                <w:snapToGrid w:val="0"/>
                <w:color w:val="auto"/>
                <w:kern w:val="0"/>
                <w:sz w:val="24"/>
                <w:szCs w:val="24"/>
                <w:highlight w:val="none"/>
                <w:lang w:val="en-US" w:eastAsia="zh-CN" w:bidi="ar"/>
              </w:rPr>
              <w:t>3</w:t>
            </w:r>
          </w:p>
        </w:tc>
        <w:tc>
          <w:tcPr>
            <w:tcW w:w="4185" w:type="dxa"/>
            <w:tcBorders>
              <w:top w:val="nil"/>
              <w:left w:val="nil"/>
              <w:bottom w:val="single" w:color="000000" w:sz="8" w:space="0"/>
              <w:right w:val="single" w:color="000000" w:sz="8" w:space="0"/>
            </w:tcBorders>
            <w:vAlign w:val="center"/>
          </w:tcPr>
          <w:p w14:paraId="2DAEBB00">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具有建设行政主管部门或其授权的机构或行业协会颁发的</w:t>
            </w:r>
            <w:r>
              <w:rPr>
                <w:rFonts w:hint="eastAsia" w:ascii="仿宋" w:hAnsi="仿宋" w:eastAsia="仿宋" w:cs="宋体"/>
                <w:snapToGrid w:val="0"/>
                <w:color w:val="auto"/>
                <w:kern w:val="0"/>
                <w:sz w:val="24"/>
                <w:szCs w:val="24"/>
                <w:highlight w:val="none"/>
                <w:lang w:bidi="ar"/>
              </w:rPr>
              <w:t>质量</w:t>
            </w:r>
            <w:r>
              <w:rPr>
                <w:rFonts w:ascii="仿宋" w:hAnsi="仿宋" w:eastAsia="仿宋" w:cs="宋体"/>
                <w:snapToGrid w:val="0"/>
                <w:color w:val="auto"/>
                <w:kern w:val="0"/>
                <w:sz w:val="24"/>
                <w:szCs w:val="24"/>
                <w:highlight w:val="none"/>
                <w:lang w:bidi="ar"/>
              </w:rPr>
              <w:t>员岗位证书或上岗证或培训证。具有工作经验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年或以上。建筑工程相关专业中级或以上技术职称</w:t>
            </w:r>
          </w:p>
        </w:tc>
        <w:tc>
          <w:tcPr>
            <w:tcW w:w="1434" w:type="dxa"/>
            <w:tcBorders>
              <w:top w:val="nil"/>
              <w:left w:val="nil"/>
              <w:bottom w:val="single" w:color="000000" w:sz="8" w:space="0"/>
              <w:right w:val="single" w:color="000000" w:sz="8" w:space="0"/>
            </w:tcBorders>
            <w:vAlign w:val="center"/>
          </w:tcPr>
          <w:p w14:paraId="0E13F27F">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71725CD7">
        <w:tblPrEx>
          <w:tblCellMar>
            <w:top w:w="0" w:type="dxa"/>
            <w:left w:w="108" w:type="dxa"/>
            <w:bottom w:w="0" w:type="dxa"/>
            <w:right w:w="108" w:type="dxa"/>
          </w:tblCellMar>
        </w:tblPrEx>
        <w:trPr>
          <w:trHeight w:val="525" w:hRule="atLeast"/>
          <w:jc w:val="center"/>
        </w:trPr>
        <w:tc>
          <w:tcPr>
            <w:tcW w:w="748" w:type="dxa"/>
            <w:tcBorders>
              <w:top w:val="nil"/>
              <w:left w:val="single" w:color="000000" w:sz="8" w:space="0"/>
              <w:bottom w:val="single" w:color="000000" w:sz="8" w:space="0"/>
              <w:right w:val="single" w:color="000000" w:sz="8" w:space="0"/>
            </w:tcBorders>
            <w:vAlign w:val="center"/>
          </w:tcPr>
          <w:p w14:paraId="1C4267B3">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default"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20</w:t>
            </w:r>
          </w:p>
        </w:tc>
        <w:tc>
          <w:tcPr>
            <w:tcW w:w="1565" w:type="dxa"/>
            <w:tcBorders>
              <w:top w:val="nil"/>
              <w:left w:val="nil"/>
              <w:bottom w:val="single" w:color="000000" w:sz="8" w:space="0"/>
              <w:right w:val="single" w:color="000000" w:sz="8" w:space="0"/>
            </w:tcBorders>
            <w:vAlign w:val="center"/>
          </w:tcPr>
          <w:p w14:paraId="22AE3ADD">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eastAsia"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资料员</w:t>
            </w:r>
          </w:p>
        </w:tc>
        <w:tc>
          <w:tcPr>
            <w:tcW w:w="1123" w:type="dxa"/>
            <w:tcBorders>
              <w:top w:val="nil"/>
              <w:left w:val="nil"/>
              <w:bottom w:val="single" w:color="000000" w:sz="8" w:space="0"/>
              <w:right w:val="single" w:color="000000" w:sz="8" w:space="0"/>
            </w:tcBorders>
            <w:vAlign w:val="center"/>
          </w:tcPr>
          <w:p w14:paraId="7E093EA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4</w:t>
            </w:r>
          </w:p>
        </w:tc>
        <w:tc>
          <w:tcPr>
            <w:tcW w:w="4185" w:type="dxa"/>
            <w:tcBorders>
              <w:top w:val="nil"/>
              <w:left w:val="nil"/>
              <w:bottom w:val="single" w:color="000000" w:sz="8" w:space="0"/>
              <w:right w:val="single" w:color="000000" w:sz="8" w:space="0"/>
            </w:tcBorders>
            <w:vAlign w:val="center"/>
          </w:tcPr>
          <w:p w14:paraId="640A9DD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left"/>
              <w:textAlignment w:val="center"/>
              <w:outlineLvl w:val="9"/>
              <w:rPr>
                <w:rFonts w:hint="default" w:ascii="仿宋" w:hAnsi="仿宋" w:eastAsia="仿宋" w:cs="宋体"/>
                <w:snapToGrid w:val="0"/>
                <w:color w:val="auto"/>
                <w:kern w:val="0"/>
                <w:sz w:val="24"/>
                <w:szCs w:val="24"/>
                <w:highlight w:val="none"/>
                <w:lang w:val="en-US" w:eastAsia="zh-CN" w:bidi="ar"/>
              </w:rPr>
            </w:pPr>
            <w:r>
              <w:rPr>
                <w:rFonts w:hint="eastAsia" w:ascii="仿宋" w:hAnsi="仿宋" w:eastAsia="仿宋" w:cs="宋体"/>
                <w:snapToGrid w:val="0"/>
                <w:color w:val="auto"/>
                <w:kern w:val="0"/>
                <w:sz w:val="24"/>
                <w:szCs w:val="24"/>
                <w:highlight w:val="none"/>
                <w:lang w:val="en-US" w:eastAsia="zh-CN" w:bidi="ar"/>
              </w:rPr>
              <w:t>具有资料员证或培训证或上岗证，具有工作经验</w:t>
            </w:r>
            <w:r>
              <w:rPr>
                <w:rFonts w:ascii="仿宋" w:hAnsi="仿宋" w:eastAsia="仿宋" w:cs="宋体"/>
                <w:color w:val="auto"/>
                <w:kern w:val="0"/>
                <w:sz w:val="24"/>
                <w:szCs w:val="24"/>
                <w:highlight w:val="none"/>
                <w:lang w:bidi="ar"/>
              </w:rPr>
              <w:t>5</w:t>
            </w:r>
            <w:r>
              <w:rPr>
                <w:rFonts w:ascii="仿宋" w:hAnsi="仿宋" w:eastAsia="仿宋" w:cs="宋体"/>
                <w:snapToGrid w:val="0"/>
                <w:color w:val="auto"/>
                <w:kern w:val="0"/>
                <w:sz w:val="24"/>
                <w:szCs w:val="24"/>
                <w:highlight w:val="none"/>
                <w:lang w:bidi="ar"/>
              </w:rPr>
              <w:t>年或以上。</w:t>
            </w:r>
          </w:p>
        </w:tc>
        <w:tc>
          <w:tcPr>
            <w:tcW w:w="1434" w:type="dxa"/>
            <w:tcBorders>
              <w:top w:val="nil"/>
              <w:left w:val="nil"/>
              <w:bottom w:val="single" w:color="000000" w:sz="8" w:space="0"/>
              <w:right w:val="single" w:color="000000" w:sz="8" w:space="0"/>
            </w:tcBorders>
            <w:vAlign w:val="center"/>
          </w:tcPr>
          <w:p w14:paraId="37F54BB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textAlignment w:val="center"/>
              <w:outlineLvl w:val="9"/>
              <w:rPr>
                <w:rFonts w:hint="eastAsia" w:ascii="仿宋" w:hAnsi="仿宋" w:eastAsia="仿宋"/>
                <w:color w:val="auto"/>
                <w:sz w:val="24"/>
                <w:szCs w:val="24"/>
                <w:highlight w:val="none"/>
              </w:rPr>
            </w:pPr>
          </w:p>
        </w:tc>
      </w:tr>
      <w:tr w14:paraId="7B8C0856">
        <w:tblPrEx>
          <w:tblCellMar>
            <w:top w:w="0" w:type="dxa"/>
            <w:left w:w="108" w:type="dxa"/>
            <w:bottom w:w="0" w:type="dxa"/>
            <w:right w:w="108" w:type="dxa"/>
          </w:tblCellMar>
        </w:tblPrEx>
        <w:trPr>
          <w:trHeight w:val="510" w:hRule="atLeast"/>
          <w:jc w:val="center"/>
        </w:trPr>
        <w:tc>
          <w:tcPr>
            <w:tcW w:w="748" w:type="dxa"/>
            <w:vMerge w:val="restart"/>
            <w:tcBorders>
              <w:top w:val="nil"/>
              <w:left w:val="single" w:color="000000" w:sz="8" w:space="0"/>
              <w:bottom w:val="single" w:color="000000" w:sz="8" w:space="0"/>
              <w:right w:val="single" w:color="000000" w:sz="8" w:space="0"/>
            </w:tcBorders>
            <w:vAlign w:val="center"/>
          </w:tcPr>
          <w:p w14:paraId="112396B7">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p>
        </w:tc>
        <w:tc>
          <w:tcPr>
            <w:tcW w:w="1565" w:type="dxa"/>
            <w:vMerge w:val="restart"/>
            <w:tcBorders>
              <w:top w:val="nil"/>
              <w:left w:val="nil"/>
              <w:bottom w:val="single" w:color="000000" w:sz="8" w:space="0"/>
              <w:right w:val="single" w:color="000000" w:sz="8" w:space="0"/>
            </w:tcBorders>
            <w:vAlign w:val="center"/>
          </w:tcPr>
          <w:p w14:paraId="0ADD2672">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r>
              <w:rPr>
                <w:rFonts w:ascii="仿宋" w:hAnsi="仿宋" w:eastAsia="仿宋" w:cs="宋体"/>
                <w:snapToGrid w:val="0"/>
                <w:color w:val="auto"/>
                <w:kern w:val="0"/>
                <w:sz w:val="24"/>
                <w:szCs w:val="24"/>
                <w:highlight w:val="none"/>
                <w:lang w:bidi="ar"/>
              </w:rPr>
              <w:t>小计</w:t>
            </w:r>
          </w:p>
        </w:tc>
        <w:tc>
          <w:tcPr>
            <w:tcW w:w="1123" w:type="dxa"/>
            <w:vMerge w:val="restart"/>
            <w:tcBorders>
              <w:top w:val="nil"/>
              <w:left w:val="nil"/>
              <w:bottom w:val="single" w:color="000000" w:sz="8" w:space="0"/>
              <w:right w:val="single" w:color="000000" w:sz="8" w:space="0"/>
            </w:tcBorders>
            <w:vAlign w:val="center"/>
          </w:tcPr>
          <w:p w14:paraId="11E5C1DC">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default" w:ascii="仿宋" w:hAnsi="仿宋" w:eastAsia="仿宋"/>
                <w:color w:val="auto"/>
                <w:sz w:val="24"/>
                <w:szCs w:val="24"/>
                <w:highlight w:val="none"/>
                <w:lang w:val="en-US" w:eastAsia="zh-CN"/>
              </w:rPr>
            </w:pPr>
            <w:r>
              <w:rPr>
                <w:rFonts w:hint="eastAsia" w:ascii="仿宋" w:hAnsi="仿宋" w:eastAsia="仿宋" w:cs="宋体"/>
                <w:snapToGrid w:val="0"/>
                <w:color w:val="auto"/>
                <w:kern w:val="0"/>
                <w:sz w:val="24"/>
                <w:szCs w:val="24"/>
                <w:highlight w:val="none"/>
                <w:lang w:val="en-US" w:eastAsia="zh-CN" w:bidi="ar"/>
              </w:rPr>
              <w:t>36</w:t>
            </w:r>
          </w:p>
        </w:tc>
        <w:tc>
          <w:tcPr>
            <w:tcW w:w="4185" w:type="dxa"/>
            <w:vMerge w:val="restart"/>
            <w:tcBorders>
              <w:top w:val="nil"/>
              <w:left w:val="nil"/>
              <w:bottom w:val="single" w:color="000000" w:sz="8" w:space="0"/>
              <w:right w:val="single" w:color="000000" w:sz="8" w:space="0"/>
            </w:tcBorders>
            <w:vAlign w:val="center"/>
          </w:tcPr>
          <w:p w14:paraId="26739FE1">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p>
        </w:tc>
        <w:tc>
          <w:tcPr>
            <w:tcW w:w="1434" w:type="dxa"/>
            <w:vMerge w:val="restart"/>
            <w:tcBorders>
              <w:top w:val="nil"/>
              <w:left w:val="nil"/>
              <w:bottom w:val="single" w:color="000000" w:sz="8" w:space="0"/>
              <w:right w:val="single" w:color="000000" w:sz="8" w:space="0"/>
            </w:tcBorders>
            <w:vAlign w:val="center"/>
          </w:tcPr>
          <w:p w14:paraId="55426D3A">
            <w:pPr>
              <w:keepNext w:val="0"/>
              <w:keepLines w:val="0"/>
              <w:pageBreakBefore w:val="0"/>
              <w:widowControl w:val="0"/>
              <w:kinsoku w:val="0"/>
              <w:wordWrap/>
              <w:overflowPunct/>
              <w:topLinePunct w:val="0"/>
              <w:autoSpaceDE/>
              <w:autoSpaceDN/>
              <w:bidi w:val="0"/>
              <w:adjustRightInd w:val="0"/>
              <w:snapToGrid/>
              <w:spacing w:line="360" w:lineRule="auto"/>
              <w:ind w:firstLine="0" w:firstLineChars="0"/>
              <w:contextualSpacing/>
              <w:jc w:val="center"/>
              <w:textAlignment w:val="center"/>
              <w:outlineLvl w:val="9"/>
              <w:rPr>
                <w:rFonts w:hint="eastAsia" w:ascii="仿宋" w:hAnsi="仿宋" w:eastAsia="仿宋"/>
                <w:color w:val="auto"/>
                <w:sz w:val="24"/>
                <w:szCs w:val="24"/>
                <w:highlight w:val="none"/>
              </w:rPr>
            </w:pPr>
          </w:p>
        </w:tc>
      </w:tr>
      <w:tr w14:paraId="64461D14">
        <w:tblPrEx>
          <w:tblCellMar>
            <w:top w:w="0" w:type="dxa"/>
            <w:left w:w="108" w:type="dxa"/>
            <w:bottom w:w="0" w:type="dxa"/>
            <w:right w:w="108" w:type="dxa"/>
          </w:tblCellMar>
        </w:tblPrEx>
        <w:trPr>
          <w:trHeight w:val="624" w:hRule="atLeast"/>
          <w:jc w:val="center"/>
        </w:trPr>
        <w:tc>
          <w:tcPr>
            <w:tcW w:w="748" w:type="dxa"/>
            <w:vMerge w:val="continue"/>
            <w:tcBorders>
              <w:top w:val="nil"/>
              <w:left w:val="single" w:color="000000" w:sz="8" w:space="0"/>
              <w:bottom w:val="single" w:color="000000" w:sz="8" w:space="0"/>
              <w:right w:val="single" w:color="000000" w:sz="8" w:space="0"/>
            </w:tcBorders>
            <w:vAlign w:val="center"/>
          </w:tcPr>
          <w:p w14:paraId="094BDBB5">
            <w:pPr>
              <w:keepNext w:val="0"/>
              <w:keepLines w:val="0"/>
              <w:pageBreakBefore w:val="0"/>
              <w:widowControl w:val="0"/>
              <w:wordWrap/>
              <w:overflowPunct/>
              <w:topLinePunct w:val="0"/>
              <w:autoSpaceDE/>
              <w:autoSpaceDN/>
              <w:bidi w:val="0"/>
              <w:snapToGrid/>
              <w:spacing w:line="360" w:lineRule="auto"/>
              <w:ind w:firstLine="0" w:firstLineChars="0"/>
              <w:contextualSpacing/>
              <w:outlineLvl w:val="9"/>
              <w:rPr>
                <w:rFonts w:eastAsia="仿宋"/>
                <w:color w:val="auto"/>
                <w:sz w:val="28"/>
                <w:szCs w:val="28"/>
                <w:highlight w:val="none"/>
              </w:rPr>
            </w:pPr>
          </w:p>
        </w:tc>
        <w:tc>
          <w:tcPr>
            <w:tcW w:w="1565" w:type="dxa"/>
            <w:vMerge w:val="continue"/>
            <w:tcBorders>
              <w:top w:val="nil"/>
              <w:left w:val="nil"/>
              <w:bottom w:val="single" w:color="000000" w:sz="8" w:space="0"/>
              <w:right w:val="single" w:color="000000" w:sz="8" w:space="0"/>
            </w:tcBorders>
            <w:vAlign w:val="center"/>
          </w:tcPr>
          <w:p w14:paraId="4C714609">
            <w:pPr>
              <w:keepNext w:val="0"/>
              <w:keepLines w:val="0"/>
              <w:pageBreakBefore w:val="0"/>
              <w:widowControl w:val="0"/>
              <w:wordWrap/>
              <w:overflowPunct/>
              <w:topLinePunct w:val="0"/>
              <w:autoSpaceDE/>
              <w:autoSpaceDN/>
              <w:bidi w:val="0"/>
              <w:snapToGrid/>
              <w:spacing w:line="360" w:lineRule="auto"/>
              <w:ind w:firstLine="0" w:firstLineChars="0"/>
              <w:contextualSpacing/>
              <w:outlineLvl w:val="9"/>
              <w:rPr>
                <w:rFonts w:eastAsia="仿宋"/>
                <w:color w:val="auto"/>
                <w:sz w:val="28"/>
                <w:szCs w:val="28"/>
                <w:highlight w:val="none"/>
              </w:rPr>
            </w:pPr>
          </w:p>
        </w:tc>
        <w:tc>
          <w:tcPr>
            <w:tcW w:w="1123" w:type="dxa"/>
            <w:vMerge w:val="continue"/>
            <w:tcBorders>
              <w:top w:val="nil"/>
              <w:left w:val="nil"/>
              <w:bottom w:val="single" w:color="000000" w:sz="8" w:space="0"/>
              <w:right w:val="single" w:color="000000" w:sz="8" w:space="0"/>
            </w:tcBorders>
            <w:vAlign w:val="center"/>
          </w:tcPr>
          <w:p w14:paraId="07849CC6">
            <w:pPr>
              <w:keepNext w:val="0"/>
              <w:keepLines w:val="0"/>
              <w:pageBreakBefore w:val="0"/>
              <w:widowControl w:val="0"/>
              <w:wordWrap/>
              <w:overflowPunct/>
              <w:topLinePunct w:val="0"/>
              <w:autoSpaceDE/>
              <w:autoSpaceDN/>
              <w:bidi w:val="0"/>
              <w:snapToGrid/>
              <w:spacing w:line="360" w:lineRule="auto"/>
              <w:ind w:firstLine="0" w:firstLineChars="0"/>
              <w:contextualSpacing/>
              <w:outlineLvl w:val="9"/>
              <w:rPr>
                <w:rFonts w:eastAsia="仿宋"/>
                <w:color w:val="auto"/>
                <w:sz w:val="28"/>
                <w:szCs w:val="28"/>
                <w:highlight w:val="none"/>
              </w:rPr>
            </w:pPr>
          </w:p>
        </w:tc>
        <w:tc>
          <w:tcPr>
            <w:tcW w:w="4185" w:type="dxa"/>
            <w:vMerge w:val="continue"/>
            <w:tcBorders>
              <w:top w:val="nil"/>
              <w:left w:val="nil"/>
              <w:bottom w:val="single" w:color="000000" w:sz="8" w:space="0"/>
              <w:right w:val="single" w:color="000000" w:sz="8" w:space="0"/>
            </w:tcBorders>
            <w:vAlign w:val="center"/>
          </w:tcPr>
          <w:p w14:paraId="5874D8E5">
            <w:pPr>
              <w:keepNext w:val="0"/>
              <w:keepLines w:val="0"/>
              <w:pageBreakBefore w:val="0"/>
              <w:widowControl w:val="0"/>
              <w:wordWrap/>
              <w:overflowPunct/>
              <w:topLinePunct w:val="0"/>
              <w:autoSpaceDE/>
              <w:autoSpaceDN/>
              <w:bidi w:val="0"/>
              <w:snapToGrid/>
              <w:spacing w:line="360" w:lineRule="auto"/>
              <w:ind w:firstLine="0" w:firstLineChars="0"/>
              <w:contextualSpacing/>
              <w:outlineLvl w:val="9"/>
              <w:rPr>
                <w:rFonts w:eastAsia="仿宋"/>
                <w:color w:val="auto"/>
                <w:sz w:val="28"/>
                <w:szCs w:val="28"/>
                <w:highlight w:val="none"/>
              </w:rPr>
            </w:pPr>
          </w:p>
        </w:tc>
        <w:tc>
          <w:tcPr>
            <w:tcW w:w="1434" w:type="dxa"/>
            <w:vMerge w:val="continue"/>
            <w:tcBorders>
              <w:top w:val="nil"/>
              <w:left w:val="nil"/>
              <w:bottom w:val="single" w:color="000000" w:sz="8" w:space="0"/>
              <w:right w:val="single" w:color="000000" w:sz="8" w:space="0"/>
            </w:tcBorders>
            <w:vAlign w:val="center"/>
          </w:tcPr>
          <w:p w14:paraId="13D5D99A">
            <w:pPr>
              <w:keepNext w:val="0"/>
              <w:keepLines w:val="0"/>
              <w:pageBreakBefore w:val="0"/>
              <w:widowControl w:val="0"/>
              <w:wordWrap/>
              <w:overflowPunct/>
              <w:topLinePunct w:val="0"/>
              <w:autoSpaceDE/>
              <w:autoSpaceDN/>
              <w:bidi w:val="0"/>
              <w:snapToGrid/>
              <w:spacing w:line="360" w:lineRule="auto"/>
              <w:ind w:firstLine="0" w:firstLineChars="0"/>
              <w:contextualSpacing/>
              <w:outlineLvl w:val="9"/>
              <w:rPr>
                <w:rFonts w:eastAsia="仿宋"/>
                <w:color w:val="auto"/>
                <w:sz w:val="28"/>
                <w:szCs w:val="28"/>
                <w:highlight w:val="none"/>
              </w:rPr>
            </w:pPr>
          </w:p>
        </w:tc>
      </w:tr>
    </w:tbl>
    <w:p w14:paraId="50FBA1BE">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 xml:space="preserve">  注：</w:t>
      </w:r>
    </w:p>
    <w:p w14:paraId="4FA26BAB">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（1）人员工作经验时间从毕业时间</w:t>
      </w:r>
      <w:r>
        <w:rPr>
          <w:rFonts w:hint="eastAsia" w:ascii="仿宋" w:hAnsi="仿宋" w:eastAsia="仿宋" w:cs="仿宋"/>
          <w:color w:val="auto"/>
          <w:kern w:val="0"/>
          <w:sz w:val="32"/>
          <w:szCs w:val="32"/>
          <w:highlight w:val="none"/>
          <w:lang w:bidi="ar"/>
        </w:rPr>
        <w:t>（大专及以上）</w:t>
      </w:r>
      <w:r>
        <w:rPr>
          <w:rFonts w:hint="eastAsia" w:ascii="仿宋" w:hAnsi="仿宋" w:eastAsia="仿宋" w:cs="仿宋"/>
          <w:kern w:val="0"/>
          <w:sz w:val="32"/>
          <w:szCs w:val="32"/>
          <w:highlight w:val="none"/>
          <w:lang w:bidi="ar"/>
        </w:rPr>
        <w:t>起计。</w:t>
      </w:r>
    </w:p>
    <w:p w14:paraId="584E2E6E">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（2）一级注册造价工程师是指根据住房城乡建设部、交通运输部、水利部、人力资源社会保障部发布的《造价工程师职业资格制度规定》、《造价工程师职业资格考试实施办法》（建人［2018］67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p w14:paraId="772914BA">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bookmarkStart w:id="80" w:name="_GoBack"/>
      <w:r>
        <w:rPr>
          <w:rFonts w:hint="eastAsia" w:ascii="仿宋" w:hAnsi="仿宋" w:eastAsia="仿宋" w:cs="仿宋"/>
          <w:kern w:val="0"/>
          <w:sz w:val="32"/>
          <w:szCs w:val="32"/>
          <w:highlight w:val="none"/>
          <w:lang w:bidi="ar"/>
        </w:rPr>
        <w:t>（3）上表人员均要求为投标单位正式职工，须提供发布招标公告前一个月（指2025年</w:t>
      </w:r>
      <w:r>
        <w:rPr>
          <w:rFonts w:hint="eastAsia" w:ascii="仿宋" w:hAnsi="仿宋" w:eastAsia="仿宋" w:cs="仿宋"/>
          <w:kern w:val="0"/>
          <w:sz w:val="32"/>
          <w:szCs w:val="32"/>
          <w:highlight w:val="none"/>
          <w:lang w:val="en-US" w:eastAsia="zh-CN" w:bidi="ar"/>
        </w:rPr>
        <w:t>8</w:t>
      </w:r>
      <w:r>
        <w:rPr>
          <w:rFonts w:hint="eastAsia" w:ascii="仿宋" w:hAnsi="仿宋" w:eastAsia="仿宋" w:cs="仿宋"/>
          <w:kern w:val="0"/>
          <w:sz w:val="32"/>
          <w:szCs w:val="32"/>
          <w:highlight w:val="none"/>
          <w:lang w:bidi="ar"/>
        </w:rPr>
        <w:t>月）在投标单位参</w:t>
      </w:r>
      <w:r>
        <w:rPr>
          <w:rFonts w:hint="eastAsia" w:ascii="仿宋" w:hAnsi="仿宋" w:eastAsia="仿宋" w:cs="仿宋"/>
          <w:kern w:val="0"/>
          <w:sz w:val="32"/>
          <w:szCs w:val="32"/>
          <w:highlight w:val="none"/>
          <w:lang w:bidi="ar"/>
        </w:rPr>
        <w:t>保的社保证明。除特别约定外，各岗位人员不得相互兼职。</w:t>
      </w:r>
    </w:p>
    <w:bookmarkEnd w:id="80"/>
    <w:p w14:paraId="5688F5D8">
      <w:pPr>
        <w:pageBreakBefore w:val="0"/>
        <w:wordWrap/>
        <w:overflowPunct/>
        <w:autoSpaceDE/>
        <w:autoSpaceDN/>
        <w:bidi w:val="0"/>
        <w:spacing w:line="360" w:lineRule="auto"/>
        <w:ind w:firstLine="640" w:firstLineChars="200"/>
        <w:contextualSpacing/>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4）经发包人或监理人考核，承包人投入本项目的人员不能满足项目工程建设要求的，承包人必须无条件按照发包人的要求更换或者增加人员，直至满足本工程建设要求为止，而且，不能满足本工程建设要求的人员按照缺勤处理。</w:t>
      </w:r>
    </w:p>
    <w:p w14:paraId="3EFF995E">
      <w:pPr>
        <w:pStyle w:val="6"/>
        <w:keepNext w:val="0"/>
        <w:keepLines w:val="0"/>
        <w:pageBreakBefore w:val="0"/>
        <w:wordWrap/>
        <w:overflowPunct/>
        <w:autoSpaceDE/>
        <w:autoSpaceDN/>
        <w:bidi w:val="0"/>
        <w:spacing w:before="0" w:after="0" w:line="360" w:lineRule="auto"/>
        <w:ind w:firstLine="640" w:firstLineChars="200"/>
        <w:contextualSpacing/>
        <w:jc w:val="left"/>
        <w:rPr>
          <w:rFonts w:hint="eastAsia" w:ascii="仿宋" w:hAnsi="仿宋" w:eastAsia="仿宋" w:cs="仿宋"/>
          <w:b w:val="0"/>
          <w:bCs/>
          <w:sz w:val="32"/>
          <w:szCs w:val="32"/>
          <w:highlight w:val="none"/>
        </w:rPr>
      </w:pPr>
      <w:bookmarkStart w:id="53" w:name="_Toc6506"/>
      <w:bookmarkStart w:id="54" w:name="_Toc11826"/>
      <w:bookmarkStart w:id="55" w:name="_Toc26086"/>
      <w:bookmarkStart w:id="56" w:name="_Toc24939"/>
      <w:bookmarkStart w:id="57" w:name="_Toc20717"/>
      <w:bookmarkStart w:id="58" w:name="_Toc14167"/>
      <w:bookmarkStart w:id="59" w:name="_Toc12175"/>
      <w:bookmarkStart w:id="60" w:name="_Toc25407"/>
      <w:bookmarkStart w:id="61" w:name="_Toc29769"/>
      <w:bookmarkStart w:id="62" w:name="_Toc169722208"/>
      <w:bookmarkStart w:id="63" w:name="_Toc10309"/>
      <w:r>
        <w:rPr>
          <w:rFonts w:hint="eastAsia" w:ascii="仿宋" w:hAnsi="仿宋" w:eastAsia="仿宋" w:cs="仿宋"/>
          <w:b w:val="0"/>
          <w:bCs/>
          <w:sz w:val="32"/>
          <w:szCs w:val="32"/>
          <w:highlight w:val="none"/>
          <w:lang w:eastAsia="zh"/>
        </w:rPr>
        <w:t>2</w:t>
      </w:r>
      <w:r>
        <w:rPr>
          <w:rFonts w:hint="eastAsia" w:ascii="仿宋" w:hAnsi="仿宋" w:eastAsia="仿宋" w:cs="仿宋"/>
          <w:b w:val="0"/>
          <w:bCs/>
          <w:sz w:val="32"/>
          <w:szCs w:val="32"/>
          <w:highlight w:val="none"/>
        </w:rPr>
        <w:t>.项目负责人的要求</w:t>
      </w:r>
      <w:bookmarkEnd w:id="53"/>
      <w:bookmarkEnd w:id="54"/>
      <w:bookmarkEnd w:id="55"/>
      <w:bookmarkEnd w:id="56"/>
      <w:bookmarkEnd w:id="57"/>
      <w:bookmarkEnd w:id="58"/>
      <w:bookmarkEnd w:id="59"/>
      <w:bookmarkEnd w:id="60"/>
      <w:bookmarkEnd w:id="61"/>
      <w:bookmarkEnd w:id="62"/>
      <w:bookmarkEnd w:id="63"/>
    </w:p>
    <w:p w14:paraId="3F0B6EA0">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项目负责人在授权范围内对承包人项目部进行全面管理，是项目经营、施工和管理的第一责任人。</w:t>
      </w:r>
    </w:p>
    <w:p w14:paraId="606716BF">
      <w:pPr>
        <w:pStyle w:val="6"/>
        <w:keepNext w:val="0"/>
        <w:keepLines w:val="0"/>
        <w:pageBreakBefore w:val="0"/>
        <w:wordWrap/>
        <w:overflowPunct/>
        <w:autoSpaceDE/>
        <w:autoSpaceDN/>
        <w:bidi w:val="0"/>
        <w:spacing w:before="0" w:after="0" w:line="360" w:lineRule="auto"/>
        <w:ind w:firstLine="640" w:firstLineChars="200"/>
        <w:contextualSpacing/>
        <w:jc w:val="left"/>
        <w:rPr>
          <w:rFonts w:hint="eastAsia" w:ascii="仿宋" w:hAnsi="仿宋" w:eastAsia="仿宋" w:cs="仿宋"/>
          <w:b w:val="0"/>
          <w:bCs/>
          <w:sz w:val="32"/>
          <w:szCs w:val="32"/>
          <w:highlight w:val="none"/>
        </w:rPr>
      </w:pPr>
      <w:bookmarkStart w:id="64" w:name="_Toc23314"/>
      <w:bookmarkStart w:id="65" w:name="_Toc12138"/>
      <w:bookmarkStart w:id="66" w:name="_Toc14724"/>
      <w:bookmarkStart w:id="67" w:name="_Toc32296"/>
      <w:bookmarkStart w:id="68" w:name="_Toc31926"/>
      <w:bookmarkStart w:id="69" w:name="_Toc17233"/>
      <w:bookmarkStart w:id="70" w:name="_Toc21312"/>
      <w:bookmarkStart w:id="71" w:name="_Toc14236"/>
      <w:bookmarkStart w:id="72" w:name="_Toc169722209"/>
      <w:bookmarkStart w:id="73" w:name="_Toc15883"/>
      <w:bookmarkStart w:id="74" w:name="_Toc29403"/>
      <w:r>
        <w:rPr>
          <w:rFonts w:hint="eastAsia" w:ascii="仿宋" w:hAnsi="仿宋" w:eastAsia="仿宋" w:cs="仿宋"/>
          <w:b w:val="0"/>
          <w:bCs/>
          <w:sz w:val="32"/>
          <w:szCs w:val="32"/>
          <w:highlight w:val="none"/>
          <w:lang w:eastAsia="zh"/>
        </w:rPr>
        <w:t>3</w:t>
      </w:r>
      <w:r>
        <w:rPr>
          <w:rFonts w:hint="eastAsia" w:ascii="仿宋" w:hAnsi="仿宋" w:eastAsia="仿宋" w:cs="仿宋"/>
          <w:b w:val="0"/>
          <w:bCs/>
          <w:sz w:val="32"/>
          <w:szCs w:val="32"/>
          <w:highlight w:val="none"/>
        </w:rPr>
        <w:t>.项目关键岗位人员的要求</w:t>
      </w:r>
      <w:bookmarkEnd w:id="64"/>
      <w:bookmarkEnd w:id="65"/>
      <w:bookmarkEnd w:id="66"/>
      <w:bookmarkEnd w:id="67"/>
      <w:bookmarkEnd w:id="68"/>
      <w:bookmarkEnd w:id="69"/>
      <w:bookmarkEnd w:id="70"/>
      <w:bookmarkEnd w:id="71"/>
      <w:bookmarkEnd w:id="72"/>
      <w:bookmarkEnd w:id="73"/>
      <w:bookmarkEnd w:id="74"/>
    </w:p>
    <w:p w14:paraId="7F80034B">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lang w:eastAsia="zh"/>
        </w:rPr>
        <w:t>（1）</w:t>
      </w:r>
      <w:r>
        <w:rPr>
          <w:rFonts w:hint="eastAsia" w:ascii="仿宋" w:hAnsi="仿宋" w:eastAsia="仿宋" w:cs="仿宋"/>
          <w:sz w:val="32"/>
          <w:szCs w:val="32"/>
          <w:highlight w:val="none"/>
        </w:rPr>
        <w:t>项目管理团队主要人员项目负责人、生产经理、技术负责人、质量负责人、造价负责人、安全负责人等应按照发包人要求分别配置。</w:t>
      </w:r>
    </w:p>
    <w:p w14:paraId="168CD68E">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lang w:eastAsia="zh"/>
        </w:rPr>
        <w:t>（2）</w:t>
      </w:r>
      <w:r>
        <w:rPr>
          <w:rFonts w:hint="eastAsia" w:ascii="仿宋" w:hAnsi="仿宋" w:eastAsia="仿宋" w:cs="仿宋"/>
          <w:sz w:val="32"/>
          <w:szCs w:val="32"/>
          <w:highlight w:val="none"/>
        </w:rPr>
        <w:t>发包人对备选项目负责人的已完项目进行考察，组织发包人间的交流，并给予评价。</w:t>
      </w:r>
    </w:p>
    <w:p w14:paraId="7482D1FE">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lang w:eastAsia="zh"/>
        </w:rPr>
        <w:t>（3）</w:t>
      </w:r>
      <w:r>
        <w:rPr>
          <w:rFonts w:hint="eastAsia" w:ascii="仿宋" w:hAnsi="仿宋" w:eastAsia="仿宋" w:cs="仿宋"/>
          <w:sz w:val="32"/>
          <w:szCs w:val="32"/>
          <w:highlight w:val="none"/>
        </w:rPr>
        <w:t>发包人组织对承包人项目团队的面试交流会。发包人对整体评价达到要求的项目成员发书面通知给承包人；对未达到要求之成员，要求承包人进行更换并重新面试。</w:t>
      </w:r>
    </w:p>
    <w:p w14:paraId="146B8BE5">
      <w:pPr>
        <w:pStyle w:val="7"/>
        <w:pageBreakBefore w:val="0"/>
        <w:widowControl w:val="0"/>
        <w:wordWrap/>
        <w:overflowPunct/>
        <w:autoSpaceDE/>
        <w:autoSpaceDN/>
        <w:bidi w:val="0"/>
        <w:spacing w:before="0" w:beforeAutospacing="0" w:after="0" w:afterAutospacing="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lang w:eastAsia="zh"/>
        </w:rPr>
        <w:t>（4）</w:t>
      </w:r>
      <w:r>
        <w:rPr>
          <w:rFonts w:hint="eastAsia" w:ascii="仿宋" w:hAnsi="仿宋" w:eastAsia="仿宋" w:cs="仿宋"/>
          <w:sz w:val="32"/>
          <w:szCs w:val="32"/>
          <w:highlight w:val="none"/>
        </w:rPr>
        <w:t>一旦完成承包人项目部人员的选择，承包人应做出书面承诺，内容包括：</w:t>
      </w:r>
    </w:p>
    <w:p w14:paraId="67619323">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①项目团队关键成员必须专职，项目负责人、生产经理、技术负责人、造价负责人、安全负责人等不得跨项目兼职，从开工至交付过程全程参与项目实施。</w:t>
      </w:r>
    </w:p>
    <w:p w14:paraId="0E22062D">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②非无法控制原因如刑拘、身亡、离开单位（但不含升职），承包人擅自更换关键岗位人员（项目负责人、生产经理、技术负责人、造价负责人、安全负责人）而未通知发包人的，承包人应承担相应违约责任。</w:t>
      </w:r>
    </w:p>
    <w:p w14:paraId="39992575">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③如承包人确因无法控制的原因如刑拘、身亡、离开单位（但不含升职），需要更换关键人员，须书面通知发包人，经发包人同意后方可更换，但不因此免除承包人违约责任，发包人视更换人员后期履约情况保留处罚权利。新拟派人员（至少提供3名）须重新面试，面试通过后方可上岗。在发包人批准的新人员未到场且到场工作移交未完成前，均按照擅自离岗进行违约处理。</w:t>
      </w:r>
    </w:p>
    <w:p w14:paraId="49F94835">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④承包人项目负责人和其他关键岗位人员应保证在施工阶段常驻现场。</w:t>
      </w:r>
    </w:p>
    <w:p w14:paraId="4AA865A7">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⑤更换项目负责人、生产经理、技术负责人、质量负责人、造价负责人、安全负责人等关键岗位人员，需提前7天以书面形式通知发包人并获得发包人书面同意后方可更换，但不因此免除承包人违约责任，发包人视更换人员后期履约情况保留处罚权利。</w:t>
      </w:r>
    </w:p>
    <w:p w14:paraId="755AE37D">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⑥发包人有权对不适合的项目团队人员向承包人提出更换，接发包人书面通知后新成员7天内必须通过面试到岗。</w:t>
      </w:r>
    </w:p>
    <w:p w14:paraId="588E0C56">
      <w:pPr>
        <w:pStyle w:val="8"/>
        <w:pageBreakBefore w:val="0"/>
        <w:wordWrap/>
        <w:overflowPunct/>
        <w:autoSpaceDE/>
        <w:autoSpaceDN/>
        <w:bidi w:val="0"/>
        <w:spacing w:before="0" w:beforeAutospacing="0" w:after="0" w:afterAutospacing="0" w:line="360" w:lineRule="auto"/>
        <w:ind w:firstLine="640" w:firstLineChars="200"/>
        <w:contextualSpacing/>
        <w:rPr>
          <w:rFonts w:ascii="仿宋" w:hAnsi="仿宋" w:eastAsia="仿宋" w:cs="仿宋"/>
          <w:b w:val="0"/>
          <w:bCs w:val="0"/>
          <w:sz w:val="32"/>
          <w:szCs w:val="32"/>
          <w:highlight w:val="none"/>
        </w:rPr>
      </w:pPr>
      <w:r>
        <w:rPr>
          <w:rFonts w:ascii="仿宋" w:hAnsi="仿宋" w:eastAsia="仿宋" w:cs="仿宋"/>
          <w:b w:val="0"/>
          <w:bCs w:val="0"/>
          <w:sz w:val="32"/>
          <w:szCs w:val="32"/>
          <w:highlight w:val="none"/>
        </w:rPr>
        <w:t>⑦承包人的工程经理需对专业承包人的各项资源投入进行详细的检查、统计，在每周/月报告中报监理人备案，发现专业承包人的投入不能满足工程进度要求时，及时向专业承包人发出预警通知。现场要配备足够的现场管理人员，如果现场管理人员明显不足，影响到现场的正常施工，发包人有权要求承包人增加管理人员，承包人接到发包人通知，7天内人员必须到位。</w:t>
      </w:r>
    </w:p>
    <w:p w14:paraId="707991C3">
      <w:pPr>
        <w:pageBreakBefore w:val="0"/>
        <w:wordWrap/>
        <w:overflowPunct/>
        <w:autoSpaceDE/>
        <w:autoSpaceDN/>
        <w:bidi w:val="0"/>
        <w:spacing w:line="360" w:lineRule="auto"/>
        <w:ind w:firstLine="643" w:firstLineChars="200"/>
        <w:contextualSpacing/>
        <w:outlineLvl w:val="2"/>
        <w:rPr>
          <w:rFonts w:hint="eastAsia" w:ascii="楷体" w:hAnsi="楷体" w:eastAsia="楷体" w:cs="楷体"/>
          <w:b/>
          <w:bCs/>
          <w:sz w:val="32"/>
          <w:szCs w:val="32"/>
          <w:highlight w:val="none"/>
        </w:rPr>
      </w:pPr>
      <w:r>
        <w:rPr>
          <w:rFonts w:hint="eastAsia" w:ascii="楷体" w:hAnsi="楷体" w:eastAsia="楷体" w:cs="楷体"/>
          <w:b/>
          <w:bCs/>
          <w:kern w:val="0"/>
          <w:sz w:val="32"/>
          <w:szCs w:val="32"/>
          <w:highlight w:val="none"/>
        </w:rPr>
        <w:t>（七）</w:t>
      </w:r>
      <w:r>
        <w:rPr>
          <w:rFonts w:hint="eastAsia" w:ascii="楷体" w:hAnsi="楷体" w:eastAsia="楷体" w:cs="楷体"/>
          <w:b/>
          <w:bCs/>
          <w:sz w:val="32"/>
          <w:szCs w:val="32"/>
          <w:highlight w:val="none"/>
        </w:rPr>
        <w:t>材料设备管理要求</w:t>
      </w:r>
    </w:p>
    <w:p w14:paraId="004A4E98">
      <w:pPr>
        <w:pStyle w:val="13"/>
        <w:pageBreakBefore w:val="0"/>
        <w:tabs>
          <w:tab w:val="left" w:pos="1320"/>
        </w:tabs>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承包人需提前谋划根据设计图纸及施工进度计划制定主要材料设备采购计划，及时签订采购合同（签订供货合同的时间必须至少比第一批货物计划进场的时间提前两个月+备货期）。影响工程造价较大的大批量材料设备，承包人必须提前定制或锁定价格，否则由此引起的工期调整或价格调整，发包人有权不予批准。其中：</w:t>
      </w:r>
    </w:p>
    <w:p w14:paraId="58572A1F">
      <w:pPr>
        <w:pStyle w:val="13"/>
        <w:pageBreakBefore w:val="0"/>
        <w:tabs>
          <w:tab w:val="left" w:pos="1320"/>
        </w:tabs>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（1）承包人及时编制原材料、设备的采购计划，落实原材料、设备采购协议，在月报中予以列明；</w:t>
      </w:r>
    </w:p>
    <w:p w14:paraId="45272CF2">
      <w:pPr>
        <w:pageBreakBefore w:val="0"/>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（2）主要材料设备的采购合同必须报发包人备案（具体需要备案的材料设备采购合同种类由发包人根据项目实际需要确定）。</w:t>
      </w:r>
    </w:p>
    <w:p w14:paraId="7AC99528">
      <w:pPr>
        <w:pStyle w:val="13"/>
        <w:pageBreakBefore w:val="0"/>
        <w:tabs>
          <w:tab w:val="left" w:pos="1320"/>
        </w:tabs>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2.承包人必确保在满足或优于招标文件（包括招标文件各专业主要设备材料技术参数）、招标图纸和相关规范要求的条件下采购主要材料设备。其中：</w:t>
      </w:r>
    </w:p>
    <w:p w14:paraId="13F98BD1">
      <w:pPr>
        <w:pStyle w:val="13"/>
        <w:pageBreakBefore w:val="0"/>
        <w:tabs>
          <w:tab w:val="left" w:pos="1320"/>
        </w:tabs>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（1）招标文件有推荐品牌范围的主要材料设备，原则上必须在推荐品牌范围内选用（具体见合同附件《主要材料（设备）品牌推荐表》）。承包人在中标后选用推荐品牌中的任一品牌，均不予调整其投标价。</w:t>
      </w:r>
    </w:p>
    <w:p w14:paraId="794BE2AE">
      <w:pPr>
        <w:pStyle w:val="13"/>
        <w:pageBreakBefore w:val="0"/>
        <w:tabs>
          <w:tab w:val="left" w:pos="1320"/>
        </w:tabs>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2）若承包人选用同等或优于推荐品牌的，在采购前必须经发包人审批同意，同时在看样定板前须提供同等或优于推荐品牌档次的证明材料报发包人审核，否则视为承包人自行更换品牌，按招标文件和合同规定承担违约责任。</w:t>
      </w:r>
    </w:p>
    <w:p w14:paraId="6C1DC3B3">
      <w:pPr>
        <w:pageBreakBefore w:val="0"/>
        <w:wordWrap/>
        <w:overflowPunct/>
        <w:autoSpaceDE/>
        <w:autoSpaceDN/>
        <w:bidi w:val="0"/>
        <w:spacing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3.所有用于本工程的材料设备必须严格按合同条款的约定进行检验、试验，确保材料设备质量。材料进场批次要与见证取样检测批次一致，否则，多出批次的检测费由承包人承担。本项目应进行节能、室内环境检测，需委托具有相应资质检测机构实施的相关工作。</w:t>
      </w:r>
    </w:p>
    <w:p w14:paraId="40F0FDA5">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4.为加强本工程所使用的乙供材料设备的质量管理，确保承包人所选购的材料设备的质量、技术性能、款式、效果等方面满足设计和使用需求，所有主要材料设备在看样定板之前，发包人、监理单位、设计单位有权对乙供材料设备厂家的生产能力、制造水平、生产工艺等方面进行综合考察评估，考核评估合格的方能采购。如经综合考察评估不合格，发包人有权在《主要材料（设备）品牌推荐表》中选择其他满足规定的材料厂家及品牌，经考核评估合格后予以选用，合同价款不作调整。</w:t>
      </w:r>
    </w:p>
    <w:p w14:paraId="4518E50D">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5.承包人应在确定主要乙供材料设备供应商的7个工作日内，将供应商的清单明细（包括供应商的名称、联系人、联系电话、联系地址等）报监理单位和发包人备案。供应商须服从监理单位和发包人的管理，并按要求参加相关工作例会。</w:t>
      </w:r>
    </w:p>
    <w:p w14:paraId="1E60E316">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6.承包人运入施工现场的材料、工程设备、施工设备以及在施工场地建设的临时设施，包括备品备件、安装工具与资料，必须专用于工程。未经发包人批准不得运出施工现场或挪作他用。</w:t>
      </w:r>
    </w:p>
    <w:p w14:paraId="3966BE9F">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7.深化设计图纸经初步设计单位、监理人、发包人审核同意后，承包人应在10天内向监理人及发包人提出材料设备看样定板申请，并提供材料样板及相应的文件资料。发包人收到看样定板申请7天内，组织初步设计单位、监理人、承包人开会确定样板；开会确定样板后5天内，承包人组织初步设计单位、监理人、发包人对审批同意的乙供材料生产企业开展调查，调查的主要内容包括不限于企业的规模、企业的性质、企业的生产保证能力、企业的产品质量保证能力、材料生产工艺、原材料采购等相关内容，并最终确定厂家和实物样板。施工时承包人按样板采购使用材料(对装修装饰效果有重大影响，先进行样板间（段）的施工)。</w:t>
      </w:r>
    </w:p>
    <w:p w14:paraId="37485F5F">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承包人应在深化设计图纸取得发包人审核确认后15天内向监理人、发包人报送所有材料的采购计划，并相应落实主要材料的采购合同及组织采购定货。</w:t>
      </w:r>
    </w:p>
    <w:p w14:paraId="760A9393">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8.本招标项目材料设备严格执行国家及广东省、广州市关于材料设备见证抽检的各项规定。如出现某批次材料设备见证抽检不合格，承包人应将该批次材料设备全部清理出现场，已安装部分也须全部拆除、清理；每发生一次前述情形，承包人须按合同规定承担一次严重违约责任，并支付相关的违约金；对该类型材料设备在后续见证抽样检测时，将在规定的见证抽样数量、频率的基础上加倍，所需增加的检测费用由承包人自行承担。</w:t>
      </w:r>
    </w:p>
    <w:p w14:paraId="56EB7F9D">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9.承包人在各阶段施工前30天内梳理需看样定板材料并编制材料看样定板计划，每一种材料提供不少于于三种品牌的质量证明材料，并提供实物样板。</w:t>
      </w:r>
    </w:p>
    <w:p w14:paraId="76040F77">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10.承包人进场后立即根据设计文件要求对本工程施工所需的钢材、水泥、混凝土等先行进行资质申报。</w:t>
      </w:r>
    </w:p>
    <w:p w14:paraId="3A2EEFFB">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11.材料采购的其他要求，详见合同条款相关约定。</w:t>
      </w:r>
    </w:p>
    <w:p w14:paraId="33E3E477">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12.承包人及时配合提供材料检测数量，配合完成第三方检测方案。</w:t>
      </w:r>
    </w:p>
    <w:p w14:paraId="08E94520">
      <w:pPr>
        <w:pStyle w:val="4"/>
        <w:pageBreakBefore w:val="0"/>
        <w:wordWrap/>
        <w:overflowPunct/>
        <w:autoSpaceDE/>
        <w:autoSpaceDN/>
        <w:bidi w:val="0"/>
        <w:adjustRightInd w:val="0"/>
        <w:snapToGrid w:val="0"/>
        <w:spacing w:after="0" w:line="360" w:lineRule="auto"/>
        <w:ind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13.对重要工程材料、构配件、设备，承包人安排专人驻场跟踪，督促加工制作进度、质量，参与工序验收和出厂调试。</w:t>
      </w:r>
    </w:p>
    <w:p w14:paraId="2092FF10">
      <w:pPr>
        <w:pageBreakBefore w:val="0"/>
        <w:wordWrap/>
        <w:overflowPunct/>
        <w:autoSpaceDE/>
        <w:autoSpaceDN/>
        <w:bidi w:val="0"/>
        <w:spacing w:line="360" w:lineRule="auto"/>
        <w:ind w:firstLine="643" w:firstLineChars="200"/>
        <w:contextualSpacing/>
        <w:rPr>
          <w:rFonts w:hint="eastAsia" w:ascii="楷体" w:hAnsi="楷体" w:eastAsia="楷体" w:cs="楷体"/>
          <w:b/>
          <w:bCs/>
          <w:sz w:val="32"/>
          <w:szCs w:val="32"/>
          <w:highlight w:val="none"/>
          <w:lang w:eastAsia="zh"/>
        </w:rPr>
      </w:pPr>
      <w:r>
        <w:rPr>
          <w:rFonts w:hint="eastAsia" w:ascii="楷体" w:hAnsi="楷体" w:eastAsia="楷体" w:cs="楷体"/>
          <w:b/>
          <w:bCs/>
          <w:sz w:val="32"/>
          <w:szCs w:val="32"/>
          <w:highlight w:val="none"/>
          <w:lang w:eastAsia="zh"/>
        </w:rPr>
        <w:t>（</w:t>
      </w:r>
      <w:r>
        <w:rPr>
          <w:rFonts w:hint="eastAsia" w:ascii="楷体" w:hAnsi="楷体" w:eastAsia="楷体" w:cs="楷体"/>
          <w:b/>
          <w:bCs/>
          <w:sz w:val="32"/>
          <w:szCs w:val="32"/>
          <w:highlight w:val="none"/>
        </w:rPr>
        <w:t>八</w:t>
      </w:r>
      <w:r>
        <w:rPr>
          <w:rFonts w:hint="eastAsia" w:ascii="楷体" w:hAnsi="楷体" w:eastAsia="楷体" w:cs="楷体"/>
          <w:b/>
          <w:bCs/>
          <w:sz w:val="32"/>
          <w:szCs w:val="32"/>
          <w:highlight w:val="none"/>
          <w:lang w:eastAsia="zh"/>
        </w:rPr>
        <w:t>）样板引路管理要求</w:t>
      </w:r>
    </w:p>
    <w:p w14:paraId="0985BF78">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shd w:val="clear" w:color="auto" w:fill="FFFFFF"/>
          <w:lang w:eastAsia="zh"/>
        </w:rPr>
        <w:t>1</w:t>
      </w:r>
      <w:r>
        <w:rPr>
          <w:rFonts w:hint="eastAsia" w:ascii="仿宋" w:hAnsi="仿宋" w:eastAsia="仿宋" w:cs="仿宋"/>
          <w:color w:val="333333"/>
          <w:sz w:val="32"/>
          <w:szCs w:val="32"/>
          <w:highlight w:val="none"/>
          <w:shd w:val="clear" w:color="auto" w:fill="FFFFFF"/>
        </w:rPr>
        <w:t>.样板</w:t>
      </w:r>
      <w:r>
        <w:rPr>
          <w:rFonts w:hint="eastAsia" w:ascii="仿宋" w:hAnsi="仿宋" w:eastAsia="仿宋" w:cs="仿宋"/>
          <w:color w:val="333333"/>
          <w:sz w:val="32"/>
          <w:szCs w:val="32"/>
          <w:highlight w:val="none"/>
          <w:shd w:val="clear" w:color="auto" w:fill="FFFFFF"/>
          <w:lang w:eastAsia="zh"/>
        </w:rPr>
        <w:t>引路</w:t>
      </w:r>
      <w:r>
        <w:rPr>
          <w:rFonts w:hint="eastAsia" w:ascii="仿宋" w:hAnsi="仿宋" w:eastAsia="仿宋" w:cs="仿宋"/>
          <w:color w:val="333333"/>
          <w:sz w:val="32"/>
          <w:szCs w:val="32"/>
          <w:highlight w:val="none"/>
          <w:shd w:val="clear" w:color="auto" w:fill="FFFFFF"/>
        </w:rPr>
        <w:t>实施范围</w:t>
      </w:r>
    </w:p>
    <w:p w14:paraId="33D05EDD">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在每个分项或工序大面积施工前，应按照项目设计文件要求在现场做出施工样板</w:t>
      </w:r>
      <w:r>
        <w:rPr>
          <w:rFonts w:hint="eastAsia" w:ascii="仿宋" w:hAnsi="仿宋" w:eastAsia="仿宋" w:cs="仿宋"/>
          <w:color w:val="333333"/>
          <w:sz w:val="32"/>
          <w:szCs w:val="32"/>
          <w:highlight w:val="none"/>
          <w:shd w:val="clear" w:color="auto" w:fill="FFFFFF"/>
          <w:lang w:eastAsia="zh"/>
        </w:rPr>
        <w:t>；按发包人现场工程师要求节点</w:t>
      </w:r>
      <w:r>
        <w:rPr>
          <w:rFonts w:hint="eastAsia" w:ascii="仿宋" w:hAnsi="仿宋" w:eastAsia="仿宋" w:cs="仿宋"/>
          <w:color w:val="333333"/>
          <w:sz w:val="32"/>
          <w:szCs w:val="32"/>
          <w:highlight w:val="none"/>
          <w:shd w:val="clear" w:color="auto" w:fill="FFFFFF"/>
        </w:rPr>
        <w:t>，做出样板间</w:t>
      </w:r>
      <w:r>
        <w:rPr>
          <w:rFonts w:hint="eastAsia" w:ascii="仿宋" w:hAnsi="仿宋" w:eastAsia="仿宋" w:cs="仿宋"/>
          <w:color w:val="333333"/>
          <w:sz w:val="32"/>
          <w:szCs w:val="32"/>
          <w:highlight w:val="none"/>
          <w:shd w:val="clear" w:color="auto" w:fill="FFFFFF"/>
          <w:lang w:eastAsia="zh"/>
        </w:rPr>
        <w:t>或样板层</w:t>
      </w:r>
      <w:r>
        <w:rPr>
          <w:rFonts w:hint="eastAsia" w:ascii="仿宋" w:hAnsi="仿宋" w:eastAsia="仿宋" w:cs="仿宋"/>
          <w:color w:val="333333"/>
          <w:sz w:val="32"/>
          <w:szCs w:val="32"/>
          <w:highlight w:val="none"/>
          <w:shd w:val="clear" w:color="auto" w:fill="FFFFFF"/>
        </w:rPr>
        <w:t>。</w:t>
      </w:r>
    </w:p>
    <w:p w14:paraId="544BCB27">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施工样板是指按设计文件规定的材料、构配件以及施工方案确定的施工工艺，对住宅工程中各分部分项工程进行关键部位、重点工序现场实体分层解构，展现主要施工工艺、工序的样板。</w:t>
      </w:r>
    </w:p>
    <w:p w14:paraId="20AF529B">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样板间</w:t>
      </w:r>
      <w:r>
        <w:rPr>
          <w:rFonts w:hint="eastAsia" w:ascii="仿宋" w:hAnsi="仿宋" w:eastAsia="仿宋" w:cs="仿宋"/>
          <w:color w:val="333333"/>
          <w:sz w:val="32"/>
          <w:szCs w:val="32"/>
          <w:highlight w:val="none"/>
          <w:shd w:val="clear" w:color="auto" w:fill="FFFFFF"/>
          <w:lang w:eastAsia="zh"/>
        </w:rPr>
        <w:t>或样板层</w:t>
      </w:r>
      <w:r>
        <w:rPr>
          <w:rFonts w:hint="eastAsia" w:ascii="仿宋" w:hAnsi="仿宋" w:eastAsia="仿宋" w:cs="仿宋"/>
          <w:color w:val="333333"/>
          <w:sz w:val="32"/>
          <w:szCs w:val="32"/>
          <w:highlight w:val="none"/>
          <w:shd w:val="clear" w:color="auto" w:fill="FFFFFF"/>
        </w:rPr>
        <w:t>是指按设计文件规定的材料、构配件以及施工方案确定的施工工艺进行竣工交付完成后的样板间</w:t>
      </w:r>
      <w:r>
        <w:rPr>
          <w:rFonts w:hint="eastAsia" w:ascii="仿宋" w:hAnsi="仿宋" w:eastAsia="仿宋" w:cs="仿宋"/>
          <w:color w:val="333333"/>
          <w:sz w:val="32"/>
          <w:szCs w:val="32"/>
          <w:highlight w:val="none"/>
          <w:shd w:val="clear" w:color="auto" w:fill="FFFFFF"/>
          <w:lang w:eastAsia="zh"/>
        </w:rPr>
        <w:t>或样板层。</w:t>
      </w:r>
      <w:r>
        <w:rPr>
          <w:rFonts w:hint="eastAsia" w:ascii="仿宋" w:hAnsi="仿宋" w:eastAsia="仿宋" w:cs="仿宋"/>
          <w:color w:val="333333"/>
          <w:sz w:val="32"/>
          <w:szCs w:val="32"/>
          <w:highlight w:val="none"/>
          <w:shd w:val="clear" w:color="auto" w:fill="FFFFFF"/>
        </w:rPr>
        <w:t>所有户型包括其所对应单元的公共部位，应分别制作不少于一套交付样板间。</w:t>
      </w:r>
    </w:p>
    <w:p w14:paraId="1C6F5840">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shd w:val="clear" w:color="auto" w:fill="FFFFFF"/>
          <w:lang w:eastAsia="zh"/>
        </w:rPr>
        <w:t>2</w:t>
      </w:r>
      <w:r>
        <w:rPr>
          <w:rFonts w:hint="eastAsia" w:ascii="仿宋" w:hAnsi="仿宋" w:eastAsia="仿宋" w:cs="仿宋"/>
          <w:color w:val="333333"/>
          <w:sz w:val="32"/>
          <w:szCs w:val="32"/>
          <w:highlight w:val="none"/>
          <w:shd w:val="clear" w:color="auto" w:fill="FFFFFF"/>
        </w:rPr>
        <w:t>.样板制作标准</w:t>
      </w:r>
    </w:p>
    <w:p w14:paraId="7210FB69">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1</w:t>
      </w: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住宅工程开工前承包人要根据本工程特点、施工难点、工序的重点、常见质量问题防治措施等方面的需要，研究制定工程质量“样板引路”的工作方案。工作方案内容应包括：工程概况与特点、执行规范标准、组织机构、需制作实物质量样板的工序和部位、制作实物质量样板的技术要点与具体要求、样板质量验收要求以及根据工程项目特点所制定的其他相关内容。工程质量样板按照方案施工完毕后，监理单位应在承包人自检合格的基础上，协助</w:t>
      </w:r>
      <w:r>
        <w:rPr>
          <w:rFonts w:hint="eastAsia" w:ascii="仿宋" w:hAnsi="仿宋" w:eastAsia="仿宋" w:cs="仿宋"/>
          <w:color w:val="333333"/>
          <w:sz w:val="32"/>
          <w:szCs w:val="32"/>
          <w:highlight w:val="none"/>
          <w:shd w:val="clear" w:color="auto" w:fill="FFFFFF"/>
          <w:lang w:eastAsia="zh"/>
        </w:rPr>
        <w:t>发包人</w:t>
      </w:r>
      <w:r>
        <w:rPr>
          <w:rFonts w:hint="eastAsia" w:ascii="仿宋" w:hAnsi="仿宋" w:eastAsia="仿宋" w:cs="仿宋"/>
          <w:color w:val="333333"/>
          <w:sz w:val="32"/>
          <w:szCs w:val="32"/>
          <w:highlight w:val="none"/>
          <w:shd w:val="clear" w:color="auto" w:fill="FFFFFF"/>
        </w:rPr>
        <w:t>，组织承包人进行工程质量样板验收。</w:t>
      </w:r>
    </w:p>
    <w:p w14:paraId="415F6A1A">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2</w:t>
      </w: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施工样板的工序、部位可根据工程实际情况进行选择。施工样板应以实物形式展示样板采用的建筑材料、构配件，以展板形式展示样板的施工技术、工艺要求、验评标准，并辅以隐蔽工程照片、各工序解剖图、流程图、关键节点大样图，作为技术交底、过程控制和工序验收的实物参照标准。</w:t>
      </w:r>
    </w:p>
    <w:p w14:paraId="29A7AED7">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3</w:t>
      </w:r>
      <w:r>
        <w:rPr>
          <w:rFonts w:hint="eastAsia" w:ascii="仿宋" w:hAnsi="仿宋" w:eastAsia="仿宋" w:cs="仿宋"/>
          <w:color w:val="333333"/>
          <w:sz w:val="32"/>
          <w:szCs w:val="32"/>
          <w:highlight w:val="none"/>
          <w:shd w:val="clear" w:color="auto" w:fill="FFFFFF"/>
          <w:lang w:eastAsia="zh"/>
        </w:rPr>
        <w:t>）</w:t>
      </w:r>
      <w:r>
        <w:rPr>
          <w:rFonts w:hint="eastAsia" w:ascii="仿宋" w:hAnsi="仿宋" w:eastAsia="仿宋" w:cs="仿宋"/>
          <w:color w:val="333333"/>
          <w:sz w:val="32"/>
          <w:szCs w:val="32"/>
          <w:highlight w:val="none"/>
          <w:shd w:val="clear" w:color="auto" w:fill="FFFFFF"/>
        </w:rPr>
        <w:t>样板间验收合格后，应当由</w:t>
      </w:r>
      <w:r>
        <w:rPr>
          <w:rFonts w:hint="eastAsia" w:ascii="仿宋" w:hAnsi="仿宋" w:eastAsia="仿宋" w:cs="仿宋"/>
          <w:color w:val="333333"/>
          <w:sz w:val="32"/>
          <w:szCs w:val="32"/>
          <w:highlight w:val="none"/>
          <w:shd w:val="clear" w:color="auto" w:fill="FFFFFF"/>
          <w:lang w:eastAsia="zh"/>
        </w:rPr>
        <w:t>发包人</w:t>
      </w:r>
      <w:r>
        <w:rPr>
          <w:rFonts w:hint="eastAsia" w:ascii="仿宋" w:hAnsi="仿宋" w:eastAsia="仿宋" w:cs="仿宋"/>
          <w:color w:val="333333"/>
          <w:sz w:val="32"/>
          <w:szCs w:val="32"/>
          <w:highlight w:val="none"/>
          <w:shd w:val="clear" w:color="auto" w:fill="FFFFFF"/>
        </w:rPr>
        <w:t>、</w:t>
      </w:r>
      <w:r>
        <w:rPr>
          <w:rFonts w:hint="eastAsia" w:ascii="仿宋" w:hAnsi="仿宋" w:eastAsia="仿宋" w:cs="仿宋"/>
          <w:color w:val="333333"/>
          <w:sz w:val="32"/>
          <w:szCs w:val="32"/>
          <w:highlight w:val="none"/>
          <w:shd w:val="clear" w:color="auto" w:fill="FFFFFF"/>
          <w:lang w:eastAsia="zh"/>
        </w:rPr>
        <w:t>承包人</w:t>
      </w:r>
      <w:r>
        <w:rPr>
          <w:rFonts w:hint="eastAsia" w:ascii="仿宋" w:hAnsi="仿宋" w:eastAsia="仿宋" w:cs="仿宋"/>
          <w:color w:val="333333"/>
          <w:sz w:val="32"/>
          <w:szCs w:val="32"/>
          <w:highlight w:val="none"/>
          <w:shd w:val="clear" w:color="auto" w:fill="FFFFFF"/>
        </w:rPr>
        <w:t>、监理</w:t>
      </w:r>
      <w:r>
        <w:rPr>
          <w:rFonts w:hint="eastAsia" w:ascii="仿宋" w:hAnsi="仿宋" w:eastAsia="仿宋" w:cs="仿宋"/>
          <w:color w:val="333333"/>
          <w:sz w:val="32"/>
          <w:szCs w:val="32"/>
          <w:highlight w:val="none"/>
          <w:shd w:val="clear" w:color="auto" w:fill="FFFFFF"/>
          <w:lang w:eastAsia="zh"/>
        </w:rPr>
        <w:t>等单位</w:t>
      </w:r>
      <w:r>
        <w:rPr>
          <w:rFonts w:hint="eastAsia" w:ascii="仿宋" w:hAnsi="仿宋" w:eastAsia="仿宋" w:cs="仿宋"/>
          <w:color w:val="333333"/>
          <w:sz w:val="32"/>
          <w:szCs w:val="32"/>
          <w:highlight w:val="none"/>
          <w:shd w:val="clear" w:color="auto" w:fill="FFFFFF"/>
        </w:rPr>
        <w:t>负责人签字确认。</w:t>
      </w:r>
    </w:p>
    <w:p w14:paraId="03E0D96D">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rPr>
      </w:pPr>
      <w:r>
        <w:rPr>
          <w:rFonts w:hint="eastAsia" w:ascii="仿宋" w:hAnsi="仿宋" w:eastAsia="仿宋" w:cs="仿宋"/>
          <w:color w:val="333333"/>
          <w:sz w:val="32"/>
          <w:szCs w:val="32"/>
          <w:highlight w:val="none"/>
          <w:shd w:val="clear" w:color="auto" w:fill="FFFFFF"/>
          <w:lang w:eastAsia="zh"/>
        </w:rPr>
        <w:t>3</w:t>
      </w:r>
      <w:r>
        <w:rPr>
          <w:rFonts w:hint="eastAsia" w:ascii="仿宋" w:hAnsi="仿宋" w:eastAsia="仿宋" w:cs="仿宋"/>
          <w:color w:val="333333"/>
          <w:sz w:val="32"/>
          <w:szCs w:val="32"/>
          <w:highlight w:val="none"/>
          <w:shd w:val="clear" w:color="auto" w:fill="FFFFFF"/>
        </w:rPr>
        <w:t>.有关工作要求</w:t>
      </w:r>
    </w:p>
    <w:p w14:paraId="05441E12">
      <w:pPr>
        <w:pStyle w:val="20"/>
        <w:pageBreakBefore w:val="0"/>
        <w:widowControl w:val="0"/>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样板验收通过后，</w:t>
      </w:r>
      <w:r>
        <w:rPr>
          <w:rFonts w:hint="eastAsia" w:ascii="仿宋" w:hAnsi="仿宋" w:eastAsia="仿宋" w:cs="仿宋"/>
          <w:color w:val="333333"/>
          <w:sz w:val="32"/>
          <w:szCs w:val="32"/>
          <w:highlight w:val="none"/>
          <w:shd w:val="clear" w:color="auto" w:fill="FFFFFF"/>
          <w:lang w:eastAsia="zh"/>
        </w:rPr>
        <w:t>承包人</w:t>
      </w:r>
      <w:r>
        <w:rPr>
          <w:rFonts w:hint="eastAsia" w:ascii="仿宋" w:hAnsi="仿宋" w:eastAsia="仿宋" w:cs="仿宋"/>
          <w:color w:val="333333"/>
          <w:sz w:val="32"/>
          <w:szCs w:val="32"/>
          <w:highlight w:val="none"/>
          <w:shd w:val="clear" w:color="auto" w:fill="FFFFFF"/>
        </w:rPr>
        <w:t>应通过现场样板观摩、授课等方式对施工人员进行施工技术交底和岗前培训。</w:t>
      </w:r>
      <w:r>
        <w:rPr>
          <w:rFonts w:hint="eastAsia" w:ascii="仿宋" w:hAnsi="仿宋" w:eastAsia="仿宋" w:cs="仿宋"/>
          <w:color w:val="333333"/>
          <w:sz w:val="32"/>
          <w:szCs w:val="32"/>
          <w:highlight w:val="none"/>
          <w:shd w:val="clear" w:color="auto" w:fill="FFFFFF"/>
          <w:lang w:eastAsia="zh"/>
        </w:rPr>
        <w:t>承包人应</w:t>
      </w:r>
      <w:r>
        <w:rPr>
          <w:rFonts w:hint="eastAsia" w:ascii="仿宋" w:hAnsi="仿宋" w:eastAsia="仿宋" w:cs="仿宋"/>
          <w:color w:val="333333"/>
          <w:sz w:val="32"/>
          <w:szCs w:val="32"/>
          <w:highlight w:val="none"/>
          <w:shd w:val="clear" w:color="auto" w:fill="FFFFFF"/>
        </w:rPr>
        <w:t>严格按照样板工程的质量标准进行大规模施工。</w:t>
      </w:r>
    </w:p>
    <w:p w14:paraId="7990D729">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3" w:firstLineChars="200"/>
        <w:contextualSpacing/>
        <w:jc w:val="both"/>
        <w:rPr>
          <w:rFonts w:hint="eastAsia" w:ascii="楷体" w:hAnsi="楷体" w:eastAsia="楷体" w:cs="楷体"/>
          <w:b/>
          <w:bCs/>
          <w:color w:val="333333"/>
          <w:sz w:val="32"/>
          <w:szCs w:val="32"/>
          <w:highlight w:val="none"/>
          <w:shd w:val="clear" w:color="auto" w:fill="FFFFFF"/>
        </w:rPr>
      </w:pPr>
      <w:r>
        <w:rPr>
          <w:rFonts w:hint="eastAsia" w:ascii="楷体" w:hAnsi="楷体" w:eastAsia="楷体" w:cs="楷体"/>
          <w:b/>
          <w:bCs/>
          <w:color w:val="333333"/>
          <w:sz w:val="32"/>
          <w:szCs w:val="32"/>
          <w:highlight w:val="none"/>
          <w:shd w:val="clear" w:color="auto" w:fill="FFFFFF"/>
        </w:rPr>
        <w:t>（九）建筑垃圾管理</w:t>
      </w:r>
    </w:p>
    <w:p w14:paraId="08060004">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施工现场建筑垃圾源头减量的具体要求和建筑垃圾综合利用产品的使用要求。</w:t>
      </w:r>
    </w:p>
    <w:p w14:paraId="1A736C30">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1.承包人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承包人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B44B1F0">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2.建筑垃圾应当按照国家有关规定进行分类，实行分类收集、分类贮存、分类运输、分类处置。</w:t>
      </w:r>
    </w:p>
    <w:p w14:paraId="32E98A2F">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承包人应开展建筑垃圾分类和合法装载，并及时向工程所在地县级人民政府建筑垃圾主管部门报送建筑垃圾处理方案。承包人应当建立建筑垃圾管理台账，分类收集、贮存和及时清运施工过程中产生的建筑垃圾，采取有效措施防止混合已分类的建筑垃圾。承包人应当将建筑垃圾的产生量与种类、清运时间、最终去向等信息在施工现场公示，接受社会监督。</w:t>
      </w:r>
    </w:p>
    <w:p w14:paraId="7384E690">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3.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07A82BF">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4.工程泥浆应当在施工现场进行脱水固化处理。施工现场不具备条件的，应当采用罐装器具密闭运输至依法设置的建筑垃圾处置场所进行处置。水上工程中依法无需经脱水处理的除外。</w:t>
      </w:r>
    </w:p>
    <w:p w14:paraId="01E9D877">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rPr>
      </w:pPr>
      <w:r>
        <w:rPr>
          <w:rFonts w:hint="eastAsia" w:ascii="仿宋" w:hAnsi="仿宋" w:eastAsia="仿宋" w:cs="仿宋"/>
          <w:color w:val="333333"/>
          <w:sz w:val="32"/>
          <w:szCs w:val="32"/>
          <w:highlight w:val="none"/>
          <w:shd w:val="clear" w:color="auto" w:fill="FFFFFF"/>
        </w:rPr>
        <w:t>5.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3913D775">
      <w:pPr>
        <w:pStyle w:val="20"/>
        <w:pageBreakBefore w:val="0"/>
        <w:widowControl w:val="0"/>
        <w:numPr>
          <w:ilvl w:val="255"/>
          <w:numId w:val="0"/>
        </w:numPr>
        <w:shd w:val="clear" w:color="auto" w:fill="FFFFFF"/>
        <w:wordWrap/>
        <w:overflowPunct/>
        <w:autoSpaceDE/>
        <w:autoSpaceDN/>
        <w:bidi w:val="0"/>
        <w:spacing w:before="0" w:beforeAutospacing="0" w:after="0" w:afterAutospacing="0" w:line="360" w:lineRule="auto"/>
        <w:ind w:firstLine="640" w:firstLineChars="200"/>
        <w:contextualSpacing/>
        <w:jc w:val="both"/>
        <w:rPr>
          <w:rFonts w:hint="eastAsia" w:ascii="仿宋" w:hAnsi="仿宋" w:eastAsia="仿宋" w:cs="仿宋"/>
          <w:color w:val="333333"/>
          <w:sz w:val="32"/>
          <w:szCs w:val="32"/>
          <w:highlight w:val="none"/>
          <w:shd w:val="clear" w:color="auto" w:fill="FFFFFF"/>
          <w:lang w:val="en-US" w:eastAsia="zh-CN"/>
        </w:rPr>
      </w:pPr>
      <w:r>
        <w:rPr>
          <w:rFonts w:hint="eastAsia" w:ascii="仿宋" w:hAnsi="仿宋" w:eastAsia="仿宋" w:cs="仿宋"/>
          <w:color w:val="333333"/>
          <w:sz w:val="32"/>
          <w:szCs w:val="32"/>
          <w:highlight w:val="none"/>
          <w:shd w:val="clear" w:color="auto" w:fill="FFFFFF"/>
          <w:lang w:val="en-US" w:eastAsia="zh-CN"/>
        </w:rPr>
        <w:t>6.根据《广州市城中村改造项目改造主体工作评估实施细则（试行）》的相关要求实施建筑废弃物再利用，达到“良好”或以上档次。</w:t>
      </w:r>
    </w:p>
    <w:p w14:paraId="37C03A5F">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75" w:name="_Toc179898827"/>
      <w:bookmarkStart w:id="76" w:name="_Toc24825"/>
      <w:r>
        <w:rPr>
          <w:rFonts w:hint="eastAsia" w:ascii="楷体" w:hAnsi="楷体" w:eastAsia="楷体" w:cs="楷体"/>
          <w:color w:val="auto"/>
          <w:sz w:val="32"/>
          <w:szCs w:val="32"/>
          <w:highlight w:val="none"/>
        </w:rPr>
        <w:t>（十）验收、移交管理要求</w:t>
      </w:r>
      <w:bookmarkEnd w:id="75"/>
      <w:bookmarkEnd w:id="76"/>
    </w:p>
    <w:p w14:paraId="066CAA57">
      <w:pPr>
        <w:pageBreakBefore w:val="0"/>
        <w:numPr>
          <w:ilvl w:val="1"/>
          <w:numId w:val="0"/>
        </w:numPr>
        <w:tabs>
          <w:tab w:val="left" w:pos="900"/>
        </w:tabs>
        <w:wordWrap/>
        <w:overflowPunct/>
        <w:autoSpaceDE/>
        <w:autoSpaceDN/>
        <w:bidi w:val="0"/>
        <w:adjustRightInd w:val="0"/>
        <w:snapToGrid w:val="0"/>
        <w:spacing w:line="360" w:lineRule="auto"/>
        <w:ind w:firstLine="640" w:firstLineChars="200"/>
        <w:contextualSpacing/>
        <w:outlineLvl w:val="2"/>
        <w:rPr>
          <w:rFonts w:hint="eastAsia" w:ascii="仿宋" w:hAnsi="仿宋" w:eastAsia="仿宋" w:cs="仿宋"/>
          <w:bCs/>
          <w:sz w:val="32"/>
          <w:szCs w:val="32"/>
          <w:highlight w:val="none"/>
        </w:rPr>
      </w:pPr>
      <w:r>
        <w:rPr>
          <w:rFonts w:hint="eastAsia" w:ascii="仿宋" w:hAnsi="仿宋" w:eastAsia="仿宋" w:cs="仿宋"/>
          <w:bCs/>
          <w:sz w:val="32"/>
          <w:szCs w:val="32"/>
          <w:highlight w:val="none"/>
        </w:rPr>
        <w:t>1.工程验收管理要求</w:t>
      </w:r>
    </w:p>
    <w:p w14:paraId="0C3EFCCB">
      <w:pPr>
        <w:pageBreakBefore w:val="0"/>
        <w:numPr>
          <w:ilvl w:val="1"/>
          <w:numId w:val="0"/>
        </w:numPr>
        <w:tabs>
          <w:tab w:val="left" w:pos="900"/>
        </w:tabs>
        <w:wordWrap/>
        <w:overflowPunct/>
        <w:autoSpaceDE/>
        <w:autoSpaceDN/>
        <w:bidi w:val="0"/>
        <w:adjustRightInd w:val="0"/>
        <w:snapToGrid w:val="0"/>
        <w:spacing w:line="360" w:lineRule="auto"/>
        <w:ind w:firstLine="656" w:firstLineChars="200"/>
        <w:contextualSpacing/>
        <w:rPr>
          <w:rFonts w:hint="eastAsia" w:ascii="仿宋" w:hAnsi="仿宋" w:eastAsia="仿宋" w:cs="仿宋"/>
          <w:b/>
          <w:sz w:val="32"/>
          <w:szCs w:val="32"/>
          <w:highlight w:val="none"/>
        </w:rPr>
      </w:pPr>
      <w:r>
        <w:rPr>
          <w:rFonts w:hint="eastAsia" w:ascii="仿宋" w:hAnsi="仿宋" w:eastAsia="仿宋" w:cs="仿宋"/>
          <w:snapToGrid w:val="0"/>
          <w:spacing w:val="4"/>
          <w:kern w:val="0"/>
          <w:sz w:val="32"/>
          <w:szCs w:val="32"/>
          <w:highlight w:val="none"/>
        </w:rPr>
        <w:t>①承包人必须在实体工程完工之日起14天内完成竣工资料的整理工作、完成所有有关竣工验收的工作，包括联合验收、专项验收并承担所有相关费用。</w:t>
      </w:r>
    </w:p>
    <w:p w14:paraId="70EC15C3">
      <w:pPr>
        <w:pageBreakBefore w:val="0"/>
        <w:numPr>
          <w:ilvl w:val="1"/>
          <w:numId w:val="0"/>
        </w:numPr>
        <w:tabs>
          <w:tab w:val="left" w:pos="900"/>
        </w:tabs>
        <w:wordWrap/>
        <w:overflowPunct/>
        <w:autoSpaceDE/>
        <w:autoSpaceDN/>
        <w:bidi w:val="0"/>
        <w:adjustRightInd w:val="0"/>
        <w:snapToGrid w:val="0"/>
        <w:spacing w:line="360" w:lineRule="auto"/>
        <w:ind w:firstLine="640" w:firstLineChars="200"/>
        <w:contextualSpacing/>
        <w:outlineLvl w:val="2"/>
        <w:rPr>
          <w:rFonts w:hint="eastAsia" w:ascii="仿宋" w:hAnsi="仿宋" w:eastAsia="仿宋" w:cs="仿宋"/>
          <w:bCs/>
          <w:sz w:val="32"/>
          <w:szCs w:val="32"/>
          <w:highlight w:val="none"/>
        </w:rPr>
      </w:pPr>
      <w:r>
        <w:rPr>
          <w:rFonts w:hint="eastAsia" w:ascii="仿宋" w:hAnsi="仿宋" w:eastAsia="仿宋" w:cs="仿宋"/>
          <w:bCs/>
          <w:sz w:val="32"/>
          <w:szCs w:val="32"/>
          <w:highlight w:val="none"/>
        </w:rPr>
        <w:t>②本项目住宅分户验收按省市有关规定执行，包括但不限于《广州市住房和城乡建设局关于印发广州市住宅工程质量业主查验试行工作方案的通知》（穗建质[2024]704号），如有最新规定则按最新规定执行，相关费用不再另行支付。</w:t>
      </w:r>
    </w:p>
    <w:p w14:paraId="070BAD83">
      <w:pPr>
        <w:pageBreakBefore w:val="0"/>
        <w:numPr>
          <w:ilvl w:val="1"/>
          <w:numId w:val="0"/>
        </w:numPr>
        <w:tabs>
          <w:tab w:val="left" w:pos="900"/>
        </w:tabs>
        <w:wordWrap/>
        <w:overflowPunct/>
        <w:autoSpaceDE/>
        <w:autoSpaceDN/>
        <w:bidi w:val="0"/>
        <w:adjustRightInd w:val="0"/>
        <w:snapToGrid w:val="0"/>
        <w:spacing w:line="360" w:lineRule="auto"/>
        <w:ind w:firstLine="640" w:firstLineChars="200"/>
        <w:contextualSpacing/>
        <w:outlineLvl w:val="2"/>
        <w:rPr>
          <w:rFonts w:hint="eastAsia" w:ascii="仿宋" w:hAnsi="仿宋" w:eastAsia="仿宋" w:cs="仿宋"/>
          <w:bCs/>
          <w:sz w:val="32"/>
          <w:szCs w:val="32"/>
          <w:highlight w:val="none"/>
        </w:rPr>
      </w:pPr>
      <w:r>
        <w:rPr>
          <w:rFonts w:hint="eastAsia" w:ascii="仿宋" w:hAnsi="仿宋" w:eastAsia="仿宋" w:cs="仿宋"/>
          <w:bCs/>
          <w:sz w:val="32"/>
          <w:szCs w:val="32"/>
          <w:highlight w:val="none"/>
        </w:rPr>
        <w:t>③</w:t>
      </w:r>
      <w:r>
        <w:rPr>
          <w:rFonts w:hint="eastAsia" w:ascii="仿宋" w:hAnsi="仿宋" w:eastAsia="仿宋" w:cs="仿宋"/>
          <w:snapToGrid w:val="0"/>
          <w:spacing w:val="4"/>
          <w:kern w:val="0"/>
          <w:sz w:val="32"/>
          <w:szCs w:val="32"/>
          <w:highlight w:val="none"/>
        </w:rPr>
        <w:t>承</w:t>
      </w:r>
      <w:r>
        <w:rPr>
          <w:rFonts w:hint="eastAsia" w:ascii="仿宋" w:hAnsi="仿宋" w:eastAsia="仿宋" w:cs="仿宋"/>
          <w:bCs/>
          <w:sz w:val="32"/>
          <w:szCs w:val="32"/>
          <w:highlight w:val="none"/>
        </w:rPr>
        <w:t>包人须组织有验收经验的人员组建验收小组，全力配合发包人开展各专项验收及联合验收工作。</w:t>
      </w:r>
    </w:p>
    <w:p w14:paraId="201621A8">
      <w:pPr>
        <w:pageBreakBefore w:val="0"/>
        <w:numPr>
          <w:ilvl w:val="1"/>
          <w:numId w:val="0"/>
        </w:numPr>
        <w:tabs>
          <w:tab w:val="left" w:pos="900"/>
        </w:tabs>
        <w:wordWrap/>
        <w:overflowPunct/>
        <w:autoSpaceDE/>
        <w:autoSpaceDN/>
        <w:bidi w:val="0"/>
        <w:adjustRightInd w:val="0"/>
        <w:snapToGrid w:val="0"/>
        <w:spacing w:line="360" w:lineRule="auto"/>
        <w:ind w:firstLine="640" w:firstLineChars="200"/>
        <w:contextualSpacing/>
        <w:outlineLvl w:val="2"/>
        <w:rPr>
          <w:rFonts w:hint="eastAsia" w:ascii="仿宋" w:hAnsi="仿宋" w:eastAsia="仿宋" w:cs="仿宋"/>
          <w:bCs/>
          <w:sz w:val="32"/>
          <w:szCs w:val="32"/>
          <w:highlight w:val="none"/>
        </w:rPr>
      </w:pPr>
      <w:r>
        <w:rPr>
          <w:rFonts w:hint="eastAsia" w:ascii="仿宋" w:hAnsi="仿宋" w:eastAsia="仿宋" w:cs="仿宋"/>
          <w:bCs/>
          <w:sz w:val="32"/>
          <w:szCs w:val="32"/>
          <w:highlight w:val="none"/>
        </w:rPr>
        <w:t>2.工程移交管理要求</w:t>
      </w:r>
    </w:p>
    <w:p w14:paraId="15CCA3D5">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①本项目的移交内容包括工程资料移交、工程实体移交、使用培训及维护管理移交。其中公建配套工程需按规定移交使用单位，住宅工程按发包人要求移交权属单位，具体移交工作的分工按发包人要求执行。</w:t>
      </w:r>
    </w:p>
    <w:p w14:paraId="356332FD">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②要求承包人在工程竣前检查（初验）通过后10天内，承包人须针对各系统特点及项目实际情况编制使用手册、培训手册以及培训计划，并组织专人（包括主要设备供货商）对接收单位管理人员的进行交底、培训等工作。</w:t>
      </w:r>
    </w:p>
    <w:p w14:paraId="4EB692E5">
      <w:pPr>
        <w:pStyle w:val="6"/>
        <w:pageBreakBefore w:val="0"/>
        <w:wordWrap/>
        <w:overflowPunct/>
        <w:autoSpaceDE/>
        <w:autoSpaceDN/>
        <w:bidi w:val="0"/>
        <w:spacing w:before="0" w:after="0" w:line="360" w:lineRule="auto"/>
        <w:ind w:firstLine="643" w:firstLineChars="200"/>
        <w:contextualSpacing/>
        <w:jc w:val="left"/>
        <w:rPr>
          <w:rFonts w:hint="eastAsia" w:ascii="楷体" w:hAnsi="楷体" w:eastAsia="楷体" w:cs="楷体"/>
          <w:color w:val="auto"/>
          <w:sz w:val="32"/>
          <w:szCs w:val="32"/>
          <w:highlight w:val="none"/>
        </w:rPr>
      </w:pPr>
      <w:bookmarkStart w:id="77" w:name="_Toc18827"/>
      <w:bookmarkStart w:id="78" w:name="_Toc179898828"/>
      <w:r>
        <w:rPr>
          <w:rFonts w:hint="eastAsia" w:ascii="楷体" w:hAnsi="楷体" w:eastAsia="楷体" w:cs="楷体"/>
          <w:color w:val="auto"/>
          <w:sz w:val="32"/>
          <w:szCs w:val="32"/>
          <w:highlight w:val="none"/>
        </w:rPr>
        <w:t>（十一）质保期服务管理要求</w:t>
      </w:r>
      <w:bookmarkEnd w:id="77"/>
      <w:bookmarkEnd w:id="78"/>
    </w:p>
    <w:p w14:paraId="17CD3034">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1.在质量保证期内，承包人按保修协议约定免费提供设备的维修及保养服务。</w:t>
      </w:r>
    </w:p>
    <w:p w14:paraId="50F4C76C">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2.承包人在故障保修响应方面应做到：承包人须在接到业主通知的1小时内予以答复；在业主要求时，承包人的技术人员须在收到业主通知后12小时之内到现场进行修理，相关的维修必须连续进行，直至故障完全修复为止。若在24小时内不能排除故障，承包人应立即采取切实有效的补救措施（包括免费提供应急设备），全力防止损失的扩大。</w:t>
      </w:r>
    </w:p>
    <w:p w14:paraId="22B46336">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3.承包人必提供满足质量保证期内正常运行的备品备件和易损、易耗件，且在广州有足够的备品备件和易损、易耗件供应。</w:t>
      </w:r>
    </w:p>
    <w:p w14:paraId="3FBCCC45">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rPr>
      </w:pPr>
      <w:r>
        <w:rPr>
          <w:rFonts w:hint="eastAsia" w:ascii="仿宋" w:hAnsi="仿宋" w:eastAsia="仿宋" w:cs="仿宋"/>
          <w:snapToGrid w:val="0"/>
          <w:spacing w:val="4"/>
          <w:kern w:val="0"/>
          <w:sz w:val="32"/>
          <w:szCs w:val="32"/>
          <w:highlight w:val="none"/>
        </w:rPr>
        <w:t>4.在质量保证期内，电梯设备必须提供原厂售后保修服务，若本项目的质量保证期比主要设备供应商规定的售后保修服务期长的，须相应延长主要设备的原厂售后保修服务期，所发生的相关费用由承包人承担，发包人不另行增加费用。</w:t>
      </w:r>
    </w:p>
    <w:p w14:paraId="340B857C">
      <w:pPr>
        <w:pageBreakBefore w:val="0"/>
        <w:wordWrap/>
        <w:overflowPunct/>
        <w:autoSpaceDE/>
        <w:autoSpaceDN/>
        <w:bidi w:val="0"/>
        <w:spacing w:line="360" w:lineRule="auto"/>
        <w:ind w:firstLine="656" w:firstLineChars="200"/>
        <w:contextualSpacing/>
        <w:jc w:val="left"/>
        <w:rPr>
          <w:rFonts w:hint="eastAsia" w:ascii="仿宋" w:hAnsi="仿宋" w:eastAsia="仿宋" w:cs="仿宋"/>
          <w:snapToGrid w:val="0"/>
          <w:spacing w:val="4"/>
          <w:kern w:val="0"/>
          <w:sz w:val="32"/>
          <w:szCs w:val="32"/>
          <w:highlight w:val="none"/>
          <w:lang w:eastAsia="zh"/>
        </w:rPr>
      </w:pPr>
      <w:r>
        <w:rPr>
          <w:rFonts w:hint="eastAsia" w:ascii="仿宋" w:hAnsi="仿宋" w:eastAsia="仿宋" w:cs="仿宋"/>
          <w:snapToGrid w:val="0"/>
          <w:spacing w:val="4"/>
          <w:kern w:val="0"/>
          <w:sz w:val="32"/>
          <w:szCs w:val="32"/>
          <w:highlight w:val="none"/>
        </w:rPr>
        <w:t>5.质保期满，由承包人提出退还质量保证金申请，经确认后按要求提交《工程质量保修责任期终止证书》后，按合同约定退还。</w:t>
      </w:r>
      <w:bookmarkEnd w:id="1"/>
      <w:bookmarkEnd w:id="2"/>
      <w:bookmarkStart w:id="79" w:name="_Toc497745205"/>
      <w:bookmarkEnd w:id="79"/>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 Light">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roman"/>
    <w:pitch w:val="default"/>
    <w:sig w:usb0="00000000" w:usb1="00000000" w:usb2="00000000"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E373">
    <w:pPr>
      <w:pStyle w:val="16"/>
      <w:framePr w:wrap="around" w:vAnchor="text" w:hAnchor="margin" w:xAlign="center" w:y="1"/>
      <w:rPr>
        <w:rStyle w:val="23"/>
      </w:rPr>
    </w:pPr>
    <w:r>
      <w:fldChar w:fldCharType="begin"/>
    </w:r>
    <w:r>
      <w:rPr>
        <w:rStyle w:val="23"/>
      </w:rPr>
      <w:instrText xml:space="preserve">PAGE  </w:instrText>
    </w:r>
    <w:r>
      <w:fldChar w:fldCharType="separate"/>
    </w:r>
    <w:r>
      <w:rPr>
        <w:rStyle w:val="23"/>
      </w:rPr>
      <w:t>2</w:t>
    </w:r>
    <w:r>
      <w:fldChar w:fldCharType="end"/>
    </w:r>
  </w:p>
  <w:p w14:paraId="1C19129C">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6220E0"/>
    <w:rsid w:val="00006B25"/>
    <w:rsid w:val="000273CC"/>
    <w:rsid w:val="000516C8"/>
    <w:rsid w:val="00091152"/>
    <w:rsid w:val="000B052D"/>
    <w:rsid w:val="000B2816"/>
    <w:rsid w:val="000C4219"/>
    <w:rsid w:val="000C53BD"/>
    <w:rsid w:val="001475F8"/>
    <w:rsid w:val="00161C81"/>
    <w:rsid w:val="001C35FD"/>
    <w:rsid w:val="001F14ED"/>
    <w:rsid w:val="00204C7C"/>
    <w:rsid w:val="002153F6"/>
    <w:rsid w:val="00221192"/>
    <w:rsid w:val="002556F2"/>
    <w:rsid w:val="002977B4"/>
    <w:rsid w:val="003054D7"/>
    <w:rsid w:val="0031263D"/>
    <w:rsid w:val="003974A4"/>
    <w:rsid w:val="003C3DCE"/>
    <w:rsid w:val="003F6D62"/>
    <w:rsid w:val="00460A1E"/>
    <w:rsid w:val="00472FE4"/>
    <w:rsid w:val="0049394F"/>
    <w:rsid w:val="004D23A1"/>
    <w:rsid w:val="005251ED"/>
    <w:rsid w:val="00525272"/>
    <w:rsid w:val="00537578"/>
    <w:rsid w:val="00542C88"/>
    <w:rsid w:val="00597611"/>
    <w:rsid w:val="005A4DB5"/>
    <w:rsid w:val="005A7A76"/>
    <w:rsid w:val="005B3B21"/>
    <w:rsid w:val="005C7710"/>
    <w:rsid w:val="0060029C"/>
    <w:rsid w:val="00603F64"/>
    <w:rsid w:val="00616ECB"/>
    <w:rsid w:val="006220E0"/>
    <w:rsid w:val="00637C6B"/>
    <w:rsid w:val="006C799C"/>
    <w:rsid w:val="006C7E7A"/>
    <w:rsid w:val="00722512"/>
    <w:rsid w:val="00790036"/>
    <w:rsid w:val="00791BAB"/>
    <w:rsid w:val="007C3348"/>
    <w:rsid w:val="007C379A"/>
    <w:rsid w:val="007F5408"/>
    <w:rsid w:val="008414E3"/>
    <w:rsid w:val="00866FB3"/>
    <w:rsid w:val="00880CD8"/>
    <w:rsid w:val="008D30EC"/>
    <w:rsid w:val="008E23F3"/>
    <w:rsid w:val="00906EA2"/>
    <w:rsid w:val="00934B86"/>
    <w:rsid w:val="009365FF"/>
    <w:rsid w:val="0097049A"/>
    <w:rsid w:val="009C51AD"/>
    <w:rsid w:val="00A15BA6"/>
    <w:rsid w:val="00A21FAA"/>
    <w:rsid w:val="00AB5111"/>
    <w:rsid w:val="00AE24CA"/>
    <w:rsid w:val="00B247A5"/>
    <w:rsid w:val="00B27B4B"/>
    <w:rsid w:val="00B30E7A"/>
    <w:rsid w:val="00BB088C"/>
    <w:rsid w:val="00BE17C4"/>
    <w:rsid w:val="00C14476"/>
    <w:rsid w:val="00C20571"/>
    <w:rsid w:val="00C42C07"/>
    <w:rsid w:val="00CB56C3"/>
    <w:rsid w:val="00CE5989"/>
    <w:rsid w:val="00D36903"/>
    <w:rsid w:val="00D46C69"/>
    <w:rsid w:val="00D83A67"/>
    <w:rsid w:val="00E178BF"/>
    <w:rsid w:val="00E90ED6"/>
    <w:rsid w:val="00E965A6"/>
    <w:rsid w:val="00EA647D"/>
    <w:rsid w:val="00F6215E"/>
    <w:rsid w:val="00F649A9"/>
    <w:rsid w:val="00FA1EF2"/>
    <w:rsid w:val="00FC17D5"/>
    <w:rsid w:val="00FD6006"/>
    <w:rsid w:val="013712F7"/>
    <w:rsid w:val="015314B1"/>
    <w:rsid w:val="01610122"/>
    <w:rsid w:val="01BC06D6"/>
    <w:rsid w:val="01DF5C17"/>
    <w:rsid w:val="029D3AA4"/>
    <w:rsid w:val="03050886"/>
    <w:rsid w:val="031D260B"/>
    <w:rsid w:val="03440058"/>
    <w:rsid w:val="03685AC2"/>
    <w:rsid w:val="03AA7B5F"/>
    <w:rsid w:val="04025252"/>
    <w:rsid w:val="046F0AC8"/>
    <w:rsid w:val="049B5758"/>
    <w:rsid w:val="04A430EC"/>
    <w:rsid w:val="04B455DF"/>
    <w:rsid w:val="0567259F"/>
    <w:rsid w:val="069973D6"/>
    <w:rsid w:val="06D25D4A"/>
    <w:rsid w:val="06DC7585"/>
    <w:rsid w:val="07596623"/>
    <w:rsid w:val="076A4E14"/>
    <w:rsid w:val="080D1D69"/>
    <w:rsid w:val="08291E14"/>
    <w:rsid w:val="088301FF"/>
    <w:rsid w:val="08971DC4"/>
    <w:rsid w:val="09000221"/>
    <w:rsid w:val="092C2431"/>
    <w:rsid w:val="092E0EA3"/>
    <w:rsid w:val="093177D8"/>
    <w:rsid w:val="098C3B10"/>
    <w:rsid w:val="0A3B35A9"/>
    <w:rsid w:val="0A411EAA"/>
    <w:rsid w:val="0A880DA1"/>
    <w:rsid w:val="0AC50E6D"/>
    <w:rsid w:val="0B575C68"/>
    <w:rsid w:val="0BDD0DC2"/>
    <w:rsid w:val="0C2F0521"/>
    <w:rsid w:val="0CE01D77"/>
    <w:rsid w:val="0D365A86"/>
    <w:rsid w:val="0D5B7B00"/>
    <w:rsid w:val="0D5E38BE"/>
    <w:rsid w:val="0E5380CC"/>
    <w:rsid w:val="0E662B20"/>
    <w:rsid w:val="0E796AAB"/>
    <w:rsid w:val="0EAB67D6"/>
    <w:rsid w:val="0F595EB1"/>
    <w:rsid w:val="0FE961FE"/>
    <w:rsid w:val="0FF7583E"/>
    <w:rsid w:val="0FFF4DB7"/>
    <w:rsid w:val="10275F84"/>
    <w:rsid w:val="10CA7BE3"/>
    <w:rsid w:val="10CC2D60"/>
    <w:rsid w:val="117BBA28"/>
    <w:rsid w:val="119D0D03"/>
    <w:rsid w:val="11F33019"/>
    <w:rsid w:val="121107E6"/>
    <w:rsid w:val="1274382A"/>
    <w:rsid w:val="12AF3E20"/>
    <w:rsid w:val="12E16DB9"/>
    <w:rsid w:val="134F2A0F"/>
    <w:rsid w:val="13511DA5"/>
    <w:rsid w:val="137058FB"/>
    <w:rsid w:val="13EFC7A5"/>
    <w:rsid w:val="140B61C0"/>
    <w:rsid w:val="14B149F8"/>
    <w:rsid w:val="14DE5DCC"/>
    <w:rsid w:val="14F93F4D"/>
    <w:rsid w:val="15924341"/>
    <w:rsid w:val="15CA0BEE"/>
    <w:rsid w:val="1666025D"/>
    <w:rsid w:val="16790DCD"/>
    <w:rsid w:val="168849ED"/>
    <w:rsid w:val="16970C97"/>
    <w:rsid w:val="16985F3D"/>
    <w:rsid w:val="16BD51A7"/>
    <w:rsid w:val="16CB00C0"/>
    <w:rsid w:val="175B4481"/>
    <w:rsid w:val="17A846F3"/>
    <w:rsid w:val="18187335"/>
    <w:rsid w:val="18910409"/>
    <w:rsid w:val="189C4CBE"/>
    <w:rsid w:val="18B61BE2"/>
    <w:rsid w:val="18C45FB9"/>
    <w:rsid w:val="18CC437C"/>
    <w:rsid w:val="19DA5884"/>
    <w:rsid w:val="19EC6601"/>
    <w:rsid w:val="1A1D2E59"/>
    <w:rsid w:val="1A1D77F4"/>
    <w:rsid w:val="1A5F2C9B"/>
    <w:rsid w:val="1AA90FC8"/>
    <w:rsid w:val="1AFF3E46"/>
    <w:rsid w:val="1B1F09DB"/>
    <w:rsid w:val="1B4E0E2A"/>
    <w:rsid w:val="1B5D7254"/>
    <w:rsid w:val="1BA55384"/>
    <w:rsid w:val="1BF511F6"/>
    <w:rsid w:val="1BF66C11"/>
    <w:rsid w:val="1C6B4A9B"/>
    <w:rsid w:val="1D361739"/>
    <w:rsid w:val="1D5D44ED"/>
    <w:rsid w:val="1D5F77B4"/>
    <w:rsid w:val="1DBFDD06"/>
    <w:rsid w:val="1DD43A78"/>
    <w:rsid w:val="1DD77B5F"/>
    <w:rsid w:val="1E703BA3"/>
    <w:rsid w:val="1E766B63"/>
    <w:rsid w:val="1E8BF8BB"/>
    <w:rsid w:val="1F42713A"/>
    <w:rsid w:val="1F8240E9"/>
    <w:rsid w:val="1F992CBE"/>
    <w:rsid w:val="1FED8162"/>
    <w:rsid w:val="1FF051EF"/>
    <w:rsid w:val="202C5EA4"/>
    <w:rsid w:val="20AB5C30"/>
    <w:rsid w:val="20D6677B"/>
    <w:rsid w:val="20ED0394"/>
    <w:rsid w:val="20F2163C"/>
    <w:rsid w:val="212C0365"/>
    <w:rsid w:val="2187573D"/>
    <w:rsid w:val="219D2C92"/>
    <w:rsid w:val="22AC263C"/>
    <w:rsid w:val="22D9040C"/>
    <w:rsid w:val="22F16E5E"/>
    <w:rsid w:val="22FF35CB"/>
    <w:rsid w:val="23BA1BE8"/>
    <w:rsid w:val="23CE221A"/>
    <w:rsid w:val="23D708FC"/>
    <w:rsid w:val="24170F98"/>
    <w:rsid w:val="24397BE8"/>
    <w:rsid w:val="243C084F"/>
    <w:rsid w:val="245636BF"/>
    <w:rsid w:val="24F9597C"/>
    <w:rsid w:val="251A0B90"/>
    <w:rsid w:val="2535052F"/>
    <w:rsid w:val="25A01A0F"/>
    <w:rsid w:val="25AC52DE"/>
    <w:rsid w:val="25DA06B7"/>
    <w:rsid w:val="25E82A3D"/>
    <w:rsid w:val="264E4304"/>
    <w:rsid w:val="26A45D1C"/>
    <w:rsid w:val="26DF395B"/>
    <w:rsid w:val="27A24E6D"/>
    <w:rsid w:val="27B84691"/>
    <w:rsid w:val="27C82116"/>
    <w:rsid w:val="27FA3219"/>
    <w:rsid w:val="282C626C"/>
    <w:rsid w:val="28445F24"/>
    <w:rsid w:val="29413F1F"/>
    <w:rsid w:val="29883BEF"/>
    <w:rsid w:val="29DD03DE"/>
    <w:rsid w:val="2A7E1E12"/>
    <w:rsid w:val="2A96213B"/>
    <w:rsid w:val="2AA20E9E"/>
    <w:rsid w:val="2B3840D8"/>
    <w:rsid w:val="2B874ACA"/>
    <w:rsid w:val="2BA94992"/>
    <w:rsid w:val="2C7768C8"/>
    <w:rsid w:val="2CD71115"/>
    <w:rsid w:val="2CF717B7"/>
    <w:rsid w:val="2DB54765"/>
    <w:rsid w:val="2DE43714"/>
    <w:rsid w:val="2DF7B922"/>
    <w:rsid w:val="2E25000C"/>
    <w:rsid w:val="2E580034"/>
    <w:rsid w:val="2E641725"/>
    <w:rsid w:val="2E661243"/>
    <w:rsid w:val="2EAE17D9"/>
    <w:rsid w:val="2EAE2349"/>
    <w:rsid w:val="2EF3328F"/>
    <w:rsid w:val="2EFAC3A4"/>
    <w:rsid w:val="2F4D4D59"/>
    <w:rsid w:val="2FD61B58"/>
    <w:rsid w:val="2FF7AFB9"/>
    <w:rsid w:val="3054563D"/>
    <w:rsid w:val="30CA142C"/>
    <w:rsid w:val="312A24A4"/>
    <w:rsid w:val="31374C29"/>
    <w:rsid w:val="316B1118"/>
    <w:rsid w:val="31C63F4B"/>
    <w:rsid w:val="31FA476F"/>
    <w:rsid w:val="32485AA4"/>
    <w:rsid w:val="325B6344"/>
    <w:rsid w:val="32847649"/>
    <w:rsid w:val="32C00175"/>
    <w:rsid w:val="32DE0970"/>
    <w:rsid w:val="33016EEC"/>
    <w:rsid w:val="33301E03"/>
    <w:rsid w:val="338027AA"/>
    <w:rsid w:val="33F22040"/>
    <w:rsid w:val="33F31C9A"/>
    <w:rsid w:val="33F33FEC"/>
    <w:rsid w:val="34342418"/>
    <w:rsid w:val="34A672F2"/>
    <w:rsid w:val="34C04B85"/>
    <w:rsid w:val="34F638F6"/>
    <w:rsid w:val="359270D8"/>
    <w:rsid w:val="35C76760"/>
    <w:rsid w:val="36160F00"/>
    <w:rsid w:val="363427B1"/>
    <w:rsid w:val="3636323E"/>
    <w:rsid w:val="370323A9"/>
    <w:rsid w:val="37042ABB"/>
    <w:rsid w:val="37294D9E"/>
    <w:rsid w:val="373C4996"/>
    <w:rsid w:val="376BBAA4"/>
    <w:rsid w:val="379D88C4"/>
    <w:rsid w:val="37F76F76"/>
    <w:rsid w:val="37FA49D8"/>
    <w:rsid w:val="387E702E"/>
    <w:rsid w:val="38A10829"/>
    <w:rsid w:val="38AB4F04"/>
    <w:rsid w:val="38D91FC2"/>
    <w:rsid w:val="39FC80E4"/>
    <w:rsid w:val="3A2C2DEC"/>
    <w:rsid w:val="3A6A35C8"/>
    <w:rsid w:val="3A7A7E6E"/>
    <w:rsid w:val="3AA86B23"/>
    <w:rsid w:val="3AC21656"/>
    <w:rsid w:val="3AF47336"/>
    <w:rsid w:val="3BB32D4D"/>
    <w:rsid w:val="3BEECF52"/>
    <w:rsid w:val="3BEF54D3"/>
    <w:rsid w:val="3BEFFF8A"/>
    <w:rsid w:val="3BF79FB3"/>
    <w:rsid w:val="3BFDB56C"/>
    <w:rsid w:val="3DB931EF"/>
    <w:rsid w:val="3DEB413A"/>
    <w:rsid w:val="3E06083F"/>
    <w:rsid w:val="3E1C1B1E"/>
    <w:rsid w:val="3E25CD7A"/>
    <w:rsid w:val="3E30208F"/>
    <w:rsid w:val="3E35E510"/>
    <w:rsid w:val="3E36F768"/>
    <w:rsid w:val="3E73A18E"/>
    <w:rsid w:val="3E834E61"/>
    <w:rsid w:val="3E9F562B"/>
    <w:rsid w:val="3EDDBA26"/>
    <w:rsid w:val="3EDE6C83"/>
    <w:rsid w:val="3F082DE7"/>
    <w:rsid w:val="3F1AB7E1"/>
    <w:rsid w:val="3F312907"/>
    <w:rsid w:val="3F6F9A58"/>
    <w:rsid w:val="3F98330E"/>
    <w:rsid w:val="3F990117"/>
    <w:rsid w:val="3FB74FDF"/>
    <w:rsid w:val="3FBB27D8"/>
    <w:rsid w:val="3FCC2D34"/>
    <w:rsid w:val="3FEF14D6"/>
    <w:rsid w:val="3FF57DD8"/>
    <w:rsid w:val="3FF67EA7"/>
    <w:rsid w:val="40530120"/>
    <w:rsid w:val="40E564FA"/>
    <w:rsid w:val="412E011C"/>
    <w:rsid w:val="415B471E"/>
    <w:rsid w:val="424426D1"/>
    <w:rsid w:val="426D634C"/>
    <w:rsid w:val="429F3D9D"/>
    <w:rsid w:val="42B27FAF"/>
    <w:rsid w:val="42EE0B0F"/>
    <w:rsid w:val="432260F6"/>
    <w:rsid w:val="43FF775F"/>
    <w:rsid w:val="441647C1"/>
    <w:rsid w:val="44E70910"/>
    <w:rsid w:val="450B1E4C"/>
    <w:rsid w:val="4523761D"/>
    <w:rsid w:val="46D5626E"/>
    <w:rsid w:val="46FB5084"/>
    <w:rsid w:val="47597238"/>
    <w:rsid w:val="477E06B3"/>
    <w:rsid w:val="478D148F"/>
    <w:rsid w:val="4799729B"/>
    <w:rsid w:val="47C214C5"/>
    <w:rsid w:val="47C36A0E"/>
    <w:rsid w:val="47CE03E0"/>
    <w:rsid w:val="48350D41"/>
    <w:rsid w:val="48D71EE2"/>
    <w:rsid w:val="48F430BF"/>
    <w:rsid w:val="49080693"/>
    <w:rsid w:val="496E0817"/>
    <w:rsid w:val="49706721"/>
    <w:rsid w:val="49816239"/>
    <w:rsid w:val="49AA1256"/>
    <w:rsid w:val="4A2820AA"/>
    <w:rsid w:val="4A3E6EE5"/>
    <w:rsid w:val="4AC01593"/>
    <w:rsid w:val="4B6E391C"/>
    <w:rsid w:val="4C565755"/>
    <w:rsid w:val="4CE74AE1"/>
    <w:rsid w:val="4D1A2C2C"/>
    <w:rsid w:val="4D7E7791"/>
    <w:rsid w:val="4E3B6EF0"/>
    <w:rsid w:val="4E7FFADA"/>
    <w:rsid w:val="4ED34277"/>
    <w:rsid w:val="4F163801"/>
    <w:rsid w:val="4F952A3E"/>
    <w:rsid w:val="4FFEE304"/>
    <w:rsid w:val="501707AA"/>
    <w:rsid w:val="501A3E3A"/>
    <w:rsid w:val="50A5497F"/>
    <w:rsid w:val="50AC44E3"/>
    <w:rsid w:val="50D25CF9"/>
    <w:rsid w:val="50FE2865"/>
    <w:rsid w:val="514E249B"/>
    <w:rsid w:val="51AE7DE7"/>
    <w:rsid w:val="51C33287"/>
    <w:rsid w:val="524424F9"/>
    <w:rsid w:val="52A35472"/>
    <w:rsid w:val="534E4042"/>
    <w:rsid w:val="53BD1BA4"/>
    <w:rsid w:val="53BF9D31"/>
    <w:rsid w:val="53EDA4D4"/>
    <w:rsid w:val="53F7E547"/>
    <w:rsid w:val="54AE7FAB"/>
    <w:rsid w:val="55424134"/>
    <w:rsid w:val="557F7FDD"/>
    <w:rsid w:val="55970715"/>
    <w:rsid w:val="55AB68DF"/>
    <w:rsid w:val="55E3F41F"/>
    <w:rsid w:val="55F52E85"/>
    <w:rsid w:val="55FF79B8"/>
    <w:rsid w:val="56271E7A"/>
    <w:rsid w:val="56342B47"/>
    <w:rsid w:val="564C04F7"/>
    <w:rsid w:val="5670768F"/>
    <w:rsid w:val="56A362EF"/>
    <w:rsid w:val="56BB90DF"/>
    <w:rsid w:val="573E39BB"/>
    <w:rsid w:val="57BFBF81"/>
    <w:rsid w:val="57E06F83"/>
    <w:rsid w:val="58AA6C77"/>
    <w:rsid w:val="58CD43C9"/>
    <w:rsid w:val="58D47472"/>
    <w:rsid w:val="58F509F1"/>
    <w:rsid w:val="598961B4"/>
    <w:rsid w:val="598D4177"/>
    <w:rsid w:val="59AA59E5"/>
    <w:rsid w:val="59CB38AA"/>
    <w:rsid w:val="59D27B1C"/>
    <w:rsid w:val="59FD190B"/>
    <w:rsid w:val="5A5654C0"/>
    <w:rsid w:val="5AAC7B2C"/>
    <w:rsid w:val="5AD91FFA"/>
    <w:rsid w:val="5B3D5142"/>
    <w:rsid w:val="5B4344F9"/>
    <w:rsid w:val="5B5E287E"/>
    <w:rsid w:val="5B637F65"/>
    <w:rsid w:val="5B6EDF30"/>
    <w:rsid w:val="5B6F9493"/>
    <w:rsid w:val="5B9B11CA"/>
    <w:rsid w:val="5B9D223F"/>
    <w:rsid w:val="5B9F09BC"/>
    <w:rsid w:val="5BC7759F"/>
    <w:rsid w:val="5BD21B18"/>
    <w:rsid w:val="5BDB5694"/>
    <w:rsid w:val="5BDE227A"/>
    <w:rsid w:val="5BFE7754"/>
    <w:rsid w:val="5C1C8670"/>
    <w:rsid w:val="5C7B7D05"/>
    <w:rsid w:val="5CBF5880"/>
    <w:rsid w:val="5CD57E49"/>
    <w:rsid w:val="5CED3EB9"/>
    <w:rsid w:val="5CF41976"/>
    <w:rsid w:val="5DCFCF86"/>
    <w:rsid w:val="5DE3EFC4"/>
    <w:rsid w:val="5E1B9B61"/>
    <w:rsid w:val="5E240266"/>
    <w:rsid w:val="5E7F5865"/>
    <w:rsid w:val="5EA6FD18"/>
    <w:rsid w:val="5F3F6522"/>
    <w:rsid w:val="5F3FB91D"/>
    <w:rsid w:val="5F4E132C"/>
    <w:rsid w:val="5F4E75F2"/>
    <w:rsid w:val="5F5024DD"/>
    <w:rsid w:val="5F734A3A"/>
    <w:rsid w:val="5F7DEED6"/>
    <w:rsid w:val="5F7E0CA0"/>
    <w:rsid w:val="5F976423"/>
    <w:rsid w:val="5FAF78F8"/>
    <w:rsid w:val="5FC699F0"/>
    <w:rsid w:val="5FDBB8F6"/>
    <w:rsid w:val="5FDF5639"/>
    <w:rsid w:val="5FEC461C"/>
    <w:rsid w:val="5FF71A37"/>
    <w:rsid w:val="5FF78F8C"/>
    <w:rsid w:val="5FFBCB20"/>
    <w:rsid w:val="60593779"/>
    <w:rsid w:val="60721146"/>
    <w:rsid w:val="608D6335"/>
    <w:rsid w:val="6101546E"/>
    <w:rsid w:val="61552E49"/>
    <w:rsid w:val="6158652D"/>
    <w:rsid w:val="61986594"/>
    <w:rsid w:val="61AFB7DB"/>
    <w:rsid w:val="61D45655"/>
    <w:rsid w:val="62A41F90"/>
    <w:rsid w:val="62EF19A3"/>
    <w:rsid w:val="63043D0B"/>
    <w:rsid w:val="635D78BF"/>
    <w:rsid w:val="636950DC"/>
    <w:rsid w:val="63862B2C"/>
    <w:rsid w:val="63AB169B"/>
    <w:rsid w:val="63D7D092"/>
    <w:rsid w:val="63DFB3E0"/>
    <w:rsid w:val="648229E3"/>
    <w:rsid w:val="65CFB4BF"/>
    <w:rsid w:val="66323BCA"/>
    <w:rsid w:val="6659104F"/>
    <w:rsid w:val="66805B15"/>
    <w:rsid w:val="66C33CA9"/>
    <w:rsid w:val="66C57C55"/>
    <w:rsid w:val="66E005EB"/>
    <w:rsid w:val="671B58A0"/>
    <w:rsid w:val="67852F40"/>
    <w:rsid w:val="67DF7DC8"/>
    <w:rsid w:val="67F38994"/>
    <w:rsid w:val="67FD07BB"/>
    <w:rsid w:val="68186EDA"/>
    <w:rsid w:val="687B0094"/>
    <w:rsid w:val="68A81BA7"/>
    <w:rsid w:val="69024518"/>
    <w:rsid w:val="6912573F"/>
    <w:rsid w:val="69CE4F23"/>
    <w:rsid w:val="6A10139E"/>
    <w:rsid w:val="6A682E5B"/>
    <w:rsid w:val="6A7C062B"/>
    <w:rsid w:val="6AC2514F"/>
    <w:rsid w:val="6AE707AD"/>
    <w:rsid w:val="6B4E6F67"/>
    <w:rsid w:val="6B574848"/>
    <w:rsid w:val="6BB7D2D4"/>
    <w:rsid w:val="6BE5620B"/>
    <w:rsid w:val="6BEF30F2"/>
    <w:rsid w:val="6BF794BE"/>
    <w:rsid w:val="6C066D46"/>
    <w:rsid w:val="6C1F58DA"/>
    <w:rsid w:val="6C2E34B2"/>
    <w:rsid w:val="6C613B70"/>
    <w:rsid w:val="6C6802A9"/>
    <w:rsid w:val="6C791CDF"/>
    <w:rsid w:val="6D370A3E"/>
    <w:rsid w:val="6DAFE1E9"/>
    <w:rsid w:val="6DBFB084"/>
    <w:rsid w:val="6DEDF75F"/>
    <w:rsid w:val="6DF41F54"/>
    <w:rsid w:val="6DFDB9D4"/>
    <w:rsid w:val="6DFE3BF4"/>
    <w:rsid w:val="6E1C069A"/>
    <w:rsid w:val="6E68517E"/>
    <w:rsid w:val="6ED6028E"/>
    <w:rsid w:val="6EDB0329"/>
    <w:rsid w:val="6EDB7343"/>
    <w:rsid w:val="6EDF7C03"/>
    <w:rsid w:val="6EDFC56E"/>
    <w:rsid w:val="6EEF79A8"/>
    <w:rsid w:val="6EFD53F1"/>
    <w:rsid w:val="6EFE6BF2"/>
    <w:rsid w:val="6F1E33ED"/>
    <w:rsid w:val="6F3FD2A8"/>
    <w:rsid w:val="6F742197"/>
    <w:rsid w:val="6F7FFE0E"/>
    <w:rsid w:val="6FAF2FB1"/>
    <w:rsid w:val="6FAF8FEC"/>
    <w:rsid w:val="6FAF92F1"/>
    <w:rsid w:val="6FB9CFE4"/>
    <w:rsid w:val="6FE222D3"/>
    <w:rsid w:val="6FF40C78"/>
    <w:rsid w:val="6FF8A1E7"/>
    <w:rsid w:val="6FFF5F22"/>
    <w:rsid w:val="70381498"/>
    <w:rsid w:val="70844E8C"/>
    <w:rsid w:val="70D2369A"/>
    <w:rsid w:val="71056EDB"/>
    <w:rsid w:val="7126043E"/>
    <w:rsid w:val="712F13B9"/>
    <w:rsid w:val="716D5500"/>
    <w:rsid w:val="71752972"/>
    <w:rsid w:val="71825FD6"/>
    <w:rsid w:val="71CF88A7"/>
    <w:rsid w:val="71DF4422"/>
    <w:rsid w:val="72104BA7"/>
    <w:rsid w:val="722A071C"/>
    <w:rsid w:val="727A3293"/>
    <w:rsid w:val="72B93A7B"/>
    <w:rsid w:val="72C164E7"/>
    <w:rsid w:val="72DC4D24"/>
    <w:rsid w:val="72E41C60"/>
    <w:rsid w:val="734A0519"/>
    <w:rsid w:val="735B7F46"/>
    <w:rsid w:val="738D1D74"/>
    <w:rsid w:val="73D96A46"/>
    <w:rsid w:val="73DFCA73"/>
    <w:rsid w:val="73F26892"/>
    <w:rsid w:val="74351D38"/>
    <w:rsid w:val="74776297"/>
    <w:rsid w:val="747A748D"/>
    <w:rsid w:val="749A3901"/>
    <w:rsid w:val="74DA9D14"/>
    <w:rsid w:val="750E0B30"/>
    <w:rsid w:val="757F72A0"/>
    <w:rsid w:val="75C37A55"/>
    <w:rsid w:val="75CB64F2"/>
    <w:rsid w:val="75DF8E40"/>
    <w:rsid w:val="75FFADD7"/>
    <w:rsid w:val="762210B6"/>
    <w:rsid w:val="763D9810"/>
    <w:rsid w:val="766F76C7"/>
    <w:rsid w:val="76AF722C"/>
    <w:rsid w:val="76CEFE40"/>
    <w:rsid w:val="76F3843F"/>
    <w:rsid w:val="76FE5658"/>
    <w:rsid w:val="77212C85"/>
    <w:rsid w:val="773164A1"/>
    <w:rsid w:val="7743528F"/>
    <w:rsid w:val="7767B158"/>
    <w:rsid w:val="777BA5DC"/>
    <w:rsid w:val="77D799DB"/>
    <w:rsid w:val="77D7ABD4"/>
    <w:rsid w:val="77FEA06F"/>
    <w:rsid w:val="782A253B"/>
    <w:rsid w:val="786F7C46"/>
    <w:rsid w:val="78D635FC"/>
    <w:rsid w:val="78DF5790"/>
    <w:rsid w:val="78F9669C"/>
    <w:rsid w:val="795B41B3"/>
    <w:rsid w:val="795D5285"/>
    <w:rsid w:val="799046A0"/>
    <w:rsid w:val="799A71B2"/>
    <w:rsid w:val="79AB7C3C"/>
    <w:rsid w:val="79FECBB4"/>
    <w:rsid w:val="79FF5EB0"/>
    <w:rsid w:val="7A0328D8"/>
    <w:rsid w:val="7A2D36EF"/>
    <w:rsid w:val="7ADD2FE7"/>
    <w:rsid w:val="7AE666F6"/>
    <w:rsid w:val="7AEFE1C9"/>
    <w:rsid w:val="7AFC5BE4"/>
    <w:rsid w:val="7AFE05B2"/>
    <w:rsid w:val="7B0E7AFA"/>
    <w:rsid w:val="7B3A0F6D"/>
    <w:rsid w:val="7B655B54"/>
    <w:rsid w:val="7B7F34BA"/>
    <w:rsid w:val="7BCB0DC5"/>
    <w:rsid w:val="7BE75B91"/>
    <w:rsid w:val="7BEFDAEA"/>
    <w:rsid w:val="7BF71182"/>
    <w:rsid w:val="7C17327A"/>
    <w:rsid w:val="7CAA22F6"/>
    <w:rsid w:val="7CB347DD"/>
    <w:rsid w:val="7CF40B8E"/>
    <w:rsid w:val="7CFE4282"/>
    <w:rsid w:val="7D096B1B"/>
    <w:rsid w:val="7D2C2D03"/>
    <w:rsid w:val="7D3BED25"/>
    <w:rsid w:val="7D3C0505"/>
    <w:rsid w:val="7D463C86"/>
    <w:rsid w:val="7D5EAE4E"/>
    <w:rsid w:val="7D9BB23D"/>
    <w:rsid w:val="7D9F66B2"/>
    <w:rsid w:val="7DDD8EC8"/>
    <w:rsid w:val="7DDF3AF1"/>
    <w:rsid w:val="7DE20C95"/>
    <w:rsid w:val="7DEF0936"/>
    <w:rsid w:val="7DFFE65B"/>
    <w:rsid w:val="7E6D8565"/>
    <w:rsid w:val="7EB5D20E"/>
    <w:rsid w:val="7EBC1D0C"/>
    <w:rsid w:val="7EEBEBC5"/>
    <w:rsid w:val="7EEC51DC"/>
    <w:rsid w:val="7EFD6E25"/>
    <w:rsid w:val="7EFFC640"/>
    <w:rsid w:val="7F27FE74"/>
    <w:rsid w:val="7F3C467D"/>
    <w:rsid w:val="7F4E65E2"/>
    <w:rsid w:val="7F775A7F"/>
    <w:rsid w:val="7F7FC574"/>
    <w:rsid w:val="7F7FD1B3"/>
    <w:rsid w:val="7F9B8E80"/>
    <w:rsid w:val="7FA1BA08"/>
    <w:rsid w:val="7FAF1D05"/>
    <w:rsid w:val="7FBF5906"/>
    <w:rsid w:val="7FC5768C"/>
    <w:rsid w:val="7FCF1006"/>
    <w:rsid w:val="7FDBE680"/>
    <w:rsid w:val="7FDF9795"/>
    <w:rsid w:val="7FDF9D86"/>
    <w:rsid w:val="7FE383BC"/>
    <w:rsid w:val="7FEFC560"/>
    <w:rsid w:val="7FEFCBB7"/>
    <w:rsid w:val="7FFB145F"/>
    <w:rsid w:val="7FFB3B3F"/>
    <w:rsid w:val="7FFF55D6"/>
    <w:rsid w:val="7FFF5799"/>
    <w:rsid w:val="7FFF8819"/>
    <w:rsid w:val="7FFFC53F"/>
    <w:rsid w:val="86E556BA"/>
    <w:rsid w:val="899FE91C"/>
    <w:rsid w:val="8BFECD97"/>
    <w:rsid w:val="8E5D67E3"/>
    <w:rsid w:val="8F1F3BC0"/>
    <w:rsid w:val="93B9E6EB"/>
    <w:rsid w:val="94B38702"/>
    <w:rsid w:val="96FF4C35"/>
    <w:rsid w:val="97CF3ED7"/>
    <w:rsid w:val="98F7E7C3"/>
    <w:rsid w:val="9BDFA650"/>
    <w:rsid w:val="9DD3851B"/>
    <w:rsid w:val="9E6B091F"/>
    <w:rsid w:val="9EEF4C56"/>
    <w:rsid w:val="9FFF8A12"/>
    <w:rsid w:val="A27BB6CD"/>
    <w:rsid w:val="A76FDD3E"/>
    <w:rsid w:val="AAFF8C5A"/>
    <w:rsid w:val="AB36BF5A"/>
    <w:rsid w:val="AFEF584F"/>
    <w:rsid w:val="B3B71950"/>
    <w:rsid w:val="B3BB0742"/>
    <w:rsid w:val="B4FBB2EE"/>
    <w:rsid w:val="B5F328B8"/>
    <w:rsid w:val="B73D566F"/>
    <w:rsid w:val="B73F02C0"/>
    <w:rsid w:val="B7FD487C"/>
    <w:rsid w:val="B8AF7CFE"/>
    <w:rsid w:val="B9EDFD4E"/>
    <w:rsid w:val="BAED8ECB"/>
    <w:rsid w:val="BBB71B8A"/>
    <w:rsid w:val="BBBDF865"/>
    <w:rsid w:val="BBDEDC1E"/>
    <w:rsid w:val="BBDF48BA"/>
    <w:rsid w:val="BBFA4BBC"/>
    <w:rsid w:val="BCF9F923"/>
    <w:rsid w:val="BCFF2752"/>
    <w:rsid w:val="BEDB71EB"/>
    <w:rsid w:val="BEEB8EFE"/>
    <w:rsid w:val="BEFA5CCC"/>
    <w:rsid w:val="BF7B27A6"/>
    <w:rsid w:val="BFF1B066"/>
    <w:rsid w:val="BFFD01B6"/>
    <w:rsid w:val="BFFE78BF"/>
    <w:rsid w:val="BFFF0761"/>
    <w:rsid w:val="BFFF719B"/>
    <w:rsid w:val="C5FFD9F4"/>
    <w:rsid w:val="C777D7F2"/>
    <w:rsid w:val="C7EB1B3A"/>
    <w:rsid w:val="C7FC2851"/>
    <w:rsid w:val="C8FB698B"/>
    <w:rsid w:val="CB3FD017"/>
    <w:rsid w:val="CBD9F940"/>
    <w:rsid w:val="CDFFF364"/>
    <w:rsid w:val="CE7FBD8F"/>
    <w:rsid w:val="CFFB48C4"/>
    <w:rsid w:val="D1D6F858"/>
    <w:rsid w:val="D37F2152"/>
    <w:rsid w:val="D5F98422"/>
    <w:rsid w:val="D7BF2F76"/>
    <w:rsid w:val="D7D94708"/>
    <w:rsid w:val="D917449C"/>
    <w:rsid w:val="DBA373B1"/>
    <w:rsid w:val="DBBCDE27"/>
    <w:rsid w:val="DBBE4D4E"/>
    <w:rsid w:val="DBF49505"/>
    <w:rsid w:val="DBFF0850"/>
    <w:rsid w:val="DCD922F3"/>
    <w:rsid w:val="DD3F6B0D"/>
    <w:rsid w:val="DD7D0125"/>
    <w:rsid w:val="DDED674B"/>
    <w:rsid w:val="DDF7F4A6"/>
    <w:rsid w:val="DDFF168C"/>
    <w:rsid w:val="DEB4F66C"/>
    <w:rsid w:val="DECF13C5"/>
    <w:rsid w:val="DED3F564"/>
    <w:rsid w:val="DEF5B0A1"/>
    <w:rsid w:val="DEF8A9D1"/>
    <w:rsid w:val="DEFD3FC3"/>
    <w:rsid w:val="DF1F18BA"/>
    <w:rsid w:val="DF36F4D0"/>
    <w:rsid w:val="DF5D14C1"/>
    <w:rsid w:val="DFBF978A"/>
    <w:rsid w:val="DFDD3C07"/>
    <w:rsid w:val="DFDD4356"/>
    <w:rsid w:val="DFED1EA9"/>
    <w:rsid w:val="DFFB509D"/>
    <w:rsid w:val="DFFF4E37"/>
    <w:rsid w:val="E2FF81D5"/>
    <w:rsid w:val="E33E44D5"/>
    <w:rsid w:val="E3F7C872"/>
    <w:rsid w:val="E4BF974B"/>
    <w:rsid w:val="E5FF6E86"/>
    <w:rsid w:val="E6FEE2B6"/>
    <w:rsid w:val="E7E77103"/>
    <w:rsid w:val="E7FFDF9C"/>
    <w:rsid w:val="E83BF241"/>
    <w:rsid w:val="E8FFE8E5"/>
    <w:rsid w:val="E95F5AB3"/>
    <w:rsid w:val="E9DED552"/>
    <w:rsid w:val="E9F7E0F0"/>
    <w:rsid w:val="EAF71F88"/>
    <w:rsid w:val="EBB7A3CF"/>
    <w:rsid w:val="EBFF421D"/>
    <w:rsid w:val="ECFDA3D2"/>
    <w:rsid w:val="ED7594B5"/>
    <w:rsid w:val="EDDF06F9"/>
    <w:rsid w:val="EDEFCC71"/>
    <w:rsid w:val="EEAD6AB0"/>
    <w:rsid w:val="EEDF631B"/>
    <w:rsid w:val="EF59DC96"/>
    <w:rsid w:val="EF6B06C2"/>
    <w:rsid w:val="EF7542B9"/>
    <w:rsid w:val="EFBF974C"/>
    <w:rsid w:val="EFBFA151"/>
    <w:rsid w:val="EFC70553"/>
    <w:rsid w:val="EFEF6EED"/>
    <w:rsid w:val="EFF1002C"/>
    <w:rsid w:val="EFF1FAD4"/>
    <w:rsid w:val="F33D6CC7"/>
    <w:rsid w:val="F3B870E3"/>
    <w:rsid w:val="F3DF7EAD"/>
    <w:rsid w:val="F4DFE4FB"/>
    <w:rsid w:val="F5B550B9"/>
    <w:rsid w:val="F5DDF92F"/>
    <w:rsid w:val="F5DE799F"/>
    <w:rsid w:val="F6D0CD41"/>
    <w:rsid w:val="F6FB7738"/>
    <w:rsid w:val="F75FB8B9"/>
    <w:rsid w:val="F75FFEAC"/>
    <w:rsid w:val="F7BE3B47"/>
    <w:rsid w:val="F7FEB9AD"/>
    <w:rsid w:val="F8FDE9A5"/>
    <w:rsid w:val="F97DF83D"/>
    <w:rsid w:val="F9FD8A82"/>
    <w:rsid w:val="FB53C097"/>
    <w:rsid w:val="FB7D6D32"/>
    <w:rsid w:val="FB9C12C6"/>
    <w:rsid w:val="FB9F5170"/>
    <w:rsid w:val="FBB90F20"/>
    <w:rsid w:val="FBBCCF57"/>
    <w:rsid w:val="FBF7611F"/>
    <w:rsid w:val="FBF7651F"/>
    <w:rsid w:val="FBFBF85E"/>
    <w:rsid w:val="FC7E525C"/>
    <w:rsid w:val="FC97EBE3"/>
    <w:rsid w:val="FCFE5E42"/>
    <w:rsid w:val="FCFF79A5"/>
    <w:rsid w:val="FD373BEB"/>
    <w:rsid w:val="FD8F8C0E"/>
    <w:rsid w:val="FD9ECE8C"/>
    <w:rsid w:val="FDAA39F0"/>
    <w:rsid w:val="FDDEA6F0"/>
    <w:rsid w:val="FDF72DA6"/>
    <w:rsid w:val="FDFBDF89"/>
    <w:rsid w:val="FE5FECC6"/>
    <w:rsid w:val="FE784A56"/>
    <w:rsid w:val="FE7D4ED1"/>
    <w:rsid w:val="FEA95DA1"/>
    <w:rsid w:val="FEBFEBBA"/>
    <w:rsid w:val="FED6336F"/>
    <w:rsid w:val="FEF3366C"/>
    <w:rsid w:val="FEF70C62"/>
    <w:rsid w:val="FF23ACB4"/>
    <w:rsid w:val="FF37EB12"/>
    <w:rsid w:val="FF3A5887"/>
    <w:rsid w:val="FF3FFAE9"/>
    <w:rsid w:val="FF5F51F5"/>
    <w:rsid w:val="FF5F90D8"/>
    <w:rsid w:val="FF7619F5"/>
    <w:rsid w:val="FF7DBA05"/>
    <w:rsid w:val="FF7E3B48"/>
    <w:rsid w:val="FF7FAC0F"/>
    <w:rsid w:val="FF7FAEDD"/>
    <w:rsid w:val="FF9A8025"/>
    <w:rsid w:val="FFA7EE7A"/>
    <w:rsid w:val="FFABDF9D"/>
    <w:rsid w:val="FFBDD62B"/>
    <w:rsid w:val="FFCEE916"/>
    <w:rsid w:val="FFDAD76A"/>
    <w:rsid w:val="FFDF6525"/>
    <w:rsid w:val="FFE79E42"/>
    <w:rsid w:val="FFEA8A0F"/>
    <w:rsid w:val="FFEB1A45"/>
    <w:rsid w:val="FFEC2F5D"/>
    <w:rsid w:val="FFF3D01B"/>
    <w:rsid w:val="FFF54BC6"/>
    <w:rsid w:val="FFF755BA"/>
    <w:rsid w:val="FFFBA059"/>
    <w:rsid w:val="FFFC3E6E"/>
    <w:rsid w:val="FFFE409D"/>
    <w:rsid w:val="FFFEACBC"/>
    <w:rsid w:val="FFFF6657"/>
    <w:rsid w:val="FFFF9381"/>
    <w:rsid w:val="FFFFA421"/>
    <w:rsid w:val="FFFFC453"/>
    <w:rsid w:val="FFFFE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qFormat/>
    <w:uiPriority w:val="0"/>
    <w:pPr>
      <w:keepNext/>
      <w:keepLines/>
      <w:spacing w:before="340" w:after="330" w:line="578" w:lineRule="auto"/>
      <w:outlineLvl w:val="0"/>
    </w:pPr>
    <w:rPr>
      <w:b w:val="0"/>
      <w:bCs/>
      <w:kern w:val="44"/>
      <w:szCs w:val="44"/>
    </w:rPr>
  </w:style>
  <w:style w:type="paragraph" w:styleId="6">
    <w:name w:val="heading 2"/>
    <w:basedOn w:val="1"/>
    <w:next w:val="1"/>
    <w:qFormat/>
    <w:uiPriority w:val="0"/>
    <w:pPr>
      <w:keepNext/>
      <w:keepLines/>
      <w:spacing w:before="120" w:after="120" w:line="415" w:lineRule="auto"/>
      <w:jc w:val="center"/>
      <w:outlineLvl w:val="1"/>
    </w:pPr>
    <w:rPr>
      <w:rFonts w:ascii="Arial" w:hAnsi="Arial"/>
      <w:b/>
      <w:color w:val="000000"/>
      <w:kern w:val="0"/>
      <w:sz w:val="28"/>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szCs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4">
    <w:name w:val="Body Text First Indent"/>
    <w:basedOn w:val="5"/>
    <w:unhideWhenUsed/>
    <w:qFormat/>
    <w:uiPriority w:val="0"/>
    <w:pPr>
      <w:ind w:firstLine="420" w:firstLineChars="100"/>
    </w:pPr>
    <w:rPr>
      <w:rFonts w:ascii="Calibri" w:hAnsi="Calibri"/>
      <w:szCs w:val="21"/>
    </w:rPr>
  </w:style>
  <w:style w:type="paragraph" w:styleId="5">
    <w:name w:val="Body Text"/>
    <w:basedOn w:val="1"/>
    <w:unhideWhenUsed/>
    <w:qFormat/>
    <w:uiPriority w:val="99"/>
    <w:pPr>
      <w:spacing w:after="120"/>
    </w:pPr>
  </w:style>
  <w:style w:type="paragraph" w:styleId="9">
    <w:name w:val="Normal Indent"/>
    <w:basedOn w:val="1"/>
    <w:next w:val="1"/>
    <w:qFormat/>
    <w:uiPriority w:val="99"/>
    <w:pPr>
      <w:ind w:firstLine="420"/>
    </w:pPr>
    <w:rPr>
      <w:kern w:val="0"/>
      <w:sz w:val="20"/>
      <w:szCs w:val="20"/>
    </w:rPr>
  </w:style>
  <w:style w:type="paragraph" w:styleId="10">
    <w:name w:val="annotation text"/>
    <w:basedOn w:val="1"/>
    <w:qFormat/>
    <w:uiPriority w:val="0"/>
    <w:pPr>
      <w:jc w:val="left"/>
    </w:pPr>
  </w:style>
  <w:style w:type="paragraph" w:styleId="11">
    <w:name w:val="Body Text Indent"/>
    <w:basedOn w:val="1"/>
    <w:qFormat/>
    <w:uiPriority w:val="0"/>
    <w:pPr>
      <w:ind w:firstLine="570"/>
    </w:pPr>
    <w:rPr>
      <w:rFonts w:cs="Calibri"/>
      <w:kern w:val="0"/>
      <w:sz w:val="28"/>
      <w:szCs w:val="20"/>
    </w:rPr>
  </w:style>
  <w:style w:type="paragraph" w:styleId="12">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13">
    <w:name w:val="Plain Text"/>
    <w:basedOn w:val="1"/>
    <w:next w:val="1"/>
    <w:qFormat/>
    <w:uiPriority w:val="0"/>
    <w:rPr>
      <w:rFonts w:ascii="宋体" w:hAnsi="Courier New"/>
      <w:kern w:val="0"/>
      <w:sz w:val="20"/>
      <w:szCs w:val="20"/>
    </w:rPr>
  </w:style>
  <w:style w:type="paragraph" w:styleId="14">
    <w:name w:val="Date"/>
    <w:basedOn w:val="1"/>
    <w:next w:val="1"/>
    <w:qFormat/>
    <w:uiPriority w:val="0"/>
    <w:rPr>
      <w:kern w:val="0"/>
      <w:sz w:val="20"/>
      <w:szCs w:val="20"/>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9">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23">
    <w:name w:val="page number"/>
    <w:qFormat/>
    <w:uiPriority w:val="0"/>
    <w:rPr>
      <w:rFonts w:ascii="Calibri" w:hAnsi="Calibri" w:eastAsia="宋体" w:cs="Times New Roman"/>
    </w:rPr>
  </w:style>
  <w:style w:type="character" w:styleId="24">
    <w:name w:val="Hyperlink"/>
    <w:qFormat/>
    <w:uiPriority w:val="99"/>
    <w:rPr>
      <w:rFonts w:ascii="Calibri" w:hAnsi="Calibri" w:eastAsia="宋体" w:cs="Times New Roman"/>
      <w:color w:val="0000FF"/>
      <w:u w:val="single"/>
    </w:rPr>
  </w:style>
  <w:style w:type="character" w:customStyle="1" w:styleId="25">
    <w:name w:val="font51"/>
    <w:qFormat/>
    <w:uiPriority w:val="0"/>
    <w:rPr>
      <w:rFonts w:hint="eastAsia" w:ascii="宋体" w:hAnsi="宋体" w:eastAsia="宋体" w:cs="宋体"/>
      <w:color w:val="000000"/>
      <w:sz w:val="20"/>
      <w:szCs w:val="20"/>
      <w:u w:val="none"/>
    </w:rPr>
  </w:style>
  <w:style w:type="character" w:customStyle="1" w:styleId="26">
    <w:name w:val="font161"/>
    <w:qFormat/>
    <w:uiPriority w:val="0"/>
    <w:rPr>
      <w:rFonts w:hint="eastAsia" w:ascii="宋体" w:hAnsi="宋体" w:eastAsia="宋体" w:cs="宋体"/>
      <w:color w:val="000000"/>
      <w:sz w:val="22"/>
      <w:szCs w:val="22"/>
      <w:u w:val="none"/>
    </w:rPr>
  </w:style>
  <w:style w:type="character" w:customStyle="1" w:styleId="27">
    <w:name w:val="font131"/>
    <w:qFormat/>
    <w:uiPriority w:val="0"/>
    <w:rPr>
      <w:rFonts w:hint="default" w:ascii="方正书宋-简" w:hAnsi="方正书宋-简" w:eastAsia="方正书宋-简" w:cs="方正书宋-简"/>
      <w:b/>
      <w:bCs/>
      <w:color w:val="FF0000"/>
      <w:sz w:val="20"/>
      <w:szCs w:val="20"/>
      <w:u w:val="none"/>
    </w:rPr>
  </w:style>
  <w:style w:type="character" w:customStyle="1" w:styleId="28">
    <w:name w:val="font112"/>
    <w:qFormat/>
    <w:uiPriority w:val="0"/>
    <w:rPr>
      <w:rFonts w:hint="default" w:ascii="方正黑体-简 Light" w:hAnsi="方正黑体-简 Light" w:eastAsia="方正黑体-简 Light" w:cs="方正黑体-简 Light"/>
      <w:color w:val="000000"/>
      <w:sz w:val="22"/>
      <w:szCs w:val="22"/>
      <w:u w:val="none"/>
    </w:rPr>
  </w:style>
  <w:style w:type="character" w:customStyle="1" w:styleId="29">
    <w:name w:val="15"/>
    <w:qFormat/>
    <w:uiPriority w:val="0"/>
    <w:rPr>
      <w:rFonts w:hint="default" w:ascii="Calibri" w:hAnsi="Calibri" w:eastAsia="宋体" w:cs="Times New Roman"/>
    </w:rPr>
  </w:style>
  <w:style w:type="character" w:customStyle="1" w:styleId="30">
    <w:name w:val="NormalCharacter"/>
    <w:qFormat/>
    <w:uiPriority w:val="0"/>
    <w:rPr>
      <w:rFonts w:ascii="Calibri" w:hAnsi="Calibri" w:eastAsia="宋体" w:cs="Times New Roman"/>
      <w:kern w:val="2"/>
      <w:sz w:val="21"/>
      <w:szCs w:val="22"/>
      <w:lang w:val="en-US" w:eastAsia="zh-CN" w:bidi="ar-SA"/>
    </w:rPr>
  </w:style>
  <w:style w:type="character" w:customStyle="1" w:styleId="31">
    <w:name w:val="font151"/>
    <w:qFormat/>
    <w:uiPriority w:val="0"/>
    <w:rPr>
      <w:rFonts w:ascii="Calibri" w:hAnsi="Calibri" w:cs="Calibri"/>
      <w:color w:val="000000"/>
      <w:sz w:val="22"/>
      <w:szCs w:val="22"/>
      <w:u w:val="none"/>
    </w:rPr>
  </w:style>
  <w:style w:type="character" w:customStyle="1" w:styleId="32">
    <w:name w:val="font91"/>
    <w:qFormat/>
    <w:uiPriority w:val="0"/>
    <w:rPr>
      <w:rFonts w:hint="default" w:ascii="方正书宋-简" w:hAnsi="方正书宋-简" w:eastAsia="方正书宋-简" w:cs="方正书宋-简"/>
      <w:b/>
      <w:bCs/>
      <w:color w:val="000000"/>
      <w:sz w:val="20"/>
      <w:szCs w:val="20"/>
      <w:u w:val="none"/>
    </w:rPr>
  </w:style>
  <w:style w:type="character" w:customStyle="1" w:styleId="33">
    <w:name w:val="font11"/>
    <w:qFormat/>
    <w:uiPriority w:val="0"/>
    <w:rPr>
      <w:rFonts w:hint="eastAsia" w:ascii="仿宋" w:hAnsi="仿宋" w:eastAsia="仿宋" w:cs="仿宋"/>
      <w:b/>
      <w:color w:val="000000"/>
      <w:sz w:val="28"/>
      <w:szCs w:val="28"/>
      <w:u w:val="none"/>
    </w:rPr>
  </w:style>
  <w:style w:type="character" w:customStyle="1" w:styleId="34">
    <w:name w:val="font121"/>
    <w:qFormat/>
    <w:uiPriority w:val="0"/>
    <w:rPr>
      <w:rFonts w:hint="default" w:ascii="方正书宋-简" w:hAnsi="方正书宋-简" w:eastAsia="方正书宋-简" w:cs="方正书宋-简"/>
      <w:color w:val="000000"/>
      <w:sz w:val="20"/>
      <w:szCs w:val="20"/>
      <w:u w:val="none"/>
    </w:rPr>
  </w:style>
  <w:style w:type="character" w:customStyle="1" w:styleId="35">
    <w:name w:val="font21"/>
    <w:qFormat/>
    <w:uiPriority w:val="0"/>
    <w:rPr>
      <w:rFonts w:hint="eastAsia" w:ascii="仿宋" w:hAnsi="仿宋" w:eastAsia="仿宋" w:cs="仿宋"/>
      <w:b/>
      <w:color w:val="000000"/>
      <w:sz w:val="28"/>
      <w:szCs w:val="28"/>
      <w:u w:val="none"/>
    </w:rPr>
  </w:style>
  <w:style w:type="character" w:customStyle="1" w:styleId="36">
    <w:name w:val="font141"/>
    <w:qFormat/>
    <w:uiPriority w:val="0"/>
    <w:rPr>
      <w:rFonts w:ascii="Microsoft YaHei UI" w:hAnsi="Microsoft YaHei UI" w:eastAsia="Microsoft YaHei UI" w:cs="Microsoft YaHei UI"/>
      <w:color w:val="000000"/>
      <w:sz w:val="22"/>
      <w:szCs w:val="22"/>
      <w:u w:val="none"/>
    </w:rPr>
  </w:style>
  <w:style w:type="paragraph" w:customStyle="1" w:styleId="37">
    <w:name w:val="文二"/>
    <w:basedOn w:val="1"/>
    <w:qFormat/>
    <w:uiPriority w:val="99"/>
    <w:pPr>
      <w:jc w:val="left"/>
    </w:pPr>
    <w:rPr>
      <w:rFonts w:hint="eastAsia" w:ascii="宋体" w:hAnsi="宋体"/>
      <w:szCs w:val="21"/>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40">
    <w:name w:val="发文落款"/>
    <w:basedOn w:val="38"/>
    <w:qFormat/>
    <w:uiPriority w:val="0"/>
    <w:pPr>
      <w:ind w:left="4094" w:right="607" w:firstLine="0"/>
      <w:jc w:val="center"/>
    </w:pPr>
  </w:style>
  <w:style w:type="paragraph" w:customStyle="1" w:styleId="41">
    <w:name w:val="_Style 40"/>
    <w:unhideWhenUsed/>
    <w:qFormat/>
    <w:uiPriority w:val="99"/>
    <w:rPr>
      <w:rFonts w:ascii="Times New Roman" w:hAnsi="Times New Roman" w:eastAsia="宋体" w:cs="Times New Roman"/>
      <w:kern w:val="2"/>
      <w:sz w:val="21"/>
      <w:szCs w:val="22"/>
      <w:lang w:val="en-US" w:eastAsia="zh-CN" w:bidi="ar-SA"/>
    </w:rPr>
  </w:style>
  <w:style w:type="paragraph" w:customStyle="1" w:styleId="4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11763</Words>
  <Characters>11916</Characters>
  <Lines>46</Lines>
  <Paragraphs>632</Paragraphs>
  <TotalTime>5</TotalTime>
  <ScaleCrop>false</ScaleCrop>
  <LinksUpToDate>false</LinksUpToDate>
  <CharactersWithSpaces>11929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2025-05-19T02:36:00Z</dcterms:created>
  <dc:creator>Administrator</dc:creator>
  <cp:lastModifiedBy>heweiye</cp:lastModifiedBy>
  <dcterms:modified xsi:type="dcterms:W3CDTF">2025-09-02T10:15:19Z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4DEC5B0CE263424FA74BEFBF4379F9C8</vt:lpwstr>
  </property>
  <property fmtid="{D5CDD505-2E9C-101B-9397-08002B2CF9AE}" pid="4" name="KSOTemplateDocerSaveRecord">
    <vt:lpwstr>eyJoZGlkIjoiYjQzNTRlY2M0MGFhM2E3NzYwM2JiMTVkNTZhNDhkNDUiLCJ1c2VySWQiOiIxNjcyMzg0OTE4In0=</vt:lpwstr>
  </property>
</Properties>
</file>