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60" w:line="312" w:lineRule="auto"/>
        <w:jc w:val="center"/>
        <w:outlineLvl w:val="1"/>
        <w:rPr>
          <w:rFonts w:ascii="宋体" w:hAnsi="宋体" w:eastAsia="宋体"/>
          <w:b/>
          <w:bCs/>
          <w:kern w:val="28"/>
          <w:sz w:val="32"/>
          <w:szCs w:val="21"/>
        </w:rPr>
      </w:pPr>
      <w:r>
        <w:rPr>
          <w:rFonts w:hint="eastAsia" w:ascii="宋体" w:hAnsi="宋体" w:eastAsia="宋体"/>
          <w:b/>
          <w:bCs/>
          <w:kern w:val="28"/>
          <w:sz w:val="32"/>
          <w:szCs w:val="32"/>
        </w:rPr>
        <w:t>王老吉大健康南沙基地（一期）塑料托盘采购及相关服务用户需求书</w:t>
      </w:r>
    </w:p>
    <w:p>
      <w:pPr>
        <w:widowControl/>
        <w:numPr>
          <w:ilvl w:val="0"/>
          <w:numId w:val="1"/>
        </w:numPr>
        <w:spacing w:before="156" w:beforeLines="50" w:line="360" w:lineRule="auto"/>
        <w:jc w:val="left"/>
        <w:rPr>
          <w:rFonts w:ascii="宋体" w:hAnsi="宋体" w:eastAsia="宋体"/>
          <w:b/>
          <w:szCs w:val="21"/>
        </w:rPr>
      </w:pPr>
      <w:r>
        <w:rPr>
          <w:rFonts w:hint="eastAsia" w:ascii="宋体" w:hAnsi="宋体" w:eastAsia="宋体"/>
          <w:b/>
          <w:szCs w:val="21"/>
        </w:rPr>
        <w:t>标的情况</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bookmarkStart w:id="0" w:name="_Hlk109399771"/>
      <w:r>
        <w:rPr>
          <w:rFonts w:hint="eastAsia" w:ascii="宋体" w:hAnsi="宋体" w:eastAsia="宋体"/>
          <w:color w:val="000000" w:themeColor="text1"/>
          <w:szCs w:val="21"/>
          <w14:textFill>
            <w14:solidFill>
              <w14:schemeClr w14:val="tx1"/>
            </w14:solidFill>
          </w14:textFill>
        </w:rPr>
        <w:t>标的名称：王老吉大健康南沙基地（一期）塑料托盘采购及相关服务。</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标的主要货物：</w:t>
      </w:r>
      <w:r>
        <w:rPr>
          <w:rFonts w:hint="eastAsia" w:ascii="宋体" w:hAnsi="宋体" w:eastAsia="宋体"/>
        </w:rPr>
        <w:t>川字底单面平板四向进叉塑料托盘。</w:t>
      </w:r>
    </w:p>
    <w:p>
      <w:pPr>
        <w:numPr>
          <w:ilvl w:val="0"/>
          <w:numId w:val="2"/>
        </w:numPr>
        <w:spacing w:before="156" w:beforeLines="50"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数量：16000块。</w:t>
      </w:r>
    </w:p>
    <w:p>
      <w:pPr>
        <w:pStyle w:val="8"/>
        <w:widowControl/>
        <w:numPr>
          <w:ilvl w:val="0"/>
          <w:numId w:val="2"/>
        </w:numPr>
        <w:spacing w:line="360" w:lineRule="auto"/>
        <w:ind w:firstLineChars="0"/>
        <w:jc w:val="left"/>
        <w:rPr>
          <w:rFonts w:ascii="宋体" w:hAnsi="宋体" w:eastAsia="宋体" w:cs="Times New Roman"/>
          <w:kern w:val="0"/>
          <w:szCs w:val="21"/>
        </w:rPr>
      </w:pPr>
      <w:r>
        <w:rPr>
          <w:rFonts w:hint="eastAsia" w:ascii="宋体" w:hAnsi="宋体" w:eastAsia="宋体" w:cs="Times New Roman"/>
          <w:kern w:val="0"/>
          <w:szCs w:val="21"/>
        </w:rPr>
        <w:t>标的</w:t>
      </w:r>
      <w:r>
        <w:rPr>
          <w:rFonts w:hint="eastAsia" w:ascii="宋体" w:hAnsi="宋体" w:eastAsia="宋体"/>
          <w:szCs w:val="21"/>
        </w:rPr>
        <w:t>伴随服务</w:t>
      </w:r>
      <w:r>
        <w:rPr>
          <w:rFonts w:hint="eastAsia" w:ascii="宋体" w:hAnsi="宋体" w:eastAsia="宋体" w:cs="Times New Roman"/>
          <w:kern w:val="0"/>
          <w:szCs w:val="21"/>
        </w:rPr>
        <w:t>内容：</w:t>
      </w:r>
      <w:r>
        <w:rPr>
          <w:rFonts w:hint="eastAsia" w:ascii="宋体" w:hAnsi="宋体" w:eastAsia="宋体"/>
          <w:szCs w:val="21"/>
        </w:rPr>
        <w:t>本项目标的范围内所有</w:t>
      </w:r>
      <w:r>
        <w:rPr>
          <w:rFonts w:hint="eastAsia" w:ascii="宋体" w:hAnsi="宋体" w:eastAsia="宋体" w:cs="Times New Roman"/>
          <w:kern w:val="0"/>
          <w:szCs w:val="21"/>
        </w:rPr>
        <w:t>塑料托盘设计、制作、采购、供货、运输、装卸、保管、</w:t>
      </w:r>
      <w:r>
        <w:rPr>
          <w:rFonts w:hint="eastAsia" w:ascii="宋体" w:hAnsi="宋体" w:eastAsia="宋体"/>
          <w:szCs w:val="21"/>
        </w:rPr>
        <w:t>检验</w:t>
      </w:r>
      <w:r>
        <w:rPr>
          <w:rFonts w:hint="eastAsia" w:ascii="宋体" w:hAnsi="宋体" w:eastAsia="宋体" w:cs="Times New Roman"/>
          <w:kern w:val="0"/>
          <w:szCs w:val="21"/>
        </w:rPr>
        <w:t>及相关服务。</w:t>
      </w:r>
    </w:p>
    <w:bookmarkEnd w:id="0"/>
    <w:p>
      <w:pPr>
        <w:widowControl/>
        <w:numPr>
          <w:ilvl w:val="0"/>
          <w:numId w:val="1"/>
        </w:numPr>
        <w:spacing w:before="156" w:beforeLines="50" w:line="360" w:lineRule="auto"/>
        <w:jc w:val="left"/>
        <w:rPr>
          <w:rFonts w:ascii="宋体" w:hAnsi="宋体" w:eastAsia="宋体"/>
          <w:b/>
          <w:szCs w:val="21"/>
        </w:rPr>
      </w:pPr>
      <w:bookmarkStart w:id="1" w:name="_Hlk109400033"/>
      <w:r>
        <w:rPr>
          <w:rFonts w:hint="eastAsia" w:ascii="宋体" w:hAnsi="宋体" w:eastAsia="宋体"/>
          <w:b/>
        </w:rPr>
        <w:t>项目介绍</w:t>
      </w:r>
    </w:p>
    <w:bookmarkEnd w:id="1"/>
    <w:p>
      <w:pPr>
        <w:widowControl/>
        <w:spacing w:before="156" w:beforeLines="50" w:line="360" w:lineRule="auto"/>
        <w:ind w:left="704"/>
        <w:jc w:val="left"/>
        <w:rPr>
          <w:rFonts w:ascii="宋体" w:hAnsi="宋体" w:eastAsia="宋体"/>
          <w:b/>
        </w:rPr>
      </w:pPr>
      <w:bookmarkStart w:id="2" w:name="_Hlk109400084"/>
      <w:r>
        <w:rPr>
          <w:rFonts w:hint="eastAsia" w:ascii="宋体" w:hAnsi="宋体" w:eastAsia="宋体"/>
          <w:szCs w:val="21"/>
        </w:rPr>
        <w:t>招标方拟在广东省广州市南沙区横沥镇洪沥大道北侧横沥工业园广州王老吉大健康产业有公司工厂内建设王老吉大健康南沙基地（一期）项目，依据生产需要，拟采购1批川字底单面四向进叉塑料托盘，用于产品堆码存放货物的自动立体仓库储存入库和出库等。</w:t>
      </w:r>
      <w:bookmarkEnd w:id="2"/>
    </w:p>
    <w:p>
      <w:pPr>
        <w:widowControl/>
        <w:numPr>
          <w:ilvl w:val="0"/>
          <w:numId w:val="1"/>
        </w:numPr>
        <w:spacing w:before="156" w:beforeLines="50" w:line="360" w:lineRule="auto"/>
        <w:jc w:val="left"/>
        <w:rPr>
          <w:rFonts w:ascii="宋体" w:hAnsi="宋体" w:eastAsia="宋体"/>
          <w:b/>
        </w:rPr>
      </w:pPr>
      <w:bookmarkStart w:id="3" w:name="_Hlk109305585"/>
      <w:r>
        <w:rPr>
          <w:rFonts w:hint="eastAsia" w:ascii="宋体" w:hAnsi="宋体" w:eastAsia="宋体"/>
          <w:b/>
        </w:rPr>
        <w:t>场地条件</w:t>
      </w:r>
      <w:bookmarkEnd w:id="3"/>
    </w:p>
    <w:p>
      <w:pPr>
        <w:numPr>
          <w:ilvl w:val="0"/>
          <w:numId w:val="3"/>
        </w:numPr>
        <w:spacing w:before="156" w:beforeLines="50" w:line="360" w:lineRule="auto"/>
        <w:rPr>
          <w:rFonts w:ascii="宋体" w:hAnsi="宋体" w:eastAsia="宋体" w:cs="Times New Roman"/>
          <w:szCs w:val="21"/>
        </w:rPr>
      </w:pPr>
      <w:r>
        <w:rPr>
          <w:rFonts w:hint="eastAsia" w:ascii="宋体" w:hAnsi="宋体" w:eastAsia="宋体"/>
        </w:rPr>
        <w:t>地点：</w:t>
      </w:r>
      <w:r>
        <w:rPr>
          <w:rFonts w:hint="eastAsia" w:ascii="宋体" w:hAnsi="宋体" w:eastAsia="宋体"/>
          <w:szCs w:val="21"/>
        </w:rPr>
        <w:t>广东省广州市</w:t>
      </w:r>
      <w:r>
        <w:rPr>
          <w:rFonts w:hint="eastAsia" w:ascii="宋体" w:hAnsi="宋体" w:eastAsia="宋体" w:cs="Times New Roman"/>
          <w:szCs w:val="21"/>
        </w:rPr>
        <w:t>南沙区横沥镇洪沥大道北侧王老吉大健康南沙基地(一期)工厂内。</w:t>
      </w:r>
    </w:p>
    <w:p>
      <w:pPr>
        <w:numPr>
          <w:ilvl w:val="0"/>
          <w:numId w:val="3"/>
        </w:numPr>
        <w:spacing w:before="156" w:beforeLines="50" w:line="360" w:lineRule="auto"/>
        <w:rPr>
          <w:rFonts w:ascii="宋体" w:hAnsi="宋体" w:eastAsia="宋体"/>
        </w:rPr>
      </w:pPr>
      <w:r>
        <w:rPr>
          <w:rFonts w:hint="eastAsia" w:ascii="宋体" w:hAnsi="宋体" w:eastAsia="宋体"/>
        </w:rPr>
        <w:t>工作环境：厂房室内一般区。</w:t>
      </w:r>
    </w:p>
    <w:p>
      <w:pPr>
        <w:widowControl/>
        <w:numPr>
          <w:ilvl w:val="0"/>
          <w:numId w:val="1"/>
        </w:numPr>
        <w:spacing w:before="156" w:beforeLines="50" w:line="360" w:lineRule="auto"/>
        <w:jc w:val="left"/>
        <w:rPr>
          <w:rFonts w:ascii="宋体" w:hAnsi="宋体" w:eastAsia="宋体"/>
          <w:b/>
        </w:rPr>
      </w:pPr>
      <w:bookmarkStart w:id="4" w:name="_Hlk109400350"/>
      <w:r>
        <w:rPr>
          <w:rFonts w:hint="eastAsia" w:ascii="宋体" w:hAnsi="宋体" w:eastAsia="宋体"/>
          <w:b/>
        </w:rPr>
        <w:t>总体要求</w:t>
      </w:r>
    </w:p>
    <w:bookmarkEnd w:id="4"/>
    <w:p>
      <w:pPr>
        <w:pStyle w:val="8"/>
        <w:widowControl/>
        <w:numPr>
          <w:ilvl w:val="3"/>
          <w:numId w:val="4"/>
        </w:numPr>
        <w:spacing w:before="156" w:beforeLines="50" w:line="360" w:lineRule="auto"/>
        <w:ind w:firstLineChars="0"/>
        <w:jc w:val="left"/>
        <w:rPr>
          <w:rFonts w:ascii="宋体" w:hAnsi="宋体" w:eastAsia="宋体"/>
        </w:rPr>
      </w:pPr>
      <w:bookmarkStart w:id="5" w:name="_Hlk109400377"/>
      <w:r>
        <w:rPr>
          <w:rFonts w:ascii="宋体" w:hAnsi="宋体" w:eastAsia="宋体"/>
        </w:rPr>
        <w:t>本工程是交钥匙项目，</w:t>
      </w:r>
      <w:r>
        <w:rPr>
          <w:rFonts w:hint="eastAsia" w:ascii="宋体" w:hAnsi="宋体" w:eastAsia="宋体"/>
        </w:rPr>
        <w:t>投标方</w:t>
      </w:r>
      <w:r>
        <w:rPr>
          <w:rFonts w:ascii="宋体" w:hAnsi="宋体" w:eastAsia="宋体"/>
        </w:rPr>
        <w:t>将对该项目</w:t>
      </w:r>
      <w:r>
        <w:rPr>
          <w:rFonts w:hint="eastAsia" w:ascii="宋体" w:hAnsi="宋体" w:eastAsia="宋体"/>
          <w:color w:val="000000" w:themeColor="text1"/>
          <w:szCs w:val="21"/>
          <w14:textFill>
            <w14:solidFill>
              <w14:schemeClr w14:val="tx1"/>
            </w14:solidFill>
          </w14:textFill>
        </w:rPr>
        <w:t>塑料托盘</w:t>
      </w:r>
      <w:r>
        <w:rPr>
          <w:rFonts w:ascii="宋体" w:hAnsi="宋体" w:eastAsia="宋体"/>
        </w:rPr>
        <w:t>的总体性、成套性和稳定性等负责。</w:t>
      </w:r>
    </w:p>
    <w:p>
      <w:pPr>
        <w:pStyle w:val="8"/>
        <w:widowControl/>
        <w:numPr>
          <w:ilvl w:val="3"/>
          <w:numId w:val="4"/>
        </w:numPr>
        <w:spacing w:before="156" w:beforeLines="50" w:line="360" w:lineRule="auto"/>
        <w:ind w:firstLineChars="0"/>
        <w:jc w:val="left"/>
        <w:rPr>
          <w:rFonts w:ascii="宋体" w:hAnsi="宋体" w:eastAsia="宋体"/>
        </w:rPr>
      </w:pPr>
      <w:r>
        <w:rPr>
          <w:rFonts w:hint="eastAsia" w:ascii="宋体" w:hAnsi="宋体" w:eastAsia="宋体"/>
        </w:rPr>
        <w:t>投标方</w:t>
      </w:r>
      <w:r>
        <w:rPr>
          <w:rFonts w:ascii="宋体" w:hAnsi="宋体" w:eastAsia="宋体"/>
        </w:rPr>
        <w:t>在提交的技术文件中，要逐项响应。若标记★内容有一项或以上没有响应（不允许负偏离），视为无效投标。</w:t>
      </w:r>
    </w:p>
    <w:p>
      <w:pPr>
        <w:pStyle w:val="8"/>
        <w:widowControl/>
        <w:numPr>
          <w:ilvl w:val="3"/>
          <w:numId w:val="4"/>
        </w:numPr>
        <w:spacing w:before="156" w:beforeLines="50" w:line="360" w:lineRule="auto"/>
        <w:ind w:firstLineChars="0"/>
        <w:jc w:val="left"/>
        <w:rPr>
          <w:rFonts w:ascii="宋体" w:hAnsi="宋体" w:eastAsia="宋体"/>
        </w:rPr>
      </w:pPr>
      <w:r>
        <w:rPr>
          <w:rFonts w:ascii="宋体" w:hAnsi="宋体" w:eastAsia="宋体"/>
        </w:rPr>
        <w:t>投标文件中，与招标技术要求有差异之处，必须汇集填写到《技术要求偏离表》中。本用户需求的相关内容，没有在投标文件的技术规格偏离表中注明偏离（文字说明或在投标差异表中注明）的参数、配置、条款视为被</w:t>
      </w:r>
      <w:r>
        <w:rPr>
          <w:rFonts w:hint="eastAsia" w:ascii="宋体" w:hAnsi="宋体" w:eastAsia="宋体"/>
        </w:rPr>
        <w:t>投标方</w:t>
      </w:r>
      <w:r>
        <w:rPr>
          <w:rFonts w:ascii="宋体" w:hAnsi="宋体" w:eastAsia="宋体"/>
        </w:rPr>
        <w:t>完全接受。</w:t>
      </w:r>
    </w:p>
    <w:p>
      <w:pPr>
        <w:pStyle w:val="8"/>
        <w:widowControl/>
        <w:numPr>
          <w:ilvl w:val="3"/>
          <w:numId w:val="4"/>
        </w:numPr>
        <w:spacing w:before="156" w:beforeLines="50" w:line="360" w:lineRule="auto"/>
        <w:ind w:firstLineChars="0"/>
        <w:jc w:val="left"/>
        <w:rPr>
          <w:rFonts w:ascii="宋体" w:hAnsi="宋体" w:eastAsia="宋体"/>
        </w:rPr>
      </w:pPr>
      <w:r>
        <w:rPr>
          <w:rFonts w:ascii="宋体" w:hAnsi="宋体" w:eastAsia="宋体"/>
        </w:rPr>
        <w:t>投标文件中，涉及量化指标必须明确应答，材料提供对应的检测报告和图样。</w:t>
      </w:r>
    </w:p>
    <w:p>
      <w:pPr>
        <w:pStyle w:val="8"/>
        <w:widowControl/>
        <w:numPr>
          <w:ilvl w:val="3"/>
          <w:numId w:val="4"/>
        </w:numPr>
        <w:spacing w:before="156" w:beforeLines="50" w:line="360" w:lineRule="auto"/>
        <w:ind w:firstLineChars="0"/>
        <w:jc w:val="left"/>
        <w:rPr>
          <w:rFonts w:ascii="宋体" w:hAnsi="宋体" w:eastAsia="宋体"/>
        </w:rPr>
      </w:pPr>
      <w:r>
        <w:rPr>
          <w:rFonts w:hint="eastAsia" w:ascii="宋体" w:hAnsi="宋体" w:eastAsia="宋体"/>
        </w:rPr>
        <w:t>投标方负责将所供标的货物运到招标方的工地现场，并负责所供塑料托盘的设计、采购、供货、运输、装卸、保管、</w:t>
      </w:r>
      <w:r>
        <w:rPr>
          <w:rFonts w:hint="eastAsia" w:ascii="宋体" w:hAnsi="宋体" w:eastAsia="宋体"/>
          <w:szCs w:val="21"/>
        </w:rPr>
        <w:t>检验</w:t>
      </w:r>
      <w:r>
        <w:rPr>
          <w:rFonts w:hint="eastAsia" w:ascii="宋体" w:hAnsi="宋体" w:eastAsia="宋体" w:cs="Times New Roman"/>
          <w:kern w:val="0"/>
          <w:szCs w:val="21"/>
        </w:rPr>
        <w:t>及</w:t>
      </w:r>
      <w:r>
        <w:rPr>
          <w:rFonts w:hint="eastAsia" w:ascii="宋体" w:hAnsi="宋体" w:eastAsia="宋体"/>
        </w:rPr>
        <w:t>售后服务等。</w:t>
      </w:r>
    </w:p>
    <w:bookmarkEnd w:id="5"/>
    <w:p>
      <w:pPr>
        <w:widowControl/>
        <w:numPr>
          <w:ilvl w:val="0"/>
          <w:numId w:val="1"/>
        </w:numPr>
        <w:spacing w:before="156" w:beforeLines="50" w:line="360" w:lineRule="auto"/>
        <w:jc w:val="left"/>
        <w:rPr>
          <w:rFonts w:ascii="宋体" w:hAnsi="宋体" w:eastAsia="宋体"/>
          <w:b/>
        </w:rPr>
      </w:pPr>
      <w:r>
        <w:rPr>
          <w:rFonts w:hint="eastAsia" w:ascii="宋体" w:hAnsi="宋体" w:eastAsia="宋体"/>
          <w:b/>
        </w:rPr>
        <w:t>工程界限</w:t>
      </w:r>
    </w:p>
    <w:p>
      <w:pPr>
        <w:widowControl/>
        <w:numPr>
          <w:ilvl w:val="0"/>
          <w:numId w:val="5"/>
        </w:numPr>
        <w:spacing w:before="156" w:beforeLines="50" w:line="360" w:lineRule="auto"/>
        <w:jc w:val="left"/>
        <w:rPr>
          <w:rFonts w:ascii="宋体" w:hAnsi="宋体" w:eastAsia="宋体" w:cs="Times New Roman"/>
          <w:kern w:val="0"/>
          <w:szCs w:val="21"/>
        </w:rPr>
      </w:pPr>
      <w:r>
        <w:rPr>
          <w:rFonts w:hint="eastAsia" w:ascii="宋体" w:hAnsi="宋体" w:eastAsia="宋体"/>
          <w:b/>
        </w:rPr>
        <w:t>投标方负责本项目</w:t>
      </w:r>
      <w:r>
        <w:rPr>
          <w:rFonts w:hint="eastAsia" w:ascii="宋体" w:hAnsi="宋体" w:eastAsia="宋体"/>
          <w:szCs w:val="21"/>
        </w:rPr>
        <w:t>所有</w:t>
      </w:r>
      <w:r>
        <w:rPr>
          <w:rFonts w:hint="eastAsia" w:ascii="宋体" w:hAnsi="宋体" w:eastAsia="宋体" w:cs="Times New Roman"/>
          <w:kern w:val="0"/>
          <w:szCs w:val="21"/>
        </w:rPr>
        <w:t>塑料托盘的设计、制作、采购、运输、装卸、保管、</w:t>
      </w:r>
      <w:r>
        <w:rPr>
          <w:rFonts w:hint="eastAsia" w:ascii="宋体" w:hAnsi="宋体" w:eastAsia="宋体"/>
          <w:szCs w:val="21"/>
        </w:rPr>
        <w:t>检验</w:t>
      </w:r>
      <w:r>
        <w:rPr>
          <w:rFonts w:hint="eastAsia" w:ascii="宋体" w:hAnsi="宋体" w:eastAsia="宋体" w:cs="Times New Roman"/>
          <w:kern w:val="0"/>
          <w:szCs w:val="21"/>
        </w:rPr>
        <w:t>及相关服务。</w:t>
      </w:r>
    </w:p>
    <w:p>
      <w:pPr>
        <w:widowControl/>
        <w:numPr>
          <w:ilvl w:val="0"/>
          <w:numId w:val="5"/>
        </w:numPr>
        <w:spacing w:before="156" w:beforeLines="50" w:line="360" w:lineRule="auto"/>
        <w:jc w:val="left"/>
        <w:rPr>
          <w:rFonts w:ascii="宋体" w:hAnsi="宋体" w:eastAsia="宋体"/>
          <w:color w:val="000000"/>
        </w:rPr>
      </w:pPr>
      <w:r>
        <w:rPr>
          <w:rFonts w:ascii="宋体" w:hAnsi="宋体" w:eastAsia="宋体"/>
          <w:color w:val="000000"/>
        </w:rPr>
        <w:t>投标方在收到中标通知书后7个工作日内提供卡板尺寸，及制造要求和图纸，经招标方审核后，才可开始制作，并接受招标方的过程监造。</w:t>
      </w:r>
    </w:p>
    <w:p>
      <w:pPr>
        <w:widowControl/>
        <w:numPr>
          <w:ilvl w:val="0"/>
          <w:numId w:val="5"/>
        </w:numPr>
        <w:spacing w:before="156" w:beforeLines="50" w:line="360" w:lineRule="auto"/>
        <w:jc w:val="left"/>
        <w:rPr>
          <w:rFonts w:ascii="宋体" w:hAnsi="宋体" w:eastAsia="宋体"/>
          <w:color w:val="000000"/>
        </w:rPr>
      </w:pPr>
      <w:r>
        <w:rPr>
          <w:rFonts w:ascii="宋体" w:hAnsi="宋体" w:eastAsia="宋体"/>
          <w:color w:val="000000"/>
        </w:rPr>
        <w:t>投标方负责本项目所有托盘塑料托一维条形码</w:t>
      </w:r>
      <w:r>
        <w:rPr>
          <w:rFonts w:hint="eastAsia" w:ascii="宋体" w:hAnsi="宋体" w:eastAsia="宋体"/>
          <w:color w:val="000000"/>
        </w:rPr>
        <w:t>标签</w:t>
      </w:r>
      <w:r>
        <w:rPr>
          <w:rFonts w:ascii="宋体" w:hAnsi="宋体" w:eastAsia="宋体"/>
          <w:color w:val="000000"/>
        </w:rPr>
        <w:t>设计、采购和安装（</w:t>
      </w:r>
      <w:r>
        <w:rPr>
          <w:rFonts w:hint="eastAsia" w:ascii="宋体" w:hAnsi="宋体" w:eastAsia="宋体"/>
          <w:color w:val="000000"/>
        </w:rPr>
        <w:t>在</w:t>
      </w:r>
      <w:r>
        <w:rPr>
          <w:rFonts w:ascii="宋体" w:hAnsi="宋体" w:eastAsia="宋体"/>
          <w:color w:val="000000"/>
        </w:rPr>
        <w:t>托盘1200mm方向</w:t>
      </w:r>
      <w:r>
        <w:rPr>
          <w:rFonts w:hint="eastAsia" w:ascii="宋体" w:hAnsi="宋体" w:eastAsia="宋体"/>
          <w:color w:val="000000"/>
        </w:rPr>
        <w:t>和</w:t>
      </w:r>
      <w:r>
        <w:rPr>
          <w:rFonts w:ascii="宋体" w:hAnsi="宋体" w:eastAsia="宋体"/>
          <w:color w:val="000000"/>
        </w:rPr>
        <w:t>1000mm方向中间支腿凹槽上4面粘贴一维条形码标签，每个凹槽面粘贴一维条形码标签</w:t>
      </w:r>
      <w:r>
        <w:rPr>
          <w:rFonts w:hint="eastAsia" w:ascii="宋体" w:hAnsi="宋体" w:eastAsia="宋体"/>
          <w:color w:val="000000"/>
        </w:rPr>
        <w:t>；</w:t>
      </w:r>
      <w:r>
        <w:rPr>
          <w:rFonts w:ascii="宋体" w:hAnsi="宋体" w:eastAsia="宋体"/>
          <w:color w:val="000000"/>
        </w:rPr>
        <w:t>标签大小：100mm×60mm，竖着贴</w:t>
      </w:r>
      <w:r>
        <w:rPr>
          <w:rFonts w:hint="eastAsia" w:ascii="宋体" w:hAnsi="宋体" w:eastAsia="宋体"/>
          <w:color w:val="000000"/>
        </w:rPr>
        <w:t>。</w:t>
      </w:r>
      <w:r>
        <w:rPr>
          <w:rFonts w:ascii="宋体" w:hAnsi="宋体" w:eastAsia="宋体"/>
          <w:color w:val="000000"/>
        </w:rPr>
        <w:t>中标后投标方出具方案并送招标方审核确认），并配合招标方自动立体仓库的自动</w:t>
      </w:r>
      <w:r>
        <w:rPr>
          <w:rFonts w:hint="eastAsia" w:ascii="宋体" w:hAnsi="宋体" w:eastAsia="宋体"/>
          <w:color w:val="000000"/>
        </w:rPr>
        <w:t>机器人码垛机、</w:t>
      </w:r>
      <w:r>
        <w:rPr>
          <w:rFonts w:ascii="宋体" w:hAnsi="宋体" w:eastAsia="宋体"/>
          <w:color w:val="000000"/>
        </w:rPr>
        <w:t>出库和入库自动识别调试等工作。</w:t>
      </w:r>
    </w:p>
    <w:p>
      <w:pPr>
        <w:widowControl/>
        <w:numPr>
          <w:ilvl w:val="0"/>
          <w:numId w:val="5"/>
        </w:numPr>
        <w:spacing w:before="156" w:beforeLines="50" w:line="360" w:lineRule="auto"/>
        <w:jc w:val="left"/>
        <w:rPr>
          <w:rFonts w:ascii="宋体" w:hAnsi="宋体" w:eastAsia="宋体"/>
          <w:color w:val="000000"/>
        </w:rPr>
      </w:pPr>
      <w:r>
        <w:rPr>
          <w:rFonts w:ascii="宋体" w:hAnsi="宋体" w:eastAsia="宋体"/>
          <w:color w:val="000000"/>
        </w:rPr>
        <w:t>投标方负责所有塑料托盘表面设计有招标方的LOGO（对角</w:t>
      </w:r>
      <w:r>
        <w:rPr>
          <w:rFonts w:hint="eastAsia" w:ascii="宋体" w:hAnsi="宋体" w:eastAsia="宋体"/>
          <w:color w:val="000000"/>
        </w:rPr>
        <w:t>2个位置</w:t>
      </w:r>
      <w:r>
        <w:rPr>
          <w:rFonts w:ascii="宋体" w:hAnsi="宋体" w:eastAsia="宋体"/>
          <w:color w:val="000000"/>
        </w:rPr>
        <w:t>设计），待中标后</w:t>
      </w:r>
      <w:r>
        <w:rPr>
          <w:rFonts w:hint="eastAsia" w:ascii="宋体" w:hAnsi="宋体" w:eastAsia="宋体"/>
          <w:color w:val="000000"/>
        </w:rPr>
        <w:t>出具方案并</w:t>
      </w:r>
      <w:r>
        <w:rPr>
          <w:rFonts w:ascii="宋体" w:hAnsi="宋体" w:eastAsia="宋体"/>
          <w:color w:val="000000"/>
        </w:rPr>
        <w:t>送招标方确认具体样式。</w:t>
      </w:r>
    </w:p>
    <w:p>
      <w:pPr>
        <w:widowControl/>
        <w:numPr>
          <w:ilvl w:val="0"/>
          <w:numId w:val="5"/>
        </w:numPr>
        <w:spacing w:before="156" w:beforeLines="50" w:line="360" w:lineRule="auto"/>
        <w:jc w:val="left"/>
        <w:rPr>
          <w:rFonts w:ascii="宋体" w:hAnsi="宋体" w:eastAsia="宋体" w:cs="Times New Roman"/>
          <w:kern w:val="0"/>
          <w:szCs w:val="21"/>
        </w:rPr>
      </w:pPr>
      <w:r>
        <w:rPr>
          <w:rFonts w:hint="eastAsia" w:ascii="宋体" w:hAnsi="宋体" w:eastAsia="宋体"/>
        </w:rPr>
        <w:t>投标方负责委托具备检测资质的第三方机构对本项目塑料托盘进行的材料、性能等检验检测，并移交检验检测报告等相关资料，相关费用由投标方负责。招标方有权对投标方所提供的塑料托盘根据实际需求随机抽样（抽样数量不超过</w:t>
      </w:r>
      <w:r>
        <w:rPr>
          <w:rFonts w:ascii="宋体" w:hAnsi="宋体" w:eastAsia="宋体"/>
        </w:rPr>
        <w:t>5块）；检测费用由招标方先行垫付，若检测结果不符合相关质量标准规定，检测费用由投标方承担，检测不合格货物无条件免费更换，所产生的一切费用由投标方负责</w:t>
      </w:r>
      <w:r>
        <w:rPr>
          <w:rFonts w:hint="eastAsia" w:ascii="宋体" w:hAnsi="宋体" w:eastAsia="宋体"/>
        </w:rPr>
        <w:t>。</w:t>
      </w:r>
    </w:p>
    <w:p>
      <w:pPr>
        <w:widowControl/>
        <w:numPr>
          <w:ilvl w:val="0"/>
          <w:numId w:val="1"/>
        </w:numPr>
        <w:spacing w:before="156" w:beforeLines="50" w:line="360" w:lineRule="auto"/>
        <w:jc w:val="left"/>
        <w:rPr>
          <w:rFonts w:ascii="宋体" w:hAnsi="宋体" w:eastAsia="宋体"/>
          <w:b/>
        </w:rPr>
      </w:pPr>
      <w:r>
        <w:rPr>
          <w:rFonts w:hint="eastAsia" w:ascii="宋体" w:hAnsi="宋体" w:eastAsia="宋体"/>
          <w:b/>
        </w:rPr>
        <w:t>塑料托盘技术要求</w:t>
      </w:r>
    </w:p>
    <w:p>
      <w:pPr>
        <w:pStyle w:val="8"/>
        <w:numPr>
          <w:ilvl w:val="0"/>
          <w:numId w:val="6"/>
        </w:numPr>
        <w:spacing w:before="156" w:beforeLines="50" w:line="360" w:lineRule="auto"/>
        <w:ind w:firstLineChars="0"/>
        <w:contextualSpacing/>
        <w:rPr>
          <w:rFonts w:ascii="宋体" w:hAnsi="宋体" w:eastAsia="宋体"/>
        </w:rPr>
      </w:pPr>
      <w:r>
        <w:rPr>
          <w:rFonts w:hint="eastAsia" w:ascii="宋体" w:hAnsi="宋体" w:eastAsia="宋体"/>
        </w:rPr>
        <w:t>川字底单面平板四向进叉塑料托盘；</w:t>
      </w:r>
    </w:p>
    <w:p>
      <w:pPr>
        <w:pStyle w:val="8"/>
        <w:numPr>
          <w:ilvl w:val="0"/>
          <w:numId w:val="6"/>
        </w:numPr>
        <w:spacing w:before="156" w:beforeLines="50" w:line="360" w:lineRule="auto"/>
        <w:ind w:firstLineChars="0"/>
        <w:contextualSpacing/>
        <w:rPr>
          <w:rFonts w:ascii="宋体" w:hAnsi="宋体" w:eastAsia="宋体"/>
        </w:rPr>
      </w:pPr>
      <w:r>
        <w:rPr>
          <w:rFonts w:hint="eastAsia" w:ascii="宋体" w:hAnsi="宋体" w:eastAsia="宋体"/>
        </w:rPr>
        <w:t>塑料托盘数量：</w:t>
      </w:r>
      <w:r>
        <w:rPr>
          <w:rFonts w:ascii="宋体" w:hAnsi="宋体" w:eastAsia="宋体"/>
        </w:rPr>
        <w:t>16000</w:t>
      </w:r>
      <w:r>
        <w:rPr>
          <w:rFonts w:hint="eastAsia" w:ascii="宋体" w:hAnsi="宋体" w:eastAsia="宋体"/>
        </w:rPr>
        <w:t>块；</w:t>
      </w:r>
    </w:p>
    <w:p>
      <w:pPr>
        <w:pStyle w:val="8"/>
        <w:numPr>
          <w:ilvl w:val="0"/>
          <w:numId w:val="6"/>
        </w:numPr>
        <w:spacing w:before="156" w:beforeLines="50" w:line="360" w:lineRule="auto"/>
        <w:ind w:firstLineChars="0"/>
        <w:contextualSpacing/>
        <w:jc w:val="left"/>
        <w:rPr>
          <w:rFonts w:ascii="宋体" w:hAnsi="宋体" w:eastAsia="宋体"/>
        </w:rPr>
      </w:pPr>
      <w:r>
        <w:rPr>
          <w:rFonts w:hint="eastAsia" w:ascii="宋体" w:hAnsi="宋体" w:eastAsia="宋体"/>
        </w:rPr>
        <w:t>★外观尺寸：长×宽×高：1200</w:t>
      </w:r>
      <w:r>
        <w:rPr>
          <w:rFonts w:ascii="宋体" w:hAnsi="宋体" w:eastAsia="宋体"/>
        </w:rPr>
        <w:t>mm</w:t>
      </w:r>
      <w:r>
        <w:rPr>
          <w:rFonts w:hint="eastAsia" w:ascii="宋体" w:hAnsi="宋体" w:eastAsia="宋体"/>
        </w:rPr>
        <w:t>×1000</w:t>
      </w:r>
      <w:r>
        <w:rPr>
          <w:rFonts w:ascii="宋体" w:hAnsi="宋体" w:eastAsia="宋体"/>
        </w:rPr>
        <w:t>mm</w:t>
      </w:r>
      <w:r>
        <w:rPr>
          <w:rFonts w:hint="eastAsia" w:ascii="宋体" w:hAnsi="宋体" w:eastAsia="宋体"/>
        </w:rPr>
        <w:t>×160/170mm，堆垛机叉孔尺寸≥1</w:t>
      </w:r>
      <w:r>
        <w:rPr>
          <w:rFonts w:ascii="宋体" w:hAnsi="宋体" w:eastAsia="宋体"/>
        </w:rPr>
        <w:t>1</w:t>
      </w:r>
      <w:r>
        <w:rPr>
          <w:rFonts w:hint="eastAsia" w:ascii="宋体" w:hAnsi="宋体" w:eastAsia="宋体"/>
        </w:rPr>
        <w:t>0mm；塑料托盘尺寸参考示意图</w:t>
      </w:r>
      <w:r>
        <w:rPr>
          <w:rFonts w:ascii="宋体" w:hAnsi="宋体" w:eastAsia="宋体"/>
        </w:rPr>
        <w:drawing>
          <wp:inline distT="0" distB="0" distL="0" distR="0">
            <wp:extent cx="5273675" cy="3810635"/>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3675" cy="3810635"/>
                    </a:xfrm>
                    <a:prstGeom prst="rect">
                      <a:avLst/>
                    </a:prstGeom>
                    <a:noFill/>
                  </pic:spPr>
                </pic:pic>
              </a:graphicData>
            </a:graphic>
          </wp:inline>
        </w:drawing>
      </w:r>
    </w:p>
    <w:p>
      <w:pPr>
        <w:pStyle w:val="8"/>
        <w:numPr>
          <w:ilvl w:val="0"/>
          <w:numId w:val="6"/>
        </w:numPr>
        <w:spacing w:before="156" w:beforeLines="50" w:line="360" w:lineRule="auto"/>
        <w:ind w:firstLineChars="0"/>
        <w:contextualSpacing/>
        <w:rPr>
          <w:rFonts w:ascii="宋体" w:hAnsi="宋体" w:eastAsia="宋体"/>
        </w:rPr>
      </w:pPr>
      <w:r>
        <w:rPr>
          <w:rFonts w:hint="eastAsia" w:ascii="宋体" w:hAnsi="宋体" w:eastAsia="宋体"/>
        </w:rPr>
        <w:t>★原料：抗冲击高密度聚乙烯（HDPE）；采用全新料；</w:t>
      </w:r>
      <w:r>
        <w:rPr>
          <w:rFonts w:ascii="宋体" w:hAnsi="宋体" w:eastAsia="宋体"/>
        </w:rPr>
        <w:t xml:space="preserve"> </w:t>
      </w:r>
    </w:p>
    <w:p>
      <w:pPr>
        <w:pStyle w:val="8"/>
        <w:numPr>
          <w:ilvl w:val="0"/>
          <w:numId w:val="6"/>
        </w:numPr>
        <w:spacing w:before="156" w:beforeLines="50" w:line="360" w:lineRule="auto"/>
        <w:ind w:firstLineChars="0"/>
        <w:contextualSpacing/>
        <w:rPr>
          <w:rFonts w:ascii="宋体" w:hAnsi="宋体" w:eastAsia="宋体"/>
        </w:rPr>
      </w:pPr>
      <w:r>
        <w:rPr>
          <w:rFonts w:hint="eastAsia" w:ascii="宋体" w:hAnsi="宋体" w:eastAsia="宋体"/>
        </w:rPr>
        <w:t>★颜色：白色；</w:t>
      </w:r>
    </w:p>
    <w:p>
      <w:pPr>
        <w:pStyle w:val="8"/>
        <w:numPr>
          <w:ilvl w:val="0"/>
          <w:numId w:val="6"/>
        </w:numPr>
        <w:spacing w:before="156" w:beforeLines="50" w:line="360" w:lineRule="auto"/>
        <w:ind w:firstLineChars="0"/>
        <w:contextualSpacing/>
        <w:rPr>
          <w:rFonts w:ascii="宋体" w:hAnsi="宋体" w:eastAsia="宋体"/>
        </w:rPr>
      </w:pPr>
      <w:r>
        <w:rPr>
          <w:rFonts w:hint="eastAsia" w:ascii="宋体" w:hAnsi="宋体" w:eastAsia="宋体"/>
        </w:rPr>
        <w:t xml:space="preserve">★塑料托盘总重量： </w:t>
      </w:r>
      <w:bookmarkStart w:id="6" w:name="_Toc317680059"/>
      <w:r>
        <w:rPr>
          <w:rFonts w:ascii="宋体" w:hAnsi="宋体" w:eastAsia="宋体"/>
        </w:rPr>
        <w:t>≥</w:t>
      </w:r>
      <w:r>
        <w:rPr>
          <w:rFonts w:hint="eastAsia" w:ascii="宋体" w:hAnsi="宋体" w:eastAsia="宋体"/>
        </w:rPr>
        <w:t xml:space="preserve"> 28.5kg，其中塑料重量＞1</w:t>
      </w:r>
      <w:r>
        <w:rPr>
          <w:rFonts w:ascii="宋体" w:hAnsi="宋体" w:eastAsia="宋体"/>
        </w:rPr>
        <w:t>6</w:t>
      </w:r>
      <w:r>
        <w:rPr>
          <w:rFonts w:hint="eastAsia" w:ascii="宋体" w:hAnsi="宋体" w:eastAsia="宋体"/>
        </w:rPr>
        <w:t>.5kg；</w:t>
      </w:r>
    </w:p>
    <w:p>
      <w:pPr>
        <w:pStyle w:val="8"/>
        <w:numPr>
          <w:ilvl w:val="0"/>
          <w:numId w:val="6"/>
        </w:numPr>
        <w:spacing w:before="156" w:beforeLines="50" w:line="360" w:lineRule="auto"/>
        <w:ind w:firstLineChars="0"/>
        <w:contextualSpacing/>
        <w:rPr>
          <w:rFonts w:ascii="宋体" w:hAnsi="宋体" w:eastAsia="宋体"/>
        </w:rPr>
      </w:pPr>
      <w:r>
        <w:rPr>
          <w:rFonts w:hint="eastAsia" w:ascii="宋体" w:hAnsi="宋体" w:eastAsia="宋体"/>
        </w:rPr>
        <w:t>投标时提供</w:t>
      </w:r>
      <w:r>
        <w:rPr>
          <w:rFonts w:ascii="宋体" w:hAnsi="宋体" w:eastAsia="宋体"/>
        </w:rPr>
        <w:t>1块</w:t>
      </w:r>
      <w:r>
        <w:rPr>
          <w:rFonts w:hint="eastAsia" w:ascii="宋体" w:hAnsi="宋体" w:eastAsia="宋体"/>
        </w:rPr>
        <w:t>塑料</w:t>
      </w:r>
      <w:r>
        <w:rPr>
          <w:rFonts w:ascii="宋体" w:hAnsi="宋体" w:eastAsia="宋体"/>
        </w:rPr>
        <w:t>托盘样品确认及需要提供</w:t>
      </w:r>
      <w:r>
        <w:rPr>
          <w:rFonts w:hint="eastAsia" w:ascii="宋体" w:hAnsi="宋体" w:eastAsia="宋体"/>
        </w:rPr>
        <w:t>塑料</w:t>
      </w:r>
      <w:r>
        <w:rPr>
          <w:rFonts w:ascii="宋体" w:hAnsi="宋体" w:eastAsia="宋体"/>
        </w:rPr>
        <w:t>托盘设计方案图纸</w:t>
      </w:r>
      <w:r>
        <w:rPr>
          <w:rFonts w:hint="eastAsia" w:ascii="宋体" w:hAnsi="宋体" w:eastAsia="宋体"/>
        </w:rPr>
        <w:t>；</w:t>
      </w:r>
    </w:p>
    <w:p>
      <w:pPr>
        <w:pStyle w:val="8"/>
        <w:numPr>
          <w:ilvl w:val="0"/>
          <w:numId w:val="6"/>
        </w:numPr>
        <w:spacing w:before="156" w:beforeLines="50" w:line="360" w:lineRule="auto"/>
        <w:ind w:firstLineChars="0"/>
        <w:contextualSpacing/>
        <w:rPr>
          <w:rFonts w:ascii="宋体" w:hAnsi="宋体" w:eastAsia="宋体"/>
        </w:rPr>
      </w:pPr>
      <w:r>
        <w:rPr>
          <w:rFonts w:hint="eastAsia" w:ascii="宋体" w:hAnsi="宋体" w:eastAsia="宋体"/>
        </w:rPr>
        <w:t>在生产时，招标方可安排人员到现场确认；</w:t>
      </w:r>
    </w:p>
    <w:p>
      <w:pPr>
        <w:pStyle w:val="8"/>
        <w:numPr>
          <w:ilvl w:val="0"/>
          <w:numId w:val="6"/>
        </w:numPr>
        <w:spacing w:before="156" w:beforeLines="50" w:line="360" w:lineRule="auto"/>
        <w:ind w:firstLineChars="0"/>
        <w:contextualSpacing/>
        <w:rPr>
          <w:rFonts w:ascii="宋体" w:hAnsi="宋体" w:eastAsia="宋体"/>
        </w:rPr>
      </w:pPr>
      <w:r>
        <w:rPr>
          <w:rFonts w:hint="eastAsia" w:ascii="宋体" w:hAnsi="宋体" w:eastAsia="宋体"/>
        </w:rPr>
        <w:t>塑料托盘的承重能力</w:t>
      </w:r>
      <w:bookmarkEnd w:id="6"/>
      <w:r>
        <w:rPr>
          <w:rFonts w:hint="eastAsia" w:ascii="宋体" w:hAnsi="宋体" w:eastAsia="宋体"/>
        </w:rPr>
        <w:t>要求：</w:t>
      </w:r>
    </w:p>
    <w:p>
      <w:pPr>
        <w:pStyle w:val="8"/>
        <w:numPr>
          <w:ilvl w:val="0"/>
          <w:numId w:val="7"/>
        </w:numPr>
        <w:spacing w:before="156" w:beforeLines="50" w:line="360" w:lineRule="auto"/>
        <w:ind w:firstLineChars="0"/>
        <w:rPr>
          <w:rFonts w:ascii="宋体" w:hAnsi="宋体" w:eastAsia="宋体" w:cs="Times New Roman"/>
          <w:sz w:val="24"/>
          <w:szCs w:val="24"/>
        </w:rPr>
      </w:pPr>
      <w:r>
        <w:rPr>
          <w:rFonts w:hint="eastAsia" w:ascii="宋体" w:hAnsi="宋体" w:eastAsia="宋体"/>
        </w:rPr>
        <w:t>静态载荷：指托盘放在水平且刚性的平面上，货物均匀平铺在托盘上，托盘所能承受的最大载荷重量。该托盘的静态载荷为：</w:t>
      </w:r>
      <w:r>
        <w:rPr>
          <w:rFonts w:ascii="宋体" w:hAnsi="宋体" w:eastAsia="宋体"/>
        </w:rPr>
        <w:t>≥</w:t>
      </w:r>
      <w:r>
        <w:rPr>
          <w:rFonts w:hint="eastAsia" w:ascii="宋体" w:hAnsi="宋体" w:eastAsia="宋体"/>
        </w:rPr>
        <w:t>6t。</w:t>
      </w:r>
    </w:p>
    <w:p>
      <w:pPr>
        <w:pStyle w:val="8"/>
        <w:numPr>
          <w:ilvl w:val="0"/>
          <w:numId w:val="7"/>
        </w:numPr>
        <w:spacing w:before="156" w:beforeLines="50" w:line="360" w:lineRule="auto"/>
        <w:ind w:firstLineChars="0"/>
        <w:rPr>
          <w:rFonts w:ascii="宋体" w:hAnsi="宋体" w:eastAsia="宋体"/>
        </w:rPr>
      </w:pPr>
      <w:r>
        <w:rPr>
          <w:rFonts w:hint="eastAsia" w:ascii="宋体" w:hAnsi="宋体" w:eastAsia="宋体"/>
        </w:rPr>
        <w:t>动态载荷：指在使用叉车等搬运设备时，托盘在动态作业中，托盘上货物铺均匀摆放，所能承受的最大载荷重量。该托盘的动态载荷为：</w:t>
      </w:r>
      <w:r>
        <w:rPr>
          <w:rFonts w:ascii="宋体" w:hAnsi="宋体" w:eastAsia="宋体"/>
        </w:rPr>
        <w:t>≥</w:t>
      </w:r>
      <w:r>
        <w:rPr>
          <w:rFonts w:hint="eastAsia" w:ascii="宋体" w:hAnsi="宋体" w:eastAsia="宋体"/>
        </w:rPr>
        <w:t>1.5t。</w:t>
      </w:r>
    </w:p>
    <w:p>
      <w:pPr>
        <w:pStyle w:val="8"/>
        <w:numPr>
          <w:ilvl w:val="0"/>
          <w:numId w:val="7"/>
        </w:numPr>
        <w:spacing w:before="156" w:beforeLines="50" w:line="360" w:lineRule="auto"/>
        <w:ind w:firstLineChars="0"/>
        <w:rPr>
          <w:rFonts w:ascii="宋体" w:hAnsi="宋体" w:eastAsia="宋体"/>
        </w:rPr>
      </w:pPr>
      <w:r>
        <w:rPr>
          <w:rFonts w:hint="eastAsia" w:ascii="宋体" w:hAnsi="宋体" w:eastAsia="宋体"/>
        </w:rPr>
        <w:t>货架载荷：指托盘在货架上或其他类似的料架上跨梁架空时，托盘上货物平铺均匀摆放，所能承受的最大载荷重量。该托盘的货架载荷为</w:t>
      </w:r>
      <w:r>
        <w:rPr>
          <w:rFonts w:ascii="宋体" w:hAnsi="宋体" w:eastAsia="宋体"/>
        </w:rPr>
        <w:t>≥</w:t>
      </w:r>
      <w:r>
        <w:rPr>
          <w:rFonts w:hint="eastAsia" w:ascii="宋体" w:hAnsi="宋体" w:eastAsia="宋体"/>
        </w:rPr>
        <w:t>1t。</w:t>
      </w:r>
    </w:p>
    <w:p>
      <w:pPr>
        <w:pStyle w:val="8"/>
        <w:numPr>
          <w:ilvl w:val="0"/>
          <w:numId w:val="7"/>
        </w:numPr>
        <w:spacing w:before="156" w:beforeLines="50" w:line="360" w:lineRule="auto"/>
        <w:ind w:firstLineChars="0"/>
        <w:rPr>
          <w:rFonts w:ascii="宋体" w:hAnsi="宋体" w:eastAsia="宋体"/>
        </w:rPr>
      </w:pPr>
      <w:r>
        <w:rPr>
          <w:rFonts w:hint="eastAsia" w:ascii="宋体" w:hAnsi="宋体" w:eastAsia="宋体"/>
        </w:rPr>
        <w:t>承载变形：货架内保管状态、输送机搬送时托盘变形量要求在</w:t>
      </w:r>
      <w:r>
        <w:rPr>
          <w:rFonts w:ascii="宋体" w:hAnsi="宋体" w:eastAsia="宋体" w:cs="Arial"/>
        </w:rPr>
        <w:t>≤</w:t>
      </w:r>
      <w:r>
        <w:rPr>
          <w:rFonts w:hint="eastAsia" w:ascii="宋体" w:hAnsi="宋体" w:eastAsia="宋体"/>
        </w:rPr>
        <w:t>8mm，且为弹性变形。</w:t>
      </w:r>
    </w:p>
    <w:p>
      <w:pPr>
        <w:pStyle w:val="8"/>
        <w:numPr>
          <w:ilvl w:val="0"/>
          <w:numId w:val="7"/>
        </w:numPr>
        <w:spacing w:before="156" w:beforeLines="50" w:line="360" w:lineRule="auto"/>
        <w:ind w:firstLineChars="0"/>
        <w:rPr>
          <w:rFonts w:ascii="宋体" w:hAnsi="宋体" w:eastAsia="宋体"/>
        </w:rPr>
      </w:pPr>
      <w:r>
        <w:rPr>
          <w:rFonts w:hint="eastAsia" w:ascii="宋体" w:hAnsi="宋体" w:eastAsia="宋体"/>
        </w:rPr>
        <w:t>堆垛机叉取变形：堆垛机叉取时托盘叉取位变形量要求在</w:t>
      </w:r>
      <w:r>
        <w:rPr>
          <w:rFonts w:ascii="宋体" w:hAnsi="宋体" w:eastAsia="宋体" w:cs="Arial"/>
        </w:rPr>
        <w:t>≤</w:t>
      </w:r>
      <w:r>
        <w:rPr>
          <w:rFonts w:ascii="宋体" w:hAnsi="宋体" w:eastAsia="宋体"/>
        </w:rPr>
        <w:t>5</w:t>
      </w:r>
      <w:r>
        <w:rPr>
          <w:rFonts w:hint="eastAsia" w:ascii="宋体" w:hAnsi="宋体" w:eastAsia="宋体"/>
        </w:rPr>
        <w:t>mm，且不产生永久变形、裂变等。</w:t>
      </w:r>
    </w:p>
    <w:p>
      <w:pPr>
        <w:pStyle w:val="8"/>
        <w:numPr>
          <w:ilvl w:val="0"/>
          <w:numId w:val="6"/>
        </w:numPr>
        <w:spacing w:before="156" w:beforeLines="50" w:line="360" w:lineRule="auto"/>
        <w:ind w:firstLineChars="0"/>
        <w:contextualSpacing/>
        <w:rPr>
          <w:rFonts w:ascii="宋体" w:hAnsi="宋体" w:eastAsia="宋体"/>
        </w:rPr>
      </w:pPr>
      <w:r>
        <w:rPr>
          <w:rFonts w:hint="eastAsia" w:ascii="宋体" w:hAnsi="宋体" w:eastAsia="宋体"/>
        </w:rPr>
        <w:t>材质及塑料托盘特性：</w:t>
      </w:r>
    </w:p>
    <w:p>
      <w:pPr>
        <w:pStyle w:val="8"/>
        <w:numPr>
          <w:ilvl w:val="0"/>
          <w:numId w:val="8"/>
        </w:numPr>
        <w:spacing w:before="156" w:beforeLines="50" w:line="360" w:lineRule="auto"/>
        <w:ind w:firstLineChars="0"/>
        <w:contextualSpacing/>
        <w:rPr>
          <w:rFonts w:ascii="宋体" w:hAnsi="宋体" w:eastAsia="宋体"/>
        </w:rPr>
      </w:pPr>
      <w:r>
        <w:rPr>
          <w:rFonts w:hint="eastAsia" w:ascii="宋体" w:hAnsi="宋体" w:eastAsia="宋体"/>
        </w:rPr>
        <w:t>具有安全卫生、美观、无钉刺、无味无毒、易清洗消毒、耐腐蚀、不腐烂、不助燃等优点。</w:t>
      </w:r>
    </w:p>
    <w:p>
      <w:pPr>
        <w:pStyle w:val="8"/>
        <w:numPr>
          <w:ilvl w:val="0"/>
          <w:numId w:val="8"/>
        </w:numPr>
        <w:spacing w:before="156" w:beforeLines="50" w:line="360" w:lineRule="auto"/>
        <w:ind w:firstLineChars="0"/>
        <w:contextualSpacing/>
        <w:rPr>
          <w:rFonts w:ascii="宋体" w:hAnsi="宋体" w:eastAsia="宋体"/>
        </w:rPr>
      </w:pPr>
      <w:r>
        <w:rPr>
          <w:rFonts w:hint="eastAsia" w:ascii="宋体" w:hAnsi="宋体" w:eastAsia="宋体"/>
        </w:rPr>
        <w:t>符合国家食品卫生检验标准（</w:t>
      </w:r>
      <w:r>
        <w:rPr>
          <w:rFonts w:ascii="宋体" w:hAnsi="宋体" w:eastAsia="宋体"/>
        </w:rPr>
        <w:t>GB/T 5009.60-2003</w:t>
      </w:r>
      <w:r>
        <w:rPr>
          <w:rFonts w:hint="eastAsia" w:ascii="宋体" w:hAnsi="宋体" w:eastAsia="宋体"/>
        </w:rPr>
        <w:t>食品包装用聚乙烯、聚苯乙烯、聚丙烯成型品卫生标准的分析方法）。</w:t>
      </w:r>
    </w:p>
    <w:p>
      <w:pPr>
        <w:pStyle w:val="8"/>
        <w:numPr>
          <w:ilvl w:val="0"/>
          <w:numId w:val="8"/>
        </w:numPr>
        <w:spacing w:before="156" w:beforeLines="50" w:line="360" w:lineRule="auto"/>
        <w:ind w:firstLineChars="0"/>
        <w:contextualSpacing/>
        <w:rPr>
          <w:rFonts w:ascii="宋体" w:hAnsi="宋体" w:eastAsia="宋体"/>
        </w:rPr>
      </w:pPr>
      <w:r>
        <w:rPr>
          <w:rFonts w:hint="eastAsia" w:ascii="宋体" w:hAnsi="宋体" w:eastAsia="宋体"/>
        </w:rPr>
        <w:t>提供第三方检验报告，包括材料、性能等。</w:t>
      </w:r>
    </w:p>
    <w:p>
      <w:pPr>
        <w:pStyle w:val="8"/>
        <w:numPr>
          <w:ilvl w:val="0"/>
          <w:numId w:val="8"/>
        </w:numPr>
        <w:spacing w:before="156" w:beforeLines="50" w:line="360" w:lineRule="auto"/>
        <w:ind w:firstLineChars="0"/>
        <w:contextualSpacing/>
        <w:rPr>
          <w:rFonts w:ascii="宋体" w:hAnsi="宋体" w:eastAsia="宋体"/>
        </w:rPr>
      </w:pPr>
      <w:r>
        <w:rPr>
          <w:rFonts w:hint="eastAsia" w:ascii="宋体" w:hAnsi="宋体" w:eastAsia="宋体"/>
        </w:rPr>
        <w:t>★塑料托盘需要加方钢管进行加强。塑料托盘内安置≥1</w:t>
      </w:r>
      <w:r>
        <w:rPr>
          <w:rFonts w:ascii="宋体" w:hAnsi="宋体" w:eastAsia="宋体"/>
        </w:rPr>
        <w:t>0</w:t>
      </w:r>
      <w:r>
        <w:rPr>
          <w:rFonts w:hint="eastAsia" w:ascii="宋体" w:hAnsi="宋体" w:eastAsia="宋体"/>
        </w:rPr>
        <w:t>根钢管，托盘底部≥6根，托盘面板≥4根；方钢管使用Q</w:t>
      </w:r>
      <w:r>
        <w:rPr>
          <w:rFonts w:ascii="宋体" w:hAnsi="宋体" w:eastAsia="宋体"/>
        </w:rPr>
        <w:t>235</w:t>
      </w:r>
      <w:r>
        <w:rPr>
          <w:rFonts w:hint="eastAsia" w:ascii="宋体" w:hAnsi="宋体" w:eastAsia="宋体"/>
        </w:rPr>
        <w:t>镀锌材料　，厚度满足使用要求，采用喷塑技术处理，防止钢管锈蚀。</w:t>
      </w:r>
      <w:r>
        <w:rPr>
          <w:rFonts w:ascii="宋体" w:hAnsi="宋体" w:eastAsia="宋体"/>
        </w:rPr>
        <w:t xml:space="preserve"> </w:t>
      </w:r>
    </w:p>
    <w:p>
      <w:pPr>
        <w:pStyle w:val="8"/>
        <w:numPr>
          <w:ilvl w:val="0"/>
          <w:numId w:val="6"/>
        </w:numPr>
        <w:spacing w:before="156" w:beforeLines="50" w:line="360" w:lineRule="auto"/>
        <w:ind w:firstLineChars="0"/>
        <w:contextualSpacing/>
        <w:rPr>
          <w:rFonts w:ascii="宋体" w:hAnsi="宋体" w:eastAsia="宋体"/>
        </w:rPr>
      </w:pPr>
      <w:r>
        <w:rPr>
          <w:rFonts w:hint="eastAsia" w:ascii="宋体" w:hAnsi="宋体" w:eastAsia="宋体"/>
        </w:rPr>
        <w:t>使用温度：-25℃至+70℃的温度范围内正常使用，具有足够的强度和刚度等。</w:t>
      </w:r>
    </w:p>
    <w:p>
      <w:pPr>
        <w:pStyle w:val="8"/>
        <w:numPr>
          <w:ilvl w:val="0"/>
          <w:numId w:val="6"/>
        </w:numPr>
        <w:spacing w:before="156" w:beforeLines="50" w:line="360" w:lineRule="auto"/>
        <w:ind w:firstLineChars="0"/>
        <w:contextualSpacing/>
        <w:rPr>
          <w:rFonts w:ascii="宋体" w:hAnsi="宋体" w:eastAsia="宋体"/>
        </w:rPr>
      </w:pPr>
      <w:r>
        <w:rPr>
          <w:rFonts w:hint="eastAsia" w:ascii="宋体" w:hAnsi="宋体" w:eastAsia="宋体"/>
        </w:rPr>
        <w:t>生产工艺：一次性注塑成型；或两次注塑，再焊接成型。</w:t>
      </w:r>
    </w:p>
    <w:p>
      <w:pPr>
        <w:pStyle w:val="8"/>
        <w:numPr>
          <w:ilvl w:val="0"/>
          <w:numId w:val="6"/>
        </w:numPr>
        <w:spacing w:before="156" w:beforeLines="50" w:line="360" w:lineRule="auto"/>
        <w:ind w:firstLineChars="0"/>
        <w:contextualSpacing/>
        <w:rPr>
          <w:rFonts w:ascii="宋体" w:hAnsi="宋体" w:eastAsia="宋体"/>
        </w:rPr>
      </w:pPr>
      <w:r>
        <w:rPr>
          <w:rFonts w:hint="eastAsia" w:ascii="宋体" w:hAnsi="宋体" w:eastAsia="宋体"/>
        </w:rPr>
        <w:t>塑料托盘的长度、宽度和高度的制造误差为0～5mm；两对角线误差≤</w:t>
      </w:r>
      <w:r>
        <w:rPr>
          <w:rFonts w:ascii="宋体" w:hAnsi="宋体" w:eastAsia="宋体"/>
        </w:rPr>
        <w:t>6</w:t>
      </w:r>
      <w:r>
        <w:rPr>
          <w:rFonts w:hint="eastAsia" w:ascii="宋体" w:hAnsi="宋体" w:eastAsia="宋体"/>
        </w:rPr>
        <w:t>mm，并保证产品的一致性。</w:t>
      </w:r>
    </w:p>
    <w:p>
      <w:pPr>
        <w:pStyle w:val="8"/>
        <w:numPr>
          <w:ilvl w:val="0"/>
          <w:numId w:val="6"/>
        </w:numPr>
        <w:spacing w:before="156" w:beforeLines="50" w:line="360" w:lineRule="auto"/>
        <w:ind w:firstLineChars="0"/>
        <w:contextualSpacing/>
        <w:rPr>
          <w:rFonts w:ascii="宋体" w:hAnsi="宋体" w:eastAsia="宋体"/>
        </w:rPr>
      </w:pPr>
      <w:r>
        <w:rPr>
          <w:rFonts w:ascii="宋体" w:hAnsi="宋体" w:eastAsia="宋体"/>
        </w:rPr>
        <w:t>防滑措施设计：货叉接触面、传输链条接触面及托盘上承载面均有防滑垫设计，面上安装9颗防滑垫均匀分布</w:t>
      </w:r>
      <w:r>
        <w:rPr>
          <w:rFonts w:hint="eastAsia" w:ascii="宋体" w:hAnsi="宋体" w:eastAsia="宋体"/>
        </w:rPr>
        <w:t>以及平板设置有防滑纹</w:t>
      </w:r>
      <w:r>
        <w:rPr>
          <w:rFonts w:ascii="宋体" w:hAnsi="宋体" w:eastAsia="宋体"/>
        </w:rPr>
        <w:t>。保证物料在托盘输送设备上输送时具有防滑功能，启动和停止时，物料不会同支承托盘打滑；托盘堆码成组时，托盘间不会打滑错位。</w:t>
      </w:r>
    </w:p>
    <w:p>
      <w:pPr>
        <w:pStyle w:val="8"/>
        <w:numPr>
          <w:ilvl w:val="0"/>
          <w:numId w:val="6"/>
        </w:numPr>
        <w:spacing w:before="156" w:beforeLines="50" w:line="360" w:lineRule="auto"/>
        <w:ind w:firstLineChars="0"/>
        <w:contextualSpacing/>
        <w:rPr>
          <w:rFonts w:ascii="宋体" w:hAnsi="宋体" w:eastAsia="宋体"/>
        </w:rPr>
      </w:pPr>
      <w:r>
        <w:rPr>
          <w:rFonts w:hint="eastAsia" w:ascii="宋体" w:hAnsi="宋体" w:eastAsia="宋体"/>
        </w:rPr>
        <w:t>塑料托盘底部采用全平面封闭耐磨设计，能满足链式输送机长期输送。塑料托盘表面采用平板并设置有防滑纹。</w:t>
      </w:r>
    </w:p>
    <w:p>
      <w:pPr>
        <w:pStyle w:val="8"/>
        <w:numPr>
          <w:ilvl w:val="0"/>
          <w:numId w:val="6"/>
        </w:numPr>
        <w:spacing w:before="156" w:beforeLines="50" w:line="360" w:lineRule="auto"/>
        <w:ind w:firstLineChars="0"/>
        <w:contextualSpacing/>
        <w:rPr>
          <w:rFonts w:ascii="宋体" w:hAnsi="宋体" w:eastAsia="宋体"/>
        </w:rPr>
      </w:pPr>
      <w:r>
        <w:rPr>
          <w:rFonts w:hint="eastAsia" w:ascii="宋体" w:hAnsi="宋体" w:eastAsia="宋体"/>
        </w:rPr>
        <w:t>塑料托盘须满足自动机器人码垛机、托盘自动输送机、叉车、手动叉车、自动堆垛机及立体货架储存等使用要求。</w:t>
      </w:r>
    </w:p>
    <w:p>
      <w:pPr>
        <w:pStyle w:val="8"/>
        <w:numPr>
          <w:ilvl w:val="0"/>
          <w:numId w:val="6"/>
        </w:numPr>
        <w:spacing w:before="156" w:beforeLines="50" w:line="360" w:lineRule="auto"/>
        <w:ind w:firstLineChars="0"/>
        <w:contextualSpacing/>
        <w:rPr>
          <w:rFonts w:ascii="宋体" w:hAnsi="宋体" w:eastAsia="宋体"/>
        </w:rPr>
      </w:pPr>
      <w:r>
        <w:rPr>
          <w:rFonts w:hint="eastAsia" w:ascii="宋体" w:hAnsi="宋体" w:eastAsia="宋体"/>
        </w:rPr>
        <w:t>塑料托盘需要设计配置条码标签粘贴的位置和凹</w:t>
      </w:r>
      <w:r>
        <w:rPr>
          <w:rFonts w:ascii="宋体" w:hAnsi="宋体" w:eastAsia="宋体"/>
        </w:rPr>
        <w:t>槽</w:t>
      </w:r>
      <w:r>
        <w:rPr>
          <w:rFonts w:hint="eastAsia" w:ascii="宋体" w:hAnsi="宋体" w:eastAsia="宋体"/>
        </w:rPr>
        <w:t>：托盘</w:t>
      </w:r>
      <w:r>
        <w:rPr>
          <w:rFonts w:ascii="宋体" w:hAnsi="宋体" w:eastAsia="宋体"/>
        </w:rPr>
        <w:t>1200mm方向</w:t>
      </w:r>
      <w:r>
        <w:rPr>
          <w:rFonts w:hint="eastAsia" w:ascii="宋体" w:hAnsi="宋体" w:eastAsia="宋体"/>
        </w:rPr>
        <w:t>和</w:t>
      </w:r>
      <w:r>
        <w:rPr>
          <w:rFonts w:ascii="宋体" w:hAnsi="宋体" w:eastAsia="宋体"/>
        </w:rPr>
        <w:t>1000mm方向中间支腿上均设有粘贴标签凹槽（4面），凹槽</w:t>
      </w:r>
      <w:r>
        <w:rPr>
          <w:rFonts w:hint="eastAsia" w:ascii="宋体" w:hAnsi="宋体" w:eastAsia="宋体"/>
        </w:rPr>
        <w:t>尺寸大于标签（100</w:t>
      </w:r>
      <w:r>
        <w:rPr>
          <w:rFonts w:ascii="宋体" w:hAnsi="宋体" w:eastAsia="宋体"/>
        </w:rPr>
        <w:t>mm</w:t>
      </w:r>
      <w:r>
        <w:rPr>
          <w:rFonts w:hint="eastAsia" w:ascii="宋体" w:hAnsi="宋体" w:eastAsia="宋体"/>
        </w:rPr>
        <w:t>×60mm），</w:t>
      </w:r>
      <w:r>
        <w:rPr>
          <w:rFonts w:ascii="宋体" w:hAnsi="宋体" w:eastAsia="宋体"/>
        </w:rPr>
        <w:t>条码凹槽深≥1.5mm，避免条码同输送设备的导向护栏剐蹭而损伤标签。</w:t>
      </w:r>
    </w:p>
    <w:p>
      <w:pPr>
        <w:pStyle w:val="8"/>
        <w:numPr>
          <w:ilvl w:val="0"/>
          <w:numId w:val="6"/>
        </w:numPr>
        <w:spacing w:before="156" w:beforeLines="50" w:line="360" w:lineRule="auto"/>
        <w:ind w:firstLineChars="0"/>
        <w:contextualSpacing/>
        <w:rPr>
          <w:rFonts w:ascii="宋体" w:hAnsi="宋体" w:eastAsia="宋体"/>
        </w:rPr>
      </w:pPr>
      <w:r>
        <w:rPr>
          <w:rFonts w:ascii="宋体" w:hAnsi="宋体" w:eastAsia="宋体"/>
        </w:rPr>
        <w:t>一维条形码</w:t>
      </w:r>
      <w:r>
        <w:rPr>
          <w:rFonts w:hint="eastAsia" w:ascii="宋体" w:hAnsi="宋体" w:eastAsia="宋体"/>
        </w:rPr>
        <w:t>标签材料要求：一维码标签粘贴于托盘四侧中间，</w:t>
      </w:r>
      <w:r>
        <w:rPr>
          <w:rFonts w:ascii="宋体" w:hAnsi="宋体" w:eastAsia="宋体"/>
        </w:rPr>
        <w:t>使用一维条形码作为托盘信息载体，</w:t>
      </w:r>
      <w:r>
        <w:rPr>
          <w:rFonts w:hint="eastAsia" w:ascii="宋体" w:hAnsi="宋体" w:eastAsia="宋体"/>
        </w:rPr>
        <w:t>条码规则2开头的八位数字，起始20000001；码制：Code128；标签大小：100</w:t>
      </w:r>
      <w:r>
        <w:rPr>
          <w:rFonts w:ascii="宋体" w:hAnsi="宋体" w:eastAsia="宋体"/>
        </w:rPr>
        <w:t>mm</w:t>
      </w:r>
      <w:r>
        <w:rPr>
          <w:rFonts w:hint="eastAsia" w:ascii="宋体" w:hAnsi="宋体" w:eastAsia="宋体"/>
        </w:rPr>
        <w:t>×60mm，竖着贴。标签分辨率：300DPI，标签材质：铝箔纸不干胶标签；条码质量等级：GB/T 14258 A级或B级；样式：白底、黑色条纹。一维码标签电子设计文件在竣工验收后需要一起移交招标方，文件日常维护。</w:t>
      </w:r>
    </w:p>
    <w:p>
      <w:pPr>
        <w:pStyle w:val="8"/>
        <w:numPr>
          <w:ilvl w:val="0"/>
          <w:numId w:val="6"/>
        </w:numPr>
        <w:spacing w:before="156" w:beforeLines="50" w:line="360" w:lineRule="auto"/>
        <w:ind w:firstLineChars="0"/>
        <w:contextualSpacing/>
        <w:rPr>
          <w:rFonts w:ascii="宋体" w:hAnsi="宋体" w:eastAsia="宋体"/>
        </w:rPr>
      </w:pPr>
      <w:r>
        <w:rPr>
          <w:rFonts w:ascii="宋体" w:hAnsi="宋体" w:eastAsia="宋体"/>
          <w:color w:val="000000"/>
        </w:rPr>
        <w:t>所有塑料托盘</w:t>
      </w:r>
      <w:r>
        <w:rPr>
          <w:rFonts w:hint="eastAsia" w:ascii="宋体" w:hAnsi="宋体" w:eastAsia="宋体"/>
          <w:color w:val="000000"/>
        </w:rPr>
        <w:t>设计</w:t>
      </w:r>
      <w:r>
        <w:rPr>
          <w:rFonts w:ascii="宋体" w:hAnsi="宋体" w:eastAsia="宋体"/>
          <w:color w:val="000000"/>
        </w:rPr>
        <w:t>有招标方的LOGO（对角</w:t>
      </w:r>
      <w:r>
        <w:rPr>
          <w:rFonts w:hint="eastAsia" w:ascii="宋体" w:hAnsi="宋体" w:eastAsia="宋体"/>
          <w:color w:val="000000"/>
        </w:rPr>
        <w:t>2个位置</w:t>
      </w:r>
      <w:r>
        <w:rPr>
          <w:rFonts w:ascii="宋体" w:hAnsi="宋体" w:eastAsia="宋体"/>
          <w:color w:val="000000"/>
        </w:rPr>
        <w:t>设计）</w:t>
      </w:r>
      <w:r>
        <w:rPr>
          <w:rFonts w:hint="eastAsia" w:ascii="宋体" w:hAnsi="宋体" w:eastAsia="宋体"/>
          <w:color w:val="000000"/>
        </w:rPr>
        <w:t>。</w:t>
      </w:r>
    </w:p>
    <w:p>
      <w:pPr>
        <w:pStyle w:val="8"/>
        <w:numPr>
          <w:ilvl w:val="0"/>
          <w:numId w:val="6"/>
        </w:numPr>
        <w:spacing w:before="156" w:beforeLines="50" w:line="360" w:lineRule="auto"/>
        <w:ind w:firstLineChars="0"/>
        <w:contextualSpacing/>
        <w:rPr>
          <w:rFonts w:ascii="宋体" w:hAnsi="宋体" w:eastAsia="宋体"/>
        </w:rPr>
      </w:pPr>
      <w:r>
        <w:rPr>
          <w:rFonts w:hint="eastAsia" w:ascii="宋体" w:hAnsi="宋体" w:eastAsia="宋体"/>
        </w:rPr>
        <w:t>耐老化性能：＞5年。</w:t>
      </w:r>
    </w:p>
    <w:p>
      <w:pPr>
        <w:pStyle w:val="8"/>
        <w:numPr>
          <w:ilvl w:val="0"/>
          <w:numId w:val="6"/>
        </w:numPr>
        <w:spacing w:before="156" w:beforeLines="50" w:line="360" w:lineRule="auto"/>
        <w:ind w:firstLineChars="0"/>
        <w:contextualSpacing/>
        <w:rPr>
          <w:rFonts w:ascii="宋体" w:hAnsi="宋体" w:eastAsia="宋体"/>
        </w:rPr>
      </w:pPr>
      <w:r>
        <w:rPr>
          <w:rFonts w:hint="eastAsia" w:ascii="宋体" w:hAnsi="宋体" w:eastAsia="宋体"/>
        </w:rPr>
        <w:t>塑料托盘测试要求：</w:t>
      </w:r>
    </w:p>
    <w:p>
      <w:pPr>
        <w:pStyle w:val="8"/>
        <w:numPr>
          <w:ilvl w:val="0"/>
          <w:numId w:val="9"/>
        </w:numPr>
        <w:spacing w:before="156" w:beforeLines="50" w:line="360" w:lineRule="auto"/>
        <w:ind w:firstLineChars="0"/>
        <w:rPr>
          <w:rFonts w:ascii="宋体" w:hAnsi="宋体" w:eastAsia="宋体" w:cs="宋体"/>
        </w:rPr>
      </w:pPr>
      <w:r>
        <w:rPr>
          <w:rFonts w:hint="eastAsia" w:ascii="宋体" w:hAnsi="宋体" w:eastAsia="宋体" w:cs="宋体"/>
        </w:rPr>
        <w:t>4个角可通过对角1米的跌落测试不产生破损；</w:t>
      </w:r>
    </w:p>
    <w:p>
      <w:pPr>
        <w:pStyle w:val="8"/>
        <w:numPr>
          <w:ilvl w:val="0"/>
          <w:numId w:val="9"/>
        </w:numPr>
        <w:spacing w:before="156" w:beforeLines="50" w:line="360" w:lineRule="auto"/>
        <w:ind w:firstLineChars="0"/>
        <w:rPr>
          <w:rFonts w:ascii="宋体" w:hAnsi="宋体" w:eastAsia="宋体" w:cs="宋体"/>
        </w:rPr>
      </w:pPr>
      <w:r>
        <w:rPr>
          <w:rFonts w:hint="eastAsia" w:ascii="宋体" w:hAnsi="宋体" w:eastAsia="宋体" w:cs="宋体"/>
        </w:rPr>
        <w:t>叉车≤10公里时速撞击不会有破裂现象；</w:t>
      </w:r>
    </w:p>
    <w:p>
      <w:pPr>
        <w:pStyle w:val="8"/>
        <w:numPr>
          <w:ilvl w:val="0"/>
          <w:numId w:val="9"/>
        </w:numPr>
        <w:spacing w:before="156" w:beforeLines="50" w:line="360" w:lineRule="auto"/>
        <w:ind w:firstLineChars="0"/>
        <w:rPr>
          <w:rFonts w:ascii="宋体" w:hAnsi="宋体" w:eastAsia="宋体" w:cs="宋体"/>
        </w:rPr>
      </w:pPr>
      <w:r>
        <w:rPr>
          <w:rFonts w:hint="eastAsia" w:ascii="宋体" w:hAnsi="宋体" w:eastAsia="宋体" w:cs="宋体"/>
        </w:rPr>
        <w:t>可通过动静载和货架承重测试；</w:t>
      </w:r>
    </w:p>
    <w:p>
      <w:pPr>
        <w:pStyle w:val="8"/>
        <w:numPr>
          <w:ilvl w:val="0"/>
          <w:numId w:val="9"/>
        </w:numPr>
        <w:spacing w:before="156" w:beforeLines="50" w:line="360" w:lineRule="auto"/>
        <w:ind w:firstLineChars="0"/>
        <w:rPr>
          <w:rFonts w:ascii="宋体" w:hAnsi="宋体" w:eastAsia="宋体"/>
        </w:rPr>
      </w:pPr>
      <w:r>
        <w:rPr>
          <w:rFonts w:hint="eastAsia" w:ascii="宋体" w:hAnsi="宋体" w:eastAsia="宋体" w:cs="宋体"/>
        </w:rPr>
        <w:t>所有提供的塑料托盘</w:t>
      </w:r>
      <w:r>
        <w:rPr>
          <w:rFonts w:ascii="宋体" w:hAnsi="宋体" w:eastAsia="宋体" w:cs="宋体"/>
        </w:rPr>
        <w:t>与样品密度一致</w:t>
      </w:r>
      <w:r>
        <w:rPr>
          <w:rFonts w:ascii="宋体" w:hAnsi="宋体" w:eastAsia="宋体"/>
        </w:rPr>
        <w:t>。</w:t>
      </w:r>
    </w:p>
    <w:p>
      <w:pPr>
        <w:pStyle w:val="8"/>
        <w:numPr>
          <w:ilvl w:val="0"/>
          <w:numId w:val="6"/>
        </w:numPr>
        <w:spacing w:before="156" w:beforeLines="50" w:line="360" w:lineRule="auto"/>
        <w:ind w:firstLineChars="0"/>
        <w:contextualSpacing/>
        <w:rPr>
          <w:rFonts w:ascii="宋体" w:hAnsi="宋体" w:eastAsia="宋体"/>
        </w:rPr>
      </w:pPr>
      <w:r>
        <w:rPr>
          <w:rFonts w:hint="eastAsia" w:ascii="宋体" w:hAnsi="宋体" w:eastAsia="宋体"/>
        </w:rPr>
        <w:t>塑料托盘损坏和更换要求：第一年内非人为的质量塑料托盘损坏在</w:t>
      </w:r>
      <w:r>
        <w:rPr>
          <w:rFonts w:ascii="宋体" w:hAnsi="宋体" w:eastAsia="宋体"/>
        </w:rPr>
        <w:t>0.5%到1% 之间，按质量损坏</w:t>
      </w:r>
      <w:r>
        <w:rPr>
          <w:rFonts w:hint="eastAsia" w:ascii="宋体" w:hAnsi="宋体" w:eastAsia="宋体"/>
        </w:rPr>
        <w:t>数</w:t>
      </w:r>
      <w:r>
        <w:rPr>
          <w:rFonts w:ascii="宋体" w:hAnsi="宋体" w:eastAsia="宋体"/>
        </w:rPr>
        <w:t>量的2倍更换</w:t>
      </w:r>
      <w:r>
        <w:rPr>
          <w:rFonts w:hint="eastAsia" w:ascii="宋体" w:hAnsi="宋体" w:eastAsia="宋体"/>
        </w:rPr>
        <w:t>；</w:t>
      </w:r>
      <w:r>
        <w:rPr>
          <w:rFonts w:ascii="宋体" w:hAnsi="宋体" w:eastAsia="宋体"/>
        </w:rPr>
        <w:t xml:space="preserve"> 第一年内</w:t>
      </w:r>
      <w:r>
        <w:rPr>
          <w:rFonts w:hint="eastAsia" w:ascii="宋体" w:hAnsi="宋体" w:eastAsia="宋体"/>
        </w:rPr>
        <w:t>非人为的质量</w:t>
      </w:r>
      <w:r>
        <w:rPr>
          <w:rFonts w:ascii="宋体" w:hAnsi="宋体" w:eastAsia="宋体"/>
        </w:rPr>
        <w:t>托盘</w:t>
      </w:r>
      <w:r>
        <w:rPr>
          <w:rFonts w:hint="eastAsia" w:ascii="宋体" w:hAnsi="宋体" w:eastAsia="宋体"/>
        </w:rPr>
        <w:t>损坏</w:t>
      </w:r>
      <w:r>
        <w:rPr>
          <w:rFonts w:ascii="宋体" w:hAnsi="宋体" w:eastAsia="宋体"/>
        </w:rPr>
        <w:t>≥ 1%  ，则按质量损坏</w:t>
      </w:r>
      <w:r>
        <w:rPr>
          <w:rFonts w:hint="eastAsia" w:ascii="宋体" w:hAnsi="宋体" w:eastAsia="宋体"/>
        </w:rPr>
        <w:t>数</w:t>
      </w:r>
      <w:r>
        <w:rPr>
          <w:rFonts w:ascii="宋体" w:hAnsi="宋体" w:eastAsia="宋体"/>
        </w:rPr>
        <w:t>量的3倍更换</w:t>
      </w:r>
      <w:r>
        <w:rPr>
          <w:rFonts w:hint="eastAsia" w:ascii="宋体" w:hAnsi="宋体" w:eastAsia="宋体"/>
        </w:rPr>
        <w:t>。更换塑料托盘为全新、同规格、同型号、同材料的成品，并负责托盘输送至招标方工厂，所产生的运输、装卸等费用由投标方负责</w:t>
      </w:r>
      <w:r>
        <w:rPr>
          <w:rFonts w:ascii="宋体" w:hAnsi="宋体" w:eastAsia="宋体"/>
        </w:rPr>
        <w:t>。</w:t>
      </w:r>
    </w:p>
    <w:p>
      <w:pPr>
        <w:widowControl/>
        <w:numPr>
          <w:ilvl w:val="0"/>
          <w:numId w:val="1"/>
        </w:numPr>
        <w:spacing w:before="156" w:beforeLines="50" w:line="360" w:lineRule="auto"/>
        <w:jc w:val="left"/>
        <w:rPr>
          <w:rFonts w:ascii="宋体" w:hAnsi="宋体" w:eastAsia="宋体"/>
          <w:b/>
          <w:szCs w:val="21"/>
        </w:rPr>
      </w:pPr>
      <w:r>
        <w:rPr>
          <w:rFonts w:hint="eastAsia" w:ascii="宋体" w:hAnsi="宋体" w:eastAsia="宋体"/>
          <w:b/>
          <w:szCs w:val="21"/>
        </w:rPr>
        <w:t>服务条件</w:t>
      </w:r>
      <w:r>
        <w:rPr>
          <w:rFonts w:ascii="宋体" w:hAnsi="宋体" w:eastAsia="宋体"/>
          <w:b/>
          <w:szCs w:val="21"/>
        </w:rPr>
        <w:t>：</w:t>
      </w:r>
    </w:p>
    <w:p>
      <w:pPr>
        <w:widowControl/>
        <w:spacing w:before="156" w:beforeLines="50" w:line="360" w:lineRule="auto"/>
        <w:ind w:left="720"/>
        <w:jc w:val="left"/>
        <w:rPr>
          <w:rFonts w:ascii="宋体" w:hAnsi="宋体" w:eastAsia="宋体"/>
          <w:b/>
          <w:szCs w:val="21"/>
        </w:rPr>
      </w:pPr>
      <w:r>
        <w:rPr>
          <w:rFonts w:hint="eastAsia" w:ascii="宋体" w:hAnsi="宋体" w:eastAsia="宋体"/>
          <w:szCs w:val="21"/>
        </w:rPr>
        <w:t>投标方负责本项目包含的所有塑料托盘的设计、制作、采购、供货、运输、装卸、</w:t>
      </w:r>
      <w:r>
        <w:rPr>
          <w:rFonts w:ascii="宋体" w:hAnsi="宋体" w:eastAsia="宋体"/>
          <w:szCs w:val="21"/>
        </w:rPr>
        <w:t>检验</w:t>
      </w:r>
      <w:r>
        <w:rPr>
          <w:rFonts w:hint="eastAsia" w:ascii="宋体" w:hAnsi="宋体" w:eastAsia="宋体"/>
          <w:szCs w:val="21"/>
        </w:rPr>
        <w:t>及相关服务，具体包括不限于以下：</w:t>
      </w:r>
    </w:p>
    <w:p>
      <w:pPr>
        <w:numPr>
          <w:ilvl w:val="0"/>
          <w:numId w:val="10"/>
        </w:numPr>
        <w:spacing w:before="156" w:beforeLines="50" w:line="360" w:lineRule="auto"/>
        <w:rPr>
          <w:rFonts w:ascii="宋体" w:hAnsi="宋体" w:eastAsia="宋体" w:cs="Times New Roman"/>
          <w:szCs w:val="21"/>
        </w:rPr>
      </w:pPr>
      <w:r>
        <w:rPr>
          <w:rFonts w:hint="eastAsia" w:ascii="宋体" w:hAnsi="宋体" w:eastAsia="宋体" w:cs="Times New Roman"/>
          <w:szCs w:val="21"/>
        </w:rPr>
        <w:t>制作</w:t>
      </w:r>
      <w:r>
        <w:rPr>
          <w:rFonts w:ascii="宋体" w:hAnsi="宋体" w:eastAsia="宋体" w:cs="Times New Roman"/>
          <w:szCs w:val="21"/>
        </w:rPr>
        <w:t>:在</w:t>
      </w:r>
      <w:r>
        <w:rPr>
          <w:rFonts w:hint="eastAsia" w:ascii="宋体" w:hAnsi="宋体" w:eastAsia="宋体" w:cs="Times New Roman"/>
          <w:szCs w:val="21"/>
        </w:rPr>
        <w:t>产品</w:t>
      </w:r>
      <w:r>
        <w:rPr>
          <w:rFonts w:ascii="宋体" w:hAnsi="宋体" w:eastAsia="宋体" w:cs="Times New Roman"/>
          <w:szCs w:val="21"/>
        </w:rPr>
        <w:t>出厂前应做好运输途中的防护工作，对</w:t>
      </w:r>
      <w:r>
        <w:rPr>
          <w:rFonts w:hint="eastAsia" w:ascii="宋体" w:hAnsi="宋体" w:eastAsia="宋体" w:cs="Times New Roman"/>
          <w:szCs w:val="21"/>
        </w:rPr>
        <w:t>产品</w:t>
      </w:r>
      <w:r>
        <w:rPr>
          <w:rFonts w:ascii="宋体" w:hAnsi="宋体" w:eastAsia="宋体" w:cs="Times New Roman"/>
          <w:szCs w:val="21"/>
        </w:rPr>
        <w:t>应进行必要的包装保护，对于有特殊要求的还应进行特殊处理。</w:t>
      </w:r>
    </w:p>
    <w:p>
      <w:pPr>
        <w:numPr>
          <w:ilvl w:val="0"/>
          <w:numId w:val="10"/>
        </w:numPr>
        <w:spacing w:before="156" w:beforeLines="50" w:line="360" w:lineRule="auto"/>
        <w:rPr>
          <w:rFonts w:ascii="宋体" w:hAnsi="宋体" w:eastAsia="宋体" w:cs="Times New Roman"/>
          <w:szCs w:val="21"/>
        </w:rPr>
      </w:pPr>
      <w:r>
        <w:rPr>
          <w:rFonts w:hint="eastAsia" w:ascii="宋体" w:hAnsi="宋体" w:eastAsia="宋体" w:cs="Times New Roman"/>
          <w:szCs w:val="21"/>
        </w:rPr>
        <w:t>运输：</w:t>
      </w:r>
      <w:r>
        <w:rPr>
          <w:rFonts w:ascii="宋体" w:hAnsi="宋体" w:eastAsia="宋体" w:cs="Times New Roman"/>
          <w:szCs w:val="21"/>
        </w:rPr>
        <w:t>由</w:t>
      </w:r>
      <w:r>
        <w:rPr>
          <w:rFonts w:hint="eastAsia" w:ascii="宋体" w:hAnsi="宋体" w:eastAsia="宋体" w:cs="Times New Roman"/>
          <w:szCs w:val="21"/>
        </w:rPr>
        <w:t>投标方</w:t>
      </w:r>
      <w:r>
        <w:rPr>
          <w:rFonts w:ascii="宋体" w:hAnsi="宋体" w:eastAsia="宋体" w:cs="Times New Roman"/>
          <w:szCs w:val="21"/>
        </w:rPr>
        <w:t>负责运送到</w:t>
      </w:r>
      <w:r>
        <w:rPr>
          <w:rFonts w:hint="eastAsia" w:ascii="宋体" w:hAnsi="宋体" w:eastAsia="宋体" w:cs="Times New Roman"/>
          <w:szCs w:val="21"/>
        </w:rPr>
        <w:t>招标方</w:t>
      </w:r>
      <w:r>
        <w:rPr>
          <w:rFonts w:ascii="宋体" w:hAnsi="宋体" w:eastAsia="宋体" w:cs="Times New Roman"/>
          <w:szCs w:val="21"/>
        </w:rPr>
        <w:t>的使用地点。</w:t>
      </w:r>
    </w:p>
    <w:p>
      <w:pPr>
        <w:numPr>
          <w:ilvl w:val="0"/>
          <w:numId w:val="10"/>
        </w:numPr>
        <w:spacing w:before="156" w:beforeLines="50" w:line="360" w:lineRule="auto"/>
        <w:rPr>
          <w:rFonts w:ascii="宋体" w:hAnsi="宋体" w:eastAsia="宋体" w:cs="Times New Roman"/>
          <w:szCs w:val="21"/>
        </w:rPr>
      </w:pPr>
      <w:r>
        <w:rPr>
          <w:rFonts w:hint="eastAsia" w:ascii="宋体" w:hAnsi="宋体" w:eastAsia="宋体" w:cs="Times New Roman"/>
          <w:szCs w:val="21"/>
        </w:rPr>
        <w:t>卸货：</w:t>
      </w:r>
      <w:r>
        <w:rPr>
          <w:rFonts w:ascii="宋体" w:hAnsi="宋体" w:eastAsia="宋体" w:cs="Times New Roman"/>
          <w:szCs w:val="21"/>
        </w:rPr>
        <w:t>由</w:t>
      </w:r>
      <w:r>
        <w:rPr>
          <w:rFonts w:hint="eastAsia" w:ascii="宋体" w:hAnsi="宋体" w:eastAsia="宋体" w:cs="Times New Roman"/>
          <w:szCs w:val="21"/>
        </w:rPr>
        <w:t>投标方</w:t>
      </w:r>
      <w:r>
        <w:rPr>
          <w:rFonts w:ascii="宋体" w:hAnsi="宋体" w:eastAsia="宋体" w:cs="Times New Roman"/>
          <w:szCs w:val="21"/>
        </w:rPr>
        <w:t>负责卸货，并根据</w:t>
      </w:r>
      <w:r>
        <w:rPr>
          <w:rFonts w:hint="eastAsia" w:ascii="宋体" w:hAnsi="宋体" w:eastAsia="宋体" w:cs="Times New Roman"/>
          <w:szCs w:val="21"/>
        </w:rPr>
        <w:t>招标方</w:t>
      </w:r>
      <w:r>
        <w:rPr>
          <w:rFonts w:ascii="宋体" w:hAnsi="宋体" w:eastAsia="宋体" w:cs="Times New Roman"/>
          <w:szCs w:val="21"/>
        </w:rPr>
        <w:t>的场地情况，由</w:t>
      </w:r>
      <w:r>
        <w:rPr>
          <w:rFonts w:hint="eastAsia" w:ascii="宋体" w:hAnsi="宋体" w:eastAsia="宋体" w:cs="Times New Roman"/>
          <w:szCs w:val="21"/>
        </w:rPr>
        <w:t>招标方</w:t>
      </w:r>
      <w:r>
        <w:rPr>
          <w:rFonts w:ascii="宋体" w:hAnsi="宋体" w:eastAsia="宋体" w:cs="Times New Roman"/>
          <w:szCs w:val="21"/>
        </w:rPr>
        <w:t>的指定卸货地点，</w:t>
      </w:r>
      <w:r>
        <w:rPr>
          <w:rFonts w:hint="eastAsia" w:ascii="宋体" w:hAnsi="宋体" w:eastAsia="宋体" w:cs="Times New Roman"/>
          <w:szCs w:val="21"/>
        </w:rPr>
        <w:t>招标方</w:t>
      </w:r>
      <w:r>
        <w:rPr>
          <w:rFonts w:ascii="宋体" w:hAnsi="宋体" w:eastAsia="宋体" w:cs="Times New Roman"/>
          <w:szCs w:val="21"/>
        </w:rPr>
        <w:t>协助</w:t>
      </w:r>
      <w:r>
        <w:rPr>
          <w:rFonts w:hint="eastAsia" w:ascii="宋体" w:hAnsi="宋体" w:eastAsia="宋体" w:cs="Times New Roman"/>
          <w:szCs w:val="21"/>
        </w:rPr>
        <w:t>投标方</w:t>
      </w:r>
      <w:r>
        <w:rPr>
          <w:rFonts w:ascii="宋体" w:hAnsi="宋体" w:eastAsia="宋体" w:cs="Times New Roman"/>
          <w:szCs w:val="21"/>
        </w:rPr>
        <w:t>卸货，确保</w:t>
      </w:r>
      <w:r>
        <w:rPr>
          <w:rFonts w:hint="eastAsia" w:ascii="宋体" w:hAnsi="宋体" w:eastAsia="宋体" w:cs="Times New Roman"/>
          <w:szCs w:val="21"/>
        </w:rPr>
        <w:t>标的产品</w:t>
      </w:r>
      <w:r>
        <w:rPr>
          <w:rFonts w:ascii="宋体" w:hAnsi="宋体" w:eastAsia="宋体" w:cs="Times New Roman"/>
          <w:szCs w:val="21"/>
        </w:rPr>
        <w:t>完好。</w:t>
      </w:r>
    </w:p>
    <w:p>
      <w:pPr>
        <w:numPr>
          <w:ilvl w:val="0"/>
          <w:numId w:val="10"/>
        </w:numPr>
        <w:spacing w:before="156" w:beforeLines="50" w:line="360" w:lineRule="auto"/>
        <w:rPr>
          <w:rFonts w:ascii="宋体" w:hAnsi="宋体" w:eastAsia="宋体" w:cs="Times New Roman"/>
          <w:szCs w:val="21"/>
        </w:rPr>
      </w:pPr>
      <w:r>
        <w:rPr>
          <w:rFonts w:hint="eastAsia" w:ascii="宋体" w:hAnsi="宋体" w:eastAsia="宋体" w:cs="Times New Roman"/>
          <w:szCs w:val="21"/>
        </w:rPr>
        <w:t>验收：标的产品</w:t>
      </w:r>
      <w:r>
        <w:rPr>
          <w:rFonts w:ascii="宋体" w:hAnsi="宋体" w:eastAsia="宋体" w:cs="Times New Roman"/>
          <w:szCs w:val="21"/>
        </w:rPr>
        <w:t>的验收由</w:t>
      </w:r>
      <w:r>
        <w:rPr>
          <w:rFonts w:hint="eastAsia" w:ascii="宋体" w:hAnsi="宋体" w:eastAsia="宋体" w:cs="Times New Roman"/>
          <w:szCs w:val="21"/>
        </w:rPr>
        <w:t>招标方</w:t>
      </w:r>
      <w:r>
        <w:rPr>
          <w:rFonts w:ascii="宋体" w:hAnsi="宋体" w:eastAsia="宋体" w:cs="Times New Roman"/>
          <w:szCs w:val="21"/>
        </w:rPr>
        <w:t>及</w:t>
      </w:r>
      <w:r>
        <w:rPr>
          <w:rFonts w:hint="eastAsia" w:ascii="宋体" w:hAnsi="宋体" w:eastAsia="宋体" w:cs="Times New Roman"/>
          <w:szCs w:val="21"/>
        </w:rPr>
        <w:t>投标方</w:t>
      </w:r>
      <w:r>
        <w:rPr>
          <w:rFonts w:ascii="宋体" w:hAnsi="宋体" w:eastAsia="宋体" w:cs="Times New Roman"/>
          <w:szCs w:val="21"/>
        </w:rPr>
        <w:t>共同参与完成，根据合同的条款逐一核实后，经双方签名确认，并给出验收结论。</w:t>
      </w:r>
    </w:p>
    <w:p>
      <w:pPr>
        <w:numPr>
          <w:ilvl w:val="0"/>
          <w:numId w:val="10"/>
        </w:numPr>
        <w:spacing w:before="156" w:beforeLines="50" w:line="360" w:lineRule="auto"/>
        <w:rPr>
          <w:rFonts w:ascii="宋体" w:hAnsi="宋体" w:eastAsia="宋体" w:cs="Times New Roman"/>
          <w:szCs w:val="21"/>
        </w:rPr>
      </w:pPr>
      <w:r>
        <w:rPr>
          <w:rFonts w:hint="eastAsia" w:ascii="宋体" w:hAnsi="宋体" w:eastAsia="宋体" w:cs="Times New Roman"/>
          <w:szCs w:val="21"/>
        </w:rPr>
        <w:t>费用：投标方标的产品</w:t>
      </w:r>
      <w:r>
        <w:rPr>
          <w:rFonts w:ascii="宋体" w:hAnsi="宋体" w:eastAsia="宋体" w:cs="Times New Roman"/>
          <w:szCs w:val="21"/>
        </w:rPr>
        <w:t>的</w:t>
      </w:r>
      <w:r>
        <w:rPr>
          <w:rFonts w:hint="eastAsia" w:ascii="宋体" w:hAnsi="宋体" w:eastAsia="宋体" w:cs="Times New Roman"/>
          <w:szCs w:val="21"/>
        </w:rPr>
        <w:t>设计、</w:t>
      </w:r>
      <w:r>
        <w:rPr>
          <w:rFonts w:ascii="宋体" w:hAnsi="宋体" w:eastAsia="宋体" w:cs="Times New Roman"/>
          <w:szCs w:val="21"/>
        </w:rPr>
        <w:t>包装、运输、卸货</w:t>
      </w:r>
      <w:r>
        <w:rPr>
          <w:rFonts w:hint="eastAsia" w:ascii="宋体" w:hAnsi="宋体" w:eastAsia="宋体" w:cs="Times New Roman"/>
          <w:szCs w:val="21"/>
        </w:rPr>
        <w:t>和检验检测等</w:t>
      </w:r>
      <w:r>
        <w:rPr>
          <w:rFonts w:ascii="宋体" w:hAnsi="宋体" w:eastAsia="宋体" w:cs="Times New Roman"/>
          <w:szCs w:val="21"/>
        </w:rPr>
        <w:t>所用的耗材等所发生的费用均由</w:t>
      </w:r>
      <w:r>
        <w:rPr>
          <w:rFonts w:hint="eastAsia" w:ascii="宋体" w:hAnsi="宋体" w:eastAsia="宋体" w:cs="Times New Roman"/>
          <w:szCs w:val="21"/>
        </w:rPr>
        <w:t>投标方</w:t>
      </w:r>
      <w:r>
        <w:rPr>
          <w:rFonts w:ascii="宋体" w:hAnsi="宋体" w:eastAsia="宋体" w:cs="Times New Roman"/>
          <w:szCs w:val="21"/>
        </w:rPr>
        <w:t>承担；</w:t>
      </w:r>
      <w:r>
        <w:rPr>
          <w:rFonts w:hint="eastAsia" w:ascii="宋体" w:hAnsi="宋体" w:eastAsia="宋体" w:cs="Times New Roman"/>
          <w:szCs w:val="21"/>
        </w:rPr>
        <w:t>投标方负责</w:t>
      </w:r>
      <w:r>
        <w:rPr>
          <w:rFonts w:ascii="宋体" w:hAnsi="宋体" w:eastAsia="宋体" w:cs="Times New Roman"/>
          <w:szCs w:val="21"/>
        </w:rPr>
        <w:t>人的食宿、差旅费等也应由</w:t>
      </w:r>
      <w:r>
        <w:rPr>
          <w:rFonts w:hint="eastAsia" w:ascii="宋体" w:hAnsi="宋体" w:eastAsia="宋体" w:cs="Times New Roman"/>
          <w:szCs w:val="21"/>
        </w:rPr>
        <w:t>投标方</w:t>
      </w:r>
      <w:r>
        <w:rPr>
          <w:rFonts w:ascii="宋体" w:hAnsi="宋体" w:eastAsia="宋体" w:cs="Times New Roman"/>
          <w:szCs w:val="21"/>
        </w:rPr>
        <w:t>承担。</w:t>
      </w:r>
    </w:p>
    <w:p>
      <w:pPr>
        <w:numPr>
          <w:ilvl w:val="0"/>
          <w:numId w:val="1"/>
        </w:numPr>
        <w:spacing w:before="156" w:beforeLines="50" w:line="360" w:lineRule="auto"/>
        <w:jc w:val="left"/>
        <w:rPr>
          <w:rFonts w:ascii="宋体" w:hAnsi="宋体" w:eastAsia="宋体"/>
          <w:b/>
          <w:szCs w:val="21"/>
        </w:rPr>
      </w:pPr>
      <w:r>
        <w:rPr>
          <w:rFonts w:hint="eastAsia" w:ascii="宋体" w:hAnsi="宋体" w:eastAsia="宋体"/>
          <w:b/>
          <w:szCs w:val="21"/>
        </w:rPr>
        <w:t>验收方式和验收标准：</w:t>
      </w:r>
    </w:p>
    <w:p>
      <w:pPr>
        <w:numPr>
          <w:ilvl w:val="0"/>
          <w:numId w:val="11"/>
        </w:numPr>
        <w:spacing w:before="156" w:beforeLines="50" w:line="360" w:lineRule="auto"/>
        <w:rPr>
          <w:rFonts w:ascii="宋体" w:hAnsi="宋体" w:eastAsia="宋体"/>
          <w:b/>
          <w:szCs w:val="21"/>
        </w:rPr>
      </w:pPr>
      <w:r>
        <w:rPr>
          <w:rFonts w:hint="eastAsia" w:ascii="宋体" w:hAnsi="宋体" w:eastAsia="宋体"/>
          <w:b/>
          <w:szCs w:val="21"/>
        </w:rPr>
        <w:t>验收方式：</w:t>
      </w:r>
    </w:p>
    <w:p>
      <w:pPr>
        <w:numPr>
          <w:ilvl w:val="0"/>
          <w:numId w:val="12"/>
        </w:numPr>
        <w:spacing w:before="156" w:beforeLines="50" w:line="360" w:lineRule="auto"/>
        <w:rPr>
          <w:rFonts w:ascii="宋体" w:hAnsi="宋体" w:eastAsia="宋体"/>
          <w:szCs w:val="21"/>
        </w:rPr>
      </w:pPr>
      <w:r>
        <w:rPr>
          <w:rFonts w:ascii="宋体" w:hAnsi="宋体" w:eastAsia="宋体"/>
          <w:color w:val="000000"/>
        </w:rPr>
        <w:t>投标方应按要求将</w:t>
      </w:r>
      <w:r>
        <w:rPr>
          <w:rFonts w:hint="eastAsia" w:ascii="宋体" w:hAnsi="宋体" w:eastAsia="宋体"/>
          <w:color w:val="000000"/>
        </w:rPr>
        <w:t>标的货物</w:t>
      </w:r>
      <w:r>
        <w:rPr>
          <w:rFonts w:ascii="宋体" w:hAnsi="宋体" w:eastAsia="宋体"/>
          <w:color w:val="000000"/>
        </w:rPr>
        <w:t>运至</w:t>
      </w:r>
      <w:r>
        <w:rPr>
          <w:rFonts w:hint="eastAsia" w:ascii="宋体" w:hAnsi="宋体" w:eastAsia="宋体"/>
          <w:color w:val="000000"/>
        </w:rPr>
        <w:t>招标方</w:t>
      </w:r>
      <w:r>
        <w:rPr>
          <w:rFonts w:ascii="宋体" w:hAnsi="宋体" w:eastAsia="宋体"/>
          <w:color w:val="000000"/>
        </w:rPr>
        <w:t>指定到货地点卸货，投标方应在货物</w:t>
      </w:r>
      <w:r>
        <w:rPr>
          <w:rFonts w:hint="eastAsia" w:ascii="宋体" w:hAnsi="宋体" w:eastAsia="宋体"/>
          <w:color w:val="000000"/>
        </w:rPr>
        <w:t>发货之前3天</w:t>
      </w:r>
      <w:r>
        <w:rPr>
          <w:rFonts w:ascii="宋体" w:hAnsi="宋体" w:eastAsia="宋体"/>
          <w:color w:val="000000"/>
        </w:rPr>
        <w:t>通知招标方</w:t>
      </w:r>
      <w:r>
        <w:rPr>
          <w:rFonts w:hint="eastAsia" w:ascii="宋体" w:hAnsi="宋体" w:eastAsia="宋体"/>
          <w:color w:val="000000"/>
        </w:rPr>
        <w:t>。</w:t>
      </w:r>
    </w:p>
    <w:p>
      <w:pPr>
        <w:numPr>
          <w:ilvl w:val="0"/>
          <w:numId w:val="12"/>
        </w:numPr>
        <w:spacing w:before="156" w:beforeLines="50" w:line="360" w:lineRule="auto"/>
        <w:rPr>
          <w:rFonts w:ascii="宋体" w:hAnsi="宋体" w:eastAsia="宋体"/>
          <w:szCs w:val="21"/>
        </w:rPr>
      </w:pPr>
      <w:r>
        <w:rPr>
          <w:rFonts w:hint="eastAsia" w:ascii="宋体" w:hAnsi="宋体" w:eastAsia="宋体"/>
          <w:szCs w:val="21"/>
        </w:rPr>
        <w:t>塑料托盘入厂时，投标方提供数量清单、检验证明等，招标方组织人员根据合同要求进行清点。</w:t>
      </w:r>
    </w:p>
    <w:p>
      <w:pPr>
        <w:numPr>
          <w:ilvl w:val="0"/>
          <w:numId w:val="12"/>
        </w:numPr>
        <w:spacing w:before="156" w:beforeLines="50" w:line="360" w:lineRule="auto"/>
        <w:rPr>
          <w:rFonts w:ascii="宋体" w:hAnsi="宋体" w:eastAsia="宋体"/>
          <w:szCs w:val="21"/>
        </w:rPr>
      </w:pPr>
      <w:r>
        <w:rPr>
          <w:rFonts w:hint="eastAsia" w:ascii="宋体" w:hAnsi="宋体" w:eastAsia="宋体"/>
          <w:szCs w:val="21"/>
        </w:rPr>
        <w:t>塑料托盘使用3个月后，由投标方书面提出验收申请，招标方组织人员根据合同条款进行正式竣工验收。</w:t>
      </w:r>
    </w:p>
    <w:p>
      <w:pPr>
        <w:numPr>
          <w:ilvl w:val="0"/>
          <w:numId w:val="12"/>
        </w:numPr>
        <w:spacing w:before="156" w:beforeLines="50" w:line="360" w:lineRule="auto"/>
        <w:rPr>
          <w:rFonts w:ascii="宋体" w:hAnsi="宋体" w:eastAsia="宋体"/>
          <w:szCs w:val="21"/>
        </w:rPr>
      </w:pPr>
      <w:r>
        <w:rPr>
          <w:rFonts w:hint="eastAsia" w:ascii="宋体" w:hAnsi="宋体" w:eastAsia="宋体"/>
          <w:szCs w:val="21"/>
        </w:rPr>
        <w:t>由竣工验收合格之日起开始计算质保期1年（</w:t>
      </w:r>
      <w:r>
        <w:rPr>
          <w:rFonts w:ascii="宋体" w:hAnsi="宋体" w:eastAsia="宋体"/>
          <w:szCs w:val="21"/>
        </w:rPr>
        <w:t>12个月</w:t>
      </w:r>
      <w:r>
        <w:rPr>
          <w:rFonts w:hint="eastAsia" w:ascii="宋体" w:hAnsi="宋体" w:eastAsia="宋体"/>
          <w:szCs w:val="21"/>
        </w:rPr>
        <w:t>），质保期满前1个月发起质保验收</w:t>
      </w:r>
      <w:r>
        <w:rPr>
          <w:rFonts w:ascii="宋体" w:hAnsi="宋体" w:eastAsia="宋体"/>
          <w:szCs w:val="21"/>
        </w:rPr>
        <w:t>及</w:t>
      </w:r>
      <w:r>
        <w:rPr>
          <w:rFonts w:hint="eastAsia" w:ascii="宋体" w:hAnsi="宋体" w:eastAsia="宋体"/>
          <w:szCs w:val="21"/>
        </w:rPr>
        <w:t>落实相关整改，并对质保验收合格进行确认。</w:t>
      </w:r>
    </w:p>
    <w:p>
      <w:pPr>
        <w:numPr>
          <w:ilvl w:val="0"/>
          <w:numId w:val="11"/>
        </w:numPr>
        <w:spacing w:before="156" w:beforeLines="50" w:line="360" w:lineRule="auto"/>
        <w:rPr>
          <w:rFonts w:ascii="宋体" w:hAnsi="宋体" w:eastAsia="宋体"/>
          <w:b/>
          <w:szCs w:val="21"/>
        </w:rPr>
      </w:pPr>
      <w:r>
        <w:rPr>
          <w:rFonts w:hint="eastAsia" w:ascii="宋体" w:hAnsi="宋体" w:eastAsia="宋体"/>
          <w:b/>
          <w:szCs w:val="21"/>
        </w:rPr>
        <w:t>验收标准：</w:t>
      </w:r>
    </w:p>
    <w:p>
      <w:pPr>
        <w:numPr>
          <w:ilvl w:val="0"/>
          <w:numId w:val="13"/>
        </w:numPr>
        <w:spacing w:before="156" w:beforeLines="50" w:line="360" w:lineRule="auto"/>
        <w:rPr>
          <w:rFonts w:ascii="宋体" w:hAnsi="宋体" w:eastAsia="宋体"/>
          <w:szCs w:val="21"/>
        </w:rPr>
      </w:pPr>
      <w:r>
        <w:rPr>
          <w:rFonts w:hint="eastAsia" w:ascii="宋体" w:hAnsi="宋体" w:eastAsia="宋体"/>
          <w:szCs w:val="21"/>
        </w:rPr>
        <w:t>标的产品质量符合国家相关标准（</w:t>
      </w:r>
      <w:r>
        <w:rPr>
          <w:rFonts w:ascii="宋体" w:hAnsi="宋体" w:eastAsia="宋体" w:cs="Times New Roman"/>
          <w:color w:val="000000"/>
          <w:sz w:val="19"/>
          <w:szCs w:val="19"/>
          <w:lang w:bidi="en-US"/>
        </w:rPr>
        <w:t>GB/T 4996-2014</w:t>
      </w:r>
      <w:r>
        <w:rPr>
          <w:rFonts w:ascii="宋体" w:hAnsi="宋体" w:eastAsia="宋体"/>
          <w:color w:val="000000"/>
        </w:rPr>
        <w:t>《联运通用平托盘</w:t>
      </w:r>
      <w:r>
        <w:rPr>
          <w:rFonts w:hint="eastAsia" w:ascii="宋体" w:hAnsi="宋体" w:eastAsia="宋体"/>
          <w:color w:val="000000"/>
        </w:rPr>
        <w:t xml:space="preserve"> </w:t>
      </w:r>
      <w:r>
        <w:rPr>
          <w:rFonts w:ascii="宋体" w:hAnsi="宋体" w:eastAsia="宋体"/>
          <w:color w:val="000000"/>
        </w:rPr>
        <w:t>试验方法》</w:t>
      </w:r>
      <w:r>
        <w:rPr>
          <w:rFonts w:hint="eastAsia" w:ascii="宋体" w:hAnsi="宋体" w:eastAsia="宋体"/>
          <w:szCs w:val="21"/>
        </w:rPr>
        <w:t>）及招标方过程控制标准；</w:t>
      </w:r>
    </w:p>
    <w:p>
      <w:pPr>
        <w:numPr>
          <w:ilvl w:val="0"/>
          <w:numId w:val="13"/>
        </w:numPr>
        <w:spacing w:before="156" w:beforeLines="50" w:line="360" w:lineRule="auto"/>
        <w:rPr>
          <w:rFonts w:ascii="宋体" w:hAnsi="宋体" w:eastAsia="宋体"/>
          <w:szCs w:val="21"/>
        </w:rPr>
      </w:pPr>
      <w:r>
        <w:rPr>
          <w:rFonts w:hint="eastAsia" w:ascii="宋体" w:hAnsi="宋体" w:eastAsia="宋体"/>
          <w:szCs w:val="21"/>
        </w:rPr>
        <w:t>符合招标文件中各项条款的要求；</w:t>
      </w:r>
    </w:p>
    <w:p>
      <w:pPr>
        <w:numPr>
          <w:ilvl w:val="0"/>
          <w:numId w:val="13"/>
        </w:numPr>
        <w:spacing w:before="156" w:beforeLines="50" w:line="360" w:lineRule="auto"/>
        <w:rPr>
          <w:rFonts w:ascii="宋体" w:hAnsi="宋体" w:eastAsia="宋体"/>
          <w:szCs w:val="21"/>
        </w:rPr>
      </w:pPr>
      <w:r>
        <w:rPr>
          <w:rFonts w:hint="eastAsia" w:ascii="宋体" w:hAnsi="宋体" w:eastAsia="宋体"/>
          <w:szCs w:val="21"/>
        </w:rPr>
        <w:t>塑料托盘的承重满足使用要求；</w:t>
      </w:r>
    </w:p>
    <w:p>
      <w:pPr>
        <w:numPr>
          <w:ilvl w:val="0"/>
          <w:numId w:val="13"/>
        </w:numPr>
        <w:spacing w:before="156" w:beforeLines="50" w:line="360" w:lineRule="auto"/>
        <w:rPr>
          <w:rFonts w:ascii="宋体" w:hAnsi="宋体" w:eastAsia="宋体"/>
          <w:szCs w:val="21"/>
        </w:rPr>
      </w:pPr>
      <w:r>
        <w:rPr>
          <w:rFonts w:hint="eastAsia" w:ascii="宋体" w:hAnsi="宋体" w:eastAsia="宋体"/>
          <w:szCs w:val="21"/>
        </w:rPr>
        <w:t>提供相关第三方检验检测报告。</w:t>
      </w:r>
    </w:p>
    <w:p>
      <w:pPr>
        <w:numPr>
          <w:ilvl w:val="0"/>
          <w:numId w:val="1"/>
        </w:numPr>
        <w:spacing w:before="156" w:beforeLines="50" w:line="360" w:lineRule="auto"/>
        <w:jc w:val="left"/>
        <w:rPr>
          <w:rFonts w:ascii="宋体" w:hAnsi="宋体" w:eastAsia="宋体"/>
          <w:b/>
          <w:szCs w:val="21"/>
        </w:rPr>
      </w:pPr>
      <w:r>
        <w:rPr>
          <w:rFonts w:hint="eastAsia" w:ascii="宋体" w:hAnsi="宋体" w:eastAsia="宋体"/>
          <w:b/>
          <w:szCs w:val="21"/>
        </w:rPr>
        <w:t>供货周期：</w:t>
      </w:r>
    </w:p>
    <w:p>
      <w:pPr>
        <w:numPr>
          <w:ilvl w:val="255"/>
          <w:numId w:val="0"/>
        </w:numPr>
        <w:spacing w:before="156" w:beforeLines="50" w:line="360" w:lineRule="auto"/>
        <w:rPr>
          <w:rFonts w:ascii="宋体" w:hAnsi="宋体" w:eastAsia="宋体"/>
          <w:szCs w:val="21"/>
        </w:rPr>
      </w:pPr>
      <w:r>
        <w:rPr>
          <w:rFonts w:ascii="宋体" w:hAnsi="宋体" w:eastAsia="宋体"/>
          <w:color w:val="000000"/>
        </w:rPr>
        <w:t>设备供货期</w:t>
      </w:r>
      <w:r>
        <w:rPr>
          <w:rFonts w:hint="eastAsia" w:ascii="宋体" w:hAnsi="宋体" w:eastAsia="宋体"/>
          <w:szCs w:val="21"/>
        </w:rPr>
        <w:t>：从收到中标通知书开始起计</w:t>
      </w:r>
      <w:r>
        <w:rPr>
          <w:rFonts w:ascii="宋体" w:hAnsi="宋体" w:eastAsia="宋体"/>
          <w:szCs w:val="21"/>
        </w:rPr>
        <w:t>60</w:t>
      </w:r>
      <w:r>
        <w:rPr>
          <w:rFonts w:hint="eastAsia" w:ascii="宋体" w:hAnsi="宋体" w:eastAsia="宋体"/>
          <w:szCs w:val="21"/>
        </w:rPr>
        <w:t>个日历天</w:t>
      </w:r>
      <w:r>
        <w:rPr>
          <w:rFonts w:hint="eastAsia" w:ascii="宋体" w:hAnsi="宋体" w:eastAsia="宋体"/>
          <w:szCs w:val="21"/>
        </w:rPr>
        <w:t>开始供货</w:t>
      </w:r>
      <w:r>
        <w:rPr>
          <w:rFonts w:hint="eastAsia" w:ascii="宋体" w:hAnsi="宋体" w:eastAsia="宋体"/>
          <w:szCs w:val="21"/>
        </w:rPr>
        <w:t>，货运到招标方要求地点，具体以招标方通知为准。</w:t>
      </w:r>
    </w:p>
    <w:p>
      <w:pPr>
        <w:numPr>
          <w:ilvl w:val="0"/>
          <w:numId w:val="1"/>
        </w:numPr>
        <w:spacing w:line="360" w:lineRule="auto"/>
        <w:jc w:val="left"/>
        <w:rPr>
          <w:rFonts w:ascii="宋体" w:hAnsi="宋体" w:eastAsia="宋体"/>
          <w:szCs w:val="21"/>
        </w:rPr>
      </w:pPr>
      <w:r>
        <w:rPr>
          <w:rFonts w:hint="eastAsia" w:ascii="宋体" w:hAnsi="宋体" w:eastAsia="宋体"/>
          <w:b/>
          <w:szCs w:val="21"/>
        </w:rPr>
        <w:t>交货地点：</w:t>
      </w:r>
      <w:r>
        <w:rPr>
          <w:rFonts w:hint="eastAsia" w:ascii="宋体" w:hAnsi="宋体" w:eastAsia="宋体"/>
          <w:szCs w:val="21"/>
        </w:rPr>
        <w:t>广州市南沙区横沥镇洪沥大道北侧王老吉大健康南沙基地(一期)王老吉工厂内</w:t>
      </w:r>
      <w:r>
        <w:rPr>
          <w:rFonts w:ascii="宋体" w:hAnsi="宋体" w:eastAsia="宋体"/>
          <w:szCs w:val="21"/>
        </w:rPr>
        <w:t>。</w:t>
      </w:r>
      <w:bookmarkStart w:id="7" w:name="_GoBack"/>
      <w:bookmarkEnd w:id="7"/>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9816835"/>
    </w:sdtPr>
    <w:sdtContent>
      <w:p>
        <w:pPr>
          <w:pStyle w:val="2"/>
          <w:spacing w:before="120"/>
          <w:jc w:val="center"/>
        </w:pPr>
        <w:r>
          <w:fldChar w:fldCharType="begin"/>
        </w:r>
        <w:r>
          <w:instrText xml:space="preserve">PAGE   \* MERGEFORMAT</w:instrText>
        </w:r>
        <w:r>
          <w:fldChar w:fldCharType="separate"/>
        </w:r>
        <w:r>
          <w:rPr>
            <w:lang w:val="zh-CN"/>
          </w:rPr>
          <w:t>2</w:t>
        </w:r>
        <w:r>
          <w:fldChar w:fldCharType="end"/>
        </w:r>
      </w:p>
    </w:sdtContent>
  </w:sdt>
  <w:p>
    <w:pPr>
      <w:pStyle w:val="2"/>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spacing w:before="12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979AB"/>
    <w:multiLevelType w:val="singleLevel"/>
    <w:tmpl w:val="836979AB"/>
    <w:lvl w:ilvl="0" w:tentative="0">
      <w:start w:val="1"/>
      <w:numFmt w:val="decimal"/>
      <w:lvlText w:val="%1."/>
      <w:lvlJc w:val="left"/>
      <w:pPr>
        <w:ind w:left="425" w:hanging="425"/>
      </w:pPr>
      <w:rPr>
        <w:rFonts w:hint="default"/>
      </w:rPr>
    </w:lvl>
  </w:abstractNum>
  <w:abstractNum w:abstractNumId="1">
    <w:nsid w:val="9CEF216E"/>
    <w:multiLevelType w:val="singleLevel"/>
    <w:tmpl w:val="9CEF216E"/>
    <w:lvl w:ilvl="0" w:tentative="0">
      <w:start w:val="1"/>
      <w:numFmt w:val="decimal"/>
      <w:lvlText w:val="(%1)"/>
      <w:lvlJc w:val="left"/>
      <w:pPr>
        <w:ind w:left="425" w:hanging="425"/>
      </w:pPr>
      <w:rPr>
        <w:rFonts w:hint="default"/>
      </w:rPr>
    </w:lvl>
  </w:abstractNum>
  <w:abstractNum w:abstractNumId="2">
    <w:nsid w:val="C020E563"/>
    <w:multiLevelType w:val="singleLevel"/>
    <w:tmpl w:val="C020E563"/>
    <w:lvl w:ilvl="0" w:tentative="0">
      <w:start w:val="1"/>
      <w:numFmt w:val="decimal"/>
      <w:lvlText w:val="(%1)"/>
      <w:lvlJc w:val="left"/>
      <w:pPr>
        <w:ind w:left="425" w:hanging="425"/>
      </w:pPr>
      <w:rPr>
        <w:rFonts w:hint="default"/>
      </w:rPr>
    </w:lvl>
  </w:abstractNum>
  <w:abstractNum w:abstractNumId="3">
    <w:nsid w:val="D7277AA4"/>
    <w:multiLevelType w:val="singleLevel"/>
    <w:tmpl w:val="D7277AA4"/>
    <w:lvl w:ilvl="0" w:tentative="0">
      <w:start w:val="1"/>
      <w:numFmt w:val="decimal"/>
      <w:lvlText w:val="%1."/>
      <w:lvlJc w:val="left"/>
      <w:pPr>
        <w:tabs>
          <w:tab w:val="left" w:pos="312"/>
        </w:tabs>
      </w:pPr>
    </w:lvl>
  </w:abstractNum>
  <w:abstractNum w:abstractNumId="4">
    <w:nsid w:val="DB0D25E8"/>
    <w:multiLevelType w:val="singleLevel"/>
    <w:tmpl w:val="DB0D25E8"/>
    <w:lvl w:ilvl="0" w:tentative="0">
      <w:start w:val="1"/>
      <w:numFmt w:val="decimal"/>
      <w:lvlText w:val="(%1)"/>
      <w:lvlJc w:val="left"/>
      <w:pPr>
        <w:ind w:left="425" w:hanging="425"/>
      </w:pPr>
      <w:rPr>
        <w:rFonts w:hint="default"/>
      </w:rPr>
    </w:lvl>
  </w:abstractNum>
  <w:abstractNum w:abstractNumId="5">
    <w:nsid w:val="DBAD7CC0"/>
    <w:multiLevelType w:val="singleLevel"/>
    <w:tmpl w:val="DBAD7CC0"/>
    <w:lvl w:ilvl="0" w:tentative="0">
      <w:start w:val="1"/>
      <w:numFmt w:val="decimal"/>
      <w:lvlText w:val="(%1)"/>
      <w:lvlJc w:val="left"/>
      <w:pPr>
        <w:ind w:left="425" w:hanging="425"/>
      </w:pPr>
      <w:rPr>
        <w:rFonts w:hint="default"/>
      </w:rPr>
    </w:lvl>
  </w:abstractNum>
  <w:abstractNum w:abstractNumId="6">
    <w:nsid w:val="F77127FE"/>
    <w:multiLevelType w:val="singleLevel"/>
    <w:tmpl w:val="F77127FE"/>
    <w:lvl w:ilvl="0" w:tentative="0">
      <w:start w:val="1"/>
      <w:numFmt w:val="decimal"/>
      <w:lvlText w:val="%1."/>
      <w:lvlJc w:val="left"/>
      <w:pPr>
        <w:ind w:left="425" w:hanging="425"/>
      </w:pPr>
      <w:rPr>
        <w:rFonts w:hint="default"/>
      </w:rPr>
    </w:lvl>
  </w:abstractNum>
  <w:abstractNum w:abstractNumId="7">
    <w:nsid w:val="2FA37A09"/>
    <w:multiLevelType w:val="singleLevel"/>
    <w:tmpl w:val="2FA37A09"/>
    <w:lvl w:ilvl="0" w:tentative="0">
      <w:start w:val="1"/>
      <w:numFmt w:val="decimal"/>
      <w:lvlText w:val="%1."/>
      <w:lvlJc w:val="left"/>
      <w:pPr>
        <w:ind w:left="425" w:hanging="425"/>
      </w:pPr>
      <w:rPr>
        <w:rFonts w:hint="default"/>
      </w:rPr>
    </w:lvl>
  </w:abstractNum>
  <w:abstractNum w:abstractNumId="8">
    <w:nsid w:val="302C7CCD"/>
    <w:multiLevelType w:val="singleLevel"/>
    <w:tmpl w:val="302C7CCD"/>
    <w:lvl w:ilvl="0" w:tentative="0">
      <w:start w:val="1"/>
      <w:numFmt w:val="decimal"/>
      <w:lvlText w:val="(%1)"/>
      <w:lvlJc w:val="left"/>
      <w:pPr>
        <w:ind w:left="425" w:hanging="425"/>
      </w:pPr>
      <w:rPr>
        <w:rFonts w:hint="default"/>
      </w:rPr>
    </w:lvl>
  </w:abstractNum>
  <w:abstractNum w:abstractNumId="9">
    <w:nsid w:val="33EE7C0F"/>
    <w:multiLevelType w:val="multilevel"/>
    <w:tmpl w:val="33EE7C0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42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9FB36C4"/>
    <w:multiLevelType w:val="multilevel"/>
    <w:tmpl w:val="59FB36C4"/>
    <w:lvl w:ilvl="0" w:tentative="0">
      <w:start w:val="1"/>
      <w:numFmt w:val="japaneseCounting"/>
      <w:lvlText w:val="%1、"/>
      <w:lvlJc w:val="left"/>
      <w:pPr>
        <w:ind w:left="720" w:hanging="720"/>
      </w:pPr>
      <w:rPr>
        <w:rFonts w:hint="default"/>
        <w:b/>
        <w:bCs w:val="0"/>
      </w:rPr>
    </w:lvl>
    <w:lvl w:ilvl="1" w:tentative="0">
      <w:start w:val="1"/>
      <w:numFmt w:val="decimal"/>
      <w:lvlText w:val="%2)"/>
      <w:lvlJc w:val="left"/>
      <w:pPr>
        <w:ind w:left="644" w:hanging="360"/>
      </w:pPr>
      <w:rPr>
        <w:rFonts w:hint="default"/>
        <w:b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8996AF0"/>
    <w:multiLevelType w:val="singleLevel"/>
    <w:tmpl w:val="78996AF0"/>
    <w:lvl w:ilvl="0" w:tentative="0">
      <w:start w:val="1"/>
      <w:numFmt w:val="decimal"/>
      <w:lvlText w:val="%1."/>
      <w:lvlJc w:val="left"/>
      <w:pPr>
        <w:tabs>
          <w:tab w:val="left" w:pos="312"/>
        </w:tabs>
        <w:ind w:left="636" w:firstLine="0"/>
      </w:pPr>
    </w:lvl>
  </w:abstractNum>
  <w:abstractNum w:abstractNumId="12">
    <w:nsid w:val="79771B21"/>
    <w:multiLevelType w:val="multilevel"/>
    <w:tmpl w:val="79771B21"/>
    <w:lvl w:ilvl="0" w:tentative="0">
      <w:start w:val="1"/>
      <w:numFmt w:val="decimal"/>
      <w:lvlText w:val="%1."/>
      <w:lvlJc w:val="left"/>
      <w:pPr>
        <w:ind w:left="562" w:hanging="420"/>
      </w:pPr>
      <w:rPr>
        <w:rFonts w:hint="eastAsia"/>
        <w:b w:val="0"/>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num w:numId="1">
    <w:abstractNumId w:val="10"/>
  </w:num>
  <w:num w:numId="2">
    <w:abstractNumId w:val="12"/>
  </w:num>
  <w:num w:numId="3">
    <w:abstractNumId w:val="11"/>
  </w:num>
  <w:num w:numId="4">
    <w:abstractNumId w:val="9"/>
  </w:num>
  <w:num w:numId="5">
    <w:abstractNumId w:val="3"/>
  </w:num>
  <w:num w:numId="6">
    <w:abstractNumId w:val="7"/>
  </w:num>
  <w:num w:numId="7">
    <w:abstractNumId w:val="2"/>
  </w:num>
  <w:num w:numId="8">
    <w:abstractNumId w:val="5"/>
  </w:num>
  <w:num w:numId="9">
    <w:abstractNumId w:val="8"/>
  </w:num>
  <w:num w:numId="10">
    <w:abstractNumId w:val="0"/>
  </w:num>
  <w:num w:numId="11">
    <w:abstractNumId w:val="6"/>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trackRevisions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lZTNhMTgxYWQ4MDNkYmIzODI1NjA5Y2U3Y2I0YjEifQ=="/>
  </w:docVars>
  <w:rsids>
    <w:rsidRoot w:val="006466BE"/>
    <w:rsid w:val="00034CC8"/>
    <w:rsid w:val="0004712A"/>
    <w:rsid w:val="00060062"/>
    <w:rsid w:val="00085836"/>
    <w:rsid w:val="000868A6"/>
    <w:rsid w:val="00092D5D"/>
    <w:rsid w:val="000B0C36"/>
    <w:rsid w:val="00120668"/>
    <w:rsid w:val="00125489"/>
    <w:rsid w:val="00130B76"/>
    <w:rsid w:val="001328AB"/>
    <w:rsid w:val="00143DBF"/>
    <w:rsid w:val="001A2DAF"/>
    <w:rsid w:val="001E6EFF"/>
    <w:rsid w:val="001F12F7"/>
    <w:rsid w:val="001F16A1"/>
    <w:rsid w:val="00255C76"/>
    <w:rsid w:val="002750A2"/>
    <w:rsid w:val="002845D3"/>
    <w:rsid w:val="002A7DCD"/>
    <w:rsid w:val="002C03D7"/>
    <w:rsid w:val="002D7E2B"/>
    <w:rsid w:val="003005FD"/>
    <w:rsid w:val="003947A1"/>
    <w:rsid w:val="003D211B"/>
    <w:rsid w:val="00400C01"/>
    <w:rsid w:val="00422600"/>
    <w:rsid w:val="0042371D"/>
    <w:rsid w:val="004317F3"/>
    <w:rsid w:val="00473E20"/>
    <w:rsid w:val="004D186D"/>
    <w:rsid w:val="00586DB6"/>
    <w:rsid w:val="005B0A33"/>
    <w:rsid w:val="005B73ED"/>
    <w:rsid w:val="005C69E4"/>
    <w:rsid w:val="00615A61"/>
    <w:rsid w:val="0063165F"/>
    <w:rsid w:val="006466BE"/>
    <w:rsid w:val="00647773"/>
    <w:rsid w:val="0069744B"/>
    <w:rsid w:val="006A72F2"/>
    <w:rsid w:val="006A738B"/>
    <w:rsid w:val="007258D5"/>
    <w:rsid w:val="00757650"/>
    <w:rsid w:val="007A41A8"/>
    <w:rsid w:val="007B1595"/>
    <w:rsid w:val="007B6A7A"/>
    <w:rsid w:val="007D63D4"/>
    <w:rsid w:val="007F44EE"/>
    <w:rsid w:val="007F79B8"/>
    <w:rsid w:val="00802A2F"/>
    <w:rsid w:val="0081703E"/>
    <w:rsid w:val="00850545"/>
    <w:rsid w:val="008865AE"/>
    <w:rsid w:val="008866D7"/>
    <w:rsid w:val="0088786C"/>
    <w:rsid w:val="008B1B37"/>
    <w:rsid w:val="008B412C"/>
    <w:rsid w:val="008C446C"/>
    <w:rsid w:val="008F0EA9"/>
    <w:rsid w:val="00961D2A"/>
    <w:rsid w:val="009964D2"/>
    <w:rsid w:val="009D59B3"/>
    <w:rsid w:val="009D6EF5"/>
    <w:rsid w:val="009D7F37"/>
    <w:rsid w:val="009F7890"/>
    <w:rsid w:val="00A038A0"/>
    <w:rsid w:val="00A14197"/>
    <w:rsid w:val="00A158CB"/>
    <w:rsid w:val="00A1636B"/>
    <w:rsid w:val="00A1666F"/>
    <w:rsid w:val="00AC30BA"/>
    <w:rsid w:val="00AC3ED3"/>
    <w:rsid w:val="00AC5DAC"/>
    <w:rsid w:val="00AF519F"/>
    <w:rsid w:val="00B0262E"/>
    <w:rsid w:val="00B125CF"/>
    <w:rsid w:val="00B23DA6"/>
    <w:rsid w:val="00B2794E"/>
    <w:rsid w:val="00B36111"/>
    <w:rsid w:val="00B738F5"/>
    <w:rsid w:val="00B80FC9"/>
    <w:rsid w:val="00B91781"/>
    <w:rsid w:val="00BC7DC9"/>
    <w:rsid w:val="00C017AC"/>
    <w:rsid w:val="00C030A7"/>
    <w:rsid w:val="00C233F6"/>
    <w:rsid w:val="00C41A16"/>
    <w:rsid w:val="00C86461"/>
    <w:rsid w:val="00C92CEB"/>
    <w:rsid w:val="00C97AC4"/>
    <w:rsid w:val="00CA29FE"/>
    <w:rsid w:val="00CA3643"/>
    <w:rsid w:val="00CB08EE"/>
    <w:rsid w:val="00CF3EC9"/>
    <w:rsid w:val="00D25F9A"/>
    <w:rsid w:val="00D80C4C"/>
    <w:rsid w:val="00D84607"/>
    <w:rsid w:val="00DC2016"/>
    <w:rsid w:val="00DC5EA7"/>
    <w:rsid w:val="00DD7654"/>
    <w:rsid w:val="00DF28FD"/>
    <w:rsid w:val="00E028AB"/>
    <w:rsid w:val="00E63742"/>
    <w:rsid w:val="00E833E9"/>
    <w:rsid w:val="00E941BA"/>
    <w:rsid w:val="00EF4811"/>
    <w:rsid w:val="00F1377A"/>
    <w:rsid w:val="00F3439C"/>
    <w:rsid w:val="00F771F5"/>
    <w:rsid w:val="00FD3B10"/>
    <w:rsid w:val="00FF5EFA"/>
    <w:rsid w:val="014063FE"/>
    <w:rsid w:val="029F0F5E"/>
    <w:rsid w:val="04FF037E"/>
    <w:rsid w:val="060C045C"/>
    <w:rsid w:val="0633208D"/>
    <w:rsid w:val="0A905275"/>
    <w:rsid w:val="0DCD1D33"/>
    <w:rsid w:val="121D25BA"/>
    <w:rsid w:val="1750327C"/>
    <w:rsid w:val="18C3709F"/>
    <w:rsid w:val="191B3227"/>
    <w:rsid w:val="1D725739"/>
    <w:rsid w:val="1FBF385A"/>
    <w:rsid w:val="24CF3471"/>
    <w:rsid w:val="27217B94"/>
    <w:rsid w:val="27AA2726"/>
    <w:rsid w:val="27D72D69"/>
    <w:rsid w:val="2A9773D8"/>
    <w:rsid w:val="2E41147F"/>
    <w:rsid w:val="30E6401D"/>
    <w:rsid w:val="31343342"/>
    <w:rsid w:val="364231CD"/>
    <w:rsid w:val="37D04EDD"/>
    <w:rsid w:val="385009BF"/>
    <w:rsid w:val="3B6531E1"/>
    <w:rsid w:val="3BE949C1"/>
    <w:rsid w:val="3C0A7924"/>
    <w:rsid w:val="3CB63745"/>
    <w:rsid w:val="42C468C9"/>
    <w:rsid w:val="435715E9"/>
    <w:rsid w:val="43B253F6"/>
    <w:rsid w:val="45A84FAE"/>
    <w:rsid w:val="45F943C0"/>
    <w:rsid w:val="46BC25AD"/>
    <w:rsid w:val="47462CC7"/>
    <w:rsid w:val="48C938E4"/>
    <w:rsid w:val="4ADC32D7"/>
    <w:rsid w:val="4B360BAF"/>
    <w:rsid w:val="4DB95142"/>
    <w:rsid w:val="4DEB45C9"/>
    <w:rsid w:val="4E872543"/>
    <w:rsid w:val="4ED53ED1"/>
    <w:rsid w:val="4F5545E5"/>
    <w:rsid w:val="4FA768E5"/>
    <w:rsid w:val="4FF736F9"/>
    <w:rsid w:val="50027558"/>
    <w:rsid w:val="51324075"/>
    <w:rsid w:val="55F9168D"/>
    <w:rsid w:val="570278AE"/>
    <w:rsid w:val="58383E90"/>
    <w:rsid w:val="5A0A63FF"/>
    <w:rsid w:val="5BC14BBB"/>
    <w:rsid w:val="5CE96177"/>
    <w:rsid w:val="5D284EF1"/>
    <w:rsid w:val="5F0C36BA"/>
    <w:rsid w:val="5F4E6765"/>
    <w:rsid w:val="604B7067"/>
    <w:rsid w:val="614F0110"/>
    <w:rsid w:val="657F58CB"/>
    <w:rsid w:val="672D1F14"/>
    <w:rsid w:val="675059A5"/>
    <w:rsid w:val="6ADF1C86"/>
    <w:rsid w:val="6DB3171C"/>
    <w:rsid w:val="6E3404AE"/>
    <w:rsid w:val="6F5077B5"/>
    <w:rsid w:val="73124222"/>
    <w:rsid w:val="75D823D3"/>
    <w:rsid w:val="76B53304"/>
    <w:rsid w:val="78762529"/>
    <w:rsid w:val="78767001"/>
    <w:rsid w:val="78D45AD6"/>
    <w:rsid w:val="78E73A5B"/>
    <w:rsid w:val="7D1666BD"/>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3288</Words>
  <Characters>3461</Characters>
  <Lines>25</Lines>
  <Paragraphs>7</Paragraphs>
  <TotalTime>144</TotalTime>
  <ScaleCrop>false</ScaleCrop>
  <LinksUpToDate>false</LinksUpToDate>
  <CharactersWithSpaces>3476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2022-07-14T01:26:00Z</dcterms:created>
  <dc:creator>超烺</dc:creator>
  <cp:lastModifiedBy>SMILE</cp:lastModifiedBy>
  <dcterms:modified xsi:type="dcterms:W3CDTF">2023-01-04T01:54:04Z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21B3973F11094C8E905B71E394346C07</vt:lpwstr>
  </property>
</Properties>
</file>